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宋体"/>
          <w:b/>
          <w:bCs/>
          <w:color w:val="auto"/>
          <w:sz w:val="28"/>
          <w:szCs w:val="28"/>
        </w:rPr>
      </w:pPr>
      <w:r>
        <w:rPr>
          <w:rFonts w:hint="eastAsia" w:cs="宋体"/>
          <w:b/>
          <w:bCs/>
          <w:color w:val="auto"/>
          <w:sz w:val="28"/>
          <w:szCs w:val="28"/>
        </w:rPr>
        <w:t>项目编号</w:t>
      </w:r>
      <w:r>
        <w:rPr>
          <w:rFonts w:hint="eastAsia" w:cs="宋体"/>
          <w:b/>
          <w:bCs/>
          <w:color w:val="auto"/>
          <w:sz w:val="28"/>
          <w:szCs w:val="28"/>
          <w:lang w:eastAsia="zh-CN"/>
        </w:rPr>
        <w:t>：JZZB2023-1030</w:t>
      </w:r>
    </w:p>
    <w:p>
      <w:pPr>
        <w:spacing w:line="360" w:lineRule="auto"/>
        <w:jc w:val="center"/>
        <w:rPr>
          <w:rFonts w:cs="宋体"/>
          <w:b/>
          <w:color w:val="auto"/>
          <w:sz w:val="24"/>
          <w:szCs w:val="24"/>
        </w:rPr>
      </w:pPr>
    </w:p>
    <w:p>
      <w:pPr>
        <w:spacing w:line="360" w:lineRule="auto"/>
        <w:jc w:val="center"/>
        <w:rPr>
          <w:rFonts w:cs="宋体"/>
          <w:b/>
          <w:color w:val="auto"/>
          <w:sz w:val="24"/>
          <w:szCs w:val="24"/>
        </w:rPr>
      </w:pPr>
    </w:p>
    <w:p>
      <w:pPr>
        <w:pStyle w:val="6"/>
        <w:spacing w:line="360" w:lineRule="auto"/>
        <w:rPr>
          <w:rFonts w:ascii="宋体" w:hAnsi="宋体" w:cs="宋体"/>
          <w:color w:val="auto"/>
          <w:sz w:val="24"/>
          <w:szCs w:val="24"/>
        </w:rPr>
      </w:pPr>
    </w:p>
    <w:p>
      <w:pPr>
        <w:spacing w:line="360" w:lineRule="auto"/>
        <w:jc w:val="center"/>
        <w:rPr>
          <w:sz w:val="40"/>
          <w:szCs w:val="40"/>
        </w:rPr>
      </w:pPr>
    </w:p>
    <w:p>
      <w:pPr>
        <w:pStyle w:val="29"/>
        <w:spacing w:line="360" w:lineRule="auto"/>
        <w:ind w:left="0" w:leftChars="0" w:firstLine="0" w:firstLineChars="0"/>
        <w:jc w:val="center"/>
        <w:rPr>
          <w:rFonts w:ascii="宋体" w:hAnsi="宋体" w:cs="宋体"/>
          <w:b/>
          <w:color w:val="auto"/>
          <w:sz w:val="44"/>
          <w:szCs w:val="44"/>
        </w:rPr>
      </w:pPr>
      <w:r>
        <w:rPr>
          <w:rFonts w:ascii="宋体" w:hAnsi="宋体" w:cs="宋体"/>
          <w:b/>
          <w:color w:val="auto"/>
          <w:sz w:val="44"/>
          <w:szCs w:val="44"/>
        </w:rPr>
        <w:t>合阳县数字农业智慧管理平台建设项目</w:t>
      </w:r>
    </w:p>
    <w:p>
      <w:pPr>
        <w:pStyle w:val="29"/>
        <w:spacing w:line="360" w:lineRule="auto"/>
        <w:ind w:firstLine="1310"/>
        <w:rPr>
          <w:rFonts w:ascii="宋体" w:hAnsi="宋体" w:cs="宋体"/>
          <w:b/>
          <w:color w:val="auto"/>
          <w:sz w:val="24"/>
          <w:szCs w:val="24"/>
        </w:rPr>
      </w:pPr>
    </w:p>
    <w:p>
      <w:pPr>
        <w:spacing w:line="360" w:lineRule="auto"/>
        <w:rPr>
          <w:rFonts w:ascii="宋体" w:hAnsi="宋体" w:cs="宋体"/>
          <w:b/>
          <w:color w:val="auto"/>
          <w:sz w:val="24"/>
          <w:szCs w:val="24"/>
        </w:rPr>
      </w:pPr>
    </w:p>
    <w:p>
      <w:pPr>
        <w:pStyle w:val="29"/>
        <w:spacing w:line="360" w:lineRule="auto"/>
        <w:rPr>
          <w:sz w:val="24"/>
          <w:szCs w:val="24"/>
        </w:rPr>
      </w:pPr>
    </w:p>
    <w:p>
      <w:pPr>
        <w:spacing w:line="360" w:lineRule="auto"/>
        <w:rPr>
          <w:sz w:val="44"/>
          <w:szCs w:val="44"/>
        </w:rPr>
      </w:pPr>
    </w:p>
    <w:p>
      <w:pPr>
        <w:pStyle w:val="2"/>
      </w:pPr>
    </w:p>
    <w:p>
      <w:pPr>
        <w:spacing w:line="360" w:lineRule="auto"/>
        <w:jc w:val="center"/>
        <w:rPr>
          <w:rFonts w:cs="宋体"/>
          <w:b/>
          <w:color w:val="auto"/>
          <w:sz w:val="52"/>
          <w:szCs w:val="52"/>
        </w:rPr>
      </w:pPr>
      <w:r>
        <w:rPr>
          <w:rFonts w:hint="eastAsia" w:cs="宋体"/>
          <w:b/>
          <w:color w:val="auto"/>
          <w:sz w:val="52"/>
          <w:szCs w:val="52"/>
        </w:rPr>
        <w:t>招 标 文 件</w:t>
      </w:r>
    </w:p>
    <w:p>
      <w:pPr>
        <w:spacing w:line="360" w:lineRule="auto"/>
        <w:rPr>
          <w:rFonts w:cs="宋体"/>
          <w:color w:val="auto"/>
          <w:sz w:val="24"/>
          <w:szCs w:val="24"/>
        </w:rPr>
      </w:pPr>
      <w:bookmarkStart w:id="0" w:name="_Toc363463325"/>
    </w:p>
    <w:p>
      <w:pPr>
        <w:spacing w:line="360" w:lineRule="auto"/>
        <w:rPr>
          <w:rFonts w:cs="宋体"/>
          <w:color w:val="auto"/>
          <w:sz w:val="24"/>
          <w:szCs w:val="24"/>
        </w:rPr>
      </w:pPr>
    </w:p>
    <w:p>
      <w:pPr>
        <w:spacing w:line="360" w:lineRule="auto"/>
        <w:rPr>
          <w:rFonts w:cs="宋体"/>
          <w:color w:val="auto"/>
          <w:sz w:val="24"/>
          <w:szCs w:val="24"/>
        </w:rPr>
      </w:pPr>
    </w:p>
    <w:p>
      <w:pPr>
        <w:pStyle w:val="29"/>
        <w:spacing w:line="360" w:lineRule="auto"/>
        <w:ind w:left="0" w:leftChars="0" w:firstLine="0" w:firstLineChars="0"/>
        <w:rPr>
          <w:sz w:val="24"/>
          <w:szCs w:val="24"/>
        </w:rPr>
      </w:pPr>
    </w:p>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8"/>
          <w:szCs w:val="28"/>
        </w:rPr>
      </w:pPr>
    </w:p>
    <w:bookmarkEnd w:id="0"/>
    <w:p>
      <w:pPr>
        <w:spacing w:after="120" w:afterLines="50" w:line="360" w:lineRule="auto"/>
        <w:jc w:val="center"/>
        <w:rPr>
          <w:rFonts w:cs="宋体"/>
          <w:b/>
          <w:bCs/>
          <w:color w:val="auto"/>
          <w:sz w:val="32"/>
          <w:szCs w:val="32"/>
        </w:rPr>
      </w:pPr>
      <w:r>
        <w:rPr>
          <w:rFonts w:hint="eastAsia" w:cs="宋体"/>
          <w:b/>
          <w:bCs/>
          <w:color w:val="auto"/>
          <w:sz w:val="32"/>
          <w:szCs w:val="32"/>
        </w:rPr>
        <w:t>陕西金字招标有限责任公司</w:t>
      </w:r>
    </w:p>
    <w:p>
      <w:pPr>
        <w:spacing w:after="120" w:afterLines="50" w:line="360" w:lineRule="auto"/>
        <w:jc w:val="center"/>
        <w:rPr>
          <w:rFonts w:cs="宋体"/>
          <w:b/>
          <w:bCs/>
          <w:color w:val="auto"/>
          <w:sz w:val="32"/>
          <w:szCs w:val="32"/>
        </w:rPr>
      </w:pPr>
      <w:r>
        <w:rPr>
          <w:rFonts w:hint="eastAsia" w:cs="宋体"/>
          <w:b/>
          <w:bCs/>
          <w:color w:val="auto"/>
          <w:sz w:val="32"/>
          <w:szCs w:val="32"/>
        </w:rPr>
        <w:t>202</w:t>
      </w:r>
      <w:r>
        <w:rPr>
          <w:rFonts w:hint="eastAsia" w:cs="宋体"/>
          <w:b/>
          <w:bCs/>
          <w:color w:val="auto"/>
          <w:sz w:val="32"/>
          <w:szCs w:val="32"/>
          <w:lang w:val="en-US" w:eastAsia="zh-CN"/>
        </w:rPr>
        <w:t>3</w:t>
      </w:r>
      <w:r>
        <w:rPr>
          <w:rFonts w:hint="eastAsia" w:cs="宋体"/>
          <w:b/>
          <w:bCs/>
          <w:color w:val="auto"/>
          <w:sz w:val="32"/>
          <w:szCs w:val="32"/>
        </w:rPr>
        <w:t>年</w:t>
      </w:r>
      <w:r>
        <w:rPr>
          <w:rFonts w:hint="eastAsia" w:cs="宋体"/>
          <w:b/>
          <w:bCs/>
          <w:color w:val="auto"/>
          <w:sz w:val="32"/>
          <w:szCs w:val="32"/>
          <w:lang w:val="en-US" w:eastAsia="zh-CN"/>
        </w:rPr>
        <w:t>3</w:t>
      </w:r>
      <w:r>
        <w:rPr>
          <w:rFonts w:hint="eastAsia" w:cs="宋体"/>
          <w:b/>
          <w:bCs/>
          <w:color w:val="auto"/>
          <w:sz w:val="32"/>
          <w:szCs w:val="32"/>
        </w:rPr>
        <w:t>月</w:t>
      </w:r>
    </w:p>
    <w:p>
      <w:pPr>
        <w:spacing w:line="360" w:lineRule="auto"/>
        <w:rPr>
          <w:rFonts w:cs="宋体"/>
          <w:b/>
          <w:color w:val="auto"/>
          <w:sz w:val="24"/>
          <w:szCs w:val="24"/>
        </w:rPr>
      </w:pPr>
      <w:r>
        <w:rPr>
          <w:rFonts w:hint="eastAsia" w:cs="宋体"/>
          <w:b/>
          <w:color w:val="auto"/>
          <w:sz w:val="24"/>
          <w:szCs w:val="24"/>
        </w:rPr>
        <w:br w:type="page"/>
      </w:r>
    </w:p>
    <w:p>
      <w:pPr>
        <w:spacing w:before="120" w:beforeLines="50" w:line="360" w:lineRule="auto"/>
        <w:jc w:val="center"/>
        <w:rPr>
          <w:rFonts w:cs="宋体"/>
          <w:b/>
          <w:color w:val="auto"/>
          <w:sz w:val="24"/>
          <w:szCs w:val="24"/>
        </w:rPr>
      </w:pPr>
      <w:r>
        <w:rPr>
          <w:rFonts w:hint="eastAsia" w:cs="宋体"/>
          <w:b/>
          <w:color w:val="auto"/>
          <w:sz w:val="24"/>
          <w:szCs w:val="24"/>
        </w:rPr>
        <w:t>目   录</w:t>
      </w:r>
    </w:p>
    <w:p>
      <w:pPr>
        <w:pStyle w:val="22"/>
        <w:tabs>
          <w:tab w:val="right" w:leader="dot" w:pos="8300"/>
          <w:tab w:val="clear" w:pos="1418"/>
          <w:tab w:val="clear" w:pos="8302"/>
        </w:tabs>
        <w:spacing w:line="360" w:lineRule="auto"/>
        <w:rPr>
          <w:color w:val="auto"/>
          <w:sz w:val="24"/>
          <w:szCs w:val="24"/>
        </w:rPr>
      </w:pPr>
      <w:bookmarkStart w:id="1" w:name="_Toc389582033"/>
      <w:bookmarkStart w:id="2" w:name="_Toc16218"/>
      <w:bookmarkStart w:id="3" w:name="_Toc21518"/>
      <w:bookmarkStart w:id="4" w:name="_Toc19886"/>
      <w:bookmarkStart w:id="5" w:name="_Toc5293"/>
      <w:bookmarkStart w:id="6" w:name="_Toc20652"/>
      <w:bookmarkStart w:id="7" w:name="_Toc20858"/>
      <w:bookmarkStart w:id="8" w:name="_Toc426457691"/>
      <w:bookmarkStart w:id="9" w:name="_Toc363473971"/>
      <w:bookmarkStart w:id="10" w:name="_Toc403077638"/>
      <w:bookmarkStart w:id="11" w:name="_Toc363474016"/>
      <w:r>
        <w:rPr>
          <w:rFonts w:hint="eastAsia" w:cs="宋体"/>
          <w:color w:val="auto"/>
          <w:sz w:val="24"/>
          <w:szCs w:val="24"/>
        </w:rPr>
        <w:fldChar w:fldCharType="begin"/>
      </w:r>
      <w:r>
        <w:rPr>
          <w:rFonts w:hint="eastAsia" w:cs="宋体"/>
          <w:color w:val="auto"/>
          <w:sz w:val="24"/>
          <w:szCs w:val="24"/>
        </w:rPr>
        <w:instrText xml:space="preserve">TOC \o "1-2" \h \u </w:instrText>
      </w:r>
      <w:r>
        <w:rPr>
          <w:rFonts w:hint="eastAsia" w:cs="宋体"/>
          <w:color w:val="auto"/>
          <w:sz w:val="24"/>
          <w:szCs w:val="24"/>
        </w:rPr>
        <w:fldChar w:fldCharType="separate"/>
      </w:r>
      <w:r>
        <w:rPr>
          <w:color w:val="auto"/>
          <w:sz w:val="24"/>
          <w:szCs w:val="24"/>
        </w:rPr>
        <w:fldChar w:fldCharType="begin"/>
      </w:r>
      <w:r>
        <w:rPr>
          <w:color w:val="auto"/>
          <w:sz w:val="24"/>
          <w:szCs w:val="24"/>
        </w:rPr>
        <w:instrText xml:space="preserve"> HYPERLINK \l "_Toc32118" </w:instrText>
      </w:r>
      <w:r>
        <w:rPr>
          <w:color w:val="auto"/>
          <w:sz w:val="24"/>
          <w:szCs w:val="24"/>
        </w:rPr>
        <w:fldChar w:fldCharType="separate"/>
      </w:r>
      <w:r>
        <w:rPr>
          <w:rFonts w:hint="eastAsia" w:cs="宋体"/>
          <w:color w:val="auto"/>
          <w:sz w:val="24"/>
          <w:szCs w:val="24"/>
        </w:rPr>
        <w:t>第一章  招标公告</w:t>
      </w:r>
      <w:r>
        <w:rPr>
          <w:color w:val="auto"/>
          <w:sz w:val="24"/>
          <w:szCs w:val="24"/>
        </w:rPr>
        <w:tab/>
      </w:r>
      <w:r>
        <w:rPr>
          <w:color w:val="auto"/>
          <w:sz w:val="24"/>
          <w:szCs w:val="24"/>
        </w:rPr>
        <w:fldChar w:fldCharType="begin"/>
      </w:r>
      <w:r>
        <w:rPr>
          <w:color w:val="auto"/>
          <w:sz w:val="24"/>
          <w:szCs w:val="24"/>
        </w:rPr>
        <w:instrText xml:space="preserve"> PAGEREF _Toc32118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22"/>
        <w:tabs>
          <w:tab w:val="right" w:leader="dot" w:pos="8300"/>
          <w:tab w:val="clear" w:pos="1418"/>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"_Toc960" </w:instrText>
      </w:r>
      <w:r>
        <w:rPr>
          <w:color w:val="auto"/>
          <w:sz w:val="24"/>
          <w:szCs w:val="24"/>
        </w:rPr>
        <w:fldChar w:fldCharType="separate"/>
      </w:r>
      <w:r>
        <w:rPr>
          <w:rFonts w:hint="eastAsia" w:cs="宋体"/>
          <w:color w:val="auto"/>
          <w:sz w:val="24"/>
          <w:szCs w:val="24"/>
        </w:rPr>
        <w:t>第二章  供应商须知</w:t>
      </w:r>
      <w:r>
        <w:rPr>
          <w:color w:val="auto"/>
          <w:sz w:val="24"/>
          <w:szCs w:val="24"/>
        </w:rPr>
        <w:tab/>
      </w:r>
      <w:r>
        <w:rPr>
          <w:color w:val="auto"/>
          <w:sz w:val="24"/>
          <w:szCs w:val="24"/>
        </w:rPr>
        <w:fldChar w:fldCharType="begin"/>
      </w:r>
      <w:r>
        <w:rPr>
          <w:color w:val="auto"/>
          <w:sz w:val="24"/>
          <w:szCs w:val="24"/>
        </w:rPr>
        <w:instrText xml:space="preserve"> PAGEREF _Toc960 \h </w:instrText>
      </w:r>
      <w:r>
        <w:rPr>
          <w:color w:val="auto"/>
          <w:sz w:val="24"/>
          <w:szCs w:val="24"/>
        </w:rPr>
        <w:fldChar w:fldCharType="separate"/>
      </w:r>
      <w:r>
        <w:rPr>
          <w:color w:val="auto"/>
          <w:sz w:val="24"/>
          <w:szCs w:val="24"/>
        </w:rPr>
        <w:t>5</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"_Toc8627" </w:instrText>
      </w:r>
      <w:r>
        <w:rPr>
          <w:color w:val="auto"/>
          <w:sz w:val="24"/>
          <w:szCs w:val="24"/>
        </w:rPr>
        <w:fldChar w:fldCharType="separate"/>
      </w:r>
      <w:r>
        <w:rPr>
          <w:rFonts w:hint="eastAsia" w:cs="宋体"/>
          <w:color w:val="auto"/>
          <w:sz w:val="24"/>
          <w:szCs w:val="24"/>
        </w:rPr>
        <w:t>供应商须知前附表</w:t>
      </w:r>
      <w:r>
        <w:rPr>
          <w:color w:val="auto"/>
          <w:sz w:val="24"/>
          <w:szCs w:val="24"/>
        </w:rPr>
        <w:tab/>
      </w:r>
      <w:r>
        <w:rPr>
          <w:color w:val="auto"/>
          <w:sz w:val="24"/>
          <w:szCs w:val="24"/>
        </w:rPr>
        <w:fldChar w:fldCharType="begin"/>
      </w:r>
      <w:r>
        <w:rPr>
          <w:color w:val="auto"/>
          <w:sz w:val="24"/>
          <w:szCs w:val="24"/>
        </w:rPr>
        <w:instrText xml:space="preserve"> PAGEREF _Toc8627 \h </w:instrText>
      </w:r>
      <w:r>
        <w:rPr>
          <w:color w:val="auto"/>
          <w:sz w:val="24"/>
          <w:szCs w:val="24"/>
        </w:rPr>
        <w:fldChar w:fldCharType="separate"/>
      </w:r>
      <w:r>
        <w:rPr>
          <w:color w:val="auto"/>
          <w:sz w:val="24"/>
          <w:szCs w:val="24"/>
        </w:rPr>
        <w:t>5</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"_Toc22096" </w:instrText>
      </w:r>
      <w:r>
        <w:rPr>
          <w:color w:val="auto"/>
          <w:sz w:val="24"/>
          <w:szCs w:val="24"/>
        </w:rPr>
        <w:fldChar w:fldCharType="separate"/>
      </w:r>
      <w:r>
        <w:rPr>
          <w:rFonts w:hint="eastAsia" w:cs="宋体"/>
          <w:color w:val="auto"/>
          <w:sz w:val="24"/>
          <w:szCs w:val="24"/>
        </w:rPr>
        <w:t>一.总  则</w:t>
      </w:r>
      <w:r>
        <w:rPr>
          <w:color w:val="auto"/>
          <w:sz w:val="24"/>
          <w:szCs w:val="24"/>
        </w:rPr>
        <w:tab/>
      </w:r>
      <w:r>
        <w:rPr>
          <w:color w:val="auto"/>
          <w:sz w:val="24"/>
          <w:szCs w:val="24"/>
        </w:rPr>
        <w:fldChar w:fldCharType="begin"/>
      </w:r>
      <w:r>
        <w:rPr>
          <w:color w:val="auto"/>
          <w:sz w:val="24"/>
          <w:szCs w:val="24"/>
        </w:rPr>
        <w:instrText xml:space="preserve"> PAGEREF _Toc22096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"_Toc27211" </w:instrText>
      </w:r>
      <w:r>
        <w:rPr>
          <w:color w:val="auto"/>
          <w:sz w:val="24"/>
          <w:szCs w:val="24"/>
        </w:rPr>
        <w:fldChar w:fldCharType="separate"/>
      </w:r>
      <w:r>
        <w:rPr>
          <w:rFonts w:hint="eastAsia" w:cs="宋体"/>
          <w:color w:val="auto"/>
          <w:sz w:val="24"/>
          <w:szCs w:val="24"/>
        </w:rPr>
        <w:t>二.招标文件</w:t>
      </w:r>
      <w:r>
        <w:rPr>
          <w:color w:val="auto"/>
          <w:sz w:val="24"/>
          <w:szCs w:val="24"/>
        </w:rPr>
        <w:tab/>
      </w:r>
      <w:r>
        <w:rPr>
          <w:color w:val="auto"/>
          <w:sz w:val="24"/>
          <w:szCs w:val="24"/>
        </w:rPr>
        <w:fldChar w:fldCharType="begin"/>
      </w:r>
      <w:r>
        <w:rPr>
          <w:color w:val="auto"/>
          <w:sz w:val="24"/>
          <w:szCs w:val="24"/>
        </w:rPr>
        <w:instrText xml:space="preserve"> PAGEREF _Toc27211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"_Toc16731" </w:instrText>
      </w:r>
      <w:r>
        <w:rPr>
          <w:color w:val="auto"/>
          <w:sz w:val="24"/>
          <w:szCs w:val="24"/>
        </w:rPr>
        <w:fldChar w:fldCharType="separate"/>
      </w:r>
      <w:r>
        <w:rPr>
          <w:rFonts w:hint="eastAsia" w:cs="宋体"/>
          <w:color w:val="auto"/>
          <w:sz w:val="24"/>
          <w:szCs w:val="24"/>
        </w:rPr>
        <w:t>三.投标文件的编制</w:t>
      </w:r>
      <w:r>
        <w:rPr>
          <w:color w:val="auto"/>
          <w:sz w:val="24"/>
          <w:szCs w:val="24"/>
        </w:rPr>
        <w:tab/>
      </w:r>
      <w:r>
        <w:rPr>
          <w:color w:val="auto"/>
          <w:sz w:val="24"/>
          <w:szCs w:val="24"/>
        </w:rPr>
        <w:fldChar w:fldCharType="begin"/>
      </w:r>
      <w:r>
        <w:rPr>
          <w:color w:val="auto"/>
          <w:sz w:val="24"/>
          <w:szCs w:val="24"/>
        </w:rPr>
        <w:instrText xml:space="preserve"> PAGEREF _Toc16731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"_Toc18900" </w:instrText>
      </w:r>
      <w:r>
        <w:rPr>
          <w:color w:val="auto"/>
          <w:sz w:val="24"/>
          <w:szCs w:val="24"/>
        </w:rPr>
        <w:fldChar w:fldCharType="separate"/>
      </w:r>
      <w:r>
        <w:rPr>
          <w:rFonts w:hint="eastAsia" w:cs="宋体"/>
          <w:color w:val="auto"/>
          <w:sz w:val="24"/>
          <w:szCs w:val="24"/>
        </w:rPr>
        <w:t>四.投标文件的递交</w:t>
      </w:r>
      <w:r>
        <w:rPr>
          <w:color w:val="auto"/>
          <w:sz w:val="24"/>
          <w:szCs w:val="24"/>
        </w:rPr>
        <w:tab/>
      </w:r>
      <w:r>
        <w:rPr>
          <w:color w:val="auto"/>
          <w:sz w:val="24"/>
          <w:szCs w:val="24"/>
        </w:rPr>
        <w:fldChar w:fldCharType="begin"/>
      </w:r>
      <w:r>
        <w:rPr>
          <w:color w:val="auto"/>
          <w:sz w:val="24"/>
          <w:szCs w:val="24"/>
        </w:rPr>
        <w:instrText xml:space="preserve"> PAGEREF _Toc18900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"_Toc29531" </w:instrText>
      </w:r>
      <w:r>
        <w:rPr>
          <w:color w:val="auto"/>
          <w:sz w:val="24"/>
          <w:szCs w:val="24"/>
        </w:rPr>
        <w:fldChar w:fldCharType="separate"/>
      </w:r>
      <w:r>
        <w:rPr>
          <w:rFonts w:hint="eastAsia" w:cs="宋体"/>
          <w:color w:val="auto"/>
          <w:sz w:val="24"/>
          <w:szCs w:val="24"/>
        </w:rPr>
        <w:t>五.开标与评标</w:t>
      </w:r>
      <w:r>
        <w:rPr>
          <w:color w:val="auto"/>
          <w:sz w:val="24"/>
          <w:szCs w:val="24"/>
        </w:rPr>
        <w:tab/>
      </w:r>
      <w:r>
        <w:rPr>
          <w:color w:val="auto"/>
          <w:sz w:val="24"/>
          <w:szCs w:val="24"/>
        </w:rPr>
        <w:fldChar w:fldCharType="begin"/>
      </w:r>
      <w:r>
        <w:rPr>
          <w:color w:val="auto"/>
          <w:sz w:val="24"/>
          <w:szCs w:val="24"/>
        </w:rPr>
        <w:instrText xml:space="preserve"> PAGEREF _Toc29531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"_Toc10785" </w:instrText>
      </w:r>
      <w:r>
        <w:rPr>
          <w:color w:val="auto"/>
          <w:sz w:val="24"/>
          <w:szCs w:val="24"/>
        </w:rPr>
        <w:fldChar w:fldCharType="separate"/>
      </w:r>
      <w:r>
        <w:rPr>
          <w:rFonts w:hint="eastAsia" w:cs="宋体"/>
          <w:color w:val="auto"/>
          <w:sz w:val="24"/>
          <w:szCs w:val="24"/>
        </w:rPr>
        <w:t>六.定标、中标通知与签约</w:t>
      </w:r>
      <w:r>
        <w:rPr>
          <w:color w:val="auto"/>
          <w:sz w:val="24"/>
          <w:szCs w:val="24"/>
        </w:rPr>
        <w:tab/>
      </w:r>
      <w:r>
        <w:rPr>
          <w:color w:val="auto"/>
          <w:sz w:val="24"/>
          <w:szCs w:val="24"/>
        </w:rPr>
        <w:fldChar w:fldCharType="begin"/>
      </w:r>
      <w:r>
        <w:rPr>
          <w:color w:val="auto"/>
          <w:sz w:val="24"/>
          <w:szCs w:val="24"/>
        </w:rPr>
        <w:instrText xml:space="preserve"> PAGEREF _Toc10785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22"/>
        <w:tabs>
          <w:tab w:val="right" w:leader="dot" w:pos="8300"/>
          <w:tab w:val="clear" w:pos="1418"/>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"_Toc14124" </w:instrText>
      </w:r>
      <w:r>
        <w:rPr>
          <w:color w:val="auto"/>
          <w:sz w:val="24"/>
          <w:szCs w:val="24"/>
        </w:rPr>
        <w:fldChar w:fldCharType="separate"/>
      </w:r>
      <w:r>
        <w:rPr>
          <w:rFonts w:hint="eastAsia" w:cs="宋体"/>
          <w:color w:val="auto"/>
          <w:sz w:val="24"/>
          <w:szCs w:val="24"/>
        </w:rPr>
        <w:t>第三章  合同条款及格式</w:t>
      </w:r>
      <w:r>
        <w:rPr>
          <w:color w:val="auto"/>
          <w:sz w:val="24"/>
          <w:szCs w:val="24"/>
        </w:rPr>
        <w:tab/>
      </w:r>
      <w:r>
        <w:rPr>
          <w:color w:val="auto"/>
          <w:sz w:val="24"/>
          <w:szCs w:val="24"/>
        </w:rPr>
        <w:fldChar w:fldCharType="begin"/>
      </w:r>
      <w:r>
        <w:rPr>
          <w:color w:val="auto"/>
          <w:sz w:val="24"/>
          <w:szCs w:val="24"/>
        </w:rPr>
        <w:instrText xml:space="preserve"> PAGEREF _Toc14124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2"/>
        <w:tabs>
          <w:tab w:val="right" w:leader="dot" w:pos="8300"/>
          <w:tab w:val="clear" w:pos="1418"/>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"_Toc22951" </w:instrText>
      </w:r>
      <w:r>
        <w:rPr>
          <w:color w:val="auto"/>
          <w:sz w:val="24"/>
          <w:szCs w:val="24"/>
        </w:rPr>
        <w:fldChar w:fldCharType="separate"/>
      </w:r>
      <w:r>
        <w:rPr>
          <w:rFonts w:hint="eastAsia" w:cs="宋体"/>
          <w:color w:val="auto"/>
          <w:sz w:val="24"/>
          <w:szCs w:val="24"/>
        </w:rPr>
        <w:t>第四章  采购内容及技术要求</w:t>
      </w:r>
      <w:r>
        <w:rPr>
          <w:color w:val="auto"/>
          <w:sz w:val="24"/>
          <w:szCs w:val="24"/>
        </w:rPr>
        <w:tab/>
      </w:r>
      <w:r>
        <w:rPr>
          <w:color w:val="auto"/>
          <w:sz w:val="24"/>
          <w:szCs w:val="24"/>
        </w:rPr>
        <w:fldChar w:fldCharType="begin"/>
      </w:r>
      <w:r>
        <w:rPr>
          <w:color w:val="auto"/>
          <w:sz w:val="24"/>
          <w:szCs w:val="24"/>
        </w:rPr>
        <w:instrText xml:space="preserve"> PAGEREF _Toc22951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pPr>
        <w:pStyle w:val="22"/>
        <w:tabs>
          <w:tab w:val="right" w:leader="dot" w:pos="8300"/>
          <w:tab w:val="clear" w:pos="1418"/>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"_Toc314" </w:instrText>
      </w:r>
      <w:r>
        <w:rPr>
          <w:color w:val="auto"/>
          <w:sz w:val="24"/>
          <w:szCs w:val="24"/>
        </w:rPr>
        <w:fldChar w:fldCharType="separate"/>
      </w:r>
      <w:r>
        <w:rPr>
          <w:rFonts w:hint="eastAsia" w:cs="宋体"/>
          <w:color w:val="auto"/>
          <w:sz w:val="24"/>
          <w:szCs w:val="24"/>
        </w:rPr>
        <w:t>第五章  评标方法</w:t>
      </w:r>
      <w:r>
        <w:rPr>
          <w:color w:val="auto"/>
          <w:sz w:val="24"/>
          <w:szCs w:val="24"/>
        </w:rPr>
        <w:tab/>
      </w:r>
      <w:r>
        <w:rPr>
          <w:color w:val="auto"/>
          <w:sz w:val="24"/>
          <w:szCs w:val="24"/>
        </w:rPr>
        <w:fldChar w:fldCharType="begin"/>
      </w:r>
      <w:r>
        <w:rPr>
          <w:color w:val="auto"/>
          <w:sz w:val="24"/>
          <w:szCs w:val="24"/>
        </w:rPr>
        <w:instrText xml:space="preserve"> PAGEREF _Toc314 \h </w:instrText>
      </w:r>
      <w:r>
        <w:rPr>
          <w:color w:val="auto"/>
          <w:sz w:val="24"/>
          <w:szCs w:val="24"/>
        </w:rPr>
        <w:fldChar w:fldCharType="separate"/>
      </w:r>
      <w:r>
        <w:rPr>
          <w:color w:val="auto"/>
          <w:sz w:val="24"/>
          <w:szCs w:val="24"/>
        </w:rPr>
        <w:t>37</w:t>
      </w:r>
      <w:r>
        <w:rPr>
          <w:color w:val="auto"/>
          <w:sz w:val="24"/>
          <w:szCs w:val="24"/>
        </w:rPr>
        <w:fldChar w:fldCharType="end"/>
      </w:r>
      <w:r>
        <w:rPr>
          <w:color w:val="auto"/>
          <w:sz w:val="24"/>
          <w:szCs w:val="24"/>
        </w:rPr>
        <w:fldChar w:fldCharType="end"/>
      </w:r>
    </w:p>
    <w:p>
      <w:pPr>
        <w:pStyle w:val="22"/>
        <w:tabs>
          <w:tab w:val="right" w:leader="dot" w:pos="8300"/>
          <w:tab w:val="clear" w:pos="1418"/>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"_Toc19005" </w:instrText>
      </w:r>
      <w:r>
        <w:rPr>
          <w:color w:val="auto"/>
          <w:sz w:val="24"/>
          <w:szCs w:val="24"/>
        </w:rPr>
        <w:fldChar w:fldCharType="separate"/>
      </w:r>
      <w:r>
        <w:rPr>
          <w:rFonts w:hint="eastAsia" w:cs="宋体"/>
          <w:color w:val="auto"/>
          <w:sz w:val="24"/>
          <w:szCs w:val="24"/>
        </w:rPr>
        <w:t>第六章  投标文件构成及格式</w:t>
      </w:r>
      <w:r>
        <w:rPr>
          <w:color w:val="auto"/>
          <w:sz w:val="24"/>
          <w:szCs w:val="24"/>
        </w:rPr>
        <w:tab/>
      </w:r>
      <w:r>
        <w:rPr>
          <w:color w:val="auto"/>
          <w:sz w:val="24"/>
          <w:szCs w:val="24"/>
        </w:rPr>
        <w:fldChar w:fldCharType="begin"/>
      </w:r>
      <w:r>
        <w:rPr>
          <w:color w:val="auto"/>
          <w:sz w:val="24"/>
          <w:szCs w:val="24"/>
        </w:rPr>
        <w:instrText xml:space="preserve"> PAGEREF _Toc19005 \h </w:instrText>
      </w:r>
      <w:r>
        <w:rPr>
          <w:color w:val="auto"/>
          <w:sz w:val="24"/>
          <w:szCs w:val="24"/>
        </w:rPr>
        <w:fldChar w:fldCharType="separate"/>
      </w:r>
      <w:r>
        <w:rPr>
          <w:color w:val="auto"/>
          <w:sz w:val="24"/>
          <w:szCs w:val="24"/>
        </w:rPr>
        <w:t>46</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"_Toc19617" </w:instrText>
      </w:r>
      <w:r>
        <w:rPr>
          <w:color w:val="auto"/>
          <w:sz w:val="24"/>
          <w:szCs w:val="24"/>
        </w:rPr>
        <w:fldChar w:fldCharType="separate"/>
      </w:r>
      <w:r>
        <w:rPr>
          <w:rFonts w:hint="eastAsia" w:cs="宋体"/>
          <w:color w:val="auto"/>
          <w:sz w:val="24"/>
          <w:szCs w:val="24"/>
        </w:rPr>
        <w:t>一、投标函</w:t>
      </w:r>
      <w:r>
        <w:rPr>
          <w:color w:val="auto"/>
          <w:sz w:val="24"/>
          <w:szCs w:val="24"/>
        </w:rPr>
        <w:tab/>
      </w:r>
      <w:r>
        <w:rPr>
          <w:color w:val="auto"/>
          <w:sz w:val="24"/>
          <w:szCs w:val="24"/>
        </w:rPr>
        <w:fldChar w:fldCharType="begin"/>
      </w:r>
      <w:r>
        <w:rPr>
          <w:color w:val="auto"/>
          <w:sz w:val="24"/>
          <w:szCs w:val="24"/>
        </w:rPr>
        <w:instrText xml:space="preserve"> PAGEREF _Toc19617 \h </w:instrText>
      </w:r>
      <w:r>
        <w:rPr>
          <w:color w:val="auto"/>
          <w:sz w:val="24"/>
          <w:szCs w:val="24"/>
        </w:rPr>
        <w:fldChar w:fldCharType="separate"/>
      </w:r>
      <w:r>
        <w:rPr>
          <w:color w:val="auto"/>
          <w:sz w:val="24"/>
          <w:szCs w:val="24"/>
        </w:rPr>
        <w:t>48</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"_Toc32545" </w:instrText>
      </w:r>
      <w:r>
        <w:rPr>
          <w:color w:val="auto"/>
          <w:sz w:val="24"/>
          <w:szCs w:val="24"/>
        </w:rPr>
        <w:fldChar w:fldCharType="separate"/>
      </w:r>
      <w:r>
        <w:rPr>
          <w:rFonts w:hint="eastAsia" w:cs="宋体"/>
          <w:color w:val="auto"/>
          <w:sz w:val="24"/>
          <w:szCs w:val="24"/>
        </w:rPr>
        <w:t>二、投标报价表</w:t>
      </w:r>
      <w:r>
        <w:rPr>
          <w:color w:val="auto"/>
          <w:sz w:val="24"/>
          <w:szCs w:val="24"/>
        </w:rPr>
        <w:tab/>
      </w:r>
      <w:r>
        <w:rPr>
          <w:color w:val="auto"/>
          <w:sz w:val="24"/>
          <w:szCs w:val="24"/>
        </w:rPr>
        <w:fldChar w:fldCharType="begin"/>
      </w:r>
      <w:r>
        <w:rPr>
          <w:color w:val="auto"/>
          <w:sz w:val="24"/>
          <w:szCs w:val="24"/>
        </w:rPr>
        <w:instrText xml:space="preserve"> PAGEREF _Toc32545 \h </w:instrText>
      </w:r>
      <w:r>
        <w:rPr>
          <w:color w:val="auto"/>
          <w:sz w:val="24"/>
          <w:szCs w:val="24"/>
        </w:rPr>
        <w:fldChar w:fldCharType="separate"/>
      </w:r>
      <w:r>
        <w:rPr>
          <w:color w:val="auto"/>
          <w:sz w:val="24"/>
          <w:szCs w:val="24"/>
        </w:rPr>
        <w:t>49</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"_Toc1225" </w:instrText>
      </w:r>
      <w:r>
        <w:rPr>
          <w:color w:val="auto"/>
          <w:sz w:val="24"/>
          <w:szCs w:val="24"/>
        </w:rPr>
        <w:fldChar w:fldCharType="separate"/>
      </w:r>
      <w:r>
        <w:rPr>
          <w:rFonts w:hint="eastAsia" w:cs="宋体"/>
          <w:color w:val="auto"/>
          <w:sz w:val="24"/>
          <w:szCs w:val="24"/>
        </w:rPr>
        <w:t>三、投标方案说明书</w:t>
      </w:r>
      <w:r>
        <w:rPr>
          <w:color w:val="auto"/>
          <w:sz w:val="24"/>
          <w:szCs w:val="24"/>
        </w:rPr>
        <w:tab/>
      </w:r>
      <w:r>
        <w:rPr>
          <w:color w:val="auto"/>
          <w:sz w:val="24"/>
          <w:szCs w:val="24"/>
        </w:rPr>
        <w:fldChar w:fldCharType="begin"/>
      </w:r>
      <w:r>
        <w:rPr>
          <w:color w:val="auto"/>
          <w:sz w:val="24"/>
          <w:szCs w:val="24"/>
        </w:rPr>
        <w:instrText xml:space="preserve"> PAGEREF _Toc1225 \h </w:instrText>
      </w:r>
      <w:r>
        <w:rPr>
          <w:color w:val="auto"/>
          <w:sz w:val="24"/>
          <w:szCs w:val="24"/>
        </w:rPr>
        <w:fldChar w:fldCharType="separate"/>
      </w:r>
      <w:r>
        <w:rPr>
          <w:color w:val="auto"/>
          <w:sz w:val="24"/>
          <w:szCs w:val="24"/>
        </w:rPr>
        <w:t>51</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"_Toc32197" </w:instrText>
      </w:r>
      <w:r>
        <w:rPr>
          <w:color w:val="auto"/>
          <w:sz w:val="24"/>
          <w:szCs w:val="24"/>
        </w:rPr>
        <w:fldChar w:fldCharType="separate"/>
      </w:r>
      <w:r>
        <w:rPr>
          <w:rFonts w:hint="eastAsia" w:cs="宋体"/>
          <w:color w:val="auto"/>
          <w:sz w:val="24"/>
          <w:szCs w:val="24"/>
        </w:rPr>
        <w:t>四、商务响应说明</w:t>
      </w:r>
      <w:r>
        <w:rPr>
          <w:color w:val="auto"/>
          <w:sz w:val="24"/>
          <w:szCs w:val="24"/>
        </w:rPr>
        <w:tab/>
      </w:r>
      <w:r>
        <w:rPr>
          <w:color w:val="auto"/>
          <w:sz w:val="24"/>
          <w:szCs w:val="24"/>
        </w:rPr>
        <w:fldChar w:fldCharType="begin"/>
      </w:r>
      <w:r>
        <w:rPr>
          <w:color w:val="auto"/>
          <w:sz w:val="24"/>
          <w:szCs w:val="24"/>
        </w:rPr>
        <w:instrText xml:space="preserve"> PAGEREF _Toc32197 \h </w:instrText>
      </w:r>
      <w:r>
        <w:rPr>
          <w:color w:val="auto"/>
          <w:sz w:val="24"/>
          <w:szCs w:val="24"/>
        </w:rPr>
        <w:fldChar w:fldCharType="separate"/>
      </w:r>
      <w:r>
        <w:rPr>
          <w:color w:val="auto"/>
          <w:sz w:val="24"/>
          <w:szCs w:val="24"/>
        </w:rPr>
        <w:t>55</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"_Toc4263" </w:instrText>
      </w:r>
      <w:r>
        <w:rPr>
          <w:color w:val="auto"/>
          <w:sz w:val="24"/>
          <w:szCs w:val="24"/>
        </w:rPr>
        <w:fldChar w:fldCharType="separate"/>
      </w:r>
      <w:r>
        <w:rPr>
          <w:rFonts w:hint="eastAsia" w:cs="宋体"/>
          <w:color w:val="auto"/>
          <w:sz w:val="24"/>
          <w:szCs w:val="24"/>
        </w:rPr>
        <w:t>五、供应商承诺书</w:t>
      </w:r>
      <w:r>
        <w:rPr>
          <w:color w:val="auto"/>
          <w:sz w:val="24"/>
          <w:szCs w:val="24"/>
        </w:rPr>
        <w:tab/>
      </w:r>
      <w:r>
        <w:rPr>
          <w:color w:val="auto"/>
          <w:sz w:val="24"/>
          <w:szCs w:val="24"/>
        </w:rPr>
        <w:fldChar w:fldCharType="begin"/>
      </w:r>
      <w:r>
        <w:rPr>
          <w:color w:val="auto"/>
          <w:sz w:val="24"/>
          <w:szCs w:val="24"/>
        </w:rPr>
        <w:instrText xml:space="preserve"> PAGEREF _Toc4263 \h </w:instrText>
      </w:r>
      <w:r>
        <w:rPr>
          <w:color w:val="auto"/>
          <w:sz w:val="24"/>
          <w:szCs w:val="24"/>
        </w:rPr>
        <w:fldChar w:fldCharType="separate"/>
      </w:r>
      <w:r>
        <w:rPr>
          <w:color w:val="auto"/>
          <w:sz w:val="24"/>
          <w:szCs w:val="24"/>
        </w:rPr>
        <w:t>59</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"_Toc19310" </w:instrText>
      </w:r>
      <w:r>
        <w:rPr>
          <w:color w:val="auto"/>
          <w:sz w:val="24"/>
          <w:szCs w:val="24"/>
        </w:rPr>
        <w:fldChar w:fldCharType="separate"/>
      </w:r>
      <w:r>
        <w:rPr>
          <w:rFonts w:hint="eastAsia" w:cs="宋体"/>
          <w:color w:val="auto"/>
          <w:sz w:val="24"/>
          <w:szCs w:val="24"/>
        </w:rPr>
        <w:t>六、资格证明文件</w:t>
      </w:r>
      <w:r>
        <w:rPr>
          <w:color w:val="auto"/>
          <w:sz w:val="24"/>
          <w:szCs w:val="24"/>
        </w:rPr>
        <w:tab/>
      </w:r>
      <w:r>
        <w:rPr>
          <w:color w:val="auto"/>
          <w:sz w:val="24"/>
          <w:szCs w:val="24"/>
        </w:rPr>
        <w:fldChar w:fldCharType="begin"/>
      </w:r>
      <w:r>
        <w:rPr>
          <w:color w:val="auto"/>
          <w:sz w:val="24"/>
          <w:szCs w:val="24"/>
        </w:rPr>
        <w:instrText xml:space="preserve"> PAGEREF _Toc19310 \h </w:instrText>
      </w:r>
      <w:r>
        <w:rPr>
          <w:color w:val="auto"/>
          <w:sz w:val="24"/>
          <w:szCs w:val="24"/>
        </w:rPr>
        <w:fldChar w:fldCharType="separate"/>
      </w:r>
      <w:r>
        <w:rPr>
          <w:color w:val="auto"/>
          <w:sz w:val="24"/>
          <w:szCs w:val="24"/>
        </w:rPr>
        <w:t>60</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"_Toc14852" </w:instrText>
      </w:r>
      <w:r>
        <w:rPr>
          <w:color w:val="auto"/>
          <w:sz w:val="24"/>
          <w:szCs w:val="24"/>
        </w:rPr>
        <w:fldChar w:fldCharType="separate"/>
      </w:r>
      <w:r>
        <w:rPr>
          <w:rFonts w:hint="eastAsia" w:cs="宋体"/>
          <w:bCs/>
          <w:color w:val="auto"/>
          <w:sz w:val="24"/>
          <w:szCs w:val="24"/>
        </w:rPr>
        <w:t>七、保证金缴纳凭证</w:t>
      </w:r>
      <w:r>
        <w:rPr>
          <w:color w:val="auto"/>
          <w:sz w:val="24"/>
          <w:szCs w:val="24"/>
        </w:rPr>
        <w:tab/>
      </w:r>
      <w:r>
        <w:rPr>
          <w:color w:val="auto"/>
          <w:sz w:val="24"/>
          <w:szCs w:val="24"/>
        </w:rPr>
        <w:fldChar w:fldCharType="begin"/>
      </w:r>
      <w:r>
        <w:rPr>
          <w:color w:val="auto"/>
          <w:sz w:val="24"/>
          <w:szCs w:val="24"/>
        </w:rPr>
        <w:instrText xml:space="preserve"> PAGEREF _Toc14852 \h </w:instrText>
      </w:r>
      <w:r>
        <w:rPr>
          <w:color w:val="auto"/>
          <w:sz w:val="24"/>
          <w:szCs w:val="24"/>
        </w:rPr>
        <w:fldChar w:fldCharType="separate"/>
      </w:r>
      <w:r>
        <w:rPr>
          <w:color w:val="auto"/>
          <w:sz w:val="24"/>
          <w:szCs w:val="24"/>
        </w:rPr>
        <w:t>65</w:t>
      </w:r>
      <w:r>
        <w:rPr>
          <w:color w:val="auto"/>
          <w:sz w:val="24"/>
          <w:szCs w:val="24"/>
        </w:rPr>
        <w:fldChar w:fldCharType="end"/>
      </w:r>
      <w:r>
        <w:rPr>
          <w:color w:val="auto"/>
          <w:sz w:val="24"/>
          <w:szCs w:val="24"/>
        </w:rPr>
        <w:fldChar w:fldCharType="end"/>
      </w:r>
    </w:p>
    <w:p>
      <w:pPr>
        <w:pStyle w:val="24"/>
        <w:tabs>
          <w:tab w:val="right" w:leader="dot" w:pos="8300"/>
          <w:tab w:val="clear" w:pos="8302"/>
        </w:tabs>
        <w:spacing w:line="360" w:lineRule="auto"/>
        <w:rPr>
          <w:color w:val="auto"/>
          <w:sz w:val="24"/>
          <w:szCs w:val="24"/>
        </w:rPr>
      </w:pPr>
      <w:r>
        <w:rPr>
          <w:color w:val="auto"/>
          <w:sz w:val="24"/>
          <w:szCs w:val="24"/>
        </w:rPr>
        <w:fldChar w:fldCharType="begin"/>
      </w:r>
      <w:r>
        <w:rPr>
          <w:color w:val="auto"/>
          <w:sz w:val="24"/>
          <w:szCs w:val="24"/>
        </w:rPr>
        <w:instrText xml:space="preserve"> HYPERLINK \l "_Toc26098" </w:instrText>
      </w:r>
      <w:r>
        <w:rPr>
          <w:color w:val="auto"/>
          <w:sz w:val="24"/>
          <w:szCs w:val="24"/>
        </w:rPr>
        <w:fldChar w:fldCharType="separate"/>
      </w:r>
      <w:r>
        <w:rPr>
          <w:rFonts w:hint="eastAsia" w:cs="宋体"/>
          <w:color w:val="auto"/>
          <w:sz w:val="24"/>
          <w:szCs w:val="24"/>
        </w:rPr>
        <w:t>八、其他资料</w:t>
      </w:r>
      <w:r>
        <w:rPr>
          <w:color w:val="auto"/>
          <w:sz w:val="24"/>
          <w:szCs w:val="24"/>
        </w:rPr>
        <w:tab/>
      </w:r>
      <w:r>
        <w:rPr>
          <w:color w:val="auto"/>
          <w:sz w:val="24"/>
          <w:szCs w:val="24"/>
        </w:rPr>
        <w:fldChar w:fldCharType="begin"/>
      </w:r>
      <w:r>
        <w:rPr>
          <w:color w:val="auto"/>
          <w:sz w:val="24"/>
          <w:szCs w:val="24"/>
        </w:rPr>
        <w:instrText xml:space="preserve"> PAGEREF _Toc26098 \h </w:instrText>
      </w:r>
      <w:r>
        <w:rPr>
          <w:color w:val="auto"/>
          <w:sz w:val="24"/>
          <w:szCs w:val="24"/>
        </w:rPr>
        <w:fldChar w:fldCharType="separate"/>
      </w:r>
      <w:r>
        <w:rPr>
          <w:color w:val="auto"/>
          <w:sz w:val="24"/>
          <w:szCs w:val="24"/>
        </w:rPr>
        <w:t>67</w:t>
      </w:r>
      <w:r>
        <w:rPr>
          <w:color w:val="auto"/>
          <w:sz w:val="24"/>
          <w:szCs w:val="24"/>
        </w:rPr>
        <w:fldChar w:fldCharType="end"/>
      </w:r>
      <w:r>
        <w:rPr>
          <w:color w:val="auto"/>
          <w:sz w:val="24"/>
          <w:szCs w:val="24"/>
        </w:rPr>
        <w:fldChar w:fldCharType="end"/>
      </w:r>
    </w:p>
    <w:p>
      <w:pPr>
        <w:pStyle w:val="22"/>
        <w:spacing w:line="360" w:lineRule="auto"/>
        <w:rPr>
          <w:rFonts w:cs="宋体"/>
          <w:color w:val="auto"/>
          <w:sz w:val="24"/>
          <w:szCs w:val="24"/>
        </w:rPr>
      </w:pPr>
      <w:r>
        <w:rPr>
          <w:rFonts w:hint="eastAsia" w:cs="宋体"/>
          <w:color w:val="auto"/>
          <w:sz w:val="24"/>
          <w:szCs w:val="24"/>
        </w:rPr>
        <w:fldChar w:fldCharType="end"/>
      </w:r>
    </w:p>
    <w:p>
      <w:pPr>
        <w:tabs>
          <w:tab w:val="left" w:pos="525"/>
        </w:tabs>
        <w:spacing w:line="360" w:lineRule="auto"/>
        <w:jc w:val="center"/>
        <w:rPr>
          <w:rFonts w:cs="宋体"/>
          <w:color w:val="auto"/>
          <w:sz w:val="24"/>
          <w:szCs w:val="24"/>
        </w:rPr>
        <w:sectPr>
          <w:pgSz w:w="11906" w:h="16838"/>
          <w:pgMar w:top="1417" w:right="1803" w:bottom="1417" w:left="1803" w:header="1020" w:footer="992" w:gutter="0"/>
          <w:pgNumType w:start="1"/>
          <w:cols w:space="0" w:num="1"/>
          <w:titlePg/>
          <w:docGrid w:linePitch="333" w:charSpace="0"/>
        </w:sectPr>
      </w:pPr>
    </w:p>
    <w:p>
      <w:pPr>
        <w:pStyle w:val="3"/>
        <w:spacing w:line="360" w:lineRule="auto"/>
        <w:outlineLvl w:val="0"/>
        <w:rPr>
          <w:rFonts w:ascii="宋体" w:hAnsi="宋体" w:cs="宋体"/>
          <w:color w:val="auto"/>
          <w:sz w:val="36"/>
          <w:szCs w:val="36"/>
        </w:rPr>
      </w:pPr>
      <w:bookmarkStart w:id="12" w:name="_Toc31289"/>
      <w:bookmarkStart w:id="13" w:name="_Toc18993"/>
      <w:bookmarkStart w:id="14" w:name="_Toc28504"/>
      <w:bookmarkStart w:id="15" w:name="_Toc32118"/>
      <w:bookmarkStart w:id="16" w:name="_Toc28820"/>
      <w:bookmarkStart w:id="17" w:name="_Toc26849"/>
      <w:bookmarkStart w:id="256" w:name="_GoBack"/>
      <w:bookmarkEnd w:id="256"/>
      <w:r>
        <w:rPr>
          <w:rFonts w:hint="eastAsia" w:ascii="宋体" w:hAnsi="宋体" w:cs="宋体"/>
          <w:color w:val="auto"/>
          <w:sz w:val="36"/>
          <w:szCs w:val="36"/>
        </w:rPr>
        <w:t xml:space="preserve">第一章  </w:t>
      </w:r>
      <w:bookmarkEnd w:id="1"/>
      <w:bookmarkEnd w:id="2"/>
      <w:bookmarkEnd w:id="3"/>
      <w:bookmarkEnd w:id="4"/>
      <w:bookmarkEnd w:id="5"/>
      <w:bookmarkEnd w:id="6"/>
      <w:bookmarkEnd w:id="7"/>
      <w:r>
        <w:rPr>
          <w:rFonts w:hint="eastAsia" w:ascii="宋体" w:hAnsi="宋体" w:cs="宋体"/>
          <w:color w:val="auto"/>
          <w:sz w:val="36"/>
          <w:szCs w:val="36"/>
        </w:rPr>
        <w:t>招标公告</w:t>
      </w:r>
      <w:bookmarkEnd w:id="8"/>
      <w:bookmarkEnd w:id="12"/>
      <w:bookmarkEnd w:id="13"/>
      <w:bookmarkEnd w:id="14"/>
      <w:bookmarkEnd w:id="15"/>
      <w:bookmarkEnd w:id="16"/>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838" w:leftChars="0" w:right="0" w:hanging="838" w:hangingChars="348"/>
        <w:jc w:val="left"/>
        <w:textAlignment w:val="baseline"/>
        <w:outlineLvl w:val="9"/>
        <w:rPr>
          <w:rFonts w:hint="eastAsia" w:ascii="宋体" w:hAnsi="宋体" w:eastAsia="宋体" w:cs="宋体"/>
          <w:b w:val="0"/>
          <w:bCs w:val="0"/>
          <w:sz w:val="24"/>
          <w:szCs w:val="24"/>
        </w:rPr>
      </w:pPr>
      <w:bookmarkStart w:id="18" w:name="_Toc389582035"/>
      <w:bookmarkStart w:id="19" w:name="_Toc2929"/>
      <w:bookmarkStart w:id="20" w:name="_Toc426457692"/>
      <w:bookmarkStart w:id="21" w:name="_Toc23084"/>
      <w:bookmarkStart w:id="22" w:name="_Toc30042"/>
      <w:bookmarkStart w:id="23" w:name="_Toc30304"/>
      <w:r>
        <w:rPr>
          <w:rStyle w:val="33"/>
          <w:rFonts w:hint="eastAsia" w:ascii="宋体" w:hAnsi="宋体" w:eastAsia="宋体" w:cs="宋体"/>
          <w:b/>
          <w:bCs/>
          <w:i w:val="0"/>
          <w:iCs w:val="0"/>
          <w:caps w:val="0"/>
          <w:color w:val="333333"/>
          <w:spacing w:val="0"/>
          <w:sz w:val="24"/>
          <w:szCs w:val="24"/>
          <w:shd w:val="clear" w:fill="FFFFFF"/>
          <w:vertAlign w:val="baseline"/>
        </w:rPr>
        <w:t>项目概况</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合阳县数字农业智慧管理平台建设项目招标项目的潜在投标人应在陕西金字招标有限责任公司合阳分公司（渭南市合阳县企业服务中心3楼302室）获取招标文件，并于2023年04月14日 14时00分（北京时间）前递交投标文件。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一、项目基本情况</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leftChars="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项目编号：JZZB2023-1030</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leftChars="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项目名称：合阳县数字农业智慧管理平台建设项目</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leftChars="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采购方式：公开招标</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leftChars="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预算金额：2,325,500.00元</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leftChars="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合同包1(合阳县数字农业智慧管理平台建设项目):</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合同包预算金额：2,325,500.00元</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4"/>
        <w:gridCol w:w="979"/>
        <w:gridCol w:w="1883"/>
        <w:gridCol w:w="1143"/>
        <w:gridCol w:w="1198"/>
        <w:gridCol w:w="1602"/>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5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5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1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6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（单位）</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9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5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
              </w:rPr>
              <w:t>软件运维服务</w:t>
            </w:r>
          </w:p>
        </w:tc>
        <w:tc>
          <w:tcPr>
            <w:tcW w:w="11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
              </w:rPr>
              <w:t>合阳县数字农业智慧管理平台建设项目</w:t>
            </w:r>
          </w:p>
        </w:tc>
        <w:tc>
          <w:tcPr>
            <w:tcW w:w="6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9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outlineLvl w:val="9"/>
              <w:rPr>
                <w:rFonts w:hint="eastAsia" w:ascii="宋体" w:hAnsi="宋体" w:eastAsia="宋体" w:cs="宋体"/>
                <w:sz w:val="21"/>
                <w:szCs w:val="21"/>
              </w:rPr>
            </w:pPr>
            <w:r>
              <w:rPr>
                <w:rFonts w:hint="eastAsia" w:ascii="宋体" w:hAnsi="宋体" w:eastAsia="宋体" w:cs="宋体"/>
                <w:kern w:val="0"/>
                <w:sz w:val="21"/>
                <w:szCs w:val="21"/>
                <w:vertAlign w:val="baseline"/>
                <w:lang w:val="en-US" w:eastAsia="zh-CN" w:bidi="ar"/>
              </w:rPr>
              <w:t>2,325,500.00</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textAlignment w:val="center"/>
              <w:outlineLvl w:val="9"/>
              <w:rPr>
                <w:rFonts w:hint="eastAsia" w:ascii="宋体" w:hAnsi="宋体" w:eastAsia="宋体" w:cs="宋体"/>
                <w:sz w:val="21"/>
                <w:szCs w:val="21"/>
              </w:rPr>
            </w:pPr>
            <w:r>
              <w:rPr>
                <w:rFonts w:hint="eastAsia" w:ascii="宋体" w:hAnsi="宋体" w:eastAsia="宋体" w:cs="宋体"/>
                <w:kern w:val="0"/>
                <w:sz w:val="21"/>
                <w:szCs w:val="21"/>
                <w:vertAlign w:val="baseline"/>
                <w:lang w:val="en-US" w:eastAsia="zh-CN" w:bidi="ar"/>
              </w:rPr>
              <w:t>-</w:t>
            </w:r>
          </w:p>
        </w:tc>
      </w:tr>
    </w:tbl>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二、申请人的资格要求：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合同包1(合阳县数字农业智慧管理平台建设项目)落实政府采购政策需满足的资格要求如下:</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《财政部国家发展改革委关于印发〈节能产品政府采购实施意见〉的通知》（财库〔2004〕185号）；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（2）《国务院办公厅关于建立政府强制采购节能产品制度的通知》（国办发〔2007〕51号）；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（3）《财政部环保总局关于环境标志产品政府采购实施的意见》（财库〔2006〕90号）；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 </w:t>
      </w:r>
      <w:r>
        <w:rPr>
          <w:rFonts w:hint="eastAsia" w:cs="宋体"/>
          <w:i w:val="0"/>
          <w:iCs w:val="0"/>
          <w:caps w:val="0"/>
          <w:color w:val="333333"/>
          <w:spacing w:val="0"/>
          <w:sz w:val="24"/>
          <w:szCs w:val="24"/>
          <w:shd w:val="clear" w:fill="FFFFFF"/>
          <w:vertAlign w:val="baseline"/>
          <w:lang w:val="en-US" w:eastAsia="zh-CN"/>
        </w:rPr>
        <w:t xml:space="preserve">  </w:t>
      </w:r>
      <w:r>
        <w:rPr>
          <w:rFonts w:hint="eastAsia" w:ascii="宋体" w:hAnsi="宋体" w:eastAsia="宋体" w:cs="宋体"/>
          <w:i w:val="0"/>
          <w:iCs w:val="0"/>
          <w:caps w:val="0"/>
          <w:color w:val="333333"/>
          <w:spacing w:val="0"/>
          <w:sz w:val="24"/>
          <w:szCs w:val="24"/>
          <w:shd w:val="clear" w:fill="FFFFFF"/>
          <w:vertAlign w:val="baseline"/>
        </w:rPr>
        <w:t>（4）《财政部司法部关于政府采购支持监狱企业发展有关问题的通知》（财库〔2014〕68号）；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（5）《财政部、民政部、中国残疾人联合会关于促进残疾人就业政府采购政策的通知》（财库〔2017〕141号）；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（6）陕西省财政厅关于印发《陕西省中小企业政府采购信用融资办法》（陕财办采〔2018〕23号）。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（7）《财政部发展改革委 生态环境部 市场监管总局关于调整优化节能产品、环境标志产品政府采购执行机制的通知》（财库〔2019〕9号）；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（8）《关于运用政府采购政策支持乡村产业振兴的通知》（财库〔2021〕19号）；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（9）《政府采购促进中小企业发展管理办法》（财库〔2020〕46号）；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（10）《财政部国务院扶贫办关于运用政府采购政策支持脱贫攻坚的通知》（财库〔2019〕27号）；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（11）陕西省财政厅《关于进一步加强政府绿色采购有关问题的通知》（陕财办采〔2021〕29号）；</w:t>
      </w:r>
    </w:p>
    <w:p>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（12）其他需要落实的政府采购政策。</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合同包1(合阳县数字农业智慧管理平台建设项目)特定资格要求如下: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（1）法定代表人直接参加投标的，须出具法人身份证明及身份证；法定代表人授权代表参加投标的，须出具法定代表人授权书及授权代表身份证； </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（2）单位负责人为同一人或者存在直接控股、管理关系的不同供应商，不得参加同一合同项下的政府采购活动；</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（3）本项目专门面向中小企业采购。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三、获取招标文件</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时间：2023年03月23日至2023年03月30日，每天上午09:00:00至12:00:00，下午14:00:00至17:00:00（北京时间）</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途径：陕西金字招标有限责任公司合阳分公司（渭南市合阳县企业服务中心3楼302室）</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售价：500元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四、提交投标文件截止时间、开标时间和地点</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时间：2023年04月14日14时00分00秒 （北京时间）</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提交投标文件地点：陕西金字招标有限责任公司合阳分公司（渭南市合阳县企业服务中心3楼302室）</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开标地点：陕西金字招标有限责任公司合阳分公司（渭南市合阳县企业服务中心3楼302室）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五、公告期限</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自本公告发布之日起5个工作日。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六、其他补充事宜</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（1）获取招标文件时，请携带单位介绍信、本人身份证原件及复印件（复印件须加盖单位原色鲜章、节假日除外）。</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（2）请投标人按照《陕西省财政厅关于政府采购供应商注册登记有关事项的通知》中的要求，通过陕西省政府采购网（http://www.ccgp-shaanxi.gov.cn/）注册登记加入陕西省政府采购供应商库。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vertAlign w:val="baseline"/>
        </w:rPr>
        <w:t>七、对本次招标提出询问，请按以下方式联系。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228" w:right="0" w:hanging="835" w:hangingChars="348"/>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名称：合阳县农业农村局</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地址：合阳县凤凰西路社会事务综合服务大楼三楼</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联系方式：13325335646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228" w:right="0" w:hanging="835" w:hangingChars="348"/>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名称：陕西金字招标有限责任公司</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地址：西安市新城区南新街28-8号4楼</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联系方式：029-87976716-602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228" w:right="0" w:hanging="835" w:hangingChars="348"/>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项目联系人：卢荣丹</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电话：029-87976716-602</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陕西金字招标有限责任公司</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                                           </w:t>
      </w:r>
      <w:r>
        <w:rPr>
          <w:rFonts w:hint="eastAsia" w:ascii="宋体" w:hAnsi="宋体" w:eastAsia="宋体" w:cs="宋体"/>
          <w:i w:val="0"/>
          <w:iCs w:val="0"/>
          <w:caps w:val="0"/>
          <w:color w:val="333333"/>
          <w:spacing w:val="0"/>
          <w:sz w:val="24"/>
          <w:szCs w:val="24"/>
          <w:shd w:val="clear" w:fill="FFFFFF"/>
          <w:vertAlign w:val="baseline"/>
        </w:rPr>
        <w:t>2023年03月23日</w:t>
      </w:r>
    </w:p>
    <w:p>
      <w:pPr>
        <w:spacing w:line="360" w:lineRule="auto"/>
        <w:rPr>
          <w:rStyle w:val="35"/>
          <w:rFonts w:ascii="宋体" w:hAnsi="宋体" w:cs="宋体"/>
          <w:color w:val="auto"/>
          <w:sz w:val="24"/>
          <w:szCs w:val="24"/>
        </w:rPr>
      </w:pPr>
      <w:r>
        <w:rPr>
          <w:rStyle w:val="35"/>
          <w:rFonts w:hint="eastAsia" w:ascii="宋体" w:hAnsi="宋体" w:cs="宋体"/>
          <w:color w:val="auto"/>
          <w:sz w:val="24"/>
          <w:szCs w:val="24"/>
        </w:rPr>
        <w:br w:type="page"/>
      </w:r>
    </w:p>
    <w:p>
      <w:pPr>
        <w:pStyle w:val="3"/>
        <w:spacing w:line="360" w:lineRule="auto"/>
        <w:rPr>
          <w:rStyle w:val="35"/>
          <w:rFonts w:ascii="宋体" w:hAnsi="宋体" w:cs="宋体"/>
          <w:b/>
          <w:color w:val="auto"/>
          <w:sz w:val="36"/>
          <w:szCs w:val="36"/>
        </w:rPr>
      </w:pPr>
      <w:bookmarkStart w:id="24" w:name="_Toc960"/>
      <w:r>
        <w:rPr>
          <w:rStyle w:val="35"/>
          <w:rFonts w:hint="eastAsia" w:ascii="宋体" w:hAnsi="宋体" w:cs="宋体"/>
          <w:b/>
          <w:color w:val="auto"/>
          <w:sz w:val="36"/>
          <w:szCs w:val="36"/>
        </w:rPr>
        <w:t xml:space="preserve">第二章  </w:t>
      </w:r>
      <w:bookmarkEnd w:id="18"/>
      <w:bookmarkEnd w:id="19"/>
      <w:r>
        <w:rPr>
          <w:rStyle w:val="35"/>
          <w:rFonts w:hint="eastAsia" w:ascii="宋体" w:hAnsi="宋体" w:cs="宋体"/>
          <w:b/>
          <w:color w:val="auto"/>
          <w:sz w:val="36"/>
          <w:szCs w:val="36"/>
        </w:rPr>
        <w:t>供应商须知</w:t>
      </w:r>
      <w:bookmarkEnd w:id="20"/>
      <w:bookmarkEnd w:id="21"/>
      <w:bookmarkEnd w:id="24"/>
    </w:p>
    <w:bookmarkEnd w:id="22"/>
    <w:bookmarkEnd w:id="23"/>
    <w:p>
      <w:pPr>
        <w:pStyle w:val="4"/>
        <w:spacing w:before="120" w:after="120" w:line="360" w:lineRule="auto"/>
        <w:rPr>
          <w:rFonts w:ascii="宋体" w:hAnsi="宋体" w:cs="宋体"/>
          <w:color w:val="auto"/>
          <w:sz w:val="24"/>
          <w:szCs w:val="24"/>
        </w:rPr>
      </w:pPr>
      <w:bookmarkStart w:id="25" w:name="_Toc11975"/>
      <w:bookmarkStart w:id="26" w:name="_Toc8627"/>
      <w:bookmarkStart w:id="27" w:name="_Toc24746"/>
      <w:bookmarkStart w:id="28" w:name="_Toc30222"/>
      <w:bookmarkStart w:id="29" w:name="_Toc426457693"/>
      <w:bookmarkStart w:id="30" w:name="_Toc23108"/>
      <w:bookmarkStart w:id="31" w:name="_Toc13232"/>
      <w:bookmarkStart w:id="32" w:name="_Toc30083"/>
      <w:r>
        <w:rPr>
          <w:rFonts w:hint="eastAsia" w:ascii="宋体" w:hAnsi="宋体" w:cs="宋体"/>
          <w:color w:val="auto"/>
          <w:sz w:val="24"/>
          <w:szCs w:val="24"/>
        </w:rPr>
        <w:t>供应商须知前附表</w:t>
      </w:r>
      <w:bookmarkEnd w:id="25"/>
      <w:bookmarkEnd w:id="26"/>
      <w:bookmarkEnd w:id="27"/>
      <w:bookmarkEnd w:id="28"/>
      <w:bookmarkEnd w:id="29"/>
      <w:bookmarkEnd w:id="30"/>
      <w:bookmarkEnd w:id="31"/>
      <w:bookmarkEnd w:id="32"/>
    </w:p>
    <w:tbl>
      <w:tblPr>
        <w:tblStyle w:val="3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48"/>
        <w:gridCol w:w="72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blHeader/>
          <w:jc w:val="center"/>
        </w:trPr>
        <w:tc>
          <w:tcPr>
            <w:tcW w:w="687" w:type="pct"/>
            <w:vAlign w:val="center"/>
          </w:tcPr>
          <w:p>
            <w:pPr>
              <w:spacing w:line="360" w:lineRule="auto"/>
              <w:jc w:val="center"/>
              <w:rPr>
                <w:rFonts w:cs="宋体"/>
                <w:b/>
                <w:bCs/>
                <w:color w:val="auto"/>
                <w:sz w:val="24"/>
                <w:szCs w:val="24"/>
              </w:rPr>
            </w:pPr>
            <w:r>
              <w:rPr>
                <w:rFonts w:hint="eastAsia" w:cs="宋体"/>
                <w:b/>
                <w:bCs/>
                <w:color w:val="auto"/>
                <w:sz w:val="24"/>
                <w:szCs w:val="24"/>
              </w:rPr>
              <w:t>序号</w:t>
            </w:r>
          </w:p>
        </w:tc>
        <w:tc>
          <w:tcPr>
            <w:tcW w:w="4312" w:type="pct"/>
            <w:vAlign w:val="center"/>
          </w:tcPr>
          <w:p>
            <w:pPr>
              <w:spacing w:line="360" w:lineRule="auto"/>
              <w:jc w:val="center"/>
              <w:rPr>
                <w:rFonts w:cs="宋体"/>
                <w:b/>
                <w:bCs/>
                <w:color w:val="auto"/>
                <w:sz w:val="24"/>
                <w:szCs w:val="24"/>
              </w:rPr>
            </w:pPr>
            <w:r>
              <w:rPr>
                <w:rFonts w:hint="eastAsia" w:cs="宋体"/>
                <w:b/>
                <w:bCs/>
                <w:color w:val="auto"/>
                <w:sz w:val="24"/>
                <w:szCs w:val="24"/>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cs="宋体"/>
                <w:color w:val="auto"/>
                <w:sz w:val="24"/>
                <w:szCs w:val="24"/>
              </w:rPr>
            </w:pPr>
            <w:r>
              <w:rPr>
                <w:rFonts w:hint="eastAsia" w:cs="宋体"/>
                <w:color w:val="auto"/>
                <w:sz w:val="24"/>
                <w:szCs w:val="24"/>
              </w:rPr>
              <w:t>1</w:t>
            </w:r>
          </w:p>
        </w:tc>
        <w:tc>
          <w:tcPr>
            <w:tcW w:w="4312" w:type="pct"/>
          </w:tcPr>
          <w:p>
            <w:pPr>
              <w:spacing w:line="360" w:lineRule="auto"/>
              <w:rPr>
                <w:rFonts w:cs="宋体"/>
                <w:color w:val="auto"/>
                <w:sz w:val="24"/>
                <w:szCs w:val="24"/>
              </w:rPr>
            </w:pPr>
            <w:r>
              <w:rPr>
                <w:rFonts w:hint="eastAsia" w:cs="宋体"/>
                <w:color w:val="auto"/>
                <w:sz w:val="24"/>
                <w:szCs w:val="24"/>
              </w:rPr>
              <w:t>名称：合阳县农业农村局</w:t>
            </w:r>
            <w:r>
              <w:rPr>
                <w:rFonts w:hint="eastAsia" w:cs="宋体"/>
                <w:color w:val="auto"/>
                <w:sz w:val="24"/>
                <w:szCs w:val="24"/>
                <w:lang w:val="en-US" w:eastAsia="zh-CN"/>
              </w:rPr>
              <w:t xml:space="preserve"> </w:t>
            </w:r>
            <w:r>
              <w:rPr>
                <w:rFonts w:hint="eastAsia" w:cs="宋体"/>
                <w:color w:val="auto"/>
                <w:sz w:val="24"/>
                <w:szCs w:val="24"/>
              </w:rPr>
              <w:t xml:space="preserve">   </w:t>
            </w:r>
          </w:p>
          <w:p>
            <w:pPr>
              <w:spacing w:line="360" w:lineRule="auto"/>
              <w:rPr>
                <w:rFonts w:cs="宋体"/>
                <w:color w:val="auto"/>
                <w:sz w:val="24"/>
                <w:szCs w:val="24"/>
              </w:rPr>
            </w:pPr>
            <w:r>
              <w:rPr>
                <w:rFonts w:hint="eastAsia" w:cs="宋体"/>
                <w:color w:val="auto"/>
                <w:sz w:val="24"/>
                <w:szCs w:val="24"/>
              </w:rPr>
              <w:t>联系地址：合阳县凤凰西路社会事务综合服务大楼三楼</w:t>
            </w:r>
            <w:r>
              <w:rPr>
                <w:rFonts w:hint="eastAsia" w:cs="宋体"/>
                <w:color w:val="auto"/>
                <w:sz w:val="24"/>
                <w:szCs w:val="24"/>
                <w:lang w:val="en-US" w:eastAsia="zh-CN"/>
              </w:rPr>
              <w:t xml:space="preserve"> </w:t>
            </w:r>
          </w:p>
          <w:p>
            <w:pPr>
              <w:spacing w:line="360" w:lineRule="auto"/>
              <w:rPr>
                <w:rFonts w:cs="宋体"/>
                <w:color w:val="auto"/>
                <w:sz w:val="24"/>
                <w:szCs w:val="24"/>
              </w:rPr>
            </w:pPr>
            <w:r>
              <w:rPr>
                <w:rFonts w:hint="eastAsia" w:cs="宋体"/>
                <w:color w:val="auto"/>
                <w:sz w:val="24"/>
                <w:szCs w:val="24"/>
              </w:rPr>
              <w:t>联系电话：13325335646</w:t>
            </w:r>
            <w:r>
              <w:rPr>
                <w:rFonts w:hint="eastAsia" w:cs="宋体"/>
                <w:color w:val="auto"/>
                <w:sz w:val="24"/>
                <w:szCs w:val="24"/>
                <w:lang w:val="en-US" w:eastAsia="zh-CN"/>
              </w:rPr>
              <w:t xml:space="preserve"> </w:t>
            </w:r>
            <w:r>
              <w:rPr>
                <w:rFonts w:hint="eastAsia" w:cs="宋体"/>
                <w:color w:val="auto"/>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cs="宋体"/>
                <w:color w:val="auto"/>
                <w:sz w:val="24"/>
                <w:szCs w:val="24"/>
              </w:rPr>
            </w:pPr>
            <w:r>
              <w:rPr>
                <w:rFonts w:hint="eastAsia" w:cs="宋体"/>
                <w:color w:val="auto"/>
                <w:sz w:val="24"/>
                <w:szCs w:val="24"/>
              </w:rPr>
              <w:t>2</w:t>
            </w:r>
          </w:p>
        </w:tc>
        <w:tc>
          <w:tcPr>
            <w:tcW w:w="4312" w:type="pct"/>
          </w:tcPr>
          <w:p>
            <w:pPr>
              <w:spacing w:line="360" w:lineRule="auto"/>
              <w:rPr>
                <w:rFonts w:cs="宋体"/>
                <w:color w:val="auto"/>
                <w:sz w:val="24"/>
                <w:szCs w:val="24"/>
              </w:rPr>
            </w:pPr>
            <w:r>
              <w:rPr>
                <w:rFonts w:hint="eastAsia" w:cs="宋体"/>
                <w:color w:val="auto"/>
                <w:sz w:val="24"/>
                <w:szCs w:val="24"/>
              </w:rPr>
              <w:t>名称：陕西金字招标有限责任公司</w:t>
            </w:r>
          </w:p>
          <w:p>
            <w:pPr>
              <w:spacing w:line="360" w:lineRule="auto"/>
              <w:rPr>
                <w:rFonts w:cs="宋体"/>
                <w:color w:val="auto"/>
                <w:sz w:val="24"/>
                <w:szCs w:val="24"/>
              </w:rPr>
            </w:pPr>
            <w:r>
              <w:rPr>
                <w:rFonts w:hint="eastAsia" w:cs="宋体"/>
                <w:color w:val="auto"/>
                <w:sz w:val="24"/>
                <w:szCs w:val="24"/>
              </w:rPr>
              <w:t>地址：西安市新城区南新街28-8号4楼</w:t>
            </w:r>
          </w:p>
          <w:p>
            <w:pPr>
              <w:spacing w:line="360" w:lineRule="auto"/>
              <w:rPr>
                <w:rFonts w:cs="宋体"/>
                <w:color w:val="auto"/>
                <w:sz w:val="24"/>
                <w:szCs w:val="24"/>
              </w:rPr>
            </w:pPr>
            <w:r>
              <w:rPr>
                <w:rFonts w:hint="eastAsia" w:cs="宋体"/>
                <w:color w:val="auto"/>
                <w:sz w:val="24"/>
                <w:szCs w:val="24"/>
              </w:rPr>
              <w:t>联系人：卢荣丹</w:t>
            </w:r>
          </w:p>
          <w:p>
            <w:pPr>
              <w:spacing w:line="360" w:lineRule="auto"/>
              <w:rPr>
                <w:rFonts w:cs="宋体"/>
                <w:color w:val="auto"/>
                <w:sz w:val="24"/>
                <w:szCs w:val="24"/>
              </w:rPr>
            </w:pPr>
            <w:r>
              <w:rPr>
                <w:rFonts w:hint="eastAsia" w:cs="宋体"/>
                <w:color w:val="auto"/>
                <w:sz w:val="24"/>
                <w:szCs w:val="24"/>
              </w:rPr>
              <w:t>联系方式：029-87976716-602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1" w:hRule="atLeast"/>
          <w:jc w:val="center"/>
        </w:trPr>
        <w:tc>
          <w:tcPr>
            <w:tcW w:w="687" w:type="pct"/>
            <w:vAlign w:val="center"/>
          </w:tcPr>
          <w:p>
            <w:pPr>
              <w:spacing w:line="360" w:lineRule="auto"/>
              <w:jc w:val="center"/>
              <w:rPr>
                <w:rFonts w:cs="宋体"/>
                <w:color w:val="auto"/>
                <w:sz w:val="24"/>
                <w:szCs w:val="24"/>
              </w:rPr>
            </w:pPr>
            <w:r>
              <w:rPr>
                <w:rFonts w:hint="eastAsia" w:cs="宋体"/>
                <w:color w:val="auto"/>
                <w:sz w:val="24"/>
                <w:szCs w:val="24"/>
              </w:rPr>
              <w:t>3</w:t>
            </w:r>
          </w:p>
        </w:tc>
        <w:tc>
          <w:tcPr>
            <w:tcW w:w="4312" w:type="pct"/>
            <w:vAlign w:val="center"/>
          </w:tcPr>
          <w:p>
            <w:pPr>
              <w:spacing w:line="360" w:lineRule="auto"/>
              <w:rPr>
                <w:rFonts w:cs="宋体"/>
                <w:color w:val="auto"/>
                <w:sz w:val="24"/>
                <w:szCs w:val="24"/>
              </w:rPr>
            </w:pPr>
            <w:r>
              <w:rPr>
                <w:rFonts w:hint="eastAsia" w:cs="宋体"/>
                <w:color w:val="auto"/>
                <w:sz w:val="24"/>
                <w:szCs w:val="24"/>
              </w:rPr>
              <w:t>不允许实质性偏离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cs="宋体"/>
                <w:color w:val="auto"/>
                <w:sz w:val="24"/>
                <w:szCs w:val="24"/>
              </w:rPr>
            </w:pPr>
            <w:r>
              <w:rPr>
                <w:rFonts w:hint="eastAsia" w:cs="宋体"/>
                <w:color w:val="auto"/>
                <w:sz w:val="24"/>
                <w:szCs w:val="24"/>
              </w:rPr>
              <w:t>4</w:t>
            </w:r>
          </w:p>
        </w:tc>
        <w:tc>
          <w:tcPr>
            <w:tcW w:w="4312" w:type="pct"/>
            <w:vAlign w:val="center"/>
          </w:tcPr>
          <w:p>
            <w:pPr>
              <w:spacing w:line="360" w:lineRule="auto"/>
              <w:rPr>
                <w:rFonts w:cs="宋体"/>
                <w:color w:val="auto"/>
                <w:sz w:val="24"/>
                <w:szCs w:val="24"/>
              </w:rPr>
            </w:pPr>
            <w:r>
              <w:rPr>
                <w:rFonts w:hint="eastAsia" w:cs="宋体"/>
                <w:color w:val="auto"/>
                <w:sz w:val="24"/>
                <w:szCs w:val="24"/>
              </w:rPr>
              <w:t>对于供应商在规定时间内依法提出的询问和质疑，采购代理机构将在三个工作日内答复询问，七个工作日内答复质疑。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687" w:type="pct"/>
            <w:vAlign w:val="center"/>
          </w:tcPr>
          <w:p>
            <w:pPr>
              <w:spacing w:line="360" w:lineRule="auto"/>
              <w:jc w:val="center"/>
              <w:rPr>
                <w:rFonts w:hint="eastAsia" w:eastAsia="宋体" w:cs="宋体"/>
                <w:color w:val="auto"/>
                <w:sz w:val="24"/>
                <w:szCs w:val="24"/>
                <w:lang w:eastAsia="zh-CN"/>
              </w:rPr>
            </w:pPr>
            <w:r>
              <w:rPr>
                <w:rFonts w:hint="eastAsia" w:cs="宋体"/>
                <w:color w:val="auto"/>
                <w:sz w:val="24"/>
                <w:szCs w:val="24"/>
                <w:lang w:val="en-US" w:eastAsia="zh-CN"/>
              </w:rPr>
              <w:t>5</w:t>
            </w:r>
          </w:p>
        </w:tc>
        <w:tc>
          <w:tcPr>
            <w:tcW w:w="4312" w:type="pct"/>
          </w:tcPr>
          <w:p>
            <w:pPr>
              <w:spacing w:line="360" w:lineRule="auto"/>
              <w:rPr>
                <w:rFonts w:cs="宋体"/>
                <w:color w:val="auto"/>
                <w:sz w:val="24"/>
                <w:szCs w:val="24"/>
              </w:rPr>
            </w:pPr>
            <w:r>
              <w:rPr>
                <w:rFonts w:hint="eastAsia" w:cs="宋体"/>
                <w:color w:val="auto"/>
                <w:sz w:val="24"/>
                <w:szCs w:val="24"/>
              </w:rPr>
              <w:t>本次投标的最小单元为“项目全部内容”。任何不完全的投标将按照无效投标处理。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hint="eastAsia" w:eastAsia="宋体" w:cs="宋体"/>
                <w:color w:val="auto"/>
                <w:sz w:val="24"/>
                <w:szCs w:val="24"/>
                <w:lang w:eastAsia="zh-CN"/>
              </w:rPr>
            </w:pPr>
            <w:r>
              <w:rPr>
                <w:rFonts w:hint="eastAsia" w:cs="宋体"/>
                <w:color w:val="auto"/>
                <w:sz w:val="24"/>
                <w:szCs w:val="24"/>
                <w:lang w:val="en-US" w:eastAsia="zh-CN"/>
              </w:rPr>
              <w:t>6</w:t>
            </w:r>
          </w:p>
        </w:tc>
        <w:tc>
          <w:tcPr>
            <w:tcW w:w="4312" w:type="pct"/>
          </w:tcPr>
          <w:p>
            <w:pPr>
              <w:spacing w:line="360" w:lineRule="auto"/>
              <w:rPr>
                <w:rFonts w:cs="宋体"/>
                <w:color w:val="auto"/>
                <w:sz w:val="24"/>
                <w:szCs w:val="24"/>
              </w:rPr>
            </w:pPr>
            <w:r>
              <w:rPr>
                <w:rFonts w:hint="eastAsia" w:cs="宋体"/>
                <w:color w:val="auto"/>
                <w:sz w:val="24"/>
                <w:szCs w:val="24"/>
              </w:rPr>
              <w:t>投标报价是供应商为完成本项目要求的全部服务（含为完成服务提供的货物）内容最终价格的体现。</w:t>
            </w:r>
          </w:p>
          <w:p>
            <w:pPr>
              <w:spacing w:line="360" w:lineRule="auto"/>
              <w:rPr>
                <w:rFonts w:cs="宋体"/>
                <w:color w:val="auto"/>
                <w:sz w:val="24"/>
                <w:szCs w:val="24"/>
              </w:rPr>
            </w:pPr>
            <w:r>
              <w:rPr>
                <w:rFonts w:hint="eastAsia" w:cs="宋体"/>
                <w:color w:val="auto"/>
                <w:sz w:val="24"/>
                <w:szCs w:val="24"/>
              </w:rPr>
              <w:t>供应商所报的价格应考虑到可能发生的所有与完成本项目相关服务及履行合同义务有关的一切费用，任何有选择的报价将不予接受，按无效投标处理。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4" w:hRule="atLeast"/>
          <w:jc w:val="center"/>
        </w:trPr>
        <w:tc>
          <w:tcPr>
            <w:tcW w:w="687" w:type="pct"/>
            <w:vAlign w:val="center"/>
          </w:tcPr>
          <w:p>
            <w:pPr>
              <w:spacing w:line="360" w:lineRule="auto"/>
              <w:jc w:val="center"/>
              <w:rPr>
                <w:rFonts w:hint="eastAsia" w:eastAsia="宋体" w:cs="宋体"/>
                <w:color w:val="auto"/>
                <w:sz w:val="24"/>
                <w:szCs w:val="24"/>
                <w:lang w:eastAsia="zh-CN"/>
              </w:rPr>
            </w:pPr>
            <w:r>
              <w:rPr>
                <w:rFonts w:hint="eastAsia" w:cs="宋体"/>
                <w:color w:val="auto"/>
                <w:sz w:val="24"/>
                <w:szCs w:val="24"/>
                <w:lang w:val="en-US" w:eastAsia="zh-CN"/>
              </w:rPr>
              <w:t>7</w:t>
            </w:r>
          </w:p>
        </w:tc>
        <w:tc>
          <w:tcPr>
            <w:tcW w:w="4312" w:type="pct"/>
          </w:tcPr>
          <w:p>
            <w:pPr>
              <w:spacing w:line="360" w:lineRule="auto"/>
              <w:rPr>
                <w:rFonts w:cs="宋体"/>
                <w:color w:val="auto"/>
                <w:sz w:val="24"/>
                <w:szCs w:val="24"/>
              </w:rPr>
            </w:pPr>
            <w:r>
              <w:rPr>
                <w:rFonts w:hint="eastAsia" w:cs="宋体"/>
                <w:color w:val="auto"/>
                <w:sz w:val="24"/>
                <w:szCs w:val="24"/>
              </w:rPr>
              <w:t>供应商资格要求：</w:t>
            </w:r>
          </w:p>
          <w:p>
            <w:pPr>
              <w:spacing w:line="360" w:lineRule="auto"/>
              <w:ind w:firstLine="480" w:firstLineChars="200"/>
              <w:rPr>
                <w:rFonts w:cs="宋体"/>
                <w:color w:val="auto"/>
                <w:sz w:val="24"/>
                <w:szCs w:val="24"/>
              </w:rPr>
            </w:pPr>
            <w:r>
              <w:rPr>
                <w:rFonts w:hint="eastAsia" w:cs="宋体"/>
                <w:color w:val="auto"/>
                <w:sz w:val="24"/>
                <w:szCs w:val="24"/>
              </w:rPr>
              <w:t>1、符合《中华人民共和国政府采购法》第二十二条规定的供应商条件：</w:t>
            </w:r>
          </w:p>
          <w:p>
            <w:pPr>
              <w:spacing w:line="360" w:lineRule="auto"/>
              <w:ind w:firstLine="480" w:firstLineChars="200"/>
              <w:rPr>
                <w:rFonts w:cs="宋体"/>
                <w:color w:val="auto"/>
                <w:sz w:val="24"/>
                <w:szCs w:val="24"/>
              </w:rPr>
            </w:pPr>
            <w:r>
              <w:rPr>
                <w:rFonts w:hint="eastAsia" w:cs="宋体"/>
                <w:color w:val="auto"/>
                <w:sz w:val="24"/>
                <w:szCs w:val="24"/>
              </w:rPr>
              <w:t>（1）具有独立承担民事责任能力的法人、其他组织或自然人，并出具合法有效的营业执照或事业单位法人证书等国家规定的相关证明，自然人参与的提供其身份证明；</w:t>
            </w:r>
          </w:p>
          <w:p>
            <w:pPr>
              <w:spacing w:line="360" w:lineRule="auto"/>
              <w:ind w:firstLine="480" w:firstLineChars="200"/>
              <w:rPr>
                <w:rFonts w:cs="宋体"/>
                <w:color w:val="auto"/>
                <w:sz w:val="24"/>
                <w:szCs w:val="24"/>
              </w:rPr>
            </w:pPr>
            <w:r>
              <w:rPr>
                <w:rFonts w:hint="eastAsia" w:cs="宋体"/>
                <w:color w:val="auto"/>
                <w:sz w:val="24"/>
                <w:szCs w:val="24"/>
              </w:rPr>
              <w:t>（2）财务状况报告：</w:t>
            </w:r>
            <w:r>
              <w:rPr>
                <w:rFonts w:hint="eastAsia" w:cs="宋体"/>
                <w:color w:val="auto"/>
                <w:sz w:val="24"/>
                <w:szCs w:val="24"/>
                <w:lang w:val="en-US" w:eastAsia="zh-CN"/>
              </w:rPr>
              <w:t>提供 2021 年度或 2022 年度经审计的财务报告（包括“四表一注”，即资产负债表、利润表、现金流量表、所有者权益变动表及其附注，成立时间至提交投标文件截止时间不足一年的可提供成立后任意时段的资产负债表），或其开标前三个月内基本开户银行出具的资信证明</w:t>
            </w:r>
            <w:r>
              <w:rPr>
                <w:rFonts w:hint="eastAsia" w:cs="宋体"/>
                <w:color w:val="auto"/>
                <w:sz w:val="24"/>
                <w:szCs w:val="24"/>
              </w:rPr>
              <w:t xml:space="preserve">； </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 xml:space="preserve">（3）社保缴纳证明：提供递交投标文件截止之日前一年内任意一个月的社会保障资金缴存单据或社保机构开具的社会保险参保缴费情况证明。依法不需要缴纳社会保障资金的供应商应提供相关证明文件； </w:t>
            </w:r>
          </w:p>
          <w:p>
            <w:pPr>
              <w:spacing w:line="360" w:lineRule="auto"/>
              <w:ind w:firstLine="480" w:firstLineChars="200"/>
              <w:rPr>
                <w:rFonts w:cs="宋体"/>
                <w:color w:val="auto"/>
                <w:sz w:val="24"/>
                <w:szCs w:val="24"/>
              </w:rPr>
            </w:pPr>
            <w:r>
              <w:rPr>
                <w:rFonts w:hint="eastAsia" w:cs="宋体"/>
                <w:color w:val="auto"/>
                <w:sz w:val="24"/>
                <w:szCs w:val="24"/>
              </w:rPr>
              <w:t>（4）税收缴纳证明：</w:t>
            </w:r>
            <w:r>
              <w:rPr>
                <w:rFonts w:hint="eastAsia" w:cs="宋体"/>
                <w:color w:val="auto"/>
                <w:sz w:val="24"/>
                <w:szCs w:val="24"/>
                <w:lang w:val="en-US" w:eastAsia="zh-CN"/>
              </w:rPr>
              <w:t>提供递交投标文件截止之日前一年内任意一个月的依法缴纳税收的相关凭据，凭据应有税务机关或代收机关的公章或业务专用章。 依法免税或无须缴纳税收的供应商，应提供相应证明文件</w:t>
            </w:r>
            <w:r>
              <w:rPr>
                <w:rFonts w:hint="eastAsia" w:cs="宋体"/>
                <w:color w:val="auto"/>
                <w:sz w:val="24"/>
                <w:szCs w:val="24"/>
              </w:rPr>
              <w:t xml:space="preserve">； </w:t>
            </w:r>
          </w:p>
          <w:p>
            <w:pPr>
              <w:spacing w:line="360" w:lineRule="auto"/>
              <w:ind w:firstLine="480" w:firstLineChars="200"/>
              <w:rPr>
                <w:rFonts w:cs="宋体"/>
                <w:color w:val="auto"/>
                <w:sz w:val="24"/>
                <w:szCs w:val="24"/>
              </w:rPr>
            </w:pPr>
            <w:r>
              <w:rPr>
                <w:rFonts w:hint="eastAsia" w:cs="宋体"/>
                <w:color w:val="auto"/>
                <w:sz w:val="24"/>
                <w:szCs w:val="24"/>
              </w:rPr>
              <w:t>（5）参加政府采购活动前3年内，在经营活动中没有重大违法记录的书面声明；</w:t>
            </w:r>
          </w:p>
          <w:p>
            <w:pPr>
              <w:spacing w:line="360" w:lineRule="auto"/>
              <w:ind w:firstLine="480" w:firstLineChars="200"/>
              <w:rPr>
                <w:rFonts w:cs="宋体"/>
                <w:color w:val="auto"/>
                <w:sz w:val="24"/>
                <w:szCs w:val="24"/>
              </w:rPr>
            </w:pPr>
            <w:r>
              <w:rPr>
                <w:rFonts w:hint="eastAsia" w:cs="宋体"/>
                <w:color w:val="auto"/>
                <w:sz w:val="24"/>
                <w:szCs w:val="24"/>
              </w:rPr>
              <w:t>（6）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p>
          <w:p>
            <w:pPr>
              <w:spacing w:line="360" w:lineRule="auto"/>
              <w:rPr>
                <w:rFonts w:cs="宋体"/>
                <w:color w:val="auto"/>
                <w:sz w:val="24"/>
                <w:szCs w:val="24"/>
              </w:rPr>
            </w:pPr>
            <w:r>
              <w:rPr>
                <w:rFonts w:hint="eastAsia" w:cs="宋体"/>
                <w:color w:val="auto"/>
                <w:sz w:val="24"/>
                <w:szCs w:val="24"/>
              </w:rPr>
              <w:t>2、法定代表人直接参加投标的，须出具法人身份证明及身份证；法定代表人授权代表参加投标的，须出具法定代表人授权书及授权代表身份。</w:t>
            </w:r>
          </w:p>
          <w:p>
            <w:pPr>
              <w:spacing w:line="360" w:lineRule="auto"/>
              <w:rPr>
                <w:rFonts w:cs="宋体"/>
                <w:color w:val="auto"/>
                <w:sz w:val="24"/>
                <w:szCs w:val="24"/>
              </w:rPr>
            </w:pPr>
            <w:r>
              <w:rPr>
                <w:rFonts w:hint="eastAsia" w:cs="宋体"/>
                <w:color w:val="auto"/>
                <w:sz w:val="24"/>
                <w:szCs w:val="24"/>
              </w:rPr>
              <w:t>3、单位负责人为同一人或者存在直接控股、管理关系的不同供应商，不得参加同一合同项下的政府采购活动。</w:t>
            </w:r>
          </w:p>
          <w:p>
            <w:pPr>
              <w:spacing w:line="360" w:lineRule="auto"/>
              <w:rPr>
                <w:rFonts w:cs="宋体"/>
                <w:color w:val="auto"/>
                <w:sz w:val="24"/>
                <w:szCs w:val="24"/>
              </w:rPr>
            </w:pPr>
            <w:r>
              <w:rPr>
                <w:rFonts w:hint="eastAsia" w:cs="宋体"/>
                <w:color w:val="auto"/>
                <w:sz w:val="24"/>
                <w:szCs w:val="24"/>
              </w:rPr>
              <w:t>4、本项目专门面向中小企业采购。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03" w:hRule="atLeast"/>
          <w:jc w:val="center"/>
        </w:trPr>
        <w:tc>
          <w:tcPr>
            <w:tcW w:w="687" w:type="pct"/>
            <w:vAlign w:val="center"/>
          </w:tcPr>
          <w:p>
            <w:pPr>
              <w:spacing w:line="360" w:lineRule="auto"/>
              <w:jc w:val="center"/>
              <w:rPr>
                <w:rFonts w:hint="eastAsia" w:eastAsia="宋体" w:cs="宋体"/>
                <w:color w:val="auto"/>
                <w:sz w:val="24"/>
                <w:szCs w:val="24"/>
                <w:lang w:eastAsia="zh-CN"/>
              </w:rPr>
            </w:pPr>
            <w:r>
              <w:rPr>
                <w:rFonts w:hint="eastAsia" w:cs="宋体"/>
                <w:color w:val="auto"/>
                <w:sz w:val="24"/>
                <w:szCs w:val="24"/>
                <w:lang w:val="en-US" w:eastAsia="zh-CN"/>
              </w:rPr>
              <w:t>8</w:t>
            </w:r>
          </w:p>
        </w:tc>
        <w:tc>
          <w:tcPr>
            <w:tcW w:w="4312" w:type="pct"/>
          </w:tcPr>
          <w:p>
            <w:pPr>
              <w:spacing w:line="360" w:lineRule="auto"/>
              <w:rPr>
                <w:rFonts w:cs="宋体"/>
                <w:color w:val="auto"/>
                <w:sz w:val="24"/>
                <w:szCs w:val="24"/>
              </w:rPr>
            </w:pPr>
            <w:r>
              <w:rPr>
                <w:rFonts w:hint="eastAsia" w:cs="宋体"/>
                <w:color w:val="auto"/>
                <w:sz w:val="24"/>
                <w:szCs w:val="24"/>
              </w:rPr>
              <w:t>金额：人民币</w:t>
            </w:r>
            <w:r>
              <w:rPr>
                <w:rFonts w:hint="eastAsia" w:cs="宋体"/>
                <w:color w:val="auto"/>
                <w:sz w:val="24"/>
                <w:szCs w:val="24"/>
                <w:lang w:val="en-US" w:eastAsia="zh-CN"/>
              </w:rPr>
              <w:t>叁</w:t>
            </w:r>
            <w:r>
              <w:rPr>
                <w:rFonts w:hint="eastAsia" w:cs="宋体"/>
                <w:color w:val="auto"/>
                <w:sz w:val="24"/>
                <w:szCs w:val="24"/>
              </w:rPr>
              <w:t>万元整（</w:t>
            </w:r>
            <w:r>
              <w:rPr>
                <w:rFonts w:hint="default" w:ascii="Arial" w:hAnsi="Arial" w:cs="Arial"/>
                <w:color w:val="auto"/>
                <w:sz w:val="24"/>
                <w:szCs w:val="24"/>
              </w:rPr>
              <w:t>¥</w:t>
            </w:r>
            <w:r>
              <w:rPr>
                <w:rFonts w:hint="eastAsia" w:cs="宋体"/>
                <w:color w:val="auto"/>
                <w:sz w:val="24"/>
                <w:szCs w:val="24"/>
                <w:lang w:val="en-US" w:eastAsia="zh-CN"/>
              </w:rPr>
              <w:t>3</w:t>
            </w:r>
            <w:r>
              <w:rPr>
                <w:rFonts w:hint="eastAsia" w:cs="宋体"/>
                <w:color w:val="auto"/>
                <w:sz w:val="24"/>
                <w:szCs w:val="24"/>
              </w:rPr>
              <w:t>0000.00）</w:t>
            </w:r>
          </w:p>
          <w:p>
            <w:pPr>
              <w:spacing w:line="360" w:lineRule="auto"/>
              <w:rPr>
                <w:rFonts w:cs="宋体"/>
                <w:color w:val="auto"/>
                <w:sz w:val="24"/>
                <w:szCs w:val="24"/>
              </w:rPr>
            </w:pPr>
            <w:r>
              <w:rPr>
                <w:rFonts w:hint="eastAsia" w:cs="宋体"/>
                <w:color w:val="auto"/>
                <w:sz w:val="24"/>
                <w:szCs w:val="24"/>
              </w:rPr>
              <w:t>1、投标保证金的交纳形式：转账、电汇、担保机构保函。</w:t>
            </w:r>
          </w:p>
          <w:p>
            <w:pPr>
              <w:spacing w:line="360" w:lineRule="auto"/>
              <w:rPr>
                <w:rFonts w:cs="宋体"/>
                <w:color w:val="auto"/>
                <w:sz w:val="24"/>
                <w:szCs w:val="24"/>
              </w:rPr>
            </w:pPr>
            <w:r>
              <w:rPr>
                <w:rFonts w:hint="eastAsia" w:cs="宋体"/>
                <w:color w:val="auto"/>
                <w:sz w:val="24"/>
                <w:szCs w:val="24"/>
              </w:rPr>
              <w:t>2、供应商以银行转账、电汇形式交纳投标保证金的，须从基本账户转出，并且在投标文件递交截止前到达采购代理机构指定账户（转账时请注明项目编号：JZZB2023-1030）。投标保证金到达采购代理机构指定账户后，供应商须与</w:t>
            </w:r>
            <w:r>
              <w:rPr>
                <w:rFonts w:hint="eastAsia" w:cs="宋体"/>
                <w:color w:val="auto"/>
                <w:kern w:val="2"/>
                <w:sz w:val="24"/>
                <w:szCs w:val="24"/>
                <w:shd w:val="clear" w:color="auto" w:fill="FFFFFF"/>
                <w:lang w:bidi="ar"/>
              </w:rPr>
              <w:t>陕西金字招标有限责任公司</w:t>
            </w:r>
            <w:r>
              <w:rPr>
                <w:rFonts w:hint="eastAsia" w:cs="宋体"/>
                <w:color w:val="auto"/>
                <w:sz w:val="24"/>
                <w:szCs w:val="24"/>
              </w:rPr>
              <w:t>联系确认到账后（联系电话029-87976716-602），将投标保证金缴纳凭证复印件附于招标文件规定处。</w:t>
            </w:r>
          </w:p>
          <w:p>
            <w:pPr>
              <w:spacing w:line="360" w:lineRule="auto"/>
              <w:rPr>
                <w:rFonts w:cs="宋体"/>
                <w:color w:val="auto"/>
                <w:sz w:val="24"/>
                <w:szCs w:val="24"/>
              </w:rPr>
            </w:pPr>
            <w:r>
              <w:rPr>
                <w:rFonts w:hint="eastAsia" w:cs="宋体"/>
                <w:color w:val="auto"/>
                <w:sz w:val="24"/>
                <w:szCs w:val="24"/>
              </w:rPr>
              <w:t>3、供应商以保函形式缴纳投标保证金的，须在投标文件递交截止时间前将担保机构保函正本原件提交至采购代理机构备案，并将保函正本复印件附在招标文件规定处。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687" w:type="pct"/>
            <w:vAlign w:val="center"/>
          </w:tcPr>
          <w:p>
            <w:pPr>
              <w:spacing w:line="360" w:lineRule="auto"/>
              <w:jc w:val="center"/>
              <w:rPr>
                <w:rFonts w:hint="eastAsia" w:eastAsia="宋体" w:cs="宋体"/>
                <w:color w:val="auto"/>
                <w:sz w:val="24"/>
                <w:szCs w:val="24"/>
                <w:lang w:eastAsia="zh-CN"/>
              </w:rPr>
            </w:pPr>
            <w:r>
              <w:rPr>
                <w:rFonts w:hint="eastAsia" w:cs="宋体"/>
                <w:color w:val="auto"/>
                <w:sz w:val="24"/>
                <w:szCs w:val="24"/>
                <w:lang w:val="en-US" w:eastAsia="zh-CN"/>
              </w:rPr>
              <w:t>9</w:t>
            </w:r>
          </w:p>
        </w:tc>
        <w:tc>
          <w:tcPr>
            <w:tcW w:w="4312" w:type="pct"/>
          </w:tcPr>
          <w:p>
            <w:pPr>
              <w:spacing w:line="360" w:lineRule="auto"/>
              <w:rPr>
                <w:rFonts w:cs="宋体"/>
                <w:color w:val="auto"/>
                <w:sz w:val="24"/>
                <w:szCs w:val="24"/>
              </w:rPr>
            </w:pPr>
            <w:r>
              <w:rPr>
                <w:rFonts w:hint="eastAsia" w:cs="宋体"/>
                <w:color w:val="auto"/>
                <w:sz w:val="24"/>
                <w:szCs w:val="24"/>
              </w:rPr>
              <w:t>投标文件的递交截止之日起90天。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hint="default" w:eastAsia="宋体" w:cs="宋体"/>
                <w:color w:val="auto"/>
                <w:sz w:val="24"/>
                <w:szCs w:val="24"/>
                <w:lang w:val="en-US" w:eastAsia="zh-CN"/>
              </w:rPr>
            </w:pPr>
            <w:r>
              <w:rPr>
                <w:rFonts w:hint="eastAsia" w:cs="宋体"/>
                <w:color w:val="auto"/>
                <w:sz w:val="24"/>
                <w:szCs w:val="24"/>
                <w:lang w:val="en-US" w:eastAsia="zh-CN"/>
              </w:rPr>
              <w:t>10</w:t>
            </w:r>
          </w:p>
        </w:tc>
        <w:tc>
          <w:tcPr>
            <w:tcW w:w="4312" w:type="pct"/>
            <w:vAlign w:val="center"/>
          </w:tcPr>
          <w:p>
            <w:pPr>
              <w:spacing w:line="360" w:lineRule="auto"/>
              <w:rPr>
                <w:rFonts w:cs="宋体"/>
                <w:color w:val="auto"/>
                <w:sz w:val="24"/>
                <w:szCs w:val="24"/>
              </w:rPr>
            </w:pPr>
            <w:r>
              <w:rPr>
                <w:rFonts w:hint="eastAsia" w:cs="宋体"/>
                <w:color w:val="auto"/>
                <w:sz w:val="24"/>
                <w:szCs w:val="24"/>
              </w:rPr>
              <w:t>正本的份数：壹份；</w:t>
            </w:r>
          </w:p>
          <w:p>
            <w:pPr>
              <w:spacing w:line="360" w:lineRule="auto"/>
              <w:rPr>
                <w:rFonts w:cs="宋体"/>
                <w:color w:val="auto"/>
                <w:sz w:val="24"/>
                <w:szCs w:val="24"/>
              </w:rPr>
            </w:pPr>
            <w:r>
              <w:rPr>
                <w:rFonts w:hint="eastAsia" w:cs="宋体"/>
                <w:color w:val="auto"/>
                <w:sz w:val="24"/>
                <w:szCs w:val="24"/>
              </w:rPr>
              <w:t>副本的份数：叁份；</w:t>
            </w:r>
          </w:p>
          <w:p>
            <w:pPr>
              <w:spacing w:line="360" w:lineRule="auto"/>
              <w:rPr>
                <w:rFonts w:cs="宋体"/>
                <w:color w:val="auto"/>
                <w:sz w:val="24"/>
                <w:szCs w:val="24"/>
              </w:rPr>
            </w:pPr>
            <w:r>
              <w:rPr>
                <w:rFonts w:hint="eastAsia" w:cs="宋体"/>
                <w:color w:val="auto"/>
                <w:sz w:val="24"/>
                <w:szCs w:val="24"/>
              </w:rPr>
              <w:t>开标一览表：壹份；</w:t>
            </w:r>
          </w:p>
          <w:p>
            <w:pPr>
              <w:spacing w:line="360" w:lineRule="auto"/>
              <w:rPr>
                <w:rFonts w:cs="宋体"/>
                <w:color w:val="auto"/>
                <w:sz w:val="24"/>
                <w:szCs w:val="24"/>
              </w:rPr>
            </w:pPr>
            <w:r>
              <w:rPr>
                <w:rFonts w:hint="eastAsia" w:cs="宋体"/>
                <w:color w:val="auto"/>
                <w:sz w:val="24"/>
                <w:szCs w:val="24"/>
              </w:rPr>
              <w:t>电子版（U盘）：壹份（需在盘面上标注供应商全称、项目名称、编号）。</w:t>
            </w:r>
          </w:p>
          <w:p>
            <w:pPr>
              <w:spacing w:line="360" w:lineRule="auto"/>
              <w:rPr>
                <w:rFonts w:cs="宋体"/>
                <w:color w:val="auto"/>
                <w:sz w:val="24"/>
                <w:szCs w:val="24"/>
              </w:rPr>
            </w:pPr>
            <w:r>
              <w:rPr>
                <w:rFonts w:hint="eastAsia" w:cs="宋体"/>
                <w:color w:val="auto"/>
                <w:sz w:val="24"/>
                <w:szCs w:val="24"/>
              </w:rPr>
              <w:t>电子版包括：</w:t>
            </w:r>
          </w:p>
          <w:p>
            <w:pPr>
              <w:spacing w:line="360" w:lineRule="auto"/>
              <w:rPr>
                <w:rFonts w:cs="宋体"/>
                <w:color w:val="auto"/>
                <w:sz w:val="24"/>
                <w:szCs w:val="24"/>
              </w:rPr>
            </w:pPr>
            <w:r>
              <w:rPr>
                <w:rFonts w:hint="eastAsia" w:cs="宋体"/>
                <w:color w:val="auto"/>
                <w:sz w:val="24"/>
                <w:szCs w:val="24"/>
              </w:rPr>
              <w:t>（1）word版投标文件；</w:t>
            </w:r>
          </w:p>
          <w:p>
            <w:pPr>
              <w:spacing w:line="360" w:lineRule="auto"/>
              <w:rPr>
                <w:rFonts w:cs="宋体"/>
                <w:color w:val="auto"/>
                <w:sz w:val="24"/>
                <w:szCs w:val="24"/>
              </w:rPr>
            </w:pPr>
            <w:r>
              <w:rPr>
                <w:rFonts w:hint="eastAsia" w:cs="宋体"/>
                <w:color w:val="auto"/>
                <w:sz w:val="24"/>
                <w:szCs w:val="24"/>
              </w:rPr>
              <w:t>（2）PDF版投标文件。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hint="default" w:eastAsia="宋体" w:cs="宋体"/>
                <w:color w:val="auto"/>
                <w:sz w:val="24"/>
                <w:szCs w:val="24"/>
                <w:lang w:val="en-US" w:eastAsia="zh-CN"/>
              </w:rPr>
            </w:pPr>
            <w:r>
              <w:rPr>
                <w:rFonts w:hint="eastAsia" w:cs="宋体"/>
                <w:color w:val="auto"/>
                <w:sz w:val="24"/>
                <w:szCs w:val="24"/>
                <w:lang w:val="en-US" w:eastAsia="zh-CN"/>
              </w:rPr>
              <w:t>11</w:t>
            </w:r>
          </w:p>
        </w:tc>
        <w:tc>
          <w:tcPr>
            <w:tcW w:w="4312" w:type="pct"/>
            <w:vAlign w:val="center"/>
          </w:tcPr>
          <w:p>
            <w:pPr>
              <w:spacing w:line="360" w:lineRule="auto"/>
              <w:rPr>
                <w:rFonts w:cs="宋体"/>
                <w:color w:val="auto"/>
                <w:sz w:val="24"/>
                <w:szCs w:val="24"/>
              </w:rPr>
            </w:pPr>
            <w:r>
              <w:rPr>
                <w:rFonts w:hint="eastAsia" w:cs="宋体"/>
                <w:color w:val="auto"/>
                <w:sz w:val="24"/>
                <w:szCs w:val="24"/>
              </w:rPr>
              <w:t>1、密封包装方式：</w:t>
            </w:r>
          </w:p>
          <w:p>
            <w:pPr>
              <w:spacing w:line="360" w:lineRule="auto"/>
              <w:rPr>
                <w:rFonts w:cs="宋体"/>
                <w:color w:val="auto"/>
                <w:sz w:val="24"/>
                <w:szCs w:val="24"/>
              </w:rPr>
            </w:pPr>
            <w:r>
              <w:rPr>
                <w:rFonts w:hint="eastAsia" w:cs="宋体"/>
                <w:color w:val="auto"/>
                <w:sz w:val="24"/>
                <w:szCs w:val="24"/>
              </w:rPr>
              <w:t>供应商应将投标文件正本、所有的副本、电子版本、开标一览表分别单独密封在封袋中（封袋不得有破损）。封袋应加贴封条，并在封线处加盖供应商公章。</w:t>
            </w:r>
          </w:p>
          <w:p>
            <w:pPr>
              <w:spacing w:line="360" w:lineRule="auto"/>
              <w:rPr>
                <w:rFonts w:cs="宋体"/>
                <w:color w:val="auto"/>
                <w:sz w:val="24"/>
                <w:szCs w:val="24"/>
              </w:rPr>
            </w:pPr>
            <w:r>
              <w:rPr>
                <w:rFonts w:hint="eastAsia" w:cs="宋体"/>
                <w:color w:val="auto"/>
                <w:sz w:val="24"/>
                <w:szCs w:val="24"/>
              </w:rPr>
              <w:t>2、外层包装请按以下要求标记：</w:t>
            </w:r>
          </w:p>
          <w:p>
            <w:pPr>
              <w:spacing w:line="360" w:lineRule="auto"/>
              <w:rPr>
                <w:rFonts w:cs="宋体"/>
                <w:color w:val="auto"/>
                <w:sz w:val="24"/>
                <w:szCs w:val="24"/>
              </w:rPr>
            </w:pPr>
            <w:r>
              <w:rPr>
                <w:rFonts w:hint="eastAsia" w:cs="宋体"/>
                <w:color w:val="auto"/>
                <w:sz w:val="24"/>
                <w:szCs w:val="24"/>
              </w:rPr>
              <w:t>（1) 供应商的全称；</w:t>
            </w:r>
          </w:p>
          <w:p>
            <w:pPr>
              <w:spacing w:line="360" w:lineRule="auto"/>
              <w:rPr>
                <w:rFonts w:cs="宋体"/>
                <w:color w:val="auto"/>
                <w:sz w:val="24"/>
                <w:szCs w:val="24"/>
              </w:rPr>
            </w:pPr>
            <w:r>
              <w:rPr>
                <w:rFonts w:hint="eastAsia" w:cs="宋体"/>
                <w:color w:val="auto"/>
                <w:sz w:val="24"/>
                <w:szCs w:val="24"/>
              </w:rPr>
              <w:t>（2）投标项目名称、项目编号；</w:t>
            </w:r>
          </w:p>
          <w:p>
            <w:pPr>
              <w:spacing w:line="360" w:lineRule="auto"/>
              <w:rPr>
                <w:rFonts w:cs="宋体"/>
                <w:color w:val="auto"/>
                <w:sz w:val="24"/>
                <w:szCs w:val="24"/>
              </w:rPr>
            </w:pPr>
            <w:r>
              <w:rPr>
                <w:rFonts w:hint="eastAsia" w:cs="宋体"/>
                <w:color w:val="auto"/>
                <w:sz w:val="24"/>
                <w:szCs w:val="24"/>
              </w:rPr>
              <w:t>（3）正本、副本、“电子版本”、“开标一览表”及“请勿在＿＿＿＿＿(开标时间)之前启封”。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hint="default" w:eastAsia="宋体" w:cs="宋体"/>
                <w:color w:val="auto"/>
                <w:sz w:val="24"/>
                <w:szCs w:val="24"/>
                <w:lang w:val="en-US" w:eastAsia="zh-CN"/>
              </w:rPr>
            </w:pPr>
            <w:r>
              <w:rPr>
                <w:rFonts w:hint="eastAsia" w:cs="宋体"/>
                <w:color w:val="auto"/>
                <w:sz w:val="24"/>
                <w:szCs w:val="24"/>
                <w:lang w:val="en-US" w:eastAsia="zh-CN"/>
              </w:rPr>
              <w:t>12</w:t>
            </w:r>
          </w:p>
        </w:tc>
        <w:tc>
          <w:tcPr>
            <w:tcW w:w="4312" w:type="pct"/>
          </w:tcPr>
          <w:p>
            <w:pPr>
              <w:spacing w:line="360" w:lineRule="auto"/>
              <w:rPr>
                <w:rFonts w:hint="eastAsia" w:cs="宋体"/>
                <w:color w:val="FF0000"/>
                <w:sz w:val="24"/>
                <w:szCs w:val="24"/>
                <w:lang w:val="en-US" w:eastAsia="zh-CN"/>
              </w:rPr>
            </w:pPr>
            <w:r>
              <w:rPr>
                <w:rFonts w:hint="eastAsia" w:cs="宋体"/>
                <w:color w:val="auto"/>
                <w:sz w:val="24"/>
                <w:szCs w:val="24"/>
              </w:rPr>
              <w:t>投标文件递交截止时间</w:t>
            </w:r>
            <w:bookmarkStart w:id="33" w:name="OLE_LINK12"/>
            <w:r>
              <w:rPr>
                <w:rFonts w:hint="eastAsia" w:cs="宋体"/>
                <w:color w:val="auto"/>
                <w:sz w:val="24"/>
                <w:szCs w:val="24"/>
              </w:rPr>
              <w:t>：</w:t>
            </w:r>
            <w:bookmarkEnd w:id="33"/>
            <w:r>
              <w:rPr>
                <w:rFonts w:hint="eastAsia" w:cs="宋体"/>
                <w:color w:val="auto"/>
                <w:sz w:val="24"/>
                <w:szCs w:val="24"/>
              </w:rPr>
              <w:t>2023年04月14日 14时00分</w:t>
            </w:r>
            <w:r>
              <w:rPr>
                <w:rFonts w:hint="eastAsia" w:cs="宋体"/>
                <w:color w:val="FF0000"/>
                <w:sz w:val="24"/>
                <w:szCs w:val="24"/>
                <w:lang w:val="en-US" w:eastAsia="zh-CN"/>
              </w:rPr>
              <w:t xml:space="preserve"> </w:t>
            </w:r>
          </w:p>
          <w:p>
            <w:pPr>
              <w:spacing w:line="360" w:lineRule="auto"/>
              <w:rPr>
                <w:rFonts w:hint="eastAsia" w:cs="宋体"/>
                <w:color w:val="auto"/>
                <w:sz w:val="24"/>
                <w:szCs w:val="24"/>
              </w:rPr>
            </w:pPr>
            <w:r>
              <w:rPr>
                <w:rFonts w:hint="eastAsia" w:cs="宋体"/>
                <w:color w:val="auto"/>
                <w:sz w:val="24"/>
                <w:szCs w:val="24"/>
              </w:rPr>
              <w:t>投标文件递交地址：陕西金字招标有限责任公司合阳分公司（渭南市合阳县企业服务中心3楼302室）</w:t>
            </w:r>
          </w:p>
          <w:p>
            <w:pPr>
              <w:spacing w:line="360" w:lineRule="auto"/>
              <w:rPr>
                <w:rFonts w:cs="宋体"/>
                <w:color w:val="auto"/>
                <w:sz w:val="24"/>
                <w:szCs w:val="24"/>
              </w:rPr>
            </w:pPr>
            <w:r>
              <w:rPr>
                <w:rFonts w:hint="eastAsia" w:cs="宋体"/>
                <w:color w:val="auto"/>
                <w:sz w:val="24"/>
                <w:szCs w:val="24"/>
              </w:rPr>
              <w:t>投标文件接收人：陕西金字招标有限责任公司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hint="default" w:eastAsia="宋体" w:cs="宋体"/>
                <w:color w:val="auto"/>
                <w:sz w:val="24"/>
                <w:szCs w:val="24"/>
                <w:lang w:val="en-US" w:eastAsia="zh-CN"/>
              </w:rPr>
            </w:pPr>
            <w:r>
              <w:rPr>
                <w:rFonts w:hint="eastAsia" w:cs="宋体"/>
                <w:color w:val="auto"/>
                <w:sz w:val="24"/>
                <w:szCs w:val="24"/>
                <w:lang w:val="en-US" w:eastAsia="zh-CN"/>
              </w:rPr>
              <w:t>13</w:t>
            </w:r>
          </w:p>
        </w:tc>
        <w:tc>
          <w:tcPr>
            <w:tcW w:w="4312" w:type="pct"/>
          </w:tcPr>
          <w:p>
            <w:pPr>
              <w:spacing w:line="360" w:lineRule="auto"/>
              <w:rPr>
                <w:rFonts w:hint="eastAsia" w:eastAsia="宋体" w:cs="宋体"/>
                <w:color w:val="auto"/>
                <w:sz w:val="24"/>
                <w:szCs w:val="24"/>
                <w:lang w:eastAsia="zh-CN"/>
              </w:rPr>
            </w:pPr>
            <w:r>
              <w:rPr>
                <w:rFonts w:hint="eastAsia" w:cs="宋体"/>
                <w:color w:val="auto"/>
                <w:sz w:val="24"/>
                <w:szCs w:val="24"/>
              </w:rPr>
              <w:t>开标时间：2023年04月14日 14时00分</w:t>
            </w:r>
            <w:r>
              <w:rPr>
                <w:rFonts w:hint="eastAsia" w:cs="宋体"/>
                <w:color w:val="auto"/>
                <w:sz w:val="24"/>
                <w:szCs w:val="24"/>
                <w:lang w:val="en-US" w:eastAsia="zh-CN"/>
              </w:rPr>
              <w:t xml:space="preserve">  </w:t>
            </w:r>
          </w:p>
          <w:p>
            <w:pPr>
              <w:spacing w:line="360" w:lineRule="auto"/>
              <w:rPr>
                <w:rFonts w:cs="宋体"/>
                <w:color w:val="auto"/>
                <w:sz w:val="24"/>
                <w:szCs w:val="24"/>
              </w:rPr>
            </w:pPr>
            <w:r>
              <w:rPr>
                <w:rFonts w:hint="eastAsia" w:cs="宋体"/>
                <w:color w:val="auto"/>
                <w:sz w:val="24"/>
                <w:szCs w:val="24"/>
              </w:rPr>
              <w:t>开标地点：陕西金字招标有限责任公司合阳分公司（渭南市合阳县企业服务中心3楼302室）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hint="default" w:eastAsia="宋体" w:cs="宋体"/>
                <w:color w:val="auto"/>
                <w:sz w:val="24"/>
                <w:szCs w:val="24"/>
                <w:lang w:val="en-US" w:eastAsia="zh-CN"/>
              </w:rPr>
            </w:pPr>
            <w:r>
              <w:rPr>
                <w:rFonts w:hint="eastAsia" w:cs="宋体"/>
                <w:color w:val="auto"/>
                <w:sz w:val="24"/>
                <w:szCs w:val="24"/>
                <w:lang w:val="en-US" w:eastAsia="zh-CN"/>
              </w:rPr>
              <w:t>14</w:t>
            </w:r>
          </w:p>
        </w:tc>
        <w:tc>
          <w:tcPr>
            <w:tcW w:w="4312" w:type="pct"/>
            <w:vAlign w:val="center"/>
          </w:tcPr>
          <w:p>
            <w:pPr>
              <w:spacing w:line="360" w:lineRule="auto"/>
              <w:rPr>
                <w:rFonts w:cs="宋体"/>
                <w:color w:val="auto"/>
                <w:sz w:val="24"/>
                <w:szCs w:val="24"/>
              </w:rPr>
            </w:pPr>
            <w:r>
              <w:rPr>
                <w:rFonts w:hint="eastAsia" w:cs="宋体"/>
                <w:color w:val="auto"/>
                <w:sz w:val="24"/>
                <w:szCs w:val="24"/>
              </w:rPr>
              <w:t>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hint="default" w:eastAsia="宋体" w:cs="宋体"/>
                <w:color w:val="auto"/>
                <w:sz w:val="24"/>
                <w:szCs w:val="24"/>
                <w:lang w:val="en-US" w:eastAsia="zh-CN"/>
              </w:rPr>
            </w:pPr>
            <w:r>
              <w:rPr>
                <w:rFonts w:hint="eastAsia" w:cs="宋体"/>
                <w:color w:val="auto"/>
                <w:sz w:val="24"/>
                <w:szCs w:val="24"/>
                <w:lang w:val="en-US" w:eastAsia="zh-CN"/>
              </w:rPr>
              <w:t>15</w:t>
            </w:r>
          </w:p>
        </w:tc>
        <w:tc>
          <w:tcPr>
            <w:tcW w:w="4312" w:type="pct"/>
            <w:vAlign w:val="center"/>
          </w:tcPr>
          <w:p>
            <w:pPr>
              <w:spacing w:line="360" w:lineRule="auto"/>
              <w:rPr>
                <w:rFonts w:cs="宋体"/>
                <w:color w:val="auto"/>
                <w:sz w:val="24"/>
                <w:szCs w:val="24"/>
              </w:rPr>
            </w:pPr>
            <w:r>
              <w:rPr>
                <w:rFonts w:hint="eastAsia" w:cs="宋体"/>
                <w:color w:val="auto"/>
                <w:sz w:val="24"/>
                <w:szCs w:val="24"/>
              </w:rPr>
              <w:t>按</w:t>
            </w:r>
            <w:bookmarkStart w:id="34" w:name="OLE_LINK10"/>
            <w:bookmarkStart w:id="35" w:name="OLE_LINK9"/>
            <w:r>
              <w:rPr>
                <w:rFonts w:hint="eastAsia" w:cs="宋体"/>
                <w:color w:val="auto"/>
                <w:sz w:val="24"/>
                <w:szCs w:val="24"/>
              </w:rPr>
              <w:t>国家计委颁发的《招标代理服务收费管理暂行办法》（计价格[2002]1980号）和国家发展改革委员会办公厅颁发的《关于招标代理服务收费有关问题的通知》（发改办价格[2003]857号）的有关规定执行。</w:t>
            </w:r>
            <w:bookmarkEnd w:id="34"/>
            <w:bookmarkEnd w:id="35"/>
          </w:p>
          <w:p>
            <w:pPr>
              <w:spacing w:line="360" w:lineRule="auto"/>
              <w:rPr>
                <w:rFonts w:cs="宋体"/>
                <w:color w:val="auto"/>
                <w:sz w:val="24"/>
                <w:szCs w:val="24"/>
              </w:rPr>
            </w:pPr>
            <w:r>
              <w:rPr>
                <w:rFonts w:hint="eastAsia" w:cs="宋体"/>
                <w:color w:val="auto"/>
                <w:sz w:val="24"/>
                <w:szCs w:val="24"/>
              </w:rPr>
              <w:t>中标单位在领取中标通知书前，须向采购代理机构一次性支付招标代理服务费。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687" w:type="pct"/>
            <w:vAlign w:val="center"/>
          </w:tcPr>
          <w:p>
            <w:pPr>
              <w:spacing w:line="360" w:lineRule="auto"/>
              <w:jc w:val="center"/>
              <w:rPr>
                <w:rFonts w:hint="default" w:eastAsia="宋体" w:cs="宋体"/>
                <w:color w:val="auto"/>
                <w:sz w:val="24"/>
                <w:szCs w:val="24"/>
                <w:lang w:val="en-US" w:eastAsia="zh-CN"/>
              </w:rPr>
            </w:pPr>
            <w:r>
              <w:rPr>
                <w:rFonts w:hint="eastAsia" w:cs="宋体"/>
                <w:color w:val="auto"/>
                <w:sz w:val="24"/>
                <w:szCs w:val="24"/>
                <w:lang w:val="en-US" w:eastAsia="zh-CN"/>
              </w:rPr>
              <w:t>16</w:t>
            </w:r>
          </w:p>
        </w:tc>
        <w:tc>
          <w:tcPr>
            <w:tcW w:w="4312" w:type="pct"/>
            <w:vAlign w:val="center"/>
          </w:tcPr>
          <w:p>
            <w:pPr>
              <w:spacing w:line="360" w:lineRule="auto"/>
              <w:rPr>
                <w:rFonts w:hint="default" w:eastAsia="宋体" w:cs="宋体"/>
                <w:b/>
                <w:bCs/>
                <w:color w:val="auto"/>
                <w:sz w:val="24"/>
                <w:szCs w:val="24"/>
                <w:lang w:val="en-US" w:eastAsia="zh-CN"/>
              </w:rPr>
            </w:pPr>
            <w:r>
              <w:rPr>
                <w:rFonts w:hint="eastAsia" w:cs="宋体"/>
                <w:b/>
                <w:bCs/>
                <w:color w:val="auto"/>
                <w:sz w:val="24"/>
                <w:szCs w:val="24"/>
                <w:lang w:val="en-US" w:eastAsia="zh-CN"/>
              </w:rPr>
              <w:t>保证金及代理服务费账户信息：</w:t>
            </w:r>
          </w:p>
          <w:p>
            <w:pPr>
              <w:spacing w:line="360" w:lineRule="auto"/>
              <w:rPr>
                <w:rFonts w:cs="宋体"/>
                <w:color w:val="auto"/>
                <w:sz w:val="24"/>
                <w:szCs w:val="24"/>
              </w:rPr>
            </w:pPr>
            <w:r>
              <w:rPr>
                <w:rFonts w:hint="eastAsia" w:cs="宋体"/>
                <w:color w:val="auto"/>
                <w:sz w:val="24"/>
                <w:szCs w:val="24"/>
              </w:rPr>
              <w:t>户名:陕西金字招标有限责任公司</w:t>
            </w:r>
          </w:p>
          <w:p>
            <w:pPr>
              <w:spacing w:line="360" w:lineRule="auto"/>
              <w:rPr>
                <w:rFonts w:cs="宋体"/>
                <w:color w:val="auto"/>
                <w:sz w:val="24"/>
                <w:szCs w:val="24"/>
              </w:rPr>
            </w:pPr>
            <w:r>
              <w:rPr>
                <w:rFonts w:hint="eastAsia" w:cs="宋体"/>
                <w:color w:val="auto"/>
                <w:sz w:val="24"/>
                <w:szCs w:val="24"/>
              </w:rPr>
              <w:t>账号:8888888167310240</w:t>
            </w:r>
          </w:p>
          <w:p>
            <w:pPr>
              <w:spacing w:line="360" w:lineRule="auto"/>
              <w:rPr>
                <w:rFonts w:cs="宋体"/>
                <w:color w:val="auto"/>
                <w:sz w:val="24"/>
                <w:szCs w:val="24"/>
              </w:rPr>
            </w:pPr>
            <w:r>
              <w:rPr>
                <w:rFonts w:hint="eastAsia" w:cs="宋体"/>
                <w:color w:val="auto"/>
                <w:sz w:val="24"/>
                <w:szCs w:val="24"/>
              </w:rPr>
              <w:t>银行：浙江网商银行股份有限公司</w:t>
            </w:r>
          </w:p>
          <w:p>
            <w:pPr>
              <w:spacing w:line="360" w:lineRule="auto"/>
              <w:rPr>
                <w:rFonts w:cs="宋体"/>
                <w:color w:val="auto"/>
                <w:sz w:val="24"/>
                <w:szCs w:val="24"/>
              </w:rPr>
            </w:pPr>
            <w:r>
              <w:rPr>
                <w:rFonts w:hint="eastAsia" w:cs="宋体"/>
                <w:color w:val="auto"/>
                <w:sz w:val="24"/>
                <w:szCs w:val="24"/>
              </w:rPr>
              <w:t>支行：浙江省杭州市浙江网商银行股份有限公司</w:t>
            </w:r>
          </w:p>
          <w:p>
            <w:pPr>
              <w:spacing w:line="360" w:lineRule="auto"/>
              <w:rPr>
                <w:rFonts w:cs="宋体"/>
                <w:color w:val="auto"/>
                <w:sz w:val="24"/>
                <w:szCs w:val="24"/>
              </w:rPr>
            </w:pPr>
            <w:r>
              <w:rPr>
                <w:rFonts w:hint="eastAsia" w:cs="宋体"/>
                <w:color w:val="auto"/>
                <w:sz w:val="24"/>
                <w:szCs w:val="24"/>
              </w:rPr>
              <w:t>联行号:323331000001</w:t>
            </w:r>
          </w:p>
          <w:p>
            <w:pPr>
              <w:spacing w:line="360" w:lineRule="auto"/>
              <w:rPr>
                <w:rFonts w:cs="宋体"/>
                <w:color w:val="auto"/>
                <w:sz w:val="24"/>
                <w:szCs w:val="24"/>
              </w:rPr>
            </w:pPr>
            <w:r>
              <w:rPr>
                <w:rFonts w:hint="eastAsia" w:cs="宋体"/>
                <w:color w:val="auto"/>
                <w:sz w:val="24"/>
                <w:szCs w:val="24"/>
              </w:rPr>
              <w:t>开户行：浙江网商银行</w:t>
            </w:r>
          </w:p>
          <w:p>
            <w:pPr>
              <w:spacing w:line="360" w:lineRule="auto"/>
              <w:rPr>
                <w:rFonts w:cs="宋体"/>
                <w:color w:val="auto"/>
                <w:sz w:val="24"/>
                <w:szCs w:val="24"/>
              </w:rPr>
            </w:pPr>
            <w:r>
              <w:rPr>
                <w:rFonts w:hint="eastAsia" w:cs="宋体"/>
                <w:color w:val="auto"/>
                <w:sz w:val="24"/>
                <w:szCs w:val="24"/>
              </w:rPr>
              <w:t>注：如遇转账问题，请拨打网商银行人工服务热线95188转3号键进行咨询；</w:t>
            </w:r>
          </w:p>
        </w:tc>
      </w:tr>
    </w:tbl>
    <w:p>
      <w:pPr>
        <w:pStyle w:val="4"/>
        <w:spacing w:line="360" w:lineRule="auto"/>
        <w:rPr>
          <w:rFonts w:ascii="宋体" w:hAnsi="宋体" w:cs="宋体"/>
          <w:color w:val="auto"/>
          <w:sz w:val="24"/>
          <w:szCs w:val="24"/>
        </w:rPr>
      </w:pPr>
      <w:r>
        <w:rPr>
          <w:rFonts w:hint="eastAsia" w:ascii="宋体" w:hAnsi="宋体" w:cs="宋体"/>
          <w:color w:val="auto"/>
          <w:sz w:val="24"/>
          <w:szCs w:val="24"/>
        </w:rPr>
        <w:br w:type="page"/>
      </w:r>
      <w:bookmarkEnd w:id="9"/>
      <w:bookmarkEnd w:id="10"/>
      <w:bookmarkEnd w:id="11"/>
      <w:bookmarkStart w:id="36" w:name="_Toc403077639"/>
      <w:bookmarkStart w:id="37" w:name="_Toc20749"/>
      <w:bookmarkStart w:id="38" w:name="_Toc363473972"/>
      <w:bookmarkStart w:id="39" w:name="_Toc7692"/>
      <w:bookmarkStart w:id="40" w:name="_Toc363474017"/>
      <w:bookmarkStart w:id="41" w:name="_Toc22096"/>
      <w:r>
        <w:rPr>
          <w:rFonts w:hint="eastAsia" w:ascii="宋体" w:hAnsi="宋体" w:cs="宋体"/>
          <w:color w:val="auto"/>
          <w:sz w:val="24"/>
          <w:szCs w:val="24"/>
        </w:rPr>
        <w:t>一.总  则</w:t>
      </w:r>
      <w:bookmarkEnd w:id="36"/>
      <w:bookmarkEnd w:id="37"/>
      <w:bookmarkEnd w:id="38"/>
      <w:bookmarkEnd w:id="39"/>
      <w:bookmarkEnd w:id="40"/>
      <w:bookmarkEnd w:id="41"/>
    </w:p>
    <w:p>
      <w:pPr>
        <w:pStyle w:val="5"/>
        <w:spacing w:line="360" w:lineRule="auto"/>
        <w:ind w:firstLine="482"/>
        <w:rPr>
          <w:rFonts w:ascii="宋体" w:hAnsi="宋体" w:cs="宋体"/>
          <w:color w:val="auto"/>
          <w:sz w:val="24"/>
          <w:szCs w:val="24"/>
        </w:rPr>
      </w:pPr>
      <w:bookmarkStart w:id="42" w:name="_Toc18319"/>
      <w:r>
        <w:rPr>
          <w:rFonts w:hint="eastAsia" w:ascii="宋体" w:hAnsi="宋体" w:cs="宋体"/>
          <w:color w:val="auto"/>
          <w:sz w:val="24"/>
          <w:szCs w:val="24"/>
        </w:rPr>
        <w:t>1.资金来源</w:t>
      </w:r>
      <w:bookmarkEnd w:id="42"/>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1.1本次招标采购所签合同使用财政资金支付，资金已落实到位。</w:t>
      </w:r>
    </w:p>
    <w:p>
      <w:pPr>
        <w:pStyle w:val="5"/>
        <w:spacing w:line="360" w:lineRule="auto"/>
        <w:ind w:firstLine="482"/>
        <w:rPr>
          <w:rFonts w:ascii="宋体" w:hAnsi="宋体" w:cs="宋体"/>
          <w:color w:val="auto"/>
          <w:sz w:val="24"/>
          <w:szCs w:val="24"/>
        </w:rPr>
      </w:pPr>
      <w:bookmarkStart w:id="43" w:name="_Toc12570"/>
      <w:r>
        <w:rPr>
          <w:rFonts w:hint="eastAsia" w:ascii="宋体" w:hAnsi="宋体" w:cs="宋体"/>
          <w:color w:val="auto"/>
          <w:sz w:val="24"/>
          <w:szCs w:val="24"/>
        </w:rPr>
        <w:t>2.名词解释</w:t>
      </w:r>
      <w:bookmarkEnd w:id="43"/>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2.1采购人：见供应商须知前附表</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 xml:space="preserve">2.2采购代理机构：陕西金字招标有限责任公司 </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2.3 监督机构：同级人民政府财政部门及有关部门</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2.4供应商：是指响应和符合招标文件规定资格条件且参与投标竞争的法人、其他组织或者自然人。</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2.5服务是指供应商为满足招标文件要求而提供的服务。</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2.6中小企业是指符合《政府采购促进中小企业发展管理办法》的通知--财库[2020]46号规定的对中小企业的划分标准的企业。</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2.8残疾人福利性单位是指符合《三部门联合发布关于促进残疾人就业政府采购政策的通知》财库〔2017〕141号规定的对残疾人福利性单位划分标准的单位。</w:t>
      </w:r>
    </w:p>
    <w:p>
      <w:pPr>
        <w:pStyle w:val="5"/>
        <w:spacing w:line="360" w:lineRule="auto"/>
        <w:ind w:firstLine="482"/>
        <w:rPr>
          <w:rFonts w:ascii="宋体" w:hAnsi="宋体" w:cs="宋体"/>
          <w:color w:val="auto"/>
          <w:sz w:val="24"/>
          <w:szCs w:val="24"/>
        </w:rPr>
      </w:pPr>
      <w:bookmarkStart w:id="44" w:name="_Toc5108"/>
      <w:r>
        <w:rPr>
          <w:rFonts w:hint="eastAsia" w:ascii="宋体" w:hAnsi="宋体" w:cs="宋体"/>
          <w:color w:val="auto"/>
          <w:sz w:val="24"/>
          <w:szCs w:val="24"/>
        </w:rPr>
        <w:t>3.合格的供应商</w:t>
      </w:r>
      <w:bookmarkEnd w:id="44"/>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3.1《政府采购法》第二十二条第一款规定的供应商基本资格条件：</w:t>
      </w:r>
    </w:p>
    <w:p>
      <w:pPr>
        <w:spacing w:line="360" w:lineRule="auto"/>
        <w:ind w:firstLine="480" w:firstLineChars="200"/>
        <w:rPr>
          <w:rFonts w:cs="宋体"/>
          <w:color w:val="auto"/>
          <w:sz w:val="24"/>
          <w:szCs w:val="24"/>
        </w:rPr>
      </w:pPr>
      <w:r>
        <w:rPr>
          <w:rFonts w:hint="eastAsia" w:cs="宋体"/>
          <w:color w:val="auto"/>
          <w:sz w:val="24"/>
          <w:szCs w:val="24"/>
        </w:rPr>
        <w:t>（1）具有独立承担民事责任能力的法人、其他组织或自然人，并出具合法有效的营业执照或事业单位法人证书等国家规定的相关证明，自然人参与的提供其身份证明；</w:t>
      </w:r>
    </w:p>
    <w:p>
      <w:pPr>
        <w:spacing w:line="360" w:lineRule="auto"/>
        <w:ind w:firstLine="480" w:firstLineChars="200"/>
        <w:rPr>
          <w:rFonts w:hint="eastAsia" w:cs="宋体"/>
          <w:color w:val="auto"/>
          <w:sz w:val="24"/>
          <w:szCs w:val="24"/>
        </w:rPr>
      </w:pPr>
      <w:r>
        <w:rPr>
          <w:rFonts w:hint="eastAsia" w:cs="宋体"/>
          <w:color w:val="auto"/>
          <w:sz w:val="24"/>
          <w:szCs w:val="24"/>
        </w:rPr>
        <w:t>（2）财务状况报告：</w:t>
      </w:r>
      <w:r>
        <w:rPr>
          <w:rFonts w:hint="eastAsia" w:cs="宋体"/>
          <w:color w:val="auto"/>
          <w:sz w:val="24"/>
          <w:szCs w:val="24"/>
          <w:lang w:val="en-US" w:eastAsia="zh-CN"/>
        </w:rPr>
        <w:t xml:space="preserve">提供 2021 年度或 2022 年度经审计的财务报告（包 </w:t>
      </w:r>
    </w:p>
    <w:p>
      <w:pPr>
        <w:spacing w:line="360" w:lineRule="auto"/>
        <w:rPr>
          <w:rFonts w:cs="宋体"/>
          <w:color w:val="auto"/>
          <w:sz w:val="24"/>
          <w:szCs w:val="24"/>
        </w:rPr>
      </w:pPr>
      <w:r>
        <w:rPr>
          <w:rFonts w:hint="eastAsia" w:cs="宋体"/>
          <w:color w:val="auto"/>
          <w:sz w:val="24"/>
          <w:szCs w:val="24"/>
          <w:lang w:val="en-US" w:eastAsia="zh-CN"/>
        </w:rPr>
        <w:t>括“四表一注”，即资产负债表、利润表、现金流量表、所有者权益变动表及其附注，成立时间至提交投标文件截止时间不足一年的可提供成立后任意时段的资产负债表），或其开标前三个月内基本开户银行出具的资信证明</w:t>
      </w:r>
      <w:r>
        <w:rPr>
          <w:rFonts w:hint="eastAsia" w:cs="宋体"/>
          <w:color w:val="auto"/>
          <w:sz w:val="24"/>
          <w:szCs w:val="24"/>
        </w:rPr>
        <w:t xml:space="preserve">； </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 xml:space="preserve">（3）社保缴纳证明：提供递交投标文件截止之日前一年内任意一个月的社会保障资金缴存单据或社保机构开具的社会保险参保缴费情况证明。依法不需要缴纳社会保障资金的供应商应提供相关证明文件； </w:t>
      </w:r>
    </w:p>
    <w:p>
      <w:pPr>
        <w:spacing w:line="360" w:lineRule="auto"/>
        <w:ind w:firstLine="480" w:firstLineChars="200"/>
        <w:rPr>
          <w:rFonts w:hint="eastAsia" w:cs="宋体"/>
          <w:color w:val="auto"/>
          <w:sz w:val="24"/>
          <w:szCs w:val="24"/>
        </w:rPr>
      </w:pPr>
      <w:r>
        <w:rPr>
          <w:rFonts w:hint="eastAsia" w:cs="宋体"/>
          <w:color w:val="auto"/>
          <w:sz w:val="24"/>
          <w:szCs w:val="24"/>
        </w:rPr>
        <w:t>（4）税收缴纳证明：</w:t>
      </w:r>
      <w:r>
        <w:rPr>
          <w:rFonts w:hint="eastAsia" w:cs="宋体"/>
          <w:color w:val="auto"/>
          <w:sz w:val="24"/>
          <w:szCs w:val="24"/>
          <w:lang w:val="en-US" w:eastAsia="zh-CN"/>
        </w:rPr>
        <w:t>提供递交投标文件截止之日前一年内任意一个月的依法缴纳税收的相关凭据，凭据应有税务机关或代收机关的公章或业务专用章。 依法免税或无须缴纳税收的供应商，应提供相应证明文件</w:t>
      </w:r>
      <w:r>
        <w:rPr>
          <w:rFonts w:hint="eastAsia" w:cs="宋体"/>
          <w:color w:val="auto"/>
          <w:sz w:val="24"/>
          <w:szCs w:val="24"/>
        </w:rPr>
        <w:t xml:space="preserve">； </w:t>
      </w:r>
    </w:p>
    <w:p>
      <w:pPr>
        <w:spacing w:line="360" w:lineRule="auto"/>
        <w:ind w:firstLine="480" w:firstLineChars="200"/>
        <w:rPr>
          <w:rFonts w:hint="eastAsia" w:cs="宋体"/>
          <w:color w:val="auto"/>
          <w:sz w:val="24"/>
          <w:szCs w:val="24"/>
        </w:rPr>
      </w:pPr>
      <w:r>
        <w:rPr>
          <w:rFonts w:hint="eastAsia" w:cs="宋体"/>
          <w:color w:val="auto"/>
          <w:sz w:val="24"/>
          <w:szCs w:val="24"/>
        </w:rPr>
        <w:t>（5）参加政府采购活动前3年内，在经营活动中没有重大违法记录的书面声明；</w:t>
      </w:r>
    </w:p>
    <w:p>
      <w:pPr>
        <w:spacing w:line="360" w:lineRule="auto"/>
        <w:ind w:firstLine="480" w:firstLineChars="200"/>
        <w:rPr>
          <w:rFonts w:cs="宋体"/>
          <w:color w:val="auto"/>
          <w:kern w:val="2"/>
          <w:sz w:val="24"/>
          <w:szCs w:val="24"/>
        </w:rPr>
      </w:pPr>
      <w:r>
        <w:rPr>
          <w:rFonts w:hint="eastAsia" w:cs="宋体"/>
          <w:color w:val="auto"/>
          <w:sz w:val="24"/>
          <w:szCs w:val="24"/>
        </w:rPr>
        <w:t>（6）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p>
    <w:p>
      <w:pPr>
        <w:spacing w:line="360" w:lineRule="auto"/>
        <w:ind w:firstLine="480" w:firstLineChars="200"/>
        <w:rPr>
          <w:rFonts w:cs="宋体"/>
          <w:color w:val="auto"/>
          <w:kern w:val="2"/>
          <w:sz w:val="24"/>
          <w:szCs w:val="24"/>
        </w:rPr>
      </w:pPr>
      <w:r>
        <w:rPr>
          <w:rFonts w:hint="eastAsia" w:cs="宋体"/>
          <w:color w:val="auto"/>
          <w:kern w:val="2"/>
          <w:sz w:val="24"/>
          <w:szCs w:val="24"/>
        </w:rPr>
        <w:t>3.2、法定代表人直接参加投标的，须出具法人身份证明及身份证；法定代表人授权代表参加投标的，须出具法定代表人授权书及授权代表身份。</w:t>
      </w:r>
    </w:p>
    <w:p>
      <w:pPr>
        <w:spacing w:line="360" w:lineRule="auto"/>
        <w:ind w:firstLine="480" w:firstLineChars="200"/>
        <w:rPr>
          <w:rFonts w:cs="宋体"/>
          <w:color w:val="auto"/>
          <w:kern w:val="2"/>
          <w:sz w:val="24"/>
          <w:szCs w:val="24"/>
        </w:rPr>
      </w:pPr>
      <w:r>
        <w:rPr>
          <w:rFonts w:hint="eastAsia" w:cs="宋体"/>
          <w:color w:val="auto"/>
          <w:kern w:val="2"/>
          <w:sz w:val="24"/>
          <w:szCs w:val="24"/>
        </w:rPr>
        <w:t>3.3、单位负责人为同一人或者存在直接控股、管理关系的不同供应商，不得参加同一合同项下的政府采购活动。</w:t>
      </w:r>
    </w:p>
    <w:p>
      <w:pPr>
        <w:spacing w:line="360" w:lineRule="auto"/>
        <w:ind w:firstLine="480" w:firstLineChars="200"/>
        <w:rPr>
          <w:rFonts w:cs="宋体"/>
          <w:color w:val="auto"/>
          <w:sz w:val="24"/>
          <w:szCs w:val="24"/>
        </w:rPr>
      </w:pPr>
      <w:r>
        <w:rPr>
          <w:rFonts w:hint="eastAsia" w:cs="宋体"/>
          <w:color w:val="auto"/>
          <w:kern w:val="2"/>
          <w:sz w:val="24"/>
          <w:szCs w:val="24"/>
        </w:rPr>
        <w:t>3.4、本项目专门面向中小企业采购。</w:t>
      </w:r>
    </w:p>
    <w:p>
      <w:pPr>
        <w:pStyle w:val="12"/>
        <w:spacing w:line="360" w:lineRule="auto"/>
        <w:ind w:firstLine="480"/>
        <w:rPr>
          <w:rFonts w:hint="eastAsia" w:ascii="宋体" w:hAnsi="宋体" w:cs="宋体"/>
          <w:color w:val="auto"/>
          <w:sz w:val="24"/>
          <w:szCs w:val="24"/>
        </w:rPr>
      </w:pPr>
      <w:r>
        <w:rPr>
          <w:rFonts w:hint="eastAsia" w:ascii="宋体" w:hAnsi="宋体" w:cs="宋体"/>
          <w:color w:val="auto"/>
          <w:sz w:val="24"/>
          <w:szCs w:val="24"/>
        </w:rPr>
        <w:t>3.5供应商必须在陕西金字招标有限责任公司获取招标文件，方可参加投标。</w:t>
      </w:r>
      <w:bookmarkStart w:id="45" w:name="OLE_LINK33"/>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w:t>
      </w:r>
      <w:bookmarkEnd w:id="45"/>
      <w:r>
        <w:rPr>
          <w:rFonts w:hint="eastAsia" w:ascii="宋体" w:hAnsi="宋体" w:cs="宋体"/>
          <w:color w:val="auto"/>
          <w:sz w:val="24"/>
          <w:szCs w:val="24"/>
        </w:rPr>
        <w:t>6联合体投标：不接受</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3.7投标费用自理。不论投标的结果如何，供应商均应自行承担所有与参加投标有关的费用。</w:t>
      </w:r>
    </w:p>
    <w:p>
      <w:pPr>
        <w:pStyle w:val="5"/>
        <w:spacing w:line="360" w:lineRule="auto"/>
        <w:ind w:firstLine="482"/>
        <w:rPr>
          <w:rFonts w:ascii="宋体" w:hAnsi="宋体" w:cs="宋体"/>
          <w:color w:val="auto"/>
          <w:sz w:val="24"/>
          <w:szCs w:val="24"/>
        </w:rPr>
      </w:pPr>
      <w:bookmarkStart w:id="46" w:name="_Toc14567"/>
      <w:r>
        <w:rPr>
          <w:rFonts w:hint="eastAsia" w:ascii="宋体" w:hAnsi="宋体" w:cs="宋体"/>
          <w:color w:val="auto"/>
          <w:sz w:val="24"/>
          <w:szCs w:val="24"/>
        </w:rPr>
        <w:t>4.合格的服务</w:t>
      </w:r>
      <w:bookmarkEnd w:id="46"/>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4.1供应商提供的所有服务，必须符合国家有关标准要求，并满足招标文件规定的服务要求。</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4.2采购人有权拒绝接受任何不合格的服务，由此产生的费用及相关后果均由供应商自行承担。</w:t>
      </w:r>
    </w:p>
    <w:p>
      <w:pPr>
        <w:pStyle w:val="5"/>
        <w:spacing w:line="360" w:lineRule="auto"/>
        <w:ind w:firstLine="482"/>
        <w:rPr>
          <w:rFonts w:ascii="宋体" w:hAnsi="宋体" w:cs="宋体"/>
          <w:color w:val="auto"/>
          <w:sz w:val="24"/>
          <w:szCs w:val="24"/>
        </w:rPr>
      </w:pPr>
      <w:r>
        <w:rPr>
          <w:rFonts w:hint="eastAsia" w:ascii="宋体" w:hAnsi="宋体" w:cs="宋体"/>
          <w:color w:val="auto"/>
          <w:sz w:val="24"/>
          <w:szCs w:val="24"/>
        </w:rPr>
        <w:t>5.供应商信用记录查询及使用</w:t>
      </w:r>
    </w:p>
    <w:p>
      <w:pPr>
        <w:pStyle w:val="12"/>
        <w:spacing w:line="360" w:lineRule="auto"/>
        <w:ind w:firstLine="480"/>
        <w:rPr>
          <w:rFonts w:ascii="宋体" w:hAnsi="宋体" w:cs="宋体"/>
          <w:b/>
          <w:color w:val="auto"/>
          <w:sz w:val="24"/>
          <w:szCs w:val="24"/>
        </w:rPr>
      </w:pPr>
      <w:r>
        <w:rPr>
          <w:rFonts w:hint="eastAsia" w:ascii="宋体" w:hAnsi="宋体" w:cs="宋体"/>
          <w:color w:val="auto"/>
          <w:sz w:val="24"/>
          <w:szCs w:val="24"/>
        </w:rPr>
        <w:t xml:space="preserve">“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采购代理机构将打印查询记录作为证据留存。 </w:t>
      </w:r>
    </w:p>
    <w:p>
      <w:pPr>
        <w:pStyle w:val="5"/>
        <w:spacing w:line="360" w:lineRule="auto"/>
        <w:ind w:firstLine="482"/>
        <w:rPr>
          <w:rFonts w:ascii="宋体" w:hAnsi="宋体" w:cs="宋体"/>
          <w:color w:val="auto"/>
          <w:sz w:val="24"/>
          <w:szCs w:val="24"/>
        </w:rPr>
      </w:pPr>
      <w:bookmarkStart w:id="47" w:name="_Toc7609"/>
      <w:r>
        <w:rPr>
          <w:rFonts w:hint="eastAsia" w:ascii="宋体" w:hAnsi="宋体" w:cs="宋体"/>
          <w:color w:val="auto"/>
          <w:sz w:val="24"/>
          <w:szCs w:val="24"/>
        </w:rPr>
        <w:t>6.投标文件内容的真实性</w:t>
      </w:r>
      <w:bookmarkEnd w:id="47"/>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6.1供应商应保证其投标文件中所提供的所有投标资料、信息是真实的，并且来源于合法的渠道。因投标文件中所提供的投标资料、信息不真实或者其来源不合法而导致的所有法律责任，由供应商自行承担。</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6.2不允许偏离实质性要求和条件，不满足实质性要求和条件的投标为无效投标。</w:t>
      </w:r>
    </w:p>
    <w:p>
      <w:pPr>
        <w:pStyle w:val="4"/>
        <w:spacing w:line="360" w:lineRule="auto"/>
        <w:rPr>
          <w:rFonts w:ascii="宋体" w:hAnsi="宋体" w:cs="宋体"/>
          <w:color w:val="auto"/>
          <w:sz w:val="24"/>
          <w:szCs w:val="24"/>
        </w:rPr>
      </w:pPr>
      <w:bookmarkStart w:id="48" w:name="_Toc25412"/>
      <w:bookmarkStart w:id="49" w:name="_Toc363474018"/>
      <w:bookmarkStart w:id="50" w:name="_Toc32687"/>
      <w:bookmarkStart w:id="51" w:name="_Toc403077640"/>
      <w:bookmarkStart w:id="52" w:name="_Toc27211"/>
      <w:bookmarkStart w:id="53" w:name="_Toc363473973"/>
      <w:r>
        <w:rPr>
          <w:rFonts w:hint="eastAsia" w:ascii="宋体" w:hAnsi="宋体" w:cs="宋体"/>
          <w:color w:val="auto"/>
          <w:sz w:val="24"/>
          <w:szCs w:val="24"/>
        </w:rPr>
        <w:t>二.招标文件</w:t>
      </w:r>
      <w:bookmarkEnd w:id="48"/>
      <w:bookmarkEnd w:id="49"/>
      <w:bookmarkEnd w:id="50"/>
      <w:bookmarkEnd w:id="51"/>
      <w:bookmarkEnd w:id="52"/>
      <w:bookmarkEnd w:id="53"/>
    </w:p>
    <w:p>
      <w:pPr>
        <w:pStyle w:val="5"/>
        <w:spacing w:line="360" w:lineRule="auto"/>
        <w:ind w:firstLine="482"/>
        <w:rPr>
          <w:rFonts w:ascii="宋体" w:hAnsi="宋体" w:cs="宋体"/>
          <w:color w:val="auto"/>
          <w:sz w:val="24"/>
          <w:szCs w:val="24"/>
        </w:rPr>
      </w:pPr>
      <w:bookmarkStart w:id="54" w:name="_Toc17978"/>
      <w:r>
        <w:rPr>
          <w:rFonts w:hint="eastAsia" w:ascii="宋体" w:hAnsi="宋体" w:cs="宋体"/>
          <w:color w:val="auto"/>
          <w:sz w:val="24"/>
          <w:szCs w:val="24"/>
        </w:rPr>
        <w:t>7.招标文件构成</w:t>
      </w:r>
      <w:bookmarkEnd w:id="54"/>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7.1 招标文件要求提供的货物、服务，招标程序和合同条件在招标文件中均有说明。招标文件共六章，内容如下：</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第一章 招标公告</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第二章 供应商须知</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第三章 合同条款及格式</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第四章 采购内容及技术要求</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第五章 评标方法</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 xml:space="preserve">第六章 投标文件构成及格式  </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7.3本招标文件的解释权归陕西金字招标有限责任公司，如发现招标文件内容与现行法律法规不相符的情况，以现行法律法规为准。</w:t>
      </w:r>
    </w:p>
    <w:p>
      <w:pPr>
        <w:pStyle w:val="5"/>
        <w:spacing w:line="360" w:lineRule="auto"/>
        <w:ind w:firstLine="482"/>
        <w:rPr>
          <w:rFonts w:ascii="宋体" w:hAnsi="宋体" w:cs="宋体"/>
          <w:color w:val="auto"/>
          <w:sz w:val="24"/>
          <w:szCs w:val="24"/>
        </w:rPr>
      </w:pPr>
      <w:bookmarkStart w:id="55" w:name="_Toc5185"/>
      <w:r>
        <w:rPr>
          <w:rFonts w:hint="eastAsia" w:ascii="宋体" w:hAnsi="宋体" w:cs="宋体"/>
          <w:color w:val="auto"/>
          <w:sz w:val="24"/>
          <w:szCs w:val="24"/>
        </w:rPr>
        <w:t>8.招标文件的澄清修改及询问</w:t>
      </w:r>
      <w:bookmarkEnd w:id="55"/>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8.1采购人如果对已发出的招标文件进行必要的澄清或者修改，将在原公告发布媒体上发布澄清公告。澄清或者修改的内容为招标文件的组成部分。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8.2澄清或者修改的内容可能影响投标文件编制的，采购代理机构将在投标截止时间至少15日前，以书面形式通知所有获取招标文件的潜在供应商；不足15日的，采购代理机构将顺延提交投标文件的截止时间。</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8.3已经购买招标文件的供应商对招标文件有疑问的，采购代理机构将在3个工作日内采用适当方式予以澄清或以书面形式予以答复。</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8.4供应商在收到上述通知后，应立即向采购代理机构回函确认。</w:t>
      </w:r>
    </w:p>
    <w:p>
      <w:pPr>
        <w:pStyle w:val="4"/>
        <w:spacing w:line="360" w:lineRule="auto"/>
        <w:rPr>
          <w:rFonts w:ascii="宋体" w:hAnsi="宋体" w:cs="宋体"/>
          <w:color w:val="auto"/>
          <w:sz w:val="24"/>
          <w:szCs w:val="24"/>
        </w:rPr>
      </w:pPr>
      <w:bookmarkStart w:id="56" w:name="_Toc363473974"/>
      <w:bookmarkStart w:id="57" w:name="_Toc2995"/>
      <w:bookmarkStart w:id="58" w:name="_Toc20577"/>
      <w:bookmarkStart w:id="59" w:name="_Toc16731"/>
      <w:bookmarkStart w:id="60" w:name="_Toc403077641"/>
      <w:bookmarkStart w:id="61" w:name="_Toc363474019"/>
      <w:r>
        <w:rPr>
          <w:rFonts w:hint="eastAsia" w:ascii="宋体" w:hAnsi="宋体" w:cs="宋体"/>
          <w:color w:val="auto"/>
          <w:sz w:val="24"/>
          <w:szCs w:val="24"/>
        </w:rPr>
        <w:t>三.投标文件的编制</w:t>
      </w:r>
      <w:bookmarkEnd w:id="56"/>
      <w:bookmarkEnd w:id="57"/>
      <w:bookmarkEnd w:id="58"/>
      <w:bookmarkEnd w:id="59"/>
      <w:bookmarkEnd w:id="60"/>
      <w:bookmarkEnd w:id="61"/>
    </w:p>
    <w:p>
      <w:pPr>
        <w:pStyle w:val="5"/>
        <w:spacing w:line="360" w:lineRule="auto"/>
        <w:ind w:firstLine="482"/>
        <w:rPr>
          <w:rFonts w:ascii="宋体" w:hAnsi="宋体" w:cs="宋体"/>
          <w:color w:val="auto"/>
          <w:sz w:val="24"/>
          <w:szCs w:val="24"/>
        </w:rPr>
      </w:pPr>
      <w:bookmarkStart w:id="62" w:name="_Toc18387"/>
      <w:r>
        <w:rPr>
          <w:rFonts w:hint="eastAsia" w:ascii="宋体" w:hAnsi="宋体" w:cs="宋体"/>
          <w:color w:val="auto"/>
          <w:sz w:val="24"/>
          <w:szCs w:val="24"/>
        </w:rPr>
        <w:t>9. 投标语言和投标货币</w:t>
      </w:r>
      <w:bookmarkEnd w:id="62"/>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9.1供应商提交的投标文件以及供应商与采购代理机构就有关投标的所有来往函电均应使用中文。</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9.2投标应以人民币报价。任何包含非人民币报价的投标将按无效投标处理。</w:t>
      </w:r>
    </w:p>
    <w:p>
      <w:pPr>
        <w:pStyle w:val="5"/>
        <w:spacing w:line="360" w:lineRule="auto"/>
        <w:ind w:firstLine="482"/>
        <w:rPr>
          <w:rFonts w:ascii="宋体" w:hAnsi="宋体" w:cs="宋体"/>
          <w:color w:val="auto"/>
          <w:sz w:val="24"/>
          <w:szCs w:val="24"/>
        </w:rPr>
      </w:pPr>
      <w:bookmarkStart w:id="63" w:name="_Toc17083"/>
      <w:r>
        <w:rPr>
          <w:rFonts w:hint="eastAsia" w:ascii="宋体" w:hAnsi="宋体" w:cs="宋体"/>
          <w:color w:val="auto"/>
          <w:sz w:val="24"/>
          <w:szCs w:val="24"/>
        </w:rPr>
        <w:t>10.投标文件的构成</w:t>
      </w:r>
      <w:bookmarkEnd w:id="63"/>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10.1 供应商提交的投标文件应包括下列部分的内容：</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（1）按照供应商须知的要求和招标文件规定的格式填写的投标函、投标报价表、法定代表人授权书。</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（2）按照招标文件的要求编制的投标方案说明书，内容应包括所提供服务的详细说明和售后服务承诺等。</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 xml:space="preserve">（3）按照招标文件供应商须知前附表的要求提交的资格证明文件；  </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（4）按照本须知第15条要求提交的投标保证金；</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（5）招标文件中要求的其他证明文件。</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10.2 如果在招标文件中没有允许提供备选方案，则每个供应商只允许提交一个投标方案，否则，其投标将按照无效投标处理。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10.3 本次投标的最小单元：见供应商须知前附表，供应商可根据自身的资质情况和经营范围进行投标，但不得将其子目自行分解或针对品目进行不完全投标，任何不完全的投标将按无效投标处理。</w:t>
      </w:r>
    </w:p>
    <w:p>
      <w:pPr>
        <w:pStyle w:val="5"/>
        <w:spacing w:line="360" w:lineRule="auto"/>
        <w:ind w:firstLine="482"/>
        <w:rPr>
          <w:rFonts w:ascii="宋体" w:hAnsi="宋体" w:cs="宋体"/>
          <w:color w:val="auto"/>
          <w:sz w:val="24"/>
          <w:szCs w:val="24"/>
        </w:rPr>
      </w:pPr>
      <w:bookmarkStart w:id="64" w:name="_Toc16448"/>
      <w:r>
        <w:rPr>
          <w:rFonts w:hint="eastAsia" w:ascii="宋体" w:hAnsi="宋体" w:cs="宋体"/>
          <w:color w:val="auto"/>
          <w:sz w:val="24"/>
          <w:szCs w:val="24"/>
        </w:rPr>
        <w:t>11.投标文件格式</w:t>
      </w:r>
      <w:bookmarkEnd w:id="64"/>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11.1 供应商应按照招标文件中第六章所提供的格式和要求制作投标文件，明确表达投标意愿，详细说明投标方案、承诺及价格。</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11.2供应商应完整地提供招标文件要求的所有数据和资料。</w:t>
      </w:r>
    </w:p>
    <w:p>
      <w:pPr>
        <w:pStyle w:val="5"/>
        <w:spacing w:line="360" w:lineRule="auto"/>
        <w:ind w:firstLine="482"/>
        <w:rPr>
          <w:rFonts w:ascii="宋体" w:hAnsi="宋体" w:cs="宋体"/>
          <w:color w:val="auto"/>
          <w:sz w:val="24"/>
          <w:szCs w:val="24"/>
        </w:rPr>
      </w:pPr>
      <w:bookmarkStart w:id="65" w:name="_Toc1834"/>
      <w:r>
        <w:rPr>
          <w:rFonts w:hint="eastAsia" w:ascii="宋体" w:hAnsi="宋体" w:cs="宋体"/>
          <w:color w:val="auto"/>
          <w:sz w:val="24"/>
          <w:szCs w:val="24"/>
        </w:rPr>
        <w:t>12.投标报价</w:t>
      </w:r>
      <w:bookmarkEnd w:id="65"/>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12.1投标报价：见供应商须知前附表。</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12.2投标报价表中标明的价格应为履行合同的固定价格，不得以任何理由予以变更。以可调整的价格提交的投标文件将按无效投标处理。</w:t>
      </w:r>
    </w:p>
    <w:p>
      <w:pPr>
        <w:pStyle w:val="5"/>
        <w:spacing w:line="360" w:lineRule="auto"/>
        <w:ind w:firstLine="482"/>
        <w:rPr>
          <w:rFonts w:ascii="宋体" w:hAnsi="宋体" w:cs="宋体"/>
          <w:color w:val="auto"/>
          <w:sz w:val="24"/>
          <w:szCs w:val="24"/>
        </w:rPr>
      </w:pPr>
      <w:bookmarkStart w:id="66" w:name="_Toc5485"/>
      <w:r>
        <w:rPr>
          <w:rFonts w:hint="eastAsia" w:ascii="宋体" w:hAnsi="宋体" w:cs="宋体"/>
          <w:color w:val="auto"/>
          <w:sz w:val="24"/>
          <w:szCs w:val="24"/>
        </w:rPr>
        <w:t>13.证明供应商合格和资格的文件</w:t>
      </w:r>
      <w:bookmarkEnd w:id="66"/>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13.1供应商应按照招标文件“供应商须知前附表”的要求，在投标文件中提交合格的资格证明文件。如果资格证明文件不齐全或不合格的，其投标将按无效投标处理。</w:t>
      </w:r>
    </w:p>
    <w:p>
      <w:pPr>
        <w:pStyle w:val="5"/>
        <w:spacing w:line="360" w:lineRule="auto"/>
        <w:ind w:firstLine="482"/>
        <w:rPr>
          <w:rFonts w:ascii="宋体" w:hAnsi="宋体" w:cs="宋体"/>
          <w:color w:val="auto"/>
          <w:sz w:val="24"/>
          <w:szCs w:val="24"/>
        </w:rPr>
      </w:pPr>
      <w:bookmarkStart w:id="67" w:name="_Toc7499"/>
      <w:r>
        <w:rPr>
          <w:rFonts w:hint="eastAsia" w:ascii="宋体" w:hAnsi="宋体" w:cs="宋体"/>
          <w:color w:val="auto"/>
          <w:sz w:val="24"/>
          <w:szCs w:val="24"/>
        </w:rPr>
        <w:t>14.证明服务符合招标文件规定的文件</w:t>
      </w:r>
      <w:bookmarkEnd w:id="67"/>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14.1供应商应在投标文件中提交服务满足招标文件要求并符合国家法律法规、行业管理部门要求的其他强制性标准的证明文件。</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14.2服务内容、服务实施方案等的详细说明。</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14.3服务要求和商务要求的应答，说明所提供服务对招标的技术和商务要求做出了实质性响应并提供支持文件。</w:t>
      </w:r>
    </w:p>
    <w:p>
      <w:pPr>
        <w:pStyle w:val="5"/>
        <w:spacing w:line="360" w:lineRule="auto"/>
        <w:ind w:firstLine="482"/>
        <w:rPr>
          <w:rFonts w:ascii="宋体" w:hAnsi="宋体" w:cs="宋体"/>
          <w:color w:val="auto"/>
          <w:sz w:val="24"/>
          <w:szCs w:val="24"/>
        </w:rPr>
      </w:pPr>
      <w:bookmarkStart w:id="68" w:name="_Toc6832"/>
      <w:r>
        <w:rPr>
          <w:rFonts w:hint="eastAsia" w:ascii="宋体" w:hAnsi="宋体" w:cs="宋体"/>
          <w:color w:val="auto"/>
          <w:sz w:val="24"/>
          <w:szCs w:val="24"/>
        </w:rPr>
        <w:t>15.投标保证金</w:t>
      </w:r>
      <w:bookmarkEnd w:id="68"/>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15.1供应商在投标时应向陕西金字招标有限责任公司提交“供应商须知前附表”规定数额的投标保证金,并作为其投标的一部分。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15.2投标保证金是为了保护采购人和采购代理机构免遭因供应商的行为而蒙受损失。采购人在因供应商的行为受到损害时可根据15.8条的规定没收供应商的投标保证金。</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15.3投标保证金可采取“供应商须知前附表”规定的任何一种形式；</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15.4投标保证金必须按照招标文件 “供应商须知前附表”中规定的缴纳金额及方式办理。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15.5开标后经审查，未提交投标保证金、未按时间提交投标保证金、投标保证金金额不足、未将保函正本原件在规定时间内到采购代理机构备案、投标保证金缴纳凭证复印件或担保机构出具的保函正本复印件未附在投标文件内的投标将按无效投标处理。</w:t>
      </w:r>
    </w:p>
    <w:p>
      <w:pPr>
        <w:pStyle w:val="12"/>
        <w:spacing w:line="360" w:lineRule="auto"/>
        <w:ind w:firstLine="480"/>
        <w:rPr>
          <w:rFonts w:ascii="宋体" w:hAnsi="宋体" w:cs="宋体"/>
          <w:b/>
          <w:bCs/>
          <w:color w:val="auto"/>
          <w:sz w:val="24"/>
          <w:szCs w:val="24"/>
        </w:rPr>
      </w:pPr>
      <w:r>
        <w:rPr>
          <w:rFonts w:hint="eastAsia" w:ascii="宋体" w:hAnsi="宋体" w:cs="宋体"/>
          <w:color w:val="auto"/>
          <w:sz w:val="24"/>
          <w:szCs w:val="24"/>
        </w:rPr>
        <w:t>15.6未中标人的投标保证金，将在中标通知书发出后五个工作日内按原账户退还；中标人的投标保证金，在采购合同签订后五个工作日内退还</w:t>
      </w:r>
      <w:r>
        <w:rPr>
          <w:rFonts w:hint="eastAsia" w:ascii="宋体" w:hAnsi="宋体" w:cs="宋体"/>
          <w:b/>
          <w:bCs/>
          <w:color w:val="auto"/>
          <w:sz w:val="24"/>
          <w:szCs w:val="24"/>
        </w:rPr>
        <w:t>（退还时，须向采购代理机构提供采购合同原件壹份及保证金缴纳凭证复印件）。</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15.7供应商以担保机构保函形式缴纳投标保证金的，招标结束之后将担保机构保函正本（原件）退回（退还时间参照15.6条款）。供应商领取担保机构保函正本原件时需携带法定代表人授权书原件。</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15.8下列任何情况发生时，视为供应商违约，其投标保证金将被没收：</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1)供应商在递交投标文件截止时间后，撤回投标文件的或者擅自退出招标投标活动的。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2)供应商中标后放弃中标或未能按规定签订合同、无正当理由不与采购人签订合同的或未能按规定交纳招标代理服务费或由于供应商的原因导致中标无效的。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3）供应商在投标文件中提供伪造、套改、虚假资料参加招标投标的。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4）供应商不按法定程序进行质疑和投诉,捏造事实，查无实据，造成恶劣影响，导致采购活动无法正常进行的。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5）供应商与采购人、其它供应商或者采购代理机构恶意串通的。</w:t>
      </w:r>
    </w:p>
    <w:p>
      <w:pPr>
        <w:pStyle w:val="5"/>
        <w:spacing w:line="360" w:lineRule="auto"/>
        <w:ind w:firstLine="482"/>
        <w:rPr>
          <w:rFonts w:ascii="宋体" w:hAnsi="宋体" w:cs="宋体"/>
          <w:color w:val="auto"/>
          <w:sz w:val="24"/>
          <w:szCs w:val="24"/>
        </w:rPr>
      </w:pPr>
      <w:bookmarkStart w:id="69" w:name="_Toc7354"/>
      <w:r>
        <w:rPr>
          <w:rFonts w:hint="eastAsia" w:ascii="宋体" w:hAnsi="宋体" w:cs="宋体"/>
          <w:color w:val="auto"/>
          <w:sz w:val="24"/>
          <w:szCs w:val="24"/>
        </w:rPr>
        <w:t>16.投标有效期</w:t>
      </w:r>
      <w:bookmarkEnd w:id="69"/>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16.1投标有效期：见供应商须知前附表。投标文件应在投标有效期内保持有效。投标有效期不满足规定有效期的投标文件将被视为无效投标。</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16.2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但要相应延长其投标保证金的有效期。在这种情况下，本章第15条有关投标保证金的退还和没收的规定将在延长了的有效期内继续有效。</w:t>
      </w:r>
    </w:p>
    <w:p>
      <w:pPr>
        <w:pStyle w:val="5"/>
        <w:spacing w:line="360" w:lineRule="auto"/>
        <w:ind w:firstLine="482"/>
        <w:rPr>
          <w:rFonts w:ascii="宋体" w:hAnsi="宋体" w:cs="宋体"/>
          <w:color w:val="auto"/>
          <w:sz w:val="24"/>
          <w:szCs w:val="24"/>
        </w:rPr>
      </w:pPr>
      <w:bookmarkStart w:id="70" w:name="_Toc15451"/>
      <w:r>
        <w:rPr>
          <w:rFonts w:hint="eastAsia" w:ascii="宋体" w:hAnsi="宋体" w:cs="宋体"/>
          <w:color w:val="auto"/>
          <w:sz w:val="24"/>
          <w:szCs w:val="24"/>
        </w:rPr>
        <w:t>17.投标文件的式样和签署</w:t>
      </w:r>
      <w:bookmarkEnd w:id="70"/>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17.1投标文件正本、副本、电子版、开标一览表份数及要求详见“供应商须知前附表”。</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17.2投标文件的正本需打印或用不褪色、不变质的墨水书写，并由供应商的法定代表人或被授权人按招标文件的规定签署（招标文件要求投标文件中签章的统一为签字或盖章），投标文件副本可采用正本的复印件。</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17.3任何行间插字、涂改和增删，必须由供应商的法定代表人或其被授权人在旁边签字方有效。</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17.4 投标文件正本和副本按照招标文件第六章规定的顺序编排、并应</w:t>
      </w:r>
      <w:r>
        <w:rPr>
          <w:rFonts w:hint="eastAsia" w:ascii="宋体" w:hAnsi="宋体" w:cs="宋体"/>
          <w:color w:val="auto"/>
          <w:sz w:val="24"/>
          <w:szCs w:val="24"/>
          <w:lang w:val="zh-CN"/>
        </w:rPr>
        <w:t>编制目录，</w:t>
      </w:r>
      <w:r>
        <w:rPr>
          <w:rFonts w:hint="eastAsia" w:ascii="宋体" w:hAnsi="宋体" w:cs="宋体"/>
          <w:color w:val="auto"/>
          <w:sz w:val="24"/>
          <w:szCs w:val="24"/>
        </w:rPr>
        <w:t>逐页标注连续页码，并分别</w:t>
      </w:r>
      <w:r>
        <w:rPr>
          <w:rFonts w:hint="eastAsia" w:ascii="宋体" w:hAnsi="宋体" w:cs="宋体"/>
          <w:color w:val="auto"/>
          <w:sz w:val="24"/>
          <w:szCs w:val="24"/>
          <w:lang w:val="zh-CN"/>
        </w:rPr>
        <w:t>胶装成册</w:t>
      </w:r>
      <w:r>
        <w:rPr>
          <w:rFonts w:hint="eastAsia" w:ascii="宋体" w:hAnsi="宋体" w:cs="宋体"/>
          <w:color w:val="auto"/>
          <w:sz w:val="24"/>
          <w:szCs w:val="24"/>
        </w:rPr>
        <w:t>。</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 xml:space="preserve"> 17.5因字迹潦草、表述不清或不按招标文件格式编制的投标文件，所引起的对供应商不利的后果，由供应商自行负责。</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17.6投标文件的副本、电子版须和正本保持一致。若正本、副本和电子版有不一致的内容，以正本为准。</w:t>
      </w:r>
    </w:p>
    <w:p>
      <w:pPr>
        <w:pStyle w:val="4"/>
        <w:spacing w:line="360" w:lineRule="auto"/>
        <w:rPr>
          <w:rFonts w:ascii="宋体" w:hAnsi="宋体" w:cs="宋体"/>
          <w:color w:val="auto"/>
          <w:sz w:val="24"/>
          <w:szCs w:val="24"/>
        </w:rPr>
      </w:pPr>
      <w:bookmarkStart w:id="71" w:name="_Toc403077642"/>
      <w:bookmarkStart w:id="72" w:name="_Toc363473975"/>
      <w:bookmarkStart w:id="73" w:name="_Toc18900"/>
      <w:bookmarkStart w:id="74" w:name="_Toc28390"/>
      <w:bookmarkStart w:id="75" w:name="_Toc363474020"/>
      <w:bookmarkStart w:id="76" w:name="_Toc6551"/>
      <w:r>
        <w:rPr>
          <w:rFonts w:hint="eastAsia" w:ascii="宋体" w:hAnsi="宋体" w:cs="宋体"/>
          <w:color w:val="auto"/>
          <w:sz w:val="24"/>
          <w:szCs w:val="24"/>
        </w:rPr>
        <w:t>四.投标文件的递交</w:t>
      </w:r>
      <w:bookmarkEnd w:id="71"/>
      <w:bookmarkEnd w:id="72"/>
      <w:bookmarkEnd w:id="73"/>
      <w:bookmarkEnd w:id="74"/>
      <w:bookmarkEnd w:id="75"/>
      <w:bookmarkEnd w:id="76"/>
    </w:p>
    <w:p>
      <w:pPr>
        <w:pStyle w:val="5"/>
        <w:spacing w:line="360" w:lineRule="auto"/>
        <w:ind w:firstLine="482"/>
        <w:rPr>
          <w:rFonts w:ascii="宋体" w:hAnsi="宋体" w:cs="宋体"/>
          <w:color w:val="auto"/>
          <w:sz w:val="24"/>
          <w:szCs w:val="24"/>
        </w:rPr>
      </w:pPr>
      <w:bookmarkStart w:id="77" w:name="_Toc23277"/>
      <w:r>
        <w:rPr>
          <w:rFonts w:hint="eastAsia" w:ascii="宋体" w:hAnsi="宋体" w:cs="宋体"/>
          <w:color w:val="auto"/>
          <w:sz w:val="24"/>
          <w:szCs w:val="24"/>
        </w:rPr>
        <w:t>18.投标文件的密封和标记</w:t>
      </w:r>
      <w:bookmarkEnd w:id="77"/>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18.1为方便开标唱标，开标一览表除投标文件内装订外，再单独制作一份密封在封袋中。封线处加贴封条并加盖供应商公章，封袋正面要粘贴标识，单独递交（该单独密封开标一览表的投标报价必须与投标文件正本中的开标一览表（报价表）的投标报价一致，若不一致，则按单独密封的开标一览表为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18.2投标文件的密封和标记：详见“供应商须知前附表”。</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18.3如果供应商未对投标文件按上述要求进行完好密封，由此产生的不利后果由供应商自行承担。</w:t>
      </w:r>
    </w:p>
    <w:p>
      <w:pPr>
        <w:pStyle w:val="5"/>
        <w:spacing w:line="360" w:lineRule="auto"/>
        <w:ind w:firstLine="482"/>
        <w:rPr>
          <w:rFonts w:ascii="宋体" w:hAnsi="宋体" w:cs="宋体"/>
          <w:color w:val="auto"/>
          <w:sz w:val="24"/>
          <w:szCs w:val="24"/>
        </w:rPr>
      </w:pPr>
      <w:bookmarkStart w:id="78" w:name="_Toc9233"/>
      <w:r>
        <w:rPr>
          <w:rFonts w:hint="eastAsia" w:ascii="宋体" w:hAnsi="宋体" w:cs="宋体"/>
          <w:color w:val="auto"/>
          <w:sz w:val="24"/>
          <w:szCs w:val="24"/>
        </w:rPr>
        <w:t>19．投标文件的递交</w:t>
      </w:r>
      <w:bookmarkEnd w:id="78"/>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19.1供应商应按照招标公告中规定的时间、地点，在规定的投标文件递交截止时间前将全部投标文件和投标资料递交至采购代理机构投标文件接收人。</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19.2采购代理机构在招标文件规定的投标文件递交截止时间前，只负责投标文件的接收、清点、造册登记工作，并请递交人签字确认，对其有效性不负任何责任；</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19.3采购代理机构收到投标文件后，向供应商出具签收回执。</w:t>
      </w:r>
    </w:p>
    <w:p>
      <w:pPr>
        <w:pStyle w:val="5"/>
        <w:spacing w:line="360" w:lineRule="auto"/>
        <w:ind w:firstLine="482"/>
        <w:rPr>
          <w:rFonts w:ascii="宋体" w:hAnsi="宋体" w:cs="宋体"/>
          <w:color w:val="auto"/>
          <w:sz w:val="24"/>
          <w:szCs w:val="24"/>
        </w:rPr>
      </w:pPr>
      <w:bookmarkStart w:id="79" w:name="_Toc6255"/>
      <w:r>
        <w:rPr>
          <w:rFonts w:hint="eastAsia" w:ascii="宋体" w:hAnsi="宋体" w:cs="宋体"/>
          <w:color w:val="auto"/>
          <w:sz w:val="24"/>
          <w:szCs w:val="24"/>
        </w:rPr>
        <w:t>20．迟交的投标文件</w:t>
      </w:r>
      <w:bookmarkEnd w:id="79"/>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20.1按照招标文件的规定，在递交投标文件的截止时间之后送达的投标文件，为无效投标文件，采购代理机构将拒绝接收。</w:t>
      </w:r>
    </w:p>
    <w:p>
      <w:pPr>
        <w:pStyle w:val="5"/>
        <w:spacing w:line="360" w:lineRule="auto"/>
        <w:ind w:firstLine="482"/>
        <w:rPr>
          <w:rFonts w:ascii="宋体" w:hAnsi="宋体" w:cs="宋体"/>
          <w:color w:val="auto"/>
          <w:sz w:val="24"/>
          <w:szCs w:val="24"/>
        </w:rPr>
      </w:pPr>
      <w:bookmarkStart w:id="80" w:name="_Toc9637"/>
      <w:r>
        <w:rPr>
          <w:rFonts w:hint="eastAsia" w:ascii="宋体" w:hAnsi="宋体" w:cs="宋体"/>
          <w:color w:val="auto"/>
          <w:sz w:val="24"/>
          <w:szCs w:val="24"/>
        </w:rPr>
        <w:t>21．投标的修改与撤回</w:t>
      </w:r>
      <w:bookmarkEnd w:id="80"/>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21.1 供应商投标文件递交截止时间前，可以修改或撤回其已递交的投标文件，也可以提出价格变动声明，但供应商必须在规定的投标文件递交截止时间之前将修改或撤回或变动价格的书面通知文件递交到采购代理机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21.2 供应商的修改或撤回或变动价格的通知应按本须知第18条的规定编制、密封、标记和递交。</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21.3 在投标文件递交截止时间之后，供应商不得对其投标做任何修改或撤回。</w:t>
      </w:r>
    </w:p>
    <w:p>
      <w:pPr>
        <w:pStyle w:val="4"/>
        <w:spacing w:line="360" w:lineRule="auto"/>
        <w:rPr>
          <w:rFonts w:ascii="宋体" w:hAnsi="宋体" w:cs="宋体"/>
          <w:color w:val="auto"/>
          <w:sz w:val="24"/>
          <w:szCs w:val="24"/>
        </w:rPr>
      </w:pPr>
      <w:bookmarkStart w:id="81" w:name="_Toc29187"/>
      <w:bookmarkStart w:id="82" w:name="_Toc403077643"/>
      <w:bookmarkStart w:id="83" w:name="_Toc29531"/>
      <w:bookmarkStart w:id="84" w:name="_Toc363474021"/>
      <w:bookmarkStart w:id="85" w:name="_Toc19464"/>
      <w:bookmarkStart w:id="86" w:name="_Toc363473976"/>
      <w:r>
        <w:rPr>
          <w:rFonts w:hint="eastAsia" w:ascii="宋体" w:hAnsi="宋体" w:cs="宋体"/>
          <w:color w:val="auto"/>
          <w:sz w:val="24"/>
          <w:szCs w:val="24"/>
        </w:rPr>
        <w:t>五.开标与评标</w:t>
      </w:r>
      <w:bookmarkEnd w:id="81"/>
      <w:bookmarkEnd w:id="82"/>
      <w:bookmarkEnd w:id="83"/>
      <w:bookmarkEnd w:id="84"/>
      <w:bookmarkEnd w:id="85"/>
      <w:bookmarkEnd w:id="86"/>
    </w:p>
    <w:p>
      <w:pPr>
        <w:pStyle w:val="5"/>
        <w:spacing w:line="360" w:lineRule="auto"/>
        <w:ind w:firstLine="482"/>
        <w:rPr>
          <w:rFonts w:ascii="宋体" w:hAnsi="宋体" w:cs="宋体"/>
          <w:color w:val="auto"/>
          <w:sz w:val="24"/>
          <w:szCs w:val="24"/>
        </w:rPr>
      </w:pPr>
      <w:bookmarkStart w:id="87" w:name="_Toc22553"/>
      <w:r>
        <w:rPr>
          <w:rFonts w:hint="eastAsia" w:ascii="宋体" w:hAnsi="宋体" w:cs="宋体"/>
          <w:color w:val="auto"/>
          <w:sz w:val="24"/>
          <w:szCs w:val="24"/>
        </w:rPr>
        <w:t>22. 开标</w:t>
      </w:r>
      <w:bookmarkEnd w:id="87"/>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22.1 采购代理机构在规定的时间和地点组织公开开标。开标时所有供应商代表自愿参加，参加开标的代表应签名报到以证明其出席。</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22.2 开标时，由监标人和供应商或者其推选的代表检查投标文件的密封情况。检查完毕后，采购代理机构当众宣读供应商名称、投标价格、修改或撤回或变动价格的书面通知（如果有），以及采购代理机构认为合适的其他内容。</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22.3只有在开标时唱出的价格和价格变动声明，评标时才能考虑。</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22.4在开标时没有启封和宣读的投标文件将原封退回给供应商。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22.5以邮寄方式递交投标文件的为无效投标，不予启封。</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22.6 采购代理机构将做开标记录，存档备查。</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22.7供应商未参加开标的，视同认可开标结果。</w:t>
      </w:r>
    </w:p>
    <w:p>
      <w:pPr>
        <w:pStyle w:val="5"/>
        <w:spacing w:line="360" w:lineRule="auto"/>
        <w:ind w:firstLine="482"/>
        <w:rPr>
          <w:rFonts w:ascii="宋体" w:hAnsi="宋体" w:cs="宋体"/>
          <w:color w:val="auto"/>
          <w:sz w:val="24"/>
          <w:szCs w:val="24"/>
        </w:rPr>
      </w:pPr>
      <w:bookmarkStart w:id="88" w:name="_Toc3767"/>
      <w:r>
        <w:rPr>
          <w:rFonts w:hint="eastAsia" w:ascii="宋体" w:hAnsi="宋体" w:cs="宋体"/>
          <w:color w:val="auto"/>
          <w:sz w:val="24"/>
          <w:szCs w:val="24"/>
        </w:rPr>
        <w:t>23．评标组织及评标原则</w:t>
      </w:r>
      <w:bookmarkEnd w:id="88"/>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23.1按照《中华人民共和国政府采购法》、中华人民共和国2015年第658号国务院令--《中华人民共和国政府采购法实施条例》和中华人民共和国财政部2017年第87号部长令--《政府采购货物和服务招标投标管理办法》的规定，依法组建评标委员会。评标委员会按照招标文件规定的评标方法独立进行评标工作。</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23.2招标文件和投标文件是评标的依据。在评标中，不得改变招标文件中规定的评标标准、方法和中标条件。供应商不得在开标后使用任何方式对投标文件的实质性内容做任何更改。</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23.3在评标期间，对于投标文件中含义不明确、同类问题表述不一致或者有明显文字和计算错误的内容，评标委员会应当以书面形式（由评标委员会专家签字）要求供应商做出必要的澄清、说明或者纠正。供应商的澄清、说明或者补正应当采用书面形式，并由其法人代表或授权代表签署全名。供应商的澄清、说明或者补正不得超出投标文件的范围或者改变投标文件的实质性内容。</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23.4如果供应商在规定时限内，未能答复或拒绝答复评委会提出的澄清、说明或者补正的要求，将由评委会根据其投标文件按最大风险进行评标。</w:t>
      </w:r>
    </w:p>
    <w:p>
      <w:pPr>
        <w:pStyle w:val="5"/>
        <w:spacing w:line="360" w:lineRule="auto"/>
        <w:ind w:firstLine="482"/>
        <w:rPr>
          <w:rFonts w:ascii="宋体" w:hAnsi="宋体" w:cs="宋体"/>
          <w:color w:val="auto"/>
          <w:sz w:val="24"/>
          <w:szCs w:val="24"/>
        </w:rPr>
      </w:pPr>
      <w:bookmarkStart w:id="89" w:name="_Toc4331"/>
      <w:r>
        <w:rPr>
          <w:rFonts w:hint="eastAsia" w:ascii="宋体" w:hAnsi="宋体" w:cs="宋体"/>
          <w:color w:val="auto"/>
          <w:sz w:val="24"/>
          <w:szCs w:val="24"/>
        </w:rPr>
        <w:t>24．评标过程的保密</w:t>
      </w:r>
      <w:bookmarkEnd w:id="89"/>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24.1评标委员会成员和与评标活动有关的工作人员不得泄露有关投标文件的评审和比较、中标候选人的推荐以及与评标有关的其他情况。</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24.2在评标过程中，如果供应商试图在投标文件的评审和比较、中标候选人的推荐以及与评标有关的其他方面，向评标人、采购人和采购代理机构施加任何影响，其投标应做无效投标处理。</w:t>
      </w:r>
    </w:p>
    <w:p>
      <w:pPr>
        <w:pStyle w:val="5"/>
        <w:spacing w:line="360" w:lineRule="auto"/>
        <w:ind w:firstLine="482"/>
        <w:rPr>
          <w:rFonts w:ascii="宋体" w:hAnsi="宋体" w:cs="宋体"/>
          <w:color w:val="auto"/>
          <w:sz w:val="24"/>
          <w:szCs w:val="24"/>
        </w:rPr>
      </w:pPr>
      <w:bookmarkStart w:id="90" w:name="_Toc13844"/>
      <w:r>
        <w:rPr>
          <w:rFonts w:hint="eastAsia" w:ascii="宋体" w:hAnsi="宋体" w:cs="宋体"/>
          <w:color w:val="auto"/>
          <w:sz w:val="24"/>
          <w:szCs w:val="24"/>
        </w:rPr>
        <w:t>25．评标方法</w:t>
      </w:r>
      <w:bookmarkEnd w:id="90"/>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25.1按照《中华人民共和国政府采购法实施条例》和《政府采购货物和服务招标投标管理办法》的规定，本次评标采用以下评标方法中的一种：详见“供应商须知前附表”。</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 最低评标价法，是指投标文件满足招标文件全部实质性要求，且投标报价最低的供应商为中标候选人的评标方法。</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 综合评分法，是指投标文件满足招标文件全部实质性要求，且按照评审因素的量化指标评审得分最高的供应商为中标候选人的评标方法。</w:t>
      </w:r>
    </w:p>
    <w:p>
      <w:pPr>
        <w:pStyle w:val="5"/>
        <w:spacing w:line="360" w:lineRule="auto"/>
        <w:ind w:firstLine="482"/>
        <w:rPr>
          <w:rFonts w:ascii="宋体" w:hAnsi="宋体" w:cs="宋体"/>
          <w:color w:val="auto"/>
          <w:sz w:val="24"/>
          <w:szCs w:val="24"/>
        </w:rPr>
      </w:pPr>
      <w:bookmarkStart w:id="91" w:name="_Toc10622"/>
      <w:r>
        <w:rPr>
          <w:rFonts w:hint="eastAsia" w:ascii="宋体" w:hAnsi="宋体" w:cs="宋体"/>
          <w:color w:val="auto"/>
          <w:sz w:val="24"/>
          <w:szCs w:val="24"/>
        </w:rPr>
        <w:t>26．评标程序</w:t>
      </w:r>
      <w:bookmarkEnd w:id="91"/>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按照投标文件初审、澄清有关问题、比较与评价、推荐中标候选人名单的工作程序进行评标。在上一步评审中供应商被认定无效投标者，不进入下一步的评审。</w:t>
      </w:r>
    </w:p>
    <w:p>
      <w:pPr>
        <w:pStyle w:val="4"/>
        <w:spacing w:line="360" w:lineRule="auto"/>
        <w:rPr>
          <w:rFonts w:ascii="宋体" w:hAnsi="宋体" w:cs="宋体"/>
          <w:color w:val="auto"/>
          <w:sz w:val="24"/>
          <w:szCs w:val="24"/>
        </w:rPr>
      </w:pPr>
      <w:bookmarkStart w:id="92" w:name="_Toc363473977"/>
      <w:bookmarkStart w:id="93" w:name="_Toc363474022"/>
      <w:bookmarkStart w:id="94" w:name="_Toc403077644"/>
      <w:bookmarkStart w:id="95" w:name="_Toc13314"/>
      <w:bookmarkStart w:id="96" w:name="_Toc2889"/>
      <w:bookmarkStart w:id="97" w:name="_Toc10785"/>
      <w:r>
        <w:rPr>
          <w:rFonts w:hint="eastAsia" w:ascii="宋体" w:hAnsi="宋体" w:cs="宋体"/>
          <w:color w:val="auto"/>
          <w:sz w:val="24"/>
          <w:szCs w:val="24"/>
        </w:rPr>
        <w:t>六.定标、中标通知与签约</w:t>
      </w:r>
      <w:bookmarkEnd w:id="92"/>
      <w:bookmarkEnd w:id="93"/>
      <w:bookmarkEnd w:id="94"/>
      <w:bookmarkEnd w:id="95"/>
      <w:bookmarkEnd w:id="96"/>
      <w:bookmarkEnd w:id="97"/>
    </w:p>
    <w:p>
      <w:pPr>
        <w:pStyle w:val="5"/>
        <w:spacing w:line="360" w:lineRule="auto"/>
        <w:ind w:firstLine="482"/>
        <w:rPr>
          <w:rFonts w:ascii="宋体" w:hAnsi="宋体" w:cs="宋体"/>
          <w:color w:val="auto"/>
          <w:sz w:val="24"/>
          <w:szCs w:val="24"/>
        </w:rPr>
      </w:pPr>
      <w:bookmarkStart w:id="98" w:name="_Toc32223"/>
      <w:r>
        <w:rPr>
          <w:rFonts w:hint="eastAsia" w:ascii="宋体" w:hAnsi="宋体" w:cs="宋体"/>
          <w:color w:val="auto"/>
          <w:sz w:val="24"/>
          <w:szCs w:val="24"/>
        </w:rPr>
        <w:t>27．定标程序</w:t>
      </w:r>
      <w:bookmarkEnd w:id="98"/>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27.1评标委员会根据评标方法的规定对供应商进行评审排序，推荐3名中标候选人，作为评标结果。评标结果由评标委员会成员签字确认。</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27.2采购代理机构在评标结束后2个工作日内将评标报告送采购人。采购人应当在收到评标报告后5个工作日内，按照评标报告中推荐的中标候选人顺序和有关规定确定中标人。</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27.3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27.4采购人也可以授权评标委员会评标后直接确定中标人。</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27.5中标人确定之后，中标结果将在财政部门指定的政府采购信息发布媒体上公告。</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27.6供应商或者其他利害关系人对评标结果有异议的，应当在法律规定的时间内提出。</w:t>
      </w:r>
    </w:p>
    <w:p>
      <w:pPr>
        <w:pStyle w:val="5"/>
        <w:spacing w:line="360" w:lineRule="auto"/>
        <w:ind w:firstLine="482"/>
        <w:rPr>
          <w:rFonts w:ascii="宋体" w:hAnsi="宋体" w:cs="宋体"/>
          <w:color w:val="auto"/>
          <w:sz w:val="24"/>
          <w:szCs w:val="24"/>
        </w:rPr>
      </w:pPr>
      <w:bookmarkStart w:id="99" w:name="_Toc23802"/>
      <w:r>
        <w:rPr>
          <w:rFonts w:hint="eastAsia" w:ascii="宋体" w:hAnsi="宋体" w:cs="宋体"/>
          <w:color w:val="auto"/>
          <w:sz w:val="24"/>
          <w:szCs w:val="24"/>
        </w:rPr>
        <w:t>28．中标和落标通知</w:t>
      </w:r>
      <w:bookmarkEnd w:id="99"/>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28.1 采购代理机构在发布中标公告后，向中标人发出《中标通知书》。</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28.2中标通知书对采购人和中标人具有同等法律效力。中标通知书发出之后，采购人改变中标结果，或者中标人放弃中标，应当承担相应的法律责任。</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28.3中标公告发布后，未中标供应商可致电采购代理机构获知本单位的评审得分与排序。</w:t>
      </w:r>
    </w:p>
    <w:p>
      <w:pPr>
        <w:pStyle w:val="5"/>
        <w:spacing w:line="360" w:lineRule="auto"/>
        <w:ind w:firstLine="482"/>
        <w:rPr>
          <w:rFonts w:ascii="宋体" w:hAnsi="宋体" w:cs="宋体"/>
          <w:color w:val="auto"/>
          <w:sz w:val="24"/>
          <w:szCs w:val="24"/>
        </w:rPr>
      </w:pPr>
      <w:bookmarkStart w:id="100" w:name="_Toc24255"/>
      <w:r>
        <w:rPr>
          <w:rFonts w:hint="eastAsia" w:ascii="宋体" w:hAnsi="宋体" w:cs="宋体"/>
          <w:color w:val="auto"/>
          <w:sz w:val="24"/>
          <w:szCs w:val="24"/>
        </w:rPr>
        <w:t>29. 中标合同的签订</w:t>
      </w:r>
      <w:bookmarkEnd w:id="100"/>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29.1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29.2采购人自政府采购合同签订之日起2个工作日内，将政府采购合同在省级以上人民政府财政部门指定的媒体上公告，但政府采购合同中涉及国家秘密、商业秘密的内容除外。</w:t>
      </w:r>
    </w:p>
    <w:p>
      <w:pPr>
        <w:pStyle w:val="5"/>
        <w:spacing w:line="360" w:lineRule="auto"/>
        <w:ind w:firstLine="482"/>
        <w:rPr>
          <w:rFonts w:ascii="宋体" w:hAnsi="宋体" w:cs="宋体"/>
          <w:color w:val="auto"/>
          <w:sz w:val="24"/>
          <w:szCs w:val="24"/>
        </w:rPr>
      </w:pPr>
      <w:bookmarkStart w:id="101" w:name="_Toc15519"/>
      <w:r>
        <w:rPr>
          <w:rFonts w:hint="eastAsia" w:ascii="宋体" w:hAnsi="宋体" w:cs="宋体"/>
          <w:color w:val="auto"/>
          <w:sz w:val="24"/>
          <w:szCs w:val="24"/>
        </w:rPr>
        <w:t>30．招标代理服务费</w:t>
      </w:r>
      <w:bookmarkEnd w:id="101"/>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30.1按国家计委颁发的《招标代理服务收费管理暂行办法》（计价格[2002]1980号）和国家发展改革委员会办公厅颁发的《关于招标代理服务收费有关问题的通知》（发改办价格[2003]857号）的有关规定执行。</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30.2中标人承担招标代理服务费，中标人在领取中标通知书前，须向采购代理机构一次性支付招标代理服务费。</w:t>
      </w:r>
    </w:p>
    <w:p>
      <w:pPr>
        <w:pStyle w:val="5"/>
        <w:spacing w:line="360" w:lineRule="auto"/>
        <w:ind w:firstLine="482"/>
        <w:rPr>
          <w:rFonts w:ascii="宋体" w:hAnsi="宋体" w:cs="宋体"/>
          <w:color w:val="auto"/>
          <w:sz w:val="24"/>
          <w:szCs w:val="24"/>
        </w:rPr>
      </w:pPr>
      <w:bookmarkStart w:id="102" w:name="_Toc30752"/>
      <w:r>
        <w:rPr>
          <w:rFonts w:hint="eastAsia" w:ascii="宋体" w:hAnsi="宋体" w:cs="宋体"/>
          <w:color w:val="auto"/>
          <w:sz w:val="24"/>
          <w:szCs w:val="24"/>
        </w:rPr>
        <w:t>31.履约验收</w:t>
      </w:r>
      <w:bookmarkEnd w:id="102"/>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31.1政府采购合同的履行、违约责任和解决争议的方法等适用《中华人民共和国民法典》。采购人按照政府采购合同规定的技术、服务、安全标准组织对供应商履约情况进行验收，并出具验收书。</w:t>
      </w:r>
    </w:p>
    <w:p>
      <w:pPr>
        <w:pStyle w:val="5"/>
        <w:spacing w:line="360" w:lineRule="auto"/>
        <w:ind w:firstLine="482"/>
        <w:rPr>
          <w:rFonts w:ascii="宋体" w:hAnsi="宋体" w:cs="宋体"/>
          <w:color w:val="auto"/>
          <w:sz w:val="24"/>
          <w:szCs w:val="24"/>
        </w:rPr>
      </w:pPr>
      <w:bookmarkStart w:id="103" w:name="_Toc2606"/>
      <w:r>
        <w:rPr>
          <w:rFonts w:hint="eastAsia" w:ascii="宋体" w:hAnsi="宋体" w:cs="宋体"/>
          <w:color w:val="auto"/>
          <w:sz w:val="24"/>
          <w:szCs w:val="24"/>
        </w:rPr>
        <w:t>32.质疑</w:t>
      </w:r>
      <w:bookmarkEnd w:id="103"/>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32.1供应商认为招标文件、招标过程、中标结果使自己的权益受到损害的，可以在知道或者应知其权益受到损害之日起7个工作日内，以书面形式向采购人、采购代理机构提出质疑。</w:t>
      </w:r>
    </w:p>
    <w:p>
      <w:pPr>
        <w:pStyle w:val="12"/>
        <w:spacing w:line="360" w:lineRule="auto"/>
        <w:ind w:firstLine="480"/>
        <w:rPr>
          <w:rFonts w:ascii="宋体" w:hAnsi="宋体" w:cs="宋体"/>
          <w:bCs/>
          <w:color w:val="auto"/>
          <w:sz w:val="24"/>
          <w:szCs w:val="24"/>
          <w:shd w:val="clear" w:color="auto" w:fill="FFFFFF"/>
        </w:rPr>
      </w:pPr>
      <w:r>
        <w:rPr>
          <w:rFonts w:hint="eastAsia" w:ascii="宋体" w:hAnsi="宋体" w:cs="宋体"/>
          <w:color w:val="auto"/>
          <w:sz w:val="24"/>
          <w:szCs w:val="24"/>
        </w:rPr>
        <w:t>32.2供应商必须在法定质疑期内一次性提出针对同一采购程序环节的质疑。</w:t>
      </w:r>
    </w:p>
    <w:p>
      <w:pPr>
        <w:pStyle w:val="12"/>
        <w:spacing w:line="360" w:lineRule="auto"/>
        <w:ind w:firstLine="480"/>
        <w:rPr>
          <w:rFonts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32.3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32.4以联合体形式参加政府采购活动的，其质疑应当由组成联合体的所有供应商共同提出。</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32.5供应商提出质疑应当提交质疑函和必要的证明材料。质疑函应当包括下列内容：</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32.5.1供应商的姓名或者名称、地址、邮编、联系人及联系电话；</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32.5.2质疑项目的名称、编号；</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32.5.3具体、明确的质疑事项和与质疑事项相关的请求；</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32.5.4事实依据；</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32.5.5必要的法律依据；</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32.5.6提出质疑的日期。</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32.6有下列情形之一的，属于无效质疑，采购代理机构和采购人不予受理：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32.6.1质疑供应商不是参与本次政府采购项目的供应商；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32.6.2质疑供应商与质疑事项不存在利害关系的；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32.6.3未在法定期限内提出质疑的；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32.6.4质疑未以书面形式提出，或质疑函主要内容构成不完整的；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32.6.5应当提交授权书而未提交的；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32.6.6以非法手段取得证据、材料的；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32.6.7质疑答复后，同一质疑人就同一事项或同一采购程序环节再次提出质疑的；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32.6.8不符合法律、法规、规章和政府采购监管机构规定的其他条件的。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32.7质疑答复</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32.7.1采购人或采购代理机构在收到质疑函后7个工作日内作出答复，并以书面形式通知质疑供应商和其他有关供应商。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32.7.2质疑供应商对采购人、采购代理机构的答复不满意，或者采购人、采购代理机构未在规定时间内作出答复的，可以在答复期满后15个工作日内向同级人民政府财政部门提起投诉。</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32.8其他需要说明的事项</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32.8.1质疑函须按财政部《质疑函范本》给定的格式进行填写，范本下载详见【财政部国库司（gks.mof.gov.cn）】网站〖首页·政府采购管理〗栏目中的《政府采购供应商质疑函范本》。《政府采购供应商质疑函范本》链接地址：</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http//gks.mof.gov.cn/zhengfucaigouguanli/201802/t20180201_2804589.html</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32.8.2接收质疑函的方式：书面形式</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32.8.3联系部门：陕西金字招标有限责任公司</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32.8.4联系电话：见供应商须知前附表</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32.8.5通讯地址：</w:t>
      </w:r>
      <w:r>
        <w:rPr>
          <w:rFonts w:hint="eastAsia" w:ascii="宋体" w:hAnsi="宋体" w:cs="宋体"/>
          <w:color w:val="auto"/>
          <w:sz w:val="24"/>
          <w:szCs w:val="24"/>
          <w:shd w:val="clear" w:color="auto" w:fill="FFFFFF"/>
          <w:lang w:bidi="ar"/>
        </w:rPr>
        <w:t>西安市新城区南新街28-8号4楼</w:t>
      </w:r>
    </w:p>
    <w:p>
      <w:pPr>
        <w:pStyle w:val="5"/>
        <w:spacing w:line="360" w:lineRule="auto"/>
        <w:ind w:firstLine="482"/>
        <w:rPr>
          <w:rFonts w:ascii="宋体" w:hAnsi="宋体" w:cs="宋体"/>
          <w:color w:val="auto"/>
          <w:sz w:val="24"/>
          <w:szCs w:val="24"/>
        </w:rPr>
      </w:pPr>
      <w:bookmarkStart w:id="104" w:name="_Toc31366"/>
      <w:r>
        <w:rPr>
          <w:rFonts w:hint="eastAsia" w:ascii="宋体" w:hAnsi="宋体" w:cs="宋体"/>
          <w:color w:val="auto"/>
          <w:sz w:val="24"/>
          <w:szCs w:val="24"/>
        </w:rPr>
        <w:t>33.其他</w:t>
      </w:r>
      <w:bookmarkEnd w:id="104"/>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33.1 废标的情形</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33.1.1招标采购中，出现下列情形之一的，应予以废标：</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（1）符合专业条件的供应商或者对招标文件作实质响应的供应商不足3家的；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（2）出现影响采购公正的违法、违规行为的；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（3）供应商的报价均超过了采购预算，采购人不能支付的；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（4）因重大变故，采购任务取消的。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33.1.2废标后，采购代理机构应在财政部门指定采购网上公告，并公告废标的详细理由。</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33.2变更采购方式</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33.2.1存在下列情形之一的，除采购任务取消情形外，采购人经同级财政部门同意后，可按《政府采购货物和服务招标投标管理办法》（财政部87号令）第四十三条规定的方式处理：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（1）投标截止后参加投标的人不足3家的；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（2）通过资格审查的供应商不足3家的；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（3）通过符合性审查的供应商不足3家的。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33.2.2通过符合性审查的供应商只有2家时，采购人经同级财政部门同意后，可以按《政府采购非招标采购方式管理办法》（财政部第74号令）的规定与该2家供应商进行竞争性谈判采购。</w:t>
      </w:r>
    </w:p>
    <w:p>
      <w:pPr>
        <w:spacing w:line="360" w:lineRule="auto"/>
        <w:rPr>
          <w:rFonts w:cs="宋体"/>
          <w:color w:val="auto"/>
          <w:sz w:val="24"/>
          <w:szCs w:val="24"/>
        </w:rPr>
      </w:pPr>
      <w:bookmarkStart w:id="105" w:name="_Toc3798"/>
      <w:bookmarkStart w:id="106" w:name="_Toc426457694"/>
      <w:bookmarkStart w:id="107" w:name="_Toc403077645"/>
      <w:bookmarkStart w:id="108" w:name="_Toc15898"/>
      <w:bookmarkStart w:id="109" w:name="_Toc11810"/>
      <w:bookmarkStart w:id="110" w:name="_Toc363474023"/>
    </w:p>
    <w:p>
      <w:pPr>
        <w:spacing w:line="360" w:lineRule="auto"/>
        <w:rPr>
          <w:rFonts w:hint="eastAsia" w:ascii="宋体" w:hAnsi="宋体" w:cs="宋体"/>
          <w:color w:val="auto"/>
          <w:sz w:val="24"/>
          <w:szCs w:val="24"/>
        </w:rPr>
      </w:pPr>
      <w:bookmarkStart w:id="111" w:name="_Toc692"/>
      <w:bookmarkStart w:id="112" w:name="_Toc14124"/>
      <w:bookmarkStart w:id="113" w:name="_Toc18676"/>
      <w:r>
        <w:rPr>
          <w:rFonts w:hint="eastAsia" w:ascii="宋体" w:hAnsi="宋体" w:cs="宋体"/>
          <w:color w:val="auto"/>
          <w:sz w:val="24"/>
          <w:szCs w:val="24"/>
        </w:rPr>
        <w:br w:type="page"/>
      </w:r>
    </w:p>
    <w:p>
      <w:pPr>
        <w:pStyle w:val="3"/>
        <w:spacing w:line="360" w:lineRule="auto"/>
        <w:rPr>
          <w:rFonts w:ascii="宋体" w:hAnsi="宋体" w:cs="宋体"/>
          <w:color w:val="auto"/>
          <w:sz w:val="36"/>
          <w:szCs w:val="36"/>
        </w:rPr>
      </w:pPr>
      <w:r>
        <w:rPr>
          <w:rFonts w:hint="eastAsia" w:ascii="宋体" w:hAnsi="宋体" w:cs="宋体"/>
          <w:color w:val="auto"/>
          <w:sz w:val="36"/>
          <w:szCs w:val="36"/>
        </w:rPr>
        <w:t>第三章  合同条款及格式</w:t>
      </w:r>
      <w:bookmarkEnd w:id="105"/>
      <w:bookmarkEnd w:id="106"/>
      <w:bookmarkEnd w:id="107"/>
      <w:bookmarkEnd w:id="108"/>
      <w:bookmarkEnd w:id="109"/>
      <w:bookmarkEnd w:id="111"/>
      <w:bookmarkEnd w:id="112"/>
      <w:bookmarkEnd w:id="113"/>
    </w:p>
    <w:p>
      <w:pPr>
        <w:spacing w:line="360" w:lineRule="auto"/>
        <w:jc w:val="center"/>
        <w:rPr>
          <w:rFonts w:cs="宋体"/>
          <w:b/>
          <w:bCs/>
          <w:color w:val="auto"/>
          <w:sz w:val="24"/>
          <w:szCs w:val="24"/>
        </w:rPr>
      </w:pPr>
      <w:bookmarkStart w:id="114" w:name="_Toc5421"/>
      <w:bookmarkStart w:id="115" w:name="_Toc29672"/>
      <w:bookmarkStart w:id="116" w:name="_Toc12015"/>
      <w:bookmarkStart w:id="117" w:name="_Toc9322"/>
      <w:bookmarkStart w:id="118" w:name="_Toc24601"/>
      <w:bookmarkStart w:id="119" w:name="_Toc1493"/>
      <w:bookmarkStart w:id="120" w:name="_Toc426457695"/>
      <w:bookmarkStart w:id="121" w:name="_Toc25691"/>
      <w:bookmarkStart w:id="122" w:name="_Toc19246"/>
      <w:bookmarkStart w:id="123" w:name="_Toc31683"/>
      <w:bookmarkStart w:id="124" w:name="_Toc31520"/>
      <w:bookmarkStart w:id="125" w:name="_Toc26595"/>
      <w:bookmarkStart w:id="126" w:name="_Toc20230"/>
      <w:bookmarkStart w:id="127" w:name="_Toc9053"/>
      <w:bookmarkStart w:id="128" w:name="_Toc426457696"/>
      <w:bookmarkStart w:id="129" w:name="_Toc389582037"/>
      <w:bookmarkStart w:id="130" w:name="_Toc29888"/>
      <w:bookmarkStart w:id="131" w:name="_Toc19199"/>
      <w:bookmarkStart w:id="132" w:name="_Toc8333"/>
      <w:r>
        <w:rPr>
          <w:rFonts w:hint="eastAsia" w:cs="宋体"/>
          <w:b/>
          <w:bCs/>
          <w:color w:val="auto"/>
          <w:sz w:val="24"/>
          <w:szCs w:val="24"/>
        </w:rPr>
        <w:t>合同条款及格式前附表</w:t>
      </w:r>
      <w:bookmarkEnd w:id="114"/>
    </w:p>
    <w:p>
      <w:pPr>
        <w:spacing w:line="360" w:lineRule="auto"/>
        <w:ind w:firstLine="480" w:firstLineChars="200"/>
        <w:rPr>
          <w:rFonts w:cs="宋体"/>
          <w:bCs/>
          <w:color w:val="auto"/>
          <w:sz w:val="24"/>
          <w:szCs w:val="24"/>
        </w:rPr>
      </w:pPr>
      <w:r>
        <w:rPr>
          <w:rFonts w:hint="eastAsia" w:cs="宋体"/>
          <w:color w:val="auto"/>
          <w:sz w:val="24"/>
          <w:szCs w:val="24"/>
        </w:rPr>
        <w:t>本表是对合同条款的具体补充和修改，如有矛盾，应以本资料表为准。</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1"/>
        <w:gridCol w:w="7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81" w:type="dxa"/>
            <w:vAlign w:val="center"/>
          </w:tcPr>
          <w:p>
            <w:pPr>
              <w:spacing w:line="360" w:lineRule="auto"/>
              <w:jc w:val="center"/>
              <w:rPr>
                <w:rFonts w:cs="宋体"/>
                <w:b/>
                <w:color w:val="auto"/>
                <w:sz w:val="24"/>
                <w:szCs w:val="24"/>
              </w:rPr>
            </w:pPr>
            <w:bookmarkStart w:id="133" w:name="_Toc4679"/>
            <w:r>
              <w:rPr>
                <w:rFonts w:hint="eastAsia" w:cs="宋体"/>
                <w:b/>
                <w:color w:val="auto"/>
                <w:sz w:val="24"/>
                <w:szCs w:val="24"/>
              </w:rPr>
              <w:t>序号</w:t>
            </w:r>
          </w:p>
        </w:tc>
        <w:tc>
          <w:tcPr>
            <w:tcW w:w="7963" w:type="dxa"/>
            <w:vAlign w:val="center"/>
          </w:tcPr>
          <w:p>
            <w:pPr>
              <w:spacing w:line="360" w:lineRule="auto"/>
              <w:jc w:val="center"/>
              <w:rPr>
                <w:rFonts w:cs="宋体"/>
                <w:b/>
                <w:color w:val="auto"/>
                <w:sz w:val="24"/>
                <w:szCs w:val="24"/>
              </w:rPr>
            </w:pPr>
            <w:r>
              <w:rPr>
                <w:rFonts w:hint="eastAsia" w:cs="宋体"/>
                <w:b/>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81" w:type="dxa"/>
            <w:vAlign w:val="center"/>
          </w:tcPr>
          <w:p>
            <w:pPr>
              <w:spacing w:line="360" w:lineRule="auto"/>
              <w:jc w:val="center"/>
              <w:rPr>
                <w:rFonts w:cs="宋体"/>
                <w:color w:val="auto"/>
                <w:sz w:val="24"/>
                <w:szCs w:val="24"/>
              </w:rPr>
            </w:pPr>
            <w:r>
              <w:rPr>
                <w:rFonts w:hint="eastAsia" w:cs="宋体"/>
                <w:color w:val="auto"/>
                <w:sz w:val="24"/>
                <w:szCs w:val="24"/>
              </w:rPr>
              <w:t>1</w:t>
            </w:r>
          </w:p>
        </w:tc>
        <w:tc>
          <w:tcPr>
            <w:tcW w:w="7963" w:type="dxa"/>
            <w:vAlign w:val="center"/>
          </w:tcPr>
          <w:p>
            <w:pPr>
              <w:spacing w:line="360" w:lineRule="auto"/>
              <w:rPr>
                <w:rFonts w:hint="eastAsia" w:eastAsia="宋体" w:cs="宋体"/>
                <w:color w:val="auto"/>
                <w:sz w:val="24"/>
                <w:szCs w:val="24"/>
                <w:lang w:eastAsia="zh-CN"/>
              </w:rPr>
            </w:pPr>
            <w:r>
              <w:rPr>
                <w:rFonts w:hint="eastAsia" w:cs="宋体"/>
                <w:b/>
                <w:color w:val="auto"/>
                <w:sz w:val="24"/>
                <w:szCs w:val="24"/>
              </w:rPr>
              <w:t>采购人：</w:t>
            </w:r>
            <w:r>
              <w:rPr>
                <w:rFonts w:hint="eastAsia" w:cs="宋体"/>
                <w:color w:val="auto"/>
                <w:sz w:val="24"/>
                <w:szCs w:val="24"/>
              </w:rPr>
              <w:t>合阳县农业农村局</w:t>
            </w:r>
            <w:r>
              <w:rPr>
                <w:rFonts w:hint="eastAsia" w:cs="宋体"/>
                <w:color w:val="auto"/>
                <w:sz w:val="24"/>
                <w:szCs w:val="24"/>
                <w:lang w:val="en-US" w:eastAsia="zh-CN"/>
              </w:rPr>
              <w:t xml:space="preserve">  </w:t>
            </w:r>
          </w:p>
          <w:p>
            <w:pPr>
              <w:widowControl/>
              <w:shd w:val="clear" w:color="auto" w:fill="FFFFFF"/>
              <w:wordWrap w:val="0"/>
              <w:spacing w:line="360" w:lineRule="auto"/>
              <w:rPr>
                <w:rFonts w:hint="eastAsia" w:eastAsia="宋体" w:cs="宋体"/>
                <w:bCs/>
                <w:color w:val="auto"/>
                <w:sz w:val="24"/>
                <w:szCs w:val="24"/>
                <w:lang w:eastAsia="zh-CN"/>
              </w:rPr>
            </w:pPr>
            <w:r>
              <w:rPr>
                <w:rFonts w:hint="eastAsia" w:cs="宋体"/>
                <w:b/>
                <w:color w:val="auto"/>
                <w:sz w:val="24"/>
                <w:szCs w:val="24"/>
              </w:rPr>
              <w:t>地址：</w:t>
            </w:r>
            <w:r>
              <w:rPr>
                <w:rFonts w:hint="eastAsia" w:cs="宋体"/>
                <w:color w:val="auto"/>
                <w:sz w:val="24"/>
                <w:szCs w:val="24"/>
              </w:rPr>
              <w:t>合阳县凤凰西路社会事务综合服务大楼三楼</w:t>
            </w:r>
            <w:r>
              <w:rPr>
                <w:rFonts w:hint="eastAsia" w:cs="宋体"/>
                <w:color w:val="auto"/>
                <w:sz w:val="24"/>
                <w:szCs w:val="24"/>
                <w:lang w:val="en-US" w:eastAsia="zh-CN"/>
              </w:rPr>
              <w:t xml:space="preserve"> </w:t>
            </w:r>
          </w:p>
          <w:p>
            <w:pPr>
              <w:spacing w:line="360" w:lineRule="auto"/>
              <w:rPr>
                <w:rFonts w:hint="eastAsia" w:eastAsia="宋体" w:cs="宋体"/>
                <w:bCs/>
                <w:color w:val="auto"/>
                <w:sz w:val="24"/>
                <w:szCs w:val="24"/>
                <w:lang w:eastAsia="zh-CN"/>
              </w:rPr>
            </w:pPr>
            <w:r>
              <w:rPr>
                <w:rFonts w:hint="eastAsia" w:cs="宋体"/>
                <w:b/>
                <w:color w:val="auto"/>
                <w:sz w:val="24"/>
                <w:szCs w:val="24"/>
              </w:rPr>
              <w:t>项目名称：合阳县数字农业智慧管理平台建设项目</w:t>
            </w:r>
            <w:r>
              <w:rPr>
                <w:rFonts w:hint="eastAsia" w:cs="宋体"/>
                <w:color w:val="auto"/>
                <w:sz w:val="24"/>
                <w:szCs w:val="24"/>
                <w:lang w:val="en-US" w:eastAsia="zh-CN"/>
              </w:rPr>
              <w:t xml:space="preserve"> </w:t>
            </w:r>
          </w:p>
          <w:p>
            <w:pPr>
              <w:spacing w:line="360" w:lineRule="auto"/>
              <w:rPr>
                <w:rFonts w:cs="宋体"/>
                <w:color w:val="auto"/>
                <w:sz w:val="24"/>
                <w:szCs w:val="24"/>
              </w:rPr>
            </w:pPr>
            <w:r>
              <w:rPr>
                <w:rFonts w:hint="eastAsia" w:cs="宋体"/>
                <w:b/>
                <w:color w:val="auto"/>
                <w:sz w:val="24"/>
                <w:szCs w:val="24"/>
              </w:rPr>
              <w:t>资金来源：</w:t>
            </w:r>
            <w:r>
              <w:rPr>
                <w:rFonts w:hint="eastAsia" w:cs="宋体"/>
                <w:color w:val="auto"/>
                <w:sz w:val="24"/>
                <w:szCs w:val="24"/>
              </w:rPr>
              <w:t>财政</w:t>
            </w:r>
            <w:r>
              <w:rPr>
                <w:rFonts w:hint="eastAsia" w:cs="宋体"/>
                <w:color w:val="auto"/>
                <w:sz w:val="24"/>
                <w:szCs w:val="24"/>
                <w:lang w:val="en-US" w:eastAsia="zh-CN"/>
              </w:rPr>
              <w:t>资金</w:t>
            </w:r>
            <w:r>
              <w:rPr>
                <w:rFonts w:hint="eastAsia" w:cs="宋体"/>
                <w:color w:val="auto"/>
                <w:sz w:val="24"/>
                <w:szCs w:val="24"/>
              </w:rPr>
              <w:t>，资金已落实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exact"/>
        </w:trPr>
        <w:tc>
          <w:tcPr>
            <w:tcW w:w="881" w:type="dxa"/>
            <w:vAlign w:val="center"/>
          </w:tcPr>
          <w:p>
            <w:pPr>
              <w:spacing w:line="360" w:lineRule="auto"/>
              <w:jc w:val="center"/>
              <w:rPr>
                <w:rFonts w:cs="宋体"/>
                <w:color w:val="auto"/>
                <w:sz w:val="24"/>
                <w:szCs w:val="24"/>
              </w:rPr>
            </w:pPr>
            <w:r>
              <w:rPr>
                <w:rFonts w:hint="eastAsia" w:cs="宋体"/>
                <w:color w:val="auto"/>
                <w:sz w:val="24"/>
                <w:szCs w:val="24"/>
              </w:rPr>
              <w:t>2</w:t>
            </w:r>
          </w:p>
        </w:tc>
        <w:tc>
          <w:tcPr>
            <w:tcW w:w="7963" w:type="dxa"/>
            <w:vAlign w:val="center"/>
          </w:tcPr>
          <w:p>
            <w:pPr>
              <w:spacing w:line="360" w:lineRule="auto"/>
              <w:rPr>
                <w:rFonts w:cs="宋体"/>
                <w:b/>
                <w:color w:val="auto"/>
                <w:sz w:val="24"/>
                <w:szCs w:val="24"/>
              </w:rPr>
            </w:pPr>
            <w:r>
              <w:rPr>
                <w:rFonts w:hint="eastAsia" w:cs="宋体"/>
                <w:b/>
                <w:color w:val="auto"/>
                <w:sz w:val="24"/>
                <w:szCs w:val="24"/>
              </w:rPr>
              <w:t>项目实施地点：</w:t>
            </w:r>
            <w:r>
              <w:rPr>
                <w:rFonts w:hint="eastAsia" w:cs="宋体"/>
                <w:bCs/>
                <w:color w:val="auto"/>
                <w:sz w:val="24"/>
                <w:szCs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0" w:hRule="exact"/>
        </w:trPr>
        <w:tc>
          <w:tcPr>
            <w:tcW w:w="881" w:type="dxa"/>
            <w:vAlign w:val="center"/>
          </w:tcPr>
          <w:p>
            <w:pPr>
              <w:spacing w:line="360" w:lineRule="auto"/>
              <w:jc w:val="center"/>
              <w:rPr>
                <w:rFonts w:cs="宋体"/>
                <w:color w:val="auto"/>
                <w:sz w:val="24"/>
                <w:szCs w:val="24"/>
              </w:rPr>
            </w:pPr>
            <w:r>
              <w:rPr>
                <w:rFonts w:hint="eastAsia" w:cs="宋体"/>
                <w:color w:val="auto"/>
                <w:sz w:val="24"/>
                <w:szCs w:val="24"/>
              </w:rPr>
              <w:t>3</w:t>
            </w:r>
          </w:p>
        </w:tc>
        <w:tc>
          <w:tcPr>
            <w:tcW w:w="7963" w:type="dxa"/>
            <w:vAlign w:val="center"/>
          </w:tcPr>
          <w:p>
            <w:pPr>
              <w:spacing w:line="360" w:lineRule="auto"/>
              <w:rPr>
                <w:rFonts w:hint="default" w:eastAsia="宋体" w:cs="宋体"/>
                <w:color w:val="auto"/>
                <w:sz w:val="24"/>
                <w:szCs w:val="24"/>
                <w:lang w:val="en-US" w:eastAsia="zh-CN"/>
              </w:rPr>
            </w:pPr>
            <w:r>
              <w:rPr>
                <w:rFonts w:hint="eastAsia" w:cs="宋体"/>
                <w:b/>
                <w:color w:val="auto"/>
                <w:sz w:val="24"/>
                <w:szCs w:val="24"/>
              </w:rPr>
              <w:t>服务期</w:t>
            </w:r>
            <w:r>
              <w:rPr>
                <w:rFonts w:hint="eastAsia" w:cs="宋体"/>
                <w:b/>
                <w:color w:val="auto"/>
                <w:sz w:val="24"/>
                <w:szCs w:val="24"/>
                <w:shd w:val="clear" w:color="auto" w:fill="auto"/>
              </w:rPr>
              <w:t>：</w:t>
            </w:r>
            <w:r>
              <w:rPr>
                <w:rFonts w:hint="eastAsia" w:cs="宋体"/>
                <w:b w:val="0"/>
                <w:bCs/>
                <w:color w:val="auto"/>
                <w:sz w:val="24"/>
                <w:szCs w:val="24"/>
                <w:highlight w:val="none"/>
                <w:shd w:val="clear" w:color="auto" w:fill="auto"/>
                <w:lang w:val="en-US" w:eastAsia="zh-CN"/>
              </w:rPr>
              <w:t>合同签订后30天内完成平台的安装、调试，服务期为完成安装调试后一年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881" w:type="dxa"/>
            <w:vAlign w:val="center"/>
          </w:tcPr>
          <w:p>
            <w:pPr>
              <w:spacing w:line="360" w:lineRule="auto"/>
              <w:jc w:val="center"/>
              <w:rPr>
                <w:rFonts w:cs="宋体"/>
                <w:color w:val="auto"/>
                <w:sz w:val="24"/>
                <w:szCs w:val="24"/>
                <w:shd w:val="clear" w:color="FFFFFF" w:fill="D9D9D9"/>
              </w:rPr>
            </w:pPr>
            <w:r>
              <w:rPr>
                <w:rFonts w:hint="eastAsia" w:cs="宋体"/>
                <w:color w:val="auto"/>
                <w:sz w:val="24"/>
                <w:szCs w:val="24"/>
              </w:rPr>
              <w:t>4</w:t>
            </w:r>
          </w:p>
        </w:tc>
        <w:tc>
          <w:tcPr>
            <w:tcW w:w="7963" w:type="dxa"/>
            <w:vAlign w:val="center"/>
          </w:tcPr>
          <w:p>
            <w:pPr>
              <w:spacing w:line="360" w:lineRule="auto"/>
              <w:jc w:val="left"/>
              <w:rPr>
                <w:rFonts w:cs="宋体"/>
                <w:b/>
                <w:color w:val="auto"/>
                <w:sz w:val="24"/>
                <w:szCs w:val="24"/>
              </w:rPr>
            </w:pPr>
            <w:r>
              <w:rPr>
                <w:rFonts w:hint="eastAsia" w:cs="宋体"/>
                <w:b/>
                <w:color w:val="auto"/>
                <w:sz w:val="24"/>
                <w:szCs w:val="24"/>
              </w:rPr>
              <w:t>付款：</w:t>
            </w:r>
          </w:p>
          <w:p>
            <w:pPr>
              <w:spacing w:line="360" w:lineRule="auto"/>
              <w:jc w:val="left"/>
              <w:rPr>
                <w:rFonts w:cs="宋体"/>
                <w:color w:val="auto"/>
                <w:sz w:val="24"/>
                <w:szCs w:val="24"/>
              </w:rPr>
            </w:pPr>
            <w:r>
              <w:rPr>
                <w:rFonts w:hint="eastAsia" w:cs="宋体"/>
                <w:color w:val="auto"/>
                <w:sz w:val="24"/>
                <w:szCs w:val="24"/>
              </w:rPr>
              <w:t>1.合同总价即中标价，不受市场价变化或实际工作量变化的影响，如需调整将在补充协议条款中具体明确。</w:t>
            </w:r>
          </w:p>
          <w:p>
            <w:pPr>
              <w:spacing w:line="360" w:lineRule="auto"/>
              <w:jc w:val="left"/>
              <w:rPr>
                <w:rFonts w:cs="宋体"/>
                <w:color w:val="auto"/>
                <w:sz w:val="24"/>
                <w:szCs w:val="24"/>
              </w:rPr>
            </w:pPr>
            <w:r>
              <w:rPr>
                <w:rFonts w:hint="eastAsia" w:cs="宋体"/>
                <w:color w:val="auto"/>
                <w:sz w:val="24"/>
                <w:szCs w:val="24"/>
              </w:rPr>
              <w:t>2.付款方式和程序：</w:t>
            </w:r>
          </w:p>
          <w:p>
            <w:pPr>
              <w:spacing w:line="360" w:lineRule="auto"/>
              <w:jc w:val="left"/>
              <w:rPr>
                <w:rFonts w:cs="宋体"/>
                <w:color w:val="auto"/>
                <w:sz w:val="24"/>
                <w:szCs w:val="24"/>
              </w:rPr>
            </w:pPr>
            <w:r>
              <w:rPr>
                <w:rFonts w:hint="eastAsia" w:cs="宋体"/>
                <w:color w:val="auto"/>
                <w:sz w:val="24"/>
                <w:szCs w:val="24"/>
              </w:rPr>
              <w:t>2.1由采购人负责结算，在付款前，供应商必须开具发票给采购人。</w:t>
            </w:r>
          </w:p>
          <w:p>
            <w:pPr>
              <w:spacing w:line="360" w:lineRule="auto"/>
              <w:jc w:val="left"/>
              <w:rPr>
                <w:rFonts w:cs="宋体"/>
                <w:b/>
                <w:color w:val="auto"/>
                <w:sz w:val="24"/>
                <w:szCs w:val="24"/>
              </w:rPr>
            </w:pPr>
            <w:r>
              <w:rPr>
                <w:rFonts w:hint="eastAsia" w:cs="宋体"/>
                <w:b/>
                <w:color w:val="auto"/>
                <w:sz w:val="24"/>
                <w:szCs w:val="24"/>
              </w:rPr>
              <w:t>2.2付款方式：</w:t>
            </w:r>
          </w:p>
          <w:p>
            <w:pPr>
              <w:spacing w:line="360" w:lineRule="auto"/>
              <w:jc w:val="left"/>
              <w:rPr>
                <w:rFonts w:hint="eastAsia" w:cs="宋体"/>
                <w:bCs/>
                <w:color w:val="auto"/>
                <w:sz w:val="24"/>
                <w:szCs w:val="24"/>
                <w:highlight w:val="none"/>
                <w:lang w:val="en-US" w:eastAsia="zh-CN"/>
              </w:rPr>
            </w:pPr>
            <w:r>
              <w:rPr>
                <w:rFonts w:hint="eastAsia" w:cs="宋体"/>
                <w:bCs/>
                <w:color w:val="auto"/>
                <w:sz w:val="24"/>
                <w:szCs w:val="24"/>
                <w:highlight w:val="none"/>
              </w:rPr>
              <w:t>2.2.1付款方式：</w:t>
            </w:r>
            <w:r>
              <w:rPr>
                <w:rFonts w:hint="eastAsia" w:cs="宋体"/>
                <w:bCs/>
                <w:color w:val="auto"/>
                <w:sz w:val="24"/>
                <w:szCs w:val="24"/>
                <w:highlight w:val="none"/>
                <w:lang w:val="en-US" w:eastAsia="zh-CN"/>
              </w:rPr>
              <w:t xml:space="preserve"> </w:t>
            </w:r>
          </w:p>
          <w:p>
            <w:pPr>
              <w:spacing w:line="360" w:lineRule="auto"/>
              <w:jc w:val="left"/>
              <w:rPr>
                <w:rFonts w:hint="default" w:cs="宋体"/>
                <w:color w:val="auto"/>
                <w:sz w:val="24"/>
                <w:szCs w:val="24"/>
                <w:lang w:val="en-US" w:eastAsia="zh-CN"/>
              </w:rPr>
            </w:pPr>
            <w:r>
              <w:rPr>
                <w:rFonts w:hint="eastAsia" w:cs="宋体"/>
                <w:color w:val="auto"/>
                <w:sz w:val="24"/>
                <w:szCs w:val="24"/>
                <w:lang w:eastAsia="zh-CN"/>
              </w:rPr>
              <w:t>合同签署后5个工作日</w:t>
            </w:r>
            <w:r>
              <w:rPr>
                <w:rFonts w:hint="eastAsia" w:cs="宋体"/>
                <w:color w:val="auto"/>
                <w:sz w:val="24"/>
                <w:szCs w:val="24"/>
                <w:lang w:val="en-US" w:eastAsia="zh-CN"/>
              </w:rPr>
              <w:t>内，支付合同价款的30%，硬件设备进场后5个工作日，支付合同价款的15%，系统交付试运行后5个工作日，支付合同价款的45%，系统在交付后运行90个自然日（无任何重大事故）后在客户签字确认后5个工作日，支付合同价款的10%。</w:t>
            </w:r>
          </w:p>
          <w:p>
            <w:pPr>
              <w:spacing w:line="360" w:lineRule="auto"/>
              <w:jc w:val="left"/>
              <w:rPr>
                <w:rFonts w:cs="宋体"/>
                <w:color w:val="auto"/>
                <w:sz w:val="24"/>
                <w:szCs w:val="24"/>
                <w:shd w:val="clear" w:color="FFFFFF" w:fill="D9D9D9"/>
              </w:rPr>
            </w:pPr>
            <w:r>
              <w:rPr>
                <w:rFonts w:hint="eastAsia" w:cs="宋体"/>
                <w:bCs/>
                <w:color w:val="auto"/>
                <w:sz w:val="24"/>
                <w:szCs w:val="24"/>
              </w:rPr>
              <w:t>2.2.2支付方式：银行转账。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881" w:type="dxa"/>
            <w:vAlign w:val="center"/>
          </w:tcPr>
          <w:p>
            <w:pPr>
              <w:spacing w:line="360" w:lineRule="auto"/>
              <w:jc w:val="center"/>
              <w:rPr>
                <w:rFonts w:cs="宋体"/>
                <w:color w:val="auto"/>
                <w:sz w:val="24"/>
                <w:szCs w:val="24"/>
              </w:rPr>
            </w:pPr>
            <w:r>
              <w:rPr>
                <w:rFonts w:hint="eastAsia" w:cs="宋体"/>
                <w:color w:val="auto"/>
                <w:sz w:val="24"/>
                <w:szCs w:val="24"/>
              </w:rPr>
              <w:t>5</w:t>
            </w:r>
          </w:p>
        </w:tc>
        <w:tc>
          <w:tcPr>
            <w:tcW w:w="7963" w:type="dxa"/>
            <w:vAlign w:val="center"/>
          </w:tcPr>
          <w:p>
            <w:pPr>
              <w:spacing w:line="360" w:lineRule="auto"/>
              <w:rPr>
                <w:rFonts w:cs="宋体"/>
                <w:b/>
                <w:color w:val="auto"/>
                <w:sz w:val="24"/>
                <w:szCs w:val="24"/>
              </w:rPr>
            </w:pPr>
            <w:r>
              <w:rPr>
                <w:rFonts w:hint="eastAsia" w:cs="宋体"/>
                <w:b/>
                <w:color w:val="auto"/>
                <w:sz w:val="24"/>
                <w:szCs w:val="24"/>
              </w:rPr>
              <w:t>质量保证：</w:t>
            </w:r>
          </w:p>
          <w:p>
            <w:pPr>
              <w:spacing w:line="360" w:lineRule="auto"/>
              <w:rPr>
                <w:rFonts w:cs="宋体"/>
                <w:bCs/>
                <w:color w:val="auto"/>
                <w:sz w:val="24"/>
                <w:szCs w:val="24"/>
              </w:rPr>
            </w:pPr>
            <w:r>
              <w:rPr>
                <w:rFonts w:hint="eastAsia" w:cs="宋体"/>
                <w:bCs/>
                <w:color w:val="auto"/>
                <w:sz w:val="24"/>
                <w:szCs w:val="24"/>
              </w:rPr>
              <w:t>1、质量要求：</w:t>
            </w:r>
            <w:r>
              <w:rPr>
                <w:rFonts w:hint="eastAsia" w:cs="宋体"/>
                <w:color w:val="auto"/>
                <w:sz w:val="24"/>
                <w:szCs w:val="24"/>
              </w:rPr>
              <w:t>符合国家及行业质量验收合格标准。</w:t>
            </w:r>
          </w:p>
          <w:p>
            <w:pPr>
              <w:spacing w:line="360" w:lineRule="auto"/>
              <w:rPr>
                <w:rFonts w:cs="宋体"/>
                <w:bCs/>
                <w:color w:val="auto"/>
                <w:sz w:val="24"/>
                <w:szCs w:val="24"/>
              </w:rPr>
            </w:pPr>
            <w:r>
              <w:rPr>
                <w:rFonts w:hint="eastAsia" w:cs="宋体"/>
                <w:bCs/>
                <w:color w:val="auto"/>
                <w:sz w:val="24"/>
                <w:szCs w:val="24"/>
              </w:rPr>
              <w:t>2、在服务范围内按工作内容和要求制定详细的方案，方案科学、合理、可靠。</w:t>
            </w:r>
          </w:p>
          <w:p>
            <w:pPr>
              <w:spacing w:line="360" w:lineRule="auto"/>
              <w:rPr>
                <w:rFonts w:cs="宋体"/>
                <w:bCs/>
                <w:color w:val="auto"/>
                <w:sz w:val="24"/>
                <w:szCs w:val="24"/>
              </w:rPr>
            </w:pPr>
            <w:r>
              <w:rPr>
                <w:rFonts w:hint="eastAsia" w:cs="宋体"/>
                <w:bCs/>
                <w:color w:val="auto"/>
                <w:sz w:val="24"/>
                <w:szCs w:val="24"/>
              </w:rPr>
              <w:t>3、技术队伍配备合理。有针对本项目的专项服务小组，项目负责人、工作人员分工明确。</w:t>
            </w:r>
          </w:p>
          <w:p>
            <w:pPr>
              <w:spacing w:line="360" w:lineRule="auto"/>
              <w:rPr>
                <w:rFonts w:cs="宋体"/>
                <w:color w:val="auto"/>
                <w:sz w:val="24"/>
                <w:szCs w:val="24"/>
              </w:rPr>
            </w:pPr>
            <w:r>
              <w:rPr>
                <w:rFonts w:hint="eastAsia" w:cs="宋体"/>
                <w:bCs/>
                <w:color w:val="auto"/>
                <w:sz w:val="24"/>
                <w:szCs w:val="24"/>
              </w:rPr>
              <w:t>4、有各类突发事件的应急预案和措施，有明确具体的承诺。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881" w:type="dxa"/>
            <w:vAlign w:val="center"/>
          </w:tcPr>
          <w:p>
            <w:pPr>
              <w:pStyle w:val="18"/>
              <w:spacing w:line="360" w:lineRule="auto"/>
              <w:jc w:val="center"/>
              <w:rPr>
                <w:rFonts w:hAnsi="宋体" w:cs="宋体"/>
                <w:b/>
                <w:bCs/>
                <w:color w:val="auto"/>
                <w:kern w:val="0"/>
                <w:sz w:val="24"/>
                <w:szCs w:val="24"/>
              </w:rPr>
            </w:pPr>
            <w:r>
              <w:rPr>
                <w:rFonts w:hint="eastAsia" w:hAnsi="宋体" w:cs="宋体"/>
                <w:color w:val="auto"/>
                <w:kern w:val="0"/>
                <w:sz w:val="24"/>
                <w:szCs w:val="24"/>
              </w:rPr>
              <w:t>6</w:t>
            </w:r>
          </w:p>
        </w:tc>
        <w:tc>
          <w:tcPr>
            <w:tcW w:w="7963" w:type="dxa"/>
            <w:vAlign w:val="center"/>
          </w:tcPr>
          <w:p>
            <w:pPr>
              <w:spacing w:line="360" w:lineRule="auto"/>
              <w:rPr>
                <w:rFonts w:cs="宋体"/>
                <w:color w:val="auto"/>
                <w:sz w:val="24"/>
                <w:szCs w:val="24"/>
              </w:rPr>
            </w:pPr>
            <w:r>
              <w:rPr>
                <w:rFonts w:hint="eastAsia" w:cs="宋体"/>
                <w:b/>
                <w:color w:val="auto"/>
                <w:sz w:val="24"/>
                <w:szCs w:val="24"/>
              </w:rPr>
              <w:t>知识产权：</w:t>
            </w:r>
          </w:p>
          <w:p>
            <w:pPr>
              <w:spacing w:line="360" w:lineRule="auto"/>
              <w:ind w:firstLine="480" w:firstLineChars="200"/>
              <w:rPr>
                <w:rFonts w:cs="宋体"/>
                <w:bCs/>
                <w:color w:val="auto"/>
                <w:sz w:val="24"/>
                <w:szCs w:val="24"/>
              </w:rPr>
            </w:pPr>
            <w:r>
              <w:rPr>
                <w:rFonts w:hint="eastAsia" w:cs="宋体"/>
                <w:color w:val="auto"/>
                <w:sz w:val="24"/>
                <w:szCs w:val="24"/>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881" w:type="dxa"/>
            <w:vAlign w:val="center"/>
          </w:tcPr>
          <w:p>
            <w:pPr>
              <w:pStyle w:val="18"/>
              <w:spacing w:line="360" w:lineRule="auto"/>
              <w:jc w:val="center"/>
              <w:rPr>
                <w:rFonts w:hAnsi="宋体" w:cs="宋体"/>
                <w:color w:val="auto"/>
                <w:sz w:val="24"/>
                <w:szCs w:val="24"/>
              </w:rPr>
            </w:pPr>
            <w:r>
              <w:rPr>
                <w:rFonts w:hint="eastAsia" w:hAnsi="宋体" w:cs="宋体"/>
                <w:color w:val="auto"/>
                <w:kern w:val="0"/>
                <w:sz w:val="24"/>
                <w:szCs w:val="24"/>
              </w:rPr>
              <w:t>7</w:t>
            </w:r>
          </w:p>
        </w:tc>
        <w:tc>
          <w:tcPr>
            <w:tcW w:w="7963" w:type="dxa"/>
            <w:vAlign w:val="center"/>
          </w:tcPr>
          <w:p>
            <w:pPr>
              <w:tabs>
                <w:tab w:val="left" w:pos="152"/>
              </w:tabs>
              <w:spacing w:line="360" w:lineRule="auto"/>
              <w:rPr>
                <w:rFonts w:cs="宋体"/>
                <w:b/>
                <w:bCs/>
                <w:color w:val="auto"/>
                <w:sz w:val="24"/>
                <w:szCs w:val="24"/>
              </w:rPr>
            </w:pPr>
            <w:r>
              <w:rPr>
                <w:rFonts w:hint="eastAsia" w:cs="宋体"/>
                <w:b/>
                <w:bCs/>
                <w:color w:val="auto"/>
                <w:sz w:val="24"/>
                <w:szCs w:val="24"/>
              </w:rPr>
              <w:t>考核验收</w:t>
            </w:r>
          </w:p>
          <w:p>
            <w:pPr>
              <w:tabs>
                <w:tab w:val="left" w:pos="152"/>
              </w:tabs>
              <w:spacing w:line="360" w:lineRule="auto"/>
              <w:ind w:firstLine="480" w:firstLineChars="200"/>
              <w:rPr>
                <w:rFonts w:cs="宋体"/>
                <w:color w:val="auto"/>
                <w:sz w:val="24"/>
                <w:szCs w:val="24"/>
              </w:rPr>
            </w:pPr>
            <w:r>
              <w:rPr>
                <w:rFonts w:hint="eastAsia" w:cs="宋体"/>
                <w:color w:val="auto"/>
                <w:sz w:val="24"/>
                <w:szCs w:val="24"/>
              </w:rPr>
              <w:t>1、成交供应商与采购人应严格按照《中华人民共和国政府采购法》、《中华人民共和国政府采购法实施条例》等法律法规、标准以及合同、招标文件、投标文件等相关文件要求进行验收。</w:t>
            </w:r>
          </w:p>
          <w:p>
            <w:pPr>
              <w:tabs>
                <w:tab w:val="left" w:pos="152"/>
              </w:tabs>
              <w:spacing w:line="360" w:lineRule="auto"/>
              <w:ind w:firstLine="480" w:firstLineChars="200"/>
              <w:rPr>
                <w:rFonts w:cs="宋体"/>
                <w:color w:val="auto"/>
                <w:sz w:val="24"/>
                <w:szCs w:val="24"/>
              </w:rPr>
            </w:pPr>
            <w:r>
              <w:rPr>
                <w:rFonts w:hint="eastAsia" w:cs="宋体"/>
                <w:color w:val="auto"/>
                <w:sz w:val="24"/>
                <w:szCs w:val="24"/>
              </w:rPr>
              <w:t>2、由采购人和中标人共同对项目进行整体验收。其内容包括是否按照采购人要求进行服务、是否在规定时间内服务完毕。</w:t>
            </w:r>
          </w:p>
          <w:p>
            <w:pPr>
              <w:tabs>
                <w:tab w:val="left" w:pos="152"/>
              </w:tabs>
              <w:spacing w:line="360" w:lineRule="auto"/>
              <w:ind w:firstLine="480" w:firstLineChars="200"/>
              <w:rPr>
                <w:rFonts w:cs="宋体"/>
                <w:color w:val="auto"/>
                <w:sz w:val="24"/>
                <w:szCs w:val="24"/>
              </w:rPr>
            </w:pPr>
            <w:r>
              <w:rPr>
                <w:rFonts w:hint="eastAsia" w:cs="宋体"/>
                <w:color w:val="auto"/>
                <w:sz w:val="24"/>
                <w:szCs w:val="24"/>
              </w:rPr>
              <w:t>3、服务商向采购人提供服务过程中的所有资料,以便采购人日后管理和维护。</w:t>
            </w:r>
          </w:p>
          <w:p>
            <w:pPr>
              <w:tabs>
                <w:tab w:val="left" w:pos="152"/>
              </w:tabs>
              <w:spacing w:line="360" w:lineRule="auto"/>
              <w:ind w:firstLine="480" w:firstLineChars="200"/>
              <w:rPr>
                <w:rFonts w:cs="宋体"/>
                <w:color w:val="auto"/>
                <w:sz w:val="24"/>
                <w:szCs w:val="24"/>
              </w:rPr>
            </w:pPr>
            <w:r>
              <w:rPr>
                <w:rFonts w:hint="eastAsia" w:cs="宋体"/>
                <w:color w:val="auto"/>
                <w:sz w:val="24"/>
                <w:szCs w:val="24"/>
              </w:rPr>
              <w:t>4、验收依据</w:t>
            </w:r>
          </w:p>
          <w:p>
            <w:pPr>
              <w:tabs>
                <w:tab w:val="left" w:pos="152"/>
              </w:tabs>
              <w:spacing w:line="360" w:lineRule="auto"/>
              <w:ind w:firstLine="480" w:firstLineChars="200"/>
              <w:rPr>
                <w:rFonts w:cs="宋体"/>
                <w:color w:val="auto"/>
                <w:sz w:val="24"/>
                <w:szCs w:val="24"/>
              </w:rPr>
            </w:pPr>
            <w:r>
              <w:rPr>
                <w:rFonts w:hint="eastAsia" w:cs="宋体"/>
                <w:color w:val="auto"/>
                <w:sz w:val="24"/>
                <w:szCs w:val="24"/>
              </w:rPr>
              <w:t>4.1招标文件、投标文件、澄清表（函）；</w:t>
            </w:r>
          </w:p>
          <w:p>
            <w:pPr>
              <w:tabs>
                <w:tab w:val="left" w:pos="152"/>
              </w:tabs>
              <w:spacing w:line="360" w:lineRule="auto"/>
              <w:ind w:firstLine="480" w:firstLineChars="200"/>
              <w:rPr>
                <w:rFonts w:cs="宋体"/>
                <w:color w:val="auto"/>
                <w:sz w:val="24"/>
                <w:szCs w:val="24"/>
              </w:rPr>
            </w:pPr>
            <w:r>
              <w:rPr>
                <w:rFonts w:hint="eastAsia" w:cs="宋体"/>
                <w:color w:val="auto"/>
                <w:sz w:val="24"/>
                <w:szCs w:val="24"/>
              </w:rPr>
              <w:t>4.2本合同及附件文本；</w:t>
            </w:r>
          </w:p>
          <w:p>
            <w:pPr>
              <w:adjustRightInd w:val="0"/>
              <w:snapToGrid w:val="0"/>
              <w:spacing w:line="360" w:lineRule="auto"/>
              <w:ind w:firstLine="480" w:firstLineChars="200"/>
              <w:rPr>
                <w:rFonts w:cs="宋体"/>
                <w:color w:val="auto"/>
                <w:sz w:val="24"/>
                <w:szCs w:val="24"/>
              </w:rPr>
            </w:pPr>
            <w:r>
              <w:rPr>
                <w:rFonts w:hint="eastAsia" w:cs="宋体"/>
                <w:color w:val="auto"/>
                <w:sz w:val="24"/>
                <w:szCs w:val="24"/>
              </w:rPr>
              <w:t>4.3国家相应的标准、规范。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881" w:type="dxa"/>
            <w:vAlign w:val="center"/>
          </w:tcPr>
          <w:p>
            <w:pPr>
              <w:spacing w:line="360" w:lineRule="auto"/>
              <w:jc w:val="center"/>
              <w:rPr>
                <w:rFonts w:cs="宋体"/>
                <w:color w:val="auto"/>
                <w:sz w:val="24"/>
                <w:szCs w:val="24"/>
              </w:rPr>
            </w:pPr>
            <w:r>
              <w:rPr>
                <w:rFonts w:hint="eastAsia" w:cs="宋体"/>
                <w:color w:val="auto"/>
                <w:sz w:val="24"/>
                <w:szCs w:val="24"/>
              </w:rPr>
              <w:t>8</w:t>
            </w:r>
          </w:p>
        </w:tc>
        <w:tc>
          <w:tcPr>
            <w:tcW w:w="7963" w:type="dxa"/>
            <w:vAlign w:val="center"/>
          </w:tcPr>
          <w:p>
            <w:pPr>
              <w:spacing w:line="360" w:lineRule="auto"/>
              <w:rPr>
                <w:rFonts w:cs="宋体"/>
                <w:b/>
                <w:color w:val="auto"/>
                <w:sz w:val="24"/>
                <w:szCs w:val="24"/>
              </w:rPr>
            </w:pPr>
            <w:r>
              <w:rPr>
                <w:rFonts w:hint="eastAsia" w:cs="宋体"/>
                <w:b/>
                <w:color w:val="auto"/>
                <w:sz w:val="24"/>
                <w:szCs w:val="24"/>
              </w:rPr>
              <w:t>违约责任：</w:t>
            </w:r>
          </w:p>
          <w:p>
            <w:pPr>
              <w:spacing w:line="360" w:lineRule="auto"/>
              <w:ind w:firstLine="480" w:firstLineChars="200"/>
              <w:rPr>
                <w:rFonts w:cs="宋体"/>
                <w:color w:val="auto"/>
                <w:sz w:val="24"/>
                <w:szCs w:val="24"/>
              </w:rPr>
            </w:pPr>
            <w:r>
              <w:rPr>
                <w:rFonts w:hint="eastAsia" w:cs="宋体"/>
                <w:color w:val="auto"/>
                <w:sz w:val="24"/>
                <w:szCs w:val="24"/>
              </w:rPr>
              <w:t>按《中华人民共和国政府采购法》、《中华人民共和国民法典》中的相关条款执行。</w:t>
            </w:r>
          </w:p>
          <w:p>
            <w:pPr>
              <w:tabs>
                <w:tab w:val="left" w:pos="152"/>
              </w:tabs>
              <w:spacing w:line="360" w:lineRule="auto"/>
              <w:ind w:firstLine="480" w:firstLineChars="200"/>
              <w:rPr>
                <w:rFonts w:cs="宋体"/>
                <w:color w:val="auto"/>
                <w:sz w:val="24"/>
                <w:szCs w:val="24"/>
              </w:rPr>
            </w:pPr>
            <w:r>
              <w:rPr>
                <w:rFonts w:hint="eastAsia" w:cs="宋体"/>
                <w:color w:val="auto"/>
                <w:sz w:val="24"/>
                <w:szCs w:val="24"/>
              </w:rPr>
              <w:t>未按合同或招标文件要求的或者质量不能满足采购人要求的，采购单位有权终止合同，甚至对供应商违约行为进行追究，同时按《政府采购法》的有关规定进行处罚。</w:t>
            </w:r>
          </w:p>
          <w:p>
            <w:pPr>
              <w:spacing w:line="360" w:lineRule="auto"/>
              <w:ind w:firstLine="480" w:firstLineChars="200"/>
              <w:rPr>
                <w:rFonts w:cs="宋体"/>
                <w:color w:val="auto"/>
                <w:sz w:val="24"/>
                <w:szCs w:val="24"/>
              </w:rPr>
            </w:pPr>
            <w:r>
              <w:rPr>
                <w:rFonts w:hint="eastAsia" w:cs="宋体"/>
                <w:color w:val="auto"/>
                <w:sz w:val="24"/>
                <w:szCs w:val="24"/>
              </w:rPr>
              <w:t>供应商的投标文件为签订正式书面合同书不可分割的部分，投标文件应履行相应的责任。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881" w:type="dxa"/>
            <w:vAlign w:val="center"/>
          </w:tcPr>
          <w:p>
            <w:pPr>
              <w:spacing w:line="360" w:lineRule="auto"/>
              <w:jc w:val="center"/>
              <w:rPr>
                <w:rFonts w:cs="宋体"/>
                <w:color w:val="auto"/>
                <w:sz w:val="24"/>
                <w:szCs w:val="24"/>
              </w:rPr>
            </w:pPr>
            <w:r>
              <w:rPr>
                <w:rFonts w:hint="eastAsia" w:cs="宋体"/>
                <w:color w:val="auto"/>
                <w:sz w:val="24"/>
                <w:szCs w:val="24"/>
              </w:rPr>
              <w:t>9</w:t>
            </w:r>
          </w:p>
        </w:tc>
        <w:tc>
          <w:tcPr>
            <w:tcW w:w="7963" w:type="dxa"/>
            <w:vAlign w:val="center"/>
          </w:tcPr>
          <w:p>
            <w:pPr>
              <w:spacing w:line="360" w:lineRule="auto"/>
              <w:rPr>
                <w:rFonts w:cs="宋体"/>
                <w:b/>
                <w:color w:val="auto"/>
                <w:sz w:val="24"/>
                <w:szCs w:val="24"/>
              </w:rPr>
            </w:pPr>
            <w:r>
              <w:rPr>
                <w:rFonts w:hint="eastAsia" w:cs="宋体"/>
                <w:b/>
                <w:color w:val="auto"/>
                <w:sz w:val="24"/>
                <w:szCs w:val="24"/>
              </w:rPr>
              <w:t>政府采购合同：</w:t>
            </w:r>
          </w:p>
          <w:p>
            <w:pPr>
              <w:spacing w:line="360" w:lineRule="auto"/>
              <w:ind w:firstLine="480" w:firstLineChars="200"/>
              <w:rPr>
                <w:rFonts w:cs="宋体"/>
                <w:color w:val="auto"/>
                <w:sz w:val="24"/>
                <w:szCs w:val="24"/>
              </w:rPr>
            </w:pPr>
            <w:r>
              <w:rPr>
                <w:rFonts w:hint="eastAsia" w:cs="宋体"/>
                <w:color w:val="auto"/>
                <w:sz w:val="24"/>
                <w:szCs w:val="24"/>
              </w:rPr>
              <w:t>政府采购合同适用《中华人民共和国民法典》。采购人和供应商之间的权利和义务，应当按照平等、自愿的原则以合同方式约定。</w:t>
            </w:r>
          </w:p>
          <w:p>
            <w:pPr>
              <w:spacing w:line="360" w:lineRule="auto"/>
              <w:ind w:firstLine="480" w:firstLineChars="200"/>
              <w:rPr>
                <w:rFonts w:cs="宋体"/>
                <w:color w:val="auto"/>
                <w:sz w:val="24"/>
                <w:szCs w:val="24"/>
              </w:rPr>
            </w:pPr>
            <w:r>
              <w:rPr>
                <w:rFonts w:hint="eastAsia" w:cs="宋体"/>
                <w:color w:val="auto"/>
                <w:sz w:val="24"/>
                <w:szCs w:val="24"/>
              </w:rPr>
              <w:t>政府采购合同应当采用书面形式。</w:t>
            </w:r>
          </w:p>
          <w:p>
            <w:pPr>
              <w:spacing w:line="360" w:lineRule="auto"/>
              <w:ind w:firstLine="480" w:firstLineChars="200"/>
              <w:rPr>
                <w:rFonts w:cs="宋体"/>
                <w:color w:val="auto"/>
                <w:sz w:val="24"/>
                <w:szCs w:val="24"/>
              </w:rPr>
            </w:pPr>
            <w:r>
              <w:rPr>
                <w:rFonts w:hint="eastAsia" w:cs="宋体"/>
                <w:color w:val="auto"/>
                <w:sz w:val="24"/>
                <w:szCs w:val="24"/>
              </w:rPr>
              <w:t>采购人与中标、成交投标人应当在中标、成交通知书发出之日起三十日内，按照采购文件确定的事项签订政府采购合同。</w:t>
            </w:r>
          </w:p>
          <w:p>
            <w:pPr>
              <w:spacing w:line="360" w:lineRule="auto"/>
              <w:ind w:firstLine="480" w:firstLineChars="200"/>
              <w:rPr>
                <w:rFonts w:cs="宋体"/>
                <w:color w:val="auto"/>
                <w:sz w:val="24"/>
                <w:szCs w:val="24"/>
              </w:rPr>
            </w:pPr>
            <w:r>
              <w:rPr>
                <w:rFonts w:hint="eastAsia" w:cs="宋体"/>
                <w:color w:val="auto"/>
                <w:sz w:val="24"/>
                <w:szCs w:val="24"/>
              </w:rPr>
              <w:t>中标、中标通知书对采购人和中标、成交投标人均具有法律效力。中标、中标通知书发出后，采购人改变中标、中标结果的，或者中标、成交投标人放弃中标、成交项目的，应当依法承担法律责任。</w:t>
            </w:r>
          </w:p>
          <w:p>
            <w:pPr>
              <w:spacing w:line="360" w:lineRule="auto"/>
              <w:ind w:firstLine="480" w:firstLineChars="200"/>
              <w:rPr>
                <w:rFonts w:cs="宋体"/>
                <w:color w:val="auto"/>
                <w:sz w:val="24"/>
                <w:szCs w:val="24"/>
              </w:rPr>
            </w:pPr>
            <w:r>
              <w:rPr>
                <w:rFonts w:hint="eastAsia" w:cs="宋体"/>
                <w:color w:val="auto"/>
                <w:sz w:val="24"/>
                <w:szCs w:val="24"/>
              </w:rPr>
              <w:t>政府采购项目的采购合同自签订之日起七个工作日内，采购人应当将合同副本报同级政府采购监督管理部门和有关部门备案。</w:t>
            </w:r>
          </w:p>
          <w:p>
            <w:pPr>
              <w:spacing w:line="360" w:lineRule="auto"/>
              <w:ind w:firstLine="480" w:firstLineChars="200"/>
              <w:rPr>
                <w:rFonts w:cs="宋体"/>
                <w:color w:val="auto"/>
                <w:sz w:val="24"/>
                <w:szCs w:val="24"/>
              </w:rPr>
            </w:pPr>
            <w:r>
              <w:rPr>
                <w:rFonts w:hint="eastAsia" w:cs="宋体"/>
                <w:color w:val="auto"/>
                <w:sz w:val="24"/>
                <w:szCs w:val="24"/>
              </w:rPr>
              <w:t>经采购人同意，中标、成交投标人可以依法采取分包方式履行合同。政府采购合同分包履行的，中标、成交投标人就采购项目和分包项目向采购人负责，分包投标人就分包项目承担责任。</w:t>
            </w:r>
          </w:p>
          <w:p>
            <w:pPr>
              <w:spacing w:line="360" w:lineRule="auto"/>
              <w:ind w:firstLine="480" w:firstLineChars="200"/>
              <w:rPr>
                <w:rFonts w:cs="宋体"/>
                <w:color w:val="auto"/>
                <w:sz w:val="24"/>
                <w:szCs w:val="24"/>
              </w:rPr>
            </w:pPr>
            <w:r>
              <w:rPr>
                <w:rFonts w:hint="eastAsia" w:cs="宋体"/>
                <w:color w:val="auto"/>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360" w:lineRule="auto"/>
              <w:ind w:firstLine="480" w:firstLineChars="200"/>
              <w:rPr>
                <w:rFonts w:cs="宋体"/>
                <w:color w:val="auto"/>
                <w:sz w:val="24"/>
                <w:szCs w:val="24"/>
              </w:rPr>
            </w:pPr>
            <w:r>
              <w:rPr>
                <w:rFonts w:hint="eastAsia" w:cs="宋体"/>
                <w:color w:val="auto"/>
                <w:sz w:val="24"/>
                <w:szCs w:val="24"/>
              </w:rPr>
              <w:t>政府采购合同的双方当事人不得擅自变更、中止或者终止合同。</w:t>
            </w:r>
          </w:p>
          <w:p>
            <w:pPr>
              <w:spacing w:line="360" w:lineRule="auto"/>
              <w:ind w:firstLine="480" w:firstLineChars="200"/>
              <w:rPr>
                <w:rFonts w:cs="宋体"/>
                <w:color w:val="auto"/>
                <w:sz w:val="24"/>
                <w:szCs w:val="24"/>
              </w:rPr>
            </w:pPr>
            <w:r>
              <w:rPr>
                <w:rFonts w:hint="eastAsia" w:cs="宋体"/>
                <w:color w:val="auto"/>
                <w:sz w:val="24"/>
                <w:szCs w:val="24"/>
              </w:rPr>
              <w:t>政府采购合同继续履行将损害国家利益和社会公共利益的，双方当事人应当变更、中止或者终止合同。有过错的一方应当承担赔偿责任，双方都有过错的，各自承担相应的责任。</w:t>
            </w:r>
          </w:p>
        </w:tc>
      </w:tr>
    </w:tbl>
    <w:p>
      <w:pPr>
        <w:spacing w:line="360" w:lineRule="auto"/>
        <w:ind w:firstLine="480" w:firstLineChars="200"/>
        <w:rPr>
          <w:rFonts w:cs="宋体"/>
          <w:color w:val="auto"/>
          <w:sz w:val="24"/>
          <w:szCs w:val="24"/>
        </w:rPr>
      </w:pPr>
    </w:p>
    <w:p>
      <w:pPr>
        <w:spacing w:line="360" w:lineRule="auto"/>
        <w:ind w:firstLine="480" w:firstLineChars="200"/>
        <w:jc w:val="center"/>
        <w:rPr>
          <w:rFonts w:cs="宋体"/>
          <w:color w:val="auto"/>
          <w:sz w:val="24"/>
          <w:szCs w:val="24"/>
        </w:rPr>
      </w:pPr>
    </w:p>
    <w:p>
      <w:pPr>
        <w:spacing w:line="360" w:lineRule="auto"/>
        <w:ind w:firstLine="480" w:firstLineChars="200"/>
        <w:jc w:val="center"/>
        <w:rPr>
          <w:rFonts w:cs="宋体"/>
          <w:color w:val="auto"/>
          <w:sz w:val="24"/>
          <w:szCs w:val="24"/>
        </w:rPr>
      </w:pPr>
    </w:p>
    <w:p>
      <w:pPr>
        <w:spacing w:line="360" w:lineRule="auto"/>
        <w:jc w:val="center"/>
        <w:rPr>
          <w:rFonts w:cs="宋体"/>
          <w:b/>
          <w:bCs/>
          <w:color w:val="auto"/>
          <w:sz w:val="24"/>
          <w:szCs w:val="24"/>
        </w:rPr>
      </w:pPr>
    </w:p>
    <w:p>
      <w:pPr>
        <w:tabs>
          <w:tab w:val="left" w:pos="480"/>
          <w:tab w:val="left" w:pos="3261"/>
        </w:tabs>
        <w:spacing w:line="360" w:lineRule="auto"/>
        <w:rPr>
          <w:rFonts w:cs="宋体"/>
          <w:color w:val="auto"/>
          <w:sz w:val="24"/>
          <w:szCs w:val="24"/>
        </w:rPr>
      </w:pPr>
    </w:p>
    <w:p>
      <w:pPr>
        <w:adjustRightInd w:val="0"/>
        <w:snapToGrid w:val="0"/>
        <w:spacing w:line="360" w:lineRule="auto"/>
        <w:ind w:firstLine="475" w:firstLineChars="198"/>
        <w:rPr>
          <w:rFonts w:cs="宋体"/>
          <w:color w:val="auto"/>
          <w:sz w:val="24"/>
          <w:szCs w:val="24"/>
        </w:rPr>
      </w:pPr>
      <w:r>
        <w:rPr>
          <w:rFonts w:hint="eastAsia" w:cs="宋体"/>
          <w:color w:val="auto"/>
          <w:sz w:val="24"/>
          <w:szCs w:val="24"/>
        </w:rPr>
        <w:t xml:space="preserve">   </w:t>
      </w:r>
    </w:p>
    <w:p>
      <w:pPr>
        <w:spacing w:line="360" w:lineRule="auto"/>
        <w:jc w:val="center"/>
        <w:rPr>
          <w:rFonts w:cs="宋体"/>
          <w:b/>
          <w:bCs/>
          <w:color w:val="auto"/>
          <w:sz w:val="24"/>
          <w:szCs w:val="24"/>
        </w:rPr>
      </w:pPr>
    </w:p>
    <w:p>
      <w:pPr>
        <w:spacing w:line="360" w:lineRule="auto"/>
        <w:jc w:val="center"/>
        <w:rPr>
          <w:rFonts w:cs="宋体"/>
          <w:b/>
          <w:bCs/>
          <w:color w:val="auto"/>
          <w:sz w:val="24"/>
          <w:szCs w:val="24"/>
        </w:rPr>
      </w:pPr>
    </w:p>
    <w:p>
      <w:pPr>
        <w:spacing w:line="360" w:lineRule="auto"/>
        <w:jc w:val="center"/>
        <w:rPr>
          <w:rFonts w:cs="宋体"/>
          <w:b/>
          <w:color w:val="auto"/>
          <w:sz w:val="24"/>
          <w:szCs w:val="24"/>
        </w:rPr>
      </w:pPr>
    </w:p>
    <w:p>
      <w:pPr>
        <w:spacing w:line="360" w:lineRule="auto"/>
        <w:jc w:val="center"/>
        <w:rPr>
          <w:rFonts w:cs="宋体"/>
          <w:b/>
          <w:color w:val="auto"/>
          <w:sz w:val="24"/>
          <w:szCs w:val="24"/>
        </w:rPr>
      </w:pPr>
    </w:p>
    <w:p>
      <w:pPr>
        <w:spacing w:line="360" w:lineRule="auto"/>
        <w:ind w:firstLine="480" w:firstLineChars="200"/>
        <w:rPr>
          <w:rFonts w:cs="宋体"/>
          <w:color w:val="auto"/>
          <w:kern w:val="2"/>
          <w:sz w:val="24"/>
          <w:szCs w:val="24"/>
        </w:rPr>
      </w:pPr>
    </w:p>
    <w:p>
      <w:pPr>
        <w:keepNext/>
        <w:keepLines/>
        <w:spacing w:before="60" w:line="360" w:lineRule="auto"/>
        <w:ind w:left="1152" w:hanging="1152"/>
        <w:jc w:val="center"/>
        <w:outlineLvl w:val="9"/>
        <w:rPr>
          <w:rFonts w:hint="eastAsia" w:cs="宋体"/>
          <w:b/>
          <w:bCs/>
          <w:color w:val="auto"/>
          <w:sz w:val="24"/>
          <w:szCs w:val="24"/>
        </w:rPr>
      </w:pPr>
    </w:p>
    <w:p>
      <w:pPr>
        <w:pStyle w:val="29"/>
        <w:spacing w:line="360" w:lineRule="auto"/>
        <w:rPr>
          <w:rFonts w:hint="eastAsia"/>
          <w:sz w:val="24"/>
          <w:szCs w:val="24"/>
        </w:rPr>
      </w:pPr>
    </w:p>
    <w:p>
      <w:pPr>
        <w:pStyle w:val="29"/>
        <w:spacing w:line="360" w:lineRule="auto"/>
        <w:rPr>
          <w:rFonts w:hint="eastAsia"/>
          <w:sz w:val="24"/>
          <w:szCs w:val="24"/>
        </w:rPr>
      </w:pPr>
    </w:p>
    <w:p>
      <w:pPr>
        <w:keepNext/>
        <w:keepLines/>
        <w:spacing w:before="60" w:line="360" w:lineRule="auto"/>
        <w:ind w:left="1152" w:hanging="1152"/>
        <w:jc w:val="center"/>
        <w:outlineLvl w:val="9"/>
        <w:rPr>
          <w:rFonts w:cs="宋体"/>
          <w:b/>
          <w:color w:val="auto"/>
          <w:kern w:val="2"/>
          <w:sz w:val="44"/>
          <w:szCs w:val="44"/>
        </w:rPr>
      </w:pPr>
      <w:r>
        <w:rPr>
          <w:rFonts w:hint="eastAsia" w:cs="宋体"/>
          <w:b/>
          <w:bCs/>
          <w:color w:val="auto"/>
          <w:sz w:val="44"/>
          <w:szCs w:val="44"/>
        </w:rPr>
        <w:t>合阳县数字农业智慧管理平台项目</w:t>
      </w:r>
    </w:p>
    <w:p>
      <w:pPr>
        <w:spacing w:line="360" w:lineRule="auto"/>
        <w:rPr>
          <w:rFonts w:cs="宋体"/>
          <w:color w:val="auto"/>
          <w:sz w:val="24"/>
          <w:szCs w:val="24"/>
        </w:rPr>
      </w:pPr>
    </w:p>
    <w:p>
      <w:pPr>
        <w:pStyle w:val="29"/>
        <w:spacing w:line="360" w:lineRule="auto"/>
        <w:rPr>
          <w:rFonts w:cs="宋体"/>
          <w:color w:val="auto"/>
          <w:sz w:val="24"/>
          <w:szCs w:val="24"/>
        </w:rPr>
      </w:pPr>
    </w:p>
    <w:p>
      <w:pPr>
        <w:spacing w:line="360" w:lineRule="auto"/>
        <w:rPr>
          <w:rFonts w:cs="宋体"/>
          <w:color w:val="auto"/>
          <w:sz w:val="24"/>
          <w:szCs w:val="24"/>
        </w:rPr>
      </w:pPr>
    </w:p>
    <w:p>
      <w:pPr>
        <w:pStyle w:val="29"/>
        <w:spacing w:line="360" w:lineRule="auto"/>
        <w:rPr>
          <w:sz w:val="24"/>
          <w:szCs w:val="24"/>
        </w:rPr>
      </w:pPr>
    </w:p>
    <w:p>
      <w:pPr>
        <w:pStyle w:val="29"/>
        <w:spacing w:line="360" w:lineRule="auto"/>
        <w:rPr>
          <w:rFonts w:cs="宋体"/>
          <w:color w:val="auto"/>
          <w:sz w:val="24"/>
          <w:szCs w:val="24"/>
        </w:rPr>
      </w:pPr>
    </w:p>
    <w:p>
      <w:pPr>
        <w:spacing w:line="360" w:lineRule="auto"/>
        <w:rPr>
          <w:rFonts w:cs="宋体"/>
          <w:color w:val="auto"/>
          <w:sz w:val="24"/>
          <w:szCs w:val="24"/>
        </w:rPr>
      </w:pPr>
    </w:p>
    <w:p>
      <w:pPr>
        <w:pStyle w:val="29"/>
        <w:spacing w:line="360" w:lineRule="auto"/>
        <w:rPr>
          <w:sz w:val="36"/>
          <w:szCs w:val="36"/>
        </w:rPr>
      </w:pPr>
    </w:p>
    <w:p>
      <w:pPr>
        <w:spacing w:line="360" w:lineRule="auto"/>
        <w:jc w:val="center"/>
        <w:rPr>
          <w:rFonts w:cs="宋体"/>
          <w:b/>
          <w:bCs/>
          <w:color w:val="auto"/>
          <w:sz w:val="36"/>
          <w:szCs w:val="36"/>
        </w:rPr>
      </w:pPr>
      <w:r>
        <w:rPr>
          <w:rFonts w:hint="eastAsia" w:cs="宋体"/>
          <w:b/>
          <w:bCs/>
          <w:color w:val="auto"/>
          <w:sz w:val="36"/>
          <w:szCs w:val="36"/>
        </w:rPr>
        <w:t>服 务 合 同</w:t>
      </w:r>
    </w:p>
    <w:p>
      <w:pPr>
        <w:spacing w:line="360" w:lineRule="auto"/>
        <w:jc w:val="center"/>
        <w:rPr>
          <w:rFonts w:cs="宋体"/>
          <w:b/>
          <w:color w:val="auto"/>
          <w:sz w:val="36"/>
          <w:szCs w:val="36"/>
        </w:rPr>
      </w:pPr>
    </w:p>
    <w:p>
      <w:pPr>
        <w:spacing w:line="360" w:lineRule="auto"/>
        <w:jc w:val="center"/>
        <w:rPr>
          <w:rFonts w:cs="宋体"/>
          <w:b/>
          <w:color w:val="auto"/>
          <w:sz w:val="36"/>
          <w:szCs w:val="36"/>
        </w:rPr>
      </w:pPr>
    </w:p>
    <w:p>
      <w:pPr>
        <w:spacing w:line="360" w:lineRule="auto"/>
        <w:jc w:val="center"/>
        <w:rPr>
          <w:rFonts w:cs="宋体"/>
          <w:b/>
          <w:bCs/>
          <w:color w:val="auto"/>
          <w:sz w:val="36"/>
          <w:szCs w:val="36"/>
        </w:rPr>
      </w:pPr>
      <w:r>
        <w:rPr>
          <w:rFonts w:hint="eastAsia" w:cs="宋体"/>
          <w:b/>
          <w:color w:val="auto"/>
          <w:sz w:val="36"/>
          <w:szCs w:val="36"/>
        </w:rPr>
        <w:t>（示范文本）</w:t>
      </w:r>
    </w:p>
    <w:p>
      <w:pPr>
        <w:spacing w:line="360" w:lineRule="auto"/>
        <w:jc w:val="left"/>
        <w:rPr>
          <w:rFonts w:cs="宋体"/>
          <w:color w:val="auto"/>
          <w:sz w:val="24"/>
          <w:szCs w:val="24"/>
        </w:rPr>
      </w:pPr>
    </w:p>
    <w:p>
      <w:pPr>
        <w:spacing w:line="360" w:lineRule="auto"/>
        <w:jc w:val="center"/>
        <w:rPr>
          <w:rFonts w:cs="宋体"/>
          <w:color w:val="auto"/>
          <w:sz w:val="24"/>
          <w:szCs w:val="24"/>
        </w:rPr>
      </w:pPr>
      <w:r>
        <w:rPr>
          <w:rFonts w:hint="eastAsia" w:cs="宋体"/>
          <w:color w:val="auto"/>
          <w:sz w:val="24"/>
          <w:szCs w:val="24"/>
        </w:rPr>
        <w:t>成交供应商和采购人也可根据项目特点自行拟定合同条款。</w:t>
      </w:r>
    </w:p>
    <w:p>
      <w:pPr>
        <w:spacing w:line="360" w:lineRule="auto"/>
        <w:jc w:val="center"/>
        <w:rPr>
          <w:rFonts w:cs="宋体"/>
          <w:color w:val="auto"/>
          <w:sz w:val="24"/>
          <w:szCs w:val="24"/>
        </w:rPr>
      </w:pPr>
    </w:p>
    <w:p>
      <w:pPr>
        <w:spacing w:line="360" w:lineRule="auto"/>
        <w:rPr>
          <w:rFonts w:cs="宋体"/>
          <w:b/>
          <w:color w:val="auto"/>
          <w:sz w:val="24"/>
          <w:szCs w:val="24"/>
        </w:rPr>
      </w:pPr>
    </w:p>
    <w:p>
      <w:pPr>
        <w:spacing w:line="360" w:lineRule="auto"/>
        <w:ind w:firstLine="480" w:firstLineChars="200"/>
        <w:rPr>
          <w:rFonts w:cs="宋体"/>
          <w:color w:val="auto"/>
          <w:kern w:val="2"/>
          <w:sz w:val="24"/>
          <w:szCs w:val="24"/>
        </w:rPr>
      </w:pPr>
    </w:p>
    <w:p>
      <w:pPr>
        <w:spacing w:line="360" w:lineRule="auto"/>
        <w:jc w:val="center"/>
        <w:rPr>
          <w:rFonts w:cs="宋体"/>
          <w:b/>
          <w:bCs/>
          <w:color w:val="auto"/>
          <w:sz w:val="24"/>
          <w:szCs w:val="24"/>
        </w:rPr>
      </w:pPr>
      <w:r>
        <w:rPr>
          <w:rFonts w:hint="eastAsia" w:cs="宋体"/>
          <w:b/>
          <w:bCs/>
          <w:color w:val="auto"/>
          <w:sz w:val="24"/>
          <w:szCs w:val="24"/>
        </w:rPr>
        <w:br w:type="page"/>
      </w:r>
      <w:r>
        <w:rPr>
          <w:rFonts w:hint="eastAsia" w:cs="宋体"/>
          <w:b/>
          <w:bCs/>
          <w:color w:val="auto"/>
          <w:sz w:val="24"/>
          <w:szCs w:val="24"/>
        </w:rPr>
        <w:t>第一部分  协议书</w:t>
      </w:r>
    </w:p>
    <w:p>
      <w:pPr>
        <w:adjustRightInd w:val="0"/>
        <w:snapToGrid w:val="0"/>
        <w:spacing w:line="360" w:lineRule="auto"/>
        <w:ind w:firstLine="482" w:firstLineChars="200"/>
        <w:rPr>
          <w:rFonts w:cs="宋体"/>
          <w:b/>
          <w:color w:val="auto"/>
          <w:sz w:val="24"/>
          <w:szCs w:val="24"/>
        </w:rPr>
      </w:pPr>
      <w:r>
        <w:rPr>
          <w:rFonts w:hint="eastAsia" w:cs="宋体"/>
          <w:b/>
          <w:color w:val="auto"/>
          <w:sz w:val="24"/>
          <w:szCs w:val="24"/>
        </w:rPr>
        <w:t>采购人（全称）：</w:t>
      </w:r>
      <w:r>
        <w:rPr>
          <w:rFonts w:hint="eastAsia" w:cs="宋体"/>
          <w:b/>
          <w:color w:val="auto"/>
          <w:sz w:val="24"/>
          <w:szCs w:val="24"/>
          <w:u w:val="single"/>
        </w:rPr>
        <w:t xml:space="preserve">                                          </w:t>
      </w:r>
    </w:p>
    <w:p>
      <w:pPr>
        <w:adjustRightInd w:val="0"/>
        <w:snapToGrid w:val="0"/>
        <w:spacing w:line="360" w:lineRule="auto"/>
        <w:ind w:firstLine="482" w:firstLineChars="200"/>
        <w:rPr>
          <w:rFonts w:cs="宋体"/>
          <w:color w:val="auto"/>
          <w:sz w:val="24"/>
          <w:szCs w:val="24"/>
          <w:u w:val="single"/>
        </w:rPr>
      </w:pPr>
      <w:r>
        <w:rPr>
          <w:rFonts w:hint="eastAsia" w:cs="宋体"/>
          <w:b/>
          <w:color w:val="auto"/>
          <w:sz w:val="24"/>
          <w:szCs w:val="24"/>
        </w:rPr>
        <w:t>供应商（全称）：</w:t>
      </w:r>
      <w:r>
        <w:rPr>
          <w:rFonts w:hint="eastAsia" w:cs="宋体"/>
          <w:b/>
          <w:color w:val="auto"/>
          <w:sz w:val="24"/>
          <w:szCs w:val="24"/>
          <w:u w:val="single"/>
        </w:rPr>
        <w:t xml:space="preserve">                                       </w:t>
      </w:r>
      <w:r>
        <w:rPr>
          <w:rFonts w:hint="eastAsia" w:cs="宋体"/>
          <w:color w:val="auto"/>
          <w:sz w:val="24"/>
          <w:szCs w:val="24"/>
          <w:u w:val="single"/>
        </w:rPr>
        <w:t xml:space="preserve">   </w:t>
      </w:r>
    </w:p>
    <w:p>
      <w:pPr>
        <w:adjustRightInd w:val="0"/>
        <w:snapToGrid w:val="0"/>
        <w:spacing w:line="360" w:lineRule="auto"/>
        <w:ind w:firstLine="480" w:firstLineChars="200"/>
        <w:rPr>
          <w:rFonts w:cs="宋体"/>
          <w:color w:val="auto"/>
          <w:sz w:val="24"/>
          <w:szCs w:val="24"/>
          <w:u w:val="single"/>
        </w:rPr>
      </w:pPr>
      <w:r>
        <w:rPr>
          <w:rFonts w:hint="eastAsia" w:cs="宋体"/>
          <w:color w:val="auto"/>
          <w:sz w:val="24"/>
          <w:szCs w:val="24"/>
        </w:rPr>
        <w:t>根据《中华人民共和国民法典》及其他有关法律、法规，遵循平等、自愿、公平和诚信的原则，双方就下述项目范围与相关服务事项协商一致，订立本合同。</w:t>
      </w:r>
    </w:p>
    <w:p>
      <w:pPr>
        <w:spacing w:line="360" w:lineRule="auto"/>
        <w:rPr>
          <w:rFonts w:cs="宋体"/>
          <w:b/>
          <w:color w:val="auto"/>
          <w:sz w:val="24"/>
          <w:szCs w:val="24"/>
        </w:rPr>
      </w:pPr>
      <w:r>
        <w:rPr>
          <w:rFonts w:hint="eastAsia" w:cs="宋体"/>
          <w:b/>
          <w:color w:val="auto"/>
          <w:sz w:val="24"/>
          <w:szCs w:val="24"/>
        </w:rPr>
        <w:t>一、项目概况</w:t>
      </w:r>
    </w:p>
    <w:p>
      <w:pPr>
        <w:adjustRightInd w:val="0"/>
        <w:snapToGrid w:val="0"/>
        <w:spacing w:line="360" w:lineRule="auto"/>
        <w:ind w:firstLine="475" w:firstLineChars="198"/>
        <w:rPr>
          <w:rFonts w:cs="宋体"/>
          <w:color w:val="auto"/>
          <w:sz w:val="24"/>
          <w:szCs w:val="24"/>
        </w:rPr>
      </w:pPr>
      <w:r>
        <w:rPr>
          <w:rFonts w:hint="eastAsia" w:cs="宋体"/>
          <w:color w:val="auto"/>
          <w:sz w:val="24"/>
          <w:szCs w:val="24"/>
        </w:rPr>
        <w:t>1.项目名称：</w:t>
      </w:r>
      <w:r>
        <w:rPr>
          <w:rFonts w:hint="eastAsia" w:cs="宋体"/>
          <w:color w:val="auto"/>
          <w:sz w:val="24"/>
          <w:szCs w:val="24"/>
          <w:u w:val="single"/>
        </w:rPr>
        <w:t xml:space="preserve">                                              </w:t>
      </w:r>
    </w:p>
    <w:p>
      <w:pPr>
        <w:adjustRightInd w:val="0"/>
        <w:snapToGrid w:val="0"/>
        <w:spacing w:line="360" w:lineRule="auto"/>
        <w:ind w:firstLine="475" w:firstLineChars="198"/>
        <w:rPr>
          <w:rFonts w:cs="宋体"/>
          <w:color w:val="auto"/>
          <w:sz w:val="24"/>
          <w:szCs w:val="24"/>
          <w:u w:val="single"/>
        </w:rPr>
      </w:pPr>
      <w:r>
        <w:rPr>
          <w:rFonts w:hint="eastAsia" w:cs="宋体"/>
          <w:color w:val="auto"/>
          <w:sz w:val="24"/>
          <w:szCs w:val="24"/>
        </w:rPr>
        <w:t>2.项目地点：</w:t>
      </w:r>
      <w:r>
        <w:rPr>
          <w:rFonts w:hint="eastAsia" w:cs="宋体"/>
          <w:color w:val="auto"/>
          <w:sz w:val="24"/>
          <w:szCs w:val="24"/>
          <w:u w:val="single"/>
        </w:rPr>
        <w:t xml:space="preserve">                                              </w:t>
      </w:r>
    </w:p>
    <w:p>
      <w:pPr>
        <w:adjustRightInd w:val="0"/>
        <w:snapToGrid w:val="0"/>
        <w:spacing w:line="360" w:lineRule="auto"/>
        <w:ind w:firstLine="475" w:firstLineChars="198"/>
        <w:jc w:val="left"/>
        <w:rPr>
          <w:rFonts w:cs="宋体"/>
          <w:color w:val="auto"/>
          <w:sz w:val="24"/>
          <w:szCs w:val="24"/>
        </w:rPr>
      </w:pPr>
      <w:r>
        <w:rPr>
          <w:rFonts w:hint="eastAsia" w:cs="宋体"/>
          <w:color w:val="auto"/>
          <w:sz w:val="24"/>
          <w:szCs w:val="24"/>
        </w:rPr>
        <w:t>3.项目内容：</w:t>
      </w:r>
      <w:r>
        <w:rPr>
          <w:rFonts w:hint="eastAsia" w:cs="宋体"/>
          <w:color w:val="auto"/>
          <w:sz w:val="24"/>
          <w:szCs w:val="24"/>
          <w:u w:val="single"/>
        </w:rPr>
        <w:t xml:space="preserve">                                              </w:t>
      </w:r>
    </w:p>
    <w:p>
      <w:pPr>
        <w:spacing w:line="360" w:lineRule="auto"/>
        <w:rPr>
          <w:rFonts w:cs="宋体"/>
          <w:b/>
          <w:color w:val="auto"/>
          <w:sz w:val="24"/>
          <w:szCs w:val="24"/>
        </w:rPr>
      </w:pPr>
      <w:r>
        <w:rPr>
          <w:rFonts w:hint="eastAsia" w:cs="宋体"/>
          <w:b/>
          <w:color w:val="auto"/>
          <w:sz w:val="24"/>
          <w:szCs w:val="24"/>
        </w:rPr>
        <w:t>二、组成本合同的文件</w:t>
      </w:r>
    </w:p>
    <w:p>
      <w:pPr>
        <w:adjustRightInd w:val="0"/>
        <w:snapToGrid w:val="0"/>
        <w:spacing w:line="360" w:lineRule="auto"/>
        <w:ind w:firstLine="475" w:firstLineChars="198"/>
        <w:rPr>
          <w:rFonts w:cs="宋体"/>
          <w:color w:val="auto"/>
          <w:sz w:val="24"/>
          <w:szCs w:val="24"/>
        </w:rPr>
      </w:pPr>
      <w:r>
        <w:rPr>
          <w:rFonts w:hint="eastAsia" w:cs="宋体"/>
          <w:color w:val="auto"/>
          <w:sz w:val="24"/>
          <w:szCs w:val="24"/>
        </w:rPr>
        <w:t>1. 协议书；</w:t>
      </w:r>
    </w:p>
    <w:p>
      <w:pPr>
        <w:adjustRightInd w:val="0"/>
        <w:snapToGrid w:val="0"/>
        <w:spacing w:line="360" w:lineRule="auto"/>
        <w:ind w:firstLine="475" w:firstLineChars="198"/>
        <w:rPr>
          <w:rFonts w:cs="宋体"/>
          <w:color w:val="auto"/>
          <w:sz w:val="24"/>
          <w:szCs w:val="24"/>
        </w:rPr>
      </w:pPr>
      <w:r>
        <w:rPr>
          <w:rFonts w:hint="eastAsia" w:cs="宋体"/>
          <w:color w:val="auto"/>
          <w:sz w:val="24"/>
          <w:szCs w:val="24"/>
        </w:rPr>
        <w:t>2. 中标通知书、投标文件、招标文件、澄清、补充文件（或委托书）；</w:t>
      </w:r>
    </w:p>
    <w:p>
      <w:pPr>
        <w:adjustRightInd w:val="0"/>
        <w:snapToGrid w:val="0"/>
        <w:spacing w:line="360" w:lineRule="auto"/>
        <w:ind w:firstLine="480" w:firstLineChars="200"/>
        <w:rPr>
          <w:rFonts w:cs="宋体"/>
          <w:color w:val="auto"/>
          <w:sz w:val="24"/>
          <w:szCs w:val="24"/>
        </w:rPr>
      </w:pPr>
      <w:r>
        <w:rPr>
          <w:rFonts w:hint="eastAsia" w:cs="宋体"/>
          <w:color w:val="auto"/>
          <w:sz w:val="24"/>
          <w:szCs w:val="24"/>
        </w:rPr>
        <w:t>3.相关服务建议书；</w:t>
      </w:r>
    </w:p>
    <w:p>
      <w:pPr>
        <w:adjustRightInd w:val="0"/>
        <w:snapToGrid w:val="0"/>
        <w:spacing w:line="360" w:lineRule="auto"/>
        <w:rPr>
          <w:rFonts w:cs="宋体"/>
          <w:color w:val="auto"/>
          <w:sz w:val="24"/>
          <w:szCs w:val="24"/>
        </w:rPr>
      </w:pPr>
      <w:r>
        <w:rPr>
          <w:rFonts w:hint="eastAsia" w:cs="宋体"/>
          <w:color w:val="auto"/>
          <w:sz w:val="24"/>
          <w:szCs w:val="24"/>
        </w:rPr>
        <w:t xml:space="preserve">    4. 附录，即：附表内相关服务的范围和内容；</w:t>
      </w:r>
    </w:p>
    <w:p>
      <w:pPr>
        <w:adjustRightInd w:val="0"/>
        <w:snapToGrid w:val="0"/>
        <w:spacing w:line="360" w:lineRule="auto"/>
        <w:ind w:firstLine="475" w:firstLineChars="198"/>
        <w:rPr>
          <w:rFonts w:cs="宋体"/>
          <w:color w:val="auto"/>
          <w:sz w:val="24"/>
          <w:szCs w:val="24"/>
        </w:rPr>
      </w:pPr>
      <w:r>
        <w:rPr>
          <w:rFonts w:hint="eastAsia" w:cs="宋体"/>
          <w:color w:val="auto"/>
          <w:sz w:val="24"/>
          <w:szCs w:val="24"/>
        </w:rPr>
        <w:t>本合同签订后，双方依法签订的补充协议也是本合同文件的组成部分。</w:t>
      </w:r>
    </w:p>
    <w:p>
      <w:pPr>
        <w:spacing w:line="360" w:lineRule="auto"/>
        <w:rPr>
          <w:rFonts w:cs="宋体"/>
          <w:b/>
          <w:color w:val="auto"/>
          <w:sz w:val="24"/>
          <w:szCs w:val="24"/>
        </w:rPr>
      </w:pPr>
      <w:r>
        <w:rPr>
          <w:rFonts w:hint="eastAsia" w:cs="宋体"/>
          <w:b/>
          <w:color w:val="auto"/>
          <w:sz w:val="24"/>
          <w:szCs w:val="24"/>
        </w:rPr>
        <w:t>三、合同价款</w:t>
      </w:r>
    </w:p>
    <w:p>
      <w:pPr>
        <w:adjustRightInd w:val="0"/>
        <w:snapToGrid w:val="0"/>
        <w:spacing w:line="360" w:lineRule="auto"/>
        <w:ind w:firstLine="475" w:firstLineChars="198"/>
        <w:rPr>
          <w:rFonts w:cs="宋体"/>
          <w:color w:val="auto"/>
          <w:sz w:val="24"/>
          <w:szCs w:val="24"/>
        </w:rPr>
      </w:pPr>
      <w:r>
        <w:rPr>
          <w:rFonts w:hint="eastAsia" w:cs="宋体"/>
          <w:color w:val="auto"/>
          <w:sz w:val="24"/>
          <w:szCs w:val="24"/>
        </w:rPr>
        <w:t>1.合同金额（大写）：</w:t>
      </w:r>
      <w:r>
        <w:rPr>
          <w:rFonts w:hint="eastAsia" w:cs="宋体"/>
          <w:color w:val="auto"/>
          <w:sz w:val="24"/>
          <w:szCs w:val="24"/>
          <w:u w:val="single"/>
        </w:rPr>
        <w:t xml:space="preserve">                            </w:t>
      </w:r>
      <w:r>
        <w:rPr>
          <w:rFonts w:hint="eastAsia" w:cs="宋体"/>
          <w:color w:val="auto"/>
          <w:sz w:val="24"/>
          <w:szCs w:val="24"/>
        </w:rPr>
        <w:t>（¥        ）。</w:t>
      </w:r>
    </w:p>
    <w:p>
      <w:pPr>
        <w:adjustRightInd w:val="0"/>
        <w:snapToGrid w:val="0"/>
        <w:spacing w:line="360" w:lineRule="auto"/>
        <w:ind w:firstLine="475" w:firstLineChars="198"/>
        <w:rPr>
          <w:rFonts w:cs="宋体"/>
          <w:color w:val="auto"/>
          <w:sz w:val="24"/>
          <w:szCs w:val="24"/>
        </w:rPr>
      </w:pPr>
      <w:r>
        <w:rPr>
          <w:rFonts w:hint="eastAsia" w:cs="宋体"/>
          <w:color w:val="auto"/>
          <w:sz w:val="24"/>
          <w:szCs w:val="24"/>
        </w:rPr>
        <w:t>2.合同总价即成交价，不受市场价变化或实际工作量变化的影响。</w:t>
      </w:r>
    </w:p>
    <w:p>
      <w:pPr>
        <w:adjustRightInd w:val="0"/>
        <w:snapToGrid w:val="0"/>
        <w:spacing w:line="360" w:lineRule="auto"/>
        <w:rPr>
          <w:rFonts w:cs="宋体"/>
          <w:b/>
          <w:color w:val="auto"/>
          <w:sz w:val="24"/>
          <w:szCs w:val="24"/>
        </w:rPr>
      </w:pPr>
      <w:r>
        <w:rPr>
          <w:rFonts w:hint="eastAsia" w:cs="宋体"/>
          <w:b/>
          <w:color w:val="auto"/>
          <w:sz w:val="24"/>
          <w:szCs w:val="24"/>
        </w:rPr>
        <w:t>四、项目实施地点、服务期：</w:t>
      </w:r>
      <w:r>
        <w:rPr>
          <w:rFonts w:hint="eastAsia" w:cs="宋体"/>
          <w:color w:val="auto"/>
          <w:sz w:val="24"/>
          <w:szCs w:val="24"/>
        </w:rPr>
        <w:t xml:space="preserve"> </w:t>
      </w:r>
    </w:p>
    <w:p>
      <w:pPr>
        <w:adjustRightInd w:val="0"/>
        <w:snapToGrid w:val="0"/>
        <w:spacing w:line="360" w:lineRule="auto"/>
        <w:rPr>
          <w:rFonts w:cs="宋体"/>
          <w:b/>
          <w:color w:val="auto"/>
          <w:sz w:val="24"/>
          <w:szCs w:val="24"/>
        </w:rPr>
      </w:pPr>
      <w:r>
        <w:rPr>
          <w:rFonts w:hint="eastAsia" w:cs="宋体"/>
          <w:b/>
          <w:color w:val="auto"/>
          <w:sz w:val="24"/>
          <w:szCs w:val="24"/>
        </w:rPr>
        <w:t>五、付款方式：</w:t>
      </w:r>
      <w:r>
        <w:rPr>
          <w:rFonts w:hint="eastAsia" w:cs="宋体"/>
          <w:color w:val="auto"/>
          <w:sz w:val="24"/>
          <w:szCs w:val="24"/>
        </w:rPr>
        <w:t xml:space="preserve"> </w:t>
      </w:r>
    </w:p>
    <w:p>
      <w:pPr>
        <w:adjustRightInd w:val="0"/>
        <w:snapToGrid w:val="0"/>
        <w:spacing w:line="360" w:lineRule="auto"/>
        <w:rPr>
          <w:rFonts w:cs="宋体"/>
          <w:bCs/>
          <w:color w:val="auto"/>
          <w:sz w:val="24"/>
          <w:szCs w:val="24"/>
        </w:rPr>
      </w:pPr>
      <w:r>
        <w:rPr>
          <w:rFonts w:hint="eastAsia" w:cs="宋体"/>
          <w:b/>
          <w:color w:val="auto"/>
          <w:sz w:val="24"/>
          <w:szCs w:val="24"/>
        </w:rPr>
        <w:t>六、质量保证：</w:t>
      </w:r>
      <w:r>
        <w:rPr>
          <w:rFonts w:hint="eastAsia" w:cs="宋体"/>
          <w:bCs/>
          <w:color w:val="auto"/>
          <w:sz w:val="24"/>
          <w:szCs w:val="24"/>
        </w:rPr>
        <w:t xml:space="preserve"> </w:t>
      </w:r>
    </w:p>
    <w:p>
      <w:pPr>
        <w:spacing w:line="360" w:lineRule="auto"/>
        <w:rPr>
          <w:rFonts w:cs="宋体"/>
          <w:b/>
          <w:color w:val="auto"/>
          <w:sz w:val="24"/>
          <w:szCs w:val="24"/>
        </w:rPr>
      </w:pPr>
      <w:r>
        <w:rPr>
          <w:rFonts w:hint="eastAsia" w:cs="宋体"/>
          <w:b/>
          <w:color w:val="auto"/>
          <w:sz w:val="24"/>
          <w:szCs w:val="24"/>
        </w:rPr>
        <w:t xml:space="preserve">七、知识产权 </w:t>
      </w:r>
    </w:p>
    <w:p>
      <w:pPr>
        <w:spacing w:line="360" w:lineRule="auto"/>
        <w:rPr>
          <w:rFonts w:cs="宋体"/>
          <w:b/>
          <w:color w:val="auto"/>
          <w:sz w:val="24"/>
          <w:szCs w:val="24"/>
        </w:rPr>
      </w:pPr>
      <w:r>
        <w:rPr>
          <w:rFonts w:hint="eastAsia" w:cs="宋体"/>
          <w:b/>
          <w:color w:val="auto"/>
          <w:sz w:val="24"/>
          <w:szCs w:val="24"/>
        </w:rPr>
        <w:t>八、违约责任：</w:t>
      </w:r>
      <w:r>
        <w:rPr>
          <w:rFonts w:hint="eastAsia" w:cs="宋体"/>
          <w:bCs/>
          <w:color w:val="auto"/>
          <w:sz w:val="24"/>
          <w:szCs w:val="24"/>
        </w:rPr>
        <w:t xml:space="preserve"> </w:t>
      </w:r>
    </w:p>
    <w:p>
      <w:pPr>
        <w:adjustRightInd w:val="0"/>
        <w:snapToGrid w:val="0"/>
        <w:spacing w:line="360" w:lineRule="auto"/>
        <w:rPr>
          <w:rFonts w:cs="宋体"/>
          <w:b/>
          <w:color w:val="auto"/>
          <w:sz w:val="24"/>
          <w:szCs w:val="24"/>
        </w:rPr>
      </w:pPr>
      <w:r>
        <w:rPr>
          <w:rFonts w:hint="eastAsia" w:cs="宋体"/>
          <w:b/>
          <w:color w:val="auto"/>
          <w:sz w:val="24"/>
          <w:szCs w:val="24"/>
        </w:rPr>
        <w:t>九、考核验收：</w:t>
      </w:r>
      <w:r>
        <w:rPr>
          <w:rFonts w:hint="eastAsia" w:cs="宋体"/>
          <w:bCs/>
          <w:color w:val="auto"/>
          <w:sz w:val="24"/>
          <w:szCs w:val="24"/>
        </w:rPr>
        <w:t xml:space="preserve"> </w:t>
      </w:r>
    </w:p>
    <w:p>
      <w:pPr>
        <w:adjustRightInd w:val="0"/>
        <w:snapToGrid w:val="0"/>
        <w:spacing w:line="360" w:lineRule="auto"/>
        <w:rPr>
          <w:rFonts w:cs="宋体"/>
          <w:b/>
          <w:color w:val="auto"/>
          <w:sz w:val="24"/>
          <w:szCs w:val="24"/>
        </w:rPr>
      </w:pPr>
      <w:r>
        <w:rPr>
          <w:rFonts w:hint="eastAsia" w:cs="宋体"/>
          <w:b/>
          <w:color w:val="auto"/>
          <w:sz w:val="24"/>
          <w:szCs w:val="24"/>
        </w:rPr>
        <w:t>十、政府采购合同：</w:t>
      </w:r>
    </w:p>
    <w:p>
      <w:pPr>
        <w:spacing w:line="360" w:lineRule="auto"/>
        <w:rPr>
          <w:rFonts w:cs="宋体"/>
          <w:b/>
          <w:color w:val="auto"/>
          <w:sz w:val="24"/>
          <w:szCs w:val="24"/>
        </w:rPr>
      </w:pPr>
      <w:r>
        <w:rPr>
          <w:rFonts w:hint="eastAsia" w:cs="宋体"/>
          <w:b/>
          <w:color w:val="auto"/>
          <w:sz w:val="24"/>
          <w:szCs w:val="24"/>
        </w:rPr>
        <w:t>十一、合同争议的解决</w:t>
      </w:r>
    </w:p>
    <w:p>
      <w:pPr>
        <w:spacing w:line="360" w:lineRule="auto"/>
        <w:ind w:firstLine="480" w:firstLineChars="200"/>
        <w:rPr>
          <w:rFonts w:cs="宋体"/>
          <w:color w:val="auto"/>
          <w:sz w:val="24"/>
          <w:szCs w:val="24"/>
        </w:rPr>
      </w:pPr>
      <w:r>
        <w:rPr>
          <w:rFonts w:hint="eastAsia" w:cs="宋体"/>
          <w:color w:val="auto"/>
          <w:sz w:val="24"/>
          <w:szCs w:val="24"/>
        </w:rPr>
        <w:t>合同执行中发生争议的，当事人双方应协商解决，协商达不成一致时，可向采购人所在地人民法院提请诉讼。</w:t>
      </w:r>
    </w:p>
    <w:p>
      <w:pPr>
        <w:spacing w:line="360" w:lineRule="auto"/>
        <w:jc w:val="left"/>
        <w:rPr>
          <w:rFonts w:cs="宋体"/>
          <w:b/>
          <w:bCs/>
          <w:color w:val="auto"/>
          <w:sz w:val="24"/>
          <w:szCs w:val="24"/>
        </w:rPr>
      </w:pPr>
      <w:r>
        <w:rPr>
          <w:rFonts w:hint="eastAsia" w:cs="宋体"/>
          <w:b/>
          <w:bCs/>
          <w:color w:val="auto"/>
          <w:sz w:val="24"/>
          <w:szCs w:val="24"/>
        </w:rPr>
        <w:t>十二、不可抗力情况下的免责约定</w:t>
      </w:r>
    </w:p>
    <w:p>
      <w:pPr>
        <w:spacing w:line="360" w:lineRule="auto"/>
        <w:jc w:val="left"/>
        <w:rPr>
          <w:rFonts w:cs="宋体"/>
          <w:color w:val="auto"/>
          <w:sz w:val="24"/>
          <w:szCs w:val="24"/>
        </w:rPr>
      </w:pPr>
      <w:r>
        <w:rPr>
          <w:rFonts w:hint="eastAsia" w:cs="宋体"/>
          <w:color w:val="auto"/>
          <w:sz w:val="24"/>
          <w:szCs w:val="24"/>
        </w:rPr>
        <w:t xml:space="preserve">    双方约定不可抗力情况指：双方不可预见、不可避免、不可克服的客观情况，但不包括双方的违约或疏忽。这些事件包括但不限于：战争、严重火灾、洪水、台风、地震等。</w:t>
      </w:r>
    </w:p>
    <w:p>
      <w:pPr>
        <w:spacing w:line="360" w:lineRule="auto"/>
        <w:rPr>
          <w:rFonts w:cs="宋体"/>
          <w:color w:val="auto"/>
          <w:sz w:val="24"/>
          <w:szCs w:val="24"/>
        </w:rPr>
      </w:pPr>
      <w:r>
        <w:rPr>
          <w:rFonts w:hint="eastAsia" w:cs="宋体"/>
          <w:b/>
          <w:color w:val="auto"/>
          <w:sz w:val="24"/>
          <w:szCs w:val="24"/>
        </w:rPr>
        <w:t>十三、其他（</w:t>
      </w:r>
      <w:r>
        <w:rPr>
          <w:rFonts w:hint="eastAsia" w:cs="宋体"/>
          <w:color w:val="auto"/>
          <w:sz w:val="24"/>
          <w:szCs w:val="24"/>
        </w:rPr>
        <w:t>在合同中具体明确）</w:t>
      </w:r>
    </w:p>
    <w:p>
      <w:pPr>
        <w:spacing w:line="360" w:lineRule="auto"/>
        <w:rPr>
          <w:rFonts w:cs="宋体"/>
          <w:b/>
          <w:color w:val="auto"/>
          <w:sz w:val="24"/>
          <w:szCs w:val="24"/>
        </w:rPr>
      </w:pPr>
      <w:r>
        <w:rPr>
          <w:rFonts w:hint="eastAsia" w:cs="宋体"/>
          <w:b/>
          <w:color w:val="auto"/>
          <w:sz w:val="24"/>
          <w:szCs w:val="24"/>
        </w:rPr>
        <w:t>十四、合同订立</w:t>
      </w:r>
    </w:p>
    <w:p>
      <w:pPr>
        <w:adjustRightInd w:val="0"/>
        <w:snapToGrid w:val="0"/>
        <w:spacing w:line="360" w:lineRule="auto"/>
        <w:ind w:firstLine="475" w:firstLineChars="198"/>
        <w:rPr>
          <w:rFonts w:cs="宋体"/>
          <w:color w:val="auto"/>
          <w:sz w:val="24"/>
          <w:szCs w:val="24"/>
        </w:rPr>
      </w:pPr>
      <w:r>
        <w:rPr>
          <w:rFonts w:hint="eastAsia" w:cs="宋体"/>
          <w:color w:val="auto"/>
          <w:sz w:val="24"/>
          <w:szCs w:val="24"/>
        </w:rPr>
        <w:t>1. 订立时间：</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pPr>
        <w:adjustRightInd w:val="0"/>
        <w:snapToGrid w:val="0"/>
        <w:spacing w:line="360" w:lineRule="auto"/>
        <w:ind w:firstLine="475" w:firstLineChars="198"/>
        <w:rPr>
          <w:rFonts w:cs="宋体"/>
          <w:color w:val="auto"/>
          <w:sz w:val="24"/>
          <w:szCs w:val="24"/>
        </w:rPr>
      </w:pPr>
      <w:r>
        <w:rPr>
          <w:rFonts w:hint="eastAsia" w:cs="宋体"/>
          <w:color w:val="auto"/>
          <w:sz w:val="24"/>
          <w:szCs w:val="24"/>
        </w:rPr>
        <w:t>2. 订立地点：</w:t>
      </w:r>
      <w:r>
        <w:rPr>
          <w:rFonts w:hint="eastAsia" w:cs="宋体"/>
          <w:color w:val="auto"/>
          <w:sz w:val="24"/>
          <w:szCs w:val="24"/>
          <w:u w:val="single"/>
        </w:rPr>
        <w:t xml:space="preserve">                                 </w:t>
      </w:r>
      <w:r>
        <w:rPr>
          <w:rFonts w:hint="eastAsia" w:cs="宋体"/>
          <w:color w:val="auto"/>
          <w:sz w:val="24"/>
          <w:szCs w:val="24"/>
        </w:rPr>
        <w:t>。</w:t>
      </w:r>
    </w:p>
    <w:p>
      <w:pPr>
        <w:tabs>
          <w:tab w:val="left" w:pos="980"/>
        </w:tabs>
        <w:kinsoku w:val="0"/>
        <w:spacing w:line="360" w:lineRule="auto"/>
        <w:ind w:firstLine="480" w:firstLineChars="200"/>
        <w:rPr>
          <w:rFonts w:cs="宋体"/>
          <w:color w:val="auto"/>
          <w:sz w:val="24"/>
          <w:szCs w:val="24"/>
        </w:rPr>
      </w:pPr>
      <w:r>
        <w:rPr>
          <w:rFonts w:hint="eastAsia" w:cs="宋体"/>
          <w:color w:val="auto"/>
          <w:sz w:val="24"/>
          <w:szCs w:val="24"/>
        </w:rPr>
        <w:t>3. 本合同一式</w:t>
      </w:r>
      <w:r>
        <w:rPr>
          <w:rFonts w:hint="eastAsia" w:cs="宋体"/>
          <w:color w:val="auto"/>
          <w:sz w:val="24"/>
          <w:szCs w:val="24"/>
          <w:u w:val="single"/>
        </w:rPr>
        <w:t xml:space="preserve"> 陆 </w:t>
      </w:r>
      <w:r>
        <w:rPr>
          <w:rFonts w:hint="eastAsia" w:cs="宋体"/>
          <w:color w:val="auto"/>
          <w:sz w:val="24"/>
          <w:szCs w:val="24"/>
        </w:rPr>
        <w:t>份，具有同等法律效力，双方各执</w:t>
      </w:r>
      <w:r>
        <w:rPr>
          <w:rFonts w:hint="eastAsia" w:cs="宋体"/>
          <w:color w:val="auto"/>
          <w:sz w:val="24"/>
          <w:szCs w:val="24"/>
          <w:u w:val="single"/>
        </w:rPr>
        <w:t xml:space="preserve"> 贰 </w:t>
      </w:r>
      <w:r>
        <w:rPr>
          <w:rFonts w:hint="eastAsia" w:cs="宋体"/>
          <w:color w:val="auto"/>
          <w:sz w:val="24"/>
          <w:szCs w:val="24"/>
        </w:rPr>
        <w:t>份，监管部门备案</w:t>
      </w:r>
      <w:r>
        <w:rPr>
          <w:rFonts w:hint="eastAsia" w:cs="宋体"/>
          <w:color w:val="auto"/>
          <w:sz w:val="24"/>
          <w:szCs w:val="24"/>
          <w:u w:val="single"/>
        </w:rPr>
        <w:t xml:space="preserve"> 壹 </w:t>
      </w:r>
      <w:r>
        <w:rPr>
          <w:rFonts w:hint="eastAsia" w:cs="宋体"/>
          <w:color w:val="auto"/>
          <w:sz w:val="24"/>
          <w:szCs w:val="24"/>
        </w:rPr>
        <w:t>份、招标代理机构存档</w:t>
      </w:r>
      <w:r>
        <w:rPr>
          <w:rFonts w:hint="eastAsia" w:cs="宋体"/>
          <w:color w:val="auto"/>
          <w:sz w:val="24"/>
          <w:szCs w:val="24"/>
          <w:u w:val="single"/>
        </w:rPr>
        <w:t xml:space="preserve"> 壹 </w:t>
      </w:r>
      <w:r>
        <w:rPr>
          <w:rFonts w:hint="eastAsia" w:cs="宋体"/>
          <w:color w:val="auto"/>
          <w:sz w:val="24"/>
          <w:szCs w:val="24"/>
        </w:rPr>
        <w:t>份。各方签字盖章后生效，合同执行完毕自动失效。（合同的服务承诺则长期有效）。</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tabs>
          <w:tab w:val="left" w:pos="480"/>
        </w:tabs>
        <w:spacing w:line="360" w:lineRule="auto"/>
        <w:rPr>
          <w:rFonts w:cs="宋体"/>
          <w:b/>
          <w:color w:val="auto"/>
          <w:sz w:val="24"/>
          <w:szCs w:val="24"/>
        </w:rPr>
      </w:pPr>
      <w:r>
        <w:rPr>
          <w:rFonts w:hint="eastAsia" w:cs="宋体"/>
          <w:b/>
          <w:color w:val="auto"/>
          <w:sz w:val="24"/>
          <w:szCs w:val="24"/>
        </w:rPr>
        <w:t>甲  方（公章）</w:t>
      </w:r>
      <w:r>
        <w:rPr>
          <w:rFonts w:hint="eastAsia" w:cs="宋体"/>
          <w:color w:val="auto"/>
          <w:sz w:val="24"/>
          <w:szCs w:val="24"/>
        </w:rPr>
        <w:t xml:space="preserve">                               </w:t>
      </w:r>
      <w:r>
        <w:rPr>
          <w:rFonts w:hint="eastAsia" w:cs="宋体"/>
          <w:b/>
          <w:color w:val="auto"/>
          <w:sz w:val="24"/>
          <w:szCs w:val="24"/>
        </w:rPr>
        <w:t xml:space="preserve">乙  方（公章）            </w:t>
      </w:r>
    </w:p>
    <w:p>
      <w:pPr>
        <w:tabs>
          <w:tab w:val="left" w:pos="480"/>
        </w:tabs>
        <w:spacing w:line="360" w:lineRule="auto"/>
        <w:rPr>
          <w:rFonts w:cs="宋体"/>
          <w:color w:val="auto"/>
          <w:sz w:val="24"/>
          <w:szCs w:val="24"/>
        </w:rPr>
      </w:pPr>
      <w:r>
        <w:rPr>
          <w:rFonts w:hint="eastAsia" w:cs="宋体"/>
          <w:color w:val="auto"/>
          <w:sz w:val="24"/>
          <w:szCs w:val="24"/>
        </w:rPr>
        <w:t xml:space="preserve">单位名称：                                   单位名称：                </w:t>
      </w:r>
    </w:p>
    <w:p>
      <w:pPr>
        <w:tabs>
          <w:tab w:val="left" w:pos="480"/>
        </w:tabs>
        <w:spacing w:line="360" w:lineRule="auto"/>
        <w:rPr>
          <w:rFonts w:cs="宋体"/>
          <w:color w:val="auto"/>
          <w:sz w:val="24"/>
          <w:szCs w:val="24"/>
        </w:rPr>
      </w:pPr>
      <w:r>
        <w:rPr>
          <w:rFonts w:hint="eastAsia" w:cs="宋体"/>
          <w:color w:val="auto"/>
          <w:sz w:val="24"/>
          <w:szCs w:val="24"/>
        </w:rPr>
        <w:t xml:space="preserve">地    址：                                   地    址：                </w:t>
      </w:r>
    </w:p>
    <w:p>
      <w:pPr>
        <w:tabs>
          <w:tab w:val="left" w:pos="480"/>
        </w:tabs>
        <w:spacing w:line="360" w:lineRule="auto"/>
        <w:rPr>
          <w:rFonts w:cs="宋体"/>
          <w:color w:val="auto"/>
          <w:sz w:val="24"/>
          <w:szCs w:val="24"/>
        </w:rPr>
      </w:pPr>
      <w:r>
        <w:rPr>
          <w:rFonts w:hint="eastAsia" w:cs="宋体"/>
          <w:color w:val="auto"/>
          <w:sz w:val="24"/>
          <w:szCs w:val="24"/>
        </w:rPr>
        <w:t xml:space="preserve">代 理 人：                                   代 理 人：                </w:t>
      </w:r>
    </w:p>
    <w:p>
      <w:pPr>
        <w:tabs>
          <w:tab w:val="left" w:pos="480"/>
        </w:tabs>
        <w:spacing w:line="360" w:lineRule="auto"/>
        <w:rPr>
          <w:rFonts w:cs="宋体"/>
          <w:color w:val="auto"/>
          <w:sz w:val="24"/>
          <w:szCs w:val="24"/>
        </w:rPr>
      </w:pPr>
      <w:r>
        <w:rPr>
          <w:rFonts w:hint="eastAsia" w:cs="宋体"/>
          <w:color w:val="auto"/>
          <w:sz w:val="24"/>
          <w:szCs w:val="24"/>
        </w:rPr>
        <w:t xml:space="preserve">联系电话：                                   联系电话：                </w:t>
      </w:r>
    </w:p>
    <w:p>
      <w:pPr>
        <w:tabs>
          <w:tab w:val="left" w:pos="480"/>
        </w:tabs>
        <w:spacing w:line="360" w:lineRule="auto"/>
        <w:rPr>
          <w:rFonts w:cs="宋体"/>
          <w:color w:val="auto"/>
          <w:sz w:val="24"/>
          <w:szCs w:val="24"/>
        </w:rPr>
      </w:pPr>
      <w:r>
        <w:rPr>
          <w:rFonts w:hint="eastAsia" w:cs="宋体"/>
          <w:color w:val="auto"/>
          <w:sz w:val="24"/>
          <w:szCs w:val="24"/>
        </w:rPr>
        <w:t xml:space="preserve">                                             帐    号：</w:t>
      </w:r>
    </w:p>
    <w:p>
      <w:pPr>
        <w:tabs>
          <w:tab w:val="left" w:pos="480"/>
        </w:tabs>
        <w:spacing w:line="360" w:lineRule="auto"/>
        <w:rPr>
          <w:rFonts w:cs="宋体"/>
          <w:color w:val="auto"/>
          <w:sz w:val="24"/>
          <w:szCs w:val="24"/>
        </w:rPr>
      </w:pPr>
      <w:r>
        <w:rPr>
          <w:rFonts w:hint="eastAsia" w:cs="宋体"/>
          <w:color w:val="auto"/>
          <w:sz w:val="24"/>
          <w:szCs w:val="24"/>
        </w:rPr>
        <w:t xml:space="preserve">                                             开户银行： </w:t>
      </w:r>
    </w:p>
    <w:p>
      <w:pPr>
        <w:snapToGrid w:val="0"/>
        <w:spacing w:line="360" w:lineRule="auto"/>
        <w:rPr>
          <w:rFonts w:cs="宋体"/>
          <w:color w:val="auto"/>
          <w:kern w:val="2"/>
          <w:sz w:val="24"/>
          <w:szCs w:val="24"/>
        </w:rPr>
      </w:pPr>
      <w:r>
        <w:rPr>
          <w:rFonts w:hint="eastAsia" w:cs="宋体"/>
          <w:color w:val="auto"/>
          <w:kern w:val="2"/>
          <w:sz w:val="24"/>
          <w:szCs w:val="24"/>
        </w:rPr>
        <w:t xml:space="preserve">签订日期：                                   签订日期：                </w:t>
      </w:r>
    </w:p>
    <w:p>
      <w:pPr>
        <w:spacing w:line="360" w:lineRule="auto"/>
        <w:rPr>
          <w:rFonts w:cs="宋体"/>
          <w:color w:val="auto"/>
          <w:sz w:val="24"/>
          <w:szCs w:val="24"/>
        </w:rPr>
      </w:pPr>
      <w:r>
        <w:rPr>
          <w:rFonts w:hint="eastAsia" w:cs="宋体"/>
          <w:b/>
          <w:bCs/>
          <w:color w:val="auto"/>
          <w:kern w:val="2"/>
          <w:sz w:val="24"/>
          <w:szCs w:val="24"/>
        </w:rPr>
        <w:br w:type="page"/>
      </w:r>
      <w:bookmarkEnd w:id="133"/>
    </w:p>
    <w:bookmarkEnd w:id="115"/>
    <w:bookmarkEnd w:id="116"/>
    <w:bookmarkEnd w:id="117"/>
    <w:bookmarkEnd w:id="118"/>
    <w:bookmarkEnd w:id="119"/>
    <w:bookmarkEnd w:id="120"/>
    <w:bookmarkEnd w:id="121"/>
    <w:p>
      <w:pPr>
        <w:pStyle w:val="3"/>
        <w:spacing w:line="360" w:lineRule="auto"/>
        <w:rPr>
          <w:rFonts w:ascii="宋体" w:hAnsi="宋体" w:cs="宋体"/>
          <w:color w:val="auto"/>
          <w:sz w:val="36"/>
          <w:szCs w:val="36"/>
        </w:rPr>
      </w:pPr>
      <w:bookmarkStart w:id="134" w:name="_Toc23605"/>
      <w:bookmarkStart w:id="135" w:name="_Toc22951"/>
      <w:bookmarkStart w:id="136" w:name="_Toc6072"/>
      <w:r>
        <w:rPr>
          <w:rFonts w:hint="eastAsia" w:ascii="宋体" w:hAnsi="宋体" w:cs="宋体"/>
          <w:color w:val="auto"/>
          <w:sz w:val="36"/>
          <w:szCs w:val="36"/>
        </w:rPr>
        <w:t>第四章 采购内容及技术要求</w:t>
      </w:r>
      <w:bookmarkEnd w:id="122"/>
      <w:bookmarkEnd w:id="123"/>
      <w:bookmarkEnd w:id="124"/>
      <w:bookmarkEnd w:id="125"/>
      <w:bookmarkEnd w:id="126"/>
      <w:bookmarkEnd w:id="127"/>
      <w:bookmarkEnd w:id="128"/>
      <w:bookmarkEnd w:id="129"/>
      <w:bookmarkEnd w:id="130"/>
      <w:bookmarkEnd w:id="131"/>
      <w:bookmarkEnd w:id="132"/>
      <w:bookmarkEnd w:id="134"/>
      <w:bookmarkEnd w:id="135"/>
      <w:bookmarkEnd w:id="136"/>
      <w:bookmarkStart w:id="137" w:name="_Toc317530110"/>
      <w:bookmarkStart w:id="138" w:name="_Toc23856"/>
      <w:bookmarkStart w:id="139" w:name="_Toc2711"/>
      <w:bookmarkStart w:id="140" w:name="_Toc11450"/>
      <w:bookmarkStart w:id="141" w:name="_Toc4053"/>
      <w:bookmarkStart w:id="142" w:name="_Toc1025"/>
      <w:bookmarkStart w:id="143" w:name="_Toc20481"/>
      <w:bookmarkStart w:id="144" w:name="_Toc389582038"/>
    </w:p>
    <w:bookmarkEnd w:id="137"/>
    <w:tbl>
      <w:tblPr>
        <w:tblStyle w:val="30"/>
        <w:tblW w:w="5000" w:type="pct"/>
        <w:tblInd w:w="0" w:type="dxa"/>
        <w:tblLayout w:type="fixed"/>
        <w:tblCellMar>
          <w:top w:w="0" w:type="dxa"/>
          <w:left w:w="108" w:type="dxa"/>
          <w:bottom w:w="0" w:type="dxa"/>
          <w:right w:w="108" w:type="dxa"/>
        </w:tblCellMar>
      </w:tblPr>
      <w:tblGrid>
        <w:gridCol w:w="742"/>
        <w:gridCol w:w="751"/>
        <w:gridCol w:w="850"/>
        <w:gridCol w:w="1207"/>
        <w:gridCol w:w="3333"/>
        <w:gridCol w:w="728"/>
        <w:gridCol w:w="439"/>
        <w:gridCol w:w="467"/>
      </w:tblGrid>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8" w:space="0"/>
              <w:bottom w:val="single" w:color="000000" w:sz="4" w:space="0"/>
              <w:right w:val="single" w:color="000000" w:sz="4" w:space="0"/>
            </w:tcBorders>
            <w:noWrap/>
            <w:vAlign w:val="center"/>
          </w:tcPr>
          <w:p>
            <w:pPr>
              <w:widowControl/>
              <w:spacing w:line="360" w:lineRule="auto"/>
              <w:jc w:val="center"/>
              <w:textAlignment w:val="center"/>
              <w:rPr>
                <w:rFonts w:cs="宋体"/>
                <w:b/>
                <w:bCs/>
                <w:color w:val="000000"/>
                <w:sz w:val="21"/>
                <w:szCs w:val="21"/>
              </w:rPr>
            </w:pPr>
            <w:bookmarkStart w:id="145" w:name="_Toc426457697"/>
            <w:bookmarkStart w:id="146" w:name="_Toc2203"/>
            <w:bookmarkStart w:id="147" w:name="_Toc25607"/>
            <w:bookmarkStart w:id="148" w:name="_Toc1462"/>
            <w:r>
              <w:rPr>
                <w:rFonts w:hint="eastAsia" w:cs="宋体"/>
                <w:b/>
                <w:bCs/>
                <w:color w:val="000000"/>
                <w:sz w:val="21"/>
                <w:szCs w:val="21"/>
                <w:lang w:bidi="ar"/>
              </w:rPr>
              <w:t>子系统</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cs="宋体"/>
                <w:b/>
                <w:bCs/>
                <w:color w:val="000000"/>
                <w:sz w:val="21"/>
                <w:szCs w:val="21"/>
              </w:rPr>
            </w:pPr>
            <w:r>
              <w:rPr>
                <w:rFonts w:hint="eastAsia" w:cs="宋体"/>
                <w:b/>
                <w:bCs/>
                <w:color w:val="000000"/>
                <w:sz w:val="21"/>
                <w:szCs w:val="21"/>
                <w:lang w:bidi="ar"/>
              </w:rPr>
              <w:t>功能模块</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cs="宋体"/>
                <w:b/>
                <w:bCs/>
                <w:color w:val="000000"/>
                <w:sz w:val="21"/>
                <w:szCs w:val="21"/>
              </w:rPr>
            </w:pPr>
            <w:r>
              <w:rPr>
                <w:rFonts w:hint="eastAsia" w:cs="宋体"/>
                <w:b/>
                <w:bCs/>
                <w:color w:val="000000"/>
                <w:sz w:val="21"/>
                <w:szCs w:val="21"/>
                <w:lang w:bidi="ar"/>
              </w:rPr>
              <w:t>子模块</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cs="宋体"/>
                <w:b/>
                <w:bCs/>
                <w:color w:val="000000"/>
                <w:sz w:val="21"/>
                <w:szCs w:val="21"/>
              </w:rPr>
            </w:pPr>
            <w:r>
              <w:rPr>
                <w:rFonts w:hint="eastAsia" w:cs="宋体"/>
                <w:b/>
                <w:bCs/>
                <w:color w:val="000000"/>
                <w:sz w:val="21"/>
                <w:szCs w:val="21"/>
                <w:lang w:bidi="ar"/>
              </w:rPr>
              <w:t>具体功能</w:t>
            </w:r>
          </w:p>
        </w:tc>
        <w:tc>
          <w:tcPr>
            <w:tcW w:w="195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cs="宋体"/>
                <w:b/>
                <w:bCs/>
                <w:color w:val="000000"/>
                <w:sz w:val="21"/>
                <w:szCs w:val="21"/>
              </w:rPr>
            </w:pPr>
            <w:r>
              <w:rPr>
                <w:rFonts w:hint="eastAsia" w:cs="宋体"/>
                <w:b/>
                <w:bCs/>
                <w:color w:val="000000" w:themeColor="text1"/>
                <w:sz w:val="21"/>
                <w:szCs w:val="21"/>
                <w:lang w:bidi="ar"/>
                <w14:textFill>
                  <w14:solidFill>
                    <w14:schemeClr w14:val="tx1"/>
                  </w14:solidFill>
                </w14:textFill>
              </w:rPr>
              <w:t>描述</w:t>
            </w:r>
          </w:p>
        </w:tc>
        <w:tc>
          <w:tcPr>
            <w:tcW w:w="427" w:type="pc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cs="宋体"/>
                <w:b/>
                <w:bCs/>
                <w:color w:val="000000"/>
                <w:sz w:val="21"/>
                <w:szCs w:val="21"/>
                <w:lang w:bidi="ar"/>
              </w:rPr>
            </w:pPr>
            <w:r>
              <w:rPr>
                <w:rFonts w:hint="eastAsia" w:cs="宋体"/>
                <w:b/>
                <w:bCs/>
                <w:color w:val="000000"/>
                <w:sz w:val="21"/>
                <w:szCs w:val="21"/>
                <w:lang w:bidi="ar"/>
              </w:rPr>
              <w:t>数量</w:t>
            </w:r>
          </w:p>
        </w:tc>
        <w:tc>
          <w:tcPr>
            <w:tcW w:w="257" w:type="pc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cs="宋体"/>
                <w:b/>
                <w:bCs/>
                <w:color w:val="000000"/>
                <w:sz w:val="21"/>
                <w:szCs w:val="21"/>
                <w:lang w:bidi="ar"/>
              </w:rPr>
            </w:pPr>
            <w:r>
              <w:rPr>
                <w:rFonts w:hint="eastAsia" w:cs="宋体"/>
                <w:b/>
                <w:bCs/>
                <w:color w:val="000000"/>
                <w:sz w:val="21"/>
                <w:szCs w:val="21"/>
                <w:lang w:bidi="ar"/>
              </w:rPr>
              <w:t>单位</w:t>
            </w:r>
          </w:p>
        </w:tc>
        <w:tc>
          <w:tcPr>
            <w:tcW w:w="274" w:type="pc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cs="宋体"/>
                <w:b/>
                <w:bCs/>
                <w:color w:val="000000"/>
                <w:sz w:val="21"/>
                <w:szCs w:val="21"/>
              </w:rPr>
            </w:pPr>
            <w:r>
              <w:rPr>
                <w:rFonts w:hint="eastAsia" w:cs="宋体"/>
                <w:b/>
                <w:bCs/>
                <w:color w:val="000000"/>
                <w:sz w:val="21"/>
                <w:szCs w:val="21"/>
                <w:lang w:bidi="ar"/>
              </w:rPr>
              <w:t>备注</w:t>
            </w:r>
          </w:p>
        </w:tc>
      </w:tr>
      <w:tr>
        <w:tblPrEx>
          <w:tblCellMar>
            <w:top w:w="0" w:type="dxa"/>
            <w:left w:w="108" w:type="dxa"/>
            <w:bottom w:w="0" w:type="dxa"/>
            <w:right w:w="108" w:type="dxa"/>
          </w:tblCellMar>
        </w:tblPrEx>
        <w:trPr>
          <w:trHeight w:val="855" w:hRule="atLeast"/>
        </w:trPr>
        <w:tc>
          <w:tcPr>
            <w:tcW w:w="435" w:type="pct"/>
            <w:vMerge w:val="restart"/>
            <w:tcBorders>
              <w:top w:val="single" w:color="000000" w:sz="4" w:space="0"/>
              <w:left w:val="single" w:color="000000" w:sz="8" w:space="0"/>
              <w:bottom w:val="nil"/>
              <w:right w:val="single" w:color="000000" w:sz="4" w:space="0"/>
            </w:tcBorders>
            <w:vAlign w:val="center"/>
          </w:tcPr>
          <w:p>
            <w:pPr>
              <w:widowControl/>
              <w:spacing w:line="360" w:lineRule="auto"/>
              <w:jc w:val="center"/>
              <w:textAlignment w:val="center"/>
              <w:rPr>
                <w:rFonts w:cs="宋体"/>
                <w:color w:val="000000"/>
                <w:sz w:val="21"/>
                <w:szCs w:val="21"/>
              </w:rPr>
            </w:pPr>
            <w:r>
              <w:rPr>
                <w:rFonts w:hint="eastAsia" w:cs="宋体"/>
                <w:color w:val="000000"/>
                <w:sz w:val="21"/>
                <w:szCs w:val="21"/>
                <w:lang w:bidi="ar"/>
              </w:rPr>
              <w:t>合阳县乡村振兴数字化服务平台</w:t>
            </w:r>
          </w:p>
        </w:tc>
        <w:tc>
          <w:tcPr>
            <w:tcW w:w="44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cs="宋体"/>
                <w:color w:val="000000"/>
                <w:sz w:val="21"/>
                <w:szCs w:val="21"/>
                <w:lang w:bidi="ar"/>
              </w:rPr>
            </w:pPr>
            <w:r>
              <w:rPr>
                <w:rFonts w:hint="eastAsia" w:cs="宋体"/>
                <w:color w:val="000000"/>
                <w:sz w:val="21"/>
                <w:szCs w:val="21"/>
                <w:lang w:bidi="ar"/>
              </w:rPr>
              <w:t>方针</w:t>
            </w:r>
          </w:p>
          <w:p>
            <w:pPr>
              <w:widowControl/>
              <w:spacing w:line="360" w:lineRule="auto"/>
              <w:jc w:val="center"/>
              <w:textAlignment w:val="center"/>
              <w:rPr>
                <w:rFonts w:cs="宋体"/>
                <w:color w:val="000000"/>
                <w:sz w:val="21"/>
                <w:szCs w:val="21"/>
              </w:rPr>
            </w:pPr>
            <w:r>
              <w:rPr>
                <w:rFonts w:hint="eastAsia" w:cs="宋体"/>
                <w:color w:val="000000"/>
                <w:sz w:val="21"/>
                <w:szCs w:val="21"/>
                <w:lang w:bidi="ar"/>
              </w:rPr>
              <w:t>政策</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法律法规</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法律法规普及宣传</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eastAsia="宋体" w:cs="宋体"/>
                <w:color w:val="000000"/>
                <w:sz w:val="21"/>
                <w:szCs w:val="21"/>
                <w:lang w:eastAsia="zh-CN" w:bidi="ar"/>
              </w:rPr>
            </w:pPr>
            <w:r>
              <w:rPr>
                <w:rFonts w:hint="eastAsia" w:cs="宋体"/>
                <w:color w:val="000000"/>
                <w:sz w:val="21"/>
                <w:szCs w:val="21"/>
                <w:lang w:bidi="ar"/>
              </w:rPr>
              <w:t>法律法规信息的维护、检索、发布等操作</w:t>
            </w:r>
          </w:p>
          <w:p>
            <w:pPr>
              <w:widowControl/>
              <w:spacing w:line="360" w:lineRule="auto"/>
              <w:jc w:val="left"/>
              <w:textAlignment w:val="center"/>
              <w:rPr>
                <w:sz w:val="21"/>
                <w:szCs w:val="21"/>
              </w:rPr>
            </w:pPr>
            <w:r>
              <w:rPr>
                <w:rFonts w:hint="eastAsia" w:cs="宋体"/>
                <w:color w:val="000000"/>
                <w:sz w:val="21"/>
                <w:szCs w:val="21"/>
                <w:lang w:bidi="ar"/>
              </w:rPr>
              <w:t>支持富文本编辑，可上传图片、视频等</w:t>
            </w:r>
          </w:p>
        </w:tc>
        <w:tc>
          <w:tcPr>
            <w:tcW w:w="42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w:t>
            </w:r>
          </w:p>
        </w:tc>
        <w:tc>
          <w:tcPr>
            <w:tcW w:w="25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套</w:t>
            </w:r>
          </w:p>
        </w:tc>
        <w:tc>
          <w:tcPr>
            <w:tcW w:w="274" w:type="pct"/>
            <w:vMerge w:val="restart"/>
            <w:tcBorders>
              <w:top w:val="single" w:color="000000" w:sz="4" w:space="0"/>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科技培训</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科技培训的推广宣传</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eastAsia="宋体" w:cs="宋体"/>
                <w:color w:val="000000"/>
                <w:sz w:val="21"/>
                <w:szCs w:val="21"/>
                <w:lang w:eastAsia="zh-CN" w:bidi="ar"/>
              </w:rPr>
            </w:pPr>
            <w:r>
              <w:rPr>
                <w:rFonts w:hint="eastAsia" w:cs="宋体"/>
                <w:color w:val="000000"/>
                <w:sz w:val="21"/>
                <w:szCs w:val="21"/>
                <w:lang w:bidi="ar"/>
              </w:rPr>
              <w:t>科技培训信息的维护、检索、发布等操作</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支持富文本编辑，可上传图片、视频等</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rPr>
          <w:trHeight w:val="85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农技宣传</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农技宣传管理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eastAsia="宋体" w:cs="宋体"/>
                <w:color w:val="000000"/>
                <w:sz w:val="21"/>
                <w:szCs w:val="21"/>
                <w:lang w:eastAsia="zh-CN" w:bidi="ar"/>
              </w:rPr>
            </w:pPr>
            <w:r>
              <w:rPr>
                <w:rFonts w:hint="eastAsia" w:cs="宋体"/>
                <w:color w:val="000000"/>
                <w:sz w:val="21"/>
                <w:szCs w:val="21"/>
                <w:lang w:bidi="ar"/>
              </w:rPr>
              <w:t>农技宣传信息的维护、检索、发布等操作</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支持富文本编辑，可上传图片、视频等</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专题展示</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农业专题展示</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eastAsia="宋体" w:cs="宋体"/>
                <w:color w:val="000000"/>
                <w:sz w:val="21"/>
                <w:szCs w:val="21"/>
                <w:lang w:eastAsia="zh-CN" w:bidi="ar"/>
              </w:rPr>
            </w:pPr>
            <w:r>
              <w:rPr>
                <w:rFonts w:hint="eastAsia" w:cs="宋体"/>
                <w:color w:val="000000"/>
                <w:sz w:val="21"/>
                <w:szCs w:val="21"/>
                <w:lang w:bidi="ar"/>
              </w:rPr>
              <w:t>农业专题展示信息的维护、检索、发布等操作</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支持富文本编辑，可上传图片、视频等</w:t>
            </w:r>
          </w:p>
        </w:tc>
        <w:tc>
          <w:tcPr>
            <w:tcW w:w="42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bottom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美丽乡村</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乡村治理</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乡村治理成果的展示</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eastAsia="宋体" w:cs="宋体"/>
                <w:color w:val="000000"/>
                <w:sz w:val="21"/>
                <w:szCs w:val="21"/>
                <w:lang w:eastAsia="zh-CN" w:bidi="ar"/>
              </w:rPr>
            </w:pPr>
            <w:r>
              <w:rPr>
                <w:rFonts w:hint="eastAsia" w:cs="宋体"/>
                <w:color w:val="000000"/>
                <w:sz w:val="21"/>
                <w:szCs w:val="21"/>
                <w:lang w:bidi="ar"/>
              </w:rPr>
              <w:t>对乡村治理相关资讯的维护、检索、发布等操作</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支持富文本编辑，可上传图片、视频等</w:t>
            </w:r>
          </w:p>
        </w:tc>
        <w:tc>
          <w:tcPr>
            <w:tcW w:w="42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w:t>
            </w:r>
          </w:p>
        </w:tc>
        <w:tc>
          <w:tcPr>
            <w:tcW w:w="25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套</w:t>
            </w:r>
          </w:p>
        </w:tc>
        <w:tc>
          <w:tcPr>
            <w:tcW w:w="274" w:type="pct"/>
            <w:vMerge w:val="restart"/>
            <w:tcBorders>
              <w:top w:val="single" w:color="000000" w:sz="4" w:space="0"/>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村容村貌</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村容村貌展示</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eastAsia="宋体" w:cs="宋体"/>
                <w:color w:val="000000"/>
                <w:sz w:val="21"/>
                <w:szCs w:val="21"/>
                <w:lang w:eastAsia="zh-CN" w:bidi="ar"/>
              </w:rPr>
            </w:pPr>
            <w:r>
              <w:rPr>
                <w:rFonts w:hint="eastAsia" w:cs="宋体"/>
                <w:color w:val="000000"/>
                <w:sz w:val="21"/>
                <w:szCs w:val="21"/>
                <w:lang w:bidi="ar"/>
              </w:rPr>
              <w:t>对村容村貌相关资讯的维护、检索、发布等操作</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支持富文本编辑，可上传图片、视频等</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非遗展示</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非物质文化遗产展示</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eastAsia="宋体" w:cs="宋体"/>
                <w:color w:val="000000"/>
                <w:sz w:val="21"/>
                <w:szCs w:val="21"/>
                <w:lang w:eastAsia="zh-CN" w:bidi="ar"/>
              </w:rPr>
            </w:pPr>
            <w:r>
              <w:rPr>
                <w:rFonts w:hint="eastAsia" w:cs="宋体"/>
                <w:color w:val="000000"/>
                <w:sz w:val="21"/>
                <w:szCs w:val="21"/>
                <w:lang w:bidi="ar"/>
              </w:rPr>
              <w:t>对非遗展示相关资讯的维护、检索、发布等操作</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支持富文本编辑，可上传图片、视频等</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村务公开</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村务公开展示</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eastAsia="宋体" w:cs="宋体"/>
                <w:color w:val="000000"/>
                <w:sz w:val="21"/>
                <w:szCs w:val="21"/>
                <w:lang w:eastAsia="zh-CN" w:bidi="ar"/>
              </w:rPr>
            </w:pPr>
            <w:r>
              <w:rPr>
                <w:rFonts w:hint="eastAsia" w:cs="宋体"/>
                <w:color w:val="000000"/>
                <w:sz w:val="21"/>
                <w:szCs w:val="21"/>
                <w:lang w:bidi="ar"/>
              </w:rPr>
              <w:t>对村务公开相关资讯的维护、检索、发布等操作</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支持富文本编辑，可上传图片、视频等</w:t>
            </w:r>
          </w:p>
        </w:tc>
        <w:tc>
          <w:tcPr>
            <w:tcW w:w="42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bottom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2280"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应急指挥</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应急指挥</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应急指挥管理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当出现重大病虫害、重大动物疫病、重大自然灾害等农业突发灾害事件时，需及时将灾害信息发送给各个园区负责人和乡镇负责人（可以通过短信及其他方式推送），使相关人员能及时部署工作，采取措施。</w:t>
            </w:r>
          </w:p>
        </w:tc>
        <w:tc>
          <w:tcPr>
            <w:tcW w:w="42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w:t>
            </w:r>
          </w:p>
        </w:tc>
        <w:tc>
          <w:tcPr>
            <w:tcW w:w="25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套</w:t>
            </w:r>
          </w:p>
        </w:tc>
        <w:tc>
          <w:tcPr>
            <w:tcW w:w="274" w:type="pct"/>
            <w:vMerge w:val="restart"/>
            <w:tcBorders>
              <w:top w:val="single" w:color="000000" w:sz="4" w:space="0"/>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570"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tcBorders>
              <w:top w:val="single" w:color="000000" w:sz="4" w:space="0"/>
              <w:left w:val="single" w:color="000000" w:sz="4" w:space="0"/>
              <w:bottom w:val="nil"/>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专家库</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专家库</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专家库管理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eastAsia="宋体" w:cs="宋体"/>
                <w:color w:val="000000"/>
                <w:sz w:val="21"/>
                <w:szCs w:val="21"/>
                <w:lang w:eastAsia="zh-CN" w:bidi="ar"/>
              </w:rPr>
            </w:pPr>
            <w:r>
              <w:rPr>
                <w:rFonts w:hint="eastAsia" w:cs="宋体"/>
                <w:color w:val="000000"/>
                <w:sz w:val="21"/>
                <w:szCs w:val="21"/>
                <w:lang w:bidi="ar"/>
              </w:rPr>
              <w:t>1. 维护农业专家信息</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2. 按专家特长、地域等条件条件筛选专家</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tcBorders>
              <w:top w:val="single" w:color="000000" w:sz="4" w:space="0"/>
              <w:left w:val="single" w:color="000000" w:sz="4" w:space="0"/>
              <w:bottom w:val="nil"/>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农业数据</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农业数据</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农业数据管理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基于数字乡村业务数据的采集与主题数据库建设，结合当地乡村经济发展特点与政府管理诉求，以可视化方式对地区整体经济发展情况进行展示。</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570"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特色农产品</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特色农产品管理</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特色农产品管理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介绍特色农产品的基本信息,包括农产品简介，农产品图片及其他信息。</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28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轮播图管理</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轮播图管理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根据时令,轮播展示农产品的信息。</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数字驾驶舱</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数字驾驶舱</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数字驾驶舱</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在大屏上展示本县农业整体情况、特色产品情况、重点数据情况，以便随时了解数据动态，为领导视察提供最佳的展示窗口，同时为本单位内部员工正常宣传使用。</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产品交易</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产品交易</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产品交易平台</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链接外部平台，实时查看全国的水果、蔬菜、水产品、肉类等各种农业相关产品的信息、实时价格、销售情况等，并能将本地的产品在平台上进行展示、销售等，拓展本地农产品销路。</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348"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微信小程序</w:t>
            </w:r>
          </w:p>
        </w:tc>
        <w:tc>
          <w:tcPr>
            <w:tcW w:w="49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三农信息</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法律法规</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展示法律法规相关资讯的列表展示，及查看详情。</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28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科技培训</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展示科技培训相关资讯的列表展示，及查看详情。</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348"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农技宣传</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展示农技宣传相关资讯的列表展示，及查看详情。</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348"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专题展示</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农业相关专题的展示的列表展示，及查看详情</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rPr>
          <w:trHeight w:val="348"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美丽乡村</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乡村治理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展示乡村治理成果的列表展示，及查看详情。</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rPr>
          <w:trHeight w:val="348"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村容村貌</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展示村容村貌成果的列表展示，及查看详情。</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348"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非遗展示</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展示非遗展示成果的列表展示，及查看详情。</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348"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村务公开</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村务公开信息的列表展示，及查看详情。</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570"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便民服务</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办事指南</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实现了“一站式”便民服务，详细介绍各种待办事项的办事流程。</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348"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惠农补贴</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农民可以查询惠农补贴的发放情况。</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w:t>
            </w:r>
            <w:r>
              <w:rPr>
                <w:rStyle w:val="60"/>
                <w:rFonts w:hint="default"/>
                <w:sz w:val="21"/>
                <w:szCs w:val="21"/>
                <w:lang w:bidi="ar"/>
              </w:rPr>
              <w:t>技直通车</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w:t>
            </w:r>
            <w:r>
              <w:rPr>
                <w:rStyle w:val="60"/>
                <w:rFonts w:hint="default"/>
                <w:sz w:val="21"/>
                <w:szCs w:val="21"/>
                <w:lang w:bidi="ar"/>
              </w:rPr>
              <w:t>技直通车</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搭建农民和农业专家沟通的桥梁。农民在从事农业生产活动时，如果遇到问题，可以直接向专家提问，和专家互动交流，快速的帮农民朋友解决农业问题。</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285" w:hRule="atLeast"/>
        </w:trPr>
        <w:tc>
          <w:tcPr>
            <w:tcW w:w="435" w:type="pct"/>
            <w:vMerge w:val="continue"/>
            <w:tcBorders>
              <w:top w:val="single" w:color="000000" w:sz="4" w:space="0"/>
              <w:left w:val="single" w:color="000000" w:sz="8" w:space="0"/>
              <w:bottom w:val="nil"/>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农业知识库</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农民朋友在浏览知识库学习农业相关的技能和知识。</w:t>
            </w:r>
          </w:p>
        </w:tc>
        <w:tc>
          <w:tcPr>
            <w:tcW w:w="42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bottom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restart"/>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textAlignment w:val="center"/>
              <w:rPr>
                <w:rFonts w:cs="宋体"/>
                <w:color w:val="000000"/>
                <w:sz w:val="21"/>
                <w:szCs w:val="21"/>
              </w:rPr>
            </w:pPr>
            <w:r>
              <w:rPr>
                <w:rFonts w:hint="eastAsia" w:cs="宋体"/>
                <w:color w:val="000000"/>
                <w:sz w:val="21"/>
                <w:szCs w:val="21"/>
                <w:lang w:bidi="ar"/>
              </w:rPr>
              <w:t>VMS视频管理系统</w:t>
            </w:r>
          </w:p>
        </w:tc>
        <w:tc>
          <w:tcPr>
            <w:tcW w:w="44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设备管理</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区域管理</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区域管理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对于设备安装区域的管理：</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 按名称等条件筛选区域；</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2. 分页展示区域列表；</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3. 区域的新增、修改、删除。</w:t>
            </w:r>
          </w:p>
        </w:tc>
        <w:tc>
          <w:tcPr>
            <w:tcW w:w="42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w:t>
            </w:r>
          </w:p>
        </w:tc>
        <w:tc>
          <w:tcPr>
            <w:tcW w:w="25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台</w:t>
            </w:r>
          </w:p>
        </w:tc>
        <w:tc>
          <w:tcPr>
            <w:tcW w:w="274" w:type="pct"/>
            <w:vMerge w:val="restart"/>
            <w:tcBorders>
              <w:top w:val="single" w:color="000000" w:sz="4" w:space="0"/>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设备管理</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设备管理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对于设备管理：</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 按设备名称、类型、区域等条件筛选设备；</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2. 分页展示设备列表。</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3. 设备的新增、修改、删除。</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设备通道</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设备通道</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对于设备目录管理：</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 按设备名称、通道ID、通道名称等条件筛选设备通道；</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2. 分页展示设备通道列表；</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3. 设备通道的修改、删除。</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设备报警</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设备报警</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 设备告警信息的列表展示，包括设备编号、报警级别、当前状态等信息；</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2. 设备报警信息详情展示；</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3. 按设备名称、区域、报警级别等筛选报警信息。</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设备位置</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设备位置</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 设备位置的列表展示，包括设备编号、位置信息、上报方式等信息；</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2. 设备位置信息详情展示；</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3. 按设备名称、区域、位置信息等筛选。</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设备订阅</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设备订阅</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 设备订阅的列表展示，包括设备编号、订阅信息、当前状态等信息；</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2. 设备订阅的信息详情展示；</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3. 按设备名称、区域、订阅的信息等筛选。</w:t>
            </w:r>
          </w:p>
        </w:tc>
        <w:tc>
          <w:tcPr>
            <w:tcW w:w="42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bottom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57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视频广场</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实时视频点播</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实时视频点播</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 按区域、时间展示实时视频；</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2. 点击视频后，可以实时播放视频。</w:t>
            </w:r>
          </w:p>
        </w:tc>
        <w:tc>
          <w:tcPr>
            <w:tcW w:w="42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w:t>
            </w:r>
          </w:p>
        </w:tc>
        <w:tc>
          <w:tcPr>
            <w:tcW w:w="25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台</w:t>
            </w:r>
          </w:p>
        </w:tc>
        <w:tc>
          <w:tcPr>
            <w:tcW w:w="274" w:type="pct"/>
            <w:vMerge w:val="restart"/>
            <w:tcBorders>
              <w:top w:val="single" w:color="000000" w:sz="4" w:space="0"/>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57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设备录像回放</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设备录像回放</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 按区域、时间展示历史视频；</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2. 点击视频后，可以回放历史视频。</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348"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平台录像回放</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平台录像回放</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平台录像回放。</w:t>
            </w:r>
          </w:p>
        </w:tc>
        <w:tc>
          <w:tcPr>
            <w:tcW w:w="42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bottom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348"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restart"/>
            <w:tcBorders>
              <w:top w:val="single" w:color="000000" w:sz="4" w:space="0"/>
              <w:left w:val="single" w:color="000000" w:sz="4" w:space="0"/>
              <w:bottom w:val="nil"/>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国标平台</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国标平台</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国标平台</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三方国标平台接入管理。</w:t>
            </w:r>
          </w:p>
        </w:tc>
        <w:tc>
          <w:tcPr>
            <w:tcW w:w="42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w:t>
            </w:r>
          </w:p>
        </w:tc>
        <w:tc>
          <w:tcPr>
            <w:tcW w:w="25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台</w:t>
            </w:r>
          </w:p>
        </w:tc>
        <w:tc>
          <w:tcPr>
            <w:tcW w:w="274" w:type="pct"/>
            <w:vMerge w:val="restart"/>
            <w:tcBorders>
              <w:top w:val="single" w:color="000000" w:sz="4" w:space="0"/>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57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nil"/>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国标平台设备授权</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国标平台设备授权</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平台对三方国标设备授权管理，用于控制三方平台对平台设备命令执行。</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28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nil"/>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国标平台订阅流</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国标平台订阅流</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三方国标平台订阅查看平台视频流推送信息管理。</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731"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auto"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国标平台订阅管理</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国标平台订阅管理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三方国标平台订阅信息管理，如订阅设备目录、设备位置、设备告警。</w:t>
            </w:r>
          </w:p>
        </w:tc>
        <w:tc>
          <w:tcPr>
            <w:tcW w:w="42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bottom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348"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restart"/>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媒体服务</w:t>
            </w:r>
          </w:p>
        </w:tc>
        <w:tc>
          <w:tcPr>
            <w:tcW w:w="499" w:type="pct"/>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媒体列表</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媒体列表</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流媒体服务器列表，按状态、IP、检索等。</w:t>
            </w:r>
          </w:p>
        </w:tc>
        <w:tc>
          <w:tcPr>
            <w:tcW w:w="42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w:t>
            </w:r>
          </w:p>
        </w:tc>
        <w:tc>
          <w:tcPr>
            <w:tcW w:w="25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台</w:t>
            </w:r>
          </w:p>
        </w:tc>
        <w:tc>
          <w:tcPr>
            <w:tcW w:w="274" w:type="pct"/>
            <w:vMerge w:val="restart"/>
            <w:tcBorders>
              <w:top w:val="single" w:color="000000" w:sz="4" w:space="0"/>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nil"/>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媒体流信息</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媒体流信息</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各个流媒体当前视频流传输信息、包含流ID、视频编码方式、音频编码方式（g711a、g711u、pcm、wav）、分辨率、帧率及对外输出flv、MP4、hls、rtmp、rtsp 等格式，ws、http 协议传输。</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57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nil"/>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媒体拉流</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媒体拉流</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流媒体服务器去拉非GB28181视频流、如三方提供rtsp、rtmp等视频源。</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spacing w:line="360" w:lineRule="auto"/>
              <w:rPr>
                <w:rFonts w:cs="宋体"/>
                <w:color w:val="000000"/>
                <w:sz w:val="21"/>
                <w:szCs w:val="21"/>
              </w:rPr>
            </w:pPr>
          </w:p>
        </w:tc>
      </w:tr>
      <w:tr>
        <w:tblPrEx>
          <w:tblCellMar>
            <w:top w:w="0" w:type="dxa"/>
            <w:left w:w="108" w:type="dxa"/>
            <w:bottom w:w="0" w:type="dxa"/>
            <w:right w:w="108" w:type="dxa"/>
          </w:tblCellMar>
        </w:tblPrEx>
        <w:trPr>
          <w:trHeight w:val="57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nil"/>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媒体推流</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媒体推流</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流媒体服务器将视频流推送至三方流媒体频台、提供rtsp、rtmp等格式。</w:t>
            </w:r>
          </w:p>
        </w:tc>
        <w:tc>
          <w:tcPr>
            <w:tcW w:w="42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bottom w:val="single" w:color="000000" w:sz="4" w:space="0"/>
              <w:right w:val="single" w:color="000000" w:sz="8" w:space="0"/>
            </w:tcBorders>
            <w:vAlign w:val="center"/>
          </w:tcPr>
          <w:p>
            <w:pPr>
              <w:spacing w:line="360" w:lineRule="auto"/>
              <w:rPr>
                <w:rFonts w:cs="宋体"/>
                <w:color w:val="000000"/>
                <w:sz w:val="21"/>
                <w:szCs w:val="21"/>
              </w:rPr>
            </w:pPr>
          </w:p>
        </w:tc>
      </w:tr>
      <w:tr>
        <w:trPr>
          <w:trHeight w:val="1425" w:hRule="atLeast"/>
        </w:trPr>
        <w:tc>
          <w:tcPr>
            <w:tcW w:w="435" w:type="pct"/>
            <w:vMerge w:val="restart"/>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textAlignment w:val="center"/>
              <w:rPr>
                <w:rFonts w:cs="宋体"/>
                <w:color w:val="000000"/>
                <w:sz w:val="21"/>
                <w:szCs w:val="21"/>
              </w:rPr>
            </w:pPr>
            <w:r>
              <w:rPr>
                <w:rFonts w:hint="eastAsia" w:cs="宋体"/>
                <w:color w:val="000000"/>
                <w:sz w:val="21"/>
                <w:szCs w:val="21"/>
                <w:lang w:bidi="ar"/>
              </w:rPr>
              <w:t>硬件</w:t>
            </w:r>
          </w:p>
        </w:tc>
        <w:tc>
          <w:tcPr>
            <w:tcW w:w="44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云服务器</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云主机 ECS</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合阳县乡村振兴数字化服务平台服务器</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配置描述：</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CPU类型Intel® Xeon® Gold 6248R</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主频3.0 GHz；</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 xml:space="preserve">内存: </w:t>
            </w:r>
            <w:r>
              <w:rPr>
                <w:rFonts w:ascii="Arial" w:hAnsi="Arial" w:cs="Arial"/>
                <w:color w:val="000000"/>
                <w:sz w:val="21"/>
                <w:szCs w:val="21"/>
                <w:lang w:bidi="ar"/>
              </w:rPr>
              <w:t>≥</w:t>
            </w:r>
            <w:r>
              <w:rPr>
                <w:rFonts w:hint="eastAsia" w:cs="宋体"/>
                <w:color w:val="000000"/>
                <w:sz w:val="21"/>
                <w:szCs w:val="21"/>
                <w:lang w:bidi="ar"/>
              </w:rPr>
              <w:t>16G；</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最大内网带宽30 Gbit/s。</w:t>
            </w:r>
          </w:p>
        </w:tc>
        <w:tc>
          <w:tcPr>
            <w:tcW w:w="42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w:t>
            </w:r>
          </w:p>
        </w:tc>
        <w:tc>
          <w:tcPr>
            <w:tcW w:w="25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套</w:t>
            </w:r>
          </w:p>
        </w:tc>
        <w:tc>
          <w:tcPr>
            <w:tcW w:w="274"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一年</w:t>
            </w:r>
          </w:p>
          <w:p>
            <w:pPr>
              <w:widowControl/>
              <w:spacing w:line="360" w:lineRule="auto"/>
              <w:jc w:val="left"/>
              <w:textAlignment w:val="center"/>
              <w:rPr>
                <w:rFonts w:cs="宋体"/>
                <w:color w:val="000000"/>
                <w:sz w:val="21"/>
                <w:szCs w:val="21"/>
              </w:rPr>
            </w:pPr>
          </w:p>
        </w:tc>
      </w:tr>
      <w:tr>
        <w:tblPrEx>
          <w:tblCellMar>
            <w:top w:w="0" w:type="dxa"/>
            <w:left w:w="108" w:type="dxa"/>
            <w:bottom w:w="0" w:type="dxa"/>
            <w:right w:w="108" w:type="dxa"/>
          </w:tblCellMar>
        </w:tblPrEx>
        <w:trPr>
          <w:trHeight w:val="142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云主机 ECS</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微信小程序服务器</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配置描述：</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CPU类型Intel® Xeon® Gold 6248R</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主频3.0 GHz；</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 xml:space="preserve">内存: </w:t>
            </w:r>
            <w:r>
              <w:rPr>
                <w:rFonts w:ascii="Arial" w:hAnsi="Arial" w:cs="Arial"/>
                <w:color w:val="000000"/>
                <w:sz w:val="21"/>
                <w:szCs w:val="21"/>
                <w:lang w:bidi="ar"/>
              </w:rPr>
              <w:t>≥</w:t>
            </w:r>
            <w:r>
              <w:rPr>
                <w:rFonts w:hint="eastAsia" w:cs="宋体"/>
                <w:color w:val="000000"/>
                <w:sz w:val="21"/>
                <w:szCs w:val="21"/>
                <w:lang w:bidi="ar"/>
              </w:rPr>
              <w:t>16G；</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最大内网带宽30 Gbit/s。</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rPr>
            </w:pPr>
          </w:p>
        </w:tc>
      </w:tr>
      <w:tr>
        <w:tblPrEx>
          <w:tblCellMar>
            <w:top w:w="0" w:type="dxa"/>
            <w:left w:w="108" w:type="dxa"/>
            <w:bottom w:w="0" w:type="dxa"/>
            <w:right w:w="108" w:type="dxa"/>
          </w:tblCellMar>
        </w:tblPrEx>
        <w:trPr>
          <w:trHeight w:val="129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云主机 ECS</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VMS视频管理系统</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配置描述：</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CPU类型Intel® Xeon® Gold 6248R</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主频3.0 GHz；</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 xml:space="preserve">内存: </w:t>
            </w:r>
            <w:r>
              <w:rPr>
                <w:rFonts w:ascii="Arial" w:hAnsi="Arial" w:cs="Arial"/>
                <w:color w:val="000000"/>
                <w:sz w:val="21"/>
                <w:szCs w:val="21"/>
                <w:lang w:bidi="ar"/>
              </w:rPr>
              <w:t>≥</w:t>
            </w:r>
            <w:r>
              <w:rPr>
                <w:rFonts w:hint="eastAsia" w:cs="宋体"/>
                <w:color w:val="000000"/>
                <w:sz w:val="21"/>
                <w:szCs w:val="21"/>
                <w:lang w:bidi="ar"/>
              </w:rPr>
              <w:t>16G；</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最大内网带宽30 Gbit/s。</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rPr>
            </w:pPr>
          </w:p>
        </w:tc>
      </w:tr>
      <w:tr>
        <w:tblPrEx>
          <w:tblCellMar>
            <w:top w:w="0" w:type="dxa"/>
            <w:left w:w="108" w:type="dxa"/>
            <w:bottom w:w="0" w:type="dxa"/>
            <w:right w:w="108" w:type="dxa"/>
          </w:tblCellMar>
        </w:tblPrEx>
        <w:trPr>
          <w:trHeight w:val="142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云数据库MySQL</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云数据库MySQL</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云数据库MySQL是一款开箱即用、性能卓越、安全可靠的在线数据库服务，实例秒级开通、性能百万QPS、安全企业级标准。产品支持MySQL数据库主流版本引擎，提供异地高可用、弹性伸缩、智能运维等云原生高级特性，满足全行业数据库需求。</w:t>
            </w:r>
          </w:p>
        </w:tc>
        <w:tc>
          <w:tcPr>
            <w:tcW w:w="42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rPr>
            </w:pPr>
          </w:p>
        </w:tc>
      </w:tr>
      <w:tr>
        <w:tblPrEx>
          <w:tblCellMar>
            <w:top w:w="0" w:type="dxa"/>
            <w:left w:w="108" w:type="dxa"/>
            <w:bottom w:w="0" w:type="dxa"/>
            <w:right w:w="108" w:type="dxa"/>
          </w:tblCellMar>
        </w:tblPrEx>
        <w:trPr>
          <w:trHeight w:val="71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tcBorders>
              <w:top w:val="nil"/>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监控摄像头</w:t>
            </w:r>
          </w:p>
        </w:tc>
        <w:tc>
          <w:tcPr>
            <w:tcW w:w="499" w:type="pct"/>
            <w:tcBorders>
              <w:top w:val="nil"/>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监控摄像头</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400万星光级1/2.7</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支持1080P/60fps，运动图像更流畅</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自动后焦调整(ABF)。</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120dB光学宽动态，满足高反差场景监控。</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强光抑制，有效抑制夜间车灯光学透雾技术，透雾性能更高，低照度监控。</w:t>
            </w:r>
          </w:p>
        </w:tc>
        <w:tc>
          <w:tcPr>
            <w:tcW w:w="427" w:type="pc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20</w:t>
            </w:r>
          </w:p>
        </w:tc>
        <w:tc>
          <w:tcPr>
            <w:tcW w:w="257" w:type="pc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个</w:t>
            </w:r>
          </w:p>
        </w:tc>
        <w:tc>
          <w:tcPr>
            <w:tcW w:w="274" w:type="pc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rPr>
            </w:pPr>
          </w:p>
        </w:tc>
      </w:tr>
      <w:tr>
        <w:tblPrEx>
          <w:tblCellMar>
            <w:top w:w="0" w:type="dxa"/>
            <w:left w:w="108" w:type="dxa"/>
            <w:bottom w:w="0" w:type="dxa"/>
            <w:right w:w="108" w:type="dxa"/>
          </w:tblCellMar>
        </w:tblPrEx>
        <w:trPr>
          <w:trHeight w:val="406"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cs="宋体"/>
                <w:color w:val="000000"/>
                <w:sz w:val="21"/>
                <w:szCs w:val="21"/>
              </w:rPr>
            </w:pPr>
            <w:r>
              <w:rPr>
                <w:rFonts w:hint="eastAsia" w:cs="宋体"/>
                <w:color w:val="000000"/>
                <w:sz w:val="21"/>
                <w:szCs w:val="21"/>
                <w:lang w:bidi="ar"/>
              </w:rPr>
              <w:t>一体式环境监测站</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4G物联网主机</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组装环境设备</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借助传感设备，对气象温度、湿度、光照强度、光照时长、降雨、风速、风向、地理位置等数据进行采集（具体根据需求进行增减传感器），系统支持网络专线，LoRa/NB-loT/4G/WIFI/蓝牙等多种联网方式，向物联网云平台回传数据。如果传感器上报的参数超标，系统出现阈值告警或者提醒，帮助农业管理者实现农耕过程的精准种植管理。</w:t>
            </w:r>
          </w:p>
        </w:tc>
        <w:tc>
          <w:tcPr>
            <w:tcW w:w="42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10</w:t>
            </w:r>
          </w:p>
        </w:tc>
        <w:tc>
          <w:tcPr>
            <w:tcW w:w="257" w:type="pct"/>
            <w:vMerge w:val="restart"/>
            <w:tcBorders>
              <w:top w:val="single" w:color="000000" w:sz="4" w:space="0"/>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台</w:t>
            </w:r>
          </w:p>
        </w:tc>
        <w:tc>
          <w:tcPr>
            <w:tcW w:w="274" w:type="pct"/>
            <w:vMerge w:val="restar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基温湿度传感器</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温湿度监测</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温度测量范围：-40℃-80℃；温度测量精度：±0.2℃；</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湿度测量范围：0-100%RH；湿度测量精度：±2%RH；</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传输方式：RS485/4-20mA/WIFI。</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环境雨量传感器</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雨量监测</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雨强范围：0.3～10mm/min、分辨率：0.01mm，测量精度：±4%(日累积降雨量)，刷新间隔：5s，数据传输方式：RS485，可定制LoRa。</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光照度传感器</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光照度监测</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光照范围 0-20000Lux，0-200000Lux；准确度 ±5%，（0-20000Lux），±7%（0-200000Lux），波长范围 380 nm-730 nm，输出形式 4～20mA/RS485/RS232/其他。</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节点转换器</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模数、协议转换</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接口：Modbus/4-20ma/LoRa/NB-IoT/4G/Zigbee/Sigfox，防护等级 IP66，</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工作温度 -40到80℃ (-40到176℉)。</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blPrEx>
          <w:tblCellMar>
            <w:top w:w="0" w:type="dxa"/>
            <w:left w:w="108" w:type="dxa"/>
            <w:bottom w:w="0" w:type="dxa"/>
            <w:right w:w="108" w:type="dxa"/>
          </w:tblCellMar>
        </w:tblPrEx>
        <w:trPr>
          <w:trHeight w:val="199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PM2.5/10</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PM2.5/10监测</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功耗 0.5W；工作温湿度 -20℃~+60℃，0%RH~95%RH  非结露；通信接口 485通讯（modbus）协议；分辨率 PM2.5/PM10/PM1.0 1ug/m3；精度 PM2.5 颗粒物计数效率：</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50%@0.3μm，98%@&gt;=0.5μm。PM2.5精度：±3%FS（@100μg/m3、25℃、50%RH）测量范围： PM2.5 0~1000ug/m3，PM10 0~1000ug/m3。</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blPrEx>
          <w:tblCellMar>
            <w:top w:w="0" w:type="dxa"/>
            <w:left w:w="108" w:type="dxa"/>
            <w:bottom w:w="0" w:type="dxa"/>
            <w:right w:w="108" w:type="dxa"/>
          </w:tblCellMar>
        </w:tblPrEx>
        <w:trPr>
          <w:trHeight w:val="142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风速传感器</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风速监测</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精度：±（0.2+0.03V）m/s  V表示风速(60%RH,25℃)；</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测量范围：0~60m/s；</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分辨率：0.1m/s；</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工作温湿度：-40℃~+60℃，0%RH~80%RH；</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动态响应时间：≤2s；</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输出信号：RS485(Modbus-RTU协议)。</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rPr>
          <w:trHeight w:val="114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风向传感器</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风向监测</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工作温度 -40℃~+60℃；</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湿度0%RH~80%RH；</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通信接口 485通讯（modbus）协议；</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测量范围：8个指示方向；</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动态响应速度 ≤0.5s。</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blPrEx>
          <w:tblCellMar>
            <w:top w:w="0" w:type="dxa"/>
            <w:left w:w="108" w:type="dxa"/>
            <w:bottom w:w="0" w:type="dxa"/>
            <w:right w:w="108" w:type="dxa"/>
          </w:tblCellMar>
        </w:tblPrEx>
        <w:trPr>
          <w:trHeight w:val="171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太阳能模组160W</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太阳能采集</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太阳能电池片：多晶硅约 125×125mm；</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电池片数量：36；</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外形尺寸：约685×430×25mm（折叠）；</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玻璃：3.2 mm (0.13 inches) 超白布纹钢化玻璃；</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边框：所采用的铝合金边框具有高强度，抗机械冲击能力强。</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蓄电池12V80AH</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蓄能</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电压：12V ；自放电≤1.5％/月（25℃）适用温度范围：-15℃~45℃；充电温度(℃)25。</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设计寿命</w:t>
            </w:r>
            <w:r>
              <w:rPr>
                <w:rFonts w:ascii="Arial" w:hAnsi="Arial" w:cs="Arial"/>
                <w:color w:val="000000"/>
                <w:sz w:val="21"/>
                <w:szCs w:val="21"/>
                <w:lang w:bidi="ar"/>
              </w:rPr>
              <w:t>≥</w:t>
            </w:r>
            <w:r>
              <w:rPr>
                <w:rFonts w:hint="eastAsia" w:cs="宋体"/>
                <w:color w:val="000000"/>
                <w:sz w:val="21"/>
                <w:szCs w:val="21"/>
                <w:lang w:bidi="ar"/>
              </w:rPr>
              <w:t>10年（25℃）；</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额定容量：80Ah；内阻约 5.0mΩ短路电流2400A；最大充电电流(20A)。</w:t>
            </w:r>
          </w:p>
        </w:tc>
        <w:tc>
          <w:tcPr>
            <w:tcW w:w="42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blPrEx>
          <w:tblCellMar>
            <w:top w:w="0" w:type="dxa"/>
            <w:left w:w="108" w:type="dxa"/>
            <w:bottom w:w="0" w:type="dxa"/>
            <w:right w:w="108" w:type="dxa"/>
          </w:tblCellMar>
        </w:tblPrEx>
        <w:trPr>
          <w:trHeight w:val="855"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定制立柱箱套装</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户外固定</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安装型式：站立式；</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安装方式：螺纹对接抱箱；</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旋转范围360°；</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颜色：白色；高度：2-6米；</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工艺：高温喷塑；</w:t>
            </w:r>
          </w:p>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材质：热镀锌；</w:t>
            </w:r>
          </w:p>
          <w:p>
            <w:pPr>
              <w:widowControl/>
              <w:spacing w:line="360" w:lineRule="auto"/>
              <w:jc w:val="left"/>
              <w:textAlignment w:val="center"/>
              <w:rPr>
                <w:rFonts w:cs="宋体"/>
                <w:color w:val="000000"/>
                <w:sz w:val="21"/>
                <w:szCs w:val="21"/>
              </w:rPr>
            </w:pPr>
            <w:r>
              <w:rPr>
                <w:rFonts w:hint="eastAsia" w:cs="宋体"/>
                <w:color w:val="000000"/>
                <w:sz w:val="21"/>
                <w:szCs w:val="21"/>
                <w:lang w:bidi="ar"/>
              </w:rPr>
              <w:t>管径114变76。</w:t>
            </w:r>
          </w:p>
        </w:tc>
        <w:tc>
          <w:tcPr>
            <w:tcW w:w="42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57" w:type="pct"/>
            <w:vMerge w:val="continue"/>
            <w:tcBorders>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p>
        </w:tc>
        <w:tc>
          <w:tcPr>
            <w:tcW w:w="274" w:type="pct"/>
            <w:vMerge w:val="continue"/>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rFonts w:cs="宋体"/>
                <w:color w:val="000000"/>
                <w:sz w:val="21"/>
                <w:szCs w:val="21"/>
              </w:rPr>
            </w:pPr>
          </w:p>
        </w:tc>
      </w:tr>
      <w:tr>
        <w:tblPrEx>
          <w:tblCellMar>
            <w:top w:w="0" w:type="dxa"/>
            <w:left w:w="108" w:type="dxa"/>
            <w:bottom w:w="0" w:type="dxa"/>
            <w:right w:w="108" w:type="dxa"/>
          </w:tblCellMar>
        </w:tblPrEx>
        <w:trPr>
          <w:trHeight w:val="1140" w:hRule="atLeast"/>
        </w:trPr>
        <w:tc>
          <w:tcPr>
            <w:tcW w:w="435" w:type="pct"/>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cs="宋体"/>
                <w:color w:val="000000"/>
                <w:sz w:val="21"/>
                <w:szCs w:val="21"/>
              </w:rPr>
            </w:pPr>
          </w:p>
        </w:tc>
        <w:tc>
          <w:tcPr>
            <w:tcW w:w="440" w:type="pct"/>
            <w:tcBorders>
              <w:top w:val="nil"/>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网络专线</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网络专线</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网络专线</w:t>
            </w:r>
          </w:p>
        </w:tc>
        <w:tc>
          <w:tcPr>
            <w:tcW w:w="19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政企专网是面向互联网、金融、党政军、工业能源等网络质量，服务响应要求高的双跨业务，满足用户定制化，差异化业务需求，充分体现高可靠、高安全、超快开通，超低时延的精品传输网络。</w:t>
            </w:r>
          </w:p>
        </w:tc>
        <w:tc>
          <w:tcPr>
            <w:tcW w:w="427" w:type="pc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1</w:t>
            </w:r>
          </w:p>
        </w:tc>
        <w:tc>
          <w:tcPr>
            <w:tcW w:w="257" w:type="pc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lang w:bidi="ar"/>
              </w:rPr>
            </w:pPr>
            <w:r>
              <w:rPr>
                <w:rFonts w:hint="eastAsia" w:cs="宋体"/>
                <w:color w:val="000000"/>
                <w:sz w:val="21"/>
                <w:szCs w:val="21"/>
                <w:lang w:bidi="ar"/>
              </w:rPr>
              <w:t>套</w:t>
            </w:r>
          </w:p>
        </w:tc>
        <w:tc>
          <w:tcPr>
            <w:tcW w:w="274" w:type="pct"/>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left"/>
              <w:textAlignment w:val="center"/>
              <w:rPr>
                <w:rFonts w:cs="宋体"/>
                <w:color w:val="000000"/>
                <w:sz w:val="21"/>
                <w:szCs w:val="21"/>
              </w:rPr>
            </w:pPr>
            <w:r>
              <w:rPr>
                <w:rFonts w:hint="eastAsia" w:cs="宋体"/>
                <w:color w:val="000000"/>
                <w:sz w:val="21"/>
                <w:szCs w:val="21"/>
                <w:lang w:bidi="ar"/>
              </w:rPr>
              <w:t>一年</w:t>
            </w:r>
          </w:p>
        </w:tc>
      </w:tr>
    </w:tbl>
    <w:p>
      <w:pPr>
        <w:pStyle w:val="3"/>
        <w:spacing w:line="360" w:lineRule="auto"/>
        <w:rPr>
          <w:rFonts w:ascii="宋体" w:hAnsi="宋体" w:cs="宋体"/>
          <w:color w:val="auto"/>
          <w:sz w:val="24"/>
          <w:szCs w:val="24"/>
        </w:rPr>
      </w:pPr>
      <w:r>
        <w:rPr>
          <w:rFonts w:hint="eastAsia" w:ascii="宋体" w:hAnsi="宋体" w:cs="宋体"/>
          <w:bCs/>
          <w:color w:val="auto"/>
          <w:sz w:val="24"/>
          <w:szCs w:val="24"/>
        </w:rPr>
        <w:br w:type="page"/>
      </w:r>
      <w:bookmarkEnd w:id="145"/>
      <w:bookmarkEnd w:id="146"/>
      <w:bookmarkEnd w:id="147"/>
      <w:bookmarkEnd w:id="148"/>
      <w:bookmarkStart w:id="149" w:name="_Toc26112"/>
      <w:bookmarkStart w:id="150" w:name="_Toc314"/>
      <w:bookmarkStart w:id="151" w:name="_Toc16327"/>
      <w:r>
        <w:rPr>
          <w:rFonts w:hint="eastAsia" w:ascii="宋体" w:hAnsi="宋体" w:cs="宋体"/>
          <w:color w:val="auto"/>
          <w:sz w:val="36"/>
          <w:szCs w:val="36"/>
        </w:rPr>
        <w:t>第五章 评标方法</w:t>
      </w:r>
      <w:bookmarkEnd w:id="149"/>
      <w:bookmarkEnd w:id="150"/>
      <w:bookmarkEnd w:id="151"/>
    </w:p>
    <w:p>
      <w:pPr>
        <w:pStyle w:val="5"/>
        <w:spacing w:line="360" w:lineRule="auto"/>
        <w:ind w:firstLine="482"/>
        <w:rPr>
          <w:rFonts w:ascii="宋体" w:hAnsi="宋体" w:cs="宋体"/>
          <w:color w:val="auto"/>
          <w:sz w:val="24"/>
          <w:szCs w:val="24"/>
        </w:rPr>
      </w:pPr>
      <w:bookmarkStart w:id="152" w:name="_Toc363463332"/>
      <w:bookmarkStart w:id="153" w:name="_Toc23873"/>
      <w:r>
        <w:rPr>
          <w:rFonts w:hint="eastAsia" w:ascii="宋体" w:hAnsi="宋体" w:cs="宋体"/>
          <w:color w:val="auto"/>
          <w:sz w:val="24"/>
          <w:szCs w:val="24"/>
        </w:rPr>
        <w:t>一．评标方法</w:t>
      </w:r>
      <w:bookmarkEnd w:id="152"/>
      <w:bookmarkEnd w:id="153"/>
    </w:p>
    <w:p>
      <w:pPr>
        <w:pStyle w:val="12"/>
        <w:spacing w:line="360" w:lineRule="auto"/>
        <w:ind w:firstLine="480"/>
        <w:rPr>
          <w:rFonts w:ascii="宋体" w:hAnsi="宋体" w:cs="宋体"/>
          <w:color w:val="auto"/>
          <w:spacing w:val="4"/>
          <w:sz w:val="24"/>
          <w:szCs w:val="24"/>
        </w:rPr>
      </w:pPr>
      <w:r>
        <w:rPr>
          <w:rFonts w:hint="eastAsia" w:ascii="宋体" w:hAnsi="宋体" w:cs="宋体"/>
          <w:color w:val="auto"/>
          <w:sz w:val="24"/>
          <w:szCs w:val="24"/>
        </w:rPr>
        <w:t>按照《中华人民共和国政府采购法》、中华人民共和国2015年第658号国务院令--《中华人民共和国政府采购法实施条例》和中华人民共和国财政部2017年第87号部长令--《政府采购货物和服务招标投标管理办法》的规定，</w:t>
      </w:r>
      <w:r>
        <w:rPr>
          <w:rFonts w:hint="eastAsia" w:ascii="宋体" w:hAnsi="宋体" w:cs="宋体"/>
          <w:color w:val="auto"/>
          <w:spacing w:val="4"/>
          <w:sz w:val="24"/>
          <w:szCs w:val="24"/>
        </w:rPr>
        <w:t>本次评标采用</w:t>
      </w:r>
      <w:r>
        <w:rPr>
          <w:rFonts w:hint="eastAsia" w:ascii="宋体" w:hAnsi="宋体" w:cs="宋体"/>
          <w:b/>
          <w:color w:val="auto"/>
          <w:spacing w:val="4"/>
          <w:sz w:val="24"/>
          <w:szCs w:val="24"/>
        </w:rPr>
        <w:t>综合评分法</w:t>
      </w:r>
      <w:r>
        <w:rPr>
          <w:rFonts w:hint="eastAsia" w:ascii="宋体" w:hAnsi="宋体" w:cs="宋体"/>
          <w:color w:val="auto"/>
          <w:spacing w:val="4"/>
          <w:sz w:val="24"/>
          <w:szCs w:val="24"/>
        </w:rPr>
        <w:t>--</w:t>
      </w:r>
      <w:r>
        <w:rPr>
          <w:rFonts w:hint="eastAsia" w:ascii="宋体" w:hAnsi="宋体" w:cs="宋体"/>
          <w:color w:val="auto"/>
          <w:sz w:val="24"/>
          <w:szCs w:val="24"/>
        </w:rPr>
        <w:t>投标文件满足招标文件全部实质性要求，且按照评审因素的量化指标评审得分最高的供应商为中标候选人。</w:t>
      </w:r>
      <w:r>
        <w:rPr>
          <w:rFonts w:hint="eastAsia" w:ascii="宋体" w:hAnsi="宋体" w:cs="宋体"/>
          <w:color w:val="auto"/>
          <w:spacing w:val="4"/>
          <w:sz w:val="24"/>
          <w:szCs w:val="24"/>
        </w:rPr>
        <w:t>（最低报价不是中标的唯一标准）。</w:t>
      </w:r>
    </w:p>
    <w:p>
      <w:pPr>
        <w:pStyle w:val="5"/>
        <w:spacing w:line="360" w:lineRule="auto"/>
        <w:ind w:firstLine="482"/>
        <w:rPr>
          <w:rFonts w:ascii="宋体" w:hAnsi="宋体" w:cs="宋体"/>
          <w:color w:val="auto"/>
          <w:sz w:val="24"/>
          <w:szCs w:val="24"/>
        </w:rPr>
      </w:pPr>
      <w:bookmarkStart w:id="154" w:name="_Toc25480"/>
      <w:r>
        <w:rPr>
          <w:rFonts w:hint="eastAsia" w:ascii="宋体" w:hAnsi="宋体" w:cs="宋体"/>
          <w:color w:val="auto"/>
          <w:sz w:val="24"/>
          <w:szCs w:val="24"/>
        </w:rPr>
        <w:t>二．评标委员会负责具体评标事务，并独立履行下列职责：</w:t>
      </w:r>
      <w:bookmarkEnd w:id="154"/>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2.1审查、评价投标文件是否符合招标文件的商务、技术、合同条款等实质性要求；</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2.2要求供应商对投标文件有关事项作出澄清或者说明；</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2.3对投标文件进行比较和评价；</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2.4确定中标候选人名单，以及根据采购人委托直接确定中标人；</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2.5向采购人、采购代理机构或者有关部门报告评标中发现的违法行为。</w:t>
      </w:r>
    </w:p>
    <w:p>
      <w:pPr>
        <w:pStyle w:val="5"/>
        <w:spacing w:line="360" w:lineRule="auto"/>
        <w:ind w:firstLine="482"/>
        <w:rPr>
          <w:rFonts w:ascii="宋体" w:hAnsi="宋体" w:cs="宋体"/>
          <w:color w:val="auto"/>
          <w:sz w:val="24"/>
          <w:szCs w:val="24"/>
        </w:rPr>
      </w:pPr>
      <w:bookmarkStart w:id="155" w:name="_Toc20161"/>
      <w:r>
        <w:rPr>
          <w:rFonts w:hint="eastAsia" w:ascii="宋体" w:hAnsi="宋体" w:cs="宋体"/>
          <w:color w:val="auto"/>
          <w:sz w:val="24"/>
          <w:szCs w:val="24"/>
        </w:rPr>
        <w:t>三．供应商存在下列情况之一的，投标无效：</w:t>
      </w:r>
      <w:bookmarkEnd w:id="155"/>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3.1未按照招标文件的规定提交投标保证金的；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3.2投标文件未按招标文件要求签署、盖章的；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3.3不具备招标文件中规定的资格要求的；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3.4报价超过招标文件中规定的预算金额或者最高限价的；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3.5投标文件含有采购人不能接受的附加条件的；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3.6无投标有效期或有效期达不到招标文件要求的；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3.7单位负责人为同一人或者存在直接控股、管理关系的不同供应商，参加本项目同一合同项下的投标的；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3.8为本采购项目提供整体设计、规范编制或者项目管理、监理、检测等服务的供应商，参加本采购项目投标的；</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3.9提供虚假投标文件和资料的。</w:t>
      </w:r>
    </w:p>
    <w:p>
      <w:pPr>
        <w:pStyle w:val="12"/>
        <w:spacing w:line="360" w:lineRule="auto"/>
        <w:ind w:firstLine="480"/>
        <w:rPr>
          <w:rFonts w:ascii="宋体" w:hAnsi="宋体" w:cs="宋体"/>
          <w:color w:val="auto"/>
          <w:spacing w:val="4"/>
          <w:sz w:val="24"/>
          <w:szCs w:val="24"/>
        </w:rPr>
      </w:pPr>
      <w:r>
        <w:rPr>
          <w:rFonts w:hint="eastAsia" w:ascii="宋体" w:hAnsi="宋体" w:cs="宋体"/>
          <w:color w:val="auto"/>
          <w:sz w:val="24"/>
          <w:szCs w:val="24"/>
        </w:rPr>
        <w:t>3.10法律、法规和招标文件规定的其他无效情形；</w:t>
      </w:r>
    </w:p>
    <w:p>
      <w:pPr>
        <w:pStyle w:val="5"/>
        <w:spacing w:line="360" w:lineRule="auto"/>
        <w:ind w:firstLine="482"/>
        <w:rPr>
          <w:rFonts w:ascii="宋体" w:hAnsi="宋体" w:cs="宋体"/>
          <w:color w:val="auto"/>
          <w:sz w:val="24"/>
          <w:szCs w:val="24"/>
        </w:rPr>
      </w:pPr>
      <w:bookmarkStart w:id="156" w:name="_Toc3160"/>
      <w:r>
        <w:rPr>
          <w:rFonts w:hint="eastAsia" w:ascii="宋体" w:hAnsi="宋体" w:cs="宋体"/>
          <w:color w:val="auto"/>
          <w:sz w:val="24"/>
          <w:szCs w:val="24"/>
        </w:rPr>
        <w:t>四．供应商有下列情形之一的，视为供应商串通投标，其投标无效：</w:t>
      </w:r>
      <w:bookmarkEnd w:id="156"/>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4.1不同供应商的投标文件由同一单位或者个人编制；</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4.2不同供应商委托同一单位或者个人办理投标事宜；</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4.3不同供应商的投标文件载明的项目管理成员或者联系人员为同一人；</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4.4不同供应商的投标文件异常一致或者投标报价呈规律性差异；</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4.5不同供应商的投标文件相互混装；</w:t>
      </w:r>
    </w:p>
    <w:p>
      <w:pPr>
        <w:pStyle w:val="12"/>
        <w:spacing w:line="360" w:lineRule="auto"/>
        <w:ind w:firstLine="480"/>
        <w:rPr>
          <w:rFonts w:ascii="宋体" w:hAnsi="宋体" w:cs="宋体"/>
          <w:color w:val="auto"/>
          <w:spacing w:val="4"/>
          <w:sz w:val="24"/>
          <w:szCs w:val="24"/>
        </w:rPr>
      </w:pPr>
      <w:r>
        <w:rPr>
          <w:rFonts w:hint="eastAsia" w:ascii="宋体" w:hAnsi="宋体" w:cs="宋体"/>
          <w:color w:val="auto"/>
          <w:sz w:val="24"/>
          <w:szCs w:val="24"/>
        </w:rPr>
        <w:t>4.6不同供应商的投标保证金从同一单位或者个人的账户转出。</w:t>
      </w:r>
    </w:p>
    <w:p>
      <w:pPr>
        <w:pStyle w:val="5"/>
        <w:spacing w:line="360" w:lineRule="auto"/>
        <w:ind w:firstLine="482"/>
        <w:rPr>
          <w:rFonts w:ascii="宋体" w:hAnsi="宋体" w:cs="宋体"/>
          <w:color w:val="auto"/>
          <w:sz w:val="24"/>
          <w:szCs w:val="24"/>
        </w:rPr>
      </w:pPr>
      <w:bookmarkStart w:id="157" w:name="_Toc10623"/>
      <w:r>
        <w:rPr>
          <w:rFonts w:hint="eastAsia" w:ascii="宋体" w:hAnsi="宋体" w:cs="宋体"/>
          <w:color w:val="auto"/>
          <w:sz w:val="24"/>
          <w:szCs w:val="24"/>
        </w:rPr>
        <w:t>五、评审标准</w:t>
      </w:r>
      <w:bookmarkEnd w:id="157"/>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5.1初步评审标准：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5.1.1资格评审标准：见附件1初步审查要素表</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5.1.2符合性评审标准：见附件1初步审查要素表</w:t>
      </w:r>
    </w:p>
    <w:p>
      <w:pPr>
        <w:pStyle w:val="12"/>
        <w:spacing w:line="360" w:lineRule="auto"/>
        <w:ind w:firstLine="480"/>
        <w:rPr>
          <w:rFonts w:ascii="宋体" w:hAnsi="宋体" w:cs="宋体"/>
          <w:bCs/>
          <w:color w:val="auto"/>
          <w:sz w:val="24"/>
          <w:szCs w:val="24"/>
        </w:rPr>
      </w:pPr>
      <w:r>
        <w:rPr>
          <w:rFonts w:hint="eastAsia" w:ascii="宋体" w:hAnsi="宋体" w:cs="宋体"/>
          <w:color w:val="auto"/>
          <w:sz w:val="24"/>
          <w:szCs w:val="24"/>
        </w:rPr>
        <w:t>5.2分值构成与评分标准：见附件2评标因素及权重分值表</w:t>
      </w:r>
    </w:p>
    <w:p>
      <w:pPr>
        <w:pStyle w:val="5"/>
        <w:spacing w:line="360" w:lineRule="auto"/>
        <w:ind w:firstLine="482"/>
        <w:rPr>
          <w:rFonts w:ascii="宋体" w:hAnsi="宋体" w:cs="宋体"/>
          <w:color w:val="auto"/>
          <w:sz w:val="24"/>
          <w:szCs w:val="24"/>
        </w:rPr>
      </w:pPr>
      <w:bookmarkStart w:id="158" w:name="_Toc5429"/>
      <w:bookmarkStart w:id="159" w:name="_Toc363463333"/>
      <w:r>
        <w:rPr>
          <w:rFonts w:hint="eastAsia" w:ascii="宋体" w:hAnsi="宋体" w:cs="宋体"/>
          <w:color w:val="auto"/>
          <w:sz w:val="24"/>
          <w:szCs w:val="24"/>
        </w:rPr>
        <w:t>六．评审程序</w:t>
      </w:r>
      <w:bookmarkEnd w:id="158"/>
      <w:bookmarkEnd w:id="159"/>
    </w:p>
    <w:p>
      <w:pPr>
        <w:pStyle w:val="12"/>
        <w:spacing w:line="360" w:lineRule="auto"/>
        <w:ind w:firstLine="482"/>
        <w:rPr>
          <w:rFonts w:ascii="宋体" w:hAnsi="宋体" w:cs="宋体"/>
          <w:b/>
          <w:color w:val="auto"/>
          <w:sz w:val="24"/>
          <w:szCs w:val="24"/>
        </w:rPr>
      </w:pPr>
      <w:r>
        <w:rPr>
          <w:rFonts w:hint="eastAsia" w:ascii="宋体" w:hAnsi="宋体" w:cs="宋体"/>
          <w:b/>
          <w:color w:val="auto"/>
          <w:sz w:val="24"/>
          <w:szCs w:val="24"/>
        </w:rPr>
        <w:t>6.1本采购项目评标按照下列工作程序进行</w:t>
      </w:r>
      <w:r>
        <w:rPr>
          <w:rFonts w:hint="eastAsia" w:ascii="宋体" w:hAnsi="宋体" w:cs="宋体"/>
          <w:bCs/>
          <w:color w:val="auto"/>
          <w:sz w:val="24"/>
          <w:szCs w:val="24"/>
        </w:rPr>
        <w:t>（在上一步评审中被认定无效投标者，不进入下一步的评审）</w:t>
      </w:r>
      <w:r>
        <w:rPr>
          <w:rFonts w:hint="eastAsia" w:ascii="宋体" w:hAnsi="宋体" w:cs="宋体"/>
          <w:b/>
          <w:color w:val="auto"/>
          <w:sz w:val="24"/>
          <w:szCs w:val="24"/>
        </w:rPr>
        <w:t>。</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（1）投标文件初审；</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（2）澄清有关问题；</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（3）比较与评价；</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（4）推荐中标候选人名单。</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6.2投标文件初审</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采购人或采购代理机构根据本章第5.1.1项规定的评审标准对投标文件进行资格性审查。有一项不符合评审标准的，将被认定为无效投标。</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评标委员会根据本章第5.1.2项规定的评审标准对投标文件进行符合性评审。有一项不符合评审标准的，评标委员会应当否决其投标。</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在资格性审查阶段，不符合招标文件要求的，不得进入符合性审查，在符合性审查时未通过的，不得进入后续评审环节。</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6.3投标文件的澄清</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供应商的澄清、说明或者补正不得超出投标文件的范围或者改变投标文件的实质性内容。评标委员会不接受供应商主动提出的澄清、说明。</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6.3.2有效的书面澄清材料，是投标文件的补充材料，成为投标文件的组成部分。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6.4投标文件比较与评价</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6.4.1评委会应按照招标文件中规定的评标方法和标准，对资格性检查和符合性检查合格的投标文件进行商务和技术评估，综合比较与评价。</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6.4.2如果投标文件没有实质性响应招标文件的要求，评委会将予以拒绝。供应商不得通过修正或撤销不合要求的偏离或保留，从而使其投标成为实质性响应的投标。</w:t>
      </w:r>
    </w:p>
    <w:p>
      <w:pPr>
        <w:pStyle w:val="5"/>
        <w:spacing w:line="360" w:lineRule="auto"/>
        <w:ind w:firstLine="482"/>
        <w:rPr>
          <w:rFonts w:ascii="宋体" w:hAnsi="宋体" w:cs="宋体"/>
          <w:color w:val="auto"/>
          <w:sz w:val="24"/>
          <w:szCs w:val="24"/>
        </w:rPr>
      </w:pPr>
      <w:bookmarkStart w:id="160" w:name="_Toc31171"/>
      <w:r>
        <w:rPr>
          <w:rFonts w:hint="eastAsia" w:ascii="宋体" w:hAnsi="宋体" w:cs="宋体"/>
          <w:color w:val="auto"/>
          <w:sz w:val="24"/>
          <w:szCs w:val="24"/>
        </w:rPr>
        <w:t>七．政策性扣减</w:t>
      </w:r>
      <w:bookmarkEnd w:id="160"/>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7.1政策性扣减范围</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7.1.1供应商符合监狱企业、残疾人福利性单位条件的，其投标报价价格评审时将按相应比例进行扣减。</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7.1.2依照&lt;关于印发《政府采购促进中小企业发展管理办法》（财库[2020]46号）的规定，小型、微型企业应当同时符合以下条件：</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（1）符合中小企业划分标准（中小企业划分标准是指国务院有关部门根据企业从业人员、营业收入、资产总额等指标制定的中小企业划型标准（工信部联企业〔2011〕300号））。</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（2）提供本企业制造的货物、承担的工程或者服务，或者提供其他中小企业制造的货物，不包括提供或使用大型企业注册商标的货物。</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（3）小型、微型企业提供中型企业制造的货物的，视同为中型企业；小型、微型、中型企业提供大型企业制造的货物的，视同为大型企业。</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7.1.3采购人拟采购产品属于优先采购节能、环境标志产品范围的，应当优先采购节能、环境标志产品；拟采购产品符合政府采购强制采购政策的，实行强制采购。</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（1）采购人依据节能产品、环境标志产品品目清单和节能、环境标志产品认证证书实施政府优先采购和强制采购。</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7.1.4监狱企业参加政府采购活动时，应当提供由省级以上监狱管理局、戒毒管理局(含新疆生产建设兵团)出具的属于监狱企业的证明文件。监狱企业参加政府采购活动时，视同小型、微型企业。</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7.2政策性扣减方式：</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7.2.1在投标报价的基础上，对监狱企业、残疾人福利性单位，按“投标报价×10%”进行扣减；</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7.2.2供应商为联合体参与投标，且联合协议中约定小型或微型企业的协议合同金额占到联合体协议合同总金额30％以上的，按“投标报价×4%”进行扣减；</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7.2.3监狱企业、残疾人福利性单位不重复享受优惠政策；</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7.2.4供应商享受支持中小型企业发展政策优惠的，可以同时享受节能、环境标志产品优先采购政策。</w:t>
      </w:r>
    </w:p>
    <w:p>
      <w:pPr>
        <w:pStyle w:val="5"/>
        <w:spacing w:line="360" w:lineRule="auto"/>
        <w:ind w:firstLine="482"/>
        <w:rPr>
          <w:rFonts w:ascii="宋体" w:hAnsi="宋体" w:cs="宋体"/>
          <w:color w:val="auto"/>
          <w:sz w:val="24"/>
          <w:szCs w:val="24"/>
        </w:rPr>
      </w:pPr>
      <w:bookmarkStart w:id="161" w:name="_Toc16760"/>
      <w:r>
        <w:rPr>
          <w:rFonts w:hint="eastAsia" w:ascii="宋体" w:hAnsi="宋体" w:cs="宋体"/>
          <w:color w:val="auto"/>
          <w:sz w:val="24"/>
          <w:szCs w:val="24"/>
        </w:rPr>
        <w:t>八．特殊情况的处理</w:t>
      </w:r>
      <w:bookmarkEnd w:id="161"/>
    </w:p>
    <w:p>
      <w:pPr>
        <w:pStyle w:val="12"/>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投标文件报价出现前后不一致的，按照下列规定修正：</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1）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（2）投标文件的大写金额和小写金额不一致的，以大写金额为准；</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（3）单价金额小数点或者百分比有明显错位的，以单独密封的开标一览表的总价为准，并修改单价；</w:t>
      </w:r>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（4）总价金额与按单价汇总金额不一致的，以单价金额计算结果为准。</w:t>
      </w:r>
    </w:p>
    <w:p>
      <w:pPr>
        <w:pStyle w:val="12"/>
        <w:spacing w:line="360" w:lineRule="auto"/>
        <w:ind w:firstLine="482"/>
        <w:rPr>
          <w:rFonts w:ascii="宋体" w:hAnsi="宋体" w:cs="宋体"/>
          <w:b/>
          <w:bCs/>
          <w:color w:val="auto"/>
          <w:sz w:val="24"/>
          <w:szCs w:val="24"/>
        </w:rPr>
      </w:pPr>
      <w:r>
        <w:rPr>
          <w:rFonts w:hint="eastAsia" w:ascii="宋体" w:hAnsi="宋体" w:cs="宋体"/>
          <w:b/>
          <w:bCs/>
          <w:color w:val="auto"/>
          <w:sz w:val="24"/>
          <w:szCs w:val="24"/>
        </w:rPr>
        <w:t>按上述修正的顺序和方法调整的投标报价应对供应商具有约束力。如果供应商不接受修正后的价格，其投标将按无效投标处理。</w:t>
      </w:r>
    </w:p>
    <w:p>
      <w:pPr>
        <w:pStyle w:val="5"/>
        <w:spacing w:line="360" w:lineRule="auto"/>
        <w:ind w:firstLine="482"/>
        <w:rPr>
          <w:rFonts w:ascii="宋体" w:hAnsi="宋体" w:cs="宋体"/>
          <w:color w:val="auto"/>
          <w:sz w:val="24"/>
          <w:szCs w:val="24"/>
        </w:rPr>
      </w:pPr>
      <w:bookmarkStart w:id="162" w:name="_Toc1261"/>
      <w:r>
        <w:rPr>
          <w:rFonts w:hint="eastAsia" w:ascii="宋体" w:hAnsi="宋体" w:cs="宋体"/>
          <w:color w:val="auto"/>
          <w:sz w:val="24"/>
          <w:szCs w:val="24"/>
        </w:rPr>
        <w:t>九．定标：</w:t>
      </w:r>
      <w:bookmarkEnd w:id="162"/>
    </w:p>
    <w:p>
      <w:pPr>
        <w:pStyle w:val="12"/>
        <w:spacing w:line="360" w:lineRule="auto"/>
        <w:ind w:firstLine="480"/>
        <w:rPr>
          <w:rFonts w:ascii="宋体" w:hAnsi="宋体" w:cs="宋体"/>
          <w:color w:val="auto"/>
          <w:sz w:val="24"/>
          <w:szCs w:val="24"/>
        </w:rPr>
      </w:pPr>
      <w:r>
        <w:rPr>
          <w:rFonts w:hint="eastAsia" w:ascii="宋体" w:hAnsi="宋体" w:cs="宋体"/>
          <w:color w:val="auto"/>
          <w:sz w:val="24"/>
          <w:szCs w:val="24"/>
        </w:rPr>
        <w:t>9.1评标结果由全体评标委员会成员签字确认。</w:t>
      </w:r>
    </w:p>
    <w:p>
      <w:pPr>
        <w:pStyle w:val="12"/>
        <w:spacing w:line="360" w:lineRule="auto"/>
        <w:ind w:firstLine="480"/>
        <w:rPr>
          <w:rFonts w:ascii="宋体" w:hAnsi="宋体" w:cs="宋体"/>
          <w:color w:val="auto"/>
          <w:spacing w:val="4"/>
          <w:sz w:val="24"/>
          <w:szCs w:val="24"/>
        </w:rPr>
      </w:pPr>
      <w:r>
        <w:rPr>
          <w:rFonts w:hint="eastAsia" w:ascii="宋体" w:hAnsi="宋体" w:cs="宋体"/>
          <w:color w:val="auto"/>
          <w:sz w:val="24"/>
          <w:szCs w:val="24"/>
        </w:rPr>
        <w:t>9.2采购人根据评标报告中推荐的中标候选人排列顺序确定中标人，以复函通知采购代理机构。</w:t>
      </w:r>
    </w:p>
    <w:p>
      <w:pPr>
        <w:spacing w:line="360" w:lineRule="auto"/>
        <w:rPr>
          <w:rFonts w:cs="宋体"/>
          <w:color w:val="auto"/>
          <w:sz w:val="24"/>
          <w:szCs w:val="24"/>
        </w:rPr>
      </w:pPr>
    </w:p>
    <w:p>
      <w:pPr>
        <w:pStyle w:val="5"/>
        <w:spacing w:line="360" w:lineRule="auto"/>
        <w:ind w:firstLine="422"/>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附件1：</w:t>
      </w:r>
      <w:bookmarkStart w:id="163" w:name="_Toc15044"/>
      <w:r>
        <w:rPr>
          <w:rFonts w:hint="eastAsia" w:ascii="宋体" w:hAnsi="宋体" w:cs="宋体"/>
          <w:color w:val="auto"/>
          <w:sz w:val="24"/>
          <w:szCs w:val="24"/>
        </w:rPr>
        <w:t>初步审查要素表</w:t>
      </w:r>
      <w:bookmarkEnd w:id="163"/>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418"/>
        <w:gridCol w:w="1155"/>
        <w:gridCol w:w="2738"/>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47" w:type="dxa"/>
            <w:gridSpan w:val="2"/>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条款号</w:t>
            </w:r>
          </w:p>
        </w:tc>
        <w:tc>
          <w:tcPr>
            <w:tcW w:w="1155" w:type="dxa"/>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评审因素</w:t>
            </w:r>
          </w:p>
        </w:tc>
        <w:tc>
          <w:tcPr>
            <w:tcW w:w="6769" w:type="dxa"/>
            <w:gridSpan w:val="2"/>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2.1.1</w:t>
            </w:r>
          </w:p>
        </w:tc>
        <w:tc>
          <w:tcPr>
            <w:tcW w:w="418" w:type="dxa"/>
            <w:vMerge w:val="restart"/>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资格评审</w:t>
            </w:r>
          </w:p>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标准</w:t>
            </w:r>
          </w:p>
        </w:tc>
        <w:tc>
          <w:tcPr>
            <w:tcW w:w="1155" w:type="dxa"/>
            <w:vMerge w:val="restart"/>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基本资格条件</w:t>
            </w:r>
          </w:p>
        </w:tc>
        <w:tc>
          <w:tcPr>
            <w:tcW w:w="6769" w:type="dxa"/>
            <w:gridSpan w:val="2"/>
            <w:vAlign w:val="center"/>
          </w:tcPr>
          <w:p>
            <w:pPr>
              <w:spacing w:line="360" w:lineRule="auto"/>
              <w:rPr>
                <w:rFonts w:cs="宋体"/>
                <w:color w:val="auto"/>
                <w:sz w:val="24"/>
                <w:szCs w:val="24"/>
              </w:rPr>
            </w:pPr>
            <w:r>
              <w:rPr>
                <w:rFonts w:hint="eastAsia" w:cs="宋体"/>
                <w:color w:val="auto"/>
                <w:sz w:val="24"/>
                <w:szCs w:val="24"/>
              </w:rPr>
              <w:t>1、具有独立承担民事责任能力的法人、其他组织或自然人，并出具合法有效的营业执照或事业单位法人证书等国家规定的相关证明，自然人参与的提供其身份证明；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6769" w:type="dxa"/>
            <w:gridSpan w:val="2"/>
            <w:vAlign w:val="center"/>
          </w:tcPr>
          <w:p>
            <w:pPr>
              <w:spacing w:line="360" w:lineRule="auto"/>
              <w:rPr>
                <w:rFonts w:cs="宋体"/>
                <w:color w:val="auto"/>
                <w:sz w:val="24"/>
                <w:szCs w:val="24"/>
              </w:rPr>
            </w:pPr>
            <w:r>
              <w:rPr>
                <w:rFonts w:hint="eastAsia" w:cs="宋体"/>
                <w:color w:val="auto"/>
                <w:sz w:val="24"/>
                <w:szCs w:val="24"/>
                <w:lang w:val="en-US" w:eastAsia="zh-CN"/>
              </w:rPr>
              <w:t>2、</w:t>
            </w:r>
            <w:r>
              <w:rPr>
                <w:rFonts w:hint="eastAsia" w:cs="宋体"/>
                <w:color w:val="auto"/>
                <w:sz w:val="24"/>
                <w:szCs w:val="24"/>
              </w:rPr>
              <w:t>财务状况报告：</w:t>
            </w:r>
            <w:r>
              <w:rPr>
                <w:rFonts w:hint="eastAsia" w:cs="宋体"/>
                <w:color w:val="auto"/>
                <w:sz w:val="24"/>
                <w:szCs w:val="24"/>
                <w:lang w:val="en-US" w:eastAsia="zh-CN"/>
              </w:rPr>
              <w:t>提供2021年度或2022 年度经审计的财务报告（包括“四表一注”，即资产负债表、利润表、现金流量表、所有者权益变动表及其附注，成立时间至提交投标文件截止时间不足一年的可提供成立后任意时段的资产负债表），或其开标前三个月内基本开户银行出具的资信证明</w:t>
            </w:r>
            <w:r>
              <w:rPr>
                <w:rFonts w:hint="eastAsia"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6769" w:type="dxa"/>
            <w:gridSpan w:val="2"/>
            <w:vAlign w:val="center"/>
          </w:tcPr>
          <w:p>
            <w:pPr>
              <w:spacing w:line="360" w:lineRule="auto"/>
              <w:rPr>
                <w:rFonts w:cs="宋体"/>
                <w:color w:val="auto"/>
                <w:sz w:val="24"/>
                <w:szCs w:val="24"/>
              </w:rPr>
            </w:pPr>
            <w:r>
              <w:rPr>
                <w:rFonts w:hint="eastAsia" w:cs="宋体"/>
                <w:color w:val="auto"/>
                <w:sz w:val="24"/>
                <w:szCs w:val="24"/>
              </w:rPr>
              <w:t>3、</w:t>
            </w:r>
            <w:r>
              <w:rPr>
                <w:rFonts w:hint="eastAsia" w:cs="宋体"/>
                <w:color w:val="auto"/>
                <w:sz w:val="24"/>
                <w:szCs w:val="24"/>
                <w:lang w:val="en-US" w:eastAsia="zh-CN"/>
              </w:rPr>
              <w:t>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6769" w:type="dxa"/>
            <w:gridSpan w:val="2"/>
            <w:vAlign w:val="center"/>
          </w:tcPr>
          <w:p>
            <w:pPr>
              <w:spacing w:line="360" w:lineRule="auto"/>
              <w:rPr>
                <w:rFonts w:cs="宋体"/>
                <w:color w:val="auto"/>
                <w:sz w:val="24"/>
                <w:szCs w:val="24"/>
              </w:rPr>
            </w:pPr>
            <w:r>
              <w:rPr>
                <w:rFonts w:hint="eastAsia" w:cs="宋体"/>
                <w:color w:val="auto"/>
                <w:sz w:val="24"/>
                <w:szCs w:val="24"/>
              </w:rPr>
              <w:t>4、税收缴纳证明：</w:t>
            </w:r>
            <w:r>
              <w:rPr>
                <w:rFonts w:hint="eastAsia" w:cs="宋体"/>
                <w:color w:val="auto"/>
                <w:sz w:val="24"/>
                <w:szCs w:val="24"/>
                <w:lang w:val="en-US" w:eastAsia="zh-CN"/>
              </w:rPr>
              <w:t>提供递交投标文件截止之日前一年内任意一个月的依法缴纳税收的相关凭据，凭据应有税务机关或代收机关的公章或业务专用章。 依法免税或无须缴纳税收的供应商，应提供相应证明文件</w:t>
            </w:r>
            <w:r>
              <w:rPr>
                <w:rFonts w:hint="eastAsia"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6769" w:type="dxa"/>
            <w:gridSpan w:val="2"/>
            <w:vAlign w:val="center"/>
          </w:tcPr>
          <w:p>
            <w:pPr>
              <w:spacing w:line="360" w:lineRule="auto"/>
              <w:rPr>
                <w:rFonts w:cs="宋体"/>
                <w:color w:val="auto"/>
                <w:sz w:val="24"/>
                <w:szCs w:val="24"/>
              </w:rPr>
            </w:pPr>
            <w:r>
              <w:rPr>
                <w:rFonts w:hint="eastAsia" w:cs="宋体"/>
                <w:color w:val="auto"/>
                <w:sz w:val="24"/>
                <w:szCs w:val="24"/>
              </w:rPr>
              <w:t>5、参加政府采购活动前3年内，在经营活动中没有重大违法记录的书面声明；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6769" w:type="dxa"/>
            <w:gridSpan w:val="2"/>
            <w:vAlign w:val="center"/>
          </w:tcPr>
          <w:p>
            <w:pPr>
              <w:spacing w:line="360" w:lineRule="auto"/>
              <w:rPr>
                <w:rFonts w:cs="宋体"/>
                <w:color w:val="auto"/>
                <w:sz w:val="24"/>
                <w:szCs w:val="24"/>
              </w:rPr>
            </w:pPr>
            <w:r>
              <w:rPr>
                <w:rFonts w:hint="eastAsia" w:cs="宋体"/>
                <w:color w:val="auto"/>
                <w:sz w:val="24"/>
                <w:szCs w:val="24"/>
              </w:rPr>
              <w:t>6、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restart"/>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特定资格条件</w:t>
            </w:r>
          </w:p>
        </w:tc>
        <w:tc>
          <w:tcPr>
            <w:tcW w:w="6769" w:type="dxa"/>
            <w:gridSpan w:val="2"/>
            <w:vAlign w:val="center"/>
          </w:tcPr>
          <w:p>
            <w:pPr>
              <w:spacing w:line="360" w:lineRule="auto"/>
              <w:rPr>
                <w:rFonts w:cs="宋体"/>
                <w:color w:val="auto"/>
                <w:sz w:val="24"/>
                <w:szCs w:val="24"/>
              </w:rPr>
            </w:pPr>
            <w:r>
              <w:rPr>
                <w:rFonts w:hint="eastAsia" w:cs="宋体"/>
                <w:color w:val="auto"/>
                <w:sz w:val="24"/>
                <w:szCs w:val="24"/>
              </w:rPr>
              <w:t>二、法定代表人直接参加投标的，须出具法人身份证明及身份证；法定代表人授权代表参加投标的，须出具法定代表人授权书及授权代表身份证；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6769" w:type="dxa"/>
            <w:gridSpan w:val="2"/>
            <w:vAlign w:val="center"/>
          </w:tcPr>
          <w:p>
            <w:pPr>
              <w:spacing w:line="360" w:lineRule="auto"/>
              <w:rPr>
                <w:rFonts w:cs="宋体"/>
                <w:color w:val="auto"/>
                <w:sz w:val="24"/>
                <w:szCs w:val="24"/>
              </w:rPr>
            </w:pPr>
            <w:r>
              <w:rPr>
                <w:rFonts w:hint="eastAsia" w:cs="宋体"/>
                <w:color w:val="auto"/>
                <w:sz w:val="24"/>
                <w:szCs w:val="24"/>
              </w:rPr>
              <w:t>三、单位负责人为同一人或者存在直接控股、管理关系的不同供应商，不得参加同一合同项下的政府采购活动；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6769" w:type="dxa"/>
            <w:gridSpan w:val="2"/>
            <w:vAlign w:val="center"/>
          </w:tcPr>
          <w:p>
            <w:pPr>
              <w:spacing w:line="360" w:lineRule="auto"/>
              <w:rPr>
                <w:rFonts w:cs="宋体"/>
                <w:color w:val="auto"/>
                <w:sz w:val="24"/>
                <w:szCs w:val="24"/>
              </w:rPr>
            </w:pPr>
            <w:r>
              <w:rPr>
                <w:rFonts w:hint="eastAsia" w:cs="宋体"/>
                <w:color w:val="auto"/>
                <w:sz w:val="24"/>
                <w:szCs w:val="24"/>
              </w:rPr>
              <w:t>四、本项目专门面向中小企业采购。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1" w:type="dxa"/>
            <w:gridSpan w:val="5"/>
            <w:vAlign w:val="center"/>
          </w:tcPr>
          <w:p>
            <w:pPr>
              <w:tabs>
                <w:tab w:val="left" w:pos="0"/>
              </w:tabs>
              <w:adjustRightInd w:val="0"/>
              <w:snapToGrid w:val="0"/>
              <w:spacing w:line="360" w:lineRule="auto"/>
              <w:jc w:val="left"/>
              <w:rPr>
                <w:rFonts w:cs="宋体"/>
                <w:color w:val="auto"/>
                <w:sz w:val="24"/>
                <w:szCs w:val="24"/>
              </w:rPr>
            </w:pPr>
            <w:r>
              <w:rPr>
                <w:rFonts w:hint="eastAsia" w:cs="宋体"/>
                <w:color w:val="auto"/>
                <w:sz w:val="24"/>
                <w:szCs w:val="24"/>
              </w:rPr>
              <w:t>注：以上为必备资质，缺一项或某项达不到要求，按无效投标处理。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2.1.2</w:t>
            </w:r>
          </w:p>
        </w:tc>
        <w:tc>
          <w:tcPr>
            <w:tcW w:w="418" w:type="dxa"/>
            <w:vMerge w:val="restart"/>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符合性评审标准</w:t>
            </w:r>
          </w:p>
        </w:tc>
        <w:tc>
          <w:tcPr>
            <w:tcW w:w="1155" w:type="dxa"/>
            <w:vMerge w:val="restart"/>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有效性审查</w:t>
            </w:r>
          </w:p>
        </w:tc>
        <w:tc>
          <w:tcPr>
            <w:tcW w:w="2738"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投标文件的签署盖章</w:t>
            </w:r>
          </w:p>
        </w:tc>
        <w:tc>
          <w:tcPr>
            <w:tcW w:w="4031"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投标文件上法定代表人或被授权人的签字齐全并加盖公章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tcPr>
          <w:p>
            <w:pPr>
              <w:tabs>
                <w:tab w:val="left" w:pos="0"/>
              </w:tabs>
              <w:adjustRightInd w:val="0"/>
              <w:snapToGrid w:val="0"/>
              <w:spacing w:line="360" w:lineRule="auto"/>
              <w:rPr>
                <w:rFonts w:cs="宋体"/>
                <w:bCs/>
                <w:color w:val="auto"/>
                <w:sz w:val="24"/>
                <w:szCs w:val="24"/>
              </w:rPr>
            </w:pPr>
          </w:p>
        </w:tc>
        <w:tc>
          <w:tcPr>
            <w:tcW w:w="418" w:type="dxa"/>
            <w:vMerge w:val="continue"/>
          </w:tcPr>
          <w:p>
            <w:pPr>
              <w:tabs>
                <w:tab w:val="left" w:pos="0"/>
              </w:tabs>
              <w:adjustRightInd w:val="0"/>
              <w:snapToGrid w:val="0"/>
              <w:spacing w:line="360" w:lineRule="auto"/>
              <w:rPr>
                <w:rFonts w:cs="宋体"/>
                <w:bCs/>
                <w:color w:val="auto"/>
                <w:sz w:val="24"/>
                <w:szCs w:val="24"/>
              </w:rPr>
            </w:pPr>
          </w:p>
        </w:tc>
        <w:tc>
          <w:tcPr>
            <w:tcW w:w="1155" w:type="dxa"/>
            <w:vMerge w:val="continue"/>
          </w:tcPr>
          <w:p>
            <w:pPr>
              <w:tabs>
                <w:tab w:val="left" w:pos="0"/>
              </w:tabs>
              <w:adjustRightInd w:val="0"/>
              <w:snapToGrid w:val="0"/>
              <w:spacing w:line="360" w:lineRule="auto"/>
              <w:rPr>
                <w:rFonts w:cs="宋体"/>
                <w:bCs/>
                <w:color w:val="auto"/>
                <w:sz w:val="24"/>
                <w:szCs w:val="24"/>
              </w:rPr>
            </w:pPr>
          </w:p>
        </w:tc>
        <w:tc>
          <w:tcPr>
            <w:tcW w:w="2738"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投标文件格式</w:t>
            </w:r>
          </w:p>
        </w:tc>
        <w:tc>
          <w:tcPr>
            <w:tcW w:w="4031"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tcPr>
          <w:p>
            <w:pPr>
              <w:tabs>
                <w:tab w:val="left" w:pos="0"/>
              </w:tabs>
              <w:adjustRightInd w:val="0"/>
              <w:snapToGrid w:val="0"/>
              <w:spacing w:line="360" w:lineRule="auto"/>
              <w:rPr>
                <w:rFonts w:cs="宋体"/>
                <w:bCs/>
                <w:color w:val="auto"/>
                <w:sz w:val="24"/>
                <w:szCs w:val="24"/>
              </w:rPr>
            </w:pPr>
          </w:p>
        </w:tc>
        <w:tc>
          <w:tcPr>
            <w:tcW w:w="418" w:type="dxa"/>
            <w:vMerge w:val="continue"/>
          </w:tcPr>
          <w:p>
            <w:pPr>
              <w:tabs>
                <w:tab w:val="left" w:pos="0"/>
              </w:tabs>
              <w:adjustRightInd w:val="0"/>
              <w:snapToGrid w:val="0"/>
              <w:spacing w:line="360" w:lineRule="auto"/>
              <w:rPr>
                <w:rFonts w:cs="宋体"/>
                <w:bCs/>
                <w:color w:val="auto"/>
                <w:sz w:val="24"/>
                <w:szCs w:val="24"/>
              </w:rPr>
            </w:pPr>
          </w:p>
        </w:tc>
        <w:tc>
          <w:tcPr>
            <w:tcW w:w="1155" w:type="dxa"/>
            <w:vMerge w:val="continue"/>
          </w:tcPr>
          <w:p>
            <w:pPr>
              <w:tabs>
                <w:tab w:val="left" w:pos="0"/>
              </w:tabs>
              <w:adjustRightInd w:val="0"/>
              <w:snapToGrid w:val="0"/>
              <w:spacing w:line="360" w:lineRule="auto"/>
              <w:rPr>
                <w:rFonts w:cs="宋体"/>
                <w:bCs/>
                <w:color w:val="auto"/>
                <w:sz w:val="24"/>
                <w:szCs w:val="24"/>
              </w:rPr>
            </w:pPr>
          </w:p>
        </w:tc>
        <w:tc>
          <w:tcPr>
            <w:tcW w:w="2738" w:type="dxa"/>
            <w:vAlign w:val="center"/>
          </w:tcPr>
          <w:p>
            <w:pPr>
              <w:tabs>
                <w:tab w:val="left" w:pos="0"/>
              </w:tabs>
              <w:adjustRightInd w:val="0"/>
              <w:snapToGrid w:val="0"/>
              <w:spacing w:line="360" w:lineRule="auto"/>
              <w:jc w:val="left"/>
              <w:rPr>
                <w:rFonts w:cs="宋体"/>
                <w:bCs/>
                <w:color w:val="auto"/>
                <w:sz w:val="24"/>
                <w:szCs w:val="24"/>
              </w:rPr>
            </w:pPr>
            <w:r>
              <w:rPr>
                <w:rFonts w:hint="eastAsia" w:cs="宋体"/>
                <w:bCs/>
                <w:color w:val="auto"/>
                <w:sz w:val="24"/>
                <w:szCs w:val="24"/>
              </w:rPr>
              <w:t>报价唯一</w:t>
            </w:r>
          </w:p>
        </w:tc>
        <w:tc>
          <w:tcPr>
            <w:tcW w:w="4031"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restart"/>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完整性审查</w:t>
            </w:r>
          </w:p>
        </w:tc>
        <w:tc>
          <w:tcPr>
            <w:tcW w:w="2738" w:type="dxa"/>
            <w:vAlign w:val="center"/>
          </w:tcPr>
          <w:p>
            <w:pPr>
              <w:tabs>
                <w:tab w:val="left" w:pos="0"/>
              </w:tabs>
              <w:adjustRightInd w:val="0"/>
              <w:snapToGrid w:val="0"/>
              <w:spacing w:line="360" w:lineRule="auto"/>
              <w:jc w:val="left"/>
              <w:rPr>
                <w:rFonts w:cs="宋体"/>
                <w:bCs/>
                <w:color w:val="auto"/>
                <w:sz w:val="24"/>
                <w:szCs w:val="24"/>
              </w:rPr>
            </w:pPr>
            <w:r>
              <w:rPr>
                <w:rFonts w:hint="eastAsia" w:cs="宋体"/>
                <w:bCs/>
                <w:color w:val="auto"/>
                <w:sz w:val="24"/>
                <w:szCs w:val="24"/>
              </w:rPr>
              <w:t>投标文件份数</w:t>
            </w:r>
          </w:p>
        </w:tc>
        <w:tc>
          <w:tcPr>
            <w:tcW w:w="4031"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应符合“供应商须知前附表”规定的正本、副本、电子文件数量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tcPr>
          <w:p>
            <w:pPr>
              <w:tabs>
                <w:tab w:val="left" w:pos="0"/>
              </w:tabs>
              <w:adjustRightInd w:val="0"/>
              <w:snapToGrid w:val="0"/>
              <w:spacing w:line="360" w:lineRule="auto"/>
              <w:rPr>
                <w:rFonts w:cs="宋体"/>
                <w:bCs/>
                <w:color w:val="auto"/>
                <w:sz w:val="24"/>
                <w:szCs w:val="24"/>
              </w:rPr>
            </w:pPr>
          </w:p>
        </w:tc>
        <w:tc>
          <w:tcPr>
            <w:tcW w:w="418" w:type="dxa"/>
            <w:vMerge w:val="continue"/>
          </w:tcPr>
          <w:p>
            <w:pPr>
              <w:tabs>
                <w:tab w:val="left" w:pos="0"/>
              </w:tabs>
              <w:adjustRightInd w:val="0"/>
              <w:snapToGrid w:val="0"/>
              <w:spacing w:line="360" w:lineRule="auto"/>
              <w:rPr>
                <w:rFonts w:cs="宋体"/>
                <w:bCs/>
                <w:color w:val="auto"/>
                <w:sz w:val="24"/>
                <w:szCs w:val="24"/>
              </w:rPr>
            </w:pPr>
          </w:p>
        </w:tc>
        <w:tc>
          <w:tcPr>
            <w:tcW w:w="1155" w:type="dxa"/>
            <w:vMerge w:val="continue"/>
          </w:tcPr>
          <w:p>
            <w:pPr>
              <w:tabs>
                <w:tab w:val="left" w:pos="0"/>
              </w:tabs>
              <w:adjustRightInd w:val="0"/>
              <w:snapToGrid w:val="0"/>
              <w:spacing w:line="360" w:lineRule="auto"/>
              <w:rPr>
                <w:rFonts w:cs="宋体"/>
                <w:bCs/>
                <w:color w:val="auto"/>
                <w:sz w:val="24"/>
                <w:szCs w:val="24"/>
              </w:rPr>
            </w:pPr>
          </w:p>
        </w:tc>
        <w:tc>
          <w:tcPr>
            <w:tcW w:w="2738" w:type="dxa"/>
            <w:vAlign w:val="center"/>
          </w:tcPr>
          <w:p>
            <w:pPr>
              <w:tabs>
                <w:tab w:val="left" w:pos="0"/>
              </w:tabs>
              <w:adjustRightInd w:val="0"/>
              <w:snapToGrid w:val="0"/>
              <w:spacing w:line="360" w:lineRule="auto"/>
              <w:jc w:val="left"/>
              <w:rPr>
                <w:rFonts w:cs="宋体"/>
                <w:bCs/>
                <w:color w:val="auto"/>
                <w:sz w:val="24"/>
                <w:szCs w:val="24"/>
              </w:rPr>
            </w:pPr>
            <w:r>
              <w:rPr>
                <w:rFonts w:hint="eastAsia" w:cs="宋体"/>
                <w:bCs/>
                <w:color w:val="auto"/>
                <w:sz w:val="24"/>
                <w:szCs w:val="24"/>
              </w:rPr>
              <w:t>投标文件内容</w:t>
            </w:r>
          </w:p>
        </w:tc>
        <w:tc>
          <w:tcPr>
            <w:tcW w:w="4031"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29"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418" w:type="dxa"/>
            <w:vMerge w:val="continue"/>
            <w:vAlign w:val="center"/>
          </w:tcPr>
          <w:p>
            <w:pPr>
              <w:tabs>
                <w:tab w:val="left" w:pos="0"/>
              </w:tabs>
              <w:adjustRightInd w:val="0"/>
              <w:snapToGrid w:val="0"/>
              <w:spacing w:line="360" w:lineRule="auto"/>
              <w:jc w:val="center"/>
              <w:rPr>
                <w:rFonts w:cs="宋体"/>
                <w:bCs/>
                <w:color w:val="auto"/>
                <w:sz w:val="24"/>
                <w:szCs w:val="24"/>
              </w:rPr>
            </w:pPr>
          </w:p>
        </w:tc>
        <w:tc>
          <w:tcPr>
            <w:tcW w:w="1155" w:type="dxa"/>
            <w:vMerge w:val="restart"/>
            <w:vAlign w:val="center"/>
          </w:tcPr>
          <w:p>
            <w:pPr>
              <w:tabs>
                <w:tab w:val="left" w:pos="0"/>
              </w:tabs>
              <w:adjustRightInd w:val="0"/>
              <w:snapToGrid w:val="0"/>
              <w:spacing w:line="360" w:lineRule="auto"/>
              <w:jc w:val="center"/>
              <w:rPr>
                <w:rFonts w:cs="宋体"/>
                <w:bCs/>
                <w:color w:val="auto"/>
                <w:sz w:val="24"/>
                <w:szCs w:val="24"/>
              </w:rPr>
            </w:pPr>
            <w:r>
              <w:rPr>
                <w:rFonts w:hint="eastAsia" w:cs="宋体"/>
                <w:bCs/>
                <w:color w:val="auto"/>
                <w:sz w:val="24"/>
                <w:szCs w:val="24"/>
              </w:rPr>
              <w:t>响应性审查</w:t>
            </w:r>
          </w:p>
        </w:tc>
        <w:tc>
          <w:tcPr>
            <w:tcW w:w="2738" w:type="dxa"/>
            <w:vAlign w:val="center"/>
          </w:tcPr>
          <w:p>
            <w:pPr>
              <w:tabs>
                <w:tab w:val="left" w:pos="0"/>
              </w:tabs>
              <w:adjustRightInd w:val="0"/>
              <w:snapToGrid w:val="0"/>
              <w:spacing w:line="360" w:lineRule="auto"/>
              <w:jc w:val="left"/>
              <w:rPr>
                <w:rFonts w:cs="宋体"/>
                <w:bCs/>
                <w:color w:val="auto"/>
                <w:sz w:val="24"/>
                <w:szCs w:val="24"/>
              </w:rPr>
            </w:pPr>
            <w:r>
              <w:rPr>
                <w:rFonts w:hint="eastAsia" w:cs="宋体"/>
                <w:bCs/>
                <w:color w:val="auto"/>
                <w:sz w:val="24"/>
                <w:szCs w:val="24"/>
              </w:rPr>
              <w:t>对招标文件响应程度</w:t>
            </w:r>
          </w:p>
        </w:tc>
        <w:tc>
          <w:tcPr>
            <w:tcW w:w="4031"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要求实质性条款全部响应，不能有采购人不能接受的附加条件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29" w:type="dxa"/>
            <w:vMerge w:val="continue"/>
          </w:tcPr>
          <w:p>
            <w:pPr>
              <w:tabs>
                <w:tab w:val="left" w:pos="0"/>
              </w:tabs>
              <w:adjustRightInd w:val="0"/>
              <w:snapToGrid w:val="0"/>
              <w:spacing w:line="360" w:lineRule="auto"/>
              <w:rPr>
                <w:rFonts w:cs="宋体"/>
                <w:bCs/>
                <w:color w:val="auto"/>
                <w:sz w:val="24"/>
                <w:szCs w:val="24"/>
              </w:rPr>
            </w:pPr>
          </w:p>
        </w:tc>
        <w:tc>
          <w:tcPr>
            <w:tcW w:w="418" w:type="dxa"/>
            <w:vMerge w:val="continue"/>
          </w:tcPr>
          <w:p>
            <w:pPr>
              <w:tabs>
                <w:tab w:val="left" w:pos="0"/>
              </w:tabs>
              <w:adjustRightInd w:val="0"/>
              <w:snapToGrid w:val="0"/>
              <w:spacing w:line="360" w:lineRule="auto"/>
              <w:rPr>
                <w:rFonts w:cs="宋体"/>
                <w:bCs/>
                <w:color w:val="auto"/>
                <w:sz w:val="24"/>
                <w:szCs w:val="24"/>
              </w:rPr>
            </w:pPr>
          </w:p>
        </w:tc>
        <w:tc>
          <w:tcPr>
            <w:tcW w:w="1155" w:type="dxa"/>
            <w:vMerge w:val="continue"/>
          </w:tcPr>
          <w:p>
            <w:pPr>
              <w:tabs>
                <w:tab w:val="left" w:pos="0"/>
              </w:tabs>
              <w:adjustRightInd w:val="0"/>
              <w:snapToGrid w:val="0"/>
              <w:spacing w:line="360" w:lineRule="auto"/>
              <w:rPr>
                <w:rFonts w:cs="宋体"/>
                <w:bCs/>
                <w:color w:val="auto"/>
                <w:sz w:val="24"/>
                <w:szCs w:val="24"/>
              </w:rPr>
            </w:pPr>
          </w:p>
        </w:tc>
        <w:tc>
          <w:tcPr>
            <w:tcW w:w="2738" w:type="dxa"/>
            <w:vAlign w:val="center"/>
          </w:tcPr>
          <w:p>
            <w:pPr>
              <w:tabs>
                <w:tab w:val="left" w:pos="0"/>
              </w:tabs>
              <w:adjustRightInd w:val="0"/>
              <w:snapToGrid w:val="0"/>
              <w:spacing w:line="360" w:lineRule="auto"/>
              <w:jc w:val="left"/>
              <w:rPr>
                <w:rFonts w:cs="宋体"/>
                <w:bCs/>
                <w:color w:val="auto"/>
                <w:sz w:val="24"/>
                <w:szCs w:val="24"/>
              </w:rPr>
            </w:pPr>
            <w:r>
              <w:rPr>
                <w:rFonts w:hint="eastAsia" w:cs="宋体"/>
                <w:bCs/>
                <w:color w:val="auto"/>
                <w:sz w:val="24"/>
                <w:szCs w:val="24"/>
              </w:rPr>
              <w:t>服务期限</w:t>
            </w:r>
          </w:p>
        </w:tc>
        <w:tc>
          <w:tcPr>
            <w:tcW w:w="4031"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应满足招标文件中要求的服务期限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29" w:type="dxa"/>
            <w:vMerge w:val="continue"/>
          </w:tcPr>
          <w:p>
            <w:pPr>
              <w:tabs>
                <w:tab w:val="left" w:pos="0"/>
              </w:tabs>
              <w:adjustRightInd w:val="0"/>
              <w:snapToGrid w:val="0"/>
              <w:spacing w:line="360" w:lineRule="auto"/>
              <w:rPr>
                <w:rFonts w:cs="宋体"/>
                <w:bCs/>
                <w:color w:val="auto"/>
                <w:sz w:val="24"/>
                <w:szCs w:val="24"/>
              </w:rPr>
            </w:pPr>
          </w:p>
        </w:tc>
        <w:tc>
          <w:tcPr>
            <w:tcW w:w="418" w:type="dxa"/>
            <w:vMerge w:val="continue"/>
          </w:tcPr>
          <w:p>
            <w:pPr>
              <w:tabs>
                <w:tab w:val="left" w:pos="0"/>
              </w:tabs>
              <w:adjustRightInd w:val="0"/>
              <w:snapToGrid w:val="0"/>
              <w:spacing w:line="360" w:lineRule="auto"/>
              <w:rPr>
                <w:rFonts w:cs="宋体"/>
                <w:bCs/>
                <w:color w:val="auto"/>
                <w:sz w:val="24"/>
                <w:szCs w:val="24"/>
              </w:rPr>
            </w:pPr>
          </w:p>
        </w:tc>
        <w:tc>
          <w:tcPr>
            <w:tcW w:w="1155" w:type="dxa"/>
            <w:vMerge w:val="continue"/>
          </w:tcPr>
          <w:p>
            <w:pPr>
              <w:tabs>
                <w:tab w:val="left" w:pos="0"/>
              </w:tabs>
              <w:adjustRightInd w:val="0"/>
              <w:snapToGrid w:val="0"/>
              <w:spacing w:line="360" w:lineRule="auto"/>
              <w:rPr>
                <w:rFonts w:cs="宋体"/>
                <w:bCs/>
                <w:color w:val="auto"/>
                <w:sz w:val="24"/>
                <w:szCs w:val="24"/>
              </w:rPr>
            </w:pPr>
          </w:p>
        </w:tc>
        <w:tc>
          <w:tcPr>
            <w:tcW w:w="2738" w:type="dxa"/>
            <w:vAlign w:val="center"/>
          </w:tcPr>
          <w:p>
            <w:pPr>
              <w:tabs>
                <w:tab w:val="left" w:pos="0"/>
              </w:tabs>
              <w:adjustRightInd w:val="0"/>
              <w:snapToGrid w:val="0"/>
              <w:spacing w:line="360" w:lineRule="auto"/>
              <w:jc w:val="left"/>
              <w:rPr>
                <w:rFonts w:cs="宋体"/>
                <w:bCs/>
                <w:color w:val="auto"/>
                <w:sz w:val="24"/>
                <w:szCs w:val="24"/>
              </w:rPr>
            </w:pPr>
            <w:r>
              <w:rPr>
                <w:rFonts w:hint="eastAsia" w:cs="宋体"/>
                <w:bCs/>
                <w:color w:val="auto"/>
                <w:sz w:val="24"/>
                <w:szCs w:val="24"/>
              </w:rPr>
              <w:t>投标有效期</w:t>
            </w:r>
          </w:p>
        </w:tc>
        <w:tc>
          <w:tcPr>
            <w:tcW w:w="4031" w:type="dxa"/>
            <w:vAlign w:val="center"/>
          </w:tcPr>
          <w:p>
            <w:pPr>
              <w:tabs>
                <w:tab w:val="left" w:pos="0"/>
              </w:tabs>
              <w:adjustRightInd w:val="0"/>
              <w:snapToGrid w:val="0"/>
              <w:spacing w:line="360" w:lineRule="auto"/>
              <w:rPr>
                <w:rFonts w:cs="宋体"/>
                <w:bCs/>
                <w:color w:val="auto"/>
                <w:sz w:val="24"/>
                <w:szCs w:val="24"/>
              </w:rPr>
            </w:pPr>
            <w:r>
              <w:rPr>
                <w:rFonts w:hint="eastAsia" w:cs="宋体"/>
                <w:bCs/>
                <w:color w:val="auto"/>
                <w:sz w:val="24"/>
                <w:szCs w:val="24"/>
              </w:rPr>
              <w:t>应满足招标文件中的规定</w:t>
            </w:r>
          </w:p>
        </w:tc>
      </w:tr>
    </w:tbl>
    <w:p>
      <w:pPr>
        <w:spacing w:line="360" w:lineRule="auto"/>
        <w:rPr>
          <w:rFonts w:cs="宋体"/>
          <w:color w:val="auto"/>
          <w:sz w:val="24"/>
          <w:szCs w:val="24"/>
        </w:rPr>
      </w:pPr>
    </w:p>
    <w:p>
      <w:pPr>
        <w:pStyle w:val="5"/>
        <w:spacing w:line="360" w:lineRule="auto"/>
        <w:ind w:firstLine="560"/>
        <w:rPr>
          <w:rFonts w:ascii="宋体" w:hAnsi="宋体" w:cs="宋体"/>
          <w:color w:val="auto"/>
          <w:sz w:val="24"/>
          <w:szCs w:val="24"/>
        </w:rPr>
      </w:pPr>
      <w:r>
        <w:rPr>
          <w:rFonts w:hint="eastAsia" w:ascii="宋体" w:hAnsi="宋体" w:cs="宋体"/>
          <w:b w:val="0"/>
          <w:color w:val="auto"/>
          <w:sz w:val="24"/>
          <w:szCs w:val="24"/>
        </w:rPr>
        <w:br w:type="page"/>
      </w:r>
      <w:r>
        <w:rPr>
          <w:rFonts w:hint="eastAsia" w:ascii="宋体" w:hAnsi="宋体" w:cs="宋体"/>
          <w:color w:val="auto"/>
          <w:sz w:val="24"/>
          <w:szCs w:val="24"/>
        </w:rPr>
        <w:t>附件2：</w:t>
      </w:r>
      <w:bookmarkStart w:id="164" w:name="_Toc26828"/>
      <w:r>
        <w:rPr>
          <w:rFonts w:hint="eastAsia" w:ascii="宋体" w:hAnsi="宋体" w:cs="宋体"/>
          <w:color w:val="auto"/>
          <w:sz w:val="24"/>
          <w:szCs w:val="24"/>
        </w:rPr>
        <w:t>评标因素及权重分值表</w:t>
      </w:r>
      <w:bookmarkEnd w:id="164"/>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629"/>
        <w:gridCol w:w="966"/>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bCs/>
                <w:sz w:val="24"/>
                <w:szCs w:val="24"/>
              </w:rPr>
            </w:pPr>
            <w:r>
              <w:rPr>
                <w:rFonts w:hint="eastAsia" w:ascii="宋体" w:hAnsi="宋体" w:cs="宋体"/>
                <w:b/>
                <w:bCs/>
                <w:sz w:val="24"/>
                <w:szCs w:val="24"/>
                <w:lang w:bidi="ar"/>
              </w:rPr>
              <w:t>序号</w:t>
            </w:r>
          </w:p>
        </w:tc>
        <w:tc>
          <w:tcPr>
            <w:tcW w:w="95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bCs/>
                <w:sz w:val="24"/>
                <w:szCs w:val="24"/>
              </w:rPr>
            </w:pPr>
            <w:r>
              <w:rPr>
                <w:rFonts w:hint="eastAsia" w:ascii="宋体" w:hAnsi="宋体" w:cs="宋体"/>
                <w:b/>
                <w:bCs/>
                <w:sz w:val="24"/>
                <w:szCs w:val="24"/>
                <w:lang w:bidi="ar"/>
              </w:rPr>
              <w:t>评审项目</w:t>
            </w:r>
          </w:p>
        </w:tc>
        <w:tc>
          <w:tcPr>
            <w:tcW w:w="5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bCs/>
                <w:sz w:val="24"/>
                <w:szCs w:val="24"/>
              </w:rPr>
            </w:pPr>
            <w:r>
              <w:rPr>
                <w:rFonts w:hint="eastAsia" w:ascii="宋体" w:hAnsi="宋体" w:cs="宋体"/>
                <w:b/>
                <w:bCs/>
                <w:sz w:val="24"/>
                <w:szCs w:val="24"/>
                <w:lang w:bidi="ar"/>
              </w:rPr>
              <w:t>分值</w:t>
            </w:r>
          </w:p>
        </w:tc>
        <w:tc>
          <w:tcPr>
            <w:tcW w:w="302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bCs/>
                <w:sz w:val="24"/>
                <w:szCs w:val="24"/>
              </w:rPr>
            </w:pPr>
            <w:r>
              <w:rPr>
                <w:rFonts w:hint="eastAsia" w:ascii="宋体" w:hAnsi="宋体" w:cs="宋体"/>
                <w:b/>
                <w:bCs/>
                <w:sz w:val="24"/>
                <w:szCs w:val="24"/>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lang w:bidi="ar"/>
              </w:rPr>
            </w:pPr>
            <w:r>
              <w:rPr>
                <w:rFonts w:hint="eastAsia" w:ascii="宋体" w:hAnsi="宋体" w:cs="宋体"/>
                <w:sz w:val="24"/>
                <w:szCs w:val="24"/>
                <w:lang w:bidi="ar"/>
              </w:rPr>
              <w:t>1</w:t>
            </w:r>
          </w:p>
        </w:tc>
        <w:tc>
          <w:tcPr>
            <w:tcW w:w="9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FF0000"/>
                <w:sz w:val="24"/>
                <w:szCs w:val="24"/>
                <w:lang w:bidi="ar"/>
              </w:rPr>
            </w:pPr>
            <w:r>
              <w:rPr>
                <w:rFonts w:hint="eastAsia" w:ascii="宋体" w:hAnsi="宋体" w:cs="宋体"/>
                <w:sz w:val="24"/>
                <w:szCs w:val="24"/>
                <w:lang w:bidi="ar"/>
              </w:rPr>
              <w:t>投标报价</w:t>
            </w:r>
          </w:p>
        </w:tc>
        <w:tc>
          <w:tcPr>
            <w:tcW w:w="5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FF0000"/>
                <w:sz w:val="24"/>
                <w:szCs w:val="24"/>
                <w:lang w:bidi="ar"/>
              </w:rPr>
            </w:pPr>
            <w:r>
              <w:rPr>
                <w:rFonts w:ascii="宋体" w:hAnsi="宋体" w:cs="宋体"/>
                <w:sz w:val="24"/>
                <w:szCs w:val="24"/>
                <w:lang w:bidi="ar"/>
              </w:rPr>
              <w:t>10</w:t>
            </w:r>
          </w:p>
        </w:tc>
        <w:tc>
          <w:tcPr>
            <w:tcW w:w="302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cs="宋体"/>
                <w:sz w:val="24"/>
                <w:szCs w:val="24"/>
              </w:rPr>
            </w:pPr>
            <w:r>
              <w:rPr>
                <w:rFonts w:hint="eastAsia" w:ascii="宋体" w:hAnsi="宋体" w:cs="宋体"/>
                <w:sz w:val="24"/>
                <w:szCs w:val="24"/>
                <w:lang w:bidi="ar"/>
              </w:rPr>
              <w:t xml:space="preserve">价格分统一采用低价优先法计算，即满足招标文件要求且响应价格最低的投标报价为评标基准价，其价格分为满分。其他供应商价格分统一按照下列公式计算： </w:t>
            </w:r>
          </w:p>
          <w:p>
            <w:pPr>
              <w:spacing w:line="360" w:lineRule="auto"/>
              <w:jc w:val="left"/>
              <w:rPr>
                <w:rFonts w:hint="eastAsia" w:ascii="宋体" w:hAnsi="宋体" w:cs="宋体"/>
                <w:color w:val="FF0000"/>
                <w:sz w:val="24"/>
                <w:szCs w:val="24"/>
                <w:lang w:bidi="ar"/>
              </w:rPr>
            </w:pPr>
            <w:r>
              <w:rPr>
                <w:rFonts w:hint="eastAsia" w:ascii="宋体" w:hAnsi="宋体" w:cs="宋体"/>
                <w:sz w:val="24"/>
                <w:szCs w:val="24"/>
                <w:lang w:bidi="ar"/>
              </w:rPr>
              <w:t>投标报价得分=(评标基准价／投标报价)×价格权值 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bidi="ar"/>
              </w:rPr>
              <w:t>2</w:t>
            </w:r>
          </w:p>
        </w:tc>
        <w:tc>
          <w:tcPr>
            <w:tcW w:w="9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企业实力</w:t>
            </w:r>
          </w:p>
        </w:tc>
        <w:tc>
          <w:tcPr>
            <w:tcW w:w="5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10</w:t>
            </w:r>
          </w:p>
        </w:tc>
        <w:tc>
          <w:tcPr>
            <w:tcW w:w="302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default" w:ascii="宋体" w:hAnsi="宋体" w:eastAsia="宋体" w:cs="宋体"/>
                <w:color w:val="FF0000"/>
                <w:sz w:val="24"/>
                <w:szCs w:val="24"/>
                <w:lang w:val="en-US" w:eastAsia="zh-CN"/>
              </w:rPr>
            </w:pPr>
            <w:r>
              <w:rPr>
                <w:rFonts w:hint="eastAsia" w:ascii="宋体" w:hAnsi="宋体" w:cs="宋体"/>
                <w:color w:val="auto"/>
                <w:sz w:val="24"/>
                <w:szCs w:val="24"/>
                <w:lang w:val="en-US" w:eastAsia="zh-CN" w:bidi="ar"/>
              </w:rPr>
              <w:t>供应商</w:t>
            </w:r>
            <w:r>
              <w:rPr>
                <w:rFonts w:hint="eastAsia" w:ascii="宋体" w:hAnsi="宋体" w:cs="宋体"/>
                <w:color w:val="auto"/>
                <w:sz w:val="24"/>
                <w:szCs w:val="24"/>
                <w:lang w:bidi="ar"/>
              </w:rPr>
              <w:t>具有CMMI3或以上证书得</w:t>
            </w:r>
            <w:r>
              <w:rPr>
                <w:rFonts w:ascii="宋体" w:hAnsi="宋体" w:cs="宋体"/>
                <w:color w:val="auto"/>
                <w:sz w:val="24"/>
                <w:szCs w:val="24"/>
                <w:lang w:bidi="ar"/>
              </w:rPr>
              <w:t>5</w:t>
            </w:r>
            <w:r>
              <w:rPr>
                <w:rFonts w:hint="eastAsia" w:ascii="宋体" w:hAnsi="宋体" w:cs="宋体"/>
                <w:color w:val="auto"/>
                <w:sz w:val="24"/>
                <w:szCs w:val="24"/>
                <w:lang w:bidi="ar"/>
              </w:rPr>
              <w:t>分，不提供不得分；项目经理有PMP证书得5分，不提供不得分</w:t>
            </w:r>
            <w:r>
              <w:rPr>
                <w:rFonts w:hint="eastAsia" w:ascii="宋体" w:hAnsi="宋体" w:cs="宋体"/>
                <w:color w:val="auto"/>
                <w:sz w:val="24"/>
                <w:szCs w:val="24"/>
                <w:lang w:eastAsia="zh-CN" w:bidi="ar"/>
              </w:rPr>
              <w:t>。</w:t>
            </w:r>
            <w:r>
              <w:rPr>
                <w:rFonts w:hint="eastAsia" w:cs="宋体"/>
                <w:color w:val="auto"/>
                <w:sz w:val="24"/>
                <w:szCs w:val="24"/>
                <w:lang w:val="en-US" w:eastAsia="zh-CN" w:bidi="ar"/>
              </w:rPr>
              <w:t>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bidi="ar"/>
              </w:rPr>
              <w:t>3</w:t>
            </w:r>
          </w:p>
        </w:tc>
        <w:tc>
          <w:tcPr>
            <w:tcW w:w="9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lang w:bidi="ar"/>
              </w:rPr>
              <w:t>业绩</w:t>
            </w:r>
          </w:p>
        </w:tc>
        <w:tc>
          <w:tcPr>
            <w:tcW w:w="5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lang w:bidi="ar"/>
              </w:rPr>
              <w:t>5</w:t>
            </w:r>
          </w:p>
        </w:tc>
        <w:tc>
          <w:tcPr>
            <w:tcW w:w="302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cs="宋体"/>
                <w:color w:val="auto"/>
                <w:sz w:val="24"/>
                <w:szCs w:val="24"/>
              </w:rPr>
            </w:pPr>
            <w:r>
              <w:rPr>
                <w:rFonts w:hint="eastAsia" w:ascii="宋体" w:hAnsi="宋体" w:cs="宋体"/>
                <w:color w:val="auto"/>
                <w:sz w:val="24"/>
                <w:szCs w:val="24"/>
                <w:lang w:bidi="ar"/>
              </w:rPr>
              <w:t>投标人提供2019年1月1日至今实施的软件开发类项目业绩，每提供一个得1分，最高不超过5分。</w:t>
            </w:r>
          </w:p>
          <w:p>
            <w:pPr>
              <w:spacing w:line="360" w:lineRule="auto"/>
              <w:jc w:val="left"/>
              <w:rPr>
                <w:rFonts w:hint="eastAsia" w:ascii="宋体" w:hAnsi="宋体" w:cs="宋体"/>
                <w:color w:val="auto"/>
                <w:sz w:val="24"/>
                <w:szCs w:val="24"/>
                <w:lang w:bidi="ar"/>
              </w:rPr>
            </w:pPr>
            <w:r>
              <w:rPr>
                <w:rFonts w:hint="eastAsia" w:ascii="宋体" w:hAnsi="宋体" w:cs="宋体"/>
                <w:color w:val="auto"/>
                <w:sz w:val="24"/>
                <w:szCs w:val="24"/>
                <w:lang w:bidi="ar"/>
              </w:rPr>
              <w:t>注：以合同签订日期为准。业绩证明材料需附合同复印件，未提供不得分。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FF0000"/>
                <w:sz w:val="24"/>
                <w:szCs w:val="24"/>
                <w:lang w:eastAsia="zh-CN"/>
              </w:rPr>
            </w:pPr>
            <w:r>
              <w:rPr>
                <w:rFonts w:hint="eastAsia" w:ascii="宋体" w:hAnsi="宋体" w:cs="宋体"/>
                <w:color w:val="auto"/>
                <w:sz w:val="24"/>
                <w:szCs w:val="24"/>
                <w:lang w:val="en-US" w:eastAsia="zh-CN" w:bidi="ar"/>
              </w:rPr>
              <w:t>4</w:t>
            </w:r>
          </w:p>
        </w:tc>
        <w:tc>
          <w:tcPr>
            <w:tcW w:w="9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lang w:bidi="ar"/>
              </w:rPr>
              <w:t>技术方案</w:t>
            </w:r>
          </w:p>
        </w:tc>
        <w:tc>
          <w:tcPr>
            <w:tcW w:w="5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szCs w:val="24"/>
              </w:rPr>
            </w:pPr>
            <w:r>
              <w:rPr>
                <w:rFonts w:ascii="宋体" w:hAnsi="宋体" w:cs="宋体"/>
                <w:color w:val="auto"/>
                <w:sz w:val="24"/>
                <w:szCs w:val="24"/>
              </w:rPr>
              <w:t>30</w:t>
            </w:r>
          </w:p>
        </w:tc>
        <w:tc>
          <w:tcPr>
            <w:tcW w:w="30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szCs w:val="24"/>
              </w:rPr>
            </w:pPr>
            <w:r>
              <w:rPr>
                <w:rFonts w:hint="eastAsia" w:ascii="宋体" w:hAnsi="宋体" w:cs="宋体"/>
                <w:color w:val="auto"/>
                <w:sz w:val="24"/>
                <w:szCs w:val="24"/>
              </w:rPr>
              <w:t>供应商所投产品的软件开发方案合理，操作性强，特别符合实际，得（</w:t>
            </w:r>
            <w:r>
              <w:rPr>
                <w:rFonts w:ascii="宋体" w:hAnsi="宋体" w:cs="宋体"/>
                <w:color w:val="auto"/>
                <w:sz w:val="24"/>
                <w:szCs w:val="24"/>
              </w:rPr>
              <w:t>20</w:t>
            </w:r>
            <w:r>
              <w:rPr>
                <w:rFonts w:hint="eastAsia" w:ascii="宋体" w:hAnsi="宋体" w:cs="宋体"/>
                <w:color w:val="auto"/>
                <w:sz w:val="24"/>
                <w:szCs w:val="24"/>
              </w:rPr>
              <w:t>-</w:t>
            </w:r>
            <w:r>
              <w:rPr>
                <w:rFonts w:ascii="宋体" w:hAnsi="宋体" w:cs="宋体"/>
                <w:color w:val="auto"/>
                <w:sz w:val="24"/>
                <w:szCs w:val="24"/>
              </w:rPr>
              <w:t>30</w:t>
            </w:r>
            <w:r>
              <w:rPr>
                <w:rFonts w:hint="eastAsia" w:ascii="宋体" w:hAnsi="宋体" w:cs="宋体"/>
                <w:color w:val="auto"/>
                <w:sz w:val="24"/>
                <w:szCs w:val="24"/>
              </w:rPr>
              <w:t>]分；方案合理，有部分不完善之处，得（</w:t>
            </w:r>
            <w:r>
              <w:rPr>
                <w:rFonts w:ascii="宋体" w:hAnsi="宋体" w:cs="宋体"/>
                <w:color w:val="auto"/>
                <w:sz w:val="24"/>
                <w:szCs w:val="24"/>
              </w:rPr>
              <w:t>10</w:t>
            </w:r>
            <w:r>
              <w:rPr>
                <w:rFonts w:hint="eastAsia" w:ascii="宋体" w:hAnsi="宋体" w:cs="宋体"/>
                <w:color w:val="auto"/>
                <w:sz w:val="24"/>
                <w:szCs w:val="24"/>
              </w:rPr>
              <w:t>-</w:t>
            </w:r>
            <w:r>
              <w:rPr>
                <w:rFonts w:ascii="宋体" w:hAnsi="宋体" w:cs="宋体"/>
                <w:color w:val="auto"/>
                <w:sz w:val="24"/>
                <w:szCs w:val="24"/>
              </w:rPr>
              <w:t>20</w:t>
            </w:r>
            <w:r>
              <w:rPr>
                <w:rFonts w:hint="eastAsia" w:ascii="宋体" w:hAnsi="宋体" w:cs="宋体"/>
                <w:color w:val="auto"/>
                <w:sz w:val="24"/>
                <w:szCs w:val="24"/>
              </w:rPr>
              <w:t>]分；方案编制不合理，得</w:t>
            </w:r>
            <w:r>
              <w:rPr>
                <w:rFonts w:hint="eastAsia" w:ascii="宋体" w:hAnsi="宋体" w:cs="宋体"/>
                <w:color w:val="auto"/>
                <w:sz w:val="24"/>
                <w:szCs w:val="24"/>
                <w:lang w:eastAsia="zh-CN"/>
              </w:rPr>
              <w:t>（</w:t>
            </w:r>
            <w:r>
              <w:rPr>
                <w:rFonts w:hint="eastAsia" w:ascii="宋体" w:hAnsi="宋体" w:cs="宋体"/>
                <w:color w:val="auto"/>
                <w:sz w:val="24"/>
                <w:szCs w:val="24"/>
              </w:rPr>
              <w:t>0</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bidi="ar"/>
              </w:rPr>
              <w:t>5</w:t>
            </w:r>
          </w:p>
        </w:tc>
        <w:tc>
          <w:tcPr>
            <w:tcW w:w="9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bidi="ar"/>
              </w:rPr>
              <w:t>项目实施管理方案</w:t>
            </w:r>
          </w:p>
        </w:tc>
        <w:tc>
          <w:tcPr>
            <w:tcW w:w="5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ascii="宋体" w:hAnsi="宋体" w:cs="宋体"/>
                <w:sz w:val="24"/>
                <w:szCs w:val="24"/>
                <w:lang w:bidi="ar"/>
              </w:rPr>
              <w:t>15</w:t>
            </w:r>
          </w:p>
        </w:tc>
        <w:tc>
          <w:tcPr>
            <w:tcW w:w="30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r>
              <w:rPr>
                <w:rFonts w:hint="eastAsia" w:ascii="宋体" w:hAnsi="宋体" w:cs="宋体"/>
                <w:sz w:val="24"/>
                <w:szCs w:val="24"/>
                <w:lang w:bidi="ar"/>
              </w:rPr>
              <w:t>投标人需综合考虑项目的实施工作安排、进度、质量等管理过程，提供相关的项目实施管理方案。</w:t>
            </w:r>
          </w:p>
          <w:p>
            <w:pPr>
              <w:spacing w:line="360" w:lineRule="auto"/>
              <w:rPr>
                <w:rFonts w:hint="eastAsia" w:ascii="宋体" w:hAnsi="宋体" w:cs="宋体"/>
                <w:sz w:val="24"/>
                <w:szCs w:val="24"/>
              </w:rPr>
            </w:pPr>
            <w:r>
              <w:rPr>
                <w:rFonts w:hint="eastAsia" w:ascii="宋体" w:hAnsi="宋体" w:cs="宋体"/>
                <w:sz w:val="24"/>
                <w:szCs w:val="24"/>
                <w:lang w:bidi="ar"/>
              </w:rPr>
              <w:t>（1）方案内容全面完整、针对性强，得（</w:t>
            </w:r>
            <w:r>
              <w:rPr>
                <w:rFonts w:ascii="宋体" w:hAnsi="宋体" w:cs="宋体"/>
                <w:sz w:val="24"/>
                <w:szCs w:val="24"/>
                <w:lang w:bidi="ar"/>
              </w:rPr>
              <w:t>10</w:t>
            </w:r>
            <w:r>
              <w:rPr>
                <w:rFonts w:hint="eastAsia" w:ascii="宋体" w:hAnsi="宋体" w:cs="宋体"/>
                <w:sz w:val="24"/>
                <w:szCs w:val="24"/>
                <w:lang w:bidi="ar"/>
              </w:rPr>
              <w:t>-</w:t>
            </w:r>
            <w:r>
              <w:rPr>
                <w:rFonts w:ascii="宋体" w:hAnsi="宋体" w:cs="宋体"/>
                <w:sz w:val="24"/>
                <w:szCs w:val="24"/>
                <w:lang w:bidi="ar"/>
              </w:rPr>
              <w:t>15</w:t>
            </w:r>
            <w:r>
              <w:rPr>
                <w:rFonts w:hint="eastAsia" w:ascii="宋体" w:hAnsi="宋体" w:cs="宋体"/>
                <w:sz w:val="24"/>
                <w:szCs w:val="24"/>
                <w:lang w:bidi="ar"/>
              </w:rPr>
              <w:t>]分；</w:t>
            </w:r>
          </w:p>
          <w:p>
            <w:pPr>
              <w:spacing w:line="360" w:lineRule="auto"/>
              <w:rPr>
                <w:rFonts w:hint="eastAsia" w:ascii="宋体" w:hAnsi="宋体" w:cs="宋体"/>
                <w:sz w:val="24"/>
                <w:szCs w:val="24"/>
              </w:rPr>
            </w:pPr>
            <w:r>
              <w:rPr>
                <w:rFonts w:hint="eastAsia" w:ascii="宋体" w:hAnsi="宋体" w:cs="宋体"/>
                <w:sz w:val="24"/>
                <w:szCs w:val="24"/>
                <w:lang w:bidi="ar"/>
              </w:rPr>
              <w:t>（2）方案内容较全面完整、针对性较强，得(5-</w:t>
            </w:r>
            <w:r>
              <w:rPr>
                <w:rFonts w:ascii="宋体" w:hAnsi="宋体" w:cs="宋体"/>
                <w:sz w:val="24"/>
                <w:szCs w:val="24"/>
                <w:lang w:bidi="ar"/>
              </w:rPr>
              <w:t>10</w:t>
            </w:r>
            <w:r>
              <w:rPr>
                <w:rFonts w:hint="eastAsia" w:ascii="宋体" w:hAnsi="宋体" w:cs="宋体"/>
                <w:sz w:val="24"/>
                <w:szCs w:val="24"/>
                <w:lang w:bidi="ar"/>
              </w:rPr>
              <w:t>]分；</w:t>
            </w:r>
          </w:p>
          <w:p>
            <w:pPr>
              <w:spacing w:line="360" w:lineRule="auto"/>
              <w:rPr>
                <w:rFonts w:hint="eastAsia" w:ascii="宋体" w:hAnsi="宋体" w:cs="宋体"/>
                <w:sz w:val="24"/>
                <w:szCs w:val="24"/>
              </w:rPr>
            </w:pPr>
            <w:r>
              <w:rPr>
                <w:rFonts w:hint="eastAsia" w:ascii="宋体" w:hAnsi="宋体" w:cs="宋体"/>
                <w:sz w:val="24"/>
                <w:szCs w:val="24"/>
                <w:lang w:bidi="ar"/>
              </w:rPr>
              <w:t>（3）方案内容一般、针对性较差，得[1-5]分；</w:t>
            </w:r>
          </w:p>
          <w:p>
            <w:pPr>
              <w:spacing w:line="360" w:lineRule="auto"/>
              <w:rPr>
                <w:rFonts w:hint="eastAsia" w:ascii="宋体" w:hAnsi="宋体" w:cs="宋体"/>
                <w:sz w:val="24"/>
                <w:szCs w:val="24"/>
                <w:lang w:bidi="ar"/>
              </w:rPr>
            </w:pPr>
            <w:r>
              <w:rPr>
                <w:rFonts w:hint="eastAsia" w:ascii="宋体" w:hAnsi="宋体" w:cs="宋体"/>
                <w:sz w:val="24"/>
                <w:szCs w:val="24"/>
                <w:lang w:bidi="ar"/>
              </w:rPr>
              <w:t>（4）未提供本项内容，得0分。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bidi="ar"/>
              </w:rPr>
              <w:t>6</w:t>
            </w:r>
          </w:p>
        </w:tc>
        <w:tc>
          <w:tcPr>
            <w:tcW w:w="9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bidi="ar"/>
              </w:rPr>
              <w:t>项目团队</w:t>
            </w:r>
          </w:p>
        </w:tc>
        <w:tc>
          <w:tcPr>
            <w:tcW w:w="5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ascii="宋体" w:hAnsi="宋体" w:cs="宋体"/>
                <w:sz w:val="24"/>
                <w:szCs w:val="24"/>
                <w:lang w:bidi="ar"/>
              </w:rPr>
              <w:t>15</w:t>
            </w:r>
          </w:p>
        </w:tc>
        <w:tc>
          <w:tcPr>
            <w:tcW w:w="30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4"/>
                <w:szCs w:val="24"/>
                <w:lang w:bidi="ar"/>
              </w:rPr>
            </w:pPr>
            <w:r>
              <w:rPr>
                <w:rFonts w:hint="eastAsia" w:ascii="宋体" w:hAnsi="宋体" w:eastAsia="宋体" w:cs="宋体"/>
                <w:color w:val="auto"/>
                <w:kern w:val="2"/>
                <w:sz w:val="24"/>
                <w:szCs w:val="24"/>
                <w:lang w:val="en-US" w:eastAsia="zh-CN" w:bidi="ar"/>
              </w:rPr>
              <w:t>拟投入本项目的人员安排及责任制度,优得（10-15]分，良得（5-10]分，一般得[1-5]分，差得0分；</w:t>
            </w:r>
          </w:p>
          <w:p>
            <w:pPr>
              <w:spacing w:line="360" w:lineRule="auto"/>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注：(1) 需提供团队成员社保清单(2022年7月1日起至今，连续三个月即可并加盖</w:t>
            </w:r>
            <w:r>
              <w:rPr>
                <w:rFonts w:hint="eastAsia" w:cs="宋体"/>
                <w:sz w:val="24"/>
                <w:szCs w:val="24"/>
                <w:lang w:val="en-US" w:eastAsia="zh-CN" w:bidi="ar"/>
              </w:rPr>
              <w:t>投标人</w:t>
            </w:r>
            <w:r>
              <w:rPr>
                <w:rFonts w:hint="eastAsia" w:ascii="宋体" w:hAnsi="宋体" w:eastAsia="宋体" w:cs="宋体"/>
                <w:sz w:val="24"/>
                <w:szCs w:val="24"/>
                <w:lang w:bidi="ar"/>
              </w:rPr>
              <w:t>公章)，不提供本项的人员不得分。</w:t>
            </w:r>
          </w:p>
          <w:p>
            <w:pPr>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(2) 需提供学历或学位证书复印件，不提供不得分。</w:t>
            </w:r>
          </w:p>
          <w:p>
            <w:pPr>
              <w:spacing w:line="360" w:lineRule="auto"/>
              <w:jc w:val="left"/>
              <w:rPr>
                <w:rFonts w:hint="eastAsia"/>
                <w:sz w:val="24"/>
                <w:szCs w:val="24"/>
                <w:lang w:bidi="ar"/>
              </w:rPr>
            </w:pPr>
            <w:r>
              <w:rPr>
                <w:rFonts w:hint="eastAsia" w:ascii="宋体" w:hAnsi="宋体" w:eastAsia="宋体" w:cs="宋体"/>
                <w:sz w:val="24"/>
                <w:szCs w:val="24"/>
                <w:lang w:bidi="ar"/>
              </w:rPr>
              <w:t>(3)</w:t>
            </w:r>
            <w:r>
              <w:rPr>
                <w:rFonts w:hint="eastAsia" w:ascii="宋体" w:hAnsi="宋体" w:eastAsia="宋体" w:cs="宋体"/>
                <w:color w:val="auto"/>
                <w:sz w:val="24"/>
                <w:szCs w:val="24"/>
                <w:lang w:bidi="ar"/>
              </w:rPr>
              <w:t xml:space="preserve"> 团队成员需提供驻地服务，不提供驻地服务的人员不得分。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bidi="ar"/>
              </w:rPr>
              <w:t>7</w:t>
            </w:r>
          </w:p>
        </w:tc>
        <w:tc>
          <w:tcPr>
            <w:tcW w:w="9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bidi="ar"/>
              </w:rPr>
              <w:t>售后服务方案</w:t>
            </w:r>
          </w:p>
        </w:tc>
        <w:tc>
          <w:tcPr>
            <w:tcW w:w="5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ascii="宋体" w:hAnsi="宋体" w:cs="宋体"/>
                <w:sz w:val="24"/>
                <w:szCs w:val="24"/>
                <w:lang w:bidi="ar"/>
              </w:rPr>
              <w:t>10</w:t>
            </w:r>
          </w:p>
        </w:tc>
        <w:tc>
          <w:tcPr>
            <w:tcW w:w="30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根据供应商的针对本项目的售后服务方案进行综合比较评价：</w:t>
            </w:r>
          </w:p>
          <w:p>
            <w:pPr>
              <w:spacing w:line="360" w:lineRule="auto"/>
              <w:rPr>
                <w:rFonts w:hint="eastAsia" w:ascii="宋体" w:hAnsi="宋体" w:cs="宋体"/>
                <w:sz w:val="24"/>
                <w:szCs w:val="24"/>
              </w:rPr>
            </w:pPr>
            <w:r>
              <w:rPr>
                <w:rFonts w:hint="eastAsia" w:ascii="宋体" w:hAnsi="宋体" w:cs="宋体"/>
                <w:sz w:val="24"/>
                <w:szCs w:val="24"/>
                <w:lang w:bidi="ar"/>
              </w:rPr>
              <w:t>（1）方案内容明确，全面，可操作性强，与本项目的实际情况契合度高的得（</w:t>
            </w:r>
            <w:r>
              <w:rPr>
                <w:rFonts w:hint="eastAsia" w:ascii="宋体" w:hAnsi="宋体" w:cs="宋体"/>
                <w:sz w:val="24"/>
                <w:szCs w:val="24"/>
                <w:lang w:val="en-US" w:eastAsia="zh-CN" w:bidi="ar"/>
              </w:rPr>
              <w:t>7</w:t>
            </w:r>
            <w:r>
              <w:rPr>
                <w:rFonts w:hint="eastAsia" w:ascii="宋体" w:hAnsi="宋体" w:cs="宋体"/>
                <w:sz w:val="24"/>
                <w:szCs w:val="24"/>
                <w:lang w:bidi="ar"/>
              </w:rPr>
              <w:t>-</w:t>
            </w:r>
            <w:r>
              <w:rPr>
                <w:rFonts w:hint="eastAsia" w:ascii="宋体" w:hAnsi="宋体" w:cs="宋体"/>
                <w:sz w:val="24"/>
                <w:szCs w:val="24"/>
                <w:lang w:val="en-US" w:eastAsia="zh-CN" w:bidi="ar"/>
              </w:rPr>
              <w:t>10</w:t>
            </w:r>
            <w:r>
              <w:rPr>
                <w:rFonts w:hint="eastAsia" w:ascii="宋体" w:hAnsi="宋体" w:cs="宋体"/>
                <w:sz w:val="24"/>
                <w:szCs w:val="24"/>
                <w:lang w:bidi="ar"/>
              </w:rPr>
              <w:t>]分；</w:t>
            </w:r>
          </w:p>
          <w:p>
            <w:pPr>
              <w:spacing w:line="360" w:lineRule="auto"/>
              <w:rPr>
                <w:rFonts w:hint="eastAsia" w:ascii="宋体" w:hAnsi="宋体" w:cs="宋体"/>
                <w:sz w:val="24"/>
                <w:szCs w:val="24"/>
              </w:rPr>
            </w:pPr>
            <w:r>
              <w:rPr>
                <w:rFonts w:hint="eastAsia" w:ascii="宋体" w:hAnsi="宋体" w:cs="宋体"/>
                <w:sz w:val="24"/>
                <w:szCs w:val="24"/>
                <w:lang w:bidi="ar"/>
              </w:rPr>
              <w:t>（2）方案内容较详细，有一定可操作性(3-</w:t>
            </w:r>
            <w:r>
              <w:rPr>
                <w:rFonts w:hint="eastAsia" w:ascii="宋体" w:hAnsi="宋体" w:cs="宋体"/>
                <w:sz w:val="24"/>
                <w:szCs w:val="24"/>
                <w:lang w:val="en-US" w:eastAsia="zh-CN" w:bidi="ar"/>
              </w:rPr>
              <w:t>7</w:t>
            </w:r>
            <w:r>
              <w:rPr>
                <w:rFonts w:hint="eastAsia" w:ascii="宋体" w:hAnsi="宋体" w:cs="宋体"/>
                <w:sz w:val="24"/>
                <w:szCs w:val="24"/>
                <w:lang w:bidi="ar"/>
              </w:rPr>
              <w:t>]分；</w:t>
            </w:r>
          </w:p>
          <w:p>
            <w:pPr>
              <w:spacing w:line="360" w:lineRule="auto"/>
              <w:rPr>
                <w:rFonts w:hint="eastAsia" w:ascii="宋体" w:hAnsi="宋体" w:cs="宋体"/>
                <w:sz w:val="24"/>
                <w:szCs w:val="24"/>
              </w:rPr>
            </w:pPr>
            <w:r>
              <w:rPr>
                <w:rFonts w:hint="eastAsia" w:ascii="宋体" w:hAnsi="宋体" w:cs="宋体"/>
                <w:sz w:val="24"/>
                <w:szCs w:val="24"/>
                <w:lang w:bidi="ar"/>
              </w:rPr>
              <w:t>（3）方案内容简单或表达不清晰、可操作性有所欠缺，得[1-3]分。</w:t>
            </w:r>
          </w:p>
          <w:p>
            <w:pPr>
              <w:spacing w:line="360" w:lineRule="auto"/>
              <w:rPr>
                <w:rFonts w:hint="eastAsia" w:ascii="宋体" w:hAnsi="宋体" w:cs="宋体"/>
                <w:sz w:val="24"/>
                <w:szCs w:val="24"/>
              </w:rPr>
            </w:pPr>
            <w:r>
              <w:rPr>
                <w:rFonts w:hint="eastAsia" w:ascii="宋体" w:hAnsi="宋体" w:cs="宋体"/>
                <w:sz w:val="24"/>
                <w:szCs w:val="24"/>
                <w:lang w:bidi="ar"/>
              </w:rPr>
              <w:t>（4）未提供本项得0分。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bidi="ar"/>
              </w:rPr>
              <w:t>8</w:t>
            </w:r>
          </w:p>
        </w:tc>
        <w:tc>
          <w:tcPr>
            <w:tcW w:w="9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bidi="ar"/>
              </w:rPr>
              <w:t>培训方案</w:t>
            </w:r>
          </w:p>
        </w:tc>
        <w:tc>
          <w:tcPr>
            <w:tcW w:w="5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bidi="ar"/>
              </w:rPr>
              <w:t>5</w:t>
            </w:r>
          </w:p>
        </w:tc>
        <w:tc>
          <w:tcPr>
            <w:tcW w:w="30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r>
              <w:rPr>
                <w:rFonts w:hint="eastAsia" w:ascii="宋体" w:hAnsi="宋体" w:cs="宋体"/>
                <w:sz w:val="24"/>
                <w:szCs w:val="24"/>
                <w:lang w:bidi="ar"/>
              </w:rPr>
              <w:t>投标人充分考虑本项目建设后的操作使用，为本项目提供全面、完善、详细的培训方案。</w:t>
            </w:r>
          </w:p>
          <w:p>
            <w:pPr>
              <w:spacing w:line="360" w:lineRule="auto"/>
              <w:rPr>
                <w:rFonts w:hint="eastAsia" w:ascii="宋体" w:hAnsi="宋体" w:cs="宋体"/>
                <w:sz w:val="24"/>
                <w:szCs w:val="24"/>
              </w:rPr>
            </w:pPr>
            <w:r>
              <w:rPr>
                <w:rFonts w:hint="eastAsia" w:ascii="宋体" w:hAnsi="宋体" w:cs="宋体"/>
                <w:sz w:val="24"/>
                <w:szCs w:val="24"/>
                <w:lang w:bidi="ar"/>
              </w:rPr>
              <w:t>（1）方案内容全面、详细、可操作性高，得(3-5]分；</w:t>
            </w:r>
          </w:p>
          <w:p>
            <w:pPr>
              <w:spacing w:line="360" w:lineRule="auto"/>
              <w:rPr>
                <w:rFonts w:hint="eastAsia" w:ascii="宋体" w:hAnsi="宋体" w:cs="宋体"/>
                <w:sz w:val="24"/>
                <w:szCs w:val="24"/>
              </w:rPr>
            </w:pPr>
            <w:r>
              <w:rPr>
                <w:rFonts w:hint="eastAsia" w:ascii="宋体" w:hAnsi="宋体" w:cs="宋体"/>
                <w:sz w:val="24"/>
                <w:szCs w:val="24"/>
                <w:lang w:bidi="ar"/>
              </w:rPr>
              <w:t>（2）方案内容合理、较详细，有一定的可操作性得(2-3]分</w:t>
            </w:r>
          </w:p>
          <w:p>
            <w:pPr>
              <w:spacing w:line="360" w:lineRule="auto"/>
              <w:rPr>
                <w:rFonts w:hint="eastAsia" w:ascii="宋体" w:hAnsi="宋体" w:cs="宋体"/>
                <w:sz w:val="24"/>
                <w:szCs w:val="24"/>
              </w:rPr>
            </w:pPr>
            <w:r>
              <w:rPr>
                <w:rFonts w:hint="eastAsia" w:ascii="宋体" w:hAnsi="宋体" w:cs="宋体"/>
                <w:sz w:val="24"/>
                <w:szCs w:val="24"/>
                <w:lang w:bidi="ar"/>
              </w:rPr>
              <w:t>（3）方案内容不全面、较简单，能够满足采购需求得(1-2]分；</w:t>
            </w:r>
          </w:p>
          <w:p>
            <w:pPr>
              <w:spacing w:line="360" w:lineRule="auto"/>
              <w:rPr>
                <w:rFonts w:hint="eastAsia" w:ascii="宋体" w:hAnsi="宋体" w:cs="宋体"/>
                <w:sz w:val="24"/>
                <w:szCs w:val="24"/>
              </w:rPr>
            </w:pPr>
            <w:r>
              <w:rPr>
                <w:rFonts w:hint="eastAsia" w:ascii="宋体" w:hAnsi="宋体" w:cs="宋体"/>
                <w:sz w:val="24"/>
                <w:szCs w:val="24"/>
                <w:lang w:bidi="ar"/>
              </w:rPr>
              <w:t>（4）未提供本项得0分。</w:t>
            </w:r>
          </w:p>
        </w:tc>
      </w:tr>
    </w:tbl>
    <w:p>
      <w:pPr>
        <w:spacing w:line="360" w:lineRule="auto"/>
        <w:rPr>
          <w:rFonts w:cs="宋体"/>
          <w:color w:val="auto"/>
          <w:sz w:val="24"/>
          <w:szCs w:val="24"/>
        </w:rPr>
      </w:pPr>
    </w:p>
    <w:p>
      <w:pPr>
        <w:pStyle w:val="29"/>
        <w:spacing w:line="360" w:lineRule="auto"/>
        <w:ind w:firstLine="489"/>
        <w:rPr>
          <w:color w:val="auto"/>
          <w:sz w:val="24"/>
          <w:szCs w:val="24"/>
        </w:rPr>
      </w:pPr>
    </w:p>
    <w:p>
      <w:pPr>
        <w:spacing w:line="360" w:lineRule="auto"/>
        <w:rPr>
          <w:rFonts w:cs="宋体"/>
          <w:color w:val="auto"/>
          <w:sz w:val="24"/>
          <w:szCs w:val="24"/>
        </w:rPr>
      </w:pPr>
      <w:r>
        <w:rPr>
          <w:rFonts w:hint="eastAsia" w:cs="宋体"/>
          <w:color w:val="auto"/>
          <w:sz w:val="24"/>
          <w:szCs w:val="24"/>
        </w:rPr>
        <w:br w:type="page"/>
      </w:r>
    </w:p>
    <w:bookmarkEnd w:id="110"/>
    <w:bookmarkEnd w:id="138"/>
    <w:bookmarkEnd w:id="139"/>
    <w:bookmarkEnd w:id="140"/>
    <w:bookmarkEnd w:id="141"/>
    <w:bookmarkEnd w:id="142"/>
    <w:bookmarkEnd w:id="143"/>
    <w:bookmarkEnd w:id="144"/>
    <w:p>
      <w:pPr>
        <w:pStyle w:val="3"/>
        <w:spacing w:line="360" w:lineRule="auto"/>
        <w:rPr>
          <w:rFonts w:ascii="宋体" w:hAnsi="宋体" w:cs="宋体"/>
          <w:color w:val="auto"/>
          <w:sz w:val="36"/>
          <w:szCs w:val="36"/>
        </w:rPr>
      </w:pPr>
      <w:bookmarkStart w:id="165" w:name="_Toc19005"/>
      <w:bookmarkStart w:id="166" w:name="_Toc363474025"/>
      <w:bookmarkStart w:id="167" w:name="_Toc14722"/>
      <w:bookmarkStart w:id="168" w:name="_Toc426457698"/>
      <w:bookmarkStart w:id="169" w:name="_Toc16252"/>
      <w:bookmarkStart w:id="170" w:name="_Toc28411"/>
      <w:bookmarkStart w:id="171" w:name="_Toc8830"/>
      <w:bookmarkStart w:id="172" w:name="_Toc22538"/>
      <w:r>
        <w:rPr>
          <w:rFonts w:hint="eastAsia" w:ascii="宋体" w:hAnsi="宋体" w:cs="宋体"/>
          <w:color w:val="auto"/>
          <w:sz w:val="36"/>
          <w:szCs w:val="36"/>
        </w:rPr>
        <w:t>第六章 投标文件构成及格式</w:t>
      </w:r>
      <w:bookmarkEnd w:id="165"/>
      <w:bookmarkEnd w:id="166"/>
      <w:bookmarkEnd w:id="167"/>
      <w:bookmarkEnd w:id="168"/>
      <w:bookmarkEnd w:id="169"/>
      <w:bookmarkEnd w:id="170"/>
      <w:bookmarkEnd w:id="171"/>
      <w:bookmarkEnd w:id="172"/>
    </w:p>
    <w:p>
      <w:pPr>
        <w:spacing w:line="360" w:lineRule="auto"/>
        <w:rPr>
          <w:rFonts w:cs="宋体"/>
          <w:color w:val="auto"/>
          <w:sz w:val="24"/>
          <w:szCs w:val="24"/>
        </w:rPr>
      </w:pPr>
    </w:p>
    <w:p>
      <w:pPr>
        <w:spacing w:line="360" w:lineRule="auto"/>
        <w:rPr>
          <w:rFonts w:cs="宋体"/>
          <w:b/>
          <w:color w:val="auto"/>
          <w:sz w:val="24"/>
          <w:szCs w:val="24"/>
        </w:rPr>
      </w:pPr>
      <w:r>
        <w:rPr>
          <w:rFonts w:hint="eastAsia" w:cs="宋体"/>
          <w:b/>
          <w:color w:val="auto"/>
          <w:sz w:val="24"/>
          <w:szCs w:val="24"/>
        </w:rPr>
        <w:t>项目编号：JZZB2023-1030</w:t>
      </w:r>
    </w:p>
    <w:p>
      <w:pPr>
        <w:spacing w:line="360" w:lineRule="auto"/>
        <w:jc w:val="right"/>
        <w:rPr>
          <w:rFonts w:cs="宋体"/>
          <w:b/>
          <w:color w:val="auto"/>
          <w:sz w:val="24"/>
          <w:szCs w:val="24"/>
        </w:rPr>
      </w:pPr>
      <w:r>
        <w:rPr>
          <w:rFonts w:hint="eastAsia" w:cs="宋体"/>
          <w:b/>
          <w:color w:val="auto"/>
          <w:sz w:val="24"/>
          <w:szCs w:val="24"/>
        </w:rPr>
        <w:t>（正本或副本）</w:t>
      </w:r>
    </w:p>
    <w:p>
      <w:pPr>
        <w:spacing w:line="360" w:lineRule="auto"/>
        <w:rPr>
          <w:rFonts w:cs="宋体"/>
          <w:color w:val="auto"/>
          <w:sz w:val="24"/>
          <w:szCs w:val="24"/>
        </w:rPr>
      </w:pPr>
    </w:p>
    <w:p>
      <w:pPr>
        <w:pStyle w:val="22"/>
        <w:spacing w:line="360" w:lineRule="auto"/>
        <w:rPr>
          <w:rFonts w:cs="宋体"/>
          <w:color w:val="auto"/>
          <w:sz w:val="24"/>
          <w:szCs w:val="24"/>
        </w:rPr>
      </w:pPr>
    </w:p>
    <w:p>
      <w:pPr>
        <w:spacing w:line="360" w:lineRule="auto"/>
        <w:jc w:val="center"/>
        <w:rPr>
          <w:b/>
          <w:bCs/>
          <w:color w:val="auto"/>
          <w:sz w:val="40"/>
          <w:szCs w:val="40"/>
        </w:rPr>
      </w:pPr>
    </w:p>
    <w:p>
      <w:pPr>
        <w:pStyle w:val="22"/>
        <w:spacing w:line="360" w:lineRule="auto"/>
        <w:jc w:val="center"/>
        <w:rPr>
          <w:rFonts w:cs="宋体"/>
          <w:b/>
          <w:bCs/>
          <w:color w:val="auto"/>
          <w:sz w:val="40"/>
          <w:szCs w:val="40"/>
        </w:rPr>
      </w:pPr>
      <w:r>
        <w:rPr>
          <w:rFonts w:cs="宋体"/>
          <w:b/>
          <w:bCs/>
          <w:color w:val="auto"/>
          <w:sz w:val="40"/>
          <w:szCs w:val="40"/>
        </w:rPr>
        <w:t>合阳县数字农业智慧管理平台建设项目</w:t>
      </w:r>
    </w:p>
    <w:p>
      <w:pPr>
        <w:spacing w:line="360" w:lineRule="auto"/>
        <w:jc w:val="center"/>
        <w:rPr>
          <w:rFonts w:hint="eastAsia" w:cs="宋体"/>
          <w:b/>
          <w:color w:val="auto"/>
          <w:sz w:val="24"/>
          <w:szCs w:val="24"/>
        </w:rPr>
      </w:pPr>
    </w:p>
    <w:p>
      <w:pPr>
        <w:spacing w:line="360" w:lineRule="auto"/>
        <w:jc w:val="center"/>
        <w:rPr>
          <w:rFonts w:hint="eastAsia" w:cs="宋体"/>
          <w:b/>
          <w:color w:val="auto"/>
          <w:sz w:val="24"/>
          <w:szCs w:val="24"/>
        </w:rPr>
      </w:pPr>
    </w:p>
    <w:p>
      <w:pPr>
        <w:pStyle w:val="2"/>
        <w:rPr>
          <w:rFonts w:hint="eastAsia" w:cs="宋体"/>
          <w:b/>
          <w:color w:val="auto"/>
          <w:sz w:val="24"/>
          <w:szCs w:val="24"/>
        </w:rPr>
      </w:pPr>
    </w:p>
    <w:p>
      <w:pPr>
        <w:rPr>
          <w:rFonts w:hint="eastAsia" w:cs="宋体"/>
          <w:b/>
          <w:color w:val="auto"/>
          <w:sz w:val="24"/>
          <w:szCs w:val="24"/>
        </w:rPr>
      </w:pPr>
    </w:p>
    <w:p>
      <w:pPr>
        <w:pStyle w:val="2"/>
        <w:rPr>
          <w:rFonts w:hint="eastAsia" w:cs="宋体"/>
          <w:b/>
          <w:color w:val="auto"/>
          <w:sz w:val="24"/>
          <w:szCs w:val="24"/>
        </w:rPr>
      </w:pPr>
    </w:p>
    <w:p>
      <w:pPr>
        <w:rPr>
          <w:rFonts w:hint="eastAsia"/>
        </w:rPr>
      </w:pPr>
    </w:p>
    <w:p>
      <w:pPr>
        <w:rPr>
          <w:rFonts w:hint="eastAsia"/>
          <w:sz w:val="24"/>
          <w:szCs w:val="22"/>
        </w:rPr>
      </w:pPr>
    </w:p>
    <w:p>
      <w:pPr>
        <w:spacing w:line="360" w:lineRule="auto"/>
        <w:jc w:val="center"/>
        <w:rPr>
          <w:rFonts w:cs="宋体"/>
          <w:b/>
          <w:color w:val="auto"/>
          <w:sz w:val="44"/>
          <w:szCs w:val="44"/>
        </w:rPr>
      </w:pPr>
      <w:r>
        <w:rPr>
          <w:rFonts w:hint="eastAsia" w:cs="宋体"/>
          <w:b/>
          <w:color w:val="auto"/>
          <w:sz w:val="44"/>
          <w:szCs w:val="44"/>
        </w:rPr>
        <w:t>投 标 文 件</w:t>
      </w:r>
    </w:p>
    <w:p>
      <w:pPr>
        <w:spacing w:line="360" w:lineRule="auto"/>
        <w:rPr>
          <w:rFonts w:cs="宋体"/>
          <w:color w:val="auto"/>
          <w:sz w:val="24"/>
          <w:szCs w:val="24"/>
        </w:rPr>
      </w:pPr>
      <w:r>
        <w:rPr>
          <w:rFonts w:hint="eastAsia" w:cs="宋体"/>
          <w:b/>
          <w:color w:val="auto"/>
          <w:sz w:val="24"/>
          <w:szCs w:val="24"/>
        </w:rPr>
        <w:t xml:space="preserve"> </w:t>
      </w: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pStyle w:val="2"/>
      </w:pPr>
    </w:p>
    <w:p>
      <w:pPr>
        <w:spacing w:line="360" w:lineRule="auto"/>
        <w:rPr>
          <w:rFonts w:cs="宋体"/>
          <w:color w:val="auto"/>
          <w:sz w:val="24"/>
          <w:szCs w:val="24"/>
        </w:rPr>
      </w:pPr>
    </w:p>
    <w:p>
      <w:pPr>
        <w:spacing w:line="360" w:lineRule="auto"/>
        <w:rPr>
          <w:rFonts w:cs="宋体"/>
          <w:color w:val="auto"/>
          <w:sz w:val="24"/>
          <w:szCs w:val="24"/>
        </w:rPr>
      </w:pPr>
    </w:p>
    <w:p>
      <w:pPr>
        <w:tabs>
          <w:tab w:val="center" w:pos="5346"/>
        </w:tabs>
        <w:spacing w:line="360" w:lineRule="auto"/>
        <w:jc w:val="center"/>
        <w:rPr>
          <w:rFonts w:cs="宋体"/>
          <w:b/>
          <w:color w:val="auto"/>
          <w:sz w:val="24"/>
          <w:szCs w:val="24"/>
        </w:rPr>
      </w:pPr>
      <w:r>
        <w:rPr>
          <w:rFonts w:hint="eastAsia" w:cs="宋体"/>
          <w:b/>
          <w:color w:val="auto"/>
          <w:sz w:val="24"/>
          <w:szCs w:val="24"/>
        </w:rPr>
        <w:t xml:space="preserve"> 供应商名称：</w:t>
      </w:r>
      <w:r>
        <w:rPr>
          <w:rFonts w:hint="eastAsia" w:cs="宋体"/>
          <w:b/>
          <w:color w:val="auto"/>
          <w:sz w:val="24"/>
          <w:szCs w:val="24"/>
          <w:u w:val="single"/>
        </w:rPr>
        <w:t xml:space="preserve">               </w:t>
      </w:r>
      <w:r>
        <w:rPr>
          <w:rFonts w:hint="eastAsia" w:cs="宋体"/>
          <w:b/>
          <w:color w:val="auto"/>
          <w:sz w:val="24"/>
          <w:szCs w:val="24"/>
        </w:rPr>
        <w:t>（公章）</w:t>
      </w:r>
    </w:p>
    <w:p>
      <w:pPr>
        <w:spacing w:line="360" w:lineRule="auto"/>
        <w:jc w:val="center"/>
        <w:rPr>
          <w:rFonts w:cs="宋体"/>
          <w:b/>
          <w:bCs/>
          <w:color w:val="auto"/>
          <w:sz w:val="24"/>
          <w:szCs w:val="24"/>
        </w:rPr>
      </w:pPr>
      <w:r>
        <w:rPr>
          <w:rFonts w:hint="eastAsia" w:cs="宋体"/>
          <w:b/>
          <w:color w:val="auto"/>
          <w:sz w:val="24"/>
          <w:szCs w:val="24"/>
        </w:rPr>
        <w:t xml:space="preserve">  年   月  日</w:t>
      </w:r>
      <w:r>
        <w:rPr>
          <w:rFonts w:hint="eastAsia" w:cs="宋体"/>
          <w:b/>
          <w:color w:val="auto"/>
          <w:sz w:val="24"/>
          <w:szCs w:val="24"/>
        </w:rPr>
        <w:br w:type="page"/>
      </w:r>
      <w:bookmarkStart w:id="173" w:name="_Toc30983"/>
      <w:bookmarkStart w:id="174" w:name="_Toc426457699"/>
      <w:bookmarkStart w:id="175" w:name="_Toc23267"/>
      <w:bookmarkStart w:id="176" w:name="_Toc363474026"/>
      <w:bookmarkStart w:id="177" w:name="_Toc23850"/>
      <w:bookmarkStart w:id="178" w:name="_Toc22537"/>
      <w:bookmarkStart w:id="179" w:name="_Toc403077647"/>
      <w:bookmarkStart w:id="180" w:name="_Toc17702"/>
      <w:r>
        <w:rPr>
          <w:rFonts w:hint="eastAsia" w:cs="宋体"/>
          <w:b/>
          <w:bCs/>
          <w:color w:val="auto"/>
          <w:sz w:val="24"/>
          <w:szCs w:val="24"/>
        </w:rPr>
        <w:t>目    录</w:t>
      </w:r>
      <w:bookmarkEnd w:id="173"/>
      <w:bookmarkEnd w:id="174"/>
      <w:bookmarkEnd w:id="175"/>
      <w:bookmarkEnd w:id="176"/>
      <w:bookmarkEnd w:id="177"/>
      <w:bookmarkEnd w:id="178"/>
      <w:bookmarkEnd w:id="179"/>
      <w:bookmarkEnd w:id="180"/>
    </w:p>
    <w:p>
      <w:pPr>
        <w:numPr>
          <w:ilvl w:val="0"/>
          <w:numId w:val="1"/>
        </w:numPr>
        <w:tabs>
          <w:tab w:val="left" w:pos="1418"/>
        </w:tabs>
        <w:spacing w:line="360" w:lineRule="auto"/>
        <w:ind w:left="630" w:leftChars="0" w:firstLineChars="0"/>
        <w:rPr>
          <w:rFonts w:cs="宋体"/>
          <w:color w:val="auto"/>
          <w:spacing w:val="4"/>
          <w:sz w:val="24"/>
          <w:szCs w:val="24"/>
        </w:rPr>
      </w:pPr>
      <w:r>
        <w:rPr>
          <w:rFonts w:hint="eastAsia" w:cs="宋体"/>
          <w:color w:val="auto"/>
          <w:spacing w:val="4"/>
          <w:sz w:val="24"/>
          <w:szCs w:val="24"/>
        </w:rPr>
        <w:t>投标函</w:t>
      </w:r>
    </w:p>
    <w:p>
      <w:pPr>
        <w:numPr>
          <w:ilvl w:val="0"/>
          <w:numId w:val="1"/>
        </w:numPr>
        <w:tabs>
          <w:tab w:val="left" w:pos="1418"/>
        </w:tabs>
        <w:spacing w:line="360" w:lineRule="auto"/>
        <w:ind w:left="630" w:leftChars="0" w:firstLineChars="0"/>
        <w:rPr>
          <w:rFonts w:cs="宋体"/>
          <w:color w:val="auto"/>
          <w:spacing w:val="4"/>
          <w:sz w:val="24"/>
          <w:szCs w:val="24"/>
        </w:rPr>
      </w:pPr>
      <w:r>
        <w:rPr>
          <w:rFonts w:hint="eastAsia" w:cs="宋体"/>
          <w:color w:val="auto"/>
          <w:spacing w:val="4"/>
          <w:sz w:val="24"/>
          <w:szCs w:val="24"/>
        </w:rPr>
        <w:t>投标报价表</w:t>
      </w:r>
    </w:p>
    <w:p>
      <w:pPr>
        <w:numPr>
          <w:ilvl w:val="0"/>
          <w:numId w:val="1"/>
        </w:numPr>
        <w:tabs>
          <w:tab w:val="left" w:pos="1418"/>
        </w:tabs>
        <w:spacing w:line="360" w:lineRule="auto"/>
        <w:ind w:left="630" w:leftChars="0" w:firstLineChars="0"/>
        <w:rPr>
          <w:rFonts w:cs="宋体"/>
          <w:color w:val="auto"/>
          <w:spacing w:val="4"/>
          <w:sz w:val="24"/>
          <w:szCs w:val="24"/>
        </w:rPr>
      </w:pPr>
      <w:r>
        <w:rPr>
          <w:rFonts w:hint="eastAsia" w:cs="宋体"/>
          <w:color w:val="auto"/>
          <w:sz w:val="24"/>
          <w:szCs w:val="24"/>
        </w:rPr>
        <w:t>投标方案说明书</w:t>
      </w:r>
    </w:p>
    <w:p>
      <w:pPr>
        <w:numPr>
          <w:ilvl w:val="0"/>
          <w:numId w:val="1"/>
        </w:numPr>
        <w:tabs>
          <w:tab w:val="left" w:pos="1418"/>
        </w:tabs>
        <w:spacing w:line="360" w:lineRule="auto"/>
        <w:ind w:left="630" w:leftChars="0" w:firstLineChars="0"/>
        <w:rPr>
          <w:rFonts w:cs="宋体"/>
          <w:color w:val="auto"/>
          <w:spacing w:val="4"/>
          <w:sz w:val="24"/>
          <w:szCs w:val="24"/>
        </w:rPr>
      </w:pPr>
      <w:r>
        <w:rPr>
          <w:rFonts w:hint="eastAsia" w:cs="宋体"/>
          <w:color w:val="auto"/>
          <w:spacing w:val="4"/>
          <w:sz w:val="24"/>
          <w:szCs w:val="24"/>
        </w:rPr>
        <w:t>商务响应说明</w:t>
      </w:r>
    </w:p>
    <w:p>
      <w:pPr>
        <w:numPr>
          <w:ilvl w:val="0"/>
          <w:numId w:val="1"/>
        </w:numPr>
        <w:tabs>
          <w:tab w:val="left" w:pos="1418"/>
        </w:tabs>
        <w:spacing w:line="360" w:lineRule="auto"/>
        <w:ind w:left="630" w:leftChars="0" w:firstLineChars="0"/>
        <w:rPr>
          <w:rFonts w:cs="宋体"/>
          <w:color w:val="auto"/>
          <w:spacing w:val="4"/>
          <w:sz w:val="24"/>
          <w:szCs w:val="24"/>
        </w:rPr>
      </w:pPr>
      <w:r>
        <w:rPr>
          <w:rFonts w:hint="eastAsia" w:cs="宋体"/>
          <w:color w:val="auto"/>
          <w:spacing w:val="4"/>
          <w:sz w:val="24"/>
          <w:szCs w:val="24"/>
        </w:rPr>
        <w:t>供应商承诺书</w:t>
      </w:r>
    </w:p>
    <w:p>
      <w:pPr>
        <w:numPr>
          <w:ilvl w:val="0"/>
          <w:numId w:val="1"/>
        </w:numPr>
        <w:tabs>
          <w:tab w:val="left" w:pos="1418"/>
        </w:tabs>
        <w:spacing w:line="360" w:lineRule="auto"/>
        <w:ind w:left="630" w:leftChars="0" w:firstLineChars="0"/>
        <w:rPr>
          <w:rFonts w:hint="eastAsia" w:cs="宋体"/>
          <w:color w:val="auto"/>
          <w:spacing w:val="4"/>
          <w:sz w:val="24"/>
          <w:szCs w:val="24"/>
        </w:rPr>
      </w:pPr>
      <w:r>
        <w:rPr>
          <w:rFonts w:hint="eastAsia" w:cs="宋体"/>
          <w:color w:val="auto"/>
          <w:spacing w:val="4"/>
          <w:sz w:val="24"/>
          <w:szCs w:val="24"/>
        </w:rPr>
        <w:t>资格证明文件</w:t>
      </w:r>
    </w:p>
    <w:p>
      <w:pPr>
        <w:numPr>
          <w:ilvl w:val="0"/>
          <w:numId w:val="0"/>
        </w:numPr>
        <w:tabs>
          <w:tab w:val="left" w:pos="1418"/>
        </w:tabs>
        <w:spacing w:line="360" w:lineRule="auto"/>
        <w:ind w:left="630" w:leftChars="0"/>
        <w:rPr>
          <w:rFonts w:hint="eastAsia" w:cs="宋体"/>
          <w:color w:val="auto"/>
          <w:spacing w:val="4"/>
          <w:sz w:val="24"/>
          <w:szCs w:val="24"/>
        </w:rPr>
      </w:pPr>
      <w:r>
        <w:rPr>
          <w:rFonts w:hint="eastAsia" w:cs="宋体"/>
          <w:color w:val="auto"/>
          <w:spacing w:val="4"/>
          <w:sz w:val="24"/>
          <w:szCs w:val="24"/>
        </w:rPr>
        <w:t>七、保证金缴纳凭证</w:t>
      </w:r>
    </w:p>
    <w:p>
      <w:pPr>
        <w:numPr>
          <w:ilvl w:val="0"/>
          <w:numId w:val="0"/>
        </w:numPr>
        <w:tabs>
          <w:tab w:val="left" w:pos="1418"/>
        </w:tabs>
        <w:spacing w:line="360" w:lineRule="auto"/>
        <w:ind w:left="630" w:leftChars="0"/>
        <w:rPr>
          <w:rFonts w:cs="宋体"/>
          <w:color w:val="auto"/>
          <w:spacing w:val="4"/>
          <w:sz w:val="24"/>
          <w:szCs w:val="24"/>
        </w:rPr>
      </w:pPr>
      <w:r>
        <w:rPr>
          <w:rFonts w:hint="eastAsia" w:cs="宋体"/>
          <w:color w:val="auto"/>
          <w:spacing w:val="4"/>
          <w:sz w:val="24"/>
          <w:szCs w:val="24"/>
        </w:rPr>
        <w:t>八、其他资料</w:t>
      </w:r>
    </w:p>
    <w:p>
      <w:pPr>
        <w:spacing w:line="360" w:lineRule="auto"/>
        <w:ind w:firstLine="1574" w:firstLineChars="635"/>
        <w:rPr>
          <w:rFonts w:cs="宋体"/>
          <w:color w:val="auto"/>
          <w:spacing w:val="4"/>
          <w:sz w:val="24"/>
          <w:szCs w:val="24"/>
        </w:rPr>
      </w:pPr>
    </w:p>
    <w:p>
      <w:pPr>
        <w:spacing w:line="360" w:lineRule="auto"/>
        <w:ind w:left="105"/>
        <w:rPr>
          <w:rFonts w:cs="宋体"/>
          <w:color w:val="auto"/>
          <w:spacing w:val="4"/>
          <w:sz w:val="24"/>
          <w:szCs w:val="24"/>
        </w:rPr>
      </w:pPr>
    </w:p>
    <w:p>
      <w:pPr>
        <w:pStyle w:val="4"/>
        <w:spacing w:line="360" w:lineRule="auto"/>
        <w:rPr>
          <w:rFonts w:ascii="宋体" w:hAnsi="宋体" w:cs="宋体"/>
          <w:color w:val="auto"/>
          <w:sz w:val="24"/>
          <w:szCs w:val="24"/>
        </w:rPr>
      </w:pPr>
      <w:r>
        <w:rPr>
          <w:rFonts w:hint="eastAsia" w:ascii="宋体" w:hAnsi="宋体" w:cs="宋体"/>
          <w:color w:val="auto"/>
          <w:sz w:val="24"/>
          <w:szCs w:val="24"/>
        </w:rPr>
        <w:br w:type="page"/>
      </w:r>
      <w:bookmarkStart w:id="181" w:name="_Toc403077648"/>
      <w:bookmarkStart w:id="182" w:name="_Toc363474027"/>
      <w:bookmarkStart w:id="183" w:name="_Toc28404"/>
      <w:bookmarkStart w:id="184" w:name="_Toc426457700"/>
      <w:bookmarkStart w:id="185" w:name="_Toc4930"/>
      <w:bookmarkStart w:id="186" w:name="_Toc24231"/>
      <w:bookmarkStart w:id="187" w:name="_Toc9801"/>
      <w:bookmarkStart w:id="188" w:name="_Toc27331"/>
      <w:bookmarkStart w:id="189" w:name="_Toc19617"/>
      <w:bookmarkStart w:id="190" w:name="_Toc13414"/>
      <w:bookmarkStart w:id="191" w:name="_Toc23702"/>
      <w:bookmarkStart w:id="192" w:name="_Toc14057"/>
      <w:r>
        <w:rPr>
          <w:rFonts w:hint="eastAsia" w:ascii="宋体" w:hAnsi="宋体" w:cs="宋体"/>
          <w:color w:val="auto"/>
          <w:sz w:val="24"/>
          <w:szCs w:val="24"/>
        </w:rPr>
        <w:t>一、投标</w:t>
      </w:r>
      <w:bookmarkEnd w:id="181"/>
      <w:bookmarkEnd w:id="182"/>
      <w:r>
        <w:rPr>
          <w:rFonts w:hint="eastAsia" w:ascii="宋体" w:hAnsi="宋体" w:cs="宋体"/>
          <w:color w:val="auto"/>
          <w:sz w:val="24"/>
          <w:szCs w:val="24"/>
        </w:rPr>
        <w:t>函</w:t>
      </w:r>
      <w:bookmarkEnd w:id="183"/>
      <w:bookmarkEnd w:id="184"/>
      <w:bookmarkEnd w:id="185"/>
      <w:bookmarkEnd w:id="186"/>
      <w:bookmarkEnd w:id="187"/>
      <w:bookmarkEnd w:id="188"/>
      <w:bookmarkEnd w:id="189"/>
      <w:bookmarkEnd w:id="190"/>
      <w:bookmarkEnd w:id="191"/>
      <w:bookmarkEnd w:id="192"/>
    </w:p>
    <w:p>
      <w:pPr>
        <w:spacing w:line="360" w:lineRule="auto"/>
        <w:jc w:val="left"/>
        <w:rPr>
          <w:rFonts w:cs="宋体"/>
          <w:color w:val="auto"/>
          <w:spacing w:val="4"/>
          <w:sz w:val="24"/>
          <w:szCs w:val="24"/>
          <w:u w:val="single"/>
        </w:rPr>
      </w:pPr>
      <w:r>
        <w:rPr>
          <w:rFonts w:hint="eastAsia" w:cs="宋体"/>
          <w:b/>
          <w:color w:val="auto"/>
          <w:spacing w:val="4"/>
          <w:sz w:val="24"/>
          <w:szCs w:val="24"/>
        </w:rPr>
        <w:t>致</w:t>
      </w:r>
      <w:r>
        <w:rPr>
          <w:rFonts w:hint="eastAsia" w:cs="宋体"/>
          <w:b/>
          <w:color w:val="auto"/>
          <w:spacing w:val="4"/>
          <w:sz w:val="24"/>
          <w:szCs w:val="24"/>
          <w:u w:val="single"/>
        </w:rPr>
        <w:t>：陕西金字招标有限责任公司</w:t>
      </w:r>
    </w:p>
    <w:p>
      <w:pPr>
        <w:spacing w:line="360" w:lineRule="auto"/>
        <w:ind w:firstLine="496" w:firstLineChars="200"/>
        <w:rPr>
          <w:rFonts w:cs="宋体"/>
          <w:color w:val="auto"/>
          <w:spacing w:val="4"/>
          <w:sz w:val="24"/>
          <w:szCs w:val="24"/>
        </w:rPr>
      </w:pPr>
      <w:r>
        <w:rPr>
          <w:rFonts w:hint="eastAsia" w:cs="宋体"/>
          <w:color w:val="auto"/>
          <w:spacing w:val="4"/>
          <w:sz w:val="24"/>
          <w:szCs w:val="24"/>
        </w:rPr>
        <w:t xml:space="preserve">根据贵方“ </w:t>
      </w:r>
      <w:r>
        <w:rPr>
          <w:rFonts w:hint="eastAsia" w:cs="宋体"/>
          <w:color w:val="auto"/>
          <w:spacing w:val="4"/>
          <w:sz w:val="24"/>
          <w:szCs w:val="24"/>
          <w:u w:val="single"/>
        </w:rPr>
        <w:t xml:space="preserve">      项目名称                 </w:t>
      </w:r>
      <w:r>
        <w:rPr>
          <w:rFonts w:hint="eastAsia" w:cs="宋体"/>
          <w:color w:val="auto"/>
          <w:spacing w:val="4"/>
          <w:sz w:val="24"/>
          <w:szCs w:val="24"/>
        </w:rPr>
        <w:t>”的投标邀请</w:t>
      </w:r>
      <w:r>
        <w:rPr>
          <w:rFonts w:hint="eastAsia" w:cs="宋体"/>
          <w:color w:val="auto"/>
          <w:spacing w:val="4"/>
          <w:sz w:val="24"/>
          <w:szCs w:val="24"/>
          <w:u w:val="single"/>
        </w:rPr>
        <w:t>(编号：        )</w:t>
      </w:r>
      <w:r>
        <w:rPr>
          <w:rFonts w:hint="eastAsia" w:cs="宋体"/>
          <w:color w:val="auto"/>
          <w:spacing w:val="4"/>
          <w:sz w:val="24"/>
          <w:szCs w:val="24"/>
        </w:rPr>
        <w:t>，签字代表</w:t>
      </w:r>
      <w:r>
        <w:rPr>
          <w:rFonts w:hint="eastAsia" w:cs="宋体"/>
          <w:color w:val="auto"/>
          <w:spacing w:val="4"/>
          <w:sz w:val="24"/>
          <w:szCs w:val="24"/>
          <w:u w:val="single"/>
        </w:rPr>
        <w:t>（全名、职务）</w:t>
      </w:r>
      <w:r>
        <w:rPr>
          <w:rFonts w:hint="eastAsia" w:cs="宋体"/>
          <w:color w:val="auto"/>
          <w:spacing w:val="4"/>
          <w:sz w:val="24"/>
          <w:szCs w:val="24"/>
        </w:rPr>
        <w:t>经正式授权并代表供应商</w:t>
      </w:r>
      <w:r>
        <w:rPr>
          <w:rFonts w:hint="eastAsia" w:cs="宋体"/>
          <w:color w:val="auto"/>
          <w:spacing w:val="4"/>
          <w:sz w:val="24"/>
          <w:szCs w:val="24"/>
          <w:u w:val="single"/>
        </w:rPr>
        <w:t>(供应商名称、地址)</w:t>
      </w:r>
      <w:r>
        <w:rPr>
          <w:rFonts w:hint="eastAsia" w:cs="宋体"/>
          <w:color w:val="auto"/>
          <w:spacing w:val="4"/>
          <w:sz w:val="24"/>
          <w:szCs w:val="24"/>
        </w:rPr>
        <w:t xml:space="preserve"> 提交投标文件正本壹份、副本一式</w:t>
      </w:r>
      <w:r>
        <w:rPr>
          <w:rFonts w:hint="eastAsia" w:cs="宋体"/>
          <w:color w:val="auto"/>
          <w:spacing w:val="4"/>
          <w:sz w:val="24"/>
          <w:szCs w:val="24"/>
          <w:u w:val="single"/>
        </w:rPr>
        <w:t xml:space="preserve">    </w:t>
      </w:r>
      <w:r>
        <w:rPr>
          <w:rFonts w:hint="eastAsia" w:cs="宋体"/>
          <w:color w:val="auto"/>
          <w:spacing w:val="4"/>
          <w:sz w:val="24"/>
          <w:szCs w:val="24"/>
        </w:rPr>
        <w:t>份、电子版</w:t>
      </w:r>
      <w:r>
        <w:rPr>
          <w:rFonts w:hint="eastAsia" w:cs="宋体"/>
          <w:color w:val="auto"/>
          <w:spacing w:val="4"/>
          <w:sz w:val="24"/>
          <w:szCs w:val="24"/>
          <w:u w:val="single"/>
        </w:rPr>
        <w:t xml:space="preserve">    </w:t>
      </w:r>
      <w:r>
        <w:rPr>
          <w:rFonts w:hint="eastAsia" w:cs="宋体"/>
          <w:color w:val="auto"/>
          <w:spacing w:val="4"/>
          <w:sz w:val="24"/>
          <w:szCs w:val="24"/>
        </w:rPr>
        <w:t>份、开标一览表</w:t>
      </w:r>
      <w:r>
        <w:rPr>
          <w:rFonts w:hint="eastAsia" w:cs="宋体"/>
          <w:color w:val="auto"/>
          <w:spacing w:val="4"/>
          <w:sz w:val="24"/>
          <w:szCs w:val="24"/>
          <w:u w:val="single"/>
        </w:rPr>
        <w:t xml:space="preserve">    </w:t>
      </w:r>
      <w:r>
        <w:rPr>
          <w:rFonts w:hint="eastAsia" w:cs="宋体"/>
          <w:color w:val="auto"/>
          <w:spacing w:val="4"/>
          <w:sz w:val="24"/>
          <w:szCs w:val="24"/>
        </w:rPr>
        <w:t>份。并提交投标保证金，金额为</w:t>
      </w:r>
      <w:r>
        <w:rPr>
          <w:rFonts w:hint="eastAsia" w:cs="宋体"/>
          <w:color w:val="auto"/>
          <w:spacing w:val="4"/>
          <w:sz w:val="24"/>
          <w:szCs w:val="24"/>
          <w:u w:val="single"/>
        </w:rPr>
        <w:t xml:space="preserve">            </w:t>
      </w:r>
      <w:r>
        <w:rPr>
          <w:rFonts w:hint="eastAsia" w:cs="宋体"/>
          <w:color w:val="auto"/>
          <w:spacing w:val="4"/>
          <w:sz w:val="24"/>
          <w:szCs w:val="24"/>
        </w:rPr>
        <w:t xml:space="preserve"> 。</w:t>
      </w:r>
    </w:p>
    <w:p>
      <w:pPr>
        <w:spacing w:line="360" w:lineRule="auto"/>
        <w:ind w:left="549" w:leftChars="251" w:hanging="22" w:hangingChars="9"/>
        <w:jc w:val="left"/>
        <w:rPr>
          <w:rFonts w:cs="宋体"/>
          <w:color w:val="auto"/>
          <w:spacing w:val="4"/>
          <w:sz w:val="24"/>
          <w:szCs w:val="24"/>
        </w:rPr>
      </w:pPr>
      <w:r>
        <w:rPr>
          <w:rFonts w:hint="eastAsia" w:cs="宋体"/>
          <w:color w:val="auto"/>
          <w:spacing w:val="4"/>
          <w:sz w:val="24"/>
          <w:szCs w:val="24"/>
        </w:rPr>
        <w:t>我方承诺如下：</w:t>
      </w:r>
    </w:p>
    <w:p>
      <w:pPr>
        <w:numPr>
          <w:ilvl w:val="0"/>
          <w:numId w:val="2"/>
        </w:numPr>
        <w:tabs>
          <w:tab w:val="left" w:pos="2160"/>
        </w:tabs>
        <w:spacing w:line="360" w:lineRule="auto"/>
        <w:ind w:left="0" w:firstLine="0"/>
        <w:jc w:val="left"/>
        <w:rPr>
          <w:rFonts w:cs="宋体"/>
          <w:color w:val="auto"/>
          <w:spacing w:val="4"/>
          <w:sz w:val="24"/>
          <w:szCs w:val="24"/>
        </w:rPr>
      </w:pPr>
      <w:r>
        <w:rPr>
          <w:rFonts w:hint="eastAsia" w:cs="宋体"/>
          <w:color w:val="auto"/>
          <w:spacing w:val="4"/>
          <w:sz w:val="24"/>
          <w:szCs w:val="24"/>
        </w:rPr>
        <w:t xml:space="preserve">投标报价为小写： </w:t>
      </w:r>
      <w:r>
        <w:rPr>
          <w:rFonts w:hint="eastAsia" w:cs="宋体"/>
          <w:color w:val="auto"/>
          <w:spacing w:val="4"/>
          <w:sz w:val="24"/>
          <w:szCs w:val="24"/>
          <w:u w:val="single"/>
        </w:rPr>
        <w:t xml:space="preserve">        </w:t>
      </w:r>
      <w:r>
        <w:rPr>
          <w:rFonts w:hint="eastAsia" w:cs="宋体"/>
          <w:color w:val="auto"/>
          <w:spacing w:val="4"/>
          <w:sz w:val="24"/>
          <w:szCs w:val="24"/>
        </w:rPr>
        <w:t>（大写：</w:t>
      </w:r>
      <w:r>
        <w:rPr>
          <w:rFonts w:hint="eastAsia" w:cs="宋体"/>
          <w:color w:val="auto"/>
          <w:spacing w:val="4"/>
          <w:sz w:val="24"/>
          <w:szCs w:val="24"/>
          <w:u w:val="single"/>
        </w:rPr>
        <w:t xml:space="preserve">         </w:t>
      </w:r>
      <w:r>
        <w:rPr>
          <w:rFonts w:hint="eastAsia" w:cs="宋体"/>
          <w:color w:val="auto"/>
          <w:spacing w:val="4"/>
          <w:sz w:val="24"/>
          <w:szCs w:val="24"/>
        </w:rPr>
        <w:t>）。</w:t>
      </w:r>
    </w:p>
    <w:p>
      <w:pPr>
        <w:numPr>
          <w:ilvl w:val="0"/>
          <w:numId w:val="2"/>
        </w:numPr>
        <w:tabs>
          <w:tab w:val="left" w:pos="2160"/>
        </w:tabs>
        <w:spacing w:line="360" w:lineRule="auto"/>
        <w:ind w:left="0" w:firstLine="0"/>
        <w:jc w:val="left"/>
        <w:rPr>
          <w:rFonts w:cs="宋体"/>
          <w:color w:val="auto"/>
          <w:spacing w:val="4"/>
          <w:sz w:val="24"/>
          <w:szCs w:val="24"/>
        </w:rPr>
      </w:pPr>
      <w:r>
        <w:rPr>
          <w:rFonts w:hint="eastAsia" w:cs="宋体"/>
          <w:color w:val="auto"/>
          <w:spacing w:val="4"/>
          <w:sz w:val="24"/>
          <w:szCs w:val="24"/>
        </w:rPr>
        <w:t>如果中标，我们根据招标文件的规定，履行合同的责任和义务。</w:t>
      </w:r>
    </w:p>
    <w:p>
      <w:pPr>
        <w:numPr>
          <w:ilvl w:val="0"/>
          <w:numId w:val="2"/>
        </w:numPr>
        <w:tabs>
          <w:tab w:val="left" w:pos="2160"/>
        </w:tabs>
        <w:spacing w:line="360" w:lineRule="auto"/>
        <w:ind w:left="0" w:firstLine="0"/>
        <w:jc w:val="left"/>
        <w:rPr>
          <w:rFonts w:cs="宋体"/>
          <w:color w:val="auto"/>
          <w:spacing w:val="4"/>
          <w:sz w:val="24"/>
          <w:szCs w:val="24"/>
        </w:rPr>
      </w:pPr>
      <w:r>
        <w:rPr>
          <w:rFonts w:hint="eastAsia" w:cs="宋体"/>
          <w:color w:val="auto"/>
          <w:spacing w:val="4"/>
          <w:sz w:val="24"/>
          <w:szCs w:val="24"/>
        </w:rPr>
        <w:t>我们已详细阅读和审核全部招标文件（含修改部分，如有的话）及有关附件，我们知道必须放弃提出含糊不清或误解的问题的权利。</w:t>
      </w:r>
    </w:p>
    <w:p>
      <w:pPr>
        <w:numPr>
          <w:ilvl w:val="0"/>
          <w:numId w:val="2"/>
        </w:numPr>
        <w:tabs>
          <w:tab w:val="left" w:pos="2160"/>
        </w:tabs>
        <w:spacing w:line="360" w:lineRule="auto"/>
        <w:ind w:left="0" w:firstLine="0"/>
        <w:jc w:val="left"/>
        <w:rPr>
          <w:rFonts w:cs="宋体"/>
          <w:color w:val="auto"/>
          <w:spacing w:val="4"/>
          <w:sz w:val="24"/>
          <w:szCs w:val="24"/>
        </w:rPr>
      </w:pPr>
      <w:r>
        <w:rPr>
          <w:rFonts w:hint="eastAsia" w:cs="宋体"/>
          <w:color w:val="auto"/>
          <w:spacing w:val="4"/>
          <w:sz w:val="24"/>
          <w:szCs w:val="24"/>
        </w:rPr>
        <w:t>我们同意在投标有效期内（</w:t>
      </w:r>
      <w:r>
        <w:rPr>
          <w:rFonts w:hint="eastAsia" w:cs="宋体"/>
          <w:color w:val="auto"/>
          <w:spacing w:val="4"/>
          <w:sz w:val="24"/>
          <w:szCs w:val="24"/>
          <w:u w:val="single"/>
        </w:rPr>
        <w:t>自开标之日起    天</w:t>
      </w:r>
      <w:r>
        <w:rPr>
          <w:rFonts w:hint="eastAsia" w:cs="宋体"/>
          <w:color w:val="auto"/>
          <w:spacing w:val="4"/>
          <w:sz w:val="24"/>
          <w:szCs w:val="24"/>
        </w:rPr>
        <w:t>），本投标函对我方具有约束力。</w:t>
      </w:r>
    </w:p>
    <w:p>
      <w:pPr>
        <w:numPr>
          <w:ilvl w:val="0"/>
          <w:numId w:val="2"/>
        </w:numPr>
        <w:tabs>
          <w:tab w:val="left" w:pos="2160"/>
        </w:tabs>
        <w:spacing w:line="360" w:lineRule="auto"/>
        <w:ind w:left="0" w:firstLine="0"/>
        <w:jc w:val="left"/>
        <w:rPr>
          <w:rFonts w:cs="宋体"/>
          <w:color w:val="auto"/>
          <w:spacing w:val="4"/>
          <w:sz w:val="24"/>
          <w:szCs w:val="24"/>
        </w:rPr>
      </w:pPr>
      <w:r>
        <w:rPr>
          <w:rFonts w:hint="eastAsia" w:cs="宋体"/>
          <w:color w:val="auto"/>
          <w:spacing w:val="4"/>
          <w:sz w:val="24"/>
          <w:szCs w:val="24"/>
        </w:rPr>
        <w:t>如果在开标后规定的投标有效期内撤回投标，我们的投标保证金可被贵方没收。</w:t>
      </w:r>
    </w:p>
    <w:p>
      <w:pPr>
        <w:numPr>
          <w:ilvl w:val="0"/>
          <w:numId w:val="2"/>
        </w:numPr>
        <w:tabs>
          <w:tab w:val="left" w:pos="2160"/>
        </w:tabs>
        <w:spacing w:line="360" w:lineRule="auto"/>
        <w:ind w:left="0" w:firstLine="0"/>
        <w:jc w:val="left"/>
        <w:rPr>
          <w:rFonts w:cs="宋体"/>
          <w:color w:val="auto"/>
          <w:spacing w:val="4"/>
          <w:sz w:val="24"/>
          <w:szCs w:val="24"/>
        </w:rPr>
      </w:pPr>
      <w:r>
        <w:rPr>
          <w:rFonts w:hint="eastAsia" w:cs="宋体"/>
          <w:color w:val="auto"/>
          <w:spacing w:val="4"/>
          <w:sz w:val="24"/>
          <w:szCs w:val="24"/>
        </w:rPr>
        <w:t xml:space="preserve">同意提供贵方可能另外要求的与本投标有关的任何证据和资料。 </w:t>
      </w:r>
    </w:p>
    <w:p>
      <w:pPr>
        <w:numPr>
          <w:ilvl w:val="0"/>
          <w:numId w:val="2"/>
        </w:numPr>
        <w:tabs>
          <w:tab w:val="left" w:pos="2160"/>
        </w:tabs>
        <w:spacing w:line="360" w:lineRule="auto"/>
        <w:ind w:left="0" w:firstLine="0"/>
        <w:jc w:val="left"/>
        <w:rPr>
          <w:rFonts w:cs="宋体"/>
          <w:color w:val="auto"/>
          <w:spacing w:val="4"/>
          <w:sz w:val="24"/>
          <w:szCs w:val="24"/>
        </w:rPr>
      </w:pPr>
      <w:r>
        <w:rPr>
          <w:rFonts w:hint="eastAsia" w:cs="宋体"/>
          <w:color w:val="auto"/>
          <w:spacing w:val="4"/>
          <w:sz w:val="24"/>
          <w:szCs w:val="24"/>
        </w:rPr>
        <w:t>我们同意，如果中标，向陕西金字招标有限责任公司交纳招标代理服务费。</w:t>
      </w:r>
    </w:p>
    <w:p>
      <w:pPr>
        <w:numPr>
          <w:ilvl w:val="0"/>
          <w:numId w:val="2"/>
        </w:numPr>
        <w:tabs>
          <w:tab w:val="left" w:pos="2160"/>
        </w:tabs>
        <w:spacing w:line="360" w:lineRule="auto"/>
        <w:ind w:left="0" w:firstLine="0"/>
        <w:jc w:val="left"/>
        <w:rPr>
          <w:rFonts w:cs="宋体"/>
          <w:color w:val="auto"/>
          <w:spacing w:val="4"/>
          <w:sz w:val="24"/>
          <w:szCs w:val="24"/>
        </w:rPr>
      </w:pPr>
      <w:r>
        <w:rPr>
          <w:rFonts w:hint="eastAsia" w:cs="宋体"/>
          <w:color w:val="auto"/>
          <w:spacing w:val="4"/>
          <w:sz w:val="24"/>
          <w:szCs w:val="24"/>
        </w:rPr>
        <w:t>与本投标有关的一切正式往来通讯为：</w:t>
      </w:r>
    </w:p>
    <w:p>
      <w:pPr>
        <w:spacing w:line="360" w:lineRule="auto"/>
        <w:ind w:firstLine="1240" w:firstLineChars="500"/>
        <w:jc w:val="left"/>
        <w:rPr>
          <w:rFonts w:cs="宋体"/>
          <w:color w:val="auto"/>
          <w:spacing w:val="4"/>
          <w:sz w:val="24"/>
          <w:szCs w:val="24"/>
        </w:rPr>
      </w:pPr>
    </w:p>
    <w:p>
      <w:pPr>
        <w:spacing w:line="360" w:lineRule="auto"/>
        <w:ind w:firstLine="1240" w:firstLineChars="500"/>
        <w:jc w:val="left"/>
        <w:rPr>
          <w:rFonts w:cs="宋体"/>
          <w:color w:val="auto"/>
          <w:spacing w:val="4"/>
          <w:sz w:val="24"/>
          <w:szCs w:val="24"/>
        </w:rPr>
      </w:pPr>
    </w:p>
    <w:p>
      <w:pPr>
        <w:spacing w:line="360" w:lineRule="auto"/>
        <w:ind w:firstLine="1240" w:firstLineChars="500"/>
        <w:jc w:val="left"/>
        <w:rPr>
          <w:rFonts w:cs="宋体"/>
          <w:color w:val="auto"/>
          <w:spacing w:val="4"/>
          <w:sz w:val="24"/>
          <w:szCs w:val="24"/>
        </w:rPr>
      </w:pPr>
      <w:r>
        <w:rPr>
          <w:rFonts w:hint="eastAsia" w:cs="宋体"/>
          <w:color w:val="auto"/>
          <w:spacing w:val="4"/>
          <w:sz w:val="24"/>
          <w:szCs w:val="24"/>
        </w:rPr>
        <w:t>联系地址：</w:t>
      </w:r>
    </w:p>
    <w:p>
      <w:pPr>
        <w:spacing w:line="360" w:lineRule="auto"/>
        <w:ind w:firstLine="1240" w:firstLineChars="500"/>
        <w:jc w:val="left"/>
        <w:rPr>
          <w:rFonts w:cs="宋体"/>
          <w:color w:val="auto"/>
          <w:spacing w:val="4"/>
          <w:sz w:val="24"/>
          <w:szCs w:val="24"/>
        </w:rPr>
      </w:pPr>
      <w:r>
        <w:rPr>
          <w:rFonts w:hint="eastAsia" w:cs="宋体"/>
          <w:color w:val="auto"/>
          <w:spacing w:val="4"/>
          <w:sz w:val="24"/>
          <w:szCs w:val="24"/>
        </w:rPr>
        <w:t>电    话：</w:t>
      </w:r>
    </w:p>
    <w:p>
      <w:pPr>
        <w:spacing w:line="360" w:lineRule="auto"/>
        <w:ind w:firstLine="1240" w:firstLineChars="500"/>
        <w:jc w:val="left"/>
        <w:rPr>
          <w:rFonts w:cs="宋体"/>
          <w:color w:val="auto"/>
          <w:spacing w:val="4"/>
          <w:sz w:val="24"/>
          <w:szCs w:val="24"/>
        </w:rPr>
      </w:pPr>
      <w:r>
        <w:rPr>
          <w:rFonts w:hint="eastAsia" w:cs="宋体"/>
          <w:color w:val="auto"/>
          <w:spacing w:val="4"/>
          <w:sz w:val="24"/>
          <w:szCs w:val="24"/>
        </w:rPr>
        <w:t>供应商名称：</w:t>
      </w:r>
      <w:r>
        <w:rPr>
          <w:rFonts w:hint="eastAsia" w:cs="宋体"/>
          <w:color w:val="auto"/>
          <w:spacing w:val="4"/>
          <w:sz w:val="24"/>
          <w:szCs w:val="24"/>
          <w:u w:val="single"/>
        </w:rPr>
        <w:t xml:space="preserve">                   </w:t>
      </w:r>
      <w:r>
        <w:rPr>
          <w:rFonts w:hint="eastAsia" w:cs="宋体"/>
          <w:color w:val="auto"/>
          <w:spacing w:val="4"/>
          <w:sz w:val="24"/>
          <w:szCs w:val="24"/>
        </w:rPr>
        <w:t>（盖单位公章）</w:t>
      </w:r>
    </w:p>
    <w:p>
      <w:pPr>
        <w:spacing w:line="360" w:lineRule="auto"/>
        <w:ind w:firstLine="1240" w:firstLineChars="500"/>
        <w:jc w:val="left"/>
        <w:rPr>
          <w:rFonts w:cs="宋体"/>
          <w:color w:val="auto"/>
          <w:spacing w:val="4"/>
          <w:sz w:val="24"/>
          <w:szCs w:val="24"/>
        </w:rPr>
      </w:pPr>
      <w:r>
        <w:rPr>
          <w:rFonts w:hint="eastAsia" w:cs="宋体"/>
          <w:color w:val="auto"/>
          <w:spacing w:val="4"/>
          <w:sz w:val="24"/>
          <w:szCs w:val="24"/>
        </w:rPr>
        <w:t>法定代表人或被授权人：</w:t>
      </w:r>
      <w:r>
        <w:rPr>
          <w:rFonts w:hint="eastAsia" w:cs="宋体"/>
          <w:color w:val="auto"/>
          <w:spacing w:val="4"/>
          <w:sz w:val="24"/>
          <w:szCs w:val="24"/>
          <w:u w:val="single"/>
        </w:rPr>
        <w:t xml:space="preserve">      </w:t>
      </w:r>
      <w:r>
        <w:rPr>
          <w:rFonts w:hint="eastAsia" w:cs="宋体"/>
          <w:color w:val="auto"/>
          <w:spacing w:val="4"/>
          <w:sz w:val="24"/>
          <w:szCs w:val="24"/>
        </w:rPr>
        <w:t>（签字或盖章）</w:t>
      </w:r>
    </w:p>
    <w:p>
      <w:pPr>
        <w:spacing w:line="360" w:lineRule="auto"/>
        <w:ind w:firstLine="1240" w:firstLineChars="500"/>
        <w:jc w:val="left"/>
        <w:rPr>
          <w:rFonts w:cs="宋体"/>
          <w:color w:val="auto"/>
          <w:spacing w:val="4"/>
          <w:sz w:val="24"/>
          <w:szCs w:val="24"/>
        </w:rPr>
      </w:pPr>
      <w:r>
        <w:rPr>
          <w:rFonts w:hint="eastAsia" w:cs="宋体"/>
          <w:color w:val="auto"/>
          <w:spacing w:val="4"/>
          <w:sz w:val="24"/>
          <w:szCs w:val="24"/>
        </w:rPr>
        <w:t>日    期：   年   月    日</w:t>
      </w:r>
    </w:p>
    <w:p>
      <w:pPr>
        <w:pStyle w:val="4"/>
        <w:spacing w:line="360" w:lineRule="auto"/>
        <w:rPr>
          <w:rFonts w:ascii="宋体" w:hAnsi="宋体" w:cs="宋体"/>
          <w:color w:val="auto"/>
          <w:sz w:val="24"/>
          <w:szCs w:val="24"/>
        </w:rPr>
      </w:pPr>
      <w:r>
        <w:rPr>
          <w:rFonts w:hint="eastAsia" w:ascii="宋体" w:hAnsi="宋体" w:cs="宋体"/>
          <w:color w:val="auto"/>
          <w:sz w:val="24"/>
          <w:szCs w:val="24"/>
        </w:rPr>
        <w:br w:type="page"/>
      </w:r>
      <w:bookmarkStart w:id="193" w:name="_Toc15042"/>
      <w:bookmarkStart w:id="194" w:name="_Toc363474030"/>
      <w:bookmarkStart w:id="195" w:name="_Toc403077651"/>
      <w:bookmarkStart w:id="196" w:name="_Toc9691"/>
      <w:bookmarkStart w:id="197" w:name="_Toc32545"/>
      <w:bookmarkStart w:id="198" w:name="_Toc21319"/>
      <w:bookmarkStart w:id="199" w:name="_Toc17802"/>
      <w:bookmarkStart w:id="200" w:name="_Toc426457703"/>
      <w:bookmarkStart w:id="201" w:name="_Toc27599"/>
      <w:bookmarkStart w:id="202" w:name="_Toc765"/>
      <w:bookmarkStart w:id="203" w:name="_Toc29025"/>
      <w:bookmarkStart w:id="204" w:name="_Toc4332"/>
      <w:r>
        <w:rPr>
          <w:rFonts w:hint="eastAsia" w:ascii="宋体" w:hAnsi="宋体" w:cs="宋体"/>
          <w:color w:val="auto"/>
          <w:sz w:val="24"/>
          <w:szCs w:val="24"/>
        </w:rPr>
        <w:t>二、投标报价表</w:t>
      </w:r>
      <w:bookmarkEnd w:id="193"/>
      <w:bookmarkEnd w:id="194"/>
      <w:bookmarkEnd w:id="195"/>
      <w:bookmarkEnd w:id="196"/>
      <w:bookmarkEnd w:id="197"/>
      <w:bookmarkEnd w:id="198"/>
      <w:bookmarkEnd w:id="199"/>
      <w:bookmarkEnd w:id="200"/>
      <w:bookmarkEnd w:id="201"/>
      <w:bookmarkEnd w:id="202"/>
      <w:bookmarkEnd w:id="203"/>
      <w:bookmarkEnd w:id="204"/>
    </w:p>
    <w:p>
      <w:pPr>
        <w:spacing w:line="360" w:lineRule="auto"/>
        <w:jc w:val="center"/>
        <w:rPr>
          <w:rFonts w:cs="宋体"/>
          <w:b/>
          <w:color w:val="auto"/>
          <w:sz w:val="24"/>
          <w:szCs w:val="24"/>
        </w:rPr>
      </w:pPr>
      <w:r>
        <w:rPr>
          <w:rFonts w:hint="eastAsia" w:cs="宋体"/>
          <w:b/>
          <w:color w:val="auto"/>
          <w:sz w:val="24"/>
          <w:szCs w:val="24"/>
        </w:rPr>
        <w:t>2.1开标一览表</w:t>
      </w:r>
    </w:p>
    <w:p>
      <w:pPr>
        <w:spacing w:line="360" w:lineRule="auto"/>
        <w:jc w:val="left"/>
        <w:rPr>
          <w:rFonts w:cs="宋体"/>
          <w:bCs/>
          <w:color w:val="auto"/>
          <w:sz w:val="24"/>
          <w:szCs w:val="24"/>
        </w:rPr>
      </w:pPr>
      <w:r>
        <w:rPr>
          <w:rFonts w:hint="eastAsia" w:cs="宋体"/>
          <w:bCs/>
          <w:color w:val="auto"/>
          <w:sz w:val="24"/>
          <w:szCs w:val="24"/>
        </w:rPr>
        <w:t>项目名称：</w:t>
      </w:r>
    </w:p>
    <w:p>
      <w:pPr>
        <w:spacing w:line="360" w:lineRule="auto"/>
        <w:jc w:val="left"/>
        <w:rPr>
          <w:rFonts w:cs="宋体"/>
          <w:bCs/>
          <w:color w:val="auto"/>
          <w:sz w:val="24"/>
          <w:szCs w:val="24"/>
        </w:rPr>
      </w:pPr>
      <w:r>
        <w:rPr>
          <w:rFonts w:hint="eastAsia" w:cs="宋体"/>
          <w:bCs/>
          <w:color w:val="auto"/>
          <w:sz w:val="24"/>
          <w:szCs w:val="24"/>
        </w:rPr>
        <w:t xml:space="preserve">项目编号：                         </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3024"/>
        <w:gridCol w:w="170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212" w:type="pct"/>
            <w:vAlign w:val="center"/>
          </w:tcPr>
          <w:p>
            <w:pPr>
              <w:spacing w:line="360" w:lineRule="auto"/>
              <w:jc w:val="center"/>
              <w:rPr>
                <w:rFonts w:cs="宋体"/>
                <w:color w:val="auto"/>
                <w:sz w:val="24"/>
                <w:szCs w:val="24"/>
              </w:rPr>
            </w:pPr>
            <w:r>
              <w:rPr>
                <w:rFonts w:hint="eastAsia" w:cs="宋体"/>
                <w:color w:val="auto"/>
                <w:sz w:val="24"/>
                <w:szCs w:val="24"/>
              </w:rPr>
              <w:t>投标总报价</w:t>
            </w:r>
          </w:p>
          <w:p>
            <w:pPr>
              <w:spacing w:line="360" w:lineRule="auto"/>
              <w:jc w:val="center"/>
              <w:rPr>
                <w:rFonts w:cs="宋体"/>
                <w:color w:val="auto"/>
                <w:sz w:val="24"/>
                <w:szCs w:val="24"/>
              </w:rPr>
            </w:pPr>
            <w:r>
              <w:rPr>
                <w:rFonts w:hint="eastAsia" w:cs="宋体"/>
                <w:color w:val="auto"/>
                <w:sz w:val="24"/>
                <w:szCs w:val="24"/>
              </w:rPr>
              <w:t>（元）</w:t>
            </w:r>
          </w:p>
        </w:tc>
        <w:tc>
          <w:tcPr>
            <w:tcW w:w="1776" w:type="pct"/>
            <w:vAlign w:val="center"/>
          </w:tcPr>
          <w:p>
            <w:pPr>
              <w:spacing w:line="360" w:lineRule="auto"/>
              <w:jc w:val="center"/>
              <w:rPr>
                <w:rFonts w:cs="宋体"/>
                <w:color w:val="auto"/>
                <w:sz w:val="24"/>
                <w:szCs w:val="24"/>
              </w:rPr>
            </w:pPr>
            <w:r>
              <w:rPr>
                <w:rFonts w:hint="eastAsia" w:cs="宋体"/>
                <w:color w:val="auto"/>
                <w:sz w:val="24"/>
                <w:szCs w:val="24"/>
              </w:rPr>
              <w:t xml:space="preserve"> 服务期限</w:t>
            </w:r>
          </w:p>
          <w:p>
            <w:pPr>
              <w:spacing w:line="360" w:lineRule="auto"/>
              <w:jc w:val="center"/>
              <w:rPr>
                <w:rFonts w:cs="宋体"/>
                <w:color w:val="auto"/>
                <w:sz w:val="24"/>
                <w:szCs w:val="24"/>
              </w:rPr>
            </w:pPr>
          </w:p>
        </w:tc>
        <w:tc>
          <w:tcPr>
            <w:tcW w:w="1003" w:type="pct"/>
            <w:vAlign w:val="center"/>
          </w:tcPr>
          <w:p>
            <w:pPr>
              <w:spacing w:line="360" w:lineRule="auto"/>
              <w:jc w:val="center"/>
              <w:rPr>
                <w:rFonts w:cs="宋体"/>
                <w:color w:val="auto"/>
                <w:sz w:val="24"/>
                <w:szCs w:val="24"/>
              </w:rPr>
            </w:pPr>
            <w:r>
              <w:rPr>
                <w:rFonts w:hint="eastAsia" w:cs="宋体"/>
                <w:color w:val="auto"/>
                <w:sz w:val="24"/>
                <w:szCs w:val="24"/>
              </w:rPr>
              <w:t>保证金/保函</w:t>
            </w:r>
          </w:p>
          <w:p>
            <w:pPr>
              <w:spacing w:line="360" w:lineRule="auto"/>
              <w:jc w:val="center"/>
              <w:rPr>
                <w:rFonts w:cs="宋体"/>
                <w:color w:val="auto"/>
                <w:sz w:val="24"/>
                <w:szCs w:val="24"/>
              </w:rPr>
            </w:pPr>
            <w:r>
              <w:rPr>
                <w:rFonts w:hint="eastAsia" w:cs="宋体"/>
                <w:color w:val="auto"/>
                <w:sz w:val="24"/>
                <w:szCs w:val="24"/>
              </w:rPr>
              <w:t>（有/无）</w:t>
            </w:r>
          </w:p>
        </w:tc>
        <w:tc>
          <w:tcPr>
            <w:tcW w:w="1007" w:type="pct"/>
            <w:vAlign w:val="center"/>
          </w:tcPr>
          <w:p>
            <w:pPr>
              <w:spacing w:line="360" w:lineRule="auto"/>
              <w:jc w:val="center"/>
              <w:rPr>
                <w:rFonts w:cs="宋体"/>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12" w:type="pct"/>
            <w:vAlign w:val="center"/>
          </w:tcPr>
          <w:p>
            <w:pPr>
              <w:spacing w:line="360" w:lineRule="auto"/>
              <w:jc w:val="center"/>
              <w:rPr>
                <w:rFonts w:cs="宋体"/>
                <w:color w:val="auto"/>
                <w:sz w:val="24"/>
                <w:szCs w:val="24"/>
              </w:rPr>
            </w:pPr>
          </w:p>
        </w:tc>
        <w:tc>
          <w:tcPr>
            <w:tcW w:w="1776" w:type="pct"/>
            <w:vAlign w:val="center"/>
          </w:tcPr>
          <w:p>
            <w:pPr>
              <w:spacing w:line="360" w:lineRule="auto"/>
              <w:jc w:val="center"/>
              <w:rPr>
                <w:rFonts w:cs="宋体"/>
                <w:color w:val="auto"/>
                <w:sz w:val="24"/>
                <w:szCs w:val="24"/>
              </w:rPr>
            </w:pPr>
          </w:p>
        </w:tc>
        <w:tc>
          <w:tcPr>
            <w:tcW w:w="1003" w:type="pct"/>
            <w:vAlign w:val="center"/>
          </w:tcPr>
          <w:p>
            <w:pPr>
              <w:spacing w:line="360" w:lineRule="auto"/>
              <w:jc w:val="center"/>
              <w:rPr>
                <w:rFonts w:cs="宋体"/>
                <w:color w:val="auto"/>
                <w:sz w:val="24"/>
                <w:szCs w:val="24"/>
              </w:rPr>
            </w:pPr>
          </w:p>
        </w:tc>
        <w:tc>
          <w:tcPr>
            <w:tcW w:w="1007" w:type="pct"/>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000" w:type="pct"/>
            <w:gridSpan w:val="4"/>
            <w:vAlign w:val="center"/>
          </w:tcPr>
          <w:p>
            <w:pPr>
              <w:spacing w:line="360" w:lineRule="auto"/>
              <w:rPr>
                <w:rFonts w:cs="宋体"/>
                <w:color w:val="auto"/>
                <w:sz w:val="24"/>
                <w:szCs w:val="24"/>
              </w:rPr>
            </w:pPr>
            <w:r>
              <w:rPr>
                <w:rFonts w:hint="eastAsia" w:cs="宋体"/>
                <w:color w:val="auto"/>
                <w:sz w:val="24"/>
                <w:szCs w:val="24"/>
              </w:rPr>
              <w:t xml:space="preserve">投标总报价（大写）：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6" w:hRule="atLeast"/>
          <w:jc w:val="center"/>
        </w:trPr>
        <w:tc>
          <w:tcPr>
            <w:tcW w:w="5000" w:type="pct"/>
            <w:gridSpan w:val="4"/>
            <w:vAlign w:val="center"/>
          </w:tcPr>
          <w:p>
            <w:pPr>
              <w:spacing w:line="360" w:lineRule="auto"/>
              <w:rPr>
                <w:rFonts w:cs="宋体"/>
                <w:color w:val="auto"/>
                <w:sz w:val="24"/>
                <w:szCs w:val="24"/>
              </w:rPr>
            </w:pPr>
            <w:r>
              <w:rPr>
                <w:rFonts w:hint="eastAsia" w:cs="宋体"/>
                <w:color w:val="auto"/>
                <w:sz w:val="24"/>
                <w:szCs w:val="24"/>
              </w:rPr>
              <w:t>备注：表内报价内容以元为单位，保留小数点后两位。</w:t>
            </w:r>
          </w:p>
        </w:tc>
      </w:tr>
    </w:tbl>
    <w:p>
      <w:pPr>
        <w:tabs>
          <w:tab w:val="left" w:pos="7200"/>
          <w:tab w:val="left" w:pos="8504"/>
        </w:tabs>
        <w:spacing w:line="360" w:lineRule="auto"/>
        <w:ind w:right="-1"/>
        <w:rPr>
          <w:rFonts w:cs="宋体"/>
          <w:color w:val="auto"/>
          <w:sz w:val="24"/>
          <w:szCs w:val="24"/>
        </w:rPr>
      </w:pPr>
    </w:p>
    <w:p>
      <w:pPr>
        <w:spacing w:line="360" w:lineRule="auto"/>
        <w:rPr>
          <w:rFonts w:cs="宋体"/>
          <w:color w:val="auto"/>
          <w:sz w:val="24"/>
          <w:szCs w:val="24"/>
        </w:rPr>
      </w:pPr>
    </w:p>
    <w:p>
      <w:pPr>
        <w:spacing w:line="360" w:lineRule="auto"/>
        <w:ind w:right="540" w:rightChars="257"/>
        <w:jc w:val="left"/>
        <w:rPr>
          <w:rFonts w:cs="宋体"/>
          <w:color w:val="auto"/>
          <w:sz w:val="24"/>
          <w:szCs w:val="24"/>
        </w:rPr>
      </w:pPr>
    </w:p>
    <w:p>
      <w:pPr>
        <w:spacing w:line="360" w:lineRule="auto"/>
        <w:ind w:right="540" w:rightChars="257"/>
        <w:jc w:val="left"/>
        <w:rPr>
          <w:rFonts w:cs="宋体"/>
          <w:color w:val="auto"/>
          <w:sz w:val="24"/>
          <w:szCs w:val="24"/>
        </w:rPr>
      </w:pPr>
    </w:p>
    <w:p>
      <w:pPr>
        <w:spacing w:line="360" w:lineRule="auto"/>
        <w:ind w:right="540" w:rightChars="257"/>
        <w:jc w:val="left"/>
        <w:rPr>
          <w:rFonts w:cs="宋体"/>
          <w:color w:val="auto"/>
          <w:sz w:val="24"/>
          <w:szCs w:val="24"/>
        </w:rPr>
      </w:pPr>
      <w:r>
        <w:rPr>
          <w:rFonts w:hint="eastAsia" w:cs="宋体"/>
          <w:color w:val="auto"/>
          <w:sz w:val="24"/>
          <w:szCs w:val="24"/>
        </w:rPr>
        <w:t>供应商名称：</w:t>
      </w:r>
      <w:r>
        <w:rPr>
          <w:rFonts w:hint="eastAsia" w:cs="宋体"/>
          <w:color w:val="auto"/>
          <w:spacing w:val="4"/>
          <w:sz w:val="24"/>
          <w:szCs w:val="24"/>
          <w:u w:val="single"/>
        </w:rPr>
        <w:t xml:space="preserve">                   </w:t>
      </w:r>
      <w:r>
        <w:rPr>
          <w:rFonts w:hint="eastAsia" w:cs="宋体"/>
          <w:color w:val="auto"/>
          <w:spacing w:val="4"/>
          <w:sz w:val="24"/>
          <w:szCs w:val="24"/>
        </w:rPr>
        <w:t>（盖单位公章）</w:t>
      </w:r>
    </w:p>
    <w:p>
      <w:pPr>
        <w:spacing w:line="360" w:lineRule="auto"/>
        <w:ind w:right="540" w:rightChars="257"/>
        <w:jc w:val="left"/>
        <w:rPr>
          <w:rFonts w:cs="宋体"/>
          <w:color w:val="auto"/>
          <w:sz w:val="24"/>
          <w:szCs w:val="24"/>
        </w:rPr>
      </w:pPr>
    </w:p>
    <w:p>
      <w:pPr>
        <w:spacing w:line="360" w:lineRule="auto"/>
        <w:jc w:val="left"/>
        <w:rPr>
          <w:rFonts w:cs="宋体"/>
          <w:color w:val="auto"/>
          <w:spacing w:val="4"/>
          <w:sz w:val="24"/>
          <w:szCs w:val="24"/>
        </w:rPr>
      </w:pPr>
      <w:r>
        <w:rPr>
          <w:rFonts w:hint="eastAsia" w:cs="宋体"/>
          <w:color w:val="auto"/>
          <w:spacing w:val="4"/>
          <w:sz w:val="24"/>
          <w:szCs w:val="24"/>
        </w:rPr>
        <w:t>法定代表人或被授权人：</w:t>
      </w:r>
      <w:r>
        <w:rPr>
          <w:rFonts w:hint="eastAsia" w:cs="宋体"/>
          <w:color w:val="auto"/>
          <w:spacing w:val="4"/>
          <w:sz w:val="24"/>
          <w:szCs w:val="24"/>
          <w:u w:val="single"/>
        </w:rPr>
        <w:t xml:space="preserve">       </w:t>
      </w:r>
      <w:r>
        <w:rPr>
          <w:rFonts w:hint="eastAsia" w:cs="宋体"/>
          <w:color w:val="auto"/>
          <w:spacing w:val="4"/>
          <w:sz w:val="24"/>
          <w:szCs w:val="24"/>
        </w:rPr>
        <w:t>（签字或盖章）</w:t>
      </w:r>
    </w:p>
    <w:p>
      <w:pPr>
        <w:spacing w:line="360" w:lineRule="auto"/>
        <w:ind w:right="540" w:rightChars="257"/>
        <w:jc w:val="left"/>
        <w:rPr>
          <w:rFonts w:cs="宋体"/>
          <w:color w:val="auto"/>
          <w:sz w:val="24"/>
          <w:szCs w:val="24"/>
        </w:rPr>
      </w:pPr>
    </w:p>
    <w:p>
      <w:pPr>
        <w:spacing w:line="360" w:lineRule="auto"/>
        <w:ind w:right="540" w:rightChars="257"/>
        <w:rPr>
          <w:rFonts w:cs="宋体"/>
          <w:color w:val="auto"/>
          <w:sz w:val="24"/>
          <w:szCs w:val="24"/>
        </w:rPr>
      </w:pPr>
      <w:r>
        <w:rPr>
          <w:rFonts w:hint="eastAsia" w:cs="宋体"/>
          <w:color w:val="auto"/>
          <w:sz w:val="24"/>
          <w:szCs w:val="24"/>
        </w:rPr>
        <w:t>日    期：      年     月    日</w:t>
      </w:r>
    </w:p>
    <w:p>
      <w:pPr>
        <w:spacing w:before="120" w:beforeLines="50" w:after="120" w:afterLines="50" w:line="360" w:lineRule="auto"/>
        <w:rPr>
          <w:rFonts w:cs="宋体"/>
          <w:color w:val="auto"/>
          <w:sz w:val="24"/>
          <w:szCs w:val="24"/>
          <w:u w:val="single"/>
        </w:rPr>
      </w:pPr>
      <w:r>
        <w:rPr>
          <w:rFonts w:hint="eastAsia" w:cs="宋体"/>
          <w:color w:val="auto"/>
          <w:sz w:val="24"/>
          <w:szCs w:val="24"/>
        </w:rPr>
        <w:t>注：本表应按“供应商须知”的规定密封单独提交。</w:t>
      </w:r>
    </w:p>
    <w:p>
      <w:pPr>
        <w:spacing w:line="360" w:lineRule="auto"/>
        <w:rPr>
          <w:rFonts w:cs="宋体"/>
          <w:color w:val="auto"/>
          <w:sz w:val="24"/>
          <w:szCs w:val="24"/>
        </w:rPr>
      </w:pPr>
      <w:r>
        <w:rPr>
          <w:rFonts w:hint="eastAsia" w:cs="宋体"/>
          <w:color w:val="auto"/>
          <w:sz w:val="24"/>
          <w:szCs w:val="24"/>
        </w:rPr>
        <w:br w:type="page"/>
      </w:r>
    </w:p>
    <w:p>
      <w:pPr>
        <w:spacing w:line="360" w:lineRule="auto"/>
        <w:jc w:val="center"/>
        <w:rPr>
          <w:rFonts w:cs="宋体"/>
          <w:color w:val="auto"/>
          <w:sz w:val="24"/>
          <w:szCs w:val="24"/>
        </w:rPr>
      </w:pPr>
      <w:r>
        <w:rPr>
          <w:rFonts w:hint="eastAsia" w:cs="宋体"/>
          <w:b/>
          <w:color w:val="auto"/>
          <w:sz w:val="24"/>
          <w:szCs w:val="24"/>
        </w:rPr>
        <w:t>2.2投标分项报价表</w:t>
      </w:r>
      <w:r>
        <w:rPr>
          <w:rFonts w:hint="eastAsia" w:cs="宋体"/>
          <w:color w:val="auto"/>
          <w:sz w:val="24"/>
          <w:szCs w:val="24"/>
        </w:rPr>
        <w:t xml:space="preserve">      </w:t>
      </w:r>
    </w:p>
    <w:p>
      <w:pPr>
        <w:spacing w:line="360" w:lineRule="auto"/>
        <w:rPr>
          <w:rFonts w:cs="宋体"/>
          <w:color w:val="auto"/>
          <w:sz w:val="24"/>
          <w:szCs w:val="24"/>
        </w:rPr>
      </w:pPr>
      <w:r>
        <w:rPr>
          <w:rFonts w:hint="eastAsia" w:cs="宋体"/>
          <w:bCs/>
          <w:color w:val="auto"/>
          <w:sz w:val="24"/>
          <w:szCs w:val="24"/>
        </w:rPr>
        <w:t xml:space="preserve">  </w:t>
      </w:r>
    </w:p>
    <w:p>
      <w:pPr>
        <w:spacing w:line="360" w:lineRule="auto"/>
        <w:jc w:val="left"/>
        <w:rPr>
          <w:rFonts w:cs="宋体"/>
          <w:bCs/>
          <w:color w:val="auto"/>
          <w:sz w:val="24"/>
          <w:szCs w:val="24"/>
        </w:rPr>
      </w:pPr>
      <w:r>
        <w:rPr>
          <w:rFonts w:hint="eastAsia" w:cs="宋体"/>
          <w:bCs/>
          <w:color w:val="auto"/>
          <w:sz w:val="24"/>
          <w:szCs w:val="24"/>
        </w:rPr>
        <w:t>项目名称：</w:t>
      </w:r>
    </w:p>
    <w:p>
      <w:pPr>
        <w:spacing w:line="360" w:lineRule="auto"/>
        <w:jc w:val="left"/>
        <w:rPr>
          <w:rFonts w:cs="宋体"/>
          <w:bCs/>
          <w:color w:val="auto"/>
          <w:sz w:val="24"/>
          <w:szCs w:val="24"/>
        </w:rPr>
      </w:pPr>
      <w:r>
        <w:rPr>
          <w:rFonts w:hint="eastAsia" w:cs="宋体"/>
          <w:bCs/>
          <w:color w:val="auto"/>
          <w:sz w:val="24"/>
          <w:szCs w:val="24"/>
        </w:rPr>
        <w:t xml:space="preserve">项目编号：           </w:t>
      </w:r>
    </w:p>
    <w:tbl>
      <w:tblPr>
        <w:tblStyle w:val="30"/>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537"/>
        <w:gridCol w:w="1215"/>
        <w:gridCol w:w="923"/>
        <w:gridCol w:w="1506"/>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93" w:type="dxa"/>
            <w:vAlign w:val="center"/>
          </w:tcPr>
          <w:p>
            <w:pPr>
              <w:spacing w:line="360" w:lineRule="auto"/>
              <w:jc w:val="center"/>
              <w:rPr>
                <w:rFonts w:cs="宋体"/>
                <w:color w:val="auto"/>
                <w:sz w:val="24"/>
                <w:szCs w:val="24"/>
              </w:rPr>
            </w:pPr>
            <w:r>
              <w:rPr>
                <w:rFonts w:hint="eastAsia" w:cs="宋体"/>
                <w:color w:val="auto"/>
                <w:sz w:val="24"/>
                <w:szCs w:val="24"/>
              </w:rPr>
              <w:t>序号</w:t>
            </w:r>
          </w:p>
        </w:tc>
        <w:tc>
          <w:tcPr>
            <w:tcW w:w="1537" w:type="dxa"/>
            <w:vAlign w:val="center"/>
          </w:tcPr>
          <w:p>
            <w:pPr>
              <w:spacing w:line="360" w:lineRule="auto"/>
              <w:jc w:val="center"/>
              <w:rPr>
                <w:rFonts w:cs="宋体"/>
                <w:color w:val="auto"/>
                <w:sz w:val="24"/>
                <w:szCs w:val="24"/>
              </w:rPr>
            </w:pPr>
            <w:r>
              <w:rPr>
                <w:rFonts w:hint="eastAsia" w:cs="宋体"/>
                <w:color w:val="auto"/>
                <w:sz w:val="24"/>
                <w:szCs w:val="24"/>
              </w:rPr>
              <w:t>名称</w:t>
            </w:r>
          </w:p>
        </w:tc>
        <w:tc>
          <w:tcPr>
            <w:tcW w:w="1215" w:type="dxa"/>
            <w:vAlign w:val="center"/>
          </w:tcPr>
          <w:p>
            <w:pPr>
              <w:spacing w:line="360" w:lineRule="auto"/>
              <w:jc w:val="center"/>
              <w:rPr>
                <w:rFonts w:cs="宋体"/>
                <w:color w:val="auto"/>
                <w:sz w:val="24"/>
                <w:szCs w:val="24"/>
              </w:rPr>
            </w:pPr>
            <w:r>
              <w:rPr>
                <w:rFonts w:hint="eastAsia" w:cs="宋体"/>
                <w:color w:val="auto"/>
                <w:sz w:val="24"/>
                <w:szCs w:val="24"/>
              </w:rPr>
              <w:t>数量</w:t>
            </w:r>
          </w:p>
        </w:tc>
        <w:tc>
          <w:tcPr>
            <w:tcW w:w="923" w:type="dxa"/>
            <w:vAlign w:val="center"/>
          </w:tcPr>
          <w:p>
            <w:pPr>
              <w:spacing w:line="360" w:lineRule="auto"/>
              <w:jc w:val="center"/>
              <w:rPr>
                <w:rFonts w:cs="宋体"/>
                <w:color w:val="auto"/>
                <w:sz w:val="24"/>
                <w:szCs w:val="24"/>
              </w:rPr>
            </w:pPr>
            <w:r>
              <w:rPr>
                <w:rFonts w:hint="eastAsia" w:cs="宋体"/>
                <w:color w:val="auto"/>
                <w:sz w:val="24"/>
                <w:szCs w:val="24"/>
              </w:rPr>
              <w:t>单位</w:t>
            </w:r>
          </w:p>
        </w:tc>
        <w:tc>
          <w:tcPr>
            <w:tcW w:w="1506" w:type="dxa"/>
            <w:vAlign w:val="center"/>
          </w:tcPr>
          <w:p>
            <w:pPr>
              <w:spacing w:line="360" w:lineRule="auto"/>
              <w:jc w:val="center"/>
              <w:rPr>
                <w:rFonts w:cs="宋体"/>
                <w:color w:val="auto"/>
                <w:sz w:val="24"/>
                <w:szCs w:val="24"/>
              </w:rPr>
            </w:pPr>
            <w:r>
              <w:rPr>
                <w:rFonts w:hint="eastAsia" w:cs="宋体"/>
                <w:color w:val="auto"/>
                <w:sz w:val="24"/>
                <w:szCs w:val="24"/>
              </w:rPr>
              <w:t>单价</w:t>
            </w:r>
          </w:p>
          <w:p>
            <w:pPr>
              <w:spacing w:line="360" w:lineRule="auto"/>
              <w:jc w:val="center"/>
              <w:rPr>
                <w:rFonts w:cs="宋体"/>
                <w:color w:val="auto"/>
                <w:sz w:val="24"/>
                <w:szCs w:val="24"/>
              </w:rPr>
            </w:pPr>
            <w:r>
              <w:rPr>
                <w:rFonts w:hint="eastAsia" w:cs="宋体"/>
                <w:color w:val="auto"/>
                <w:sz w:val="24"/>
                <w:szCs w:val="24"/>
              </w:rPr>
              <w:t>（元）</w:t>
            </w:r>
          </w:p>
        </w:tc>
        <w:tc>
          <w:tcPr>
            <w:tcW w:w="1215" w:type="dxa"/>
            <w:vAlign w:val="center"/>
          </w:tcPr>
          <w:p>
            <w:pPr>
              <w:spacing w:line="360" w:lineRule="auto"/>
              <w:jc w:val="center"/>
              <w:rPr>
                <w:rFonts w:cs="宋体"/>
                <w:color w:val="auto"/>
                <w:sz w:val="24"/>
                <w:szCs w:val="24"/>
              </w:rPr>
            </w:pPr>
            <w:r>
              <w:rPr>
                <w:rFonts w:hint="eastAsia" w:cs="宋体"/>
                <w:color w:val="auto"/>
                <w:sz w:val="24"/>
                <w:szCs w:val="24"/>
              </w:rPr>
              <w:t>总价</w:t>
            </w:r>
          </w:p>
          <w:p>
            <w:pPr>
              <w:spacing w:line="360" w:lineRule="auto"/>
              <w:jc w:val="center"/>
              <w:rPr>
                <w:rFonts w:cs="宋体"/>
                <w:color w:val="auto"/>
                <w:sz w:val="24"/>
                <w:szCs w:val="24"/>
              </w:rPr>
            </w:pPr>
            <w:r>
              <w:rPr>
                <w:rFonts w:hint="eastAsia" w:cs="宋体"/>
                <w:color w:val="auto"/>
                <w:sz w:val="24"/>
                <w:szCs w:val="24"/>
              </w:rPr>
              <w:t>（元）</w:t>
            </w:r>
          </w:p>
        </w:tc>
        <w:tc>
          <w:tcPr>
            <w:tcW w:w="1215" w:type="dxa"/>
            <w:vAlign w:val="center"/>
          </w:tcPr>
          <w:p>
            <w:pPr>
              <w:spacing w:line="360" w:lineRule="auto"/>
              <w:jc w:val="center"/>
              <w:rPr>
                <w:rFonts w:cs="宋体"/>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93" w:type="dxa"/>
            <w:vAlign w:val="center"/>
          </w:tcPr>
          <w:p>
            <w:pPr>
              <w:spacing w:line="360" w:lineRule="auto"/>
              <w:jc w:val="center"/>
              <w:rPr>
                <w:rFonts w:cs="宋体"/>
                <w:color w:val="auto"/>
                <w:sz w:val="24"/>
                <w:szCs w:val="24"/>
              </w:rPr>
            </w:pPr>
            <w:r>
              <w:rPr>
                <w:rFonts w:hint="eastAsia" w:cs="宋体"/>
                <w:color w:val="auto"/>
                <w:sz w:val="24"/>
                <w:szCs w:val="24"/>
              </w:rPr>
              <w:t>1</w:t>
            </w:r>
          </w:p>
        </w:tc>
        <w:tc>
          <w:tcPr>
            <w:tcW w:w="1537" w:type="dxa"/>
            <w:vAlign w:val="center"/>
          </w:tcPr>
          <w:p>
            <w:pPr>
              <w:spacing w:line="360" w:lineRule="auto"/>
              <w:jc w:val="center"/>
              <w:rPr>
                <w:rFonts w:cs="宋体"/>
                <w:color w:val="auto"/>
                <w:sz w:val="24"/>
                <w:szCs w:val="24"/>
              </w:rPr>
            </w:pPr>
            <w:r>
              <w:rPr>
                <w:rFonts w:hint="eastAsia" w:cs="宋体"/>
                <w:color w:val="auto"/>
                <w:sz w:val="24"/>
                <w:szCs w:val="24"/>
              </w:rPr>
              <w:t xml:space="preserve">     </w:t>
            </w:r>
          </w:p>
        </w:tc>
        <w:tc>
          <w:tcPr>
            <w:tcW w:w="1215" w:type="dxa"/>
            <w:vAlign w:val="center"/>
          </w:tcPr>
          <w:p>
            <w:pPr>
              <w:spacing w:line="360" w:lineRule="auto"/>
              <w:jc w:val="center"/>
              <w:rPr>
                <w:rFonts w:cs="宋体"/>
                <w:color w:val="auto"/>
                <w:sz w:val="24"/>
                <w:szCs w:val="24"/>
              </w:rPr>
            </w:pPr>
          </w:p>
        </w:tc>
        <w:tc>
          <w:tcPr>
            <w:tcW w:w="923" w:type="dxa"/>
            <w:vAlign w:val="center"/>
          </w:tcPr>
          <w:p>
            <w:pPr>
              <w:spacing w:line="360" w:lineRule="auto"/>
              <w:jc w:val="center"/>
              <w:rPr>
                <w:rFonts w:cs="宋体"/>
                <w:color w:val="auto"/>
                <w:sz w:val="24"/>
                <w:szCs w:val="24"/>
              </w:rPr>
            </w:pPr>
          </w:p>
        </w:tc>
        <w:tc>
          <w:tcPr>
            <w:tcW w:w="1506" w:type="dxa"/>
            <w:vAlign w:val="center"/>
          </w:tcPr>
          <w:p>
            <w:pPr>
              <w:spacing w:line="360" w:lineRule="auto"/>
              <w:jc w:val="center"/>
              <w:rPr>
                <w:rFonts w:cs="宋体"/>
                <w:color w:val="auto"/>
                <w:sz w:val="24"/>
                <w:szCs w:val="24"/>
              </w:rPr>
            </w:pPr>
          </w:p>
        </w:tc>
        <w:tc>
          <w:tcPr>
            <w:tcW w:w="1215" w:type="dxa"/>
            <w:vAlign w:val="center"/>
          </w:tcPr>
          <w:p>
            <w:pPr>
              <w:spacing w:line="360" w:lineRule="auto"/>
              <w:jc w:val="center"/>
              <w:rPr>
                <w:rFonts w:cs="宋体"/>
                <w:color w:val="auto"/>
                <w:sz w:val="24"/>
                <w:szCs w:val="24"/>
              </w:rPr>
            </w:pPr>
          </w:p>
        </w:tc>
        <w:tc>
          <w:tcPr>
            <w:tcW w:w="1215" w:type="dxa"/>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93" w:type="dxa"/>
            <w:vAlign w:val="center"/>
          </w:tcPr>
          <w:p>
            <w:pPr>
              <w:spacing w:line="360" w:lineRule="auto"/>
              <w:jc w:val="center"/>
              <w:rPr>
                <w:rFonts w:cs="宋体"/>
                <w:color w:val="auto"/>
                <w:sz w:val="24"/>
                <w:szCs w:val="24"/>
              </w:rPr>
            </w:pPr>
            <w:r>
              <w:rPr>
                <w:rFonts w:hint="eastAsia" w:cs="宋体"/>
                <w:color w:val="auto"/>
                <w:sz w:val="24"/>
                <w:szCs w:val="24"/>
              </w:rPr>
              <w:t>2</w:t>
            </w:r>
          </w:p>
        </w:tc>
        <w:tc>
          <w:tcPr>
            <w:tcW w:w="1537" w:type="dxa"/>
            <w:vAlign w:val="center"/>
          </w:tcPr>
          <w:p>
            <w:pPr>
              <w:spacing w:line="360" w:lineRule="auto"/>
              <w:jc w:val="center"/>
              <w:rPr>
                <w:rFonts w:cs="宋体"/>
                <w:color w:val="auto"/>
                <w:sz w:val="24"/>
                <w:szCs w:val="24"/>
              </w:rPr>
            </w:pPr>
          </w:p>
        </w:tc>
        <w:tc>
          <w:tcPr>
            <w:tcW w:w="1215" w:type="dxa"/>
            <w:vAlign w:val="center"/>
          </w:tcPr>
          <w:p>
            <w:pPr>
              <w:spacing w:line="360" w:lineRule="auto"/>
              <w:jc w:val="center"/>
              <w:rPr>
                <w:rFonts w:cs="宋体"/>
                <w:color w:val="auto"/>
                <w:sz w:val="24"/>
                <w:szCs w:val="24"/>
              </w:rPr>
            </w:pPr>
          </w:p>
        </w:tc>
        <w:tc>
          <w:tcPr>
            <w:tcW w:w="923" w:type="dxa"/>
            <w:vAlign w:val="center"/>
          </w:tcPr>
          <w:p>
            <w:pPr>
              <w:spacing w:line="360" w:lineRule="auto"/>
              <w:jc w:val="center"/>
              <w:rPr>
                <w:rFonts w:cs="宋体"/>
                <w:color w:val="auto"/>
                <w:sz w:val="24"/>
                <w:szCs w:val="24"/>
              </w:rPr>
            </w:pPr>
          </w:p>
        </w:tc>
        <w:tc>
          <w:tcPr>
            <w:tcW w:w="1506" w:type="dxa"/>
            <w:vAlign w:val="center"/>
          </w:tcPr>
          <w:p>
            <w:pPr>
              <w:spacing w:line="360" w:lineRule="auto"/>
              <w:jc w:val="center"/>
              <w:rPr>
                <w:rFonts w:cs="宋体"/>
                <w:color w:val="auto"/>
                <w:sz w:val="24"/>
                <w:szCs w:val="24"/>
              </w:rPr>
            </w:pPr>
          </w:p>
        </w:tc>
        <w:tc>
          <w:tcPr>
            <w:tcW w:w="1215" w:type="dxa"/>
            <w:vAlign w:val="center"/>
          </w:tcPr>
          <w:p>
            <w:pPr>
              <w:spacing w:line="360" w:lineRule="auto"/>
              <w:jc w:val="center"/>
              <w:rPr>
                <w:rFonts w:cs="宋体"/>
                <w:color w:val="auto"/>
                <w:sz w:val="24"/>
                <w:szCs w:val="24"/>
              </w:rPr>
            </w:pPr>
          </w:p>
        </w:tc>
        <w:tc>
          <w:tcPr>
            <w:tcW w:w="1215" w:type="dxa"/>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93" w:type="dxa"/>
            <w:vAlign w:val="center"/>
          </w:tcPr>
          <w:p>
            <w:pPr>
              <w:spacing w:line="360" w:lineRule="auto"/>
              <w:jc w:val="center"/>
              <w:rPr>
                <w:rFonts w:cs="宋体"/>
                <w:color w:val="auto"/>
                <w:sz w:val="24"/>
                <w:szCs w:val="24"/>
              </w:rPr>
            </w:pPr>
            <w:r>
              <w:rPr>
                <w:rFonts w:hint="eastAsia" w:cs="宋体"/>
                <w:color w:val="auto"/>
                <w:sz w:val="24"/>
                <w:szCs w:val="24"/>
              </w:rPr>
              <w:t>3</w:t>
            </w:r>
          </w:p>
        </w:tc>
        <w:tc>
          <w:tcPr>
            <w:tcW w:w="1537" w:type="dxa"/>
            <w:vAlign w:val="center"/>
          </w:tcPr>
          <w:p>
            <w:pPr>
              <w:spacing w:line="360" w:lineRule="auto"/>
              <w:jc w:val="center"/>
              <w:rPr>
                <w:rFonts w:cs="宋体"/>
                <w:color w:val="auto"/>
                <w:sz w:val="24"/>
                <w:szCs w:val="24"/>
              </w:rPr>
            </w:pPr>
            <w:r>
              <w:rPr>
                <w:rFonts w:hint="eastAsia" w:cs="宋体"/>
                <w:color w:val="auto"/>
                <w:sz w:val="24"/>
                <w:szCs w:val="24"/>
              </w:rPr>
              <w:t>......</w:t>
            </w:r>
          </w:p>
        </w:tc>
        <w:tc>
          <w:tcPr>
            <w:tcW w:w="1215" w:type="dxa"/>
            <w:vAlign w:val="center"/>
          </w:tcPr>
          <w:p>
            <w:pPr>
              <w:spacing w:line="360" w:lineRule="auto"/>
              <w:jc w:val="center"/>
              <w:rPr>
                <w:rFonts w:cs="宋体"/>
                <w:color w:val="auto"/>
                <w:sz w:val="24"/>
                <w:szCs w:val="24"/>
              </w:rPr>
            </w:pPr>
          </w:p>
        </w:tc>
        <w:tc>
          <w:tcPr>
            <w:tcW w:w="923" w:type="dxa"/>
            <w:vAlign w:val="center"/>
          </w:tcPr>
          <w:p>
            <w:pPr>
              <w:spacing w:line="360" w:lineRule="auto"/>
              <w:jc w:val="center"/>
              <w:rPr>
                <w:rFonts w:cs="宋体"/>
                <w:color w:val="auto"/>
                <w:sz w:val="24"/>
                <w:szCs w:val="24"/>
              </w:rPr>
            </w:pPr>
          </w:p>
        </w:tc>
        <w:tc>
          <w:tcPr>
            <w:tcW w:w="1506" w:type="dxa"/>
            <w:vAlign w:val="center"/>
          </w:tcPr>
          <w:p>
            <w:pPr>
              <w:spacing w:line="360" w:lineRule="auto"/>
              <w:jc w:val="center"/>
              <w:rPr>
                <w:rFonts w:cs="宋体"/>
                <w:color w:val="auto"/>
                <w:sz w:val="24"/>
                <w:szCs w:val="24"/>
              </w:rPr>
            </w:pPr>
          </w:p>
        </w:tc>
        <w:tc>
          <w:tcPr>
            <w:tcW w:w="1215" w:type="dxa"/>
            <w:vAlign w:val="center"/>
          </w:tcPr>
          <w:p>
            <w:pPr>
              <w:spacing w:line="360" w:lineRule="auto"/>
              <w:jc w:val="center"/>
              <w:rPr>
                <w:rFonts w:cs="宋体"/>
                <w:color w:val="auto"/>
                <w:sz w:val="24"/>
                <w:szCs w:val="24"/>
              </w:rPr>
            </w:pPr>
          </w:p>
        </w:tc>
        <w:tc>
          <w:tcPr>
            <w:tcW w:w="1215" w:type="dxa"/>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93" w:type="dxa"/>
            <w:vAlign w:val="center"/>
          </w:tcPr>
          <w:p>
            <w:pPr>
              <w:spacing w:line="360" w:lineRule="auto"/>
              <w:jc w:val="center"/>
              <w:rPr>
                <w:rFonts w:cs="宋体"/>
                <w:color w:val="auto"/>
                <w:sz w:val="24"/>
                <w:szCs w:val="24"/>
              </w:rPr>
            </w:pPr>
            <w:r>
              <w:rPr>
                <w:rFonts w:hint="eastAsia" w:cs="宋体"/>
                <w:color w:val="auto"/>
                <w:sz w:val="24"/>
                <w:szCs w:val="24"/>
              </w:rPr>
              <w:t>4</w:t>
            </w:r>
          </w:p>
        </w:tc>
        <w:tc>
          <w:tcPr>
            <w:tcW w:w="1537" w:type="dxa"/>
            <w:vAlign w:val="center"/>
          </w:tcPr>
          <w:p>
            <w:pPr>
              <w:spacing w:line="360" w:lineRule="auto"/>
              <w:jc w:val="center"/>
              <w:rPr>
                <w:rFonts w:cs="宋体"/>
                <w:color w:val="auto"/>
                <w:sz w:val="24"/>
                <w:szCs w:val="24"/>
              </w:rPr>
            </w:pPr>
            <w:r>
              <w:rPr>
                <w:rFonts w:hint="eastAsia" w:cs="宋体"/>
                <w:color w:val="auto"/>
                <w:sz w:val="24"/>
                <w:szCs w:val="24"/>
              </w:rPr>
              <w:t>......</w:t>
            </w:r>
          </w:p>
        </w:tc>
        <w:tc>
          <w:tcPr>
            <w:tcW w:w="6074" w:type="dxa"/>
            <w:gridSpan w:val="5"/>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3" w:type="dxa"/>
            <w:vAlign w:val="center"/>
          </w:tcPr>
          <w:p>
            <w:pPr>
              <w:spacing w:line="360" w:lineRule="auto"/>
              <w:jc w:val="center"/>
              <w:rPr>
                <w:rFonts w:cs="宋体"/>
                <w:color w:val="auto"/>
                <w:sz w:val="24"/>
                <w:szCs w:val="24"/>
              </w:rPr>
            </w:pPr>
            <w:r>
              <w:rPr>
                <w:rFonts w:hint="eastAsia" w:cs="宋体"/>
                <w:color w:val="auto"/>
                <w:sz w:val="24"/>
                <w:szCs w:val="24"/>
              </w:rPr>
              <w:t>5</w:t>
            </w:r>
          </w:p>
        </w:tc>
        <w:tc>
          <w:tcPr>
            <w:tcW w:w="1537" w:type="dxa"/>
            <w:vAlign w:val="center"/>
          </w:tcPr>
          <w:p>
            <w:pPr>
              <w:spacing w:line="360" w:lineRule="auto"/>
              <w:jc w:val="center"/>
              <w:rPr>
                <w:rFonts w:cs="宋体"/>
                <w:color w:val="auto"/>
                <w:sz w:val="24"/>
                <w:szCs w:val="24"/>
              </w:rPr>
            </w:pPr>
            <w:r>
              <w:rPr>
                <w:rFonts w:hint="eastAsia" w:cs="宋体"/>
                <w:color w:val="auto"/>
                <w:sz w:val="24"/>
                <w:szCs w:val="24"/>
              </w:rPr>
              <w:t xml:space="preserve">...... </w:t>
            </w:r>
          </w:p>
        </w:tc>
        <w:tc>
          <w:tcPr>
            <w:tcW w:w="6074" w:type="dxa"/>
            <w:gridSpan w:val="5"/>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3" w:type="dxa"/>
            <w:vAlign w:val="center"/>
          </w:tcPr>
          <w:p>
            <w:pPr>
              <w:spacing w:line="360" w:lineRule="auto"/>
              <w:jc w:val="center"/>
              <w:rPr>
                <w:rFonts w:cs="宋体"/>
                <w:color w:val="auto"/>
                <w:sz w:val="24"/>
                <w:szCs w:val="24"/>
              </w:rPr>
            </w:pPr>
            <w:r>
              <w:rPr>
                <w:rFonts w:hint="eastAsia" w:cs="宋体"/>
                <w:color w:val="auto"/>
                <w:sz w:val="24"/>
                <w:szCs w:val="24"/>
              </w:rPr>
              <w:t>6</w:t>
            </w:r>
          </w:p>
        </w:tc>
        <w:tc>
          <w:tcPr>
            <w:tcW w:w="1537" w:type="dxa"/>
            <w:vAlign w:val="center"/>
          </w:tcPr>
          <w:p>
            <w:pPr>
              <w:spacing w:line="360" w:lineRule="auto"/>
              <w:jc w:val="center"/>
              <w:rPr>
                <w:rFonts w:cs="宋体"/>
                <w:color w:val="auto"/>
                <w:sz w:val="24"/>
                <w:szCs w:val="24"/>
              </w:rPr>
            </w:pPr>
            <w:r>
              <w:rPr>
                <w:rFonts w:hint="eastAsia" w:cs="宋体"/>
                <w:color w:val="auto"/>
                <w:sz w:val="24"/>
                <w:szCs w:val="24"/>
              </w:rPr>
              <w:t>合计</w:t>
            </w:r>
          </w:p>
        </w:tc>
        <w:tc>
          <w:tcPr>
            <w:tcW w:w="6074" w:type="dxa"/>
            <w:gridSpan w:val="5"/>
            <w:vAlign w:val="center"/>
          </w:tcPr>
          <w:p>
            <w:pPr>
              <w:spacing w:line="360" w:lineRule="auto"/>
              <w:rPr>
                <w:rFonts w:cs="宋体"/>
                <w:color w:val="auto"/>
                <w:sz w:val="24"/>
                <w:szCs w:val="24"/>
              </w:rPr>
            </w:pPr>
            <w:r>
              <w:rPr>
                <w:rFonts w:hint="eastAsia" w:cs="宋体"/>
                <w:color w:val="auto"/>
                <w:sz w:val="24"/>
                <w:szCs w:val="24"/>
              </w:rPr>
              <w:t>人民币（大写）：                          小写（￥</w:t>
            </w:r>
            <w:r>
              <w:rPr>
                <w:rFonts w:hint="eastAsia" w:cs="宋体"/>
                <w:color w:val="auto"/>
                <w:sz w:val="24"/>
                <w:szCs w:val="24"/>
                <w:u w:val="single"/>
              </w:rPr>
              <w:t xml:space="preserve">     </w:t>
            </w:r>
            <w:r>
              <w:rPr>
                <w:rFonts w:hint="eastAsia"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430" w:type="dxa"/>
            <w:gridSpan w:val="2"/>
            <w:vAlign w:val="center"/>
          </w:tcPr>
          <w:p>
            <w:pPr>
              <w:spacing w:line="360" w:lineRule="auto"/>
              <w:jc w:val="center"/>
              <w:rPr>
                <w:rFonts w:cs="宋体"/>
                <w:color w:val="auto"/>
                <w:sz w:val="24"/>
                <w:szCs w:val="24"/>
              </w:rPr>
            </w:pPr>
            <w:r>
              <w:rPr>
                <w:rFonts w:hint="eastAsia" w:cs="宋体"/>
                <w:color w:val="auto"/>
                <w:sz w:val="24"/>
                <w:szCs w:val="24"/>
              </w:rPr>
              <w:t>备注</w:t>
            </w:r>
          </w:p>
        </w:tc>
        <w:tc>
          <w:tcPr>
            <w:tcW w:w="6074" w:type="dxa"/>
            <w:gridSpan w:val="5"/>
            <w:vAlign w:val="center"/>
          </w:tcPr>
          <w:p>
            <w:pPr>
              <w:spacing w:line="360" w:lineRule="auto"/>
              <w:rPr>
                <w:rFonts w:cs="宋体"/>
                <w:color w:val="auto"/>
                <w:sz w:val="24"/>
                <w:szCs w:val="24"/>
              </w:rPr>
            </w:pPr>
            <w:r>
              <w:rPr>
                <w:rFonts w:hint="eastAsia" w:cs="宋体"/>
                <w:color w:val="auto"/>
                <w:sz w:val="24"/>
                <w:szCs w:val="24"/>
              </w:rPr>
              <w:t>表内报价内容以元为单位，保留小数点后两位。</w:t>
            </w:r>
          </w:p>
        </w:tc>
      </w:tr>
    </w:tbl>
    <w:p>
      <w:pPr>
        <w:spacing w:line="360" w:lineRule="auto"/>
        <w:jc w:val="center"/>
        <w:rPr>
          <w:rFonts w:cs="宋体"/>
          <w:color w:val="auto"/>
          <w:sz w:val="24"/>
          <w:szCs w:val="24"/>
        </w:rPr>
      </w:pPr>
    </w:p>
    <w:p>
      <w:pPr>
        <w:spacing w:line="360" w:lineRule="auto"/>
        <w:rPr>
          <w:rFonts w:cs="宋体"/>
          <w:color w:val="auto"/>
          <w:sz w:val="24"/>
          <w:szCs w:val="24"/>
        </w:rPr>
      </w:pPr>
    </w:p>
    <w:p>
      <w:pPr>
        <w:spacing w:line="360" w:lineRule="auto"/>
        <w:ind w:firstLine="480" w:firstLineChars="200"/>
        <w:jc w:val="left"/>
        <w:rPr>
          <w:rFonts w:cs="宋体"/>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96" w:firstLineChars="200"/>
        <w:jc w:val="left"/>
        <w:rPr>
          <w:rFonts w:cs="宋体"/>
          <w:color w:val="auto"/>
          <w:spacing w:val="4"/>
          <w:sz w:val="24"/>
          <w:szCs w:val="24"/>
        </w:rPr>
      </w:pPr>
      <w:r>
        <w:rPr>
          <w:rFonts w:hint="eastAsia" w:cs="宋体"/>
          <w:color w:val="auto"/>
          <w:spacing w:val="4"/>
          <w:sz w:val="24"/>
          <w:szCs w:val="24"/>
        </w:rPr>
        <w:t>法定代表人或被授权人：</w:t>
      </w:r>
      <w:r>
        <w:rPr>
          <w:rFonts w:hint="eastAsia" w:cs="宋体"/>
          <w:color w:val="auto"/>
          <w:spacing w:val="4"/>
          <w:sz w:val="24"/>
          <w:szCs w:val="24"/>
          <w:u w:val="single"/>
        </w:rPr>
        <w:t xml:space="preserve">            </w:t>
      </w:r>
      <w:r>
        <w:rPr>
          <w:rFonts w:hint="eastAsia" w:cs="宋体"/>
          <w:color w:val="auto"/>
          <w:spacing w:val="4"/>
          <w:sz w:val="24"/>
          <w:szCs w:val="24"/>
        </w:rPr>
        <w:t>（签字或盖章）</w:t>
      </w:r>
    </w:p>
    <w:p>
      <w:pPr>
        <w:spacing w:line="360" w:lineRule="auto"/>
        <w:ind w:firstLine="480" w:firstLineChars="200"/>
        <w:rPr>
          <w:rFonts w:cs="宋体"/>
          <w:color w:val="auto"/>
          <w:sz w:val="24"/>
          <w:szCs w:val="24"/>
        </w:rPr>
      </w:pPr>
      <w:r>
        <w:rPr>
          <w:rFonts w:hint="eastAsia" w:cs="宋体"/>
          <w:color w:val="auto"/>
          <w:sz w:val="24"/>
          <w:szCs w:val="24"/>
        </w:rPr>
        <w:t>日    期：      年   月    日</w:t>
      </w:r>
    </w:p>
    <w:p>
      <w:pPr>
        <w:spacing w:line="360" w:lineRule="auto"/>
        <w:rPr>
          <w:rFonts w:cs="宋体"/>
          <w:color w:val="auto"/>
          <w:sz w:val="24"/>
          <w:szCs w:val="24"/>
        </w:rPr>
      </w:pPr>
      <w:r>
        <w:rPr>
          <w:rFonts w:hint="eastAsia" w:cs="宋体"/>
          <w:color w:val="auto"/>
          <w:sz w:val="24"/>
          <w:szCs w:val="24"/>
        </w:rPr>
        <w:t>注：1.如果按单价计算的结果与总价不一致，以单价为准修正总价。</w:t>
      </w:r>
    </w:p>
    <w:p>
      <w:pPr>
        <w:spacing w:line="360" w:lineRule="auto"/>
        <w:ind w:firstLine="480" w:firstLineChars="200"/>
        <w:rPr>
          <w:rFonts w:cs="宋体"/>
          <w:color w:val="auto"/>
          <w:sz w:val="24"/>
          <w:szCs w:val="24"/>
        </w:rPr>
      </w:pPr>
      <w:r>
        <w:rPr>
          <w:rFonts w:hint="eastAsia" w:cs="宋体"/>
          <w:color w:val="auto"/>
          <w:sz w:val="24"/>
          <w:szCs w:val="24"/>
        </w:rPr>
        <w:t>2.如果不提供详细分项报价将视为没有实质性响应招标文件。</w:t>
      </w:r>
    </w:p>
    <w:p>
      <w:pPr>
        <w:spacing w:line="360" w:lineRule="auto"/>
        <w:ind w:firstLine="480" w:firstLineChars="200"/>
        <w:rPr>
          <w:rFonts w:cs="宋体"/>
          <w:color w:val="auto"/>
          <w:sz w:val="24"/>
          <w:szCs w:val="24"/>
        </w:rPr>
      </w:pPr>
      <w:r>
        <w:rPr>
          <w:rFonts w:hint="eastAsia" w:cs="宋体"/>
          <w:bCs/>
          <w:color w:val="auto"/>
          <w:sz w:val="24"/>
          <w:szCs w:val="24"/>
        </w:rPr>
        <w:t>3.供应商可适当调整该表格式，但不得减少信息内容。</w:t>
      </w:r>
    </w:p>
    <w:p>
      <w:pPr>
        <w:pStyle w:val="4"/>
        <w:spacing w:line="360" w:lineRule="auto"/>
        <w:rPr>
          <w:rFonts w:ascii="宋体" w:hAnsi="宋体" w:cs="宋体"/>
          <w:color w:val="auto"/>
          <w:sz w:val="24"/>
          <w:szCs w:val="24"/>
        </w:rPr>
      </w:pPr>
      <w:r>
        <w:rPr>
          <w:rFonts w:hint="eastAsia" w:ascii="宋体" w:hAnsi="宋体" w:cs="宋体"/>
          <w:color w:val="auto"/>
          <w:sz w:val="24"/>
          <w:szCs w:val="24"/>
        </w:rPr>
        <w:br w:type="page"/>
      </w:r>
      <w:bookmarkStart w:id="205" w:name="_Toc8367"/>
      <w:bookmarkStart w:id="206" w:name="_Toc7417"/>
      <w:bookmarkStart w:id="207" w:name="_Toc19152"/>
      <w:bookmarkStart w:id="208" w:name="_Toc12533"/>
      <w:bookmarkStart w:id="209" w:name="_Toc609"/>
      <w:bookmarkStart w:id="210" w:name="_Toc14384"/>
      <w:bookmarkStart w:id="211" w:name="_Toc4085"/>
      <w:bookmarkStart w:id="212" w:name="_Toc1225"/>
      <w:bookmarkStart w:id="213" w:name="_Toc31326"/>
      <w:r>
        <w:rPr>
          <w:rFonts w:hint="eastAsia" w:ascii="宋体" w:hAnsi="宋体" w:cs="宋体"/>
          <w:color w:val="auto"/>
          <w:sz w:val="24"/>
          <w:szCs w:val="24"/>
        </w:rPr>
        <w:t>三、投标方案说明书</w:t>
      </w:r>
      <w:bookmarkEnd w:id="205"/>
      <w:bookmarkEnd w:id="206"/>
      <w:bookmarkEnd w:id="207"/>
      <w:bookmarkEnd w:id="208"/>
      <w:bookmarkEnd w:id="209"/>
      <w:bookmarkEnd w:id="210"/>
      <w:bookmarkEnd w:id="211"/>
      <w:bookmarkEnd w:id="212"/>
      <w:bookmarkEnd w:id="213"/>
    </w:p>
    <w:p>
      <w:pPr>
        <w:spacing w:before="120" w:beforeLines="50" w:line="360" w:lineRule="auto"/>
        <w:ind w:firstLine="480" w:firstLineChars="200"/>
        <w:rPr>
          <w:rFonts w:cs="宋体"/>
          <w:color w:val="auto"/>
          <w:sz w:val="24"/>
          <w:szCs w:val="24"/>
        </w:rPr>
      </w:pPr>
      <w:r>
        <w:rPr>
          <w:rFonts w:hint="eastAsia" w:cs="宋体"/>
          <w:color w:val="auto"/>
          <w:sz w:val="24"/>
          <w:szCs w:val="24"/>
        </w:rPr>
        <w:t>投标人按招标文件的要求，依据第五章评标方法附件2“评标因素及权重分值表”相关内容编写，格式自拟，评标因素及权重分值表要求内容，在投标方案说明书中需逐项对应编制。</w:t>
      </w:r>
    </w:p>
    <w:p>
      <w:pPr>
        <w:pStyle w:val="22"/>
        <w:spacing w:line="360" w:lineRule="auto"/>
        <w:rPr>
          <w:rFonts w:cs="宋体"/>
          <w:color w:val="auto"/>
          <w:sz w:val="24"/>
          <w:szCs w:val="24"/>
          <w:highlight w:val="none"/>
        </w:rPr>
      </w:pPr>
      <w:r>
        <w:rPr>
          <w:rFonts w:hint="eastAsia" w:cs="宋体"/>
          <w:color w:val="auto"/>
          <w:sz w:val="24"/>
          <w:szCs w:val="24"/>
          <w:highlight w:val="none"/>
        </w:rPr>
        <w:t>至少包含以下内容：</w:t>
      </w:r>
    </w:p>
    <w:p>
      <w:pPr>
        <w:spacing w:line="360" w:lineRule="auto"/>
        <w:rPr>
          <w:rFonts w:hint="eastAsia" w:eastAsia="宋体" w:cs="宋体"/>
          <w:color w:val="auto"/>
          <w:sz w:val="24"/>
          <w:szCs w:val="24"/>
          <w:highlight w:val="none"/>
          <w:lang w:eastAsia="zh-CN"/>
        </w:rPr>
      </w:pPr>
      <w:r>
        <w:rPr>
          <w:rFonts w:hint="eastAsia" w:cs="宋体"/>
          <w:color w:val="auto"/>
          <w:sz w:val="24"/>
          <w:szCs w:val="24"/>
          <w:highlight w:val="none"/>
        </w:rPr>
        <w:t>1、技术方案</w:t>
      </w:r>
      <w:r>
        <w:rPr>
          <w:rFonts w:hint="eastAsia" w:cs="宋体"/>
          <w:color w:val="auto"/>
          <w:sz w:val="24"/>
          <w:szCs w:val="24"/>
          <w:highlight w:val="none"/>
          <w:lang w:eastAsia="zh-CN"/>
        </w:rPr>
        <w:t>；</w:t>
      </w:r>
    </w:p>
    <w:p>
      <w:pPr>
        <w:spacing w:line="360" w:lineRule="auto"/>
        <w:rPr>
          <w:rFonts w:hint="eastAsia" w:cs="宋体"/>
          <w:color w:val="auto"/>
          <w:sz w:val="24"/>
          <w:szCs w:val="24"/>
          <w:highlight w:val="none"/>
          <w:lang w:val="en-US" w:eastAsia="zh-CN"/>
        </w:rPr>
      </w:pPr>
      <w:r>
        <w:rPr>
          <w:rFonts w:hint="eastAsia" w:cs="宋体"/>
          <w:color w:val="auto"/>
          <w:sz w:val="24"/>
          <w:szCs w:val="24"/>
          <w:highlight w:val="none"/>
          <w:lang w:val="en-US" w:eastAsia="zh-CN"/>
        </w:rPr>
        <w:t>2、项目实施管理方案；</w:t>
      </w:r>
    </w:p>
    <w:p>
      <w:pPr>
        <w:spacing w:line="360" w:lineRule="auto"/>
        <w:rPr>
          <w:rFonts w:hint="eastAsia" w:cs="宋体"/>
          <w:color w:val="auto"/>
          <w:sz w:val="24"/>
          <w:szCs w:val="24"/>
          <w:highlight w:val="none"/>
          <w:lang w:val="en-US" w:eastAsia="zh-CN"/>
        </w:rPr>
      </w:pPr>
      <w:r>
        <w:rPr>
          <w:rFonts w:hint="eastAsia" w:cs="宋体"/>
          <w:color w:val="auto"/>
          <w:sz w:val="24"/>
          <w:szCs w:val="24"/>
          <w:highlight w:val="none"/>
          <w:lang w:val="en-US" w:eastAsia="zh-CN"/>
        </w:rPr>
        <w:t>3、项目团队；</w:t>
      </w:r>
    </w:p>
    <w:p>
      <w:pPr>
        <w:spacing w:line="360" w:lineRule="auto"/>
        <w:rPr>
          <w:rFonts w:hint="eastAsia" w:cs="宋体"/>
          <w:color w:val="auto"/>
          <w:sz w:val="24"/>
          <w:szCs w:val="24"/>
          <w:highlight w:val="none"/>
          <w:lang w:val="en-US" w:eastAsia="zh-CN"/>
        </w:rPr>
      </w:pPr>
      <w:r>
        <w:rPr>
          <w:rFonts w:hint="eastAsia" w:cs="宋体"/>
          <w:color w:val="auto"/>
          <w:sz w:val="24"/>
          <w:szCs w:val="24"/>
          <w:highlight w:val="none"/>
          <w:lang w:val="en-US" w:eastAsia="zh-CN"/>
        </w:rPr>
        <w:t>4、售后服务方案；</w:t>
      </w:r>
    </w:p>
    <w:p>
      <w:pPr>
        <w:spacing w:line="360" w:lineRule="auto"/>
        <w:rPr>
          <w:rFonts w:hint="eastAsia" w:cs="宋体"/>
          <w:color w:val="auto"/>
          <w:sz w:val="24"/>
          <w:szCs w:val="24"/>
          <w:highlight w:val="none"/>
          <w:lang w:val="en-US" w:eastAsia="zh-CN"/>
        </w:rPr>
      </w:pPr>
      <w:r>
        <w:rPr>
          <w:rFonts w:hint="eastAsia" w:cs="宋体"/>
          <w:color w:val="auto"/>
          <w:sz w:val="24"/>
          <w:szCs w:val="24"/>
          <w:highlight w:val="none"/>
          <w:lang w:val="en-US" w:eastAsia="zh-CN"/>
        </w:rPr>
        <w:t>5、培训方案；</w:t>
      </w:r>
    </w:p>
    <w:p>
      <w:pPr>
        <w:spacing w:line="360" w:lineRule="auto"/>
        <w:rPr>
          <w:rFonts w:hint="eastAsia" w:cs="宋体"/>
          <w:color w:val="auto"/>
          <w:sz w:val="24"/>
          <w:szCs w:val="24"/>
          <w:highlight w:val="none"/>
          <w:lang w:val="en-US" w:eastAsia="zh-CN"/>
        </w:rPr>
      </w:pPr>
      <w:r>
        <w:rPr>
          <w:rFonts w:hint="eastAsia" w:cs="宋体"/>
          <w:color w:val="auto"/>
          <w:sz w:val="24"/>
          <w:szCs w:val="24"/>
          <w:highlight w:val="none"/>
          <w:lang w:val="en-US" w:eastAsia="zh-CN"/>
        </w:rPr>
        <w:t>6、企业实力；</w:t>
      </w:r>
    </w:p>
    <w:p>
      <w:pPr>
        <w:spacing w:line="360" w:lineRule="auto"/>
        <w:rPr>
          <w:rFonts w:cs="宋体"/>
          <w:color w:val="auto"/>
          <w:sz w:val="24"/>
          <w:szCs w:val="24"/>
        </w:rPr>
      </w:pPr>
      <w:r>
        <w:rPr>
          <w:rFonts w:hint="eastAsia" w:cs="宋体"/>
          <w:color w:val="auto"/>
          <w:sz w:val="24"/>
          <w:szCs w:val="24"/>
          <w:highlight w:val="none"/>
          <w:lang w:val="en-US" w:eastAsia="zh-CN"/>
        </w:rPr>
        <w:t>7、业绩。</w:t>
      </w:r>
      <w:r>
        <w:rPr>
          <w:rFonts w:hint="eastAsia" w:cs="宋体"/>
          <w:color w:val="auto"/>
          <w:sz w:val="24"/>
          <w:szCs w:val="24"/>
        </w:rPr>
        <w:br w:type="page"/>
      </w:r>
    </w:p>
    <w:p>
      <w:pPr>
        <w:spacing w:after="120" w:line="360" w:lineRule="auto"/>
        <w:rPr>
          <w:rFonts w:cs="宋体"/>
          <w:b/>
          <w:color w:val="auto"/>
          <w:sz w:val="24"/>
          <w:szCs w:val="24"/>
        </w:rPr>
      </w:pPr>
      <w:r>
        <w:rPr>
          <w:rFonts w:hint="eastAsia" w:cs="宋体"/>
          <w:b/>
          <w:color w:val="auto"/>
          <w:sz w:val="24"/>
          <w:szCs w:val="24"/>
          <w:lang w:bidi="ar"/>
        </w:rPr>
        <w:t>附表1：</w:t>
      </w:r>
    </w:p>
    <w:p>
      <w:pPr>
        <w:snapToGrid w:val="0"/>
        <w:spacing w:after="120" w:afterLines="50" w:line="360" w:lineRule="auto"/>
        <w:ind w:left="504"/>
        <w:jc w:val="center"/>
        <w:rPr>
          <w:rFonts w:cs="宋体"/>
          <w:b/>
          <w:color w:val="auto"/>
          <w:spacing w:val="11"/>
          <w:sz w:val="24"/>
          <w:szCs w:val="24"/>
        </w:rPr>
      </w:pPr>
      <w:r>
        <w:rPr>
          <w:rFonts w:hint="eastAsia" w:cs="宋体"/>
          <w:b/>
          <w:color w:val="auto"/>
          <w:spacing w:val="11"/>
          <w:kern w:val="2"/>
          <w:sz w:val="24"/>
          <w:szCs w:val="24"/>
          <w:lang w:bidi="ar"/>
        </w:rPr>
        <w:t>项目负责人简历表</w:t>
      </w:r>
    </w:p>
    <w:tbl>
      <w:tblPr>
        <w:tblStyle w:val="30"/>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58"/>
        <w:gridCol w:w="458"/>
        <w:gridCol w:w="2326"/>
        <w:gridCol w:w="1465"/>
        <w:gridCol w:w="58"/>
        <w:gridCol w:w="998"/>
        <w:gridCol w:w="26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姓名</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性别</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年龄</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职务</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职称</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学历</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执业资格</w:t>
            </w:r>
          </w:p>
        </w:tc>
        <w:tc>
          <w:tcPr>
            <w:tcW w:w="790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kern w:val="2"/>
                <w:sz w:val="24"/>
                <w:szCs w:val="24"/>
                <w:lang w:bidi="ar"/>
              </w:rPr>
            </w:pPr>
            <w:r>
              <w:rPr>
                <w:rFonts w:hint="eastAsia" w:cs="宋体"/>
                <w:color w:val="auto"/>
                <w:kern w:val="2"/>
                <w:sz w:val="24"/>
                <w:szCs w:val="24"/>
                <w:lang w:bidi="ar"/>
              </w:rPr>
              <w:t>身份证号</w:t>
            </w:r>
          </w:p>
        </w:tc>
        <w:tc>
          <w:tcPr>
            <w:tcW w:w="64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参加工作时间</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职业年限</w:t>
            </w:r>
          </w:p>
        </w:tc>
        <w:tc>
          <w:tcPr>
            <w:tcW w:w="26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40" w:firstLineChars="100"/>
              <w:rPr>
                <w:rFonts w:cs="宋体"/>
                <w:color w:val="auto"/>
                <w:sz w:val="24"/>
                <w:szCs w:val="24"/>
              </w:rPr>
            </w:pPr>
            <w:r>
              <w:rPr>
                <w:rFonts w:hint="eastAsia" w:cs="宋体"/>
                <w:color w:val="auto"/>
                <w:kern w:val="2"/>
                <w:sz w:val="24"/>
                <w:szCs w:val="24"/>
                <w:lang w:bidi="ar"/>
              </w:rPr>
              <w:t>职称证书编号</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5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本项目担任</w:t>
            </w:r>
          </w:p>
          <w:p>
            <w:pPr>
              <w:spacing w:line="360" w:lineRule="auto"/>
              <w:jc w:val="center"/>
              <w:rPr>
                <w:rFonts w:cs="宋体"/>
                <w:color w:val="auto"/>
                <w:sz w:val="24"/>
                <w:szCs w:val="24"/>
              </w:rPr>
            </w:pPr>
            <w:r>
              <w:rPr>
                <w:rFonts w:hint="eastAsia" w:cs="宋体"/>
                <w:color w:val="auto"/>
                <w:kern w:val="2"/>
                <w:sz w:val="24"/>
                <w:szCs w:val="24"/>
                <w:lang w:bidi="ar"/>
              </w:rPr>
              <w:t>职务</w:t>
            </w:r>
          </w:p>
        </w:tc>
        <w:tc>
          <w:tcPr>
            <w:tcW w:w="263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宋体"/>
                <w:color w:val="auto"/>
                <w:sz w:val="24"/>
                <w:szCs w:val="24"/>
              </w:rPr>
            </w:pPr>
            <w:r>
              <w:rPr>
                <w:rFonts w:hint="eastAsia" w:cs="宋体"/>
                <w:color w:val="auto"/>
                <w:kern w:val="2"/>
                <w:sz w:val="24"/>
                <w:szCs w:val="24"/>
                <w:lang w:bidi="ar"/>
              </w:rPr>
              <w:t>执业资格证书编号</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52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宋体"/>
                <w:color w:val="auto"/>
                <w:sz w:val="24"/>
                <w:szCs w:val="24"/>
              </w:rPr>
            </w:pPr>
          </w:p>
        </w:tc>
        <w:tc>
          <w:tcPr>
            <w:tcW w:w="263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31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sz w:val="24"/>
                <w:szCs w:val="24"/>
                <w:lang w:bidi="ar"/>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建设单位</w:t>
            </w:r>
          </w:p>
        </w:tc>
        <w:tc>
          <w:tcPr>
            <w:tcW w:w="2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项目名称</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建设规模</w:t>
            </w:r>
          </w:p>
        </w:tc>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时间</w:t>
            </w:r>
          </w:p>
        </w:tc>
        <w:tc>
          <w:tcPr>
            <w:tcW w:w="16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r>
              <w:rPr>
                <w:rFonts w:hint="eastAsia" w:cs="宋体"/>
                <w:color w:val="auto"/>
                <w:kern w:val="2"/>
                <w:sz w:val="24"/>
                <w:szCs w:val="24"/>
                <w:lang w:bidi="ar"/>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2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6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2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6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2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6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2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c>
          <w:tcPr>
            <w:tcW w:w="16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color w:val="auto"/>
                <w:sz w:val="24"/>
                <w:szCs w:val="24"/>
              </w:rPr>
            </w:pPr>
          </w:p>
        </w:tc>
      </w:tr>
    </w:tbl>
    <w:p>
      <w:pPr>
        <w:spacing w:line="360" w:lineRule="auto"/>
        <w:ind w:right="-97" w:rightChars="-46"/>
        <w:rPr>
          <w:rFonts w:cs="宋体"/>
          <w:color w:val="auto"/>
          <w:sz w:val="24"/>
          <w:szCs w:val="24"/>
        </w:rPr>
      </w:pPr>
      <w:r>
        <w:rPr>
          <w:rFonts w:hint="eastAsia" w:cs="宋体"/>
          <w:color w:val="auto"/>
          <w:sz w:val="24"/>
          <w:szCs w:val="24"/>
          <w:lang w:bidi="ar"/>
        </w:rPr>
        <w:t>注：</w:t>
      </w:r>
    </w:p>
    <w:p>
      <w:pPr>
        <w:spacing w:line="360" w:lineRule="auto"/>
        <w:ind w:right="-97" w:rightChars="-46"/>
        <w:rPr>
          <w:rFonts w:cs="宋体"/>
          <w:color w:val="auto"/>
          <w:sz w:val="24"/>
          <w:szCs w:val="24"/>
        </w:rPr>
      </w:pPr>
      <w:r>
        <w:rPr>
          <w:rFonts w:hint="eastAsia" w:cs="宋体"/>
          <w:color w:val="auto"/>
          <w:sz w:val="24"/>
          <w:szCs w:val="24"/>
          <w:lang w:bidi="ar"/>
        </w:rPr>
        <w:t>表后须附身份证、职称证、执业资格证、获奖证书（如果有）复印件。</w:t>
      </w:r>
    </w:p>
    <w:p>
      <w:pPr>
        <w:pStyle w:val="26"/>
        <w:spacing w:beforeAutospacing="0" w:afterAutospacing="0" w:line="360" w:lineRule="auto"/>
        <w:jc w:val="both"/>
        <w:rPr>
          <w:rFonts w:cs="宋体"/>
          <w:b/>
          <w:color w:val="auto"/>
          <w:sz w:val="24"/>
          <w:szCs w:val="24"/>
        </w:rPr>
      </w:pPr>
      <w:r>
        <w:rPr>
          <w:rFonts w:hint="eastAsia" w:cs="宋体"/>
          <w:b/>
          <w:color w:val="auto"/>
          <w:sz w:val="24"/>
          <w:szCs w:val="24"/>
          <w:lang w:bidi="ar"/>
        </w:rPr>
        <w:br w:type="page"/>
      </w:r>
      <w:r>
        <w:rPr>
          <w:rFonts w:hint="eastAsia" w:cs="宋体"/>
          <w:b/>
          <w:color w:val="auto"/>
          <w:sz w:val="24"/>
          <w:szCs w:val="24"/>
        </w:rPr>
        <w:t xml:space="preserve">附表2：                  </w:t>
      </w:r>
    </w:p>
    <w:p>
      <w:pPr>
        <w:pStyle w:val="26"/>
        <w:spacing w:beforeAutospacing="0" w:after="240" w:afterLines="100" w:afterAutospacing="0" w:line="360" w:lineRule="auto"/>
        <w:jc w:val="center"/>
        <w:rPr>
          <w:rFonts w:cs="宋体"/>
          <w:b/>
          <w:color w:val="auto"/>
          <w:spacing w:val="11"/>
          <w:sz w:val="24"/>
          <w:szCs w:val="24"/>
        </w:rPr>
      </w:pPr>
      <w:r>
        <w:rPr>
          <w:rFonts w:hint="eastAsia" w:cs="宋体"/>
          <w:b/>
          <w:color w:val="auto"/>
          <w:spacing w:val="11"/>
          <w:kern w:val="2"/>
          <w:sz w:val="24"/>
          <w:szCs w:val="24"/>
          <w:lang w:bidi="ar"/>
        </w:rPr>
        <w:t>人员配备情况表</w:t>
      </w:r>
    </w:p>
    <w:tbl>
      <w:tblPr>
        <w:tblStyle w:val="30"/>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298"/>
        <w:gridCol w:w="597"/>
        <w:gridCol w:w="596"/>
        <w:gridCol w:w="597"/>
        <w:gridCol w:w="874"/>
        <w:gridCol w:w="1211"/>
        <w:gridCol w:w="783"/>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83" w:type="dxa"/>
            <w:tcMar>
              <w:top w:w="15" w:type="dxa"/>
              <w:left w:w="15" w:type="dxa"/>
              <w:bottom w:w="0" w:type="dxa"/>
              <w:right w:w="15" w:type="dxa"/>
            </w:tcMar>
            <w:vAlign w:val="center"/>
          </w:tcPr>
          <w:p>
            <w:pPr>
              <w:spacing w:line="360" w:lineRule="auto"/>
              <w:rPr>
                <w:rFonts w:cs="宋体"/>
                <w:b/>
                <w:color w:val="auto"/>
                <w:sz w:val="24"/>
                <w:szCs w:val="24"/>
              </w:rPr>
            </w:pPr>
            <w:r>
              <w:rPr>
                <w:rFonts w:hint="eastAsia" w:cs="宋体"/>
                <w:b/>
                <w:color w:val="auto"/>
                <w:sz w:val="24"/>
                <w:szCs w:val="24"/>
              </w:rPr>
              <w:t>序号</w:t>
            </w:r>
          </w:p>
        </w:tc>
        <w:tc>
          <w:tcPr>
            <w:tcW w:w="1298" w:type="dxa"/>
            <w:tcMar>
              <w:top w:w="15" w:type="dxa"/>
              <w:left w:w="15" w:type="dxa"/>
              <w:bottom w:w="0" w:type="dxa"/>
              <w:right w:w="15" w:type="dxa"/>
            </w:tcMar>
            <w:vAlign w:val="center"/>
          </w:tcPr>
          <w:p>
            <w:pPr>
              <w:spacing w:line="360" w:lineRule="auto"/>
              <w:rPr>
                <w:rFonts w:cs="宋体"/>
                <w:b/>
                <w:color w:val="auto"/>
                <w:sz w:val="24"/>
                <w:szCs w:val="24"/>
              </w:rPr>
            </w:pPr>
            <w:r>
              <w:rPr>
                <w:rFonts w:hint="eastAsia" w:cs="宋体"/>
                <w:b/>
                <w:color w:val="auto"/>
                <w:sz w:val="24"/>
                <w:szCs w:val="24"/>
              </w:rPr>
              <w:t>姓  名</w:t>
            </w:r>
          </w:p>
        </w:tc>
        <w:tc>
          <w:tcPr>
            <w:tcW w:w="597" w:type="dxa"/>
            <w:tcMar>
              <w:top w:w="15" w:type="dxa"/>
              <w:left w:w="15" w:type="dxa"/>
              <w:bottom w:w="0" w:type="dxa"/>
              <w:right w:w="15" w:type="dxa"/>
            </w:tcMar>
            <w:vAlign w:val="center"/>
          </w:tcPr>
          <w:p>
            <w:pPr>
              <w:spacing w:line="360" w:lineRule="auto"/>
              <w:rPr>
                <w:rFonts w:cs="宋体"/>
                <w:b/>
                <w:color w:val="auto"/>
                <w:sz w:val="24"/>
                <w:szCs w:val="24"/>
              </w:rPr>
            </w:pPr>
            <w:r>
              <w:rPr>
                <w:rFonts w:hint="eastAsia" w:cs="宋体"/>
                <w:b/>
                <w:color w:val="auto"/>
                <w:sz w:val="24"/>
                <w:szCs w:val="24"/>
              </w:rPr>
              <w:t>性别</w:t>
            </w:r>
          </w:p>
        </w:tc>
        <w:tc>
          <w:tcPr>
            <w:tcW w:w="596" w:type="dxa"/>
            <w:tcMar>
              <w:top w:w="15" w:type="dxa"/>
              <w:left w:w="15" w:type="dxa"/>
              <w:bottom w:w="0" w:type="dxa"/>
              <w:right w:w="15" w:type="dxa"/>
            </w:tcMar>
            <w:vAlign w:val="center"/>
          </w:tcPr>
          <w:p>
            <w:pPr>
              <w:spacing w:line="360" w:lineRule="auto"/>
              <w:rPr>
                <w:rFonts w:cs="宋体"/>
                <w:b/>
                <w:color w:val="auto"/>
                <w:sz w:val="24"/>
                <w:szCs w:val="24"/>
              </w:rPr>
            </w:pPr>
            <w:r>
              <w:rPr>
                <w:rFonts w:hint="eastAsia" w:cs="宋体"/>
                <w:b/>
                <w:color w:val="auto"/>
                <w:sz w:val="24"/>
                <w:szCs w:val="24"/>
              </w:rPr>
              <w:t>年龄</w:t>
            </w:r>
          </w:p>
        </w:tc>
        <w:tc>
          <w:tcPr>
            <w:tcW w:w="597" w:type="dxa"/>
            <w:tcMar>
              <w:top w:w="15" w:type="dxa"/>
              <w:left w:w="15" w:type="dxa"/>
              <w:bottom w:w="0" w:type="dxa"/>
              <w:right w:w="15" w:type="dxa"/>
            </w:tcMar>
            <w:vAlign w:val="center"/>
          </w:tcPr>
          <w:p>
            <w:pPr>
              <w:spacing w:line="360" w:lineRule="auto"/>
              <w:rPr>
                <w:rFonts w:cs="宋体"/>
                <w:b/>
                <w:color w:val="auto"/>
                <w:sz w:val="24"/>
                <w:szCs w:val="24"/>
              </w:rPr>
            </w:pPr>
            <w:r>
              <w:rPr>
                <w:rFonts w:hint="eastAsia" w:cs="宋体"/>
                <w:b/>
                <w:color w:val="auto"/>
                <w:sz w:val="24"/>
                <w:szCs w:val="24"/>
              </w:rPr>
              <w:t>学历</w:t>
            </w:r>
          </w:p>
        </w:tc>
        <w:tc>
          <w:tcPr>
            <w:tcW w:w="874" w:type="dxa"/>
            <w:tcMar>
              <w:top w:w="15" w:type="dxa"/>
              <w:left w:w="15" w:type="dxa"/>
              <w:bottom w:w="0" w:type="dxa"/>
              <w:right w:w="15" w:type="dxa"/>
            </w:tcMar>
            <w:vAlign w:val="center"/>
          </w:tcPr>
          <w:p>
            <w:pPr>
              <w:spacing w:line="360" w:lineRule="auto"/>
              <w:rPr>
                <w:rFonts w:cs="宋体"/>
                <w:b/>
                <w:color w:val="auto"/>
                <w:sz w:val="24"/>
                <w:szCs w:val="24"/>
              </w:rPr>
            </w:pPr>
            <w:r>
              <w:rPr>
                <w:rFonts w:hint="eastAsia" w:cs="宋体"/>
                <w:b/>
                <w:color w:val="auto"/>
                <w:sz w:val="24"/>
                <w:szCs w:val="24"/>
              </w:rPr>
              <w:t>技术</w:t>
            </w:r>
          </w:p>
          <w:p>
            <w:pPr>
              <w:spacing w:line="360" w:lineRule="auto"/>
              <w:rPr>
                <w:rFonts w:cs="宋体"/>
                <w:b/>
                <w:color w:val="auto"/>
                <w:sz w:val="24"/>
                <w:szCs w:val="24"/>
              </w:rPr>
            </w:pPr>
            <w:r>
              <w:rPr>
                <w:rFonts w:hint="eastAsia" w:cs="宋体"/>
                <w:b/>
                <w:color w:val="auto"/>
                <w:sz w:val="24"/>
                <w:szCs w:val="24"/>
              </w:rPr>
              <w:t>职称</w:t>
            </w:r>
          </w:p>
        </w:tc>
        <w:tc>
          <w:tcPr>
            <w:tcW w:w="1211" w:type="dxa"/>
            <w:tcMar>
              <w:top w:w="15" w:type="dxa"/>
              <w:left w:w="15" w:type="dxa"/>
              <w:bottom w:w="0" w:type="dxa"/>
              <w:right w:w="15" w:type="dxa"/>
            </w:tcMar>
          </w:tcPr>
          <w:p>
            <w:pPr>
              <w:spacing w:line="360" w:lineRule="auto"/>
              <w:rPr>
                <w:rFonts w:cs="宋体"/>
                <w:b/>
                <w:color w:val="auto"/>
                <w:sz w:val="24"/>
                <w:szCs w:val="24"/>
              </w:rPr>
            </w:pPr>
            <w:r>
              <w:rPr>
                <w:rFonts w:hint="eastAsia" w:cs="宋体"/>
                <w:b/>
                <w:color w:val="auto"/>
                <w:sz w:val="24"/>
                <w:szCs w:val="24"/>
              </w:rPr>
              <w:t>资格证</w:t>
            </w:r>
          </w:p>
          <w:p>
            <w:pPr>
              <w:spacing w:line="360" w:lineRule="auto"/>
              <w:rPr>
                <w:rFonts w:cs="宋体"/>
                <w:b/>
                <w:color w:val="auto"/>
                <w:sz w:val="24"/>
                <w:szCs w:val="24"/>
              </w:rPr>
            </w:pPr>
            <w:r>
              <w:rPr>
                <w:rFonts w:hint="eastAsia" w:cs="宋体"/>
                <w:b/>
                <w:color w:val="auto"/>
                <w:sz w:val="24"/>
                <w:szCs w:val="24"/>
              </w:rPr>
              <w:t>书种类</w:t>
            </w:r>
          </w:p>
        </w:tc>
        <w:tc>
          <w:tcPr>
            <w:tcW w:w="783" w:type="dxa"/>
            <w:tcMar>
              <w:top w:w="15" w:type="dxa"/>
              <w:left w:w="15" w:type="dxa"/>
              <w:bottom w:w="0" w:type="dxa"/>
              <w:right w:w="15" w:type="dxa"/>
            </w:tcMar>
            <w:vAlign w:val="center"/>
          </w:tcPr>
          <w:p>
            <w:pPr>
              <w:spacing w:line="360" w:lineRule="auto"/>
              <w:rPr>
                <w:rFonts w:cs="宋体"/>
                <w:b/>
                <w:color w:val="auto"/>
                <w:sz w:val="24"/>
                <w:szCs w:val="24"/>
              </w:rPr>
            </w:pPr>
            <w:r>
              <w:rPr>
                <w:rFonts w:hint="eastAsia" w:cs="宋体"/>
                <w:b/>
                <w:color w:val="auto"/>
                <w:sz w:val="24"/>
                <w:szCs w:val="24"/>
              </w:rPr>
              <w:t>工作</w:t>
            </w:r>
          </w:p>
          <w:p>
            <w:pPr>
              <w:spacing w:line="360" w:lineRule="auto"/>
              <w:rPr>
                <w:rFonts w:cs="宋体"/>
                <w:b/>
                <w:color w:val="auto"/>
                <w:sz w:val="24"/>
                <w:szCs w:val="24"/>
              </w:rPr>
            </w:pPr>
            <w:r>
              <w:rPr>
                <w:rFonts w:hint="eastAsia" w:cs="宋体"/>
                <w:b/>
                <w:color w:val="auto"/>
                <w:sz w:val="24"/>
                <w:szCs w:val="24"/>
              </w:rPr>
              <w:t>年限</w:t>
            </w:r>
          </w:p>
        </w:tc>
        <w:tc>
          <w:tcPr>
            <w:tcW w:w="1965" w:type="dxa"/>
            <w:tcMar>
              <w:top w:w="15" w:type="dxa"/>
              <w:left w:w="15" w:type="dxa"/>
              <w:bottom w:w="0" w:type="dxa"/>
              <w:right w:w="15" w:type="dxa"/>
            </w:tcMar>
            <w:vAlign w:val="center"/>
          </w:tcPr>
          <w:p>
            <w:pPr>
              <w:spacing w:line="360" w:lineRule="auto"/>
              <w:rPr>
                <w:rFonts w:cs="宋体"/>
                <w:b/>
                <w:color w:val="auto"/>
                <w:sz w:val="24"/>
                <w:szCs w:val="24"/>
              </w:rPr>
            </w:pPr>
            <w:r>
              <w:rPr>
                <w:rFonts w:hint="eastAsia" w:cs="宋体"/>
                <w:b/>
                <w:color w:val="auto"/>
                <w:sz w:val="24"/>
                <w:szCs w:val="24"/>
              </w:rPr>
              <w:t>拟担任的职务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83" w:type="dxa"/>
            <w:tcMar>
              <w:top w:w="15" w:type="dxa"/>
              <w:left w:w="15" w:type="dxa"/>
              <w:bottom w:w="0" w:type="dxa"/>
              <w:right w:w="15" w:type="dxa"/>
            </w:tcMar>
            <w:vAlign w:val="bottom"/>
          </w:tcPr>
          <w:p>
            <w:pPr>
              <w:spacing w:line="360" w:lineRule="auto"/>
              <w:rPr>
                <w:rFonts w:cs="宋体"/>
                <w:color w:val="auto"/>
                <w:sz w:val="24"/>
                <w:szCs w:val="24"/>
              </w:rPr>
            </w:pPr>
          </w:p>
        </w:tc>
        <w:tc>
          <w:tcPr>
            <w:tcW w:w="1298"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596" w:type="dxa"/>
            <w:tcMar>
              <w:top w:w="15" w:type="dxa"/>
              <w:left w:w="15" w:type="dxa"/>
              <w:bottom w:w="0" w:type="dxa"/>
              <w:right w:w="15" w:type="dxa"/>
            </w:tcMar>
            <w:vAlign w:val="bottom"/>
          </w:tcPr>
          <w:p>
            <w:pPr>
              <w:spacing w:line="360" w:lineRule="auto"/>
              <w:rPr>
                <w:rFonts w:cs="宋体"/>
                <w:color w:val="auto"/>
                <w:sz w:val="24"/>
                <w:szCs w:val="24"/>
              </w:rPr>
            </w:pPr>
          </w:p>
        </w:tc>
        <w:tc>
          <w:tcPr>
            <w:tcW w:w="597" w:type="dxa"/>
            <w:tcMar>
              <w:top w:w="15" w:type="dxa"/>
              <w:left w:w="15" w:type="dxa"/>
              <w:bottom w:w="0" w:type="dxa"/>
              <w:right w:w="15" w:type="dxa"/>
            </w:tcMar>
            <w:vAlign w:val="bottom"/>
          </w:tcPr>
          <w:p>
            <w:pPr>
              <w:spacing w:line="360" w:lineRule="auto"/>
              <w:rPr>
                <w:rFonts w:cs="宋体"/>
                <w:color w:val="auto"/>
                <w:sz w:val="24"/>
                <w:szCs w:val="24"/>
              </w:rPr>
            </w:pPr>
          </w:p>
        </w:tc>
        <w:tc>
          <w:tcPr>
            <w:tcW w:w="874" w:type="dxa"/>
            <w:tcMar>
              <w:top w:w="15" w:type="dxa"/>
              <w:left w:w="15" w:type="dxa"/>
              <w:bottom w:w="0" w:type="dxa"/>
              <w:right w:w="15" w:type="dxa"/>
            </w:tcMar>
            <w:vAlign w:val="bottom"/>
          </w:tcPr>
          <w:p>
            <w:pPr>
              <w:spacing w:line="360" w:lineRule="auto"/>
              <w:rPr>
                <w:rFonts w:cs="宋体"/>
                <w:color w:val="auto"/>
                <w:sz w:val="24"/>
                <w:szCs w:val="24"/>
              </w:rPr>
            </w:pPr>
          </w:p>
        </w:tc>
        <w:tc>
          <w:tcPr>
            <w:tcW w:w="1211" w:type="dxa"/>
            <w:tcMar>
              <w:top w:w="15" w:type="dxa"/>
              <w:left w:w="15" w:type="dxa"/>
              <w:bottom w:w="0" w:type="dxa"/>
              <w:right w:w="15" w:type="dxa"/>
            </w:tcMar>
          </w:tcPr>
          <w:p>
            <w:pPr>
              <w:spacing w:line="360" w:lineRule="auto"/>
              <w:rPr>
                <w:rFonts w:cs="宋体"/>
                <w:color w:val="auto"/>
                <w:sz w:val="24"/>
                <w:szCs w:val="24"/>
              </w:rPr>
            </w:pPr>
          </w:p>
        </w:tc>
        <w:tc>
          <w:tcPr>
            <w:tcW w:w="783" w:type="dxa"/>
            <w:tcMar>
              <w:top w:w="15" w:type="dxa"/>
              <w:left w:w="15" w:type="dxa"/>
              <w:bottom w:w="0" w:type="dxa"/>
              <w:right w:w="15" w:type="dxa"/>
            </w:tcMar>
            <w:vAlign w:val="bottom"/>
          </w:tcPr>
          <w:p>
            <w:pPr>
              <w:spacing w:line="360" w:lineRule="auto"/>
              <w:rPr>
                <w:rFonts w:cs="宋体"/>
                <w:color w:val="auto"/>
                <w:sz w:val="24"/>
                <w:szCs w:val="24"/>
              </w:rPr>
            </w:pPr>
          </w:p>
        </w:tc>
        <w:tc>
          <w:tcPr>
            <w:tcW w:w="1965" w:type="dxa"/>
            <w:tcMar>
              <w:top w:w="15" w:type="dxa"/>
              <w:left w:w="15" w:type="dxa"/>
              <w:bottom w:w="0" w:type="dxa"/>
              <w:right w:w="15" w:type="dxa"/>
            </w:tcMar>
            <w:vAlign w:val="bottom"/>
          </w:tcPr>
          <w:p>
            <w:pPr>
              <w:spacing w:line="360" w:lineRule="auto"/>
              <w:rPr>
                <w:rFonts w:cs="宋体"/>
                <w:color w:val="auto"/>
                <w:sz w:val="24"/>
                <w:szCs w:val="24"/>
              </w:rPr>
            </w:pPr>
          </w:p>
        </w:tc>
      </w:tr>
    </w:tbl>
    <w:p>
      <w:pPr>
        <w:spacing w:line="360" w:lineRule="auto"/>
        <w:ind w:right="-214" w:rightChars="-102"/>
        <w:rPr>
          <w:rFonts w:cs="宋体"/>
          <w:color w:val="auto"/>
          <w:sz w:val="24"/>
          <w:szCs w:val="24"/>
        </w:rPr>
      </w:pPr>
    </w:p>
    <w:p>
      <w:pPr>
        <w:autoSpaceDE w:val="0"/>
        <w:autoSpaceDN w:val="0"/>
        <w:adjustRightInd w:val="0"/>
        <w:spacing w:line="360" w:lineRule="auto"/>
        <w:jc w:val="left"/>
        <w:rPr>
          <w:rFonts w:cs="宋体"/>
          <w:b/>
          <w:color w:val="auto"/>
          <w:spacing w:val="4"/>
          <w:kern w:val="2"/>
          <w:sz w:val="24"/>
          <w:szCs w:val="24"/>
          <w:lang w:bidi="ar"/>
        </w:rPr>
      </w:pPr>
    </w:p>
    <w:p>
      <w:pPr>
        <w:autoSpaceDE w:val="0"/>
        <w:autoSpaceDN w:val="0"/>
        <w:adjustRightInd w:val="0"/>
        <w:spacing w:line="360" w:lineRule="auto"/>
        <w:jc w:val="left"/>
        <w:rPr>
          <w:rFonts w:cs="宋体"/>
          <w:b/>
          <w:color w:val="auto"/>
          <w:spacing w:val="4"/>
          <w:kern w:val="2"/>
          <w:sz w:val="24"/>
          <w:szCs w:val="24"/>
          <w:lang w:bidi="ar"/>
        </w:rPr>
      </w:pPr>
    </w:p>
    <w:p>
      <w:pPr>
        <w:autoSpaceDE w:val="0"/>
        <w:autoSpaceDN w:val="0"/>
        <w:adjustRightInd w:val="0"/>
        <w:spacing w:line="360" w:lineRule="auto"/>
        <w:jc w:val="left"/>
        <w:rPr>
          <w:rFonts w:cs="宋体"/>
          <w:b/>
          <w:color w:val="auto"/>
          <w:spacing w:val="4"/>
          <w:kern w:val="2"/>
          <w:sz w:val="24"/>
          <w:szCs w:val="24"/>
          <w:lang w:bidi="ar"/>
        </w:rPr>
      </w:pPr>
    </w:p>
    <w:p>
      <w:pPr>
        <w:autoSpaceDE w:val="0"/>
        <w:autoSpaceDN w:val="0"/>
        <w:adjustRightInd w:val="0"/>
        <w:spacing w:line="360" w:lineRule="auto"/>
        <w:jc w:val="left"/>
        <w:rPr>
          <w:rFonts w:cs="宋体"/>
          <w:b/>
          <w:color w:val="auto"/>
          <w:spacing w:val="4"/>
          <w:kern w:val="2"/>
          <w:sz w:val="24"/>
          <w:szCs w:val="24"/>
          <w:lang w:bidi="ar"/>
        </w:rPr>
      </w:pPr>
      <w:r>
        <w:rPr>
          <w:rFonts w:hint="eastAsia" w:cs="宋体"/>
          <w:b/>
          <w:color w:val="auto"/>
          <w:spacing w:val="4"/>
          <w:kern w:val="2"/>
          <w:sz w:val="24"/>
          <w:szCs w:val="24"/>
          <w:lang w:bidi="ar"/>
        </w:rPr>
        <w:t>附表3：</w:t>
      </w:r>
    </w:p>
    <w:p>
      <w:pPr>
        <w:autoSpaceDE w:val="0"/>
        <w:autoSpaceDN w:val="0"/>
        <w:adjustRightInd w:val="0"/>
        <w:spacing w:line="360" w:lineRule="auto"/>
        <w:jc w:val="center"/>
        <w:rPr>
          <w:rFonts w:cs="宋体"/>
          <w:b/>
          <w:color w:val="auto"/>
          <w:sz w:val="24"/>
          <w:szCs w:val="24"/>
          <w:lang w:val="zh-CN"/>
        </w:rPr>
      </w:pPr>
      <w:r>
        <w:rPr>
          <w:rFonts w:hint="eastAsia" w:cs="宋体"/>
          <w:b/>
          <w:color w:val="auto"/>
          <w:sz w:val="24"/>
          <w:szCs w:val="24"/>
          <w:lang w:val="zh-CN" w:bidi="ar"/>
        </w:rPr>
        <w:t>业绩汇总表</w:t>
      </w:r>
    </w:p>
    <w:p>
      <w:pPr>
        <w:autoSpaceDE w:val="0"/>
        <w:autoSpaceDN w:val="0"/>
        <w:adjustRightInd w:val="0"/>
        <w:spacing w:line="360" w:lineRule="auto"/>
        <w:jc w:val="center"/>
        <w:rPr>
          <w:rFonts w:cs="宋体"/>
          <w:color w:val="auto"/>
          <w:sz w:val="24"/>
          <w:szCs w:val="24"/>
        </w:rPr>
      </w:pPr>
      <w:r>
        <w:rPr>
          <w:rFonts w:hint="eastAsia" w:cs="宋体"/>
          <w:color w:val="auto"/>
          <w:sz w:val="24"/>
          <w:szCs w:val="24"/>
          <w:lang w:bidi="ar"/>
        </w:rPr>
        <w:t>（2019年1月1日以来类似的项目业绩）</w:t>
      </w:r>
    </w:p>
    <w:tbl>
      <w:tblPr>
        <w:tblStyle w:val="3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1391"/>
        <w:gridCol w:w="1133"/>
        <w:gridCol w:w="1627"/>
        <w:gridCol w:w="1572"/>
        <w:gridCol w:w="1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r>
              <w:rPr>
                <w:rFonts w:hint="eastAsia" w:cs="宋体"/>
                <w:bCs/>
                <w:color w:val="auto"/>
                <w:sz w:val="24"/>
                <w:szCs w:val="24"/>
                <w:lang w:bidi="ar"/>
              </w:rPr>
              <w:t>序号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r>
              <w:rPr>
                <w:rFonts w:hint="eastAsia" w:cs="宋体"/>
                <w:bCs/>
                <w:color w:val="auto"/>
                <w:sz w:val="24"/>
                <w:szCs w:val="24"/>
                <w:lang w:bidi="ar"/>
              </w:rPr>
              <w:t>项目名称</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r>
              <w:rPr>
                <w:rFonts w:hint="eastAsia" w:cs="宋体"/>
                <w:bCs/>
                <w:color w:val="auto"/>
                <w:sz w:val="24"/>
                <w:szCs w:val="24"/>
                <w:lang w:bidi="ar"/>
              </w:rPr>
              <w:t>金额</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r>
              <w:rPr>
                <w:rFonts w:hint="eastAsia" w:cs="宋体"/>
                <w:bCs/>
                <w:color w:val="auto"/>
                <w:sz w:val="24"/>
                <w:szCs w:val="24"/>
                <w:lang w:bidi="ar"/>
              </w:rPr>
              <w:t>执行时间</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r>
              <w:rPr>
                <w:rFonts w:hint="eastAsia" w:cs="宋体"/>
                <w:bCs/>
                <w:color w:val="auto"/>
                <w:sz w:val="24"/>
                <w:szCs w:val="24"/>
                <w:lang w:bidi="ar"/>
              </w:rPr>
              <w:t>采购内容</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r>
              <w:rPr>
                <w:rFonts w:hint="eastAsia" w:cs="宋体"/>
                <w:bCs/>
                <w:color w:val="auto"/>
                <w:sz w:val="24"/>
                <w:szCs w:val="24"/>
                <w:lang w:bidi="ar"/>
              </w:rPr>
              <w:t>甲方联系人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jc w:val="center"/>
              <w:rPr>
                <w:rFonts w:cs="宋体"/>
                <w:bCs/>
                <w:color w:val="auto"/>
                <w:sz w:val="24"/>
                <w:szCs w:val="24"/>
              </w:rPr>
            </w:pPr>
          </w:p>
        </w:tc>
      </w:tr>
    </w:tbl>
    <w:p>
      <w:pPr>
        <w:spacing w:before="153" w:line="360" w:lineRule="auto"/>
        <w:rPr>
          <w:rFonts w:cs="宋体"/>
          <w:b/>
          <w:color w:val="auto"/>
          <w:sz w:val="24"/>
          <w:szCs w:val="24"/>
        </w:rPr>
      </w:pPr>
      <w:r>
        <w:rPr>
          <w:rFonts w:hint="eastAsia" w:cs="宋体"/>
          <w:b/>
          <w:color w:val="auto"/>
          <w:sz w:val="24"/>
          <w:szCs w:val="24"/>
          <w:lang w:bidi="ar"/>
        </w:rPr>
        <w:t>注：请附加盖公章的采购合同复印件。</w:t>
      </w:r>
    </w:p>
    <w:p>
      <w:pPr>
        <w:spacing w:line="360" w:lineRule="auto"/>
        <w:ind w:firstLine="480" w:firstLineChars="200"/>
        <w:rPr>
          <w:rFonts w:cs="宋体"/>
          <w:color w:val="auto"/>
          <w:spacing w:val="4"/>
          <w:sz w:val="24"/>
          <w:szCs w:val="24"/>
        </w:rPr>
      </w:pPr>
      <w:r>
        <w:rPr>
          <w:rFonts w:hint="eastAsia" w:cs="宋体"/>
          <w:color w:val="auto"/>
          <w:sz w:val="24"/>
          <w:szCs w:val="24"/>
        </w:rPr>
        <w:t xml:space="preserve"> </w:t>
      </w:r>
    </w:p>
    <w:p>
      <w:pPr>
        <w:spacing w:line="360" w:lineRule="auto"/>
        <w:rPr>
          <w:rFonts w:cs="宋体"/>
          <w:color w:val="auto"/>
          <w:sz w:val="24"/>
          <w:szCs w:val="24"/>
        </w:rPr>
      </w:pPr>
    </w:p>
    <w:p>
      <w:pPr>
        <w:pStyle w:val="4"/>
        <w:spacing w:line="360" w:lineRule="auto"/>
        <w:rPr>
          <w:rFonts w:ascii="宋体" w:hAnsi="宋体" w:cs="宋体"/>
          <w:color w:val="auto"/>
          <w:sz w:val="24"/>
          <w:szCs w:val="24"/>
        </w:rPr>
      </w:pPr>
      <w:r>
        <w:rPr>
          <w:rFonts w:hint="eastAsia" w:ascii="宋体" w:hAnsi="宋体" w:cs="宋体"/>
          <w:color w:val="auto"/>
          <w:sz w:val="24"/>
          <w:szCs w:val="24"/>
        </w:rPr>
        <w:br w:type="page"/>
      </w:r>
      <w:bookmarkStart w:id="214" w:name="_Toc4931"/>
      <w:bookmarkStart w:id="215" w:name="_Toc32197"/>
      <w:bookmarkStart w:id="216" w:name="_Toc23752"/>
      <w:bookmarkStart w:id="217" w:name="_Toc3362"/>
      <w:r>
        <w:rPr>
          <w:rFonts w:hint="eastAsia" w:ascii="宋体" w:hAnsi="宋体" w:cs="宋体"/>
          <w:color w:val="auto"/>
          <w:sz w:val="24"/>
          <w:szCs w:val="24"/>
        </w:rPr>
        <w:t>四、</w:t>
      </w:r>
      <w:bookmarkEnd w:id="214"/>
      <w:r>
        <w:rPr>
          <w:rFonts w:hint="eastAsia" w:ascii="宋体" w:hAnsi="宋体" w:cs="宋体"/>
          <w:color w:val="auto"/>
          <w:sz w:val="24"/>
          <w:szCs w:val="24"/>
        </w:rPr>
        <w:t>商务响应说明</w:t>
      </w:r>
      <w:bookmarkEnd w:id="215"/>
    </w:p>
    <w:bookmarkEnd w:id="216"/>
    <w:bookmarkEnd w:id="217"/>
    <w:tbl>
      <w:tblPr>
        <w:tblStyle w:val="30"/>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431"/>
        <w:gridCol w:w="1845"/>
        <w:gridCol w:w="140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序号</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招标文件的商务条款</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投标文件的商务条款</w:t>
            </w:r>
          </w:p>
        </w:tc>
        <w:tc>
          <w:tcPr>
            <w:tcW w:w="1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偏离</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1</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color w:val="auto"/>
                <w:sz w:val="21"/>
                <w:szCs w:val="21"/>
              </w:rPr>
            </w:pPr>
            <w:r>
              <w:rPr>
                <w:rFonts w:hint="eastAsia" w:cs="宋体"/>
                <w:b/>
                <w:color w:val="auto"/>
                <w:sz w:val="21"/>
                <w:szCs w:val="21"/>
              </w:rPr>
              <w:t>项目实施地点：</w:t>
            </w:r>
            <w:r>
              <w:rPr>
                <w:rFonts w:hint="eastAsia" w:cs="宋体"/>
                <w:bCs/>
                <w:color w:val="auto"/>
                <w:sz w:val="21"/>
                <w:szCs w:val="21"/>
              </w:rPr>
              <w:t>采购人指定地点</w:t>
            </w:r>
            <w:r>
              <w:rPr>
                <w:rFonts w:hint="eastAsia" w:cs="宋体"/>
                <w:color w:val="auto"/>
                <w:sz w:val="21"/>
                <w:szCs w:val="21"/>
                <w:lang w:val="en-US" w:eastAsia="zh-CN"/>
              </w:rPr>
              <w:t xml:space="preserve">                    </w:t>
            </w:r>
            <w:r>
              <w:rPr>
                <w:rFonts w:hint="eastAsia" w:cs="宋体"/>
                <w:color w:val="auto"/>
                <w:sz w:val="21"/>
                <w:szCs w:val="21"/>
              </w:rPr>
              <w:t xml:space="preserve"> </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2</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color w:val="auto"/>
                <w:sz w:val="21"/>
                <w:szCs w:val="21"/>
              </w:rPr>
            </w:pPr>
            <w:r>
              <w:rPr>
                <w:rFonts w:hint="eastAsia" w:cs="宋体"/>
                <w:b/>
                <w:color w:val="auto"/>
                <w:sz w:val="21"/>
                <w:szCs w:val="21"/>
              </w:rPr>
              <w:t>服务期：</w:t>
            </w:r>
            <w:r>
              <w:rPr>
                <w:rFonts w:hint="eastAsia" w:cs="宋体"/>
                <w:b w:val="0"/>
                <w:bCs/>
                <w:color w:val="auto"/>
                <w:sz w:val="21"/>
                <w:szCs w:val="21"/>
                <w:highlight w:val="none"/>
                <w:lang w:val="en-US" w:eastAsia="zh-CN"/>
              </w:rPr>
              <w:t>合同签订后30天内完成平台的安装、调试， 服务期为完成安装调试后一年。</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5"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3</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b/>
                <w:color w:val="auto"/>
                <w:sz w:val="21"/>
                <w:szCs w:val="21"/>
              </w:rPr>
            </w:pPr>
            <w:r>
              <w:rPr>
                <w:rFonts w:hint="eastAsia" w:cs="宋体"/>
                <w:b/>
                <w:color w:val="auto"/>
                <w:sz w:val="21"/>
                <w:szCs w:val="21"/>
              </w:rPr>
              <w:t>付款：</w:t>
            </w:r>
          </w:p>
          <w:p>
            <w:pPr>
              <w:spacing w:line="360" w:lineRule="auto"/>
              <w:jc w:val="left"/>
              <w:rPr>
                <w:rFonts w:cs="宋体"/>
                <w:color w:val="auto"/>
                <w:sz w:val="21"/>
                <w:szCs w:val="21"/>
              </w:rPr>
            </w:pPr>
            <w:r>
              <w:rPr>
                <w:rFonts w:hint="eastAsia" w:cs="宋体"/>
                <w:color w:val="auto"/>
                <w:sz w:val="21"/>
                <w:szCs w:val="21"/>
              </w:rPr>
              <w:t>1.合同总价即中标价，不受市场价变化或实际工作量变化的影响，如需调整将在补充协议条款中具体明确。</w:t>
            </w:r>
          </w:p>
          <w:p>
            <w:pPr>
              <w:spacing w:line="360" w:lineRule="auto"/>
              <w:jc w:val="left"/>
              <w:rPr>
                <w:rFonts w:cs="宋体"/>
                <w:color w:val="auto"/>
                <w:sz w:val="21"/>
                <w:szCs w:val="21"/>
              </w:rPr>
            </w:pPr>
            <w:r>
              <w:rPr>
                <w:rFonts w:hint="eastAsia" w:cs="宋体"/>
                <w:color w:val="auto"/>
                <w:sz w:val="21"/>
                <w:szCs w:val="21"/>
              </w:rPr>
              <w:t>2.付款方式和程序：</w:t>
            </w:r>
          </w:p>
          <w:p>
            <w:pPr>
              <w:spacing w:line="360" w:lineRule="auto"/>
              <w:jc w:val="left"/>
              <w:rPr>
                <w:rFonts w:cs="宋体"/>
                <w:color w:val="auto"/>
                <w:sz w:val="21"/>
                <w:szCs w:val="21"/>
              </w:rPr>
            </w:pPr>
            <w:r>
              <w:rPr>
                <w:rFonts w:hint="eastAsia" w:cs="宋体"/>
                <w:color w:val="auto"/>
                <w:sz w:val="21"/>
                <w:szCs w:val="21"/>
              </w:rPr>
              <w:t>2.1由采购人负责结算，在付款前，供应商必须开具发票给采购人。</w:t>
            </w:r>
          </w:p>
          <w:p>
            <w:pPr>
              <w:spacing w:line="360" w:lineRule="auto"/>
              <w:jc w:val="left"/>
              <w:rPr>
                <w:rFonts w:cs="宋体"/>
                <w:b/>
                <w:color w:val="auto"/>
                <w:sz w:val="21"/>
                <w:szCs w:val="21"/>
              </w:rPr>
            </w:pPr>
            <w:r>
              <w:rPr>
                <w:rFonts w:hint="eastAsia" w:cs="宋体"/>
                <w:b/>
                <w:color w:val="auto"/>
                <w:sz w:val="21"/>
                <w:szCs w:val="21"/>
              </w:rPr>
              <w:t>2.2付款方式：</w:t>
            </w:r>
          </w:p>
          <w:p>
            <w:pPr>
              <w:spacing w:line="360" w:lineRule="auto"/>
              <w:jc w:val="left"/>
              <w:rPr>
                <w:rFonts w:hint="eastAsia" w:cs="宋体"/>
                <w:bCs/>
                <w:color w:val="auto"/>
                <w:sz w:val="21"/>
                <w:szCs w:val="21"/>
                <w:highlight w:val="none"/>
                <w:lang w:val="en-US" w:eastAsia="zh-CN"/>
              </w:rPr>
            </w:pPr>
            <w:r>
              <w:rPr>
                <w:rFonts w:hint="eastAsia" w:cs="宋体"/>
                <w:bCs/>
                <w:color w:val="auto"/>
                <w:sz w:val="21"/>
                <w:szCs w:val="21"/>
                <w:highlight w:val="none"/>
              </w:rPr>
              <w:t>2.2.1付款方式：</w:t>
            </w:r>
            <w:r>
              <w:rPr>
                <w:rFonts w:hint="eastAsia" w:cs="宋体"/>
                <w:bCs/>
                <w:color w:val="auto"/>
                <w:sz w:val="21"/>
                <w:szCs w:val="21"/>
                <w:highlight w:val="none"/>
                <w:lang w:val="en-US" w:eastAsia="zh-CN"/>
              </w:rPr>
              <w:t xml:space="preserve"> </w:t>
            </w:r>
          </w:p>
          <w:p>
            <w:pPr>
              <w:spacing w:line="360" w:lineRule="auto"/>
              <w:jc w:val="left"/>
              <w:rPr>
                <w:rFonts w:hint="default" w:cs="宋体"/>
                <w:color w:val="auto"/>
                <w:sz w:val="21"/>
                <w:szCs w:val="21"/>
                <w:lang w:val="en-US" w:eastAsia="zh-CN"/>
              </w:rPr>
            </w:pPr>
            <w:r>
              <w:rPr>
                <w:rFonts w:hint="eastAsia" w:cs="宋体"/>
                <w:color w:val="auto"/>
                <w:sz w:val="21"/>
                <w:szCs w:val="21"/>
                <w:lang w:eastAsia="zh-CN"/>
              </w:rPr>
              <w:t>合同签署后5个工作日</w:t>
            </w:r>
            <w:r>
              <w:rPr>
                <w:rFonts w:hint="eastAsia" w:cs="宋体"/>
                <w:color w:val="auto"/>
                <w:sz w:val="21"/>
                <w:szCs w:val="21"/>
                <w:lang w:val="en-US" w:eastAsia="zh-CN"/>
              </w:rPr>
              <w:t>内，支付合同价款的30%，硬件设备进场后5个工作日，支付合同价款的15%，系统交付试运行后5个工作日，支付合同价款的45%，系统在交付后运行90个自然日（无任何重大事故）后在客户签字确认后5个工作日，支付合同价款的10%。</w:t>
            </w:r>
          </w:p>
          <w:p>
            <w:pPr>
              <w:spacing w:line="360" w:lineRule="auto"/>
              <w:jc w:val="left"/>
              <w:rPr>
                <w:rFonts w:cs="宋体"/>
                <w:color w:val="auto"/>
                <w:sz w:val="21"/>
                <w:szCs w:val="21"/>
              </w:rPr>
            </w:pPr>
            <w:r>
              <w:rPr>
                <w:rFonts w:hint="eastAsia" w:cs="宋体"/>
                <w:bCs/>
                <w:color w:val="auto"/>
                <w:sz w:val="21"/>
                <w:szCs w:val="21"/>
              </w:rPr>
              <w:t>2.2.2支付方式：银行转账。</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4</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
                <w:color w:val="auto"/>
                <w:sz w:val="21"/>
                <w:szCs w:val="21"/>
              </w:rPr>
            </w:pPr>
            <w:r>
              <w:rPr>
                <w:rFonts w:hint="eastAsia" w:cs="宋体"/>
                <w:b/>
                <w:color w:val="auto"/>
                <w:sz w:val="21"/>
                <w:szCs w:val="21"/>
              </w:rPr>
              <w:t>质量保证：</w:t>
            </w:r>
          </w:p>
          <w:p>
            <w:pPr>
              <w:spacing w:line="360" w:lineRule="auto"/>
              <w:rPr>
                <w:rFonts w:cs="宋体"/>
                <w:bCs/>
                <w:color w:val="auto"/>
                <w:sz w:val="21"/>
                <w:szCs w:val="21"/>
              </w:rPr>
            </w:pPr>
            <w:r>
              <w:rPr>
                <w:rFonts w:hint="eastAsia" w:cs="宋体"/>
                <w:bCs/>
                <w:color w:val="auto"/>
                <w:sz w:val="21"/>
                <w:szCs w:val="21"/>
              </w:rPr>
              <w:t>1、质量要求：</w:t>
            </w:r>
            <w:r>
              <w:rPr>
                <w:rFonts w:hint="eastAsia" w:cs="宋体"/>
                <w:color w:val="auto"/>
                <w:sz w:val="21"/>
                <w:szCs w:val="21"/>
              </w:rPr>
              <w:t>符合国家及行业质量验收合格标准。</w:t>
            </w:r>
          </w:p>
          <w:p>
            <w:pPr>
              <w:spacing w:line="360" w:lineRule="auto"/>
              <w:rPr>
                <w:rFonts w:cs="宋体"/>
                <w:bCs/>
                <w:color w:val="auto"/>
                <w:sz w:val="21"/>
                <w:szCs w:val="21"/>
              </w:rPr>
            </w:pPr>
            <w:r>
              <w:rPr>
                <w:rFonts w:hint="eastAsia" w:cs="宋体"/>
                <w:bCs/>
                <w:color w:val="auto"/>
                <w:sz w:val="21"/>
                <w:szCs w:val="21"/>
              </w:rPr>
              <w:t>2、在服务范围内按工作内容和要求制定详细的方案，方案科学、合理、可靠。</w:t>
            </w:r>
          </w:p>
          <w:p>
            <w:pPr>
              <w:spacing w:line="360" w:lineRule="auto"/>
              <w:rPr>
                <w:rFonts w:cs="宋体"/>
                <w:bCs/>
                <w:color w:val="auto"/>
                <w:sz w:val="21"/>
                <w:szCs w:val="21"/>
              </w:rPr>
            </w:pPr>
            <w:r>
              <w:rPr>
                <w:rFonts w:hint="eastAsia" w:cs="宋体"/>
                <w:bCs/>
                <w:color w:val="auto"/>
                <w:sz w:val="21"/>
                <w:szCs w:val="21"/>
              </w:rPr>
              <w:t>3、技术队伍配备合理。有针对本项目的专项服务小组，项目负责人、工作人员分工明确。</w:t>
            </w:r>
          </w:p>
          <w:p>
            <w:pPr>
              <w:spacing w:line="360" w:lineRule="auto"/>
              <w:jc w:val="left"/>
              <w:rPr>
                <w:rFonts w:cs="宋体"/>
                <w:color w:val="auto"/>
                <w:sz w:val="21"/>
                <w:szCs w:val="21"/>
              </w:rPr>
            </w:pPr>
            <w:r>
              <w:rPr>
                <w:rFonts w:hint="eastAsia" w:cs="宋体"/>
                <w:bCs/>
                <w:color w:val="auto"/>
                <w:sz w:val="21"/>
                <w:szCs w:val="21"/>
              </w:rPr>
              <w:t>4、有各类突发事件的应急预案和措施，有明确具体的承诺。</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5</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color w:val="auto"/>
                <w:sz w:val="21"/>
                <w:szCs w:val="21"/>
              </w:rPr>
            </w:pPr>
            <w:r>
              <w:rPr>
                <w:rFonts w:hint="eastAsia" w:cs="宋体"/>
                <w:b/>
                <w:color w:val="auto"/>
                <w:sz w:val="21"/>
                <w:szCs w:val="21"/>
              </w:rPr>
              <w:t>知识产权：</w:t>
            </w:r>
          </w:p>
          <w:p>
            <w:pPr>
              <w:spacing w:line="360" w:lineRule="auto"/>
              <w:jc w:val="left"/>
              <w:rPr>
                <w:rFonts w:cs="宋体"/>
                <w:color w:val="auto"/>
                <w:sz w:val="21"/>
                <w:szCs w:val="21"/>
              </w:rPr>
            </w:pPr>
            <w:r>
              <w:rPr>
                <w:rFonts w:hint="eastAsia" w:cs="宋体"/>
                <w:color w:val="auto"/>
                <w:sz w:val="21"/>
                <w:szCs w:val="21"/>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3"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6</w:t>
            </w:r>
          </w:p>
        </w:tc>
        <w:tc>
          <w:tcPr>
            <w:tcW w:w="3431" w:type="dxa"/>
            <w:tcBorders>
              <w:top w:val="single" w:color="auto" w:sz="4" w:space="0"/>
              <w:left w:val="single" w:color="auto" w:sz="4" w:space="0"/>
              <w:bottom w:val="single" w:color="auto" w:sz="4" w:space="0"/>
              <w:right w:val="single" w:color="auto" w:sz="4" w:space="0"/>
            </w:tcBorders>
            <w:vAlign w:val="center"/>
          </w:tcPr>
          <w:p>
            <w:pPr>
              <w:tabs>
                <w:tab w:val="left" w:pos="152"/>
              </w:tabs>
              <w:spacing w:line="360" w:lineRule="auto"/>
              <w:rPr>
                <w:rFonts w:cs="宋体"/>
                <w:b/>
                <w:bCs/>
                <w:color w:val="auto"/>
                <w:sz w:val="21"/>
                <w:szCs w:val="21"/>
              </w:rPr>
            </w:pPr>
            <w:r>
              <w:rPr>
                <w:rFonts w:hint="eastAsia" w:cs="宋体"/>
                <w:b/>
                <w:bCs/>
                <w:color w:val="auto"/>
                <w:sz w:val="21"/>
                <w:szCs w:val="21"/>
              </w:rPr>
              <w:t>考核验收</w:t>
            </w:r>
          </w:p>
          <w:p>
            <w:pPr>
              <w:tabs>
                <w:tab w:val="left" w:pos="152"/>
              </w:tabs>
              <w:spacing w:line="360" w:lineRule="auto"/>
              <w:ind w:firstLine="420" w:firstLineChars="200"/>
              <w:rPr>
                <w:rFonts w:cs="宋体"/>
                <w:color w:val="auto"/>
                <w:sz w:val="21"/>
                <w:szCs w:val="21"/>
              </w:rPr>
            </w:pPr>
            <w:r>
              <w:rPr>
                <w:rFonts w:hint="eastAsia" w:cs="宋体"/>
                <w:color w:val="auto"/>
                <w:sz w:val="21"/>
                <w:szCs w:val="21"/>
              </w:rPr>
              <w:t>1、成交供应商与采购人应严格按照《中华人民共和国政府采购法》、《中华人民共和国政府采购法实施条例》等法律法规、标准以及合同、招标文件、投标文件等相关文件要求进行验收。</w:t>
            </w:r>
          </w:p>
          <w:p>
            <w:pPr>
              <w:tabs>
                <w:tab w:val="left" w:pos="152"/>
              </w:tabs>
              <w:spacing w:line="360" w:lineRule="auto"/>
              <w:ind w:firstLine="420" w:firstLineChars="200"/>
              <w:rPr>
                <w:rFonts w:cs="宋体"/>
                <w:color w:val="auto"/>
                <w:sz w:val="21"/>
                <w:szCs w:val="21"/>
              </w:rPr>
            </w:pPr>
            <w:r>
              <w:rPr>
                <w:rFonts w:hint="eastAsia" w:cs="宋体"/>
                <w:color w:val="auto"/>
                <w:sz w:val="21"/>
                <w:szCs w:val="21"/>
              </w:rPr>
              <w:t>2、由采购人和中标人共同对项目进行整体验收。其内容包括是否按照采购人要求进行服务、是否在规定时间内服务完毕。</w:t>
            </w:r>
          </w:p>
          <w:p>
            <w:pPr>
              <w:tabs>
                <w:tab w:val="left" w:pos="152"/>
              </w:tabs>
              <w:spacing w:line="360" w:lineRule="auto"/>
              <w:ind w:firstLine="420" w:firstLineChars="200"/>
              <w:rPr>
                <w:rFonts w:cs="宋体"/>
                <w:color w:val="auto"/>
                <w:sz w:val="21"/>
                <w:szCs w:val="21"/>
              </w:rPr>
            </w:pPr>
            <w:r>
              <w:rPr>
                <w:rFonts w:hint="eastAsia" w:cs="宋体"/>
                <w:color w:val="auto"/>
                <w:sz w:val="21"/>
                <w:szCs w:val="21"/>
              </w:rPr>
              <w:t>3、服务商向采购人提供服务过程中的所有资料,以便采购人日后管理和维护。</w:t>
            </w:r>
          </w:p>
          <w:p>
            <w:pPr>
              <w:tabs>
                <w:tab w:val="left" w:pos="152"/>
              </w:tabs>
              <w:spacing w:line="360" w:lineRule="auto"/>
              <w:ind w:firstLine="420" w:firstLineChars="200"/>
              <w:rPr>
                <w:rFonts w:cs="宋体"/>
                <w:color w:val="auto"/>
                <w:sz w:val="21"/>
                <w:szCs w:val="21"/>
              </w:rPr>
            </w:pPr>
            <w:r>
              <w:rPr>
                <w:rFonts w:hint="eastAsia" w:cs="宋体"/>
                <w:color w:val="auto"/>
                <w:sz w:val="21"/>
                <w:szCs w:val="21"/>
              </w:rPr>
              <w:t>4、验收依据</w:t>
            </w:r>
          </w:p>
          <w:p>
            <w:pPr>
              <w:tabs>
                <w:tab w:val="left" w:pos="152"/>
              </w:tabs>
              <w:spacing w:line="360" w:lineRule="auto"/>
              <w:ind w:firstLine="420" w:firstLineChars="200"/>
              <w:rPr>
                <w:rFonts w:cs="宋体"/>
                <w:color w:val="auto"/>
                <w:sz w:val="21"/>
                <w:szCs w:val="21"/>
              </w:rPr>
            </w:pPr>
            <w:r>
              <w:rPr>
                <w:rFonts w:hint="eastAsia" w:cs="宋体"/>
                <w:color w:val="auto"/>
                <w:sz w:val="21"/>
                <w:szCs w:val="21"/>
              </w:rPr>
              <w:t>4.1招标文件、投标文件、澄清表（函）；</w:t>
            </w:r>
          </w:p>
          <w:p>
            <w:pPr>
              <w:tabs>
                <w:tab w:val="left" w:pos="152"/>
              </w:tabs>
              <w:spacing w:line="360" w:lineRule="auto"/>
              <w:ind w:firstLine="420" w:firstLineChars="200"/>
              <w:rPr>
                <w:rFonts w:cs="宋体"/>
                <w:color w:val="auto"/>
                <w:sz w:val="21"/>
                <w:szCs w:val="21"/>
              </w:rPr>
            </w:pPr>
            <w:r>
              <w:rPr>
                <w:rFonts w:hint="eastAsia" w:cs="宋体"/>
                <w:color w:val="auto"/>
                <w:sz w:val="21"/>
                <w:szCs w:val="21"/>
              </w:rPr>
              <w:t>4.2本合同及附件文本；</w:t>
            </w:r>
          </w:p>
          <w:p>
            <w:pPr>
              <w:spacing w:line="360" w:lineRule="auto"/>
              <w:jc w:val="left"/>
              <w:rPr>
                <w:rFonts w:cs="宋体"/>
                <w:color w:val="auto"/>
                <w:sz w:val="21"/>
                <w:szCs w:val="21"/>
              </w:rPr>
            </w:pPr>
            <w:r>
              <w:rPr>
                <w:rFonts w:hint="eastAsia" w:cs="宋体"/>
                <w:color w:val="auto"/>
                <w:sz w:val="21"/>
                <w:szCs w:val="21"/>
              </w:rPr>
              <w:t>4.3国家相应的标准、规范。</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4"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r>
              <w:rPr>
                <w:rFonts w:hint="eastAsia" w:cs="宋体"/>
                <w:color w:val="auto"/>
                <w:sz w:val="21"/>
                <w:szCs w:val="21"/>
              </w:rPr>
              <w:t>7</w:t>
            </w:r>
          </w:p>
        </w:tc>
        <w:tc>
          <w:tcPr>
            <w:tcW w:w="3431" w:type="dxa"/>
            <w:tcBorders>
              <w:top w:val="single" w:color="auto" w:sz="4" w:space="0"/>
              <w:left w:val="single" w:color="auto" w:sz="4" w:space="0"/>
              <w:bottom w:val="single" w:color="auto" w:sz="4" w:space="0"/>
              <w:right w:val="single" w:color="auto" w:sz="4" w:space="0"/>
            </w:tcBorders>
            <w:vAlign w:val="center"/>
          </w:tcPr>
          <w:p>
            <w:pPr>
              <w:tabs>
                <w:tab w:val="left" w:pos="152"/>
              </w:tabs>
              <w:spacing w:line="360" w:lineRule="auto"/>
              <w:rPr>
                <w:rFonts w:cs="宋体"/>
                <w:b/>
                <w:bCs/>
                <w:color w:val="auto"/>
                <w:sz w:val="21"/>
                <w:szCs w:val="21"/>
              </w:rPr>
            </w:pPr>
            <w:r>
              <w:rPr>
                <w:rFonts w:hint="eastAsia" w:cs="宋体"/>
                <w:b/>
                <w:bCs/>
                <w:color w:val="auto"/>
                <w:sz w:val="21"/>
                <w:szCs w:val="21"/>
              </w:rPr>
              <w:t>违约责任：</w:t>
            </w:r>
          </w:p>
          <w:p>
            <w:pPr>
              <w:tabs>
                <w:tab w:val="left" w:pos="152"/>
              </w:tabs>
              <w:spacing w:line="360" w:lineRule="auto"/>
              <w:ind w:firstLine="420" w:firstLineChars="200"/>
              <w:rPr>
                <w:rFonts w:cs="宋体"/>
                <w:color w:val="auto"/>
                <w:sz w:val="21"/>
                <w:szCs w:val="21"/>
              </w:rPr>
            </w:pPr>
            <w:r>
              <w:rPr>
                <w:rFonts w:hint="eastAsia" w:cs="宋体"/>
                <w:color w:val="auto"/>
                <w:sz w:val="21"/>
                <w:szCs w:val="21"/>
              </w:rPr>
              <w:t>按《中华人民共和国政府采购法》、《中华人民共和国民法典》中的相关条款执行。</w:t>
            </w:r>
          </w:p>
          <w:p>
            <w:pPr>
              <w:tabs>
                <w:tab w:val="left" w:pos="152"/>
              </w:tabs>
              <w:spacing w:line="360" w:lineRule="auto"/>
              <w:ind w:firstLine="420" w:firstLineChars="200"/>
              <w:rPr>
                <w:rFonts w:cs="宋体"/>
                <w:color w:val="auto"/>
                <w:sz w:val="21"/>
                <w:szCs w:val="21"/>
              </w:rPr>
            </w:pPr>
            <w:r>
              <w:rPr>
                <w:rFonts w:hint="eastAsia" w:cs="宋体"/>
                <w:color w:val="auto"/>
                <w:sz w:val="21"/>
                <w:szCs w:val="21"/>
              </w:rPr>
              <w:t>未按合同或招标文件要求的或者质量不能满足采购人要求的，采购单位有权终止合同，甚至对供应商违约行为进行追究，同时按《政府采购法》的有关规定进行处罚。</w:t>
            </w:r>
          </w:p>
          <w:p>
            <w:pPr>
              <w:tabs>
                <w:tab w:val="left" w:pos="152"/>
              </w:tabs>
              <w:spacing w:line="360" w:lineRule="auto"/>
              <w:ind w:firstLine="420" w:firstLineChars="200"/>
              <w:rPr>
                <w:rFonts w:cs="宋体"/>
                <w:color w:val="auto"/>
                <w:sz w:val="21"/>
                <w:szCs w:val="21"/>
              </w:rPr>
            </w:pPr>
            <w:r>
              <w:rPr>
                <w:rFonts w:hint="eastAsia" w:cs="宋体"/>
                <w:color w:val="auto"/>
                <w:sz w:val="21"/>
                <w:szCs w:val="21"/>
              </w:rPr>
              <w:t>供应商的投标文件为签订正式书面合同书不可分割的部分，投标文件应履行相应的责任。</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color w:val="auto"/>
                <w:sz w:val="21"/>
                <w:szCs w:val="21"/>
              </w:rPr>
            </w:pPr>
          </w:p>
        </w:tc>
      </w:tr>
    </w:tbl>
    <w:p>
      <w:pPr>
        <w:spacing w:line="360" w:lineRule="auto"/>
        <w:rPr>
          <w:rFonts w:cs="宋体"/>
          <w:color w:val="auto"/>
          <w:sz w:val="24"/>
          <w:szCs w:val="24"/>
        </w:rPr>
      </w:pPr>
      <w:r>
        <w:rPr>
          <w:rFonts w:hint="eastAsia" w:cs="宋体"/>
          <w:color w:val="auto"/>
          <w:sz w:val="24"/>
          <w:szCs w:val="24"/>
        </w:rPr>
        <w:t>说明：</w:t>
      </w:r>
    </w:p>
    <w:p>
      <w:pPr>
        <w:spacing w:line="360" w:lineRule="auto"/>
        <w:ind w:firstLine="480" w:firstLineChars="200"/>
        <w:rPr>
          <w:rFonts w:cs="宋体"/>
          <w:color w:val="auto"/>
          <w:sz w:val="24"/>
          <w:szCs w:val="24"/>
        </w:rPr>
      </w:pPr>
      <w:r>
        <w:rPr>
          <w:rFonts w:hint="eastAsia" w:cs="宋体"/>
          <w:color w:val="auto"/>
          <w:sz w:val="24"/>
          <w:szCs w:val="24"/>
        </w:rPr>
        <w:t>1.偏离：根据响应情况如实填写“无偏离/负偏离/优于”（优于的后附证明材料，否则视为虚假响应;无偏离或负偏离的，说明栏填“无”或者 不填写）。</w:t>
      </w:r>
    </w:p>
    <w:p>
      <w:pPr>
        <w:spacing w:line="360" w:lineRule="auto"/>
        <w:ind w:firstLine="480" w:firstLineChars="200"/>
        <w:rPr>
          <w:rFonts w:cs="宋体"/>
          <w:color w:val="auto"/>
          <w:sz w:val="24"/>
          <w:szCs w:val="24"/>
        </w:rPr>
      </w:pPr>
      <w:r>
        <w:rPr>
          <w:rFonts w:hint="eastAsia" w:cs="宋体"/>
          <w:color w:val="auto"/>
          <w:sz w:val="24"/>
          <w:szCs w:val="24"/>
        </w:rPr>
        <w:t>2.供应商必须据实填写，不得虚假响应，否则将取消其投标或中标资格，并按有关规定进处罚。</w:t>
      </w:r>
    </w:p>
    <w:p>
      <w:pPr>
        <w:spacing w:line="360" w:lineRule="auto"/>
        <w:ind w:firstLine="480" w:firstLineChars="200"/>
        <w:jc w:val="center"/>
        <w:rPr>
          <w:rFonts w:cs="宋体"/>
          <w:color w:val="auto"/>
          <w:sz w:val="24"/>
          <w:szCs w:val="24"/>
        </w:rPr>
      </w:pPr>
    </w:p>
    <w:p>
      <w:pPr>
        <w:spacing w:line="360" w:lineRule="auto"/>
        <w:ind w:firstLine="480" w:firstLineChars="200"/>
        <w:rPr>
          <w:rFonts w:cs="宋体"/>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center"/>
        <w:rPr>
          <w:rFonts w:cs="宋体"/>
          <w:color w:val="auto"/>
          <w:sz w:val="24"/>
          <w:szCs w:val="24"/>
        </w:rPr>
      </w:pPr>
    </w:p>
    <w:p>
      <w:pPr>
        <w:spacing w:line="360" w:lineRule="auto"/>
        <w:ind w:firstLine="496" w:firstLineChars="200"/>
        <w:jc w:val="left"/>
        <w:rPr>
          <w:rFonts w:cs="宋体"/>
          <w:color w:val="auto"/>
          <w:spacing w:val="4"/>
          <w:sz w:val="24"/>
          <w:szCs w:val="24"/>
        </w:rPr>
      </w:pPr>
      <w:r>
        <w:rPr>
          <w:rFonts w:hint="eastAsia" w:cs="宋体"/>
          <w:color w:val="auto"/>
          <w:spacing w:val="4"/>
          <w:sz w:val="24"/>
          <w:szCs w:val="24"/>
        </w:rPr>
        <w:t>法定代表人或被授权人：</w:t>
      </w:r>
      <w:r>
        <w:rPr>
          <w:rFonts w:hint="eastAsia" w:cs="宋体"/>
          <w:color w:val="auto"/>
          <w:spacing w:val="4"/>
          <w:sz w:val="24"/>
          <w:szCs w:val="24"/>
          <w:u w:val="single"/>
        </w:rPr>
        <w:t xml:space="preserve">      </w:t>
      </w:r>
      <w:r>
        <w:rPr>
          <w:rFonts w:hint="eastAsia" w:cs="宋体"/>
          <w:color w:val="auto"/>
          <w:spacing w:val="4"/>
          <w:sz w:val="24"/>
          <w:szCs w:val="24"/>
        </w:rPr>
        <w:t>（签字或盖章）</w:t>
      </w:r>
    </w:p>
    <w:p>
      <w:pPr>
        <w:spacing w:line="360" w:lineRule="auto"/>
        <w:ind w:firstLine="480" w:firstLineChars="200"/>
        <w:rPr>
          <w:rFonts w:cs="宋体"/>
          <w:color w:val="auto"/>
          <w:sz w:val="24"/>
          <w:szCs w:val="24"/>
        </w:rPr>
      </w:pPr>
      <w:r>
        <w:rPr>
          <w:rFonts w:hint="eastAsia" w:cs="宋体"/>
          <w:color w:val="auto"/>
          <w:sz w:val="24"/>
          <w:szCs w:val="24"/>
        </w:rPr>
        <w:t xml:space="preserve">      </w:t>
      </w:r>
    </w:p>
    <w:p>
      <w:pPr>
        <w:spacing w:line="360" w:lineRule="auto"/>
        <w:ind w:firstLine="480" w:firstLineChars="200"/>
        <w:rPr>
          <w:rFonts w:cs="宋体"/>
          <w:color w:val="auto"/>
          <w:sz w:val="24"/>
          <w:szCs w:val="24"/>
        </w:rPr>
      </w:pPr>
      <w:r>
        <w:rPr>
          <w:rFonts w:hint="eastAsia" w:cs="宋体"/>
          <w:color w:val="auto"/>
          <w:sz w:val="24"/>
          <w:szCs w:val="24"/>
        </w:rPr>
        <w:t>日      期：      年   月    日</w:t>
      </w:r>
    </w:p>
    <w:p>
      <w:pPr>
        <w:pStyle w:val="4"/>
        <w:spacing w:line="360" w:lineRule="auto"/>
        <w:rPr>
          <w:rFonts w:ascii="宋体" w:hAnsi="宋体" w:cs="宋体"/>
          <w:color w:val="auto"/>
          <w:sz w:val="24"/>
          <w:szCs w:val="24"/>
        </w:rPr>
      </w:pPr>
      <w:r>
        <w:rPr>
          <w:rFonts w:hint="eastAsia" w:ascii="宋体" w:hAnsi="宋体" w:cs="宋体"/>
          <w:color w:val="auto"/>
          <w:sz w:val="24"/>
          <w:szCs w:val="24"/>
        </w:rPr>
        <w:br w:type="page"/>
      </w:r>
      <w:bookmarkStart w:id="218" w:name="_Toc4263"/>
      <w:bookmarkStart w:id="219" w:name="_Toc241"/>
      <w:bookmarkStart w:id="220" w:name="_Toc15975"/>
      <w:bookmarkStart w:id="221" w:name="_Toc6432"/>
      <w:bookmarkStart w:id="222" w:name="_Toc363474033"/>
      <w:bookmarkStart w:id="223" w:name="_Toc10179"/>
      <w:bookmarkStart w:id="224" w:name="_Toc6862"/>
      <w:bookmarkStart w:id="225" w:name="_Toc8692"/>
      <w:bookmarkStart w:id="226" w:name="_Toc426457714"/>
      <w:bookmarkStart w:id="227" w:name="_Toc403077656"/>
      <w:bookmarkStart w:id="228" w:name="_Toc10058"/>
      <w:r>
        <w:rPr>
          <w:rFonts w:hint="eastAsia" w:ascii="宋体" w:hAnsi="宋体" w:cs="宋体"/>
          <w:color w:val="auto"/>
          <w:sz w:val="24"/>
          <w:szCs w:val="24"/>
        </w:rPr>
        <w:t>五、供应商承诺书</w:t>
      </w:r>
      <w:bookmarkEnd w:id="218"/>
      <w:bookmarkEnd w:id="219"/>
      <w:bookmarkEnd w:id="220"/>
    </w:p>
    <w:p>
      <w:pPr>
        <w:spacing w:before="120" w:beforeLines="50" w:line="360" w:lineRule="auto"/>
        <w:jc w:val="center"/>
        <w:rPr>
          <w:rFonts w:cs="宋体"/>
          <w:b/>
          <w:bCs/>
          <w:color w:val="auto"/>
          <w:sz w:val="24"/>
          <w:szCs w:val="24"/>
        </w:rPr>
      </w:pPr>
      <w:r>
        <w:rPr>
          <w:rFonts w:hint="eastAsia" w:cs="宋体"/>
          <w:b/>
          <w:bCs/>
          <w:color w:val="auto"/>
          <w:kern w:val="20"/>
          <w:sz w:val="24"/>
          <w:szCs w:val="24"/>
        </w:rPr>
        <w:t>5.1陕西省政府采购供应商拒绝政府采购领域商业贿赂承诺书</w:t>
      </w:r>
      <w:bookmarkEnd w:id="221"/>
      <w:bookmarkEnd w:id="222"/>
      <w:bookmarkEnd w:id="223"/>
      <w:bookmarkEnd w:id="224"/>
      <w:bookmarkEnd w:id="225"/>
      <w:bookmarkEnd w:id="226"/>
      <w:bookmarkEnd w:id="227"/>
      <w:bookmarkEnd w:id="228"/>
    </w:p>
    <w:p>
      <w:pPr>
        <w:widowControl/>
        <w:spacing w:line="360" w:lineRule="auto"/>
        <w:ind w:firstLine="480" w:firstLineChars="200"/>
        <w:jc w:val="left"/>
        <w:rPr>
          <w:rFonts w:cs="宋体"/>
          <w:color w:val="auto"/>
          <w:sz w:val="24"/>
          <w:szCs w:val="24"/>
        </w:rPr>
      </w:pPr>
      <w:r>
        <w:rPr>
          <w:rFonts w:hint="eastAsia" w:cs="宋体"/>
          <w:color w:val="auto"/>
          <w:sz w:val="24"/>
          <w:szCs w:val="24"/>
        </w:rPr>
        <w:t>为响应党中央、国务院关于治理政府采购领域商业贿赂行为的号召，我公司在此庄严承诺：</w:t>
      </w:r>
    </w:p>
    <w:p>
      <w:pPr>
        <w:widowControl/>
        <w:numPr>
          <w:ilvl w:val="0"/>
          <w:numId w:val="3"/>
        </w:numPr>
        <w:spacing w:line="360" w:lineRule="auto"/>
        <w:ind w:firstLine="480" w:firstLineChars="200"/>
        <w:jc w:val="left"/>
        <w:rPr>
          <w:rFonts w:cs="宋体"/>
          <w:color w:val="auto"/>
          <w:sz w:val="24"/>
          <w:szCs w:val="24"/>
        </w:rPr>
      </w:pPr>
      <w:r>
        <w:rPr>
          <w:rFonts w:hint="eastAsia" w:cs="宋体"/>
          <w:color w:val="auto"/>
          <w:sz w:val="24"/>
          <w:szCs w:val="24"/>
        </w:rPr>
        <w:t>在参与政府采购活动中遵纪守法、诚信经营、公平竞标。</w:t>
      </w:r>
    </w:p>
    <w:p>
      <w:pPr>
        <w:widowControl/>
        <w:numPr>
          <w:ilvl w:val="0"/>
          <w:numId w:val="3"/>
        </w:numPr>
        <w:spacing w:line="360" w:lineRule="auto"/>
        <w:ind w:firstLine="480" w:firstLineChars="200"/>
        <w:jc w:val="left"/>
        <w:rPr>
          <w:rFonts w:cs="宋体"/>
          <w:color w:val="auto"/>
          <w:sz w:val="24"/>
          <w:szCs w:val="24"/>
        </w:rPr>
      </w:pPr>
      <w:r>
        <w:rPr>
          <w:rFonts w:hint="eastAsia" w:cs="宋体"/>
          <w:color w:val="auto"/>
          <w:sz w:val="24"/>
          <w:szCs w:val="24"/>
        </w:rPr>
        <w:t>不向政府采购人、采购代理机构和政府采购评审专家进行任何形式的商业贿赂以谋取交易机会。</w:t>
      </w:r>
    </w:p>
    <w:p>
      <w:pPr>
        <w:widowControl/>
        <w:numPr>
          <w:ilvl w:val="0"/>
          <w:numId w:val="3"/>
        </w:numPr>
        <w:spacing w:line="360" w:lineRule="auto"/>
        <w:ind w:firstLine="480" w:firstLineChars="200"/>
        <w:jc w:val="left"/>
        <w:rPr>
          <w:rFonts w:cs="宋体"/>
          <w:color w:val="auto"/>
          <w:sz w:val="24"/>
          <w:szCs w:val="24"/>
        </w:rPr>
      </w:pPr>
      <w:r>
        <w:rPr>
          <w:rFonts w:hint="eastAsia" w:cs="宋体"/>
          <w:color w:val="auto"/>
          <w:sz w:val="24"/>
          <w:szCs w:val="24"/>
        </w:rPr>
        <w:t>不向政府采购代理机构和采购人提供虚假资质文件或采用虚假应标方式参与政府采购市场竞争并谋取中标、成交。</w:t>
      </w:r>
    </w:p>
    <w:p>
      <w:pPr>
        <w:widowControl/>
        <w:numPr>
          <w:ilvl w:val="0"/>
          <w:numId w:val="3"/>
        </w:numPr>
        <w:spacing w:line="360" w:lineRule="auto"/>
        <w:ind w:firstLine="480" w:firstLineChars="200"/>
        <w:jc w:val="left"/>
        <w:rPr>
          <w:rFonts w:cs="宋体"/>
          <w:color w:val="auto"/>
          <w:sz w:val="24"/>
          <w:szCs w:val="24"/>
        </w:rPr>
      </w:pPr>
      <w:r>
        <w:rPr>
          <w:rFonts w:hint="eastAsia" w:cs="宋体"/>
          <w:color w:val="auto"/>
          <w:sz w:val="24"/>
          <w:szCs w:val="24"/>
        </w:rPr>
        <w:t>不采取“围标、陪标”等商业欺诈手段获得政府采购定单。</w:t>
      </w:r>
    </w:p>
    <w:p>
      <w:pPr>
        <w:widowControl/>
        <w:numPr>
          <w:ilvl w:val="0"/>
          <w:numId w:val="3"/>
        </w:numPr>
        <w:spacing w:line="360" w:lineRule="auto"/>
        <w:ind w:firstLine="480" w:firstLineChars="200"/>
        <w:jc w:val="left"/>
        <w:rPr>
          <w:rFonts w:cs="宋体"/>
          <w:color w:val="auto"/>
          <w:sz w:val="24"/>
          <w:szCs w:val="24"/>
        </w:rPr>
      </w:pPr>
      <w:r>
        <w:rPr>
          <w:rFonts w:hint="eastAsia" w:cs="宋体"/>
          <w:color w:val="auto"/>
          <w:sz w:val="24"/>
          <w:szCs w:val="24"/>
        </w:rPr>
        <w:t>不采取不正当手段诋毁、排挤其他供应商。</w:t>
      </w:r>
    </w:p>
    <w:p>
      <w:pPr>
        <w:widowControl/>
        <w:numPr>
          <w:ilvl w:val="0"/>
          <w:numId w:val="3"/>
        </w:numPr>
        <w:spacing w:line="360" w:lineRule="auto"/>
        <w:ind w:firstLine="480" w:firstLineChars="200"/>
        <w:jc w:val="left"/>
        <w:rPr>
          <w:rFonts w:cs="宋体"/>
          <w:color w:val="auto"/>
          <w:sz w:val="24"/>
          <w:szCs w:val="24"/>
        </w:rPr>
      </w:pPr>
      <w:r>
        <w:rPr>
          <w:rFonts w:hint="eastAsia" w:cs="宋体"/>
          <w:color w:val="auto"/>
          <w:sz w:val="24"/>
          <w:szCs w:val="24"/>
        </w:rPr>
        <w:t>不在提供商品和服务时“偷梁换柱、以次充好”损害采购人的合法权益。</w:t>
      </w:r>
    </w:p>
    <w:p>
      <w:pPr>
        <w:widowControl/>
        <w:numPr>
          <w:ilvl w:val="0"/>
          <w:numId w:val="3"/>
        </w:numPr>
        <w:spacing w:line="360" w:lineRule="auto"/>
        <w:ind w:firstLine="480" w:firstLineChars="200"/>
        <w:jc w:val="left"/>
        <w:rPr>
          <w:rFonts w:cs="宋体"/>
          <w:color w:val="auto"/>
          <w:sz w:val="24"/>
          <w:szCs w:val="24"/>
        </w:rPr>
      </w:pPr>
      <w:r>
        <w:rPr>
          <w:rFonts w:hint="eastAsia" w:cs="宋体"/>
          <w:color w:val="auto"/>
          <w:sz w:val="24"/>
          <w:szCs w:val="24"/>
        </w:rPr>
        <w:t>不与采购人、采购代理机构政府采购评审专家或其它供应商恶意串通，进行质疑和投诉，维护政府采购市场秩序。</w:t>
      </w:r>
    </w:p>
    <w:p>
      <w:pPr>
        <w:widowControl/>
        <w:numPr>
          <w:ilvl w:val="0"/>
          <w:numId w:val="3"/>
        </w:numPr>
        <w:spacing w:line="360" w:lineRule="auto"/>
        <w:ind w:firstLine="480" w:firstLineChars="200"/>
        <w:jc w:val="left"/>
        <w:rPr>
          <w:rFonts w:cs="宋体"/>
          <w:color w:val="auto"/>
          <w:sz w:val="24"/>
          <w:szCs w:val="24"/>
        </w:rPr>
      </w:pPr>
      <w:r>
        <w:rPr>
          <w:rFonts w:hint="eastAsia" w:cs="宋体"/>
          <w:color w:val="auto"/>
          <w:sz w:val="24"/>
          <w:szCs w:val="24"/>
        </w:rPr>
        <w:t>尊重和接受政府采购监督管理部门的监督和政府采购代理机构招标采购要求，承担因违约行为给采购人造成的损失。</w:t>
      </w:r>
    </w:p>
    <w:p>
      <w:pPr>
        <w:widowControl/>
        <w:numPr>
          <w:ilvl w:val="0"/>
          <w:numId w:val="3"/>
        </w:numPr>
        <w:spacing w:line="360" w:lineRule="auto"/>
        <w:ind w:firstLine="480" w:firstLineChars="200"/>
        <w:jc w:val="left"/>
        <w:rPr>
          <w:rFonts w:cs="宋体"/>
          <w:color w:val="auto"/>
          <w:sz w:val="24"/>
          <w:szCs w:val="24"/>
        </w:rPr>
      </w:pPr>
      <w:r>
        <w:rPr>
          <w:rFonts w:hint="eastAsia" w:cs="宋体"/>
          <w:color w:val="auto"/>
          <w:sz w:val="24"/>
          <w:szCs w:val="24"/>
        </w:rPr>
        <w:t>不发生其他有悖于政府采购公开、公平、公正和诚信原则的行为。</w:t>
      </w:r>
    </w:p>
    <w:p>
      <w:pPr>
        <w:pStyle w:val="29"/>
        <w:spacing w:line="360" w:lineRule="auto"/>
        <w:ind w:firstLine="489"/>
        <w:rPr>
          <w:rFonts w:ascii="宋体" w:hAnsi="宋体" w:cs="宋体"/>
          <w:color w:val="auto"/>
          <w:sz w:val="24"/>
          <w:szCs w:val="24"/>
        </w:rPr>
      </w:pPr>
    </w:p>
    <w:p>
      <w:pPr>
        <w:widowControl/>
        <w:spacing w:line="360" w:lineRule="auto"/>
        <w:ind w:left="239" w:leftChars="114"/>
        <w:jc w:val="left"/>
        <w:rPr>
          <w:rFonts w:cs="宋体"/>
          <w:color w:val="auto"/>
          <w:sz w:val="24"/>
          <w:szCs w:val="24"/>
        </w:rPr>
      </w:pPr>
      <w:r>
        <w:rPr>
          <w:rFonts w:hint="eastAsia" w:cs="宋体"/>
          <w:color w:val="auto"/>
          <w:sz w:val="24"/>
          <w:szCs w:val="24"/>
        </w:rPr>
        <w:t>承诺单位：</w:t>
      </w:r>
      <w:r>
        <w:rPr>
          <w:rFonts w:hint="eastAsia" w:cs="宋体"/>
          <w:color w:val="auto"/>
          <w:sz w:val="24"/>
          <w:szCs w:val="24"/>
          <w:u w:val="single"/>
        </w:rPr>
        <w:t xml:space="preserve">                       </w:t>
      </w:r>
      <w:r>
        <w:rPr>
          <w:rFonts w:hint="eastAsia" w:cs="宋体"/>
          <w:color w:val="auto"/>
          <w:sz w:val="24"/>
          <w:szCs w:val="24"/>
        </w:rPr>
        <w:t>（盖章）</w:t>
      </w:r>
    </w:p>
    <w:p>
      <w:pPr>
        <w:widowControl/>
        <w:spacing w:line="360" w:lineRule="auto"/>
        <w:ind w:left="239" w:leftChars="114"/>
        <w:jc w:val="left"/>
        <w:rPr>
          <w:rFonts w:cs="宋体"/>
          <w:color w:val="auto"/>
          <w:sz w:val="24"/>
          <w:szCs w:val="24"/>
        </w:rPr>
      </w:pPr>
      <w:r>
        <w:rPr>
          <w:rFonts w:hint="eastAsia" w:cs="宋体"/>
          <w:color w:val="auto"/>
          <w:spacing w:val="4"/>
          <w:sz w:val="24"/>
          <w:szCs w:val="24"/>
        </w:rPr>
        <w:t>法定代表人或被授权人</w:t>
      </w:r>
      <w:r>
        <w:rPr>
          <w:rFonts w:hint="eastAsia" w:cs="宋体"/>
          <w:color w:val="auto"/>
          <w:sz w:val="24"/>
          <w:szCs w:val="24"/>
        </w:rPr>
        <w:t>：</w:t>
      </w:r>
      <w:r>
        <w:rPr>
          <w:rFonts w:hint="eastAsia" w:cs="宋体"/>
          <w:color w:val="auto"/>
          <w:sz w:val="24"/>
          <w:szCs w:val="24"/>
          <w:u w:val="single"/>
        </w:rPr>
        <w:t xml:space="preserve">                       </w:t>
      </w:r>
      <w:r>
        <w:rPr>
          <w:rFonts w:hint="eastAsia" w:cs="宋体"/>
          <w:color w:val="auto"/>
          <w:sz w:val="24"/>
          <w:szCs w:val="24"/>
        </w:rPr>
        <w:t>（签字或盖章）</w:t>
      </w:r>
    </w:p>
    <w:p>
      <w:pPr>
        <w:widowControl/>
        <w:spacing w:line="360" w:lineRule="auto"/>
        <w:ind w:left="239" w:leftChars="114"/>
        <w:jc w:val="left"/>
        <w:rPr>
          <w:rFonts w:cs="宋体"/>
          <w:color w:val="auto"/>
          <w:sz w:val="24"/>
          <w:szCs w:val="24"/>
        </w:rPr>
      </w:pPr>
      <w:r>
        <w:rPr>
          <w:rFonts w:hint="eastAsia" w:cs="宋体"/>
          <w:color w:val="auto"/>
          <w:sz w:val="24"/>
          <w:szCs w:val="24"/>
        </w:rPr>
        <w:t>地  址：</w:t>
      </w:r>
      <w:r>
        <w:rPr>
          <w:rFonts w:hint="eastAsia" w:cs="宋体"/>
          <w:color w:val="auto"/>
          <w:sz w:val="24"/>
          <w:szCs w:val="24"/>
          <w:u w:val="single"/>
        </w:rPr>
        <w:t>             </w:t>
      </w:r>
      <w:r>
        <w:rPr>
          <w:rFonts w:hint="eastAsia" w:cs="宋体"/>
          <w:color w:val="auto"/>
          <w:sz w:val="24"/>
          <w:szCs w:val="24"/>
        </w:rPr>
        <w:t>  </w:t>
      </w:r>
    </w:p>
    <w:p>
      <w:pPr>
        <w:widowControl/>
        <w:spacing w:line="360" w:lineRule="auto"/>
        <w:ind w:left="239" w:leftChars="114"/>
        <w:jc w:val="left"/>
        <w:rPr>
          <w:rFonts w:cs="宋体"/>
          <w:color w:val="auto"/>
          <w:sz w:val="24"/>
          <w:szCs w:val="24"/>
        </w:rPr>
      </w:pPr>
      <w:r>
        <w:rPr>
          <w:rFonts w:hint="eastAsia" w:cs="宋体"/>
          <w:color w:val="auto"/>
          <w:sz w:val="24"/>
          <w:szCs w:val="24"/>
        </w:rPr>
        <w:t>电  话：</w:t>
      </w:r>
      <w:r>
        <w:rPr>
          <w:rFonts w:hint="eastAsia" w:cs="宋体"/>
          <w:color w:val="auto"/>
          <w:sz w:val="24"/>
          <w:szCs w:val="24"/>
          <w:u w:val="single"/>
        </w:rPr>
        <w:t>             </w:t>
      </w:r>
      <w:r>
        <w:rPr>
          <w:rFonts w:hint="eastAsia" w:cs="宋体"/>
          <w:color w:val="auto"/>
          <w:sz w:val="24"/>
          <w:szCs w:val="24"/>
        </w:rPr>
        <w:t>                     日    期：     年  月  日</w:t>
      </w:r>
    </w:p>
    <w:p>
      <w:pPr>
        <w:spacing w:line="360" w:lineRule="auto"/>
        <w:ind w:firstLine="241" w:firstLineChars="100"/>
        <w:jc w:val="center"/>
        <w:rPr>
          <w:rFonts w:cs="宋体"/>
          <w:b/>
          <w:bCs/>
          <w:color w:val="auto"/>
          <w:kern w:val="20"/>
          <w:sz w:val="24"/>
          <w:szCs w:val="24"/>
          <w:lang w:val="zh-CN"/>
        </w:rPr>
      </w:pPr>
      <w:bookmarkStart w:id="229" w:name="_Toc363474034"/>
      <w:bookmarkStart w:id="230" w:name="_Toc7550"/>
      <w:bookmarkStart w:id="231" w:name="_Toc23245"/>
      <w:bookmarkStart w:id="232" w:name="_Toc8066"/>
      <w:bookmarkStart w:id="233" w:name="_Toc155"/>
      <w:bookmarkStart w:id="234" w:name="_Toc403077657"/>
      <w:bookmarkStart w:id="235" w:name="_Toc426457715"/>
      <w:bookmarkStart w:id="236" w:name="_Toc20139"/>
      <w:bookmarkStart w:id="237" w:name="_Toc28113"/>
      <w:r>
        <w:rPr>
          <w:rFonts w:hint="eastAsia" w:cs="宋体"/>
          <w:b/>
          <w:bCs/>
          <w:color w:val="auto"/>
          <w:kern w:val="20"/>
          <w:sz w:val="24"/>
          <w:szCs w:val="24"/>
        </w:rPr>
        <w:br w:type="page"/>
      </w:r>
      <w:r>
        <w:rPr>
          <w:rFonts w:hint="eastAsia" w:cs="宋体"/>
          <w:b/>
          <w:bCs/>
          <w:color w:val="auto"/>
          <w:kern w:val="20"/>
          <w:sz w:val="24"/>
          <w:szCs w:val="24"/>
        </w:rPr>
        <w:t>5.2</w:t>
      </w:r>
      <w:r>
        <w:rPr>
          <w:rFonts w:hint="eastAsia" w:cs="宋体"/>
          <w:b/>
          <w:bCs/>
          <w:color w:val="auto"/>
          <w:kern w:val="20"/>
          <w:sz w:val="24"/>
          <w:szCs w:val="24"/>
          <w:lang w:val="zh-CN"/>
        </w:rPr>
        <w:t xml:space="preserve"> 供应商企业关系关联承诺书</w:t>
      </w:r>
    </w:p>
    <w:p>
      <w:pPr>
        <w:spacing w:line="360" w:lineRule="auto"/>
        <w:rPr>
          <w:rFonts w:cs="宋体"/>
          <w:color w:val="auto"/>
          <w:sz w:val="24"/>
          <w:szCs w:val="24"/>
          <w:lang w:val="zh-CN"/>
        </w:rPr>
      </w:pPr>
    </w:p>
    <w:p>
      <w:pPr>
        <w:spacing w:line="360" w:lineRule="auto"/>
        <w:ind w:firstLine="240" w:firstLineChars="100"/>
        <w:rPr>
          <w:rFonts w:cs="宋体"/>
          <w:color w:val="auto"/>
          <w:sz w:val="24"/>
          <w:szCs w:val="24"/>
        </w:rPr>
      </w:pPr>
      <w:r>
        <w:rPr>
          <w:rFonts w:hint="eastAsia" w:cs="宋体"/>
          <w:color w:val="auto"/>
          <w:sz w:val="24"/>
          <w:szCs w:val="24"/>
        </w:rPr>
        <w:t>1、供应商在本项目投标中，不存在与其它供应商负责人为同一人，有控股、管理等关联关系承诺：</w:t>
      </w:r>
    </w:p>
    <w:p>
      <w:pPr>
        <w:spacing w:line="360" w:lineRule="auto"/>
        <w:ind w:firstLine="240" w:firstLineChars="100"/>
        <w:rPr>
          <w:rFonts w:cs="宋体"/>
          <w:color w:val="auto"/>
          <w:sz w:val="24"/>
          <w:szCs w:val="24"/>
        </w:rPr>
      </w:pPr>
      <w:r>
        <w:rPr>
          <w:rFonts w:hint="eastAsia" w:cs="宋体"/>
          <w:color w:val="auto"/>
          <w:sz w:val="24"/>
          <w:szCs w:val="24"/>
        </w:rPr>
        <w:t>1.1管理关系说明：</w:t>
      </w:r>
    </w:p>
    <w:p>
      <w:pPr>
        <w:spacing w:line="360" w:lineRule="auto"/>
        <w:ind w:firstLine="240" w:firstLineChars="100"/>
        <w:rPr>
          <w:rFonts w:cs="宋体"/>
          <w:color w:val="auto"/>
          <w:sz w:val="24"/>
          <w:szCs w:val="24"/>
        </w:rPr>
      </w:pPr>
      <w:r>
        <w:rPr>
          <w:rFonts w:hint="eastAsia" w:cs="宋体"/>
          <w:color w:val="auto"/>
          <w:sz w:val="24"/>
          <w:szCs w:val="24"/>
        </w:rPr>
        <w:t>我单位管理的具有独立法人的下属单位有</w:t>
      </w:r>
      <w:r>
        <w:rPr>
          <w:rFonts w:hint="eastAsia" w:cs="宋体"/>
          <w:color w:val="auto"/>
          <w:sz w:val="24"/>
          <w:szCs w:val="24"/>
          <w:u w:val="single"/>
        </w:rPr>
        <w:t xml:space="preserve">：                 </w:t>
      </w:r>
      <w:r>
        <w:rPr>
          <w:rFonts w:hint="eastAsia" w:cs="宋体"/>
          <w:color w:val="auto"/>
          <w:sz w:val="24"/>
          <w:szCs w:val="24"/>
        </w:rPr>
        <w:t>。</w:t>
      </w:r>
    </w:p>
    <w:p>
      <w:pPr>
        <w:spacing w:line="360" w:lineRule="auto"/>
        <w:ind w:firstLine="240" w:firstLineChars="100"/>
        <w:rPr>
          <w:rFonts w:cs="宋体"/>
          <w:color w:val="auto"/>
          <w:sz w:val="24"/>
          <w:szCs w:val="24"/>
        </w:rPr>
      </w:pPr>
      <w:r>
        <w:rPr>
          <w:rFonts w:hint="eastAsia" w:cs="宋体"/>
          <w:color w:val="auto"/>
          <w:sz w:val="24"/>
          <w:szCs w:val="24"/>
        </w:rPr>
        <w:t>我单位的上级管理单位有：</w:t>
      </w:r>
      <w:r>
        <w:rPr>
          <w:rFonts w:hint="eastAsia" w:cs="宋体"/>
          <w:color w:val="auto"/>
          <w:sz w:val="24"/>
          <w:szCs w:val="24"/>
          <w:u w:val="single"/>
        </w:rPr>
        <w:t xml:space="preserve">              </w:t>
      </w:r>
      <w:r>
        <w:rPr>
          <w:rFonts w:hint="eastAsia" w:cs="宋体"/>
          <w:color w:val="auto"/>
          <w:sz w:val="24"/>
          <w:szCs w:val="24"/>
        </w:rPr>
        <w:t>。</w:t>
      </w:r>
    </w:p>
    <w:p>
      <w:pPr>
        <w:spacing w:line="360" w:lineRule="auto"/>
        <w:ind w:firstLine="240" w:firstLineChars="100"/>
        <w:rPr>
          <w:rFonts w:cs="宋体"/>
          <w:color w:val="auto"/>
          <w:sz w:val="24"/>
          <w:szCs w:val="24"/>
        </w:rPr>
      </w:pPr>
      <w:r>
        <w:rPr>
          <w:rFonts w:hint="eastAsia" w:cs="宋体"/>
          <w:color w:val="auto"/>
          <w:sz w:val="24"/>
          <w:szCs w:val="24"/>
        </w:rPr>
        <w:t>1.2股权关系说明：</w:t>
      </w:r>
    </w:p>
    <w:p>
      <w:pPr>
        <w:spacing w:line="360" w:lineRule="auto"/>
        <w:ind w:firstLine="240" w:firstLineChars="100"/>
        <w:rPr>
          <w:rFonts w:cs="宋体"/>
          <w:color w:val="auto"/>
          <w:sz w:val="24"/>
          <w:szCs w:val="24"/>
        </w:rPr>
      </w:pPr>
      <w:r>
        <w:rPr>
          <w:rFonts w:hint="eastAsia" w:cs="宋体"/>
          <w:color w:val="auto"/>
          <w:sz w:val="24"/>
          <w:szCs w:val="24"/>
        </w:rPr>
        <w:t>我单位控股的单位有：</w:t>
      </w:r>
      <w:r>
        <w:rPr>
          <w:rFonts w:hint="eastAsia" w:cs="宋体"/>
          <w:color w:val="auto"/>
          <w:sz w:val="24"/>
          <w:szCs w:val="24"/>
          <w:u w:val="single"/>
        </w:rPr>
        <w:t xml:space="preserve">           </w:t>
      </w:r>
      <w:r>
        <w:rPr>
          <w:rFonts w:hint="eastAsia" w:cs="宋体"/>
          <w:color w:val="auto"/>
          <w:sz w:val="24"/>
          <w:szCs w:val="24"/>
        </w:rPr>
        <w:t>。</w:t>
      </w:r>
    </w:p>
    <w:p>
      <w:pPr>
        <w:spacing w:line="360" w:lineRule="auto"/>
        <w:ind w:firstLine="240" w:firstLineChars="100"/>
        <w:rPr>
          <w:rFonts w:cs="宋体"/>
          <w:color w:val="auto"/>
          <w:sz w:val="24"/>
          <w:szCs w:val="24"/>
        </w:rPr>
      </w:pPr>
      <w:r>
        <w:rPr>
          <w:rFonts w:hint="eastAsia" w:cs="宋体"/>
          <w:color w:val="auto"/>
          <w:sz w:val="24"/>
          <w:szCs w:val="24"/>
        </w:rPr>
        <w:t>我单位被</w:t>
      </w:r>
      <w:r>
        <w:rPr>
          <w:rFonts w:hint="eastAsia" w:cs="宋体"/>
          <w:color w:val="auto"/>
          <w:sz w:val="24"/>
          <w:szCs w:val="24"/>
          <w:u w:val="single"/>
        </w:rPr>
        <w:t xml:space="preserve">              </w:t>
      </w:r>
      <w:r>
        <w:rPr>
          <w:rFonts w:hint="eastAsia" w:cs="宋体"/>
          <w:color w:val="auto"/>
          <w:sz w:val="24"/>
          <w:szCs w:val="24"/>
        </w:rPr>
        <w:t>单位控股。</w:t>
      </w:r>
    </w:p>
    <w:p>
      <w:pPr>
        <w:spacing w:line="360" w:lineRule="auto"/>
        <w:ind w:firstLine="240" w:firstLineChars="100"/>
        <w:rPr>
          <w:rFonts w:cs="宋体"/>
          <w:color w:val="auto"/>
          <w:sz w:val="24"/>
          <w:szCs w:val="24"/>
          <w:u w:val="single"/>
        </w:rPr>
      </w:pPr>
      <w:r>
        <w:rPr>
          <w:rFonts w:hint="eastAsia" w:cs="宋体"/>
          <w:color w:val="auto"/>
          <w:sz w:val="24"/>
          <w:szCs w:val="24"/>
        </w:rPr>
        <w:t>1.3、单位负责人</w:t>
      </w:r>
      <w:r>
        <w:rPr>
          <w:rFonts w:hint="eastAsia" w:cs="宋体"/>
          <w:color w:val="auto"/>
          <w:sz w:val="24"/>
          <w:szCs w:val="24"/>
          <w:u w:val="single"/>
        </w:rPr>
        <w:t xml:space="preserve">               </w:t>
      </w:r>
      <w:r>
        <w:rPr>
          <w:rFonts w:hint="eastAsia" w:cs="宋体"/>
          <w:color w:val="auto"/>
          <w:sz w:val="24"/>
          <w:szCs w:val="24"/>
        </w:rPr>
        <w:t>（是或否）存在与其它供应商负责人为同一人。</w:t>
      </w:r>
    </w:p>
    <w:p>
      <w:pPr>
        <w:spacing w:line="360" w:lineRule="auto"/>
        <w:ind w:firstLine="240" w:firstLineChars="100"/>
        <w:rPr>
          <w:rFonts w:cs="宋体"/>
          <w:color w:val="auto"/>
          <w:sz w:val="24"/>
          <w:szCs w:val="24"/>
        </w:rPr>
      </w:pPr>
      <w:r>
        <w:rPr>
          <w:rFonts w:hint="eastAsia" w:cs="宋体"/>
          <w:color w:val="auto"/>
          <w:sz w:val="24"/>
          <w:szCs w:val="24"/>
        </w:rPr>
        <w:t>2、</w:t>
      </w:r>
      <w:r>
        <w:rPr>
          <w:rFonts w:hint="eastAsia" w:cs="宋体"/>
          <w:color w:val="auto"/>
          <w:sz w:val="24"/>
          <w:szCs w:val="24"/>
          <w:u w:val="single"/>
        </w:rPr>
        <w:t xml:space="preserve">              </w:t>
      </w:r>
      <w:r>
        <w:rPr>
          <w:rFonts w:hint="eastAsia" w:cs="宋体"/>
          <w:color w:val="auto"/>
          <w:sz w:val="24"/>
          <w:szCs w:val="24"/>
        </w:rPr>
        <w:t>（是或否） 为采购项目提供整体设计、规范编制或者项目管理、监理、检测等服务的供应商。</w:t>
      </w:r>
    </w:p>
    <w:p>
      <w:pPr>
        <w:spacing w:line="360" w:lineRule="auto"/>
        <w:ind w:firstLine="240" w:firstLineChars="100"/>
        <w:rPr>
          <w:rFonts w:cs="宋体"/>
          <w:color w:val="auto"/>
          <w:sz w:val="24"/>
          <w:szCs w:val="24"/>
          <w:u w:val="single"/>
        </w:rPr>
      </w:pPr>
      <w:r>
        <w:rPr>
          <w:rFonts w:hint="eastAsia" w:cs="宋体"/>
          <w:color w:val="auto"/>
          <w:sz w:val="24"/>
          <w:szCs w:val="24"/>
        </w:rPr>
        <w:t>3、其他与本项目有关的利害关系说明：</w:t>
      </w:r>
      <w:r>
        <w:rPr>
          <w:rFonts w:hint="eastAsia" w:cs="宋体"/>
          <w:color w:val="auto"/>
          <w:sz w:val="24"/>
          <w:szCs w:val="24"/>
          <w:u w:val="single"/>
        </w:rPr>
        <w:t xml:space="preserve">                               </w:t>
      </w:r>
    </w:p>
    <w:p>
      <w:pPr>
        <w:spacing w:line="360" w:lineRule="auto"/>
        <w:rPr>
          <w:rFonts w:cs="宋体"/>
          <w:color w:val="auto"/>
          <w:sz w:val="24"/>
          <w:szCs w:val="24"/>
        </w:rPr>
      </w:pPr>
    </w:p>
    <w:p>
      <w:pPr>
        <w:spacing w:line="360" w:lineRule="auto"/>
        <w:ind w:firstLine="240" w:firstLineChars="100"/>
        <w:rPr>
          <w:rFonts w:cs="宋体"/>
          <w:color w:val="auto"/>
          <w:sz w:val="24"/>
          <w:szCs w:val="24"/>
        </w:rPr>
      </w:pPr>
      <w:r>
        <w:rPr>
          <w:rFonts w:hint="eastAsia" w:cs="宋体"/>
          <w:color w:val="auto"/>
          <w:sz w:val="24"/>
          <w:szCs w:val="24"/>
        </w:rPr>
        <w:t>我单位承诺以上说明真实有效，无虚假内容或隐瞒。</w:t>
      </w:r>
    </w:p>
    <w:p>
      <w:pPr>
        <w:spacing w:line="360" w:lineRule="auto"/>
        <w:ind w:firstLine="240" w:firstLineChars="100"/>
        <w:rPr>
          <w:rFonts w:cs="宋体"/>
          <w:color w:val="auto"/>
          <w:sz w:val="24"/>
          <w:szCs w:val="24"/>
        </w:rPr>
      </w:pPr>
    </w:p>
    <w:p>
      <w:pPr>
        <w:spacing w:line="360" w:lineRule="auto"/>
        <w:rPr>
          <w:rFonts w:cs="宋体"/>
          <w:color w:val="auto"/>
          <w:sz w:val="24"/>
          <w:szCs w:val="24"/>
        </w:rPr>
      </w:pPr>
    </w:p>
    <w:p>
      <w:pPr>
        <w:spacing w:line="360" w:lineRule="auto"/>
        <w:ind w:firstLine="2400" w:firstLineChars="1000"/>
        <w:rPr>
          <w:rFonts w:cs="宋体"/>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240" w:firstLineChars="100"/>
        <w:rPr>
          <w:rFonts w:cs="宋体"/>
          <w:color w:val="auto"/>
          <w:sz w:val="24"/>
          <w:szCs w:val="24"/>
        </w:rPr>
      </w:pPr>
    </w:p>
    <w:p>
      <w:pPr>
        <w:spacing w:line="360" w:lineRule="auto"/>
        <w:ind w:firstLine="2400" w:firstLineChars="1000"/>
        <w:rPr>
          <w:rFonts w:cs="宋体"/>
          <w:color w:val="auto"/>
          <w:sz w:val="24"/>
          <w:szCs w:val="24"/>
        </w:rPr>
      </w:pPr>
      <w:r>
        <w:rPr>
          <w:rFonts w:hint="eastAsia" w:cs="宋体"/>
          <w:color w:val="auto"/>
          <w:sz w:val="24"/>
          <w:szCs w:val="24"/>
        </w:rPr>
        <w:t>法定代表人或被授权人</w:t>
      </w:r>
      <w:r>
        <w:rPr>
          <w:rFonts w:hint="eastAsia" w:cs="宋体"/>
          <w:color w:val="auto"/>
          <w:sz w:val="24"/>
          <w:szCs w:val="24"/>
          <w:u w:val="single"/>
        </w:rPr>
        <w:t xml:space="preserve">：      </w:t>
      </w:r>
      <w:r>
        <w:rPr>
          <w:rFonts w:hint="eastAsia" w:cs="宋体"/>
          <w:color w:val="auto"/>
          <w:sz w:val="24"/>
          <w:szCs w:val="24"/>
        </w:rPr>
        <w:t>（签字或盖章）</w:t>
      </w:r>
    </w:p>
    <w:p>
      <w:pPr>
        <w:spacing w:line="360" w:lineRule="auto"/>
        <w:ind w:firstLine="240" w:firstLineChars="100"/>
        <w:rPr>
          <w:rFonts w:cs="宋体"/>
          <w:color w:val="auto"/>
          <w:sz w:val="24"/>
          <w:szCs w:val="24"/>
        </w:rPr>
      </w:pPr>
      <w:r>
        <w:rPr>
          <w:rFonts w:hint="eastAsia" w:cs="宋体"/>
          <w:color w:val="auto"/>
          <w:sz w:val="24"/>
          <w:szCs w:val="24"/>
        </w:rPr>
        <w:t xml:space="preserve">      </w:t>
      </w:r>
    </w:p>
    <w:p>
      <w:pPr>
        <w:spacing w:line="360" w:lineRule="auto"/>
        <w:ind w:firstLine="2400" w:firstLineChars="1000"/>
        <w:rPr>
          <w:rFonts w:cs="宋体"/>
          <w:color w:val="auto"/>
          <w:sz w:val="24"/>
          <w:szCs w:val="24"/>
        </w:rPr>
      </w:pPr>
      <w:r>
        <w:rPr>
          <w:rFonts w:hint="eastAsia" w:cs="宋体"/>
          <w:color w:val="auto"/>
          <w:sz w:val="24"/>
          <w:szCs w:val="24"/>
        </w:rPr>
        <w:t>日      期：      年   月    日</w:t>
      </w:r>
    </w:p>
    <w:p>
      <w:pPr>
        <w:pStyle w:val="4"/>
        <w:spacing w:line="360" w:lineRule="auto"/>
        <w:rPr>
          <w:rFonts w:ascii="宋体" w:hAnsi="宋体" w:cs="宋体"/>
          <w:color w:val="auto"/>
          <w:sz w:val="24"/>
          <w:szCs w:val="24"/>
        </w:rPr>
      </w:pPr>
      <w:bookmarkStart w:id="238" w:name="_Toc17090"/>
      <w:bookmarkStart w:id="239" w:name="_Toc19310"/>
      <w:bookmarkStart w:id="240" w:name="_Toc15526"/>
      <w:r>
        <w:rPr>
          <w:rFonts w:hint="eastAsia" w:ascii="宋体" w:hAnsi="宋体" w:cs="宋体"/>
          <w:color w:val="auto"/>
          <w:sz w:val="24"/>
          <w:szCs w:val="24"/>
        </w:rPr>
        <w:br w:type="column"/>
      </w:r>
      <w:r>
        <w:rPr>
          <w:rFonts w:hint="eastAsia" w:ascii="宋体" w:hAnsi="宋体" w:cs="宋体"/>
          <w:color w:val="auto"/>
          <w:sz w:val="24"/>
          <w:szCs w:val="24"/>
        </w:rPr>
        <w:t>六、资格证明文件</w:t>
      </w:r>
      <w:bookmarkEnd w:id="229"/>
      <w:bookmarkEnd w:id="230"/>
      <w:bookmarkEnd w:id="231"/>
      <w:bookmarkEnd w:id="232"/>
      <w:bookmarkEnd w:id="233"/>
      <w:bookmarkEnd w:id="234"/>
      <w:bookmarkEnd w:id="235"/>
      <w:bookmarkEnd w:id="236"/>
      <w:bookmarkEnd w:id="237"/>
      <w:bookmarkEnd w:id="238"/>
      <w:bookmarkEnd w:id="239"/>
      <w:bookmarkEnd w:id="240"/>
    </w:p>
    <w:p>
      <w:pPr>
        <w:spacing w:line="360" w:lineRule="auto"/>
        <w:rPr>
          <w:rFonts w:cs="宋体"/>
          <w:color w:val="auto"/>
          <w:sz w:val="24"/>
          <w:szCs w:val="24"/>
        </w:rPr>
      </w:pPr>
      <w:r>
        <w:rPr>
          <w:rFonts w:hint="eastAsia" w:cs="宋体"/>
          <w:b/>
          <w:bCs/>
          <w:color w:val="auto"/>
          <w:sz w:val="24"/>
          <w:szCs w:val="24"/>
        </w:rPr>
        <w:t>（一）基本资格条件：符合《中华人民共和国政府采购法》第二十二条的规定，并提供以下资料；</w:t>
      </w:r>
    </w:p>
    <w:p>
      <w:pPr>
        <w:spacing w:line="360" w:lineRule="auto"/>
        <w:ind w:firstLine="480" w:firstLineChars="200"/>
        <w:rPr>
          <w:rFonts w:cs="宋体"/>
          <w:color w:val="auto"/>
          <w:sz w:val="24"/>
          <w:szCs w:val="24"/>
        </w:rPr>
      </w:pPr>
      <w:r>
        <w:rPr>
          <w:rFonts w:hint="eastAsia" w:cs="宋体"/>
          <w:color w:val="auto"/>
          <w:sz w:val="24"/>
          <w:szCs w:val="24"/>
        </w:rPr>
        <w:t>（1）具有独立承担民事责任能力的法人、其他组织或自然人，并出具合法有效的营业执照或事业单位法人证书等国家规定的相关证明，自然人参与的提供其身份证明；</w:t>
      </w:r>
    </w:p>
    <w:p>
      <w:pPr>
        <w:spacing w:line="360" w:lineRule="auto"/>
        <w:ind w:firstLine="480" w:firstLineChars="200"/>
        <w:rPr>
          <w:rFonts w:cs="宋体"/>
          <w:color w:val="auto"/>
          <w:sz w:val="24"/>
          <w:szCs w:val="24"/>
        </w:rPr>
      </w:pPr>
      <w:r>
        <w:rPr>
          <w:rFonts w:hint="eastAsia" w:cs="宋体"/>
          <w:color w:val="auto"/>
          <w:sz w:val="24"/>
          <w:szCs w:val="24"/>
        </w:rPr>
        <w:t>（2）财务状况报告：</w:t>
      </w:r>
      <w:r>
        <w:rPr>
          <w:rFonts w:hint="eastAsia" w:cs="宋体"/>
          <w:color w:val="auto"/>
          <w:sz w:val="24"/>
          <w:szCs w:val="24"/>
          <w:lang w:val="en-US" w:eastAsia="zh-CN"/>
        </w:rPr>
        <w:t>提供 2021 年度或 2022 年度经审计的财务报告（包括“四表一注”，即资产负债表、利润表、现金流量表、所有者权益变动表及其附注，成立时间至提交投标文件截止时间不足一年的可提供成立后任意时段的资产负债表），或其开标前三个月内基本开户银行出具的资信证明</w:t>
      </w:r>
      <w:r>
        <w:rPr>
          <w:rFonts w:hint="eastAsia" w:cs="宋体"/>
          <w:color w:val="auto"/>
          <w:sz w:val="24"/>
          <w:szCs w:val="24"/>
        </w:rPr>
        <w:t xml:space="preserve">； </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 xml:space="preserve">（3）社保缴纳证明：提供递交投标文件截止之日前一年内任意一个月的社会保障资金缴存单据或社保机构开具的社会保险参保缴费情况证明。依法不需要缴纳社会保障资金的供应商应提供相关证明文件； </w:t>
      </w:r>
    </w:p>
    <w:p>
      <w:pPr>
        <w:spacing w:line="360" w:lineRule="auto"/>
        <w:ind w:firstLine="480" w:firstLineChars="200"/>
        <w:rPr>
          <w:rFonts w:cs="宋体"/>
          <w:color w:val="auto"/>
          <w:sz w:val="24"/>
          <w:szCs w:val="24"/>
        </w:rPr>
      </w:pPr>
      <w:r>
        <w:rPr>
          <w:rFonts w:hint="eastAsia" w:cs="宋体"/>
          <w:color w:val="auto"/>
          <w:sz w:val="24"/>
          <w:szCs w:val="24"/>
        </w:rPr>
        <w:t>（4）税收缴纳证明：</w:t>
      </w:r>
      <w:r>
        <w:rPr>
          <w:rFonts w:hint="eastAsia" w:cs="宋体"/>
          <w:color w:val="auto"/>
          <w:sz w:val="24"/>
          <w:szCs w:val="24"/>
          <w:lang w:val="en-US" w:eastAsia="zh-CN"/>
        </w:rPr>
        <w:t>提供递交投标文件截止之日前一年内任意一个月的依法缴纳税收的相关凭据，凭据应有税务机关或代收机关的公章或业务专用章。 依法免税或无须缴纳税收的供应商，应提供相应证明文件</w:t>
      </w:r>
      <w:r>
        <w:rPr>
          <w:rFonts w:hint="eastAsia" w:cs="宋体"/>
          <w:color w:val="auto"/>
          <w:sz w:val="24"/>
          <w:szCs w:val="24"/>
        </w:rPr>
        <w:t xml:space="preserve">； </w:t>
      </w:r>
    </w:p>
    <w:p>
      <w:pPr>
        <w:spacing w:line="360" w:lineRule="auto"/>
        <w:ind w:firstLine="480" w:firstLineChars="200"/>
        <w:rPr>
          <w:rFonts w:cs="宋体"/>
          <w:color w:val="auto"/>
          <w:sz w:val="24"/>
          <w:szCs w:val="24"/>
        </w:rPr>
      </w:pPr>
      <w:r>
        <w:rPr>
          <w:rFonts w:hint="eastAsia" w:cs="宋体"/>
          <w:color w:val="auto"/>
          <w:sz w:val="24"/>
          <w:szCs w:val="24"/>
        </w:rPr>
        <w:t>（5）参加政府采购活动前3年内，在经营活动中没有重大违法记录的书面声明；</w:t>
      </w:r>
    </w:p>
    <w:p>
      <w:pPr>
        <w:spacing w:line="360" w:lineRule="auto"/>
        <w:ind w:firstLine="480" w:firstLineChars="200"/>
        <w:rPr>
          <w:rFonts w:hint="eastAsia" w:cs="宋体"/>
          <w:color w:val="auto"/>
          <w:sz w:val="24"/>
          <w:szCs w:val="24"/>
        </w:rPr>
      </w:pPr>
      <w:r>
        <w:rPr>
          <w:rFonts w:hint="eastAsia" w:cs="宋体"/>
          <w:color w:val="auto"/>
          <w:sz w:val="24"/>
          <w:szCs w:val="24"/>
        </w:rPr>
        <w:t>（6）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p>
    <w:p>
      <w:pPr>
        <w:spacing w:line="360" w:lineRule="auto"/>
        <w:rPr>
          <w:rFonts w:cs="宋体"/>
          <w:b/>
          <w:bCs/>
          <w:color w:val="auto"/>
          <w:sz w:val="24"/>
          <w:szCs w:val="24"/>
        </w:rPr>
      </w:pPr>
      <w:r>
        <w:rPr>
          <w:rFonts w:hint="eastAsia" w:cs="宋体"/>
          <w:b/>
          <w:bCs/>
          <w:color w:val="auto"/>
          <w:sz w:val="24"/>
          <w:szCs w:val="24"/>
        </w:rPr>
        <w:t>（二）特定资格条件：</w:t>
      </w:r>
    </w:p>
    <w:p>
      <w:pPr>
        <w:spacing w:line="360" w:lineRule="auto"/>
        <w:rPr>
          <w:rFonts w:cs="宋体"/>
          <w:color w:val="auto"/>
          <w:sz w:val="24"/>
          <w:szCs w:val="24"/>
        </w:rPr>
      </w:pPr>
      <w:r>
        <w:rPr>
          <w:rFonts w:hint="eastAsia" w:cs="宋体"/>
          <w:color w:val="auto"/>
          <w:sz w:val="24"/>
          <w:szCs w:val="24"/>
        </w:rPr>
        <w:t>（1）法定代表人直接参加投标的，须出具法人身份证明及身份证；法定代表人授权代表参加投标的，须出具法定代表人授权书及授权代表身份证； </w:t>
      </w:r>
    </w:p>
    <w:p>
      <w:pPr>
        <w:spacing w:line="360" w:lineRule="auto"/>
        <w:rPr>
          <w:rFonts w:cs="宋体"/>
          <w:color w:val="auto"/>
          <w:sz w:val="24"/>
          <w:szCs w:val="24"/>
        </w:rPr>
      </w:pPr>
      <w:r>
        <w:rPr>
          <w:rFonts w:hint="eastAsia" w:cs="宋体"/>
          <w:color w:val="auto"/>
          <w:sz w:val="24"/>
          <w:szCs w:val="24"/>
        </w:rPr>
        <w:t>（2）单位负责人为同一人或者存在直接控股、管理关系的不同供应商，不得参加同一合同项下的政府采购活动；</w:t>
      </w:r>
    </w:p>
    <w:p>
      <w:pPr>
        <w:spacing w:line="360" w:lineRule="auto"/>
        <w:rPr>
          <w:rFonts w:hint="eastAsia" w:eastAsia="宋体" w:cs="宋体"/>
          <w:color w:val="auto"/>
          <w:sz w:val="24"/>
          <w:szCs w:val="24"/>
          <w:lang w:eastAsia="zh-CN"/>
        </w:rPr>
      </w:pPr>
      <w:r>
        <w:rPr>
          <w:rFonts w:hint="eastAsia" w:cs="宋体"/>
          <w:color w:val="auto"/>
          <w:sz w:val="24"/>
          <w:szCs w:val="24"/>
        </w:rPr>
        <w:t>（3）本项目专门面向中小企业采购</w:t>
      </w:r>
      <w:r>
        <w:rPr>
          <w:rFonts w:hint="eastAsia" w:cs="宋体"/>
          <w:color w:val="auto"/>
          <w:sz w:val="24"/>
          <w:szCs w:val="24"/>
          <w:lang w:eastAsia="zh-CN"/>
        </w:rPr>
        <w:t>。</w:t>
      </w:r>
    </w:p>
    <w:p>
      <w:pPr>
        <w:spacing w:line="360" w:lineRule="auto"/>
        <w:rPr>
          <w:rFonts w:cs="宋体"/>
          <w:color w:val="auto"/>
          <w:sz w:val="24"/>
          <w:szCs w:val="24"/>
        </w:rPr>
      </w:pPr>
      <w:r>
        <w:rPr>
          <w:rFonts w:hint="eastAsia" w:cs="宋体"/>
          <w:color w:val="auto"/>
          <w:sz w:val="24"/>
          <w:szCs w:val="24"/>
        </w:rPr>
        <w:br w:type="page"/>
      </w:r>
    </w:p>
    <w:p>
      <w:pPr>
        <w:spacing w:before="120" w:beforeLines="50" w:line="360" w:lineRule="auto"/>
        <w:rPr>
          <w:rFonts w:cs="宋体"/>
          <w:b/>
          <w:bCs/>
          <w:color w:val="auto"/>
          <w:sz w:val="24"/>
          <w:szCs w:val="24"/>
        </w:rPr>
      </w:pPr>
      <w:r>
        <w:rPr>
          <w:rFonts w:hint="eastAsia" w:cs="宋体"/>
          <w:b/>
          <w:bCs/>
          <w:color w:val="auto"/>
          <w:sz w:val="24"/>
          <w:szCs w:val="24"/>
        </w:rPr>
        <w:t>附件1</w:t>
      </w:r>
    </w:p>
    <w:p>
      <w:pPr>
        <w:spacing w:before="120" w:beforeLines="50" w:line="360" w:lineRule="auto"/>
        <w:jc w:val="center"/>
        <w:rPr>
          <w:rFonts w:cs="宋体"/>
          <w:b/>
          <w:bCs/>
          <w:color w:val="auto"/>
          <w:sz w:val="24"/>
          <w:szCs w:val="24"/>
        </w:rPr>
      </w:pPr>
      <w:r>
        <w:rPr>
          <w:rFonts w:hint="eastAsia" w:cs="宋体"/>
          <w:b/>
          <w:bCs/>
          <w:color w:val="auto"/>
          <w:sz w:val="24"/>
          <w:szCs w:val="24"/>
        </w:rPr>
        <w:t>法定代表人身份证明</w:t>
      </w:r>
    </w:p>
    <w:p>
      <w:pPr>
        <w:autoSpaceDE w:val="0"/>
        <w:autoSpaceDN w:val="0"/>
        <w:adjustRightInd w:val="0"/>
        <w:snapToGrid w:val="0"/>
        <w:spacing w:before="120" w:beforeLines="50" w:line="360" w:lineRule="auto"/>
        <w:ind w:firstLine="480" w:firstLineChars="200"/>
        <w:jc w:val="left"/>
        <w:rPr>
          <w:rFonts w:cs="宋体"/>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 xml:space="preserve"> </w:t>
      </w:r>
    </w:p>
    <w:p>
      <w:pPr>
        <w:autoSpaceDE w:val="0"/>
        <w:autoSpaceDN w:val="0"/>
        <w:adjustRightInd w:val="0"/>
        <w:snapToGrid w:val="0"/>
        <w:spacing w:before="120" w:beforeLines="50" w:line="360" w:lineRule="auto"/>
        <w:ind w:firstLine="480" w:firstLineChars="200"/>
        <w:jc w:val="left"/>
        <w:rPr>
          <w:rFonts w:cs="宋体"/>
          <w:color w:val="auto"/>
          <w:sz w:val="24"/>
          <w:szCs w:val="24"/>
        </w:rPr>
      </w:pPr>
      <w:r>
        <w:rPr>
          <w:rFonts w:hint="eastAsia" w:cs="宋体"/>
          <w:color w:val="auto"/>
          <w:sz w:val="24"/>
          <w:szCs w:val="24"/>
        </w:rPr>
        <w:t>统一社会信用代码：</w:t>
      </w:r>
      <w:r>
        <w:rPr>
          <w:rFonts w:hint="eastAsia" w:cs="宋体"/>
          <w:color w:val="auto"/>
          <w:sz w:val="24"/>
          <w:szCs w:val="24"/>
          <w:u w:val="single"/>
        </w:rPr>
        <w:t xml:space="preserve">                </w:t>
      </w:r>
    </w:p>
    <w:p>
      <w:pPr>
        <w:autoSpaceDE w:val="0"/>
        <w:autoSpaceDN w:val="0"/>
        <w:adjustRightInd w:val="0"/>
        <w:snapToGrid w:val="0"/>
        <w:spacing w:before="120" w:beforeLines="50" w:line="360" w:lineRule="auto"/>
        <w:ind w:firstLine="480" w:firstLineChars="200"/>
        <w:jc w:val="left"/>
        <w:rPr>
          <w:rFonts w:cs="宋体"/>
          <w:color w:val="auto"/>
          <w:sz w:val="24"/>
          <w:szCs w:val="24"/>
        </w:rPr>
      </w:pPr>
      <w:r>
        <w:rPr>
          <w:rFonts w:hint="eastAsia" w:cs="宋体"/>
          <w:color w:val="auto"/>
          <w:sz w:val="24"/>
          <w:szCs w:val="24"/>
        </w:rPr>
        <w:t>注册地址：</w:t>
      </w:r>
      <w:r>
        <w:rPr>
          <w:rFonts w:hint="eastAsia" w:cs="宋体"/>
          <w:color w:val="auto"/>
          <w:sz w:val="24"/>
          <w:szCs w:val="24"/>
          <w:u w:val="single"/>
        </w:rPr>
        <w:t xml:space="preserve">                        </w:t>
      </w:r>
    </w:p>
    <w:p>
      <w:pPr>
        <w:autoSpaceDE w:val="0"/>
        <w:autoSpaceDN w:val="0"/>
        <w:adjustRightInd w:val="0"/>
        <w:snapToGrid w:val="0"/>
        <w:spacing w:before="120" w:beforeLines="50" w:line="360" w:lineRule="auto"/>
        <w:ind w:firstLine="480" w:firstLineChars="200"/>
        <w:jc w:val="left"/>
        <w:rPr>
          <w:rFonts w:cs="宋体"/>
          <w:color w:val="auto"/>
          <w:sz w:val="24"/>
          <w:szCs w:val="24"/>
        </w:rPr>
      </w:pPr>
      <w:r>
        <w:rPr>
          <w:rFonts w:hint="eastAsia" w:cs="宋体"/>
          <w:color w:val="auto"/>
          <w:sz w:val="24"/>
          <w:szCs w:val="24"/>
        </w:rPr>
        <w:t>成立时间：</w:t>
      </w:r>
      <w:r>
        <w:rPr>
          <w:rFonts w:hint="eastAsia" w:cs="宋体"/>
          <w:color w:val="auto"/>
          <w:sz w:val="24"/>
          <w:szCs w:val="24"/>
          <w:u w:val="single"/>
        </w:rPr>
        <w:t xml:space="preserve">    </w:t>
      </w:r>
      <w:r>
        <w:rPr>
          <w:rFonts w:hint="eastAsia" w:cs="宋体"/>
          <w:color w:val="auto"/>
          <w:sz w:val="24"/>
          <w:szCs w:val="24"/>
        </w:rPr>
        <w:t xml:space="preserve">年 </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pPr>
        <w:autoSpaceDE w:val="0"/>
        <w:autoSpaceDN w:val="0"/>
        <w:adjustRightInd w:val="0"/>
        <w:snapToGrid w:val="0"/>
        <w:spacing w:before="120" w:beforeLines="50" w:line="360" w:lineRule="auto"/>
        <w:ind w:firstLine="480" w:firstLineChars="200"/>
        <w:jc w:val="left"/>
        <w:rPr>
          <w:rFonts w:cs="宋体"/>
          <w:color w:val="auto"/>
          <w:sz w:val="24"/>
          <w:szCs w:val="24"/>
          <w:u w:val="single"/>
        </w:rPr>
      </w:pPr>
      <w:r>
        <w:rPr>
          <w:rFonts w:hint="eastAsia" w:cs="宋体"/>
          <w:color w:val="auto"/>
          <w:sz w:val="24"/>
          <w:szCs w:val="24"/>
        </w:rPr>
        <w:t>经营期限：</w:t>
      </w:r>
      <w:r>
        <w:rPr>
          <w:rFonts w:hint="eastAsia" w:cs="宋体"/>
          <w:color w:val="auto"/>
          <w:sz w:val="24"/>
          <w:szCs w:val="24"/>
          <w:u w:val="single"/>
        </w:rPr>
        <w:t xml:space="preserve">                  </w:t>
      </w:r>
    </w:p>
    <w:p>
      <w:pPr>
        <w:autoSpaceDE w:val="0"/>
        <w:autoSpaceDN w:val="0"/>
        <w:adjustRightInd w:val="0"/>
        <w:snapToGrid w:val="0"/>
        <w:spacing w:before="120" w:beforeLines="50" w:line="360" w:lineRule="auto"/>
        <w:ind w:firstLine="480" w:firstLineChars="200"/>
        <w:jc w:val="left"/>
        <w:rPr>
          <w:rFonts w:cs="宋体"/>
          <w:color w:val="auto"/>
          <w:sz w:val="24"/>
          <w:szCs w:val="24"/>
        </w:rPr>
      </w:pPr>
      <w:r>
        <w:rPr>
          <w:rFonts w:hint="eastAsia" w:cs="宋体"/>
          <w:color w:val="auto"/>
          <w:sz w:val="24"/>
          <w:szCs w:val="24"/>
        </w:rPr>
        <w:t>姓名：</w:t>
      </w:r>
      <w:r>
        <w:rPr>
          <w:rFonts w:hint="eastAsia" w:cs="宋体"/>
          <w:color w:val="auto"/>
          <w:sz w:val="24"/>
          <w:szCs w:val="24"/>
          <w:u w:val="single"/>
        </w:rPr>
        <w:t xml:space="preserve">      </w:t>
      </w:r>
      <w:r>
        <w:rPr>
          <w:rFonts w:hint="eastAsia" w:cs="宋体"/>
          <w:color w:val="auto"/>
          <w:sz w:val="24"/>
          <w:szCs w:val="24"/>
        </w:rPr>
        <w:t xml:space="preserve"> 性别：</w:t>
      </w:r>
      <w:r>
        <w:rPr>
          <w:rFonts w:hint="eastAsia" w:cs="宋体"/>
          <w:color w:val="auto"/>
          <w:sz w:val="24"/>
          <w:szCs w:val="24"/>
          <w:u w:val="single"/>
        </w:rPr>
        <w:t xml:space="preserve">     </w:t>
      </w:r>
      <w:r>
        <w:rPr>
          <w:rFonts w:hint="eastAsia" w:cs="宋体"/>
          <w:color w:val="auto"/>
          <w:sz w:val="24"/>
          <w:szCs w:val="24"/>
        </w:rPr>
        <w:t xml:space="preserve"> 年龄：</w:t>
      </w:r>
      <w:r>
        <w:rPr>
          <w:rFonts w:hint="eastAsia" w:cs="宋体"/>
          <w:color w:val="auto"/>
          <w:sz w:val="24"/>
          <w:szCs w:val="24"/>
          <w:u w:val="single"/>
        </w:rPr>
        <w:t xml:space="preserve">     </w:t>
      </w:r>
      <w:r>
        <w:rPr>
          <w:rFonts w:hint="eastAsia" w:cs="宋体"/>
          <w:color w:val="auto"/>
          <w:sz w:val="24"/>
          <w:szCs w:val="24"/>
        </w:rPr>
        <w:t xml:space="preserve"> 系</w:t>
      </w:r>
      <w:r>
        <w:rPr>
          <w:rFonts w:hint="eastAsia" w:cs="宋体"/>
          <w:color w:val="auto"/>
          <w:sz w:val="24"/>
          <w:szCs w:val="24"/>
          <w:u w:val="single"/>
        </w:rPr>
        <w:t xml:space="preserve">         </w:t>
      </w:r>
      <w:r>
        <w:rPr>
          <w:rFonts w:hint="eastAsia" w:cs="宋体"/>
          <w:color w:val="auto"/>
          <w:sz w:val="24"/>
          <w:szCs w:val="24"/>
        </w:rPr>
        <w:t>（供应商名称）的法定代表人。</w:t>
      </w:r>
    </w:p>
    <w:p>
      <w:pPr>
        <w:autoSpaceDE w:val="0"/>
        <w:autoSpaceDN w:val="0"/>
        <w:adjustRightInd w:val="0"/>
        <w:snapToGrid w:val="0"/>
        <w:spacing w:before="120" w:beforeLines="50" w:line="360" w:lineRule="auto"/>
        <w:ind w:firstLine="480" w:firstLineChars="200"/>
        <w:jc w:val="left"/>
        <w:rPr>
          <w:rFonts w:cs="宋体"/>
          <w:color w:val="auto"/>
          <w:sz w:val="24"/>
          <w:szCs w:val="24"/>
        </w:rPr>
      </w:pPr>
      <w:r>
        <w:rPr>
          <w:rFonts w:hint="eastAsia" w:cs="宋体"/>
          <w:color w:val="auto"/>
          <w:sz w:val="24"/>
          <w:szCs w:val="24"/>
        </w:rPr>
        <w:t>特此证明。</w:t>
      </w:r>
    </w:p>
    <w:p>
      <w:pPr>
        <w:autoSpaceDE w:val="0"/>
        <w:autoSpaceDN w:val="0"/>
        <w:adjustRightInd w:val="0"/>
        <w:snapToGrid w:val="0"/>
        <w:spacing w:before="120" w:beforeLines="50" w:line="360" w:lineRule="auto"/>
        <w:ind w:firstLine="480" w:firstLineChars="200"/>
        <w:jc w:val="left"/>
        <w:rPr>
          <w:rFonts w:cs="宋体"/>
          <w:color w:val="auto"/>
          <w:sz w:val="24"/>
          <w:szCs w:val="24"/>
        </w:rPr>
      </w:pPr>
      <w:r>
        <w:rPr>
          <w:rFonts w:hint="eastAsia" w:cs="宋体"/>
          <w:color w:val="auto"/>
          <w:sz w:val="24"/>
          <w:szCs w:val="24"/>
        </w:rPr>
        <w:t>附：法定代表人身份证复印件</w:t>
      </w:r>
      <w:r>
        <w:rPr>
          <w:rFonts w:hint="eastAsia" w:cs="宋体"/>
          <w:color w:val="auto"/>
          <w:sz w:val="24"/>
          <w:szCs w:val="24"/>
          <w:lang w:val="zh-CN"/>
        </w:rPr>
        <w:t>（正反面）</w:t>
      </w:r>
    </w:p>
    <w:p>
      <w:pPr>
        <w:adjustRightInd w:val="0"/>
        <w:snapToGrid w:val="0"/>
        <w:spacing w:line="360" w:lineRule="auto"/>
        <w:ind w:right="420"/>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adjustRightInd w:val="0"/>
        <w:snapToGrid w:val="0"/>
        <w:spacing w:line="360" w:lineRule="auto"/>
        <w:ind w:right="420"/>
        <w:rPr>
          <w:rFonts w:cs="宋体"/>
          <w:color w:val="auto"/>
          <w:sz w:val="24"/>
          <w:szCs w:val="24"/>
        </w:rPr>
      </w:pPr>
    </w:p>
    <w:p>
      <w:pPr>
        <w:adjustRightInd w:val="0"/>
        <w:snapToGrid w:val="0"/>
        <w:spacing w:line="360" w:lineRule="auto"/>
        <w:ind w:firstLine="480" w:firstLineChars="200"/>
        <w:rPr>
          <w:rFonts w:cs="宋体"/>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adjustRightInd w:val="0"/>
        <w:snapToGrid w:val="0"/>
        <w:spacing w:line="360" w:lineRule="auto"/>
        <w:ind w:firstLine="480" w:firstLineChars="200"/>
        <w:rPr>
          <w:rFonts w:cs="宋体"/>
          <w:color w:val="auto"/>
          <w:sz w:val="24"/>
          <w:szCs w:val="24"/>
        </w:rPr>
      </w:pPr>
      <w:r>
        <w:rPr>
          <w:rFonts w:hint="eastAsia" w:cs="宋体"/>
          <w:color w:val="auto"/>
          <w:sz w:val="24"/>
          <w:szCs w:val="24"/>
        </w:rPr>
        <w:t>日   期：</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pPr>
        <w:spacing w:line="360" w:lineRule="auto"/>
        <w:ind w:left="420" w:leftChars="200"/>
        <w:rPr>
          <w:rFonts w:cs="宋体"/>
          <w:color w:val="auto"/>
          <w:sz w:val="24"/>
          <w:szCs w:val="24"/>
        </w:rPr>
      </w:pPr>
    </w:p>
    <w:p>
      <w:pPr>
        <w:spacing w:line="360" w:lineRule="auto"/>
        <w:ind w:left="420" w:leftChars="200"/>
        <w:rPr>
          <w:rFonts w:cs="宋体"/>
          <w:color w:val="auto"/>
          <w:sz w:val="24"/>
          <w:szCs w:val="24"/>
        </w:rPr>
      </w:pPr>
    </w:p>
    <w:p>
      <w:pPr>
        <w:spacing w:line="360" w:lineRule="auto"/>
        <w:rPr>
          <w:rFonts w:cs="宋体"/>
          <w:color w:val="auto"/>
          <w:sz w:val="24"/>
          <w:szCs w:val="24"/>
        </w:rPr>
      </w:pPr>
      <w:r>
        <w:rPr>
          <w:rFonts w:hint="eastAsia" w:cs="宋体"/>
          <w:color w:val="auto"/>
          <w:sz w:val="24"/>
          <w:szCs w:val="24"/>
        </w:rPr>
        <w:br w:type="page"/>
      </w:r>
    </w:p>
    <w:p>
      <w:pPr>
        <w:spacing w:before="120" w:beforeLines="50" w:line="360" w:lineRule="auto"/>
        <w:jc w:val="center"/>
        <w:rPr>
          <w:rFonts w:cs="宋体"/>
          <w:b/>
          <w:bCs/>
          <w:color w:val="auto"/>
          <w:sz w:val="24"/>
          <w:szCs w:val="24"/>
        </w:rPr>
      </w:pPr>
      <w:r>
        <w:rPr>
          <w:rFonts w:hint="eastAsia" w:cs="宋体"/>
          <w:b/>
          <w:bCs/>
          <w:color w:val="auto"/>
          <w:sz w:val="24"/>
          <w:szCs w:val="24"/>
        </w:rPr>
        <w:t>法定代表人授权书</w:t>
      </w:r>
    </w:p>
    <w:p>
      <w:pPr>
        <w:spacing w:line="360" w:lineRule="auto"/>
        <w:jc w:val="left"/>
        <w:rPr>
          <w:rFonts w:cs="宋体"/>
          <w:color w:val="auto"/>
          <w:spacing w:val="4"/>
          <w:sz w:val="24"/>
          <w:szCs w:val="24"/>
        </w:rPr>
      </w:pPr>
      <w:r>
        <w:rPr>
          <w:rFonts w:hint="eastAsia" w:cs="宋体"/>
          <w:b/>
          <w:color w:val="auto"/>
          <w:spacing w:val="4"/>
          <w:sz w:val="24"/>
          <w:szCs w:val="24"/>
        </w:rPr>
        <w:t>致：</w:t>
      </w:r>
      <w:r>
        <w:rPr>
          <w:rFonts w:hint="eastAsia" w:cs="宋体"/>
          <w:b/>
          <w:color w:val="auto"/>
          <w:spacing w:val="4"/>
          <w:sz w:val="24"/>
          <w:szCs w:val="24"/>
          <w:u w:val="single"/>
        </w:rPr>
        <w:t>陕西金字招标有限责任公司</w:t>
      </w:r>
    </w:p>
    <w:p>
      <w:pPr>
        <w:spacing w:line="360" w:lineRule="auto"/>
        <w:ind w:firstLine="496" w:firstLineChars="200"/>
        <w:jc w:val="left"/>
        <w:rPr>
          <w:rFonts w:cs="宋体"/>
          <w:color w:val="auto"/>
          <w:spacing w:val="4"/>
          <w:sz w:val="24"/>
          <w:szCs w:val="24"/>
        </w:rPr>
      </w:pPr>
      <w:r>
        <w:rPr>
          <w:rFonts w:hint="eastAsia" w:cs="宋体"/>
          <w:color w:val="auto"/>
          <w:spacing w:val="4"/>
          <w:sz w:val="24"/>
          <w:szCs w:val="24"/>
          <w:u w:val="single"/>
        </w:rPr>
        <w:t xml:space="preserve">(供应商名称)   </w:t>
      </w:r>
      <w:r>
        <w:rPr>
          <w:rFonts w:hint="eastAsia" w:cs="宋体"/>
          <w:color w:val="auto"/>
          <w:spacing w:val="4"/>
          <w:sz w:val="24"/>
          <w:szCs w:val="24"/>
        </w:rPr>
        <w:t>按中华人民共和国法律于（</w:t>
      </w:r>
      <w:r>
        <w:rPr>
          <w:rFonts w:hint="eastAsia" w:cs="宋体"/>
          <w:color w:val="auto"/>
          <w:spacing w:val="4"/>
          <w:sz w:val="24"/>
          <w:szCs w:val="24"/>
          <w:u w:val="single"/>
        </w:rPr>
        <w:t xml:space="preserve">     </w:t>
      </w:r>
      <w:r>
        <w:rPr>
          <w:rFonts w:hint="eastAsia" w:cs="宋体"/>
          <w:color w:val="auto"/>
          <w:spacing w:val="4"/>
          <w:sz w:val="24"/>
          <w:szCs w:val="24"/>
        </w:rPr>
        <w:t>年</w:t>
      </w:r>
      <w:r>
        <w:rPr>
          <w:rFonts w:hint="eastAsia" w:cs="宋体"/>
          <w:color w:val="auto"/>
          <w:spacing w:val="4"/>
          <w:sz w:val="24"/>
          <w:szCs w:val="24"/>
          <w:u w:val="single"/>
        </w:rPr>
        <w:t xml:space="preserve">    </w:t>
      </w:r>
      <w:r>
        <w:rPr>
          <w:rFonts w:hint="eastAsia" w:cs="宋体"/>
          <w:color w:val="auto"/>
          <w:spacing w:val="4"/>
          <w:sz w:val="24"/>
          <w:szCs w:val="24"/>
        </w:rPr>
        <w:t>月</w:t>
      </w:r>
      <w:r>
        <w:rPr>
          <w:rFonts w:hint="eastAsia" w:cs="宋体"/>
          <w:color w:val="auto"/>
          <w:spacing w:val="4"/>
          <w:sz w:val="24"/>
          <w:szCs w:val="24"/>
          <w:u w:val="single"/>
        </w:rPr>
        <w:t xml:space="preserve">    </w:t>
      </w:r>
      <w:r>
        <w:rPr>
          <w:rFonts w:hint="eastAsia" w:cs="宋体"/>
          <w:color w:val="auto"/>
          <w:spacing w:val="4"/>
          <w:sz w:val="24"/>
          <w:szCs w:val="24"/>
        </w:rPr>
        <w:t>日 ）  成立。</w:t>
      </w:r>
      <w:r>
        <w:rPr>
          <w:rFonts w:hint="eastAsia" w:cs="宋体"/>
          <w:color w:val="auto"/>
          <w:sz w:val="24"/>
          <w:szCs w:val="24"/>
        </w:rPr>
        <w:t>法定代表人</w:t>
      </w:r>
      <w:r>
        <w:rPr>
          <w:rFonts w:hint="eastAsia" w:cs="宋体"/>
          <w:color w:val="auto"/>
          <w:sz w:val="24"/>
          <w:szCs w:val="24"/>
          <w:u w:val="single"/>
        </w:rPr>
        <w:t xml:space="preserve">  </w:t>
      </w:r>
      <w:r>
        <w:rPr>
          <w:rFonts w:hint="eastAsia" w:cs="宋体"/>
          <w:color w:val="auto"/>
          <w:spacing w:val="4"/>
          <w:sz w:val="24"/>
          <w:szCs w:val="24"/>
          <w:u w:val="single"/>
        </w:rPr>
        <w:t xml:space="preserve">姓名   </w:t>
      </w:r>
      <w:r>
        <w:rPr>
          <w:rFonts w:hint="eastAsia" w:cs="宋体"/>
          <w:color w:val="auto"/>
          <w:spacing w:val="4"/>
          <w:sz w:val="24"/>
          <w:szCs w:val="24"/>
        </w:rPr>
        <w:t>特授权</w:t>
      </w:r>
      <w:r>
        <w:rPr>
          <w:rFonts w:hint="eastAsia" w:cs="宋体"/>
          <w:color w:val="auto"/>
          <w:spacing w:val="4"/>
          <w:sz w:val="24"/>
          <w:szCs w:val="24"/>
          <w:u w:val="single"/>
        </w:rPr>
        <w:t xml:space="preserve">  </w:t>
      </w:r>
      <w:r>
        <w:rPr>
          <w:rFonts w:hint="eastAsia" w:cs="宋体"/>
          <w:color w:val="auto"/>
          <w:sz w:val="24"/>
          <w:szCs w:val="24"/>
          <w:u w:val="single"/>
        </w:rPr>
        <w:t>被授权人</w:t>
      </w:r>
      <w:r>
        <w:rPr>
          <w:rFonts w:hint="eastAsia" w:cs="宋体"/>
          <w:color w:val="auto"/>
          <w:spacing w:val="4"/>
          <w:sz w:val="24"/>
          <w:szCs w:val="24"/>
          <w:u w:val="single"/>
        </w:rPr>
        <w:t xml:space="preserve">姓名  </w:t>
      </w:r>
      <w:r>
        <w:rPr>
          <w:rFonts w:hint="eastAsia" w:cs="宋体"/>
          <w:color w:val="auto"/>
          <w:spacing w:val="4"/>
          <w:sz w:val="24"/>
          <w:szCs w:val="24"/>
        </w:rPr>
        <w:t>代表我公司全权办理针对本次</w:t>
      </w:r>
      <w:r>
        <w:rPr>
          <w:rFonts w:hint="eastAsia" w:cs="宋体"/>
          <w:color w:val="auto"/>
          <w:spacing w:val="4"/>
          <w:sz w:val="24"/>
          <w:szCs w:val="24"/>
          <w:u w:val="single"/>
        </w:rPr>
        <w:t xml:space="preserve">  项目名称、项目编号   </w:t>
      </w:r>
      <w:r>
        <w:rPr>
          <w:rFonts w:hint="eastAsia" w:cs="宋体"/>
          <w:color w:val="auto"/>
          <w:spacing w:val="4"/>
          <w:sz w:val="24"/>
          <w:szCs w:val="24"/>
        </w:rPr>
        <w:t>投标、谈判、签约等具体工作，并签署全部有关的文件、协议及合同。</w:t>
      </w:r>
    </w:p>
    <w:p>
      <w:pPr>
        <w:spacing w:line="360" w:lineRule="auto"/>
        <w:ind w:firstLine="496" w:firstLineChars="200"/>
        <w:jc w:val="left"/>
        <w:rPr>
          <w:rFonts w:cs="宋体"/>
          <w:color w:val="auto"/>
          <w:spacing w:val="4"/>
          <w:sz w:val="24"/>
          <w:szCs w:val="24"/>
        </w:rPr>
      </w:pPr>
      <w:r>
        <w:rPr>
          <w:rFonts w:hint="eastAsia" w:cs="宋体"/>
          <w:color w:val="auto"/>
          <w:spacing w:val="4"/>
          <w:sz w:val="24"/>
          <w:szCs w:val="24"/>
        </w:rPr>
        <w:t>我公司对</w:t>
      </w:r>
      <w:r>
        <w:rPr>
          <w:rFonts w:hint="eastAsia" w:cs="宋体"/>
          <w:color w:val="auto"/>
          <w:sz w:val="24"/>
          <w:szCs w:val="24"/>
        </w:rPr>
        <w:t>被授权人</w:t>
      </w:r>
      <w:r>
        <w:rPr>
          <w:rFonts w:hint="eastAsia" w:cs="宋体"/>
          <w:color w:val="auto"/>
          <w:spacing w:val="4"/>
          <w:sz w:val="24"/>
          <w:szCs w:val="24"/>
        </w:rPr>
        <w:t>的签名负全部责任。</w:t>
      </w:r>
    </w:p>
    <w:p>
      <w:pPr>
        <w:spacing w:line="360" w:lineRule="auto"/>
        <w:ind w:right="204" w:rightChars="97" w:firstLine="480" w:firstLineChars="200"/>
        <w:jc w:val="left"/>
        <w:rPr>
          <w:rFonts w:cs="宋体"/>
          <w:color w:val="auto"/>
          <w:sz w:val="24"/>
          <w:szCs w:val="24"/>
        </w:rPr>
      </w:pPr>
      <w:r>
        <w:rPr>
          <w:rFonts w:hint="eastAsia" w:cs="宋体"/>
          <w:color w:val="auto"/>
          <w:sz w:val="24"/>
          <w:szCs w:val="24"/>
        </w:rPr>
        <w:t>本授权有效期与投标有效期一致。</w:t>
      </w:r>
    </w:p>
    <w:tbl>
      <w:tblPr>
        <w:tblStyle w:val="30"/>
        <w:tblW w:w="8504" w:type="dxa"/>
        <w:tblInd w:w="0" w:type="dxa"/>
        <w:tblLayout w:type="fixed"/>
        <w:tblCellMar>
          <w:top w:w="0" w:type="dxa"/>
          <w:left w:w="108" w:type="dxa"/>
          <w:bottom w:w="0" w:type="dxa"/>
          <w:right w:w="108" w:type="dxa"/>
        </w:tblCellMar>
      </w:tblPr>
      <w:tblGrid>
        <w:gridCol w:w="4361"/>
        <w:gridCol w:w="4143"/>
      </w:tblGrid>
      <w:tr>
        <w:tblPrEx>
          <w:tblCellMar>
            <w:top w:w="0" w:type="dxa"/>
            <w:left w:w="108" w:type="dxa"/>
            <w:bottom w:w="0" w:type="dxa"/>
            <w:right w:w="108" w:type="dxa"/>
          </w:tblCellMar>
        </w:tblPrEx>
        <w:trPr>
          <w:trHeight w:val="601" w:hRule="atLeast"/>
        </w:trPr>
        <w:tc>
          <w:tcPr>
            <w:tcW w:w="4361" w:type="dxa"/>
          </w:tcPr>
          <w:p>
            <w:pPr>
              <w:spacing w:line="360" w:lineRule="auto"/>
              <w:jc w:val="left"/>
              <w:rPr>
                <w:rFonts w:cs="宋体"/>
                <w:color w:val="auto"/>
                <w:spacing w:val="4"/>
                <w:sz w:val="24"/>
                <w:szCs w:val="24"/>
                <w:u w:val="single"/>
              </w:rPr>
            </w:pPr>
            <w:r>
              <w:rPr>
                <w:rFonts w:hint="eastAsia" w:cs="宋体"/>
                <w:color w:val="auto"/>
                <w:spacing w:val="4"/>
                <w:sz w:val="24"/>
                <w:szCs w:val="24"/>
              </w:rPr>
              <w:t>被授权人签字或盖章：</w:t>
            </w:r>
            <w:r>
              <w:rPr>
                <w:rFonts w:hint="eastAsia" w:cs="宋体"/>
                <w:color w:val="auto"/>
                <w:spacing w:val="4"/>
                <w:sz w:val="24"/>
                <w:szCs w:val="24"/>
                <w:u w:val="single"/>
              </w:rPr>
              <w:t xml:space="preserve">             </w:t>
            </w:r>
          </w:p>
        </w:tc>
        <w:tc>
          <w:tcPr>
            <w:tcW w:w="4143" w:type="dxa"/>
          </w:tcPr>
          <w:p>
            <w:pPr>
              <w:spacing w:line="360" w:lineRule="auto"/>
              <w:jc w:val="left"/>
              <w:rPr>
                <w:rFonts w:cs="宋体"/>
                <w:color w:val="auto"/>
                <w:spacing w:val="4"/>
                <w:sz w:val="24"/>
                <w:szCs w:val="24"/>
                <w:u w:val="single"/>
              </w:rPr>
            </w:pPr>
            <w:r>
              <w:rPr>
                <w:rFonts w:hint="eastAsia" w:cs="宋体"/>
                <w:color w:val="auto"/>
                <w:sz w:val="24"/>
                <w:szCs w:val="24"/>
              </w:rPr>
              <w:t>法定代表人</w:t>
            </w:r>
            <w:r>
              <w:rPr>
                <w:rFonts w:hint="eastAsia" w:cs="宋体"/>
                <w:color w:val="auto"/>
                <w:spacing w:val="4"/>
                <w:sz w:val="24"/>
                <w:szCs w:val="24"/>
              </w:rPr>
              <w:t>签字或盖章：</w:t>
            </w:r>
            <w:r>
              <w:rPr>
                <w:rFonts w:hint="eastAsia" w:cs="宋体"/>
                <w:color w:val="auto"/>
                <w:spacing w:val="4"/>
                <w:sz w:val="24"/>
                <w:szCs w:val="24"/>
                <w:u w:val="single"/>
              </w:rPr>
              <w:t xml:space="preserve">           </w:t>
            </w:r>
          </w:p>
        </w:tc>
      </w:tr>
      <w:tr>
        <w:tblPrEx>
          <w:tblCellMar>
            <w:top w:w="0" w:type="dxa"/>
            <w:left w:w="108" w:type="dxa"/>
            <w:bottom w:w="0" w:type="dxa"/>
            <w:right w:w="108" w:type="dxa"/>
          </w:tblCellMar>
        </w:tblPrEx>
        <w:trPr>
          <w:trHeight w:val="601" w:hRule="atLeast"/>
        </w:trPr>
        <w:tc>
          <w:tcPr>
            <w:tcW w:w="4361" w:type="dxa"/>
          </w:tcPr>
          <w:p>
            <w:pPr>
              <w:spacing w:line="360" w:lineRule="auto"/>
              <w:jc w:val="left"/>
              <w:rPr>
                <w:rFonts w:cs="宋体"/>
                <w:color w:val="auto"/>
                <w:spacing w:val="4"/>
                <w:sz w:val="24"/>
                <w:szCs w:val="24"/>
              </w:rPr>
            </w:pPr>
            <w:r>
              <w:rPr>
                <w:rFonts w:hint="eastAsia" w:cs="宋体"/>
                <w:color w:val="auto"/>
                <w:spacing w:val="4"/>
                <w:sz w:val="24"/>
                <w:szCs w:val="24"/>
              </w:rPr>
              <w:t>职务：</w:t>
            </w:r>
          </w:p>
        </w:tc>
        <w:tc>
          <w:tcPr>
            <w:tcW w:w="4143" w:type="dxa"/>
          </w:tcPr>
          <w:p>
            <w:pPr>
              <w:spacing w:line="360" w:lineRule="auto"/>
              <w:jc w:val="left"/>
              <w:rPr>
                <w:rFonts w:cs="宋体"/>
                <w:color w:val="auto"/>
                <w:spacing w:val="4"/>
                <w:sz w:val="24"/>
                <w:szCs w:val="24"/>
              </w:rPr>
            </w:pPr>
            <w:r>
              <w:rPr>
                <w:rFonts w:hint="eastAsia" w:cs="宋体"/>
                <w:color w:val="auto"/>
                <w:spacing w:val="4"/>
                <w:sz w:val="24"/>
                <w:szCs w:val="24"/>
              </w:rPr>
              <w:t>职务：</w:t>
            </w:r>
          </w:p>
        </w:tc>
      </w:tr>
    </w:tbl>
    <w:p>
      <w:pPr>
        <w:spacing w:before="240" w:line="360" w:lineRule="auto"/>
        <w:ind w:firstLine="480" w:firstLineChars="200"/>
        <w:rPr>
          <w:rFonts w:cs="宋体"/>
          <w:color w:val="auto"/>
          <w:sz w:val="24"/>
          <w:szCs w:val="24"/>
          <w:u w:val="single"/>
        </w:rPr>
      </w:pPr>
      <w:r>
        <w:rPr>
          <w:rFonts w:hint="eastAsia" w:cs="宋体"/>
          <w:color w:val="auto"/>
          <w:sz w:val="24"/>
          <w:szCs w:val="24"/>
          <w:lang w:val="zh-CN"/>
        </w:rPr>
        <w:t>附法定代表人身份证复印件及被授权人身份证复印件（正反面）</w:t>
      </w:r>
    </w:p>
    <w:p>
      <w:pPr>
        <w:spacing w:line="360" w:lineRule="auto"/>
        <w:ind w:left="424" w:leftChars="202" w:right="540" w:rightChars="257"/>
        <w:jc w:val="left"/>
        <w:rPr>
          <w:rFonts w:cs="宋体"/>
          <w:color w:val="auto"/>
          <w:sz w:val="24"/>
          <w:szCs w:val="24"/>
        </w:rPr>
      </w:pPr>
    </w:p>
    <w:p>
      <w:pPr>
        <w:spacing w:line="360" w:lineRule="auto"/>
        <w:ind w:left="424" w:leftChars="202" w:right="540" w:rightChars="257"/>
        <w:jc w:val="left"/>
        <w:rPr>
          <w:rFonts w:cs="宋体"/>
          <w:color w:val="auto"/>
          <w:sz w:val="24"/>
          <w:szCs w:val="24"/>
        </w:rPr>
      </w:pPr>
    </w:p>
    <w:p>
      <w:pPr>
        <w:spacing w:line="360" w:lineRule="auto"/>
        <w:ind w:left="424" w:leftChars="202" w:right="540" w:rightChars="257"/>
        <w:jc w:val="left"/>
        <w:rPr>
          <w:rFonts w:cs="宋体"/>
          <w:color w:val="auto"/>
          <w:sz w:val="24"/>
          <w:szCs w:val="24"/>
        </w:rPr>
      </w:pPr>
    </w:p>
    <w:p>
      <w:pPr>
        <w:adjustRightInd w:val="0"/>
        <w:snapToGrid w:val="0"/>
        <w:spacing w:line="360" w:lineRule="auto"/>
        <w:ind w:right="420"/>
        <w:rPr>
          <w:rFonts w:cs="宋体"/>
          <w:color w:val="auto"/>
          <w:sz w:val="24"/>
          <w:szCs w:val="24"/>
        </w:rPr>
      </w:pPr>
    </w:p>
    <w:p>
      <w:pPr>
        <w:adjustRightInd w:val="0"/>
        <w:snapToGrid w:val="0"/>
        <w:spacing w:line="360" w:lineRule="auto"/>
        <w:ind w:firstLine="480" w:firstLineChars="200"/>
        <w:rPr>
          <w:rFonts w:cs="宋体"/>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adjustRightInd w:val="0"/>
        <w:snapToGrid w:val="0"/>
        <w:spacing w:line="360" w:lineRule="auto"/>
        <w:ind w:firstLine="480" w:firstLineChars="200"/>
        <w:rPr>
          <w:rFonts w:cs="宋体"/>
          <w:color w:val="auto"/>
          <w:sz w:val="24"/>
          <w:szCs w:val="24"/>
        </w:rPr>
      </w:pPr>
      <w:r>
        <w:rPr>
          <w:rFonts w:hint="eastAsia" w:cs="宋体"/>
          <w:color w:val="auto"/>
          <w:sz w:val="24"/>
          <w:szCs w:val="24"/>
        </w:rPr>
        <w:t>日   期：</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pPr>
        <w:spacing w:line="360" w:lineRule="auto"/>
        <w:ind w:firstLine="482" w:firstLineChars="200"/>
        <w:rPr>
          <w:rFonts w:cs="宋体"/>
          <w:b/>
          <w:bCs/>
          <w:color w:val="auto"/>
          <w:sz w:val="24"/>
          <w:szCs w:val="24"/>
          <w:lang w:val="zh-CN"/>
        </w:rPr>
      </w:pPr>
    </w:p>
    <w:p>
      <w:pPr>
        <w:spacing w:line="360" w:lineRule="auto"/>
        <w:ind w:firstLine="482" w:firstLineChars="200"/>
        <w:rPr>
          <w:rFonts w:cs="宋体"/>
          <w:b/>
          <w:bCs/>
          <w:color w:val="auto"/>
          <w:sz w:val="24"/>
          <w:szCs w:val="24"/>
          <w:lang w:val="zh-CN"/>
        </w:rPr>
      </w:pPr>
    </w:p>
    <w:p>
      <w:pPr>
        <w:spacing w:line="360" w:lineRule="auto"/>
        <w:ind w:left="420" w:leftChars="200"/>
        <w:rPr>
          <w:rFonts w:cs="宋体"/>
          <w:b/>
          <w:bCs/>
          <w:color w:val="auto"/>
          <w:sz w:val="24"/>
          <w:szCs w:val="24"/>
        </w:rPr>
      </w:pPr>
      <w:r>
        <w:rPr>
          <w:rFonts w:hint="eastAsia" w:cs="宋体"/>
          <w:b/>
          <w:bCs/>
          <w:color w:val="auto"/>
          <w:sz w:val="24"/>
          <w:szCs w:val="24"/>
          <w:lang w:val="zh-CN"/>
        </w:rPr>
        <w:t>说明：</w:t>
      </w:r>
      <w:r>
        <w:rPr>
          <w:rFonts w:hint="eastAsia" w:cs="宋体"/>
          <w:b/>
          <w:bCs/>
          <w:color w:val="auto"/>
          <w:sz w:val="24"/>
          <w:szCs w:val="24"/>
        </w:rPr>
        <w:t>法定代表人直接投标时无需提供。</w:t>
      </w:r>
    </w:p>
    <w:p>
      <w:pPr>
        <w:spacing w:line="360" w:lineRule="auto"/>
        <w:rPr>
          <w:rFonts w:cs="宋体"/>
          <w:b/>
          <w:bCs/>
          <w:color w:val="auto"/>
          <w:sz w:val="24"/>
          <w:szCs w:val="24"/>
        </w:rPr>
      </w:pPr>
      <w:r>
        <w:rPr>
          <w:rFonts w:hint="eastAsia" w:cs="宋体"/>
          <w:b/>
          <w:bCs/>
          <w:color w:val="auto"/>
          <w:sz w:val="24"/>
          <w:szCs w:val="24"/>
        </w:rPr>
        <w:br w:type="page"/>
      </w:r>
    </w:p>
    <w:p>
      <w:pPr>
        <w:spacing w:before="120" w:beforeLines="50" w:line="360" w:lineRule="auto"/>
        <w:rPr>
          <w:rFonts w:cs="宋体"/>
          <w:b/>
          <w:bCs/>
          <w:color w:val="auto"/>
          <w:sz w:val="24"/>
          <w:szCs w:val="24"/>
        </w:rPr>
      </w:pPr>
      <w:r>
        <w:rPr>
          <w:rFonts w:hint="eastAsia" w:cs="宋体"/>
          <w:b/>
          <w:bCs/>
          <w:color w:val="auto"/>
          <w:sz w:val="24"/>
          <w:szCs w:val="24"/>
        </w:rPr>
        <w:t>附件2</w:t>
      </w:r>
    </w:p>
    <w:p>
      <w:pPr>
        <w:spacing w:line="360" w:lineRule="auto"/>
        <w:ind w:firstLine="435"/>
        <w:jc w:val="center"/>
        <w:rPr>
          <w:rFonts w:cs="宋体"/>
          <w:color w:val="auto"/>
          <w:sz w:val="24"/>
          <w:szCs w:val="24"/>
        </w:rPr>
      </w:pPr>
      <w:r>
        <w:rPr>
          <w:rFonts w:hint="eastAsia" w:cs="宋体"/>
          <w:color w:val="auto"/>
          <w:sz w:val="24"/>
          <w:szCs w:val="24"/>
          <w:lang w:bidi="ar"/>
        </w:rPr>
        <w:t>中小企业声明函</w:t>
      </w:r>
    </w:p>
    <w:p>
      <w:pPr>
        <w:pStyle w:val="15"/>
        <w:widowControl/>
        <w:spacing w:before="55" w:after="0" w:line="360" w:lineRule="auto"/>
        <w:ind w:firstLine="640"/>
        <w:rPr>
          <w:rFonts w:ascii="宋体" w:hAnsi="宋体" w:cs="宋体"/>
          <w:color w:val="auto"/>
          <w:spacing w:val="-2"/>
          <w:sz w:val="24"/>
          <w:szCs w:val="24"/>
        </w:rPr>
      </w:pPr>
      <w:r>
        <w:rPr>
          <w:rFonts w:hint="eastAsia" w:ascii="宋体" w:hAnsi="宋体" w:cs="宋体"/>
          <w:color w:val="auto"/>
          <w:spacing w:val="-2"/>
          <w:sz w:val="24"/>
          <w:szCs w:val="24"/>
        </w:rPr>
        <w:t xml:space="preserve">本公司（联合体）郑重声明，根据《政府采购促进中小企业发展管理办法》（财库﹝2020﹞46 号）的规定，本公司（联合体）参加 </w:t>
      </w:r>
      <w:r>
        <w:rPr>
          <w:rFonts w:hint="eastAsia" w:ascii="宋体" w:hAnsi="宋体" w:cs="宋体"/>
          <w:color w:val="auto"/>
          <w:spacing w:val="-2"/>
          <w:sz w:val="24"/>
          <w:szCs w:val="24"/>
          <w:u w:val="single"/>
        </w:rPr>
        <w:t xml:space="preserve">（单位名称） </w:t>
      </w:r>
      <w:r>
        <w:rPr>
          <w:rFonts w:hint="eastAsia" w:ascii="宋体" w:hAnsi="宋体" w:cs="宋体"/>
          <w:color w:val="auto"/>
          <w:spacing w:val="-2"/>
          <w:sz w:val="24"/>
          <w:szCs w:val="24"/>
        </w:rPr>
        <w:t>的</w:t>
      </w:r>
      <w:r>
        <w:rPr>
          <w:rFonts w:hint="eastAsia" w:ascii="宋体" w:hAnsi="宋体" w:cs="宋体"/>
          <w:color w:val="auto"/>
          <w:spacing w:val="-2"/>
          <w:sz w:val="24"/>
          <w:szCs w:val="24"/>
          <w:u w:val="single"/>
        </w:rPr>
        <w:t xml:space="preserve"> （项目名称） </w:t>
      </w:r>
      <w:r>
        <w:rPr>
          <w:rFonts w:hint="eastAsia" w:ascii="宋体" w:hAnsi="宋体" w:cs="宋体"/>
          <w:color w:val="auto"/>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51"/>
        <w:widowControl/>
        <w:numPr>
          <w:ilvl w:val="0"/>
          <w:numId w:val="4"/>
        </w:numPr>
        <w:spacing w:line="360" w:lineRule="auto"/>
        <w:ind w:firstLine="480"/>
        <w:rPr>
          <w:rFonts w:hint="default" w:hAnsi="宋体" w:cs="宋体"/>
          <w:color w:val="auto"/>
          <w:sz w:val="24"/>
          <w:szCs w:val="24"/>
        </w:rPr>
      </w:pPr>
      <w:r>
        <w:rPr>
          <w:rFonts w:hAnsi="宋体" w:cs="宋体"/>
          <w:color w:val="auto"/>
          <w:sz w:val="24"/>
          <w:szCs w:val="24"/>
          <w:u w:val="single"/>
          <w:lang w:val="zh-CN"/>
        </w:rPr>
        <w:t>（标的名称）</w:t>
      </w:r>
      <w:r>
        <w:rPr>
          <w:rFonts w:hAnsi="宋体" w:cs="宋体"/>
          <w:color w:val="auto"/>
          <w:sz w:val="24"/>
          <w:szCs w:val="24"/>
        </w:rPr>
        <w:t>，属于</w:t>
      </w:r>
      <w:r>
        <w:rPr>
          <w:rFonts w:hAnsi="宋体" w:cs="宋体"/>
          <w:color w:val="auto"/>
          <w:sz w:val="24"/>
          <w:szCs w:val="24"/>
          <w:u w:val="single"/>
          <w:lang w:val="zh-CN"/>
        </w:rPr>
        <w:t>（采购文件中明确的所属行业）</w:t>
      </w:r>
      <w:r>
        <w:rPr>
          <w:rFonts w:hAnsi="宋体" w:cs="宋体"/>
          <w:color w:val="auto"/>
          <w:sz w:val="24"/>
          <w:szCs w:val="24"/>
          <w:lang w:val="zh-CN"/>
        </w:rPr>
        <w:t>；</w:t>
      </w:r>
      <w:r>
        <w:rPr>
          <w:rFonts w:hAnsi="宋体" w:cs="宋体"/>
          <w:color w:val="auto"/>
          <w:sz w:val="24"/>
          <w:szCs w:val="24"/>
        </w:rPr>
        <w:t>承建（承接）企业为</w:t>
      </w:r>
      <w:r>
        <w:rPr>
          <w:rFonts w:hAnsi="宋体" w:cs="宋体"/>
          <w:color w:val="auto"/>
          <w:sz w:val="24"/>
          <w:szCs w:val="24"/>
          <w:u w:val="single"/>
        </w:rPr>
        <w:t>（企业名称）</w:t>
      </w:r>
      <w:r>
        <w:rPr>
          <w:rFonts w:hAnsi="宋体" w:cs="宋体"/>
          <w:color w:val="auto"/>
          <w:sz w:val="24"/>
          <w:szCs w:val="24"/>
        </w:rPr>
        <w:t>，从业人员</w:t>
      </w:r>
      <w:r>
        <w:rPr>
          <w:rFonts w:hAnsi="宋体" w:cs="宋体"/>
          <w:color w:val="auto"/>
          <w:sz w:val="24"/>
          <w:szCs w:val="24"/>
          <w:u w:val="single"/>
        </w:rPr>
        <w:t xml:space="preserve">    </w:t>
      </w:r>
      <w:r>
        <w:rPr>
          <w:rFonts w:hAnsi="宋体" w:cs="宋体"/>
          <w:color w:val="auto"/>
          <w:sz w:val="24"/>
          <w:szCs w:val="24"/>
        </w:rPr>
        <w:t>人，营业收入为</w:t>
      </w:r>
      <w:r>
        <w:rPr>
          <w:rFonts w:hAnsi="宋体" w:cs="宋体"/>
          <w:color w:val="auto"/>
          <w:sz w:val="24"/>
          <w:szCs w:val="24"/>
          <w:u w:val="single"/>
        </w:rPr>
        <w:t xml:space="preserve"> </w:t>
      </w:r>
      <w:r>
        <w:rPr>
          <w:rFonts w:hAnsi="宋体" w:cs="宋体"/>
          <w:color w:val="auto"/>
          <w:sz w:val="24"/>
          <w:szCs w:val="24"/>
          <w:u w:val="single"/>
        </w:rPr>
        <w:tab/>
      </w:r>
      <w:r>
        <w:rPr>
          <w:rFonts w:hAnsi="宋体" w:cs="宋体"/>
          <w:color w:val="auto"/>
          <w:sz w:val="24"/>
          <w:szCs w:val="24"/>
        </w:rPr>
        <w:t>万元，资产总额为</w:t>
      </w:r>
      <w:r>
        <w:rPr>
          <w:rFonts w:hAnsi="宋体" w:cs="宋体"/>
          <w:color w:val="auto"/>
          <w:sz w:val="24"/>
          <w:szCs w:val="24"/>
          <w:u w:val="single"/>
        </w:rPr>
        <w:t xml:space="preserve">   </w:t>
      </w:r>
      <w:r>
        <w:rPr>
          <w:rFonts w:hAnsi="宋体" w:cs="宋体"/>
          <w:color w:val="auto"/>
          <w:sz w:val="24"/>
          <w:szCs w:val="24"/>
          <w:u w:val="single"/>
        </w:rPr>
        <w:tab/>
      </w:r>
      <w:r>
        <w:rPr>
          <w:rFonts w:hAnsi="宋体" w:cs="宋体"/>
          <w:color w:val="auto"/>
          <w:sz w:val="24"/>
          <w:szCs w:val="24"/>
        </w:rPr>
        <w:t>万元，属于</w:t>
      </w:r>
      <w:r>
        <w:rPr>
          <w:rFonts w:hAnsi="宋体" w:cs="宋体"/>
          <w:color w:val="auto"/>
          <w:sz w:val="24"/>
          <w:szCs w:val="24"/>
          <w:u w:val="single"/>
        </w:rPr>
        <w:t>（中型企业、小型企业、微型企业）</w:t>
      </w:r>
      <w:r>
        <w:rPr>
          <w:rFonts w:hAnsi="宋体" w:cs="宋体"/>
          <w:color w:val="auto"/>
          <w:sz w:val="24"/>
          <w:szCs w:val="24"/>
        </w:rPr>
        <w:t>；</w:t>
      </w:r>
    </w:p>
    <w:p>
      <w:pPr>
        <w:pStyle w:val="51"/>
        <w:widowControl/>
        <w:numPr>
          <w:ilvl w:val="0"/>
          <w:numId w:val="4"/>
        </w:numPr>
        <w:spacing w:line="360" w:lineRule="auto"/>
        <w:ind w:firstLine="480"/>
        <w:rPr>
          <w:rFonts w:hint="default" w:hAnsi="宋体" w:cs="宋体"/>
          <w:color w:val="auto"/>
          <w:sz w:val="24"/>
          <w:szCs w:val="24"/>
        </w:rPr>
      </w:pPr>
      <w:r>
        <w:rPr>
          <w:rFonts w:hAnsi="宋体" w:cs="宋体"/>
          <w:color w:val="auto"/>
          <w:sz w:val="24"/>
          <w:szCs w:val="24"/>
          <w:u w:val="single"/>
          <w:lang w:val="zh-CN"/>
        </w:rPr>
        <w:t>（标的名称）</w:t>
      </w:r>
      <w:r>
        <w:rPr>
          <w:rFonts w:hAnsi="宋体" w:cs="宋体"/>
          <w:color w:val="auto"/>
          <w:sz w:val="24"/>
          <w:szCs w:val="24"/>
        </w:rPr>
        <w:t>，属于</w:t>
      </w:r>
      <w:r>
        <w:rPr>
          <w:rFonts w:hAnsi="宋体" w:cs="宋体"/>
          <w:color w:val="auto"/>
          <w:sz w:val="24"/>
          <w:szCs w:val="24"/>
          <w:u w:val="single"/>
          <w:lang w:val="zh-CN"/>
        </w:rPr>
        <w:t>（采购文件中明确的所属行业）</w:t>
      </w:r>
      <w:r>
        <w:rPr>
          <w:rFonts w:hAnsi="宋体" w:cs="宋体"/>
          <w:color w:val="auto"/>
          <w:sz w:val="24"/>
          <w:szCs w:val="24"/>
          <w:lang w:val="zh-CN"/>
        </w:rPr>
        <w:t>；</w:t>
      </w:r>
      <w:r>
        <w:rPr>
          <w:rFonts w:hAnsi="宋体" w:cs="宋体"/>
          <w:color w:val="auto"/>
          <w:sz w:val="24"/>
          <w:szCs w:val="24"/>
        </w:rPr>
        <w:t>承建（承接）企业为</w:t>
      </w:r>
      <w:r>
        <w:rPr>
          <w:rFonts w:hAnsi="宋体" w:cs="宋体"/>
          <w:color w:val="auto"/>
          <w:sz w:val="24"/>
          <w:szCs w:val="24"/>
          <w:u w:val="single"/>
        </w:rPr>
        <w:t>（企业名称）</w:t>
      </w:r>
      <w:r>
        <w:rPr>
          <w:rFonts w:hAnsi="宋体" w:cs="宋体"/>
          <w:color w:val="auto"/>
          <w:sz w:val="24"/>
          <w:szCs w:val="24"/>
        </w:rPr>
        <w:t>，从业人员</w:t>
      </w:r>
      <w:r>
        <w:rPr>
          <w:rFonts w:hAnsi="宋体" w:cs="宋体"/>
          <w:color w:val="auto"/>
          <w:sz w:val="24"/>
          <w:szCs w:val="24"/>
          <w:u w:val="single"/>
        </w:rPr>
        <w:t xml:space="preserve"> </w:t>
      </w:r>
      <w:r>
        <w:rPr>
          <w:rFonts w:hAnsi="宋体" w:cs="宋体"/>
          <w:color w:val="auto"/>
          <w:sz w:val="24"/>
          <w:szCs w:val="24"/>
          <w:u w:val="single"/>
        </w:rPr>
        <w:tab/>
      </w:r>
      <w:r>
        <w:rPr>
          <w:rFonts w:hAnsi="宋体" w:cs="宋体"/>
          <w:color w:val="auto"/>
          <w:sz w:val="24"/>
          <w:szCs w:val="24"/>
          <w:u w:val="single"/>
        </w:rPr>
        <w:t xml:space="preserve"> </w:t>
      </w:r>
      <w:r>
        <w:rPr>
          <w:rFonts w:hAnsi="宋体" w:cs="宋体"/>
          <w:color w:val="auto"/>
          <w:sz w:val="24"/>
          <w:szCs w:val="24"/>
        </w:rPr>
        <w:t>人，营业收入为</w:t>
      </w:r>
      <w:r>
        <w:rPr>
          <w:rFonts w:hAnsi="宋体" w:cs="宋体"/>
          <w:color w:val="auto"/>
          <w:sz w:val="24"/>
          <w:szCs w:val="24"/>
          <w:u w:val="single"/>
        </w:rPr>
        <w:t xml:space="preserve"> </w:t>
      </w:r>
      <w:r>
        <w:rPr>
          <w:rFonts w:hAnsi="宋体" w:cs="宋体"/>
          <w:color w:val="auto"/>
          <w:sz w:val="24"/>
          <w:szCs w:val="24"/>
          <w:u w:val="single"/>
        </w:rPr>
        <w:tab/>
      </w:r>
      <w:r>
        <w:rPr>
          <w:rFonts w:hAnsi="宋体" w:cs="宋体"/>
          <w:color w:val="auto"/>
          <w:sz w:val="24"/>
          <w:szCs w:val="24"/>
          <w:u w:val="single"/>
        </w:rPr>
        <w:t xml:space="preserve"> </w:t>
      </w:r>
      <w:r>
        <w:rPr>
          <w:rFonts w:hAnsi="宋体" w:cs="宋体"/>
          <w:color w:val="auto"/>
          <w:sz w:val="24"/>
          <w:szCs w:val="24"/>
        </w:rPr>
        <w:t>万元，资产总额为</w:t>
      </w:r>
      <w:r>
        <w:rPr>
          <w:rFonts w:hAnsi="宋体" w:cs="宋体"/>
          <w:color w:val="auto"/>
          <w:sz w:val="24"/>
          <w:szCs w:val="24"/>
          <w:u w:val="single"/>
        </w:rPr>
        <w:t xml:space="preserve">   </w:t>
      </w:r>
      <w:r>
        <w:rPr>
          <w:rFonts w:hAnsi="宋体" w:cs="宋体"/>
          <w:color w:val="auto"/>
          <w:sz w:val="24"/>
          <w:szCs w:val="24"/>
          <w:u w:val="single"/>
        </w:rPr>
        <w:tab/>
      </w:r>
      <w:r>
        <w:rPr>
          <w:rFonts w:hAnsi="宋体" w:cs="宋体"/>
          <w:color w:val="auto"/>
          <w:sz w:val="24"/>
          <w:szCs w:val="24"/>
        </w:rPr>
        <w:t>万元，属于</w:t>
      </w:r>
      <w:r>
        <w:rPr>
          <w:rFonts w:hAnsi="宋体" w:cs="宋体"/>
          <w:color w:val="auto"/>
          <w:sz w:val="24"/>
          <w:szCs w:val="24"/>
          <w:u w:val="single"/>
        </w:rPr>
        <w:t>（中型企业、小型企业、微型企业）</w:t>
      </w:r>
      <w:r>
        <w:rPr>
          <w:rFonts w:hAnsi="宋体" w:cs="宋体"/>
          <w:color w:val="auto"/>
          <w:sz w:val="24"/>
          <w:szCs w:val="24"/>
        </w:rPr>
        <w:t>；</w:t>
      </w:r>
    </w:p>
    <w:p>
      <w:pPr>
        <w:pStyle w:val="51"/>
        <w:widowControl/>
        <w:spacing w:line="360" w:lineRule="auto"/>
        <w:ind w:firstLine="480"/>
        <w:rPr>
          <w:rFonts w:hint="default" w:hAnsi="宋体" w:cs="宋体"/>
          <w:color w:val="auto"/>
          <w:sz w:val="24"/>
          <w:szCs w:val="24"/>
          <w:lang w:val="zh-CN"/>
        </w:rPr>
      </w:pPr>
      <w:r>
        <w:rPr>
          <w:rFonts w:hAnsi="宋体" w:cs="宋体"/>
          <w:color w:val="auto"/>
          <w:sz w:val="24"/>
          <w:szCs w:val="24"/>
          <w:lang w:val="zh-CN"/>
        </w:rPr>
        <w:t>……</w:t>
      </w:r>
    </w:p>
    <w:p>
      <w:pPr>
        <w:pStyle w:val="51"/>
        <w:widowControl/>
        <w:spacing w:line="360" w:lineRule="auto"/>
        <w:ind w:firstLine="480"/>
        <w:rPr>
          <w:rFonts w:hint="default" w:hAnsi="宋体" w:cs="宋体"/>
          <w:color w:val="auto"/>
          <w:sz w:val="24"/>
          <w:szCs w:val="24"/>
          <w:lang w:val="zh-CN"/>
        </w:rPr>
      </w:pPr>
      <w:r>
        <w:rPr>
          <w:rFonts w:hAnsi="宋体" w:cs="宋体"/>
          <w:color w:val="auto"/>
          <w:sz w:val="24"/>
          <w:szCs w:val="24"/>
          <w:lang w:val="zh-CN"/>
        </w:rPr>
        <w:t>以上企业，不属于大企业的分支机构，不存在控股股东为大企业的情形，也不存在与大企业的负责人为同一人的情形。</w:t>
      </w:r>
    </w:p>
    <w:p>
      <w:pPr>
        <w:pStyle w:val="51"/>
        <w:widowControl/>
        <w:spacing w:line="360" w:lineRule="auto"/>
        <w:ind w:firstLine="480"/>
        <w:rPr>
          <w:rFonts w:hint="default" w:hAnsi="宋体" w:cs="宋体"/>
          <w:color w:val="auto"/>
          <w:sz w:val="24"/>
          <w:szCs w:val="24"/>
          <w:lang w:val="zh-CN"/>
        </w:rPr>
      </w:pPr>
      <w:r>
        <w:rPr>
          <w:rFonts w:hAnsi="宋体" w:cs="宋体"/>
          <w:color w:val="auto"/>
          <w:sz w:val="24"/>
          <w:szCs w:val="24"/>
          <w:lang w:val="zh-CN"/>
        </w:rPr>
        <w:t>本企业对上述声明内容的真实性负责。如有虚假，将依法承担相应责任。</w:t>
      </w:r>
    </w:p>
    <w:p>
      <w:pPr>
        <w:pStyle w:val="51"/>
        <w:widowControl/>
        <w:spacing w:line="360" w:lineRule="auto"/>
        <w:ind w:firstLine="480"/>
        <w:rPr>
          <w:rFonts w:hint="default" w:hAnsi="宋体" w:cs="宋体"/>
          <w:color w:val="auto"/>
          <w:sz w:val="24"/>
          <w:szCs w:val="24"/>
        </w:rPr>
      </w:pPr>
    </w:p>
    <w:p>
      <w:pPr>
        <w:pStyle w:val="51"/>
        <w:widowControl/>
        <w:spacing w:line="360" w:lineRule="auto"/>
        <w:ind w:firstLine="4560" w:firstLineChars="1900"/>
        <w:jc w:val="left"/>
        <w:rPr>
          <w:rFonts w:hint="default" w:hAnsi="宋体" w:cs="宋体"/>
          <w:color w:val="auto"/>
          <w:sz w:val="24"/>
          <w:szCs w:val="24"/>
        </w:rPr>
      </w:pPr>
      <w:r>
        <w:rPr>
          <w:rFonts w:hAnsi="宋体" w:cs="宋体"/>
          <w:color w:val="auto"/>
          <w:sz w:val="24"/>
          <w:szCs w:val="24"/>
        </w:rPr>
        <w:t>企业名称（盖章）：</w:t>
      </w:r>
    </w:p>
    <w:p>
      <w:pPr>
        <w:pStyle w:val="51"/>
        <w:widowControl/>
        <w:spacing w:line="360" w:lineRule="auto"/>
        <w:ind w:firstLine="4560" w:firstLineChars="1900"/>
        <w:jc w:val="left"/>
        <w:rPr>
          <w:rFonts w:hint="default" w:hAnsi="宋体" w:cs="宋体"/>
          <w:color w:val="auto"/>
          <w:sz w:val="24"/>
          <w:szCs w:val="24"/>
        </w:rPr>
      </w:pPr>
      <w:r>
        <w:rPr>
          <w:rFonts w:hAnsi="宋体" w:cs="宋体"/>
          <w:color w:val="auto"/>
          <w:sz w:val="24"/>
          <w:szCs w:val="24"/>
        </w:rPr>
        <w:t>日期：</w:t>
      </w:r>
    </w:p>
    <w:p>
      <w:pPr>
        <w:pStyle w:val="51"/>
        <w:widowControl/>
        <w:spacing w:line="360" w:lineRule="auto"/>
        <w:ind w:firstLine="0" w:firstLineChars="0"/>
        <w:rPr>
          <w:rFonts w:hint="default" w:hAnsi="宋体" w:cs="宋体"/>
          <w:color w:val="auto"/>
          <w:sz w:val="24"/>
          <w:szCs w:val="24"/>
        </w:rPr>
      </w:pPr>
      <w:r>
        <w:rPr>
          <w:rFonts w:hAnsi="宋体" w:cs="宋体"/>
          <w:color w:val="auto"/>
          <w:sz w:val="24"/>
          <w:szCs w:val="24"/>
        </w:rPr>
        <w:t>备注：</w:t>
      </w:r>
    </w:p>
    <w:p>
      <w:pPr>
        <w:pStyle w:val="51"/>
        <w:widowControl/>
        <w:spacing w:line="360" w:lineRule="auto"/>
        <w:ind w:firstLine="480"/>
        <w:rPr>
          <w:rFonts w:hint="default" w:hAnsi="宋体" w:cs="宋体"/>
          <w:color w:val="auto"/>
          <w:spacing w:val="-8"/>
          <w:sz w:val="24"/>
          <w:szCs w:val="24"/>
        </w:rPr>
      </w:pPr>
      <w:r>
        <w:rPr>
          <w:rFonts w:hAnsi="宋体" w:cs="宋体"/>
          <w:color w:val="auto"/>
          <w:sz w:val="24"/>
          <w:szCs w:val="24"/>
        </w:rPr>
        <w:t>1、</w:t>
      </w:r>
      <w:r>
        <w:rPr>
          <w:rFonts w:hAnsi="宋体" w:cs="宋体"/>
          <w:color w:val="auto"/>
          <w:spacing w:val="-8"/>
          <w:sz w:val="24"/>
          <w:szCs w:val="24"/>
        </w:rPr>
        <w:t>中小企业参加政府采购活动，应当按照《政府采购促进中小企业发展管理办法》（财库〔2020〕46号）规定和《中小企业划型标准规定》（工信部联企业〔2011〕300号），如实填写并提交本《中小企业声明函》。</w:t>
      </w:r>
    </w:p>
    <w:p>
      <w:pPr>
        <w:pStyle w:val="51"/>
        <w:widowControl/>
        <w:spacing w:line="360" w:lineRule="auto"/>
        <w:ind w:firstLine="448"/>
        <w:rPr>
          <w:rFonts w:hint="default" w:hAnsi="宋体" w:cs="宋体"/>
          <w:color w:val="auto"/>
          <w:spacing w:val="-8"/>
          <w:sz w:val="24"/>
          <w:szCs w:val="24"/>
        </w:rPr>
      </w:pPr>
      <w:r>
        <w:rPr>
          <w:rFonts w:hAnsi="宋体" w:cs="宋体"/>
          <w:color w:val="auto"/>
          <w:spacing w:val="-8"/>
          <w:sz w:val="24"/>
          <w:szCs w:val="24"/>
        </w:rPr>
        <w:t>2、从业人员、营业收入、资产总额填报上一年度数据，无上一年度数据的新成立企业可不填报。</w:t>
      </w:r>
    </w:p>
    <w:p>
      <w:pPr>
        <w:pStyle w:val="51"/>
        <w:widowControl/>
        <w:spacing w:line="360" w:lineRule="auto"/>
        <w:ind w:firstLine="448"/>
        <w:rPr>
          <w:rFonts w:hint="default" w:hAnsi="宋体" w:cs="宋体"/>
          <w:color w:val="auto"/>
          <w:spacing w:val="-8"/>
          <w:sz w:val="24"/>
          <w:szCs w:val="24"/>
        </w:rPr>
      </w:pPr>
      <w:r>
        <w:rPr>
          <w:rFonts w:hAnsi="宋体" w:cs="宋体"/>
          <w:color w:val="auto"/>
          <w:spacing w:val="-8"/>
          <w:sz w:val="24"/>
          <w:szCs w:val="24"/>
        </w:rPr>
        <w:t>3、本项目所属行业为“</w:t>
      </w:r>
      <w:r>
        <w:rPr>
          <w:rFonts w:hAnsi="宋体" w:cs="宋体"/>
          <w:color w:val="auto"/>
          <w:spacing w:val="-8"/>
          <w:sz w:val="24"/>
          <w:szCs w:val="24"/>
          <w:highlight w:val="none"/>
        </w:rPr>
        <w:t xml:space="preserve"> 软件和信息技术服务业”</w:t>
      </w:r>
      <w:r>
        <w:rPr>
          <w:rFonts w:hAnsi="宋体" w:cs="宋体"/>
          <w:color w:val="auto"/>
          <w:spacing w:val="-8"/>
          <w:sz w:val="24"/>
          <w:szCs w:val="24"/>
        </w:rPr>
        <w:t>。</w:t>
      </w:r>
    </w:p>
    <w:p>
      <w:pPr>
        <w:spacing w:line="360" w:lineRule="auto"/>
        <w:rPr>
          <w:rFonts w:cs="宋体"/>
          <w:color w:val="auto"/>
          <w:sz w:val="24"/>
          <w:szCs w:val="24"/>
        </w:rPr>
      </w:pPr>
      <w:r>
        <w:rPr>
          <w:rFonts w:hint="eastAsia" w:cs="宋体"/>
          <w:color w:val="auto"/>
          <w:sz w:val="24"/>
          <w:szCs w:val="24"/>
        </w:rPr>
        <w:br w:type="page"/>
      </w:r>
    </w:p>
    <w:p>
      <w:pPr>
        <w:tabs>
          <w:tab w:val="left" w:pos="1418"/>
        </w:tabs>
        <w:spacing w:line="360" w:lineRule="auto"/>
        <w:jc w:val="center"/>
        <w:outlineLvl w:val="1"/>
        <w:rPr>
          <w:rFonts w:cs="宋体"/>
          <w:b/>
          <w:bCs/>
          <w:color w:val="auto"/>
          <w:sz w:val="24"/>
          <w:szCs w:val="24"/>
        </w:rPr>
      </w:pPr>
      <w:bookmarkStart w:id="241" w:name="_Toc14852"/>
      <w:bookmarkStart w:id="242" w:name="_Toc28815"/>
      <w:bookmarkStart w:id="243" w:name="_Toc8681"/>
      <w:bookmarkStart w:id="244" w:name="_Toc16097"/>
      <w:bookmarkStart w:id="245" w:name="_Toc426457701"/>
      <w:bookmarkStart w:id="246" w:name="_Toc403077649"/>
      <w:bookmarkStart w:id="247" w:name="_Toc4867"/>
      <w:bookmarkStart w:id="248" w:name="_Toc19075"/>
      <w:bookmarkStart w:id="249" w:name="_Toc363474028"/>
      <w:bookmarkStart w:id="250" w:name="_Toc25348"/>
      <w:bookmarkStart w:id="251" w:name="_Toc30210"/>
      <w:r>
        <w:rPr>
          <w:rFonts w:hint="eastAsia" w:cs="宋体"/>
          <w:b/>
          <w:bCs/>
          <w:color w:val="auto"/>
          <w:sz w:val="24"/>
          <w:szCs w:val="24"/>
        </w:rPr>
        <w:t>七、保证金缴纳凭证</w:t>
      </w:r>
      <w:bookmarkEnd w:id="241"/>
    </w:p>
    <w:p>
      <w:pPr>
        <w:spacing w:line="360" w:lineRule="auto"/>
        <w:jc w:val="center"/>
        <w:rPr>
          <w:rFonts w:cs="宋体"/>
          <w:b/>
          <w:bCs/>
          <w:color w:val="auto"/>
          <w:sz w:val="24"/>
          <w:szCs w:val="24"/>
        </w:rPr>
      </w:pPr>
    </w:p>
    <w:p>
      <w:pPr>
        <w:spacing w:line="360" w:lineRule="auto"/>
        <w:jc w:val="center"/>
        <w:rPr>
          <w:rFonts w:cs="宋体"/>
          <w:b/>
          <w:bCs/>
          <w:color w:val="auto"/>
          <w:sz w:val="24"/>
          <w:szCs w:val="24"/>
        </w:rPr>
      </w:pPr>
    </w:p>
    <w:p>
      <w:pPr>
        <w:spacing w:line="360" w:lineRule="auto"/>
        <w:jc w:val="center"/>
        <w:rPr>
          <w:rFonts w:cs="宋体"/>
          <w:b/>
          <w:bCs/>
          <w:color w:val="auto"/>
          <w:sz w:val="24"/>
          <w:szCs w:val="24"/>
        </w:rPr>
      </w:pPr>
    </w:p>
    <w:p>
      <w:pPr>
        <w:spacing w:line="360" w:lineRule="auto"/>
        <w:jc w:val="center"/>
        <w:rPr>
          <w:rFonts w:cs="宋体"/>
          <w:b/>
          <w:bCs/>
          <w:color w:val="auto"/>
          <w:sz w:val="24"/>
          <w:szCs w:val="24"/>
        </w:rPr>
      </w:pPr>
    </w:p>
    <w:p>
      <w:pPr>
        <w:spacing w:line="360" w:lineRule="auto"/>
        <w:ind w:firstLine="120" w:firstLineChars="50"/>
        <w:jc w:val="center"/>
        <w:rPr>
          <w:rFonts w:cs="宋体"/>
          <w:b/>
          <w:color w:val="auto"/>
          <w:sz w:val="24"/>
          <w:szCs w:val="24"/>
          <w:u w:val="single"/>
        </w:rPr>
      </w:pPr>
      <w:r>
        <w:rPr>
          <w:rFonts w:hint="eastAsia" w:cs="宋体"/>
          <w:b/>
          <w:color w:val="auto"/>
          <w:sz w:val="24"/>
          <w:szCs w:val="24"/>
          <w:u w:val="single"/>
        </w:rPr>
        <w:t>本页附投标保证金缴纳凭证复印件或投标保函正本复印件</w:t>
      </w:r>
    </w:p>
    <w:p>
      <w:pPr>
        <w:spacing w:line="360" w:lineRule="auto"/>
        <w:ind w:firstLine="120" w:firstLineChars="50"/>
        <w:jc w:val="center"/>
        <w:rPr>
          <w:rFonts w:cs="宋体"/>
          <w:b/>
          <w:color w:val="auto"/>
          <w:sz w:val="24"/>
          <w:szCs w:val="24"/>
          <w:u w:val="single"/>
        </w:rPr>
      </w:pPr>
    </w:p>
    <w:p>
      <w:pPr>
        <w:spacing w:line="360" w:lineRule="auto"/>
        <w:rPr>
          <w:rFonts w:cs="宋体"/>
          <w:b/>
          <w:color w:val="auto"/>
          <w:sz w:val="24"/>
          <w:szCs w:val="24"/>
          <w:u w:val="single"/>
        </w:rPr>
      </w:pPr>
      <w:r>
        <w:rPr>
          <w:rFonts w:hint="eastAsia" w:cs="宋体"/>
          <w:b/>
          <w:color w:val="auto"/>
          <w:sz w:val="24"/>
          <w:szCs w:val="24"/>
          <w:u w:val="single"/>
        </w:rPr>
        <w:br w:type="page"/>
      </w:r>
    </w:p>
    <w:p>
      <w:pPr>
        <w:tabs>
          <w:tab w:val="left" w:pos="2684"/>
        </w:tabs>
        <w:spacing w:before="240" w:beforeLines="100" w:line="360" w:lineRule="auto"/>
        <w:rPr>
          <w:rFonts w:cs="宋体"/>
          <w:color w:val="auto"/>
          <w:sz w:val="24"/>
          <w:szCs w:val="24"/>
        </w:rPr>
      </w:pPr>
      <w:r>
        <w:rPr>
          <w:rFonts w:hint="eastAsia" w:cs="宋体"/>
          <w:bCs/>
          <w:color w:val="auto"/>
          <w:sz w:val="24"/>
          <w:szCs w:val="24"/>
          <w:u w:val="single"/>
          <w:lang w:bidi="ar"/>
        </w:rPr>
        <w:t>供应商基本账户信息</w:t>
      </w:r>
      <w:r>
        <w:rPr>
          <w:rFonts w:hint="eastAsia" w:cs="宋体"/>
          <w:b/>
          <w:color w:val="auto"/>
          <w:sz w:val="24"/>
          <w:szCs w:val="24"/>
          <w:u w:val="single"/>
          <w:lang w:bidi="ar"/>
        </w:rPr>
        <w:t>：</w:t>
      </w:r>
    </w:p>
    <w:tbl>
      <w:tblPr>
        <w:tblStyle w:val="30"/>
        <w:tblpPr w:leftFromText="180" w:rightFromText="180" w:vertAnchor="text" w:horzAnchor="page" w:tblpX="1845" w:tblpY="967"/>
        <w:tblOverlap w:val="never"/>
        <w:tblW w:w="8240" w:type="dxa"/>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8240"/>
      </w:tblGrid>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824" w:hRule="atLeast"/>
        </w:trPr>
        <w:tc>
          <w:tcPr>
            <w:tcW w:w="8240" w:type="dxa"/>
            <w:tcBorders>
              <w:top w:val="triple" w:color="auto" w:sz="4" w:space="0"/>
              <w:left w:val="triple" w:color="auto" w:sz="4" w:space="0"/>
              <w:bottom w:val="triple" w:color="auto" w:sz="4" w:space="0"/>
              <w:right w:val="triple" w:color="auto" w:sz="4" w:space="0"/>
            </w:tcBorders>
            <w:shd w:val="clear" w:color="auto" w:fill="auto"/>
            <w:vAlign w:val="center"/>
          </w:tcPr>
          <w:p>
            <w:pPr>
              <w:spacing w:line="360" w:lineRule="auto"/>
              <w:rPr>
                <w:rFonts w:cs="宋体"/>
                <w:color w:val="auto"/>
                <w:sz w:val="24"/>
                <w:szCs w:val="24"/>
              </w:rPr>
            </w:pPr>
            <w:r>
              <w:rPr>
                <w:rFonts w:hint="eastAsia" w:cs="宋体"/>
                <w:color w:val="auto"/>
                <w:sz w:val="24"/>
                <w:szCs w:val="24"/>
                <w:lang w:bidi="ar"/>
              </w:rPr>
              <w:t>户名：</w:t>
            </w:r>
          </w:p>
        </w:tc>
      </w:tr>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823" w:hRule="atLeast"/>
        </w:trPr>
        <w:tc>
          <w:tcPr>
            <w:tcW w:w="8240" w:type="dxa"/>
            <w:tcBorders>
              <w:top w:val="triple" w:color="auto" w:sz="4" w:space="0"/>
              <w:left w:val="triple" w:color="auto" w:sz="4" w:space="0"/>
              <w:bottom w:val="triple" w:color="auto" w:sz="4" w:space="0"/>
              <w:right w:val="triple" w:color="auto" w:sz="4" w:space="0"/>
            </w:tcBorders>
            <w:shd w:val="clear" w:color="auto" w:fill="auto"/>
            <w:vAlign w:val="center"/>
          </w:tcPr>
          <w:p>
            <w:pPr>
              <w:tabs>
                <w:tab w:val="left" w:pos="1324"/>
              </w:tabs>
              <w:spacing w:line="360" w:lineRule="auto"/>
              <w:rPr>
                <w:rFonts w:cs="宋体"/>
                <w:color w:val="auto"/>
                <w:sz w:val="24"/>
                <w:szCs w:val="24"/>
              </w:rPr>
            </w:pPr>
            <w:r>
              <w:rPr>
                <w:rFonts w:hint="eastAsia" w:cs="宋体"/>
                <w:color w:val="auto"/>
                <w:sz w:val="24"/>
                <w:szCs w:val="24"/>
                <w:lang w:bidi="ar"/>
              </w:rPr>
              <w:t>开户行：</w:t>
            </w:r>
          </w:p>
        </w:tc>
      </w:tr>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810" w:hRule="atLeast"/>
        </w:trPr>
        <w:tc>
          <w:tcPr>
            <w:tcW w:w="8240" w:type="dxa"/>
            <w:tcBorders>
              <w:top w:val="triple" w:color="auto" w:sz="4" w:space="0"/>
              <w:left w:val="triple" w:color="auto" w:sz="4" w:space="0"/>
              <w:bottom w:val="triple" w:color="auto" w:sz="4" w:space="0"/>
              <w:right w:val="triple" w:color="auto" w:sz="4" w:space="0"/>
            </w:tcBorders>
            <w:shd w:val="clear" w:color="auto" w:fill="auto"/>
            <w:vAlign w:val="center"/>
          </w:tcPr>
          <w:p>
            <w:pPr>
              <w:spacing w:line="360" w:lineRule="auto"/>
              <w:rPr>
                <w:rFonts w:cs="宋体"/>
                <w:color w:val="auto"/>
                <w:sz w:val="24"/>
                <w:szCs w:val="24"/>
              </w:rPr>
            </w:pPr>
            <w:r>
              <w:rPr>
                <w:rFonts w:hint="eastAsia" w:cs="宋体"/>
                <w:color w:val="auto"/>
                <w:sz w:val="24"/>
                <w:szCs w:val="24"/>
                <w:lang w:bidi="ar"/>
              </w:rPr>
              <w:t>账号：</w:t>
            </w:r>
          </w:p>
        </w:tc>
      </w:tr>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860" w:hRule="atLeast"/>
        </w:trPr>
        <w:tc>
          <w:tcPr>
            <w:tcW w:w="8240" w:type="dxa"/>
            <w:tcBorders>
              <w:top w:val="triple" w:color="auto" w:sz="4" w:space="0"/>
              <w:left w:val="triple" w:color="auto" w:sz="4" w:space="0"/>
              <w:bottom w:val="triple" w:color="auto" w:sz="4" w:space="0"/>
              <w:right w:val="triple" w:color="auto" w:sz="4" w:space="0"/>
            </w:tcBorders>
            <w:shd w:val="clear" w:color="auto" w:fill="auto"/>
            <w:vAlign w:val="center"/>
          </w:tcPr>
          <w:p>
            <w:pPr>
              <w:spacing w:line="360" w:lineRule="auto"/>
              <w:rPr>
                <w:rFonts w:cs="宋体"/>
                <w:color w:val="auto"/>
                <w:sz w:val="24"/>
                <w:szCs w:val="24"/>
              </w:rPr>
            </w:pPr>
            <w:r>
              <w:rPr>
                <w:rFonts w:hint="eastAsia" w:cs="宋体"/>
                <w:color w:val="auto"/>
                <w:sz w:val="24"/>
                <w:szCs w:val="24"/>
                <w:lang w:bidi="ar"/>
              </w:rPr>
              <w:t>银行行号：</w:t>
            </w:r>
          </w:p>
        </w:tc>
      </w:tr>
    </w:tbl>
    <w:p>
      <w:pPr>
        <w:pStyle w:val="14"/>
        <w:widowControl/>
        <w:spacing w:line="360" w:lineRule="auto"/>
        <w:rPr>
          <w:rFonts w:ascii="宋体" w:hAnsi="宋体" w:cs="宋体"/>
          <w:b/>
          <w:color w:val="auto"/>
          <w:sz w:val="24"/>
          <w:szCs w:val="24"/>
        </w:rPr>
      </w:pPr>
    </w:p>
    <w:p>
      <w:pPr>
        <w:pStyle w:val="14"/>
        <w:widowControl/>
        <w:spacing w:line="360" w:lineRule="auto"/>
        <w:rPr>
          <w:rFonts w:ascii="宋体" w:hAnsi="宋体" w:cs="宋体"/>
          <w:b/>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r>
        <w:rPr>
          <w:rFonts w:hint="eastAsia" w:cs="宋体"/>
          <w:color w:val="auto"/>
          <w:sz w:val="24"/>
          <w:szCs w:val="24"/>
        </w:rPr>
        <w:br w:type="page"/>
      </w:r>
    </w:p>
    <w:p>
      <w:pPr>
        <w:pStyle w:val="4"/>
        <w:spacing w:line="360" w:lineRule="auto"/>
        <w:rPr>
          <w:rFonts w:ascii="宋体" w:hAnsi="宋体" w:cs="宋体"/>
          <w:color w:val="auto"/>
          <w:sz w:val="24"/>
          <w:szCs w:val="24"/>
        </w:rPr>
      </w:pPr>
      <w:bookmarkStart w:id="252" w:name="_Toc26098"/>
      <w:r>
        <w:rPr>
          <w:rFonts w:hint="eastAsia" w:ascii="宋体" w:hAnsi="宋体" w:cs="宋体"/>
          <w:color w:val="auto"/>
          <w:sz w:val="24"/>
          <w:szCs w:val="24"/>
        </w:rPr>
        <w:t>八、其他资料</w:t>
      </w:r>
      <w:bookmarkEnd w:id="242"/>
      <w:bookmarkEnd w:id="243"/>
      <w:bookmarkEnd w:id="252"/>
    </w:p>
    <w:p>
      <w:pPr>
        <w:spacing w:line="360" w:lineRule="auto"/>
        <w:ind w:firstLine="480" w:firstLineChars="200"/>
        <w:rPr>
          <w:rFonts w:cs="宋体"/>
          <w:bCs/>
          <w:color w:val="auto"/>
          <w:sz w:val="24"/>
          <w:szCs w:val="24"/>
        </w:rPr>
      </w:pPr>
      <w:r>
        <w:rPr>
          <w:rFonts w:hint="eastAsia" w:cs="宋体"/>
          <w:bCs/>
          <w:color w:val="auto"/>
          <w:sz w:val="24"/>
          <w:szCs w:val="24"/>
        </w:rPr>
        <w:t>1、依据招标文件要求，供应商认为有必要说明的其他内容。</w:t>
      </w:r>
    </w:p>
    <w:p>
      <w:pPr>
        <w:spacing w:line="360" w:lineRule="auto"/>
        <w:ind w:firstLine="480" w:firstLineChars="200"/>
        <w:rPr>
          <w:rFonts w:cs="宋体"/>
          <w:bCs/>
          <w:color w:val="auto"/>
          <w:sz w:val="24"/>
          <w:szCs w:val="24"/>
        </w:rPr>
      </w:pPr>
      <w:r>
        <w:rPr>
          <w:rFonts w:hint="eastAsia" w:cs="宋体"/>
          <w:bCs/>
          <w:color w:val="auto"/>
          <w:sz w:val="24"/>
          <w:szCs w:val="24"/>
        </w:rPr>
        <w:t>2、其他可以证明供应商实力的文件。</w:t>
      </w:r>
    </w:p>
    <w:p>
      <w:pPr>
        <w:spacing w:line="360" w:lineRule="auto"/>
        <w:ind w:firstLine="482" w:firstLineChars="200"/>
        <w:rPr>
          <w:rFonts w:cs="宋体"/>
          <w:b/>
          <w:color w:val="auto"/>
          <w:sz w:val="24"/>
          <w:szCs w:val="24"/>
        </w:rPr>
      </w:pPr>
    </w:p>
    <w:p>
      <w:pPr>
        <w:spacing w:line="360" w:lineRule="auto"/>
        <w:rPr>
          <w:rFonts w:cs="宋体"/>
          <w:color w:val="auto"/>
          <w:sz w:val="24"/>
          <w:szCs w:val="24"/>
        </w:rPr>
      </w:pPr>
      <w:r>
        <w:rPr>
          <w:rFonts w:hint="eastAsia" w:cs="宋体"/>
          <w:color w:val="auto"/>
          <w:sz w:val="24"/>
          <w:szCs w:val="24"/>
        </w:rPr>
        <w:br w:type="page"/>
      </w:r>
    </w:p>
    <w:p>
      <w:pPr>
        <w:pStyle w:val="5"/>
        <w:spacing w:line="360" w:lineRule="auto"/>
        <w:ind w:firstLine="422"/>
        <w:rPr>
          <w:rFonts w:ascii="宋体" w:hAnsi="宋体" w:cs="宋体"/>
          <w:color w:val="auto"/>
          <w:sz w:val="24"/>
          <w:szCs w:val="24"/>
        </w:rPr>
      </w:pPr>
      <w:bookmarkStart w:id="253" w:name="_Toc13866"/>
      <w:r>
        <w:rPr>
          <w:rFonts w:hint="eastAsia" w:ascii="宋体" w:hAnsi="宋体" w:cs="宋体"/>
          <w:color w:val="auto"/>
          <w:sz w:val="24"/>
          <w:szCs w:val="24"/>
        </w:rPr>
        <w:t>附件1 （如有）</w:t>
      </w:r>
      <w:bookmarkEnd w:id="253"/>
    </w:p>
    <w:p>
      <w:pPr>
        <w:spacing w:line="360" w:lineRule="auto"/>
        <w:jc w:val="center"/>
        <w:rPr>
          <w:rFonts w:cs="宋体"/>
          <w:b/>
          <w:color w:val="auto"/>
          <w:sz w:val="24"/>
          <w:szCs w:val="24"/>
        </w:rPr>
      </w:pPr>
      <w:r>
        <w:rPr>
          <w:rStyle w:val="36"/>
          <w:rFonts w:hint="eastAsia" w:hAnsi="宋体" w:cs="宋体"/>
          <w:color w:val="auto"/>
          <w:sz w:val="24"/>
          <w:szCs w:val="24"/>
        </w:rPr>
        <w:t>投标担保函（参考格式）</w:t>
      </w:r>
    </w:p>
    <w:p>
      <w:pPr>
        <w:spacing w:line="360" w:lineRule="auto"/>
        <w:jc w:val="center"/>
        <w:rPr>
          <w:rFonts w:cs="宋体"/>
          <w:color w:val="auto"/>
          <w:sz w:val="24"/>
          <w:szCs w:val="24"/>
        </w:rPr>
      </w:pPr>
      <w:r>
        <w:rPr>
          <w:rFonts w:hint="eastAsia" w:cs="宋体"/>
          <w:color w:val="auto"/>
          <w:sz w:val="24"/>
          <w:szCs w:val="24"/>
        </w:rPr>
        <w:t xml:space="preserve">                              编号： </w:t>
      </w:r>
    </w:p>
    <w:p>
      <w:pPr>
        <w:spacing w:line="360" w:lineRule="auto"/>
        <w:rPr>
          <w:rFonts w:cs="宋体"/>
          <w:color w:val="auto"/>
          <w:sz w:val="24"/>
          <w:szCs w:val="24"/>
          <w:u w:val="single"/>
        </w:rPr>
      </w:pPr>
    </w:p>
    <w:p>
      <w:pPr>
        <w:spacing w:line="360" w:lineRule="auto"/>
        <w:rPr>
          <w:rFonts w:cs="宋体"/>
          <w:color w:val="auto"/>
          <w:sz w:val="24"/>
          <w:szCs w:val="24"/>
        </w:rPr>
      </w:pPr>
      <w:r>
        <w:rPr>
          <w:rFonts w:hint="eastAsia" w:cs="宋体"/>
          <w:color w:val="auto"/>
          <w:sz w:val="24"/>
          <w:szCs w:val="24"/>
        </w:rPr>
        <w:t xml:space="preserve">___________________（采购人或采购代理机构）： </w:t>
      </w:r>
    </w:p>
    <w:p>
      <w:pPr>
        <w:spacing w:line="360" w:lineRule="auto"/>
        <w:jc w:val="left"/>
        <w:rPr>
          <w:rFonts w:cs="宋体"/>
          <w:color w:val="auto"/>
          <w:sz w:val="24"/>
          <w:szCs w:val="24"/>
        </w:rPr>
      </w:pPr>
      <w:r>
        <w:rPr>
          <w:rFonts w:hint="eastAsia" w:cs="宋体"/>
          <w:color w:val="auto"/>
          <w:sz w:val="24"/>
          <w:szCs w:val="24"/>
        </w:rPr>
        <w:t xml:space="preserve">    鉴于_______________（以下简称“供应商”）拟参加编号为___________的_______项目</w:t>
      </w:r>
      <w:r>
        <w:rPr>
          <w:rFonts w:hint="eastAsia" w:cs="宋体"/>
          <w:color w:val="auto"/>
          <w:sz w:val="24"/>
          <w:szCs w:val="24"/>
          <w:u w:val="single"/>
        </w:rPr>
        <w:t xml:space="preserve">      </w:t>
      </w:r>
      <w:r>
        <w:rPr>
          <w:rFonts w:hint="eastAsia" w:cs="宋体"/>
          <w:color w:val="auto"/>
          <w:sz w:val="24"/>
          <w:szCs w:val="24"/>
        </w:rPr>
        <w:t xml:space="preserve">（以下简称“本项目”）投标，根据本项目招标文件，供应商参加投标时应向你方交纳投标保证金，且可以投标担保函的形式交纳投标保证金。应供应商的申请，我方以保证的方式向你方提供如下投标保证金担保： </w:t>
      </w:r>
    </w:p>
    <w:p>
      <w:pPr>
        <w:spacing w:line="360" w:lineRule="auto"/>
        <w:rPr>
          <w:rFonts w:cs="宋体"/>
          <w:b/>
          <w:color w:val="auto"/>
          <w:sz w:val="24"/>
          <w:szCs w:val="24"/>
        </w:rPr>
      </w:pPr>
      <w:r>
        <w:rPr>
          <w:rFonts w:hint="eastAsia" w:cs="宋体"/>
          <w:color w:val="auto"/>
          <w:sz w:val="24"/>
          <w:szCs w:val="24"/>
        </w:rPr>
        <w:t xml:space="preserve">   </w:t>
      </w:r>
      <w:r>
        <w:rPr>
          <w:rFonts w:hint="eastAsia" w:cs="宋体"/>
          <w:b/>
          <w:color w:val="auto"/>
          <w:sz w:val="24"/>
          <w:szCs w:val="24"/>
        </w:rPr>
        <w:t xml:space="preserve"> 一、保证责任的情形及保证金额 </w:t>
      </w:r>
    </w:p>
    <w:p>
      <w:pPr>
        <w:spacing w:line="360" w:lineRule="auto"/>
        <w:rPr>
          <w:rFonts w:cs="宋体"/>
          <w:color w:val="auto"/>
          <w:sz w:val="24"/>
          <w:szCs w:val="24"/>
        </w:rPr>
      </w:pPr>
      <w:r>
        <w:rPr>
          <w:rFonts w:hint="eastAsia" w:cs="宋体"/>
          <w:color w:val="auto"/>
          <w:sz w:val="24"/>
          <w:szCs w:val="24"/>
        </w:rPr>
        <w:t xml:space="preserve">   （一）在供应商出现下列情形之一时，我方承担保证责任： </w:t>
      </w:r>
    </w:p>
    <w:p>
      <w:pPr>
        <w:spacing w:line="360" w:lineRule="auto"/>
        <w:rPr>
          <w:rFonts w:cs="宋体"/>
          <w:color w:val="auto"/>
          <w:sz w:val="24"/>
          <w:szCs w:val="24"/>
        </w:rPr>
      </w:pPr>
      <w:r>
        <w:rPr>
          <w:rFonts w:hint="eastAsia" w:cs="宋体"/>
          <w:color w:val="auto"/>
          <w:sz w:val="24"/>
          <w:szCs w:val="24"/>
        </w:rPr>
        <w:t xml:space="preserve">    1．中标后供应商无正当理由不与采购人或者采购代理机构签订《政府采购合同》； </w:t>
      </w:r>
    </w:p>
    <w:p>
      <w:pPr>
        <w:spacing w:line="360" w:lineRule="auto"/>
        <w:rPr>
          <w:rFonts w:cs="宋体"/>
          <w:color w:val="auto"/>
          <w:sz w:val="24"/>
          <w:szCs w:val="24"/>
        </w:rPr>
      </w:pPr>
      <w:r>
        <w:rPr>
          <w:rFonts w:hint="eastAsia" w:cs="宋体"/>
          <w:color w:val="auto"/>
          <w:sz w:val="24"/>
          <w:szCs w:val="24"/>
        </w:rPr>
        <w:t xml:space="preserve">    2．招标文件规定的供应商应当缴纳保证金的其他情形。 </w:t>
      </w:r>
    </w:p>
    <w:p>
      <w:pPr>
        <w:spacing w:line="360" w:lineRule="auto"/>
        <w:jc w:val="left"/>
        <w:rPr>
          <w:rFonts w:cs="宋体"/>
          <w:color w:val="auto"/>
          <w:sz w:val="24"/>
          <w:szCs w:val="24"/>
        </w:rPr>
      </w:pPr>
      <w:r>
        <w:rPr>
          <w:rFonts w:hint="eastAsia" w:cs="宋体"/>
          <w:color w:val="auto"/>
          <w:sz w:val="24"/>
          <w:szCs w:val="24"/>
        </w:rPr>
        <w:t xml:space="preserve">  （二）我方承担保证责任的最高金额为人民币______元（大写_________________），即本项目</w:t>
      </w:r>
      <w:r>
        <w:rPr>
          <w:rFonts w:hint="eastAsia" w:cs="宋体"/>
          <w:color w:val="auto"/>
          <w:sz w:val="24"/>
          <w:szCs w:val="24"/>
          <w:u w:val="single"/>
        </w:rPr>
        <w:t xml:space="preserve">     </w:t>
      </w:r>
      <w:r>
        <w:rPr>
          <w:rFonts w:hint="eastAsia" w:cs="宋体"/>
          <w:color w:val="auto"/>
          <w:sz w:val="24"/>
          <w:szCs w:val="24"/>
        </w:rPr>
        <w:t xml:space="preserve">的投标保证金金额。 </w:t>
      </w:r>
    </w:p>
    <w:p>
      <w:pPr>
        <w:spacing w:line="360" w:lineRule="auto"/>
        <w:rPr>
          <w:rFonts w:cs="宋体"/>
          <w:b/>
          <w:color w:val="auto"/>
          <w:sz w:val="24"/>
          <w:szCs w:val="24"/>
        </w:rPr>
      </w:pPr>
      <w:r>
        <w:rPr>
          <w:rFonts w:hint="eastAsia" w:cs="宋体"/>
          <w:color w:val="auto"/>
          <w:sz w:val="24"/>
          <w:szCs w:val="24"/>
        </w:rPr>
        <w:t xml:space="preserve">   </w:t>
      </w:r>
      <w:r>
        <w:rPr>
          <w:rFonts w:hint="eastAsia" w:cs="宋体"/>
          <w:b/>
          <w:color w:val="auto"/>
          <w:sz w:val="24"/>
          <w:szCs w:val="24"/>
        </w:rPr>
        <w:t xml:space="preserve"> 二、保证的方式及保证期间 </w:t>
      </w:r>
    </w:p>
    <w:p>
      <w:pPr>
        <w:spacing w:line="360" w:lineRule="auto"/>
        <w:rPr>
          <w:rFonts w:cs="宋体"/>
          <w:color w:val="auto"/>
          <w:sz w:val="24"/>
          <w:szCs w:val="24"/>
        </w:rPr>
      </w:pPr>
      <w:r>
        <w:rPr>
          <w:rFonts w:hint="eastAsia" w:cs="宋体"/>
          <w:color w:val="auto"/>
          <w:sz w:val="24"/>
          <w:szCs w:val="24"/>
        </w:rPr>
        <w:t xml:space="preserve">    我方保证的方式为：连带责任保证。 </w:t>
      </w:r>
    </w:p>
    <w:p>
      <w:pPr>
        <w:spacing w:line="360" w:lineRule="auto"/>
        <w:rPr>
          <w:rFonts w:cs="宋体"/>
          <w:color w:val="auto"/>
          <w:sz w:val="24"/>
          <w:szCs w:val="24"/>
        </w:rPr>
      </w:pPr>
      <w:r>
        <w:rPr>
          <w:rFonts w:hint="eastAsia" w:cs="宋体"/>
          <w:color w:val="auto"/>
          <w:sz w:val="24"/>
          <w:szCs w:val="24"/>
        </w:rPr>
        <w:t xml:space="preserve">    我方的保证期间为：自本保函生效之日起______个月止。 </w:t>
      </w:r>
    </w:p>
    <w:p>
      <w:pPr>
        <w:spacing w:line="360" w:lineRule="auto"/>
        <w:rPr>
          <w:rFonts w:cs="宋体"/>
          <w:b/>
          <w:color w:val="auto"/>
          <w:sz w:val="24"/>
          <w:szCs w:val="24"/>
        </w:rPr>
      </w:pPr>
      <w:r>
        <w:rPr>
          <w:rFonts w:hint="eastAsia" w:cs="宋体"/>
          <w:color w:val="auto"/>
          <w:sz w:val="24"/>
          <w:szCs w:val="24"/>
        </w:rPr>
        <w:t xml:space="preserve">   </w:t>
      </w:r>
      <w:r>
        <w:rPr>
          <w:rFonts w:hint="eastAsia" w:cs="宋体"/>
          <w:b/>
          <w:color w:val="auto"/>
          <w:sz w:val="24"/>
          <w:szCs w:val="24"/>
        </w:rPr>
        <w:t xml:space="preserve"> 三、承担保证责任的程序 </w:t>
      </w:r>
    </w:p>
    <w:p>
      <w:pPr>
        <w:spacing w:line="360" w:lineRule="auto"/>
        <w:rPr>
          <w:rFonts w:cs="宋体"/>
          <w:color w:val="auto"/>
          <w:sz w:val="24"/>
          <w:szCs w:val="24"/>
        </w:rPr>
      </w:pPr>
      <w:r>
        <w:rPr>
          <w:rFonts w:hint="eastAsia" w:cs="宋体"/>
          <w:color w:val="auto"/>
          <w:sz w:val="24"/>
          <w:szCs w:val="24"/>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rFonts w:cs="宋体"/>
          <w:color w:val="auto"/>
          <w:sz w:val="24"/>
          <w:szCs w:val="24"/>
        </w:rPr>
      </w:pPr>
      <w:r>
        <w:rPr>
          <w:rFonts w:hint="eastAsia" w:cs="宋体"/>
          <w:color w:val="auto"/>
          <w:sz w:val="24"/>
          <w:szCs w:val="24"/>
        </w:rPr>
        <w:t xml:space="preserve">    2．我方在收到索赔通知及相关证明材料后，在_____个工作日内进行审查，符合应承担保证责任情形的，我方应按照你方的要求代供应商向你方支付投标保证金。 </w:t>
      </w:r>
    </w:p>
    <w:p>
      <w:pPr>
        <w:spacing w:line="360" w:lineRule="auto"/>
        <w:rPr>
          <w:rFonts w:cs="宋体"/>
          <w:b/>
          <w:color w:val="auto"/>
          <w:sz w:val="24"/>
          <w:szCs w:val="24"/>
        </w:rPr>
      </w:pPr>
      <w:r>
        <w:rPr>
          <w:rFonts w:hint="eastAsia" w:cs="宋体"/>
          <w:b/>
          <w:color w:val="auto"/>
          <w:sz w:val="24"/>
          <w:szCs w:val="24"/>
        </w:rPr>
        <w:t xml:space="preserve">    四、保证责任的终止 </w:t>
      </w:r>
    </w:p>
    <w:p>
      <w:pPr>
        <w:spacing w:line="360" w:lineRule="auto"/>
        <w:rPr>
          <w:rFonts w:cs="宋体"/>
          <w:color w:val="auto"/>
          <w:sz w:val="24"/>
          <w:szCs w:val="24"/>
        </w:rPr>
      </w:pPr>
      <w:r>
        <w:rPr>
          <w:rFonts w:hint="eastAsia" w:cs="宋体"/>
          <w:color w:val="auto"/>
          <w:sz w:val="24"/>
          <w:szCs w:val="24"/>
        </w:rPr>
        <w:t xml:space="preserve">    1．保证期间届满你方未向我方书面主张保证责任的，自保证期间届满次日起，我方保证责任自动终止。 </w:t>
      </w:r>
    </w:p>
    <w:p>
      <w:pPr>
        <w:spacing w:line="360" w:lineRule="auto"/>
        <w:rPr>
          <w:rFonts w:cs="宋体"/>
          <w:color w:val="auto"/>
          <w:sz w:val="24"/>
          <w:szCs w:val="24"/>
        </w:rPr>
      </w:pPr>
      <w:r>
        <w:rPr>
          <w:rFonts w:hint="eastAsia" w:cs="宋体"/>
          <w:color w:val="auto"/>
          <w:sz w:val="24"/>
          <w:szCs w:val="24"/>
        </w:rPr>
        <w:t xml:space="preserve">    2．我方按照本保函向你方履行了保证责任后，自我方向你方支付款项（支付款项从我方账户划出）之日起，保证责任终止。 </w:t>
      </w:r>
    </w:p>
    <w:p>
      <w:pPr>
        <w:spacing w:line="360" w:lineRule="auto"/>
        <w:rPr>
          <w:rFonts w:cs="宋体"/>
          <w:color w:val="auto"/>
          <w:sz w:val="24"/>
          <w:szCs w:val="24"/>
        </w:rPr>
      </w:pPr>
      <w:r>
        <w:rPr>
          <w:rFonts w:hint="eastAsia" w:cs="宋体"/>
          <w:color w:val="auto"/>
          <w:sz w:val="24"/>
          <w:szCs w:val="24"/>
        </w:rPr>
        <w:t xml:space="preserve">    3．按照法律法规的规定或出现我方保证责任终止的其它情形的，我方在本保函项下的保证责任亦终止。 </w:t>
      </w:r>
    </w:p>
    <w:p>
      <w:pPr>
        <w:spacing w:line="360" w:lineRule="auto"/>
        <w:rPr>
          <w:rFonts w:cs="宋体"/>
          <w:b/>
          <w:color w:val="auto"/>
          <w:sz w:val="24"/>
          <w:szCs w:val="24"/>
        </w:rPr>
      </w:pPr>
      <w:r>
        <w:rPr>
          <w:rFonts w:hint="eastAsia" w:cs="宋体"/>
          <w:b/>
          <w:color w:val="auto"/>
          <w:sz w:val="24"/>
          <w:szCs w:val="24"/>
        </w:rPr>
        <w:t xml:space="preserve">    五、免责条款 </w:t>
      </w:r>
    </w:p>
    <w:p>
      <w:pPr>
        <w:spacing w:line="360" w:lineRule="auto"/>
        <w:rPr>
          <w:rFonts w:cs="宋体"/>
          <w:color w:val="auto"/>
          <w:sz w:val="24"/>
          <w:szCs w:val="24"/>
        </w:rPr>
      </w:pPr>
      <w:r>
        <w:rPr>
          <w:rFonts w:hint="eastAsia" w:cs="宋体"/>
          <w:color w:val="auto"/>
          <w:sz w:val="24"/>
          <w:szCs w:val="24"/>
        </w:rPr>
        <w:t xml:space="preserve">    1．依照法律规定或你方与供应商的另行约定，全部或者部分免除供应商投标保证金义务时，我方亦免除相应的保证责任。 </w:t>
      </w:r>
    </w:p>
    <w:p>
      <w:pPr>
        <w:spacing w:line="360" w:lineRule="auto"/>
        <w:rPr>
          <w:rFonts w:cs="宋体"/>
          <w:color w:val="auto"/>
          <w:sz w:val="24"/>
          <w:szCs w:val="24"/>
        </w:rPr>
      </w:pPr>
      <w:r>
        <w:rPr>
          <w:rFonts w:hint="eastAsia" w:cs="宋体"/>
          <w:color w:val="auto"/>
          <w:sz w:val="24"/>
          <w:szCs w:val="24"/>
        </w:rPr>
        <w:t xml:space="preserve">    2．因你方原因致使供应商发生本保函第一条第（一）款约定情形的，我方不承担保证责任。 </w:t>
      </w:r>
    </w:p>
    <w:p>
      <w:pPr>
        <w:spacing w:line="360" w:lineRule="auto"/>
        <w:rPr>
          <w:rFonts w:cs="宋体"/>
          <w:color w:val="auto"/>
          <w:sz w:val="24"/>
          <w:szCs w:val="24"/>
        </w:rPr>
      </w:pPr>
      <w:r>
        <w:rPr>
          <w:rFonts w:hint="eastAsia" w:cs="宋体"/>
          <w:color w:val="auto"/>
          <w:sz w:val="24"/>
          <w:szCs w:val="24"/>
        </w:rPr>
        <w:t xml:space="preserve">    3．因不可抗力造成供应商发生本保函第一条约定情形的，我方不承担保证责任。 </w:t>
      </w:r>
    </w:p>
    <w:p>
      <w:pPr>
        <w:spacing w:line="360" w:lineRule="auto"/>
        <w:rPr>
          <w:rFonts w:cs="宋体"/>
          <w:color w:val="auto"/>
          <w:sz w:val="24"/>
          <w:szCs w:val="24"/>
        </w:rPr>
      </w:pPr>
      <w:r>
        <w:rPr>
          <w:rFonts w:hint="eastAsia" w:cs="宋体"/>
          <w:color w:val="auto"/>
          <w:sz w:val="24"/>
          <w:szCs w:val="24"/>
        </w:rPr>
        <w:t xml:space="preserve">    4．你方或其他有权机关对招标文件进行任何澄清或修改，加重我方保证责任的，我方对加重部分不承担保证责任，但该澄清或修改经我方事先书面同意的除外。 </w:t>
      </w:r>
    </w:p>
    <w:p>
      <w:pPr>
        <w:spacing w:line="360" w:lineRule="auto"/>
        <w:rPr>
          <w:rFonts w:cs="宋体"/>
          <w:b/>
          <w:color w:val="auto"/>
          <w:sz w:val="24"/>
          <w:szCs w:val="24"/>
        </w:rPr>
      </w:pPr>
      <w:r>
        <w:rPr>
          <w:rFonts w:hint="eastAsia" w:cs="宋体"/>
          <w:color w:val="auto"/>
          <w:sz w:val="24"/>
          <w:szCs w:val="24"/>
        </w:rPr>
        <w:t xml:space="preserve">   </w:t>
      </w:r>
      <w:r>
        <w:rPr>
          <w:rFonts w:hint="eastAsia" w:cs="宋体"/>
          <w:b/>
          <w:color w:val="auto"/>
          <w:sz w:val="24"/>
          <w:szCs w:val="24"/>
        </w:rPr>
        <w:t xml:space="preserve"> 六、争议的解决 </w:t>
      </w:r>
    </w:p>
    <w:p>
      <w:pPr>
        <w:spacing w:line="360" w:lineRule="auto"/>
        <w:rPr>
          <w:rFonts w:cs="宋体"/>
          <w:color w:val="auto"/>
          <w:sz w:val="24"/>
          <w:szCs w:val="24"/>
        </w:rPr>
      </w:pPr>
      <w:r>
        <w:rPr>
          <w:rFonts w:hint="eastAsia" w:cs="宋体"/>
          <w:color w:val="auto"/>
          <w:sz w:val="24"/>
          <w:szCs w:val="24"/>
        </w:rPr>
        <w:t xml:space="preserve">    因本保函发生的纠纷，由你我双方协商解决，协商不成的，通过诉讼程序解决，诉讼管辖地法院为________________法院。 </w:t>
      </w:r>
    </w:p>
    <w:p>
      <w:pPr>
        <w:spacing w:line="360" w:lineRule="auto"/>
        <w:rPr>
          <w:rFonts w:cs="宋体"/>
          <w:b/>
          <w:color w:val="auto"/>
          <w:sz w:val="24"/>
          <w:szCs w:val="24"/>
        </w:rPr>
      </w:pPr>
      <w:r>
        <w:rPr>
          <w:rFonts w:hint="eastAsia" w:cs="宋体"/>
          <w:b/>
          <w:color w:val="auto"/>
          <w:sz w:val="24"/>
          <w:szCs w:val="24"/>
        </w:rPr>
        <w:t xml:space="preserve">    七、保函的生效 </w:t>
      </w:r>
    </w:p>
    <w:p>
      <w:pPr>
        <w:spacing w:line="360" w:lineRule="auto"/>
        <w:rPr>
          <w:rFonts w:cs="宋体"/>
          <w:color w:val="auto"/>
          <w:sz w:val="24"/>
          <w:szCs w:val="24"/>
        </w:rPr>
      </w:pPr>
      <w:r>
        <w:rPr>
          <w:rFonts w:hint="eastAsia" w:cs="宋体"/>
          <w:color w:val="auto"/>
          <w:sz w:val="24"/>
          <w:szCs w:val="24"/>
        </w:rPr>
        <w:t xml:space="preserve">    本保函自我方加盖公章之日起生效。 </w:t>
      </w:r>
    </w:p>
    <w:p>
      <w:pPr>
        <w:spacing w:line="360" w:lineRule="auto"/>
        <w:rPr>
          <w:rFonts w:cs="宋体"/>
          <w:color w:val="auto"/>
          <w:sz w:val="24"/>
          <w:szCs w:val="24"/>
        </w:rPr>
      </w:pPr>
      <w:r>
        <w:rPr>
          <w:rFonts w:hint="eastAsia" w:cs="宋体"/>
          <w:color w:val="auto"/>
          <w:sz w:val="24"/>
          <w:szCs w:val="24"/>
        </w:rPr>
        <w:t xml:space="preserve">                             </w:t>
      </w:r>
    </w:p>
    <w:p>
      <w:pPr>
        <w:spacing w:line="360" w:lineRule="auto"/>
        <w:rPr>
          <w:rFonts w:cs="宋体"/>
          <w:color w:val="auto"/>
          <w:sz w:val="24"/>
          <w:szCs w:val="24"/>
        </w:rPr>
      </w:pPr>
    </w:p>
    <w:p>
      <w:pPr>
        <w:spacing w:line="360" w:lineRule="auto"/>
        <w:rPr>
          <w:rFonts w:cs="宋体"/>
          <w:color w:val="auto"/>
          <w:sz w:val="24"/>
          <w:szCs w:val="24"/>
        </w:rPr>
      </w:pPr>
      <w:r>
        <w:rPr>
          <w:rFonts w:hint="eastAsia" w:cs="宋体"/>
          <w:color w:val="auto"/>
          <w:sz w:val="24"/>
          <w:szCs w:val="24"/>
        </w:rPr>
        <w:t xml:space="preserve">                                </w:t>
      </w:r>
    </w:p>
    <w:p>
      <w:pPr>
        <w:spacing w:line="360" w:lineRule="auto"/>
        <w:rPr>
          <w:rFonts w:cs="宋体"/>
          <w:color w:val="auto"/>
          <w:sz w:val="24"/>
          <w:szCs w:val="24"/>
        </w:rPr>
      </w:pPr>
    </w:p>
    <w:p>
      <w:pPr>
        <w:spacing w:line="360" w:lineRule="auto"/>
        <w:ind w:right="640" w:firstLine="3840" w:firstLineChars="1600"/>
        <w:rPr>
          <w:rFonts w:cs="宋体"/>
          <w:color w:val="auto"/>
          <w:sz w:val="24"/>
          <w:szCs w:val="24"/>
        </w:rPr>
      </w:pPr>
      <w:r>
        <w:rPr>
          <w:rFonts w:hint="eastAsia" w:cs="宋体"/>
          <w:color w:val="auto"/>
          <w:sz w:val="24"/>
          <w:szCs w:val="24"/>
        </w:rPr>
        <w:t>保证人：</w:t>
      </w:r>
      <w:r>
        <w:rPr>
          <w:rFonts w:hint="eastAsia" w:cs="宋体"/>
          <w:color w:val="auto"/>
          <w:sz w:val="24"/>
          <w:szCs w:val="24"/>
          <w:u w:val="single"/>
        </w:rPr>
        <w:t xml:space="preserve">                  </w:t>
      </w:r>
      <w:r>
        <w:rPr>
          <w:rFonts w:hint="eastAsia" w:cs="宋体"/>
          <w:color w:val="auto"/>
          <w:sz w:val="24"/>
          <w:szCs w:val="24"/>
        </w:rPr>
        <w:t>（公章）</w:t>
      </w:r>
    </w:p>
    <w:p>
      <w:pPr>
        <w:spacing w:line="360" w:lineRule="auto"/>
        <w:ind w:right="640"/>
        <w:rPr>
          <w:rFonts w:cs="宋体"/>
          <w:color w:val="auto"/>
          <w:sz w:val="24"/>
          <w:szCs w:val="24"/>
        </w:rPr>
      </w:pPr>
      <w:r>
        <w:rPr>
          <w:rFonts w:hint="eastAsia" w:cs="宋体"/>
          <w:color w:val="auto"/>
          <w:sz w:val="24"/>
          <w:szCs w:val="24"/>
        </w:rPr>
        <w:t xml:space="preserve">                                          年   月   日</w:t>
      </w:r>
    </w:p>
    <w:p>
      <w:pPr>
        <w:snapToGrid w:val="0"/>
        <w:spacing w:line="360" w:lineRule="auto"/>
        <w:rPr>
          <w:rFonts w:cs="宋体"/>
          <w:color w:val="auto"/>
          <w:sz w:val="24"/>
          <w:szCs w:val="24"/>
        </w:rPr>
      </w:pPr>
    </w:p>
    <w:p>
      <w:pPr>
        <w:snapToGrid w:val="0"/>
        <w:spacing w:line="360" w:lineRule="auto"/>
        <w:rPr>
          <w:rFonts w:cs="宋体"/>
          <w:color w:val="auto"/>
          <w:sz w:val="24"/>
          <w:szCs w:val="24"/>
        </w:rPr>
      </w:pPr>
    </w:p>
    <w:p>
      <w:pPr>
        <w:snapToGrid w:val="0"/>
        <w:spacing w:line="360" w:lineRule="auto"/>
        <w:rPr>
          <w:rFonts w:cs="宋体"/>
          <w:color w:val="auto"/>
          <w:sz w:val="24"/>
          <w:szCs w:val="24"/>
        </w:rPr>
      </w:pPr>
    </w:p>
    <w:p>
      <w:pPr>
        <w:snapToGrid w:val="0"/>
        <w:spacing w:line="360" w:lineRule="auto"/>
        <w:rPr>
          <w:rFonts w:cs="宋体"/>
          <w:color w:val="auto"/>
          <w:sz w:val="24"/>
          <w:szCs w:val="24"/>
        </w:rPr>
      </w:pPr>
    </w:p>
    <w:p>
      <w:pPr>
        <w:spacing w:line="360" w:lineRule="auto"/>
        <w:rPr>
          <w:rFonts w:cs="宋体"/>
          <w:color w:val="auto"/>
          <w:sz w:val="24"/>
          <w:szCs w:val="24"/>
        </w:rPr>
      </w:pPr>
      <w:r>
        <w:rPr>
          <w:rFonts w:hint="eastAsia" w:cs="宋体"/>
          <w:color w:val="auto"/>
          <w:sz w:val="24"/>
          <w:szCs w:val="24"/>
        </w:rPr>
        <w:br w:type="page"/>
      </w:r>
    </w:p>
    <w:bookmarkEnd w:id="244"/>
    <w:bookmarkEnd w:id="245"/>
    <w:bookmarkEnd w:id="246"/>
    <w:bookmarkEnd w:id="247"/>
    <w:bookmarkEnd w:id="248"/>
    <w:bookmarkEnd w:id="249"/>
    <w:bookmarkEnd w:id="250"/>
    <w:bookmarkEnd w:id="251"/>
    <w:p>
      <w:pPr>
        <w:spacing w:line="360" w:lineRule="auto"/>
        <w:rPr>
          <w:rFonts w:cs="宋体"/>
          <w:color w:val="auto"/>
          <w:sz w:val="24"/>
          <w:szCs w:val="24"/>
        </w:rPr>
      </w:pPr>
    </w:p>
    <w:p>
      <w:pPr>
        <w:pStyle w:val="5"/>
        <w:spacing w:line="360" w:lineRule="auto"/>
        <w:ind w:firstLine="422"/>
        <w:rPr>
          <w:rFonts w:ascii="宋体" w:hAnsi="宋体" w:cs="宋体"/>
          <w:color w:val="auto"/>
          <w:sz w:val="24"/>
          <w:szCs w:val="24"/>
        </w:rPr>
      </w:pPr>
      <w:r>
        <w:rPr>
          <w:rFonts w:hint="eastAsia" w:ascii="宋体" w:hAnsi="宋体" w:cs="宋体"/>
          <w:color w:val="auto"/>
          <w:sz w:val="24"/>
          <w:szCs w:val="24"/>
        </w:rPr>
        <w:t>附件2（如有）</w:t>
      </w:r>
    </w:p>
    <w:p>
      <w:pPr>
        <w:spacing w:line="360" w:lineRule="auto"/>
        <w:jc w:val="center"/>
        <w:rPr>
          <w:rFonts w:cs="宋体"/>
          <w:b/>
          <w:color w:val="auto"/>
          <w:spacing w:val="6"/>
          <w:sz w:val="24"/>
          <w:szCs w:val="24"/>
        </w:rPr>
      </w:pPr>
      <w:bookmarkStart w:id="254" w:name="OLE_LINK13"/>
      <w:bookmarkStart w:id="255" w:name="OLE_LINK14"/>
      <w:r>
        <w:rPr>
          <w:rFonts w:hint="eastAsia" w:cs="宋体"/>
          <w:b/>
          <w:color w:val="auto"/>
          <w:spacing w:val="6"/>
          <w:sz w:val="24"/>
          <w:szCs w:val="24"/>
        </w:rPr>
        <w:t>残疾人福利性单位声明函</w:t>
      </w:r>
    </w:p>
    <w:bookmarkEnd w:id="254"/>
    <w:bookmarkEnd w:id="255"/>
    <w:p>
      <w:pPr>
        <w:spacing w:line="360" w:lineRule="auto"/>
        <w:rPr>
          <w:rFonts w:cs="宋体"/>
          <w:b/>
          <w:color w:val="auto"/>
          <w:spacing w:val="6"/>
          <w:sz w:val="24"/>
          <w:szCs w:val="24"/>
        </w:rPr>
      </w:pPr>
    </w:p>
    <w:p>
      <w:pPr>
        <w:spacing w:line="360" w:lineRule="auto"/>
        <w:ind w:firstLine="504" w:firstLineChars="200"/>
        <w:rPr>
          <w:rFonts w:cs="宋体"/>
          <w:color w:val="auto"/>
          <w:spacing w:val="6"/>
          <w:sz w:val="24"/>
          <w:szCs w:val="24"/>
        </w:rPr>
      </w:pPr>
      <w:r>
        <w:rPr>
          <w:rFonts w:hint="eastAsia" w:cs="宋体"/>
          <w:color w:val="auto"/>
          <w:spacing w:val="6"/>
          <w:sz w:val="24"/>
          <w:szCs w:val="24"/>
        </w:rPr>
        <w:t>本单位郑重声明，根据《财政部 民政部 中国残疾人联合会关于促进残疾人就业政府采购政策的通知》（财库</w:t>
      </w:r>
      <w:r>
        <w:rPr>
          <w:rFonts w:hint="eastAsia" w:cs="宋体"/>
          <w:color w:val="auto"/>
          <w:sz w:val="24"/>
          <w:szCs w:val="24"/>
        </w:rPr>
        <w:t>〔2017〕 141</w:t>
      </w:r>
      <w:r>
        <w:rPr>
          <w:rFonts w:hint="eastAsia" w:cs="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cs="宋体"/>
          <w:color w:val="auto"/>
          <w:spacing w:val="6"/>
          <w:sz w:val="24"/>
          <w:szCs w:val="24"/>
        </w:rPr>
      </w:pPr>
      <w:r>
        <w:rPr>
          <w:rFonts w:hint="eastAsia" w:cs="宋体"/>
          <w:color w:val="auto"/>
          <w:spacing w:val="6"/>
          <w:sz w:val="24"/>
          <w:szCs w:val="24"/>
        </w:rPr>
        <w:t>本单位对上述声明的真实性负责。如有虚假，将依法承担相应责任。</w:t>
      </w:r>
    </w:p>
    <w:p>
      <w:pPr>
        <w:spacing w:line="360" w:lineRule="auto"/>
        <w:ind w:firstLine="504" w:firstLineChars="200"/>
        <w:rPr>
          <w:rFonts w:cs="宋体"/>
          <w:color w:val="auto"/>
          <w:spacing w:val="6"/>
          <w:sz w:val="24"/>
          <w:szCs w:val="24"/>
        </w:rPr>
      </w:pPr>
    </w:p>
    <w:p>
      <w:pPr>
        <w:spacing w:line="360" w:lineRule="auto"/>
        <w:ind w:firstLine="504" w:firstLineChars="200"/>
        <w:rPr>
          <w:rFonts w:cs="宋体"/>
          <w:color w:val="auto"/>
          <w:spacing w:val="6"/>
          <w:sz w:val="24"/>
          <w:szCs w:val="24"/>
        </w:rPr>
      </w:pPr>
    </w:p>
    <w:p>
      <w:pPr>
        <w:spacing w:line="360" w:lineRule="auto"/>
        <w:ind w:firstLine="504" w:firstLineChars="200"/>
        <w:rPr>
          <w:rFonts w:cs="宋体"/>
          <w:color w:val="auto"/>
          <w:spacing w:val="6"/>
          <w:sz w:val="24"/>
          <w:szCs w:val="24"/>
        </w:rPr>
      </w:pPr>
    </w:p>
    <w:p>
      <w:pPr>
        <w:spacing w:line="360" w:lineRule="auto"/>
        <w:ind w:firstLine="504" w:firstLineChars="200"/>
        <w:rPr>
          <w:rFonts w:cs="宋体"/>
          <w:color w:val="auto"/>
          <w:spacing w:val="6"/>
          <w:sz w:val="24"/>
          <w:szCs w:val="24"/>
        </w:rPr>
      </w:pPr>
    </w:p>
    <w:p>
      <w:pPr>
        <w:tabs>
          <w:tab w:val="left" w:pos="4860"/>
        </w:tabs>
        <w:spacing w:line="360" w:lineRule="auto"/>
        <w:ind w:right="1560" w:firstLine="504" w:firstLineChars="200"/>
        <w:jc w:val="center"/>
        <w:rPr>
          <w:rFonts w:cs="宋体"/>
          <w:color w:val="auto"/>
          <w:spacing w:val="6"/>
          <w:sz w:val="24"/>
          <w:szCs w:val="24"/>
        </w:rPr>
      </w:pPr>
      <w:r>
        <w:rPr>
          <w:rFonts w:hint="eastAsia" w:cs="宋体"/>
          <w:color w:val="auto"/>
          <w:spacing w:val="6"/>
          <w:sz w:val="24"/>
          <w:szCs w:val="24"/>
        </w:rPr>
        <w:t xml:space="preserve">               单位名称：</w:t>
      </w:r>
      <w:r>
        <w:rPr>
          <w:rFonts w:hint="eastAsia" w:cs="宋体"/>
          <w:color w:val="auto"/>
          <w:spacing w:val="6"/>
          <w:sz w:val="24"/>
          <w:szCs w:val="24"/>
          <w:u w:val="single"/>
        </w:rPr>
        <w:t xml:space="preserve">                 </w:t>
      </w:r>
      <w:r>
        <w:rPr>
          <w:rFonts w:hint="eastAsia" w:cs="宋体"/>
          <w:color w:val="auto"/>
          <w:spacing w:val="6"/>
          <w:sz w:val="24"/>
          <w:szCs w:val="24"/>
        </w:rPr>
        <w:t>（盖章）</w:t>
      </w:r>
    </w:p>
    <w:p>
      <w:pPr>
        <w:adjustRightInd w:val="0"/>
        <w:snapToGrid w:val="0"/>
        <w:spacing w:line="360" w:lineRule="auto"/>
        <w:ind w:firstLine="2880" w:firstLineChars="1200"/>
        <w:rPr>
          <w:rFonts w:cs="宋体"/>
          <w:color w:val="auto"/>
          <w:sz w:val="24"/>
          <w:szCs w:val="24"/>
        </w:rPr>
      </w:pPr>
      <w:r>
        <w:rPr>
          <w:rFonts w:hint="eastAsia" w:cs="宋体"/>
          <w:color w:val="auto"/>
          <w:sz w:val="24"/>
          <w:szCs w:val="24"/>
        </w:rPr>
        <w:t>日     期：</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pPr>
        <w:tabs>
          <w:tab w:val="left" w:pos="1620"/>
          <w:tab w:val="left" w:pos="1800"/>
        </w:tabs>
        <w:spacing w:line="360" w:lineRule="auto"/>
        <w:ind w:right="540" w:rightChars="257"/>
        <w:rPr>
          <w:rFonts w:cs="宋体"/>
          <w:color w:val="auto"/>
          <w:sz w:val="24"/>
          <w:szCs w:val="24"/>
        </w:rPr>
      </w:pPr>
    </w:p>
    <w:p>
      <w:pPr>
        <w:tabs>
          <w:tab w:val="left" w:pos="1620"/>
          <w:tab w:val="left" w:pos="1800"/>
        </w:tabs>
        <w:spacing w:line="360" w:lineRule="auto"/>
        <w:ind w:right="540" w:rightChars="257"/>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r>
        <w:rPr>
          <w:rFonts w:hint="eastAsia" w:cs="宋体"/>
          <w:color w:val="auto"/>
          <w:sz w:val="24"/>
          <w:szCs w:val="24"/>
        </w:rPr>
        <w:br w:type="page"/>
      </w:r>
    </w:p>
    <w:p>
      <w:pPr>
        <w:pStyle w:val="5"/>
        <w:spacing w:line="360" w:lineRule="auto"/>
        <w:ind w:firstLine="422"/>
        <w:rPr>
          <w:rFonts w:ascii="宋体" w:hAnsi="宋体" w:cs="宋体"/>
          <w:color w:val="auto"/>
          <w:sz w:val="24"/>
          <w:szCs w:val="24"/>
        </w:rPr>
      </w:pPr>
      <w:r>
        <w:rPr>
          <w:rFonts w:hint="eastAsia" w:ascii="宋体" w:hAnsi="宋体" w:cs="宋体"/>
          <w:color w:val="auto"/>
          <w:sz w:val="24"/>
          <w:szCs w:val="24"/>
        </w:rPr>
        <w:t>附件3（如有）</w:t>
      </w:r>
    </w:p>
    <w:p>
      <w:pPr>
        <w:spacing w:line="360" w:lineRule="auto"/>
        <w:jc w:val="center"/>
        <w:rPr>
          <w:rFonts w:cs="宋体"/>
          <w:b/>
          <w:bCs/>
          <w:color w:val="auto"/>
          <w:sz w:val="24"/>
          <w:szCs w:val="24"/>
        </w:rPr>
      </w:pPr>
      <w:r>
        <w:rPr>
          <w:rFonts w:hint="eastAsia" w:cs="宋体"/>
          <w:b/>
          <w:bCs/>
          <w:color w:val="auto"/>
          <w:sz w:val="24"/>
          <w:szCs w:val="24"/>
        </w:rPr>
        <w:t>监狱企业证明文件</w:t>
      </w:r>
    </w:p>
    <w:p>
      <w:pPr>
        <w:spacing w:line="360" w:lineRule="auto"/>
        <w:ind w:firstLine="480" w:firstLineChars="200"/>
        <w:jc w:val="left"/>
        <w:rPr>
          <w:rFonts w:cs="宋体"/>
          <w:color w:val="auto"/>
          <w:sz w:val="24"/>
          <w:szCs w:val="24"/>
        </w:rPr>
      </w:pPr>
      <w:r>
        <w:rPr>
          <w:rFonts w:hint="eastAsia" w:cs="宋体"/>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cs="宋体"/>
          <w:color w:val="auto"/>
          <w:sz w:val="24"/>
          <w:szCs w:val="24"/>
        </w:rPr>
      </w:pPr>
      <w:r>
        <w:rPr>
          <w:rFonts w:hint="eastAsia" w:cs="宋体"/>
          <w:color w:val="auto"/>
          <w:sz w:val="24"/>
          <w:szCs w:val="24"/>
        </w:rPr>
        <w:t>监狱企业参加政府采购活动时，应当提供由省级以上监狱管理局、戒毒管理局（含新疆生产建设兵团）出具的属于监狱企业的证明文件。</w:t>
      </w: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tabs>
          <w:tab w:val="left" w:pos="1620"/>
          <w:tab w:val="left" w:pos="1800"/>
        </w:tabs>
        <w:spacing w:line="360" w:lineRule="auto"/>
        <w:ind w:right="540" w:rightChars="257"/>
        <w:rPr>
          <w:rFonts w:cs="宋体"/>
          <w:color w:val="auto"/>
          <w:sz w:val="24"/>
          <w:szCs w:val="24"/>
        </w:rPr>
      </w:pPr>
    </w:p>
    <w:p>
      <w:pPr>
        <w:tabs>
          <w:tab w:val="left" w:pos="1620"/>
          <w:tab w:val="left" w:pos="1800"/>
        </w:tabs>
        <w:spacing w:line="360" w:lineRule="auto"/>
        <w:ind w:right="540" w:rightChars="257"/>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p>
      <w:pPr>
        <w:spacing w:line="360" w:lineRule="auto"/>
        <w:rPr>
          <w:rFonts w:cs="宋体"/>
          <w:color w:val="auto"/>
          <w:sz w:val="24"/>
          <w:szCs w:val="24"/>
        </w:rPr>
      </w:pPr>
    </w:p>
    <w:sectPr>
      <w:footerReference r:id="rId4" w:type="first"/>
      <w:footerReference r:id="rId3" w:type="default"/>
      <w:pgSz w:w="11906" w:h="16838"/>
      <w:pgMar w:top="1417" w:right="1803" w:bottom="1417" w:left="1803" w:header="1134" w:footer="992" w:gutter="0"/>
      <w:pgNumType w:start="1"/>
      <w:cols w:space="0" w:num="1"/>
      <w:titlePg/>
      <w:docGrid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14B66CD3"/>
    <w:multiLevelType w:val="singleLevel"/>
    <w:tmpl w:val="14B66CD3"/>
    <w:lvl w:ilvl="0" w:tentative="0">
      <w:start w:val="1"/>
      <w:numFmt w:val="chineseCounting"/>
      <w:suff w:val="nothing"/>
      <w:lvlText w:val="%1、"/>
      <w:lvlJc w:val="left"/>
      <w:pPr>
        <w:ind w:left="-201"/>
      </w:pPr>
      <w:rPr>
        <w:rFonts w:hint="eastAsia"/>
      </w:rPr>
    </w:lvl>
  </w:abstractNum>
  <w:abstractNum w:abstractNumId="2">
    <w:nsid w:val="336973C9"/>
    <w:multiLevelType w:val="multilevel"/>
    <w:tmpl w:val="336973C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210"/>
  <w:drawingGridVerticalSpacing w:val="16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TIxMDZiN2Q2M2FiNTNlYWI0OTg2MDBhMDQ4MWQifQ=="/>
  </w:docVars>
  <w:rsids>
    <w:rsidRoot w:val="00172A27"/>
    <w:rsid w:val="000012D2"/>
    <w:rsid w:val="00002B00"/>
    <w:rsid w:val="000038C2"/>
    <w:rsid w:val="00005F6B"/>
    <w:rsid w:val="00007E5D"/>
    <w:rsid w:val="00010047"/>
    <w:rsid w:val="00010A9B"/>
    <w:rsid w:val="00013844"/>
    <w:rsid w:val="000200CD"/>
    <w:rsid w:val="000213A4"/>
    <w:rsid w:val="000217ED"/>
    <w:rsid w:val="00022A7C"/>
    <w:rsid w:val="00022D5B"/>
    <w:rsid w:val="00023B4B"/>
    <w:rsid w:val="00023CB4"/>
    <w:rsid w:val="0002463D"/>
    <w:rsid w:val="00025024"/>
    <w:rsid w:val="00026E6E"/>
    <w:rsid w:val="00027C7A"/>
    <w:rsid w:val="00030579"/>
    <w:rsid w:val="000305A9"/>
    <w:rsid w:val="0003107B"/>
    <w:rsid w:val="00031900"/>
    <w:rsid w:val="00031F87"/>
    <w:rsid w:val="00032B82"/>
    <w:rsid w:val="00033AAB"/>
    <w:rsid w:val="0003640E"/>
    <w:rsid w:val="00036555"/>
    <w:rsid w:val="000365AC"/>
    <w:rsid w:val="00041B7C"/>
    <w:rsid w:val="00042698"/>
    <w:rsid w:val="00043B48"/>
    <w:rsid w:val="00044FD0"/>
    <w:rsid w:val="000469FE"/>
    <w:rsid w:val="00047AB5"/>
    <w:rsid w:val="00047D88"/>
    <w:rsid w:val="0005073F"/>
    <w:rsid w:val="0005079D"/>
    <w:rsid w:val="00053E5E"/>
    <w:rsid w:val="0005520E"/>
    <w:rsid w:val="00055DEA"/>
    <w:rsid w:val="000565B0"/>
    <w:rsid w:val="00056B91"/>
    <w:rsid w:val="00056D53"/>
    <w:rsid w:val="00057587"/>
    <w:rsid w:val="0006079B"/>
    <w:rsid w:val="000608D5"/>
    <w:rsid w:val="00060C25"/>
    <w:rsid w:val="00062CDB"/>
    <w:rsid w:val="00062CE6"/>
    <w:rsid w:val="000637A2"/>
    <w:rsid w:val="00063DA2"/>
    <w:rsid w:val="00063F92"/>
    <w:rsid w:val="00064AF1"/>
    <w:rsid w:val="000657E3"/>
    <w:rsid w:val="00066B43"/>
    <w:rsid w:val="000719E7"/>
    <w:rsid w:val="00071E16"/>
    <w:rsid w:val="00074D9F"/>
    <w:rsid w:val="00074EFA"/>
    <w:rsid w:val="00075C16"/>
    <w:rsid w:val="00075CE3"/>
    <w:rsid w:val="000801B6"/>
    <w:rsid w:val="00082F4D"/>
    <w:rsid w:val="00085C2B"/>
    <w:rsid w:val="000873CE"/>
    <w:rsid w:val="0009062D"/>
    <w:rsid w:val="00093FA0"/>
    <w:rsid w:val="0009435B"/>
    <w:rsid w:val="00094888"/>
    <w:rsid w:val="00094DB4"/>
    <w:rsid w:val="000A0C7F"/>
    <w:rsid w:val="000A2116"/>
    <w:rsid w:val="000A286B"/>
    <w:rsid w:val="000A2CE8"/>
    <w:rsid w:val="000A2FA7"/>
    <w:rsid w:val="000A35A8"/>
    <w:rsid w:val="000A3AE0"/>
    <w:rsid w:val="000A45E4"/>
    <w:rsid w:val="000A6376"/>
    <w:rsid w:val="000A6C3D"/>
    <w:rsid w:val="000B0BCD"/>
    <w:rsid w:val="000B1179"/>
    <w:rsid w:val="000C1C22"/>
    <w:rsid w:val="000C53C8"/>
    <w:rsid w:val="000C62BA"/>
    <w:rsid w:val="000C63C8"/>
    <w:rsid w:val="000C659F"/>
    <w:rsid w:val="000C6743"/>
    <w:rsid w:val="000D04E4"/>
    <w:rsid w:val="000D0F01"/>
    <w:rsid w:val="000D2D89"/>
    <w:rsid w:val="000D3B02"/>
    <w:rsid w:val="000D6DE2"/>
    <w:rsid w:val="000D7D4B"/>
    <w:rsid w:val="000E1AE1"/>
    <w:rsid w:val="000E1B20"/>
    <w:rsid w:val="000E276A"/>
    <w:rsid w:val="000E34A7"/>
    <w:rsid w:val="000E43B9"/>
    <w:rsid w:val="000E50FC"/>
    <w:rsid w:val="000E5A92"/>
    <w:rsid w:val="000E5D5F"/>
    <w:rsid w:val="000E61E7"/>
    <w:rsid w:val="000E76E3"/>
    <w:rsid w:val="000F1A0E"/>
    <w:rsid w:val="000F1A9E"/>
    <w:rsid w:val="000F48F8"/>
    <w:rsid w:val="000F4AF5"/>
    <w:rsid w:val="000F55F7"/>
    <w:rsid w:val="000F796B"/>
    <w:rsid w:val="00100983"/>
    <w:rsid w:val="00101CF8"/>
    <w:rsid w:val="0010580A"/>
    <w:rsid w:val="001058CA"/>
    <w:rsid w:val="0010604B"/>
    <w:rsid w:val="0010605E"/>
    <w:rsid w:val="00117899"/>
    <w:rsid w:val="001208B9"/>
    <w:rsid w:val="00120A9F"/>
    <w:rsid w:val="00122278"/>
    <w:rsid w:val="00123494"/>
    <w:rsid w:val="00123553"/>
    <w:rsid w:val="001235D9"/>
    <w:rsid w:val="001254DD"/>
    <w:rsid w:val="00125A87"/>
    <w:rsid w:val="001274A2"/>
    <w:rsid w:val="00130987"/>
    <w:rsid w:val="001328B1"/>
    <w:rsid w:val="00133921"/>
    <w:rsid w:val="00135B3D"/>
    <w:rsid w:val="00136D87"/>
    <w:rsid w:val="001374E6"/>
    <w:rsid w:val="001407F0"/>
    <w:rsid w:val="00140EBC"/>
    <w:rsid w:val="00141BA0"/>
    <w:rsid w:val="00143AFF"/>
    <w:rsid w:val="00143B3B"/>
    <w:rsid w:val="00143D3B"/>
    <w:rsid w:val="00146123"/>
    <w:rsid w:val="001462C6"/>
    <w:rsid w:val="00146A73"/>
    <w:rsid w:val="00146D90"/>
    <w:rsid w:val="001515EF"/>
    <w:rsid w:val="00152CE8"/>
    <w:rsid w:val="00152FAD"/>
    <w:rsid w:val="00153967"/>
    <w:rsid w:val="00155F47"/>
    <w:rsid w:val="001601EB"/>
    <w:rsid w:val="00160DBE"/>
    <w:rsid w:val="00161827"/>
    <w:rsid w:val="00171C82"/>
    <w:rsid w:val="00172650"/>
    <w:rsid w:val="00172A27"/>
    <w:rsid w:val="00175A12"/>
    <w:rsid w:val="00177AF0"/>
    <w:rsid w:val="00180763"/>
    <w:rsid w:val="001811CA"/>
    <w:rsid w:val="00181BBD"/>
    <w:rsid w:val="00181EAD"/>
    <w:rsid w:val="00183CF9"/>
    <w:rsid w:val="001848E3"/>
    <w:rsid w:val="00185937"/>
    <w:rsid w:val="00186F95"/>
    <w:rsid w:val="00187A48"/>
    <w:rsid w:val="001901B6"/>
    <w:rsid w:val="0019096D"/>
    <w:rsid w:val="0019145F"/>
    <w:rsid w:val="00191B2F"/>
    <w:rsid w:val="00191E12"/>
    <w:rsid w:val="00192CC2"/>
    <w:rsid w:val="00192D23"/>
    <w:rsid w:val="00192EF0"/>
    <w:rsid w:val="0019304F"/>
    <w:rsid w:val="0019450B"/>
    <w:rsid w:val="00194A69"/>
    <w:rsid w:val="00195C0C"/>
    <w:rsid w:val="00195D20"/>
    <w:rsid w:val="00196F6C"/>
    <w:rsid w:val="001970A3"/>
    <w:rsid w:val="00197545"/>
    <w:rsid w:val="001A0BF7"/>
    <w:rsid w:val="001A11CD"/>
    <w:rsid w:val="001A12BD"/>
    <w:rsid w:val="001A16AC"/>
    <w:rsid w:val="001A3A9B"/>
    <w:rsid w:val="001A5525"/>
    <w:rsid w:val="001A5ABD"/>
    <w:rsid w:val="001A7465"/>
    <w:rsid w:val="001A7DAE"/>
    <w:rsid w:val="001B049A"/>
    <w:rsid w:val="001B0838"/>
    <w:rsid w:val="001B0F2D"/>
    <w:rsid w:val="001B1041"/>
    <w:rsid w:val="001B4875"/>
    <w:rsid w:val="001B48CA"/>
    <w:rsid w:val="001B52DC"/>
    <w:rsid w:val="001B6234"/>
    <w:rsid w:val="001B69A0"/>
    <w:rsid w:val="001B6A37"/>
    <w:rsid w:val="001B6ACD"/>
    <w:rsid w:val="001B7A89"/>
    <w:rsid w:val="001C391B"/>
    <w:rsid w:val="001C4AB4"/>
    <w:rsid w:val="001C4DAC"/>
    <w:rsid w:val="001C5413"/>
    <w:rsid w:val="001C5432"/>
    <w:rsid w:val="001C5D6F"/>
    <w:rsid w:val="001C6F54"/>
    <w:rsid w:val="001D03B6"/>
    <w:rsid w:val="001D2015"/>
    <w:rsid w:val="001D2346"/>
    <w:rsid w:val="001D23B9"/>
    <w:rsid w:val="001D3EFF"/>
    <w:rsid w:val="001D403A"/>
    <w:rsid w:val="001D43D2"/>
    <w:rsid w:val="001D5276"/>
    <w:rsid w:val="001D6935"/>
    <w:rsid w:val="001D79D9"/>
    <w:rsid w:val="001D7DDD"/>
    <w:rsid w:val="001E3838"/>
    <w:rsid w:val="001E63FA"/>
    <w:rsid w:val="001E6B35"/>
    <w:rsid w:val="001E7866"/>
    <w:rsid w:val="001F20F9"/>
    <w:rsid w:val="001F2EFE"/>
    <w:rsid w:val="001F4189"/>
    <w:rsid w:val="001F5DE8"/>
    <w:rsid w:val="001F6478"/>
    <w:rsid w:val="001F655E"/>
    <w:rsid w:val="001F7C73"/>
    <w:rsid w:val="00200DF2"/>
    <w:rsid w:val="002023A2"/>
    <w:rsid w:val="002023AB"/>
    <w:rsid w:val="00203F3B"/>
    <w:rsid w:val="0020401E"/>
    <w:rsid w:val="0020407A"/>
    <w:rsid w:val="0020609B"/>
    <w:rsid w:val="00206E6D"/>
    <w:rsid w:val="002072CF"/>
    <w:rsid w:val="002140FB"/>
    <w:rsid w:val="00220627"/>
    <w:rsid w:val="00220CA0"/>
    <w:rsid w:val="00222BEA"/>
    <w:rsid w:val="00223DD6"/>
    <w:rsid w:val="00224197"/>
    <w:rsid w:val="00224DAF"/>
    <w:rsid w:val="00232C05"/>
    <w:rsid w:val="00235695"/>
    <w:rsid w:val="002360A1"/>
    <w:rsid w:val="00236A16"/>
    <w:rsid w:val="00237F01"/>
    <w:rsid w:val="002416C6"/>
    <w:rsid w:val="002431A6"/>
    <w:rsid w:val="00245742"/>
    <w:rsid w:val="0024620A"/>
    <w:rsid w:val="00246984"/>
    <w:rsid w:val="002469DC"/>
    <w:rsid w:val="00246D18"/>
    <w:rsid w:val="0024731F"/>
    <w:rsid w:val="0024793C"/>
    <w:rsid w:val="002515D2"/>
    <w:rsid w:val="0025308F"/>
    <w:rsid w:val="00254950"/>
    <w:rsid w:val="00256036"/>
    <w:rsid w:val="002578C4"/>
    <w:rsid w:val="00257DF7"/>
    <w:rsid w:val="00260ADD"/>
    <w:rsid w:val="00261E18"/>
    <w:rsid w:val="00262052"/>
    <w:rsid w:val="00263943"/>
    <w:rsid w:val="002665AE"/>
    <w:rsid w:val="00267FE3"/>
    <w:rsid w:val="002710EB"/>
    <w:rsid w:val="002715C0"/>
    <w:rsid w:val="00271E15"/>
    <w:rsid w:val="002729A5"/>
    <w:rsid w:val="00273121"/>
    <w:rsid w:val="002743DD"/>
    <w:rsid w:val="0027618B"/>
    <w:rsid w:val="0027621A"/>
    <w:rsid w:val="0027676B"/>
    <w:rsid w:val="00282591"/>
    <w:rsid w:val="00283B78"/>
    <w:rsid w:val="00283EAB"/>
    <w:rsid w:val="00284749"/>
    <w:rsid w:val="00284B38"/>
    <w:rsid w:val="00285F0A"/>
    <w:rsid w:val="00287394"/>
    <w:rsid w:val="00287A7D"/>
    <w:rsid w:val="00287E4B"/>
    <w:rsid w:val="0029168F"/>
    <w:rsid w:val="00291E57"/>
    <w:rsid w:val="002926B0"/>
    <w:rsid w:val="00292805"/>
    <w:rsid w:val="00292EC3"/>
    <w:rsid w:val="00294AE4"/>
    <w:rsid w:val="002952B6"/>
    <w:rsid w:val="00296E03"/>
    <w:rsid w:val="00297178"/>
    <w:rsid w:val="00297836"/>
    <w:rsid w:val="00297A00"/>
    <w:rsid w:val="002A1205"/>
    <w:rsid w:val="002A284F"/>
    <w:rsid w:val="002A2E29"/>
    <w:rsid w:val="002A3C35"/>
    <w:rsid w:val="002A5726"/>
    <w:rsid w:val="002A58BD"/>
    <w:rsid w:val="002A60AE"/>
    <w:rsid w:val="002A6589"/>
    <w:rsid w:val="002A6FB9"/>
    <w:rsid w:val="002A6FF1"/>
    <w:rsid w:val="002B0549"/>
    <w:rsid w:val="002B0EDA"/>
    <w:rsid w:val="002B2819"/>
    <w:rsid w:val="002B31D1"/>
    <w:rsid w:val="002B3EBD"/>
    <w:rsid w:val="002B4750"/>
    <w:rsid w:val="002B530D"/>
    <w:rsid w:val="002B532D"/>
    <w:rsid w:val="002B71C3"/>
    <w:rsid w:val="002B77C0"/>
    <w:rsid w:val="002C0490"/>
    <w:rsid w:val="002C148F"/>
    <w:rsid w:val="002C2359"/>
    <w:rsid w:val="002C2953"/>
    <w:rsid w:val="002C3A39"/>
    <w:rsid w:val="002C5EC2"/>
    <w:rsid w:val="002C612D"/>
    <w:rsid w:val="002C67D3"/>
    <w:rsid w:val="002D13FF"/>
    <w:rsid w:val="002D16A5"/>
    <w:rsid w:val="002D2ADB"/>
    <w:rsid w:val="002D57A6"/>
    <w:rsid w:val="002D6E29"/>
    <w:rsid w:val="002E0D84"/>
    <w:rsid w:val="002E14B8"/>
    <w:rsid w:val="002E6B4B"/>
    <w:rsid w:val="002F04C6"/>
    <w:rsid w:val="002F0D73"/>
    <w:rsid w:val="002F1B6E"/>
    <w:rsid w:val="002F2258"/>
    <w:rsid w:val="002F29F8"/>
    <w:rsid w:val="002F365D"/>
    <w:rsid w:val="002F5F1A"/>
    <w:rsid w:val="002F63C5"/>
    <w:rsid w:val="002F6825"/>
    <w:rsid w:val="002F6AFF"/>
    <w:rsid w:val="002F71BF"/>
    <w:rsid w:val="002F76ED"/>
    <w:rsid w:val="00300B9E"/>
    <w:rsid w:val="0030141B"/>
    <w:rsid w:val="00302E94"/>
    <w:rsid w:val="00304D48"/>
    <w:rsid w:val="00305B11"/>
    <w:rsid w:val="00307FB5"/>
    <w:rsid w:val="00311F60"/>
    <w:rsid w:val="003131D3"/>
    <w:rsid w:val="00314270"/>
    <w:rsid w:val="00314C15"/>
    <w:rsid w:val="003153BB"/>
    <w:rsid w:val="003156D5"/>
    <w:rsid w:val="003163BC"/>
    <w:rsid w:val="00316E3B"/>
    <w:rsid w:val="00317566"/>
    <w:rsid w:val="00320032"/>
    <w:rsid w:val="003202ED"/>
    <w:rsid w:val="00320F96"/>
    <w:rsid w:val="0032176D"/>
    <w:rsid w:val="003231B5"/>
    <w:rsid w:val="00324146"/>
    <w:rsid w:val="00325CAE"/>
    <w:rsid w:val="00332060"/>
    <w:rsid w:val="0033486A"/>
    <w:rsid w:val="00334DA1"/>
    <w:rsid w:val="00336BF5"/>
    <w:rsid w:val="0034071E"/>
    <w:rsid w:val="00340B50"/>
    <w:rsid w:val="00341409"/>
    <w:rsid w:val="00341A2C"/>
    <w:rsid w:val="00341D74"/>
    <w:rsid w:val="0034291B"/>
    <w:rsid w:val="0034505B"/>
    <w:rsid w:val="0034546A"/>
    <w:rsid w:val="003461CB"/>
    <w:rsid w:val="00346702"/>
    <w:rsid w:val="003475F6"/>
    <w:rsid w:val="0034776A"/>
    <w:rsid w:val="00347D41"/>
    <w:rsid w:val="00347D7F"/>
    <w:rsid w:val="00350EE6"/>
    <w:rsid w:val="003511C6"/>
    <w:rsid w:val="003511FE"/>
    <w:rsid w:val="00351550"/>
    <w:rsid w:val="00351B8B"/>
    <w:rsid w:val="00354360"/>
    <w:rsid w:val="00355A15"/>
    <w:rsid w:val="0035608B"/>
    <w:rsid w:val="003562C6"/>
    <w:rsid w:val="00357437"/>
    <w:rsid w:val="00357FB9"/>
    <w:rsid w:val="00361CFF"/>
    <w:rsid w:val="00362942"/>
    <w:rsid w:val="00364C97"/>
    <w:rsid w:val="00365A8B"/>
    <w:rsid w:val="00365D33"/>
    <w:rsid w:val="003662C7"/>
    <w:rsid w:val="003669D7"/>
    <w:rsid w:val="003675EE"/>
    <w:rsid w:val="00367AF9"/>
    <w:rsid w:val="00367D1B"/>
    <w:rsid w:val="0037189E"/>
    <w:rsid w:val="00373CA0"/>
    <w:rsid w:val="00380CF2"/>
    <w:rsid w:val="00381B70"/>
    <w:rsid w:val="00382977"/>
    <w:rsid w:val="00382D0C"/>
    <w:rsid w:val="00385E6D"/>
    <w:rsid w:val="00387456"/>
    <w:rsid w:val="00394241"/>
    <w:rsid w:val="00395D4F"/>
    <w:rsid w:val="00397092"/>
    <w:rsid w:val="00397D83"/>
    <w:rsid w:val="003A0FEE"/>
    <w:rsid w:val="003A1264"/>
    <w:rsid w:val="003A3202"/>
    <w:rsid w:val="003A3CC5"/>
    <w:rsid w:val="003A67CF"/>
    <w:rsid w:val="003A731A"/>
    <w:rsid w:val="003B08EF"/>
    <w:rsid w:val="003B0923"/>
    <w:rsid w:val="003B318A"/>
    <w:rsid w:val="003B34AC"/>
    <w:rsid w:val="003B34BE"/>
    <w:rsid w:val="003B3985"/>
    <w:rsid w:val="003B3D71"/>
    <w:rsid w:val="003B3EA3"/>
    <w:rsid w:val="003B7936"/>
    <w:rsid w:val="003C098E"/>
    <w:rsid w:val="003C3F07"/>
    <w:rsid w:val="003C4212"/>
    <w:rsid w:val="003C4A14"/>
    <w:rsid w:val="003C5F7B"/>
    <w:rsid w:val="003C6AFD"/>
    <w:rsid w:val="003C6FFB"/>
    <w:rsid w:val="003C72AA"/>
    <w:rsid w:val="003D0DD0"/>
    <w:rsid w:val="003D2811"/>
    <w:rsid w:val="003D3509"/>
    <w:rsid w:val="003D407E"/>
    <w:rsid w:val="003D442D"/>
    <w:rsid w:val="003D6E4A"/>
    <w:rsid w:val="003D791C"/>
    <w:rsid w:val="003E1B40"/>
    <w:rsid w:val="003E281F"/>
    <w:rsid w:val="003E4B61"/>
    <w:rsid w:val="003E54A3"/>
    <w:rsid w:val="003E57FC"/>
    <w:rsid w:val="003E7FAD"/>
    <w:rsid w:val="003F37EA"/>
    <w:rsid w:val="003F41ED"/>
    <w:rsid w:val="004007CB"/>
    <w:rsid w:val="00400A7D"/>
    <w:rsid w:val="00401BB8"/>
    <w:rsid w:val="00402004"/>
    <w:rsid w:val="004023F1"/>
    <w:rsid w:val="00403AE3"/>
    <w:rsid w:val="0040608B"/>
    <w:rsid w:val="004068BB"/>
    <w:rsid w:val="004103C6"/>
    <w:rsid w:val="00410CFB"/>
    <w:rsid w:val="00410F74"/>
    <w:rsid w:val="004120D0"/>
    <w:rsid w:val="00413401"/>
    <w:rsid w:val="00415979"/>
    <w:rsid w:val="00416CA7"/>
    <w:rsid w:val="00421C4E"/>
    <w:rsid w:val="004220E6"/>
    <w:rsid w:val="0042318F"/>
    <w:rsid w:val="004254B8"/>
    <w:rsid w:val="00425BBD"/>
    <w:rsid w:val="00425D51"/>
    <w:rsid w:val="00426B8C"/>
    <w:rsid w:val="00427864"/>
    <w:rsid w:val="00433012"/>
    <w:rsid w:val="00436AFB"/>
    <w:rsid w:val="00437B01"/>
    <w:rsid w:val="00440128"/>
    <w:rsid w:val="00440274"/>
    <w:rsid w:val="00441AEE"/>
    <w:rsid w:val="00442BE1"/>
    <w:rsid w:val="00443900"/>
    <w:rsid w:val="00445402"/>
    <w:rsid w:val="00446588"/>
    <w:rsid w:val="004467CE"/>
    <w:rsid w:val="00453700"/>
    <w:rsid w:val="00454B8E"/>
    <w:rsid w:val="00455E9E"/>
    <w:rsid w:val="00455FD5"/>
    <w:rsid w:val="00456D2F"/>
    <w:rsid w:val="00461FEF"/>
    <w:rsid w:val="004625DD"/>
    <w:rsid w:val="00463B00"/>
    <w:rsid w:val="00464A75"/>
    <w:rsid w:val="00465240"/>
    <w:rsid w:val="004658B9"/>
    <w:rsid w:val="0046611B"/>
    <w:rsid w:val="0046614D"/>
    <w:rsid w:val="00467E4E"/>
    <w:rsid w:val="0047352D"/>
    <w:rsid w:val="0047353F"/>
    <w:rsid w:val="00473A61"/>
    <w:rsid w:val="004743A9"/>
    <w:rsid w:val="004748A2"/>
    <w:rsid w:val="00474A4C"/>
    <w:rsid w:val="00474CC7"/>
    <w:rsid w:val="00476CF6"/>
    <w:rsid w:val="00482CBC"/>
    <w:rsid w:val="004856AF"/>
    <w:rsid w:val="00485B0A"/>
    <w:rsid w:val="00485CED"/>
    <w:rsid w:val="004870CF"/>
    <w:rsid w:val="00487443"/>
    <w:rsid w:val="004879C8"/>
    <w:rsid w:val="00490ACF"/>
    <w:rsid w:val="0049153A"/>
    <w:rsid w:val="00491A88"/>
    <w:rsid w:val="00492F78"/>
    <w:rsid w:val="00493D09"/>
    <w:rsid w:val="00494C44"/>
    <w:rsid w:val="004950BA"/>
    <w:rsid w:val="00495D9C"/>
    <w:rsid w:val="00496054"/>
    <w:rsid w:val="00496BFE"/>
    <w:rsid w:val="004A154C"/>
    <w:rsid w:val="004A2C5D"/>
    <w:rsid w:val="004A3680"/>
    <w:rsid w:val="004A4F66"/>
    <w:rsid w:val="004A559B"/>
    <w:rsid w:val="004A6E2A"/>
    <w:rsid w:val="004B0456"/>
    <w:rsid w:val="004B3CF3"/>
    <w:rsid w:val="004B48E8"/>
    <w:rsid w:val="004B5EDA"/>
    <w:rsid w:val="004C0DA1"/>
    <w:rsid w:val="004C381B"/>
    <w:rsid w:val="004C4384"/>
    <w:rsid w:val="004C4C6F"/>
    <w:rsid w:val="004C5071"/>
    <w:rsid w:val="004C5764"/>
    <w:rsid w:val="004C59E7"/>
    <w:rsid w:val="004C5B06"/>
    <w:rsid w:val="004C5D32"/>
    <w:rsid w:val="004C64AA"/>
    <w:rsid w:val="004C691C"/>
    <w:rsid w:val="004C6A9A"/>
    <w:rsid w:val="004C757C"/>
    <w:rsid w:val="004C7797"/>
    <w:rsid w:val="004C7DEA"/>
    <w:rsid w:val="004D0372"/>
    <w:rsid w:val="004D156D"/>
    <w:rsid w:val="004D2CC5"/>
    <w:rsid w:val="004D2E27"/>
    <w:rsid w:val="004D3E27"/>
    <w:rsid w:val="004E1799"/>
    <w:rsid w:val="004E2EF0"/>
    <w:rsid w:val="004E3AA3"/>
    <w:rsid w:val="004E47E0"/>
    <w:rsid w:val="004E6FE2"/>
    <w:rsid w:val="004F09D7"/>
    <w:rsid w:val="004F2039"/>
    <w:rsid w:val="004F27E7"/>
    <w:rsid w:val="004F29C5"/>
    <w:rsid w:val="004F5595"/>
    <w:rsid w:val="004F5A55"/>
    <w:rsid w:val="004F67AB"/>
    <w:rsid w:val="005019A4"/>
    <w:rsid w:val="00502282"/>
    <w:rsid w:val="0050503C"/>
    <w:rsid w:val="0050765B"/>
    <w:rsid w:val="00507A55"/>
    <w:rsid w:val="0051026F"/>
    <w:rsid w:val="00511A3E"/>
    <w:rsid w:val="00512510"/>
    <w:rsid w:val="00512695"/>
    <w:rsid w:val="00512BE4"/>
    <w:rsid w:val="00516BE2"/>
    <w:rsid w:val="00516EFF"/>
    <w:rsid w:val="00517F4E"/>
    <w:rsid w:val="00521796"/>
    <w:rsid w:val="00521EC6"/>
    <w:rsid w:val="0052386A"/>
    <w:rsid w:val="00524F9D"/>
    <w:rsid w:val="005250CB"/>
    <w:rsid w:val="00525D6D"/>
    <w:rsid w:val="005271F9"/>
    <w:rsid w:val="00530B06"/>
    <w:rsid w:val="005320B4"/>
    <w:rsid w:val="00532196"/>
    <w:rsid w:val="005329EC"/>
    <w:rsid w:val="005335F2"/>
    <w:rsid w:val="00533A1D"/>
    <w:rsid w:val="00533DA4"/>
    <w:rsid w:val="0053431E"/>
    <w:rsid w:val="00534CB2"/>
    <w:rsid w:val="005402A4"/>
    <w:rsid w:val="00541140"/>
    <w:rsid w:val="005418A7"/>
    <w:rsid w:val="00542612"/>
    <w:rsid w:val="0054314A"/>
    <w:rsid w:val="0054527D"/>
    <w:rsid w:val="00547072"/>
    <w:rsid w:val="00550095"/>
    <w:rsid w:val="0055039F"/>
    <w:rsid w:val="00551656"/>
    <w:rsid w:val="0055167A"/>
    <w:rsid w:val="005531C3"/>
    <w:rsid w:val="005531F8"/>
    <w:rsid w:val="00553F46"/>
    <w:rsid w:val="00557137"/>
    <w:rsid w:val="0056123F"/>
    <w:rsid w:val="00562107"/>
    <w:rsid w:val="005644E1"/>
    <w:rsid w:val="00564EFF"/>
    <w:rsid w:val="00565195"/>
    <w:rsid w:val="005665FA"/>
    <w:rsid w:val="00566D38"/>
    <w:rsid w:val="00566DF8"/>
    <w:rsid w:val="0056729C"/>
    <w:rsid w:val="00567CF2"/>
    <w:rsid w:val="005704A1"/>
    <w:rsid w:val="00570DBB"/>
    <w:rsid w:val="00571F04"/>
    <w:rsid w:val="00574070"/>
    <w:rsid w:val="00575C43"/>
    <w:rsid w:val="005762FE"/>
    <w:rsid w:val="00576FA5"/>
    <w:rsid w:val="00577B5D"/>
    <w:rsid w:val="00577D69"/>
    <w:rsid w:val="00580283"/>
    <w:rsid w:val="00580D0D"/>
    <w:rsid w:val="00581814"/>
    <w:rsid w:val="00581AD3"/>
    <w:rsid w:val="00585D85"/>
    <w:rsid w:val="00587608"/>
    <w:rsid w:val="005908C0"/>
    <w:rsid w:val="005912A1"/>
    <w:rsid w:val="005A111F"/>
    <w:rsid w:val="005A21AD"/>
    <w:rsid w:val="005A3742"/>
    <w:rsid w:val="005A41BF"/>
    <w:rsid w:val="005A5801"/>
    <w:rsid w:val="005A7A4E"/>
    <w:rsid w:val="005A7B60"/>
    <w:rsid w:val="005B099B"/>
    <w:rsid w:val="005B1B6E"/>
    <w:rsid w:val="005B3238"/>
    <w:rsid w:val="005B3315"/>
    <w:rsid w:val="005B3385"/>
    <w:rsid w:val="005B4906"/>
    <w:rsid w:val="005B59C4"/>
    <w:rsid w:val="005B59E0"/>
    <w:rsid w:val="005B660B"/>
    <w:rsid w:val="005B717F"/>
    <w:rsid w:val="005C0C3C"/>
    <w:rsid w:val="005C3BE2"/>
    <w:rsid w:val="005C71D3"/>
    <w:rsid w:val="005C7B3B"/>
    <w:rsid w:val="005D0601"/>
    <w:rsid w:val="005D3410"/>
    <w:rsid w:val="005D527D"/>
    <w:rsid w:val="005D5919"/>
    <w:rsid w:val="005D5953"/>
    <w:rsid w:val="005D5FF2"/>
    <w:rsid w:val="005D6C2B"/>
    <w:rsid w:val="005E16B8"/>
    <w:rsid w:val="005E21C0"/>
    <w:rsid w:val="005E3E7C"/>
    <w:rsid w:val="005E6C34"/>
    <w:rsid w:val="005F068D"/>
    <w:rsid w:val="005F0749"/>
    <w:rsid w:val="005F0CE3"/>
    <w:rsid w:val="006029C0"/>
    <w:rsid w:val="006037D3"/>
    <w:rsid w:val="00603940"/>
    <w:rsid w:val="006042DA"/>
    <w:rsid w:val="00604F7E"/>
    <w:rsid w:val="00606487"/>
    <w:rsid w:val="00607423"/>
    <w:rsid w:val="0061043B"/>
    <w:rsid w:val="00610C50"/>
    <w:rsid w:val="0061186F"/>
    <w:rsid w:val="00611C31"/>
    <w:rsid w:val="00611D98"/>
    <w:rsid w:val="00611E82"/>
    <w:rsid w:val="00612079"/>
    <w:rsid w:val="006151BD"/>
    <w:rsid w:val="0061598C"/>
    <w:rsid w:val="00616634"/>
    <w:rsid w:val="006177C0"/>
    <w:rsid w:val="006202C9"/>
    <w:rsid w:val="0062164D"/>
    <w:rsid w:val="0062215C"/>
    <w:rsid w:val="006221FB"/>
    <w:rsid w:val="006266DC"/>
    <w:rsid w:val="006274B5"/>
    <w:rsid w:val="00627A77"/>
    <w:rsid w:val="00630002"/>
    <w:rsid w:val="00630468"/>
    <w:rsid w:val="006306A7"/>
    <w:rsid w:val="00633A8E"/>
    <w:rsid w:val="00633D55"/>
    <w:rsid w:val="00635C4B"/>
    <w:rsid w:val="0063680A"/>
    <w:rsid w:val="00637409"/>
    <w:rsid w:val="00641DB2"/>
    <w:rsid w:val="0064458F"/>
    <w:rsid w:val="006452BF"/>
    <w:rsid w:val="0064709C"/>
    <w:rsid w:val="00647865"/>
    <w:rsid w:val="00652937"/>
    <w:rsid w:val="00653193"/>
    <w:rsid w:val="00653C5B"/>
    <w:rsid w:val="00653D42"/>
    <w:rsid w:val="00654AF7"/>
    <w:rsid w:val="00655686"/>
    <w:rsid w:val="00656937"/>
    <w:rsid w:val="00657B87"/>
    <w:rsid w:val="0066027F"/>
    <w:rsid w:val="0066081E"/>
    <w:rsid w:val="0066144E"/>
    <w:rsid w:val="0066217D"/>
    <w:rsid w:val="006629D4"/>
    <w:rsid w:val="00664C13"/>
    <w:rsid w:val="00664CB0"/>
    <w:rsid w:val="0066572A"/>
    <w:rsid w:val="00665859"/>
    <w:rsid w:val="00665AEE"/>
    <w:rsid w:val="00666A9B"/>
    <w:rsid w:val="0067104F"/>
    <w:rsid w:val="0067509F"/>
    <w:rsid w:val="006757D7"/>
    <w:rsid w:val="00676027"/>
    <w:rsid w:val="00677219"/>
    <w:rsid w:val="0067748C"/>
    <w:rsid w:val="00681E61"/>
    <w:rsid w:val="00682715"/>
    <w:rsid w:val="00684BDE"/>
    <w:rsid w:val="006859DB"/>
    <w:rsid w:val="00685AEC"/>
    <w:rsid w:val="00687E0D"/>
    <w:rsid w:val="00687E7A"/>
    <w:rsid w:val="006909BA"/>
    <w:rsid w:val="00692801"/>
    <w:rsid w:val="00692847"/>
    <w:rsid w:val="00692BB0"/>
    <w:rsid w:val="00693C9D"/>
    <w:rsid w:val="00694722"/>
    <w:rsid w:val="00696667"/>
    <w:rsid w:val="00697057"/>
    <w:rsid w:val="0069735B"/>
    <w:rsid w:val="006A050E"/>
    <w:rsid w:val="006A10CF"/>
    <w:rsid w:val="006A11BC"/>
    <w:rsid w:val="006A2C56"/>
    <w:rsid w:val="006A2CF8"/>
    <w:rsid w:val="006A4018"/>
    <w:rsid w:val="006A4BBE"/>
    <w:rsid w:val="006A52AE"/>
    <w:rsid w:val="006A7A95"/>
    <w:rsid w:val="006B1D85"/>
    <w:rsid w:val="006B275B"/>
    <w:rsid w:val="006B31E9"/>
    <w:rsid w:val="006B3B5C"/>
    <w:rsid w:val="006B40FE"/>
    <w:rsid w:val="006C0227"/>
    <w:rsid w:val="006C1C58"/>
    <w:rsid w:val="006C4334"/>
    <w:rsid w:val="006C4695"/>
    <w:rsid w:val="006C5249"/>
    <w:rsid w:val="006C7270"/>
    <w:rsid w:val="006D2D53"/>
    <w:rsid w:val="006D2FE4"/>
    <w:rsid w:val="006D3CD5"/>
    <w:rsid w:val="006D43E4"/>
    <w:rsid w:val="006D4CE5"/>
    <w:rsid w:val="006E24C3"/>
    <w:rsid w:val="006E4756"/>
    <w:rsid w:val="006E4A77"/>
    <w:rsid w:val="006E5941"/>
    <w:rsid w:val="006F1750"/>
    <w:rsid w:val="006F3639"/>
    <w:rsid w:val="006F3DF9"/>
    <w:rsid w:val="006F55DA"/>
    <w:rsid w:val="006F5B48"/>
    <w:rsid w:val="006F6C23"/>
    <w:rsid w:val="006F7786"/>
    <w:rsid w:val="007003FD"/>
    <w:rsid w:val="00704320"/>
    <w:rsid w:val="00707A58"/>
    <w:rsid w:val="00710A64"/>
    <w:rsid w:val="00711A09"/>
    <w:rsid w:val="00712773"/>
    <w:rsid w:val="00712B5D"/>
    <w:rsid w:val="007136D4"/>
    <w:rsid w:val="00713996"/>
    <w:rsid w:val="0072125C"/>
    <w:rsid w:val="00721C8A"/>
    <w:rsid w:val="007225AF"/>
    <w:rsid w:val="0072297A"/>
    <w:rsid w:val="007230EC"/>
    <w:rsid w:val="007237DC"/>
    <w:rsid w:val="007243F7"/>
    <w:rsid w:val="00726D40"/>
    <w:rsid w:val="00731A4D"/>
    <w:rsid w:val="00732A1D"/>
    <w:rsid w:val="00732B19"/>
    <w:rsid w:val="00736003"/>
    <w:rsid w:val="007406BB"/>
    <w:rsid w:val="0074156B"/>
    <w:rsid w:val="00741B61"/>
    <w:rsid w:val="00741F8C"/>
    <w:rsid w:val="00742F0E"/>
    <w:rsid w:val="0074307C"/>
    <w:rsid w:val="00743A26"/>
    <w:rsid w:val="007449DC"/>
    <w:rsid w:val="007462B6"/>
    <w:rsid w:val="00746A69"/>
    <w:rsid w:val="00747543"/>
    <w:rsid w:val="00747E14"/>
    <w:rsid w:val="00752946"/>
    <w:rsid w:val="00752B5A"/>
    <w:rsid w:val="00753D9E"/>
    <w:rsid w:val="00755997"/>
    <w:rsid w:val="00755C2D"/>
    <w:rsid w:val="00756815"/>
    <w:rsid w:val="00756C7A"/>
    <w:rsid w:val="0076043A"/>
    <w:rsid w:val="00760EBA"/>
    <w:rsid w:val="00764AC1"/>
    <w:rsid w:val="00765254"/>
    <w:rsid w:val="007656E1"/>
    <w:rsid w:val="00767A80"/>
    <w:rsid w:val="00767EB8"/>
    <w:rsid w:val="00770864"/>
    <w:rsid w:val="00771B8F"/>
    <w:rsid w:val="00772A17"/>
    <w:rsid w:val="00772B95"/>
    <w:rsid w:val="00772ED6"/>
    <w:rsid w:val="0077517B"/>
    <w:rsid w:val="00780109"/>
    <w:rsid w:val="00782ED4"/>
    <w:rsid w:val="00784DCA"/>
    <w:rsid w:val="007874F4"/>
    <w:rsid w:val="00787AD8"/>
    <w:rsid w:val="00790BEA"/>
    <w:rsid w:val="007922DC"/>
    <w:rsid w:val="00792F7A"/>
    <w:rsid w:val="00794F7A"/>
    <w:rsid w:val="007952A2"/>
    <w:rsid w:val="007960E5"/>
    <w:rsid w:val="007969E7"/>
    <w:rsid w:val="007973F0"/>
    <w:rsid w:val="007979F6"/>
    <w:rsid w:val="007A0260"/>
    <w:rsid w:val="007A2B93"/>
    <w:rsid w:val="007A2C6F"/>
    <w:rsid w:val="007A2F19"/>
    <w:rsid w:val="007A4407"/>
    <w:rsid w:val="007A4BD3"/>
    <w:rsid w:val="007A6F80"/>
    <w:rsid w:val="007B0777"/>
    <w:rsid w:val="007B0BE5"/>
    <w:rsid w:val="007B281C"/>
    <w:rsid w:val="007B313F"/>
    <w:rsid w:val="007B31DE"/>
    <w:rsid w:val="007B7ACF"/>
    <w:rsid w:val="007C0059"/>
    <w:rsid w:val="007C0BB8"/>
    <w:rsid w:val="007C1A66"/>
    <w:rsid w:val="007C3045"/>
    <w:rsid w:val="007C3281"/>
    <w:rsid w:val="007C3C17"/>
    <w:rsid w:val="007C53EE"/>
    <w:rsid w:val="007C677C"/>
    <w:rsid w:val="007D2EED"/>
    <w:rsid w:val="007D4C0C"/>
    <w:rsid w:val="007D51A1"/>
    <w:rsid w:val="007E25FA"/>
    <w:rsid w:val="007E3D23"/>
    <w:rsid w:val="007E5150"/>
    <w:rsid w:val="007E58FA"/>
    <w:rsid w:val="007E6087"/>
    <w:rsid w:val="007E65E0"/>
    <w:rsid w:val="007F42E0"/>
    <w:rsid w:val="007F5E23"/>
    <w:rsid w:val="007F6399"/>
    <w:rsid w:val="007F6B81"/>
    <w:rsid w:val="008016FD"/>
    <w:rsid w:val="00801F84"/>
    <w:rsid w:val="00802930"/>
    <w:rsid w:val="008035BB"/>
    <w:rsid w:val="00804DA7"/>
    <w:rsid w:val="00805053"/>
    <w:rsid w:val="008066EF"/>
    <w:rsid w:val="00807464"/>
    <w:rsid w:val="00807FB0"/>
    <w:rsid w:val="00811BAE"/>
    <w:rsid w:val="00815091"/>
    <w:rsid w:val="00815886"/>
    <w:rsid w:val="008160FC"/>
    <w:rsid w:val="00823C2A"/>
    <w:rsid w:val="0083039B"/>
    <w:rsid w:val="0083359C"/>
    <w:rsid w:val="00834113"/>
    <w:rsid w:val="0083422C"/>
    <w:rsid w:val="0083636C"/>
    <w:rsid w:val="008375A2"/>
    <w:rsid w:val="00837F2D"/>
    <w:rsid w:val="00841A55"/>
    <w:rsid w:val="00841EFB"/>
    <w:rsid w:val="008433A7"/>
    <w:rsid w:val="00844827"/>
    <w:rsid w:val="008454C1"/>
    <w:rsid w:val="00845606"/>
    <w:rsid w:val="00845E65"/>
    <w:rsid w:val="008469FF"/>
    <w:rsid w:val="00846F27"/>
    <w:rsid w:val="00851985"/>
    <w:rsid w:val="008525F1"/>
    <w:rsid w:val="00852ADB"/>
    <w:rsid w:val="00853948"/>
    <w:rsid w:val="00853DA2"/>
    <w:rsid w:val="00857795"/>
    <w:rsid w:val="0086021C"/>
    <w:rsid w:val="0086135C"/>
    <w:rsid w:val="008623A4"/>
    <w:rsid w:val="00863C6A"/>
    <w:rsid w:val="00865836"/>
    <w:rsid w:val="008661FB"/>
    <w:rsid w:val="00866F1E"/>
    <w:rsid w:val="00874001"/>
    <w:rsid w:val="00881655"/>
    <w:rsid w:val="00881A05"/>
    <w:rsid w:val="00881E88"/>
    <w:rsid w:val="00885EDA"/>
    <w:rsid w:val="00886913"/>
    <w:rsid w:val="008879B6"/>
    <w:rsid w:val="008918C1"/>
    <w:rsid w:val="00891A34"/>
    <w:rsid w:val="008925D4"/>
    <w:rsid w:val="008927E9"/>
    <w:rsid w:val="00893B66"/>
    <w:rsid w:val="00894231"/>
    <w:rsid w:val="00896FAF"/>
    <w:rsid w:val="008A0D0B"/>
    <w:rsid w:val="008A13B5"/>
    <w:rsid w:val="008A1B2F"/>
    <w:rsid w:val="008A3210"/>
    <w:rsid w:val="008A41EF"/>
    <w:rsid w:val="008A472E"/>
    <w:rsid w:val="008A70BB"/>
    <w:rsid w:val="008A7DD9"/>
    <w:rsid w:val="008B03B9"/>
    <w:rsid w:val="008B054D"/>
    <w:rsid w:val="008B0AB9"/>
    <w:rsid w:val="008B1D10"/>
    <w:rsid w:val="008B52E4"/>
    <w:rsid w:val="008B5697"/>
    <w:rsid w:val="008B69BC"/>
    <w:rsid w:val="008B7971"/>
    <w:rsid w:val="008C0308"/>
    <w:rsid w:val="008C18F2"/>
    <w:rsid w:val="008C2C9B"/>
    <w:rsid w:val="008C3CD3"/>
    <w:rsid w:val="008C405D"/>
    <w:rsid w:val="008C4973"/>
    <w:rsid w:val="008C7974"/>
    <w:rsid w:val="008D0886"/>
    <w:rsid w:val="008D108D"/>
    <w:rsid w:val="008D198C"/>
    <w:rsid w:val="008D420F"/>
    <w:rsid w:val="008D5E47"/>
    <w:rsid w:val="008D652F"/>
    <w:rsid w:val="008D6A55"/>
    <w:rsid w:val="008D78D2"/>
    <w:rsid w:val="008E00D5"/>
    <w:rsid w:val="008E27EC"/>
    <w:rsid w:val="008E3B36"/>
    <w:rsid w:val="008E4881"/>
    <w:rsid w:val="008E6319"/>
    <w:rsid w:val="008E6735"/>
    <w:rsid w:val="008F19DC"/>
    <w:rsid w:val="008F2374"/>
    <w:rsid w:val="008F4AD0"/>
    <w:rsid w:val="008F56D8"/>
    <w:rsid w:val="008F610C"/>
    <w:rsid w:val="008F7193"/>
    <w:rsid w:val="008F7759"/>
    <w:rsid w:val="00900CC6"/>
    <w:rsid w:val="00901902"/>
    <w:rsid w:val="009079F5"/>
    <w:rsid w:val="00907A0E"/>
    <w:rsid w:val="00914AA0"/>
    <w:rsid w:val="00915F4C"/>
    <w:rsid w:val="009164D5"/>
    <w:rsid w:val="00916E08"/>
    <w:rsid w:val="00920A81"/>
    <w:rsid w:val="009213B8"/>
    <w:rsid w:val="009214E2"/>
    <w:rsid w:val="009237D9"/>
    <w:rsid w:val="00923EB8"/>
    <w:rsid w:val="0092475C"/>
    <w:rsid w:val="00925C5F"/>
    <w:rsid w:val="00931C47"/>
    <w:rsid w:val="00931D85"/>
    <w:rsid w:val="00933E65"/>
    <w:rsid w:val="00934A01"/>
    <w:rsid w:val="009360BC"/>
    <w:rsid w:val="00940352"/>
    <w:rsid w:val="009413FE"/>
    <w:rsid w:val="00945AA0"/>
    <w:rsid w:val="00951CA1"/>
    <w:rsid w:val="00953562"/>
    <w:rsid w:val="00953643"/>
    <w:rsid w:val="00953C80"/>
    <w:rsid w:val="0095495E"/>
    <w:rsid w:val="00954B6A"/>
    <w:rsid w:val="00954C2F"/>
    <w:rsid w:val="00954D92"/>
    <w:rsid w:val="009553EB"/>
    <w:rsid w:val="0095606A"/>
    <w:rsid w:val="00956126"/>
    <w:rsid w:val="0095723C"/>
    <w:rsid w:val="009616C5"/>
    <w:rsid w:val="0096274D"/>
    <w:rsid w:val="00962CA8"/>
    <w:rsid w:val="00963437"/>
    <w:rsid w:val="0096669A"/>
    <w:rsid w:val="00966BAA"/>
    <w:rsid w:val="00967E64"/>
    <w:rsid w:val="009720EB"/>
    <w:rsid w:val="009731BD"/>
    <w:rsid w:val="00973E35"/>
    <w:rsid w:val="00976803"/>
    <w:rsid w:val="009848D6"/>
    <w:rsid w:val="00985FB1"/>
    <w:rsid w:val="009874F5"/>
    <w:rsid w:val="0099189F"/>
    <w:rsid w:val="009928A7"/>
    <w:rsid w:val="00992FE6"/>
    <w:rsid w:val="00993F52"/>
    <w:rsid w:val="009948F4"/>
    <w:rsid w:val="009970FF"/>
    <w:rsid w:val="009A140E"/>
    <w:rsid w:val="009A3D51"/>
    <w:rsid w:val="009A407F"/>
    <w:rsid w:val="009A615E"/>
    <w:rsid w:val="009A6F3E"/>
    <w:rsid w:val="009A75BA"/>
    <w:rsid w:val="009B03C8"/>
    <w:rsid w:val="009B29E2"/>
    <w:rsid w:val="009B2F62"/>
    <w:rsid w:val="009B39DE"/>
    <w:rsid w:val="009B3B14"/>
    <w:rsid w:val="009B560D"/>
    <w:rsid w:val="009B5D8B"/>
    <w:rsid w:val="009B7C82"/>
    <w:rsid w:val="009C1657"/>
    <w:rsid w:val="009C2930"/>
    <w:rsid w:val="009C5430"/>
    <w:rsid w:val="009C54FD"/>
    <w:rsid w:val="009C6AC8"/>
    <w:rsid w:val="009D60DC"/>
    <w:rsid w:val="009D67CB"/>
    <w:rsid w:val="009D67F4"/>
    <w:rsid w:val="009D7F0C"/>
    <w:rsid w:val="009E0110"/>
    <w:rsid w:val="009E0942"/>
    <w:rsid w:val="009E28D2"/>
    <w:rsid w:val="009E331B"/>
    <w:rsid w:val="009E420A"/>
    <w:rsid w:val="009E5014"/>
    <w:rsid w:val="009E5210"/>
    <w:rsid w:val="009E73DD"/>
    <w:rsid w:val="009E7539"/>
    <w:rsid w:val="009F0487"/>
    <w:rsid w:val="009F11B4"/>
    <w:rsid w:val="009F13AF"/>
    <w:rsid w:val="009F1DB9"/>
    <w:rsid w:val="009F2ADB"/>
    <w:rsid w:val="009F2C5C"/>
    <w:rsid w:val="009F3173"/>
    <w:rsid w:val="009F4336"/>
    <w:rsid w:val="009F4C2D"/>
    <w:rsid w:val="009F65EC"/>
    <w:rsid w:val="00A006FB"/>
    <w:rsid w:val="00A0106B"/>
    <w:rsid w:val="00A03432"/>
    <w:rsid w:val="00A04937"/>
    <w:rsid w:val="00A06BD0"/>
    <w:rsid w:val="00A06BDF"/>
    <w:rsid w:val="00A06E80"/>
    <w:rsid w:val="00A1408C"/>
    <w:rsid w:val="00A15F10"/>
    <w:rsid w:val="00A16F9D"/>
    <w:rsid w:val="00A178A3"/>
    <w:rsid w:val="00A17DFD"/>
    <w:rsid w:val="00A20071"/>
    <w:rsid w:val="00A204ED"/>
    <w:rsid w:val="00A21ADF"/>
    <w:rsid w:val="00A23309"/>
    <w:rsid w:val="00A2572F"/>
    <w:rsid w:val="00A25BC0"/>
    <w:rsid w:val="00A26405"/>
    <w:rsid w:val="00A26659"/>
    <w:rsid w:val="00A273DF"/>
    <w:rsid w:val="00A27459"/>
    <w:rsid w:val="00A318EF"/>
    <w:rsid w:val="00A320DD"/>
    <w:rsid w:val="00A33C7A"/>
    <w:rsid w:val="00A33F10"/>
    <w:rsid w:val="00A34ACC"/>
    <w:rsid w:val="00A3586E"/>
    <w:rsid w:val="00A36EFA"/>
    <w:rsid w:val="00A37195"/>
    <w:rsid w:val="00A376D2"/>
    <w:rsid w:val="00A42961"/>
    <w:rsid w:val="00A43444"/>
    <w:rsid w:val="00A442F5"/>
    <w:rsid w:val="00A4717E"/>
    <w:rsid w:val="00A476C2"/>
    <w:rsid w:val="00A50B4B"/>
    <w:rsid w:val="00A536FE"/>
    <w:rsid w:val="00A56402"/>
    <w:rsid w:val="00A565A6"/>
    <w:rsid w:val="00A56C04"/>
    <w:rsid w:val="00A56C3B"/>
    <w:rsid w:val="00A60548"/>
    <w:rsid w:val="00A60F3B"/>
    <w:rsid w:val="00A61A02"/>
    <w:rsid w:val="00A61D9E"/>
    <w:rsid w:val="00A6659F"/>
    <w:rsid w:val="00A70805"/>
    <w:rsid w:val="00A70B6E"/>
    <w:rsid w:val="00A71A9C"/>
    <w:rsid w:val="00A71FD5"/>
    <w:rsid w:val="00A7384B"/>
    <w:rsid w:val="00A75795"/>
    <w:rsid w:val="00A767FD"/>
    <w:rsid w:val="00A800EA"/>
    <w:rsid w:val="00A844F2"/>
    <w:rsid w:val="00A866A1"/>
    <w:rsid w:val="00A8702F"/>
    <w:rsid w:val="00A91A39"/>
    <w:rsid w:val="00A92B88"/>
    <w:rsid w:val="00A93421"/>
    <w:rsid w:val="00A936A7"/>
    <w:rsid w:val="00A93C02"/>
    <w:rsid w:val="00A95441"/>
    <w:rsid w:val="00A95C86"/>
    <w:rsid w:val="00A95DF4"/>
    <w:rsid w:val="00A95FFA"/>
    <w:rsid w:val="00A964F1"/>
    <w:rsid w:val="00A97C1E"/>
    <w:rsid w:val="00AA076C"/>
    <w:rsid w:val="00AA64B8"/>
    <w:rsid w:val="00AA6E2F"/>
    <w:rsid w:val="00AB0F39"/>
    <w:rsid w:val="00AB35DC"/>
    <w:rsid w:val="00AB6538"/>
    <w:rsid w:val="00AB6C4F"/>
    <w:rsid w:val="00AC258B"/>
    <w:rsid w:val="00AC311A"/>
    <w:rsid w:val="00AC494E"/>
    <w:rsid w:val="00AC6ADA"/>
    <w:rsid w:val="00AC7AA4"/>
    <w:rsid w:val="00AD0174"/>
    <w:rsid w:val="00AD06EE"/>
    <w:rsid w:val="00AD080C"/>
    <w:rsid w:val="00AD1E26"/>
    <w:rsid w:val="00AD269B"/>
    <w:rsid w:val="00AD2CE8"/>
    <w:rsid w:val="00AD4BB4"/>
    <w:rsid w:val="00AD57DA"/>
    <w:rsid w:val="00AE17EB"/>
    <w:rsid w:val="00AE1A52"/>
    <w:rsid w:val="00AE3075"/>
    <w:rsid w:val="00AF129B"/>
    <w:rsid w:val="00AF39FB"/>
    <w:rsid w:val="00AF46E8"/>
    <w:rsid w:val="00AF5DE0"/>
    <w:rsid w:val="00AF703E"/>
    <w:rsid w:val="00B00393"/>
    <w:rsid w:val="00B02FF4"/>
    <w:rsid w:val="00B06D4E"/>
    <w:rsid w:val="00B07458"/>
    <w:rsid w:val="00B076C1"/>
    <w:rsid w:val="00B0776C"/>
    <w:rsid w:val="00B10353"/>
    <w:rsid w:val="00B10F79"/>
    <w:rsid w:val="00B11732"/>
    <w:rsid w:val="00B129F4"/>
    <w:rsid w:val="00B141BF"/>
    <w:rsid w:val="00B15F08"/>
    <w:rsid w:val="00B16E72"/>
    <w:rsid w:val="00B17439"/>
    <w:rsid w:val="00B175A8"/>
    <w:rsid w:val="00B203C9"/>
    <w:rsid w:val="00B22442"/>
    <w:rsid w:val="00B238E2"/>
    <w:rsid w:val="00B2513A"/>
    <w:rsid w:val="00B256BA"/>
    <w:rsid w:val="00B271CE"/>
    <w:rsid w:val="00B334EE"/>
    <w:rsid w:val="00B337D4"/>
    <w:rsid w:val="00B339D7"/>
    <w:rsid w:val="00B346F5"/>
    <w:rsid w:val="00B3565A"/>
    <w:rsid w:val="00B43210"/>
    <w:rsid w:val="00B45947"/>
    <w:rsid w:val="00B47674"/>
    <w:rsid w:val="00B50E99"/>
    <w:rsid w:val="00B5232D"/>
    <w:rsid w:val="00B537AB"/>
    <w:rsid w:val="00B54889"/>
    <w:rsid w:val="00B5701C"/>
    <w:rsid w:val="00B57699"/>
    <w:rsid w:val="00B57A91"/>
    <w:rsid w:val="00B57E6E"/>
    <w:rsid w:val="00B61E76"/>
    <w:rsid w:val="00B62441"/>
    <w:rsid w:val="00B62516"/>
    <w:rsid w:val="00B64028"/>
    <w:rsid w:val="00B64999"/>
    <w:rsid w:val="00B667DC"/>
    <w:rsid w:val="00B67415"/>
    <w:rsid w:val="00B76186"/>
    <w:rsid w:val="00B7660D"/>
    <w:rsid w:val="00B80D22"/>
    <w:rsid w:val="00B82021"/>
    <w:rsid w:val="00B83451"/>
    <w:rsid w:val="00B9103D"/>
    <w:rsid w:val="00B910E1"/>
    <w:rsid w:val="00B9117F"/>
    <w:rsid w:val="00B922BA"/>
    <w:rsid w:val="00B92426"/>
    <w:rsid w:val="00B929AF"/>
    <w:rsid w:val="00B946E9"/>
    <w:rsid w:val="00B94FFC"/>
    <w:rsid w:val="00B97BB6"/>
    <w:rsid w:val="00BA0213"/>
    <w:rsid w:val="00BA2267"/>
    <w:rsid w:val="00BA2A4A"/>
    <w:rsid w:val="00BA4B45"/>
    <w:rsid w:val="00BA4D3E"/>
    <w:rsid w:val="00BA4E35"/>
    <w:rsid w:val="00BA5837"/>
    <w:rsid w:val="00BA77F2"/>
    <w:rsid w:val="00BA7E5A"/>
    <w:rsid w:val="00BB0DD7"/>
    <w:rsid w:val="00BB1695"/>
    <w:rsid w:val="00BB1A6E"/>
    <w:rsid w:val="00BB23ED"/>
    <w:rsid w:val="00BB3821"/>
    <w:rsid w:val="00BB5584"/>
    <w:rsid w:val="00BC1652"/>
    <w:rsid w:val="00BC2982"/>
    <w:rsid w:val="00BC35DC"/>
    <w:rsid w:val="00BC402C"/>
    <w:rsid w:val="00BC5446"/>
    <w:rsid w:val="00BC5AA5"/>
    <w:rsid w:val="00BD082D"/>
    <w:rsid w:val="00BD1610"/>
    <w:rsid w:val="00BD2360"/>
    <w:rsid w:val="00BD23FF"/>
    <w:rsid w:val="00BD2F3A"/>
    <w:rsid w:val="00BD4884"/>
    <w:rsid w:val="00BD6755"/>
    <w:rsid w:val="00BD7D66"/>
    <w:rsid w:val="00BE196D"/>
    <w:rsid w:val="00BE21A8"/>
    <w:rsid w:val="00BE2274"/>
    <w:rsid w:val="00BE49C6"/>
    <w:rsid w:val="00BE4A73"/>
    <w:rsid w:val="00BE6D9D"/>
    <w:rsid w:val="00BE7F7E"/>
    <w:rsid w:val="00BF0267"/>
    <w:rsid w:val="00BF1B34"/>
    <w:rsid w:val="00BF532F"/>
    <w:rsid w:val="00BF6CEB"/>
    <w:rsid w:val="00BF76EB"/>
    <w:rsid w:val="00BF775E"/>
    <w:rsid w:val="00BF7ADF"/>
    <w:rsid w:val="00BF7F89"/>
    <w:rsid w:val="00C00C48"/>
    <w:rsid w:val="00C0219E"/>
    <w:rsid w:val="00C03BA0"/>
    <w:rsid w:val="00C04AE7"/>
    <w:rsid w:val="00C04DD6"/>
    <w:rsid w:val="00C075AE"/>
    <w:rsid w:val="00C07A9B"/>
    <w:rsid w:val="00C108D7"/>
    <w:rsid w:val="00C10A84"/>
    <w:rsid w:val="00C11E5F"/>
    <w:rsid w:val="00C12835"/>
    <w:rsid w:val="00C12BD0"/>
    <w:rsid w:val="00C133A5"/>
    <w:rsid w:val="00C13D42"/>
    <w:rsid w:val="00C15B56"/>
    <w:rsid w:val="00C164AC"/>
    <w:rsid w:val="00C16F87"/>
    <w:rsid w:val="00C177C0"/>
    <w:rsid w:val="00C20030"/>
    <w:rsid w:val="00C204D0"/>
    <w:rsid w:val="00C2067A"/>
    <w:rsid w:val="00C2143A"/>
    <w:rsid w:val="00C2160A"/>
    <w:rsid w:val="00C2519A"/>
    <w:rsid w:val="00C2609E"/>
    <w:rsid w:val="00C272EB"/>
    <w:rsid w:val="00C326DE"/>
    <w:rsid w:val="00C35337"/>
    <w:rsid w:val="00C35538"/>
    <w:rsid w:val="00C36942"/>
    <w:rsid w:val="00C400F3"/>
    <w:rsid w:val="00C44586"/>
    <w:rsid w:val="00C4538A"/>
    <w:rsid w:val="00C51D7C"/>
    <w:rsid w:val="00C52225"/>
    <w:rsid w:val="00C5322F"/>
    <w:rsid w:val="00C53363"/>
    <w:rsid w:val="00C5366B"/>
    <w:rsid w:val="00C53B66"/>
    <w:rsid w:val="00C54F68"/>
    <w:rsid w:val="00C55626"/>
    <w:rsid w:val="00C55EB5"/>
    <w:rsid w:val="00C56A5D"/>
    <w:rsid w:val="00C5717E"/>
    <w:rsid w:val="00C61001"/>
    <w:rsid w:val="00C639AF"/>
    <w:rsid w:val="00C63B41"/>
    <w:rsid w:val="00C640BE"/>
    <w:rsid w:val="00C64151"/>
    <w:rsid w:val="00C64344"/>
    <w:rsid w:val="00C654E7"/>
    <w:rsid w:val="00C66C28"/>
    <w:rsid w:val="00C67750"/>
    <w:rsid w:val="00C70D10"/>
    <w:rsid w:val="00C73D2A"/>
    <w:rsid w:val="00C74CEF"/>
    <w:rsid w:val="00C76E8A"/>
    <w:rsid w:val="00C77097"/>
    <w:rsid w:val="00C77492"/>
    <w:rsid w:val="00C81CC7"/>
    <w:rsid w:val="00C8212D"/>
    <w:rsid w:val="00C827EA"/>
    <w:rsid w:val="00C830A5"/>
    <w:rsid w:val="00C83D36"/>
    <w:rsid w:val="00C85829"/>
    <w:rsid w:val="00C85B9A"/>
    <w:rsid w:val="00C85F20"/>
    <w:rsid w:val="00C86A4B"/>
    <w:rsid w:val="00C86E07"/>
    <w:rsid w:val="00C876F4"/>
    <w:rsid w:val="00C92441"/>
    <w:rsid w:val="00C932BD"/>
    <w:rsid w:val="00CA2E25"/>
    <w:rsid w:val="00CA563C"/>
    <w:rsid w:val="00CA5F9A"/>
    <w:rsid w:val="00CA78D4"/>
    <w:rsid w:val="00CA7AC2"/>
    <w:rsid w:val="00CA7E73"/>
    <w:rsid w:val="00CB2AFA"/>
    <w:rsid w:val="00CB2C53"/>
    <w:rsid w:val="00CB440C"/>
    <w:rsid w:val="00CB57A8"/>
    <w:rsid w:val="00CB5C35"/>
    <w:rsid w:val="00CC0ECA"/>
    <w:rsid w:val="00CC2EBC"/>
    <w:rsid w:val="00CC38DC"/>
    <w:rsid w:val="00CC3C9C"/>
    <w:rsid w:val="00CC6645"/>
    <w:rsid w:val="00CC6F7F"/>
    <w:rsid w:val="00CC7692"/>
    <w:rsid w:val="00CD21DF"/>
    <w:rsid w:val="00CD3605"/>
    <w:rsid w:val="00CD4A77"/>
    <w:rsid w:val="00CD4BE0"/>
    <w:rsid w:val="00CD4CB6"/>
    <w:rsid w:val="00CD55FA"/>
    <w:rsid w:val="00CE37EA"/>
    <w:rsid w:val="00CE390F"/>
    <w:rsid w:val="00CE3EB6"/>
    <w:rsid w:val="00CE59BD"/>
    <w:rsid w:val="00CE6FFE"/>
    <w:rsid w:val="00CE7025"/>
    <w:rsid w:val="00CE7F65"/>
    <w:rsid w:val="00CF172F"/>
    <w:rsid w:val="00CF213A"/>
    <w:rsid w:val="00CF2A3A"/>
    <w:rsid w:val="00CF3351"/>
    <w:rsid w:val="00CF3670"/>
    <w:rsid w:val="00CF3E6F"/>
    <w:rsid w:val="00CF4197"/>
    <w:rsid w:val="00CF5555"/>
    <w:rsid w:val="00CF61CF"/>
    <w:rsid w:val="00CF650C"/>
    <w:rsid w:val="00CF66BC"/>
    <w:rsid w:val="00D006CC"/>
    <w:rsid w:val="00D06448"/>
    <w:rsid w:val="00D074DD"/>
    <w:rsid w:val="00D07607"/>
    <w:rsid w:val="00D11A22"/>
    <w:rsid w:val="00D13189"/>
    <w:rsid w:val="00D14917"/>
    <w:rsid w:val="00D1574E"/>
    <w:rsid w:val="00D15BBC"/>
    <w:rsid w:val="00D16179"/>
    <w:rsid w:val="00D17F8B"/>
    <w:rsid w:val="00D20237"/>
    <w:rsid w:val="00D222BE"/>
    <w:rsid w:val="00D22709"/>
    <w:rsid w:val="00D23DD6"/>
    <w:rsid w:val="00D2474D"/>
    <w:rsid w:val="00D254C9"/>
    <w:rsid w:val="00D300C2"/>
    <w:rsid w:val="00D316DD"/>
    <w:rsid w:val="00D33731"/>
    <w:rsid w:val="00D3408C"/>
    <w:rsid w:val="00D352ED"/>
    <w:rsid w:val="00D3729D"/>
    <w:rsid w:val="00D37D91"/>
    <w:rsid w:val="00D4148D"/>
    <w:rsid w:val="00D4169C"/>
    <w:rsid w:val="00D41E62"/>
    <w:rsid w:val="00D42EF7"/>
    <w:rsid w:val="00D44A27"/>
    <w:rsid w:val="00D458C3"/>
    <w:rsid w:val="00D45F15"/>
    <w:rsid w:val="00D53B01"/>
    <w:rsid w:val="00D53E76"/>
    <w:rsid w:val="00D54E99"/>
    <w:rsid w:val="00D56A0D"/>
    <w:rsid w:val="00D56FBF"/>
    <w:rsid w:val="00D62D3F"/>
    <w:rsid w:val="00D62DB1"/>
    <w:rsid w:val="00D631E3"/>
    <w:rsid w:val="00D63274"/>
    <w:rsid w:val="00D63D82"/>
    <w:rsid w:val="00D63ED8"/>
    <w:rsid w:val="00D64A77"/>
    <w:rsid w:val="00D6568C"/>
    <w:rsid w:val="00D66E30"/>
    <w:rsid w:val="00D67295"/>
    <w:rsid w:val="00D67A15"/>
    <w:rsid w:val="00D725A4"/>
    <w:rsid w:val="00D72F74"/>
    <w:rsid w:val="00D74AFE"/>
    <w:rsid w:val="00D75971"/>
    <w:rsid w:val="00D8301D"/>
    <w:rsid w:val="00D8423F"/>
    <w:rsid w:val="00D8665E"/>
    <w:rsid w:val="00D872CA"/>
    <w:rsid w:val="00D87E82"/>
    <w:rsid w:val="00D91EB8"/>
    <w:rsid w:val="00D9240B"/>
    <w:rsid w:val="00D92623"/>
    <w:rsid w:val="00D92846"/>
    <w:rsid w:val="00D9362D"/>
    <w:rsid w:val="00D939F8"/>
    <w:rsid w:val="00D9477D"/>
    <w:rsid w:val="00D948BB"/>
    <w:rsid w:val="00D95929"/>
    <w:rsid w:val="00DA27DC"/>
    <w:rsid w:val="00DA347C"/>
    <w:rsid w:val="00DA5074"/>
    <w:rsid w:val="00DA696B"/>
    <w:rsid w:val="00DA6C2B"/>
    <w:rsid w:val="00DA7207"/>
    <w:rsid w:val="00DB1102"/>
    <w:rsid w:val="00DB27D5"/>
    <w:rsid w:val="00DB2E50"/>
    <w:rsid w:val="00DB5280"/>
    <w:rsid w:val="00DB6DE0"/>
    <w:rsid w:val="00DB6FEC"/>
    <w:rsid w:val="00DC2002"/>
    <w:rsid w:val="00DC2A59"/>
    <w:rsid w:val="00DC33A8"/>
    <w:rsid w:val="00DC63FF"/>
    <w:rsid w:val="00DC7A39"/>
    <w:rsid w:val="00DD0896"/>
    <w:rsid w:val="00DD0B2A"/>
    <w:rsid w:val="00DD0BC5"/>
    <w:rsid w:val="00DD1110"/>
    <w:rsid w:val="00DD2333"/>
    <w:rsid w:val="00DD415B"/>
    <w:rsid w:val="00DD6187"/>
    <w:rsid w:val="00DE153C"/>
    <w:rsid w:val="00DE1BE1"/>
    <w:rsid w:val="00DE34A5"/>
    <w:rsid w:val="00DE4B72"/>
    <w:rsid w:val="00DE77D7"/>
    <w:rsid w:val="00DF2BB8"/>
    <w:rsid w:val="00DF2FEA"/>
    <w:rsid w:val="00DF43A7"/>
    <w:rsid w:val="00DF48D9"/>
    <w:rsid w:val="00DF5CD4"/>
    <w:rsid w:val="00DF73D0"/>
    <w:rsid w:val="00DF792D"/>
    <w:rsid w:val="00E02DD8"/>
    <w:rsid w:val="00E04B26"/>
    <w:rsid w:val="00E05E91"/>
    <w:rsid w:val="00E07351"/>
    <w:rsid w:val="00E12803"/>
    <w:rsid w:val="00E14D59"/>
    <w:rsid w:val="00E15100"/>
    <w:rsid w:val="00E15522"/>
    <w:rsid w:val="00E16AFB"/>
    <w:rsid w:val="00E20247"/>
    <w:rsid w:val="00E2256F"/>
    <w:rsid w:val="00E244F7"/>
    <w:rsid w:val="00E24D07"/>
    <w:rsid w:val="00E25714"/>
    <w:rsid w:val="00E2630C"/>
    <w:rsid w:val="00E268D4"/>
    <w:rsid w:val="00E26F34"/>
    <w:rsid w:val="00E26FD9"/>
    <w:rsid w:val="00E274C0"/>
    <w:rsid w:val="00E27819"/>
    <w:rsid w:val="00E30BD6"/>
    <w:rsid w:val="00E3410C"/>
    <w:rsid w:val="00E3443E"/>
    <w:rsid w:val="00E3454D"/>
    <w:rsid w:val="00E3698D"/>
    <w:rsid w:val="00E36EA4"/>
    <w:rsid w:val="00E40390"/>
    <w:rsid w:val="00E40BED"/>
    <w:rsid w:val="00E41A70"/>
    <w:rsid w:val="00E4215D"/>
    <w:rsid w:val="00E4258A"/>
    <w:rsid w:val="00E42BFD"/>
    <w:rsid w:val="00E4504B"/>
    <w:rsid w:val="00E452BE"/>
    <w:rsid w:val="00E456A9"/>
    <w:rsid w:val="00E464C2"/>
    <w:rsid w:val="00E47A9D"/>
    <w:rsid w:val="00E50AD5"/>
    <w:rsid w:val="00E50EAA"/>
    <w:rsid w:val="00E52B51"/>
    <w:rsid w:val="00E54C9A"/>
    <w:rsid w:val="00E5634D"/>
    <w:rsid w:val="00E61B8D"/>
    <w:rsid w:val="00E64AB7"/>
    <w:rsid w:val="00E64CAE"/>
    <w:rsid w:val="00E65260"/>
    <w:rsid w:val="00E67933"/>
    <w:rsid w:val="00E70BEE"/>
    <w:rsid w:val="00E712CD"/>
    <w:rsid w:val="00E71CE2"/>
    <w:rsid w:val="00E74893"/>
    <w:rsid w:val="00E753A5"/>
    <w:rsid w:val="00E756A2"/>
    <w:rsid w:val="00E76A12"/>
    <w:rsid w:val="00E7702B"/>
    <w:rsid w:val="00E774BC"/>
    <w:rsid w:val="00E77E6D"/>
    <w:rsid w:val="00E80AC6"/>
    <w:rsid w:val="00E824C3"/>
    <w:rsid w:val="00E82E32"/>
    <w:rsid w:val="00E85860"/>
    <w:rsid w:val="00E859A4"/>
    <w:rsid w:val="00E86E71"/>
    <w:rsid w:val="00E90F5E"/>
    <w:rsid w:val="00E92D28"/>
    <w:rsid w:val="00E930B7"/>
    <w:rsid w:val="00E97ED9"/>
    <w:rsid w:val="00EA2035"/>
    <w:rsid w:val="00EA2A92"/>
    <w:rsid w:val="00EA3894"/>
    <w:rsid w:val="00EA38BE"/>
    <w:rsid w:val="00EA448A"/>
    <w:rsid w:val="00EB0533"/>
    <w:rsid w:val="00EB0987"/>
    <w:rsid w:val="00EB2254"/>
    <w:rsid w:val="00EB2F76"/>
    <w:rsid w:val="00EB6450"/>
    <w:rsid w:val="00EB7709"/>
    <w:rsid w:val="00EC0D68"/>
    <w:rsid w:val="00EC1A6F"/>
    <w:rsid w:val="00EC1D1F"/>
    <w:rsid w:val="00EC3FDA"/>
    <w:rsid w:val="00EC4455"/>
    <w:rsid w:val="00EC5D9F"/>
    <w:rsid w:val="00EC7CD7"/>
    <w:rsid w:val="00ED1B41"/>
    <w:rsid w:val="00ED263C"/>
    <w:rsid w:val="00ED2B16"/>
    <w:rsid w:val="00ED3F0C"/>
    <w:rsid w:val="00ED4F43"/>
    <w:rsid w:val="00ED539D"/>
    <w:rsid w:val="00ED5AF1"/>
    <w:rsid w:val="00ED697B"/>
    <w:rsid w:val="00ED6F4F"/>
    <w:rsid w:val="00ED7348"/>
    <w:rsid w:val="00EE0087"/>
    <w:rsid w:val="00EE26DF"/>
    <w:rsid w:val="00EE5595"/>
    <w:rsid w:val="00EE5F8E"/>
    <w:rsid w:val="00EE6D85"/>
    <w:rsid w:val="00EE74C8"/>
    <w:rsid w:val="00EF078E"/>
    <w:rsid w:val="00EF3BB8"/>
    <w:rsid w:val="00EF425F"/>
    <w:rsid w:val="00EF4E0C"/>
    <w:rsid w:val="00EF54EE"/>
    <w:rsid w:val="00F0274E"/>
    <w:rsid w:val="00F041BF"/>
    <w:rsid w:val="00F04899"/>
    <w:rsid w:val="00F05B8D"/>
    <w:rsid w:val="00F05CF0"/>
    <w:rsid w:val="00F115FB"/>
    <w:rsid w:val="00F120BC"/>
    <w:rsid w:val="00F12955"/>
    <w:rsid w:val="00F13F8C"/>
    <w:rsid w:val="00F153FD"/>
    <w:rsid w:val="00F16698"/>
    <w:rsid w:val="00F17079"/>
    <w:rsid w:val="00F17CB6"/>
    <w:rsid w:val="00F20E00"/>
    <w:rsid w:val="00F21008"/>
    <w:rsid w:val="00F218EC"/>
    <w:rsid w:val="00F23A6F"/>
    <w:rsid w:val="00F23E07"/>
    <w:rsid w:val="00F24F27"/>
    <w:rsid w:val="00F24F8F"/>
    <w:rsid w:val="00F26497"/>
    <w:rsid w:val="00F26CB0"/>
    <w:rsid w:val="00F26FEB"/>
    <w:rsid w:val="00F30D25"/>
    <w:rsid w:val="00F32FF9"/>
    <w:rsid w:val="00F35171"/>
    <w:rsid w:val="00F36791"/>
    <w:rsid w:val="00F37689"/>
    <w:rsid w:val="00F420C8"/>
    <w:rsid w:val="00F449D2"/>
    <w:rsid w:val="00F44A71"/>
    <w:rsid w:val="00F45E55"/>
    <w:rsid w:val="00F50FB9"/>
    <w:rsid w:val="00F535ED"/>
    <w:rsid w:val="00F5590B"/>
    <w:rsid w:val="00F57748"/>
    <w:rsid w:val="00F629A6"/>
    <w:rsid w:val="00F62AFE"/>
    <w:rsid w:val="00F6322B"/>
    <w:rsid w:val="00F63CCC"/>
    <w:rsid w:val="00F6400F"/>
    <w:rsid w:val="00F6535F"/>
    <w:rsid w:val="00F670BD"/>
    <w:rsid w:val="00F73360"/>
    <w:rsid w:val="00F73BB2"/>
    <w:rsid w:val="00F73DAD"/>
    <w:rsid w:val="00F73FDB"/>
    <w:rsid w:val="00F746CC"/>
    <w:rsid w:val="00F75760"/>
    <w:rsid w:val="00F75A02"/>
    <w:rsid w:val="00F772A7"/>
    <w:rsid w:val="00F837D0"/>
    <w:rsid w:val="00F83E77"/>
    <w:rsid w:val="00F84CEA"/>
    <w:rsid w:val="00F85C96"/>
    <w:rsid w:val="00F905EE"/>
    <w:rsid w:val="00F91362"/>
    <w:rsid w:val="00F92C73"/>
    <w:rsid w:val="00F92FD5"/>
    <w:rsid w:val="00F939C3"/>
    <w:rsid w:val="00F93A3B"/>
    <w:rsid w:val="00F9493E"/>
    <w:rsid w:val="00F94F6B"/>
    <w:rsid w:val="00F96FFA"/>
    <w:rsid w:val="00F976FC"/>
    <w:rsid w:val="00FA0049"/>
    <w:rsid w:val="00FA2775"/>
    <w:rsid w:val="00FB059D"/>
    <w:rsid w:val="00FB06A9"/>
    <w:rsid w:val="00FB0825"/>
    <w:rsid w:val="00FB0EE9"/>
    <w:rsid w:val="00FB284D"/>
    <w:rsid w:val="00FB4260"/>
    <w:rsid w:val="00FB42D7"/>
    <w:rsid w:val="00FB4780"/>
    <w:rsid w:val="00FB4846"/>
    <w:rsid w:val="00FB608B"/>
    <w:rsid w:val="00FB6AE8"/>
    <w:rsid w:val="00FB6C3F"/>
    <w:rsid w:val="00FC198F"/>
    <w:rsid w:val="00FC3375"/>
    <w:rsid w:val="00FC4394"/>
    <w:rsid w:val="00FC47E8"/>
    <w:rsid w:val="00FC5111"/>
    <w:rsid w:val="00FC5798"/>
    <w:rsid w:val="00FC6C11"/>
    <w:rsid w:val="00FC6E00"/>
    <w:rsid w:val="00FC6EAB"/>
    <w:rsid w:val="00FD1020"/>
    <w:rsid w:val="00FD1B5E"/>
    <w:rsid w:val="00FD26B0"/>
    <w:rsid w:val="00FD2E08"/>
    <w:rsid w:val="00FD3B75"/>
    <w:rsid w:val="00FD4787"/>
    <w:rsid w:val="00FD4B7E"/>
    <w:rsid w:val="00FD54EA"/>
    <w:rsid w:val="00FE1623"/>
    <w:rsid w:val="00FE1FBF"/>
    <w:rsid w:val="00FE2B44"/>
    <w:rsid w:val="00FE3122"/>
    <w:rsid w:val="00FE4141"/>
    <w:rsid w:val="00FE569A"/>
    <w:rsid w:val="00FE7E7E"/>
    <w:rsid w:val="00FF0465"/>
    <w:rsid w:val="00FF15C6"/>
    <w:rsid w:val="00FF2D90"/>
    <w:rsid w:val="00FF4440"/>
    <w:rsid w:val="00FF463A"/>
    <w:rsid w:val="01165348"/>
    <w:rsid w:val="01171514"/>
    <w:rsid w:val="012877C0"/>
    <w:rsid w:val="012F48A9"/>
    <w:rsid w:val="01475DB8"/>
    <w:rsid w:val="01594B10"/>
    <w:rsid w:val="017A799C"/>
    <w:rsid w:val="0187414D"/>
    <w:rsid w:val="019A344F"/>
    <w:rsid w:val="01AF252D"/>
    <w:rsid w:val="01C14687"/>
    <w:rsid w:val="01D00A45"/>
    <w:rsid w:val="01E35C83"/>
    <w:rsid w:val="01E6263E"/>
    <w:rsid w:val="02123DEC"/>
    <w:rsid w:val="022206C8"/>
    <w:rsid w:val="022C2CE5"/>
    <w:rsid w:val="023B57CC"/>
    <w:rsid w:val="023E4169"/>
    <w:rsid w:val="024025DC"/>
    <w:rsid w:val="025005C5"/>
    <w:rsid w:val="02513C28"/>
    <w:rsid w:val="0252508F"/>
    <w:rsid w:val="025B6511"/>
    <w:rsid w:val="0260397E"/>
    <w:rsid w:val="02693733"/>
    <w:rsid w:val="02863196"/>
    <w:rsid w:val="028F47A0"/>
    <w:rsid w:val="02927FA9"/>
    <w:rsid w:val="02963790"/>
    <w:rsid w:val="02AA39E6"/>
    <w:rsid w:val="02CF2BA6"/>
    <w:rsid w:val="02D30C2D"/>
    <w:rsid w:val="02EA14A3"/>
    <w:rsid w:val="033506A1"/>
    <w:rsid w:val="035012E1"/>
    <w:rsid w:val="03617690"/>
    <w:rsid w:val="03652086"/>
    <w:rsid w:val="036A59B4"/>
    <w:rsid w:val="037C5AFD"/>
    <w:rsid w:val="037C672A"/>
    <w:rsid w:val="039D3D97"/>
    <w:rsid w:val="039D6CFC"/>
    <w:rsid w:val="03DB4775"/>
    <w:rsid w:val="03EF7ABE"/>
    <w:rsid w:val="03FE786C"/>
    <w:rsid w:val="040463C3"/>
    <w:rsid w:val="040E18C9"/>
    <w:rsid w:val="0457343C"/>
    <w:rsid w:val="045C7A74"/>
    <w:rsid w:val="048B3BAA"/>
    <w:rsid w:val="048C4A21"/>
    <w:rsid w:val="04A31271"/>
    <w:rsid w:val="04BC0CAD"/>
    <w:rsid w:val="04CF7A93"/>
    <w:rsid w:val="04D366C3"/>
    <w:rsid w:val="05033D5F"/>
    <w:rsid w:val="05551D4C"/>
    <w:rsid w:val="05743288"/>
    <w:rsid w:val="05CB6CF9"/>
    <w:rsid w:val="05D77E8B"/>
    <w:rsid w:val="05E20938"/>
    <w:rsid w:val="05E368DD"/>
    <w:rsid w:val="06281AEC"/>
    <w:rsid w:val="06344478"/>
    <w:rsid w:val="063821A9"/>
    <w:rsid w:val="063D0369"/>
    <w:rsid w:val="066C70A8"/>
    <w:rsid w:val="0677693A"/>
    <w:rsid w:val="068E7516"/>
    <w:rsid w:val="06986394"/>
    <w:rsid w:val="06A6772F"/>
    <w:rsid w:val="06A86B9B"/>
    <w:rsid w:val="06C21663"/>
    <w:rsid w:val="06C70113"/>
    <w:rsid w:val="06CD5F18"/>
    <w:rsid w:val="06D136F2"/>
    <w:rsid w:val="071E06E8"/>
    <w:rsid w:val="07286941"/>
    <w:rsid w:val="07345D03"/>
    <w:rsid w:val="073F1A64"/>
    <w:rsid w:val="07495BC4"/>
    <w:rsid w:val="074B29BC"/>
    <w:rsid w:val="07524142"/>
    <w:rsid w:val="076E1FAD"/>
    <w:rsid w:val="078179C6"/>
    <w:rsid w:val="07927A69"/>
    <w:rsid w:val="079319AA"/>
    <w:rsid w:val="07BC50F0"/>
    <w:rsid w:val="07DA0EFA"/>
    <w:rsid w:val="07ED06C5"/>
    <w:rsid w:val="080C7762"/>
    <w:rsid w:val="081F52FF"/>
    <w:rsid w:val="085C0608"/>
    <w:rsid w:val="086D51A2"/>
    <w:rsid w:val="086F12AB"/>
    <w:rsid w:val="08892439"/>
    <w:rsid w:val="088C7A57"/>
    <w:rsid w:val="089E5548"/>
    <w:rsid w:val="08E950B0"/>
    <w:rsid w:val="08F41DB5"/>
    <w:rsid w:val="09646A02"/>
    <w:rsid w:val="09877471"/>
    <w:rsid w:val="099B0F39"/>
    <w:rsid w:val="09B3479F"/>
    <w:rsid w:val="09D07714"/>
    <w:rsid w:val="09D3747F"/>
    <w:rsid w:val="09DE6096"/>
    <w:rsid w:val="0A02049F"/>
    <w:rsid w:val="0A0F2E11"/>
    <w:rsid w:val="0A1F12CC"/>
    <w:rsid w:val="0AA25D26"/>
    <w:rsid w:val="0ABE345B"/>
    <w:rsid w:val="0AE911E2"/>
    <w:rsid w:val="0AF77EC5"/>
    <w:rsid w:val="0B216017"/>
    <w:rsid w:val="0B220249"/>
    <w:rsid w:val="0B254430"/>
    <w:rsid w:val="0B3F6FF5"/>
    <w:rsid w:val="0BCD31E7"/>
    <w:rsid w:val="0BD90F56"/>
    <w:rsid w:val="0BF6441C"/>
    <w:rsid w:val="0C121429"/>
    <w:rsid w:val="0C271FA8"/>
    <w:rsid w:val="0C493FA2"/>
    <w:rsid w:val="0C6E59F3"/>
    <w:rsid w:val="0C8B4997"/>
    <w:rsid w:val="0CB97065"/>
    <w:rsid w:val="0CC4458E"/>
    <w:rsid w:val="0CD7373F"/>
    <w:rsid w:val="0CFA3648"/>
    <w:rsid w:val="0CFA58FA"/>
    <w:rsid w:val="0D0F5BC6"/>
    <w:rsid w:val="0D1A4851"/>
    <w:rsid w:val="0D21529C"/>
    <w:rsid w:val="0D33432C"/>
    <w:rsid w:val="0D3D0097"/>
    <w:rsid w:val="0D406A07"/>
    <w:rsid w:val="0D4C557B"/>
    <w:rsid w:val="0D9321D9"/>
    <w:rsid w:val="0D94718C"/>
    <w:rsid w:val="0D9E2BB4"/>
    <w:rsid w:val="0DA45775"/>
    <w:rsid w:val="0DB32981"/>
    <w:rsid w:val="0DBF6A67"/>
    <w:rsid w:val="0DD71E98"/>
    <w:rsid w:val="0DED68F1"/>
    <w:rsid w:val="0DFA18A6"/>
    <w:rsid w:val="0DFC36AD"/>
    <w:rsid w:val="0E205629"/>
    <w:rsid w:val="0E2E2015"/>
    <w:rsid w:val="0E6A050F"/>
    <w:rsid w:val="0E8558E0"/>
    <w:rsid w:val="0E9B08FE"/>
    <w:rsid w:val="0EA501BE"/>
    <w:rsid w:val="0F16079E"/>
    <w:rsid w:val="0F2D3983"/>
    <w:rsid w:val="0F4345D7"/>
    <w:rsid w:val="0F6F19D1"/>
    <w:rsid w:val="0F7565C0"/>
    <w:rsid w:val="0F94197C"/>
    <w:rsid w:val="0FAA55AB"/>
    <w:rsid w:val="0FBB18B2"/>
    <w:rsid w:val="0FBE38ED"/>
    <w:rsid w:val="0FC53937"/>
    <w:rsid w:val="0FD23D82"/>
    <w:rsid w:val="0FD41F67"/>
    <w:rsid w:val="0FD74134"/>
    <w:rsid w:val="0FDD6E52"/>
    <w:rsid w:val="10064C74"/>
    <w:rsid w:val="10102BF8"/>
    <w:rsid w:val="10146479"/>
    <w:rsid w:val="10284C2D"/>
    <w:rsid w:val="104D734C"/>
    <w:rsid w:val="1051110E"/>
    <w:rsid w:val="10753CB1"/>
    <w:rsid w:val="108F6A5A"/>
    <w:rsid w:val="1091096D"/>
    <w:rsid w:val="1092654A"/>
    <w:rsid w:val="1093093B"/>
    <w:rsid w:val="10A42C5E"/>
    <w:rsid w:val="10BB117E"/>
    <w:rsid w:val="10DB172E"/>
    <w:rsid w:val="10E14F53"/>
    <w:rsid w:val="10E43121"/>
    <w:rsid w:val="10E72B68"/>
    <w:rsid w:val="10EC5B41"/>
    <w:rsid w:val="10F74E25"/>
    <w:rsid w:val="110805BA"/>
    <w:rsid w:val="110F1BD5"/>
    <w:rsid w:val="1114283C"/>
    <w:rsid w:val="11184CA3"/>
    <w:rsid w:val="111C5C94"/>
    <w:rsid w:val="111C7550"/>
    <w:rsid w:val="114A1CAE"/>
    <w:rsid w:val="11597ACC"/>
    <w:rsid w:val="116850B5"/>
    <w:rsid w:val="118A0FD0"/>
    <w:rsid w:val="11A7127C"/>
    <w:rsid w:val="11BB0E33"/>
    <w:rsid w:val="11BD2F0B"/>
    <w:rsid w:val="120F2A29"/>
    <w:rsid w:val="121C2D21"/>
    <w:rsid w:val="122942A3"/>
    <w:rsid w:val="123C2D42"/>
    <w:rsid w:val="128819B3"/>
    <w:rsid w:val="128C1B9B"/>
    <w:rsid w:val="128E47CA"/>
    <w:rsid w:val="12A714B7"/>
    <w:rsid w:val="12A92671"/>
    <w:rsid w:val="12B247B0"/>
    <w:rsid w:val="12B74046"/>
    <w:rsid w:val="12DE47DB"/>
    <w:rsid w:val="12DF3B07"/>
    <w:rsid w:val="130B0817"/>
    <w:rsid w:val="132041F2"/>
    <w:rsid w:val="132E3E25"/>
    <w:rsid w:val="13352D67"/>
    <w:rsid w:val="1353182C"/>
    <w:rsid w:val="13830B72"/>
    <w:rsid w:val="139329C1"/>
    <w:rsid w:val="13BF1404"/>
    <w:rsid w:val="13E86C1F"/>
    <w:rsid w:val="13EF2475"/>
    <w:rsid w:val="13FA41EA"/>
    <w:rsid w:val="14025DE6"/>
    <w:rsid w:val="14153D4B"/>
    <w:rsid w:val="14172869"/>
    <w:rsid w:val="143D4587"/>
    <w:rsid w:val="14594C07"/>
    <w:rsid w:val="147C65C2"/>
    <w:rsid w:val="14902DA1"/>
    <w:rsid w:val="14BB1994"/>
    <w:rsid w:val="14EA33BC"/>
    <w:rsid w:val="14FD6C55"/>
    <w:rsid w:val="152F6F9F"/>
    <w:rsid w:val="157A49C0"/>
    <w:rsid w:val="15E2625A"/>
    <w:rsid w:val="15E6711C"/>
    <w:rsid w:val="15F7761B"/>
    <w:rsid w:val="161E6D84"/>
    <w:rsid w:val="162E798F"/>
    <w:rsid w:val="1689152D"/>
    <w:rsid w:val="169C7CA8"/>
    <w:rsid w:val="16BE2649"/>
    <w:rsid w:val="16D072C5"/>
    <w:rsid w:val="16F2389F"/>
    <w:rsid w:val="16FF1F95"/>
    <w:rsid w:val="171A78CF"/>
    <w:rsid w:val="174410DE"/>
    <w:rsid w:val="1762318A"/>
    <w:rsid w:val="17657E9C"/>
    <w:rsid w:val="17826335"/>
    <w:rsid w:val="17910EAA"/>
    <w:rsid w:val="1792112C"/>
    <w:rsid w:val="17985F2B"/>
    <w:rsid w:val="17BB6913"/>
    <w:rsid w:val="17BE4961"/>
    <w:rsid w:val="17DD622C"/>
    <w:rsid w:val="17E94F31"/>
    <w:rsid w:val="182E01A8"/>
    <w:rsid w:val="18645D52"/>
    <w:rsid w:val="18726C15"/>
    <w:rsid w:val="18757658"/>
    <w:rsid w:val="187B2A13"/>
    <w:rsid w:val="188A030C"/>
    <w:rsid w:val="18B96C89"/>
    <w:rsid w:val="19083357"/>
    <w:rsid w:val="19115143"/>
    <w:rsid w:val="19193E50"/>
    <w:rsid w:val="19307FA4"/>
    <w:rsid w:val="19353775"/>
    <w:rsid w:val="19425258"/>
    <w:rsid w:val="19461F1D"/>
    <w:rsid w:val="196D699F"/>
    <w:rsid w:val="19C34D8C"/>
    <w:rsid w:val="19CF4659"/>
    <w:rsid w:val="1A011959"/>
    <w:rsid w:val="1A083090"/>
    <w:rsid w:val="1A0B1CDB"/>
    <w:rsid w:val="1A114519"/>
    <w:rsid w:val="1A2B7124"/>
    <w:rsid w:val="1A3E65F3"/>
    <w:rsid w:val="1A54702B"/>
    <w:rsid w:val="1A6A150F"/>
    <w:rsid w:val="1A70691B"/>
    <w:rsid w:val="1A8C32C3"/>
    <w:rsid w:val="1A973A3A"/>
    <w:rsid w:val="1A9E5BAA"/>
    <w:rsid w:val="1AD70065"/>
    <w:rsid w:val="1B030342"/>
    <w:rsid w:val="1B152FFB"/>
    <w:rsid w:val="1B3106CA"/>
    <w:rsid w:val="1B324A2B"/>
    <w:rsid w:val="1B3D220D"/>
    <w:rsid w:val="1B4102CF"/>
    <w:rsid w:val="1B67570D"/>
    <w:rsid w:val="1B77250E"/>
    <w:rsid w:val="1BAB76BA"/>
    <w:rsid w:val="1BAE1AB4"/>
    <w:rsid w:val="1BB52C1C"/>
    <w:rsid w:val="1BB703CC"/>
    <w:rsid w:val="1BBA5F45"/>
    <w:rsid w:val="1BC31CAE"/>
    <w:rsid w:val="1BC74859"/>
    <w:rsid w:val="1BCB564E"/>
    <w:rsid w:val="1BE8596E"/>
    <w:rsid w:val="1C19367C"/>
    <w:rsid w:val="1C3531A9"/>
    <w:rsid w:val="1C3B1572"/>
    <w:rsid w:val="1C5F0976"/>
    <w:rsid w:val="1C633E84"/>
    <w:rsid w:val="1C7B4710"/>
    <w:rsid w:val="1C876888"/>
    <w:rsid w:val="1C894447"/>
    <w:rsid w:val="1CC11607"/>
    <w:rsid w:val="1D2D0D4B"/>
    <w:rsid w:val="1D306ECF"/>
    <w:rsid w:val="1D9B01C6"/>
    <w:rsid w:val="1D9F0A91"/>
    <w:rsid w:val="1DAC04F6"/>
    <w:rsid w:val="1DC4401E"/>
    <w:rsid w:val="1DE231AA"/>
    <w:rsid w:val="1DEF00A4"/>
    <w:rsid w:val="1E0A5972"/>
    <w:rsid w:val="1E186B17"/>
    <w:rsid w:val="1E3C2A76"/>
    <w:rsid w:val="1E711CE8"/>
    <w:rsid w:val="1E7D79E8"/>
    <w:rsid w:val="1E830C01"/>
    <w:rsid w:val="1E9B2A6E"/>
    <w:rsid w:val="1E9E60BA"/>
    <w:rsid w:val="1EC512F5"/>
    <w:rsid w:val="1EE77DBE"/>
    <w:rsid w:val="1EF00924"/>
    <w:rsid w:val="1EF417AF"/>
    <w:rsid w:val="1F505A44"/>
    <w:rsid w:val="1F511369"/>
    <w:rsid w:val="1F712071"/>
    <w:rsid w:val="1F7A7B75"/>
    <w:rsid w:val="1F877000"/>
    <w:rsid w:val="1F8F581A"/>
    <w:rsid w:val="1FC01A2E"/>
    <w:rsid w:val="1FF16CE6"/>
    <w:rsid w:val="1FF16D8A"/>
    <w:rsid w:val="1FF22B8A"/>
    <w:rsid w:val="200C4323"/>
    <w:rsid w:val="200F2D0A"/>
    <w:rsid w:val="2018037A"/>
    <w:rsid w:val="20280FE1"/>
    <w:rsid w:val="20381050"/>
    <w:rsid w:val="20384A18"/>
    <w:rsid w:val="20452FD8"/>
    <w:rsid w:val="20541126"/>
    <w:rsid w:val="20544C79"/>
    <w:rsid w:val="2062104A"/>
    <w:rsid w:val="20697556"/>
    <w:rsid w:val="206F2764"/>
    <w:rsid w:val="20711CD8"/>
    <w:rsid w:val="20785385"/>
    <w:rsid w:val="208452A5"/>
    <w:rsid w:val="20892729"/>
    <w:rsid w:val="20AC2DEC"/>
    <w:rsid w:val="20CC685A"/>
    <w:rsid w:val="20F72BE2"/>
    <w:rsid w:val="210F51A9"/>
    <w:rsid w:val="21207BCE"/>
    <w:rsid w:val="21460B0C"/>
    <w:rsid w:val="214D18F7"/>
    <w:rsid w:val="215009A2"/>
    <w:rsid w:val="21537DFC"/>
    <w:rsid w:val="217A40A2"/>
    <w:rsid w:val="21B04A82"/>
    <w:rsid w:val="21BA3633"/>
    <w:rsid w:val="221655EB"/>
    <w:rsid w:val="22A3277C"/>
    <w:rsid w:val="22D34BE4"/>
    <w:rsid w:val="230E25EC"/>
    <w:rsid w:val="230F0129"/>
    <w:rsid w:val="23130C83"/>
    <w:rsid w:val="23333814"/>
    <w:rsid w:val="2334175D"/>
    <w:rsid w:val="233F1C1A"/>
    <w:rsid w:val="238273D5"/>
    <w:rsid w:val="23952B9E"/>
    <w:rsid w:val="239D2EAD"/>
    <w:rsid w:val="23AB21FD"/>
    <w:rsid w:val="23B5749E"/>
    <w:rsid w:val="23BA1EB0"/>
    <w:rsid w:val="23CA5AA3"/>
    <w:rsid w:val="23FD1BC3"/>
    <w:rsid w:val="24342F11"/>
    <w:rsid w:val="24421157"/>
    <w:rsid w:val="24435B90"/>
    <w:rsid w:val="244408F1"/>
    <w:rsid w:val="24582BC0"/>
    <w:rsid w:val="24697191"/>
    <w:rsid w:val="247920AF"/>
    <w:rsid w:val="247B38AE"/>
    <w:rsid w:val="24977834"/>
    <w:rsid w:val="249E0756"/>
    <w:rsid w:val="24A637DA"/>
    <w:rsid w:val="24F60993"/>
    <w:rsid w:val="250F60C6"/>
    <w:rsid w:val="254479BB"/>
    <w:rsid w:val="25606C8F"/>
    <w:rsid w:val="257A0E47"/>
    <w:rsid w:val="257D08AA"/>
    <w:rsid w:val="25837377"/>
    <w:rsid w:val="259C15A5"/>
    <w:rsid w:val="25B05051"/>
    <w:rsid w:val="25C601F5"/>
    <w:rsid w:val="25D47E5C"/>
    <w:rsid w:val="25E92890"/>
    <w:rsid w:val="26272329"/>
    <w:rsid w:val="262E1CF0"/>
    <w:rsid w:val="26644196"/>
    <w:rsid w:val="26767780"/>
    <w:rsid w:val="269E1273"/>
    <w:rsid w:val="26A52BA4"/>
    <w:rsid w:val="26A95439"/>
    <w:rsid w:val="26DE174A"/>
    <w:rsid w:val="27010C3A"/>
    <w:rsid w:val="273934D0"/>
    <w:rsid w:val="27501A5B"/>
    <w:rsid w:val="277F726D"/>
    <w:rsid w:val="279478AF"/>
    <w:rsid w:val="27AE4C81"/>
    <w:rsid w:val="27D7327B"/>
    <w:rsid w:val="27D8013D"/>
    <w:rsid w:val="27E31D3B"/>
    <w:rsid w:val="27F7695E"/>
    <w:rsid w:val="284677BF"/>
    <w:rsid w:val="28686781"/>
    <w:rsid w:val="287856D6"/>
    <w:rsid w:val="28AC499D"/>
    <w:rsid w:val="28BF3AB9"/>
    <w:rsid w:val="28C80903"/>
    <w:rsid w:val="28E02A1E"/>
    <w:rsid w:val="29000207"/>
    <w:rsid w:val="29061C9D"/>
    <w:rsid w:val="29276992"/>
    <w:rsid w:val="292D33C4"/>
    <w:rsid w:val="294A1EDF"/>
    <w:rsid w:val="29B035A5"/>
    <w:rsid w:val="29C76065"/>
    <w:rsid w:val="29CC2D62"/>
    <w:rsid w:val="29D90CFE"/>
    <w:rsid w:val="29EA4E39"/>
    <w:rsid w:val="2A040FE1"/>
    <w:rsid w:val="2A263B34"/>
    <w:rsid w:val="2A47761D"/>
    <w:rsid w:val="2A9D0E85"/>
    <w:rsid w:val="2AA31A15"/>
    <w:rsid w:val="2ABC33A0"/>
    <w:rsid w:val="2AC3464A"/>
    <w:rsid w:val="2ACF2627"/>
    <w:rsid w:val="2ADC4EAC"/>
    <w:rsid w:val="2AEB5DB8"/>
    <w:rsid w:val="2AF3526C"/>
    <w:rsid w:val="2B264065"/>
    <w:rsid w:val="2B7502BB"/>
    <w:rsid w:val="2B7D3C27"/>
    <w:rsid w:val="2BA612E3"/>
    <w:rsid w:val="2BAC735E"/>
    <w:rsid w:val="2BB64665"/>
    <w:rsid w:val="2BEB1114"/>
    <w:rsid w:val="2C063DE0"/>
    <w:rsid w:val="2C1D4AC2"/>
    <w:rsid w:val="2C52431F"/>
    <w:rsid w:val="2C540277"/>
    <w:rsid w:val="2C7D0A34"/>
    <w:rsid w:val="2C930FE8"/>
    <w:rsid w:val="2CAE2397"/>
    <w:rsid w:val="2CC05F7C"/>
    <w:rsid w:val="2CC529EE"/>
    <w:rsid w:val="2CD06F4A"/>
    <w:rsid w:val="2CDC57F2"/>
    <w:rsid w:val="2CE74A07"/>
    <w:rsid w:val="2D024C1A"/>
    <w:rsid w:val="2D20060F"/>
    <w:rsid w:val="2D264D90"/>
    <w:rsid w:val="2D674215"/>
    <w:rsid w:val="2D6D1A79"/>
    <w:rsid w:val="2D7545FA"/>
    <w:rsid w:val="2D843E66"/>
    <w:rsid w:val="2D8B45A5"/>
    <w:rsid w:val="2DCF17E4"/>
    <w:rsid w:val="2DD438A6"/>
    <w:rsid w:val="2DE25DD3"/>
    <w:rsid w:val="2DF87595"/>
    <w:rsid w:val="2E2E567E"/>
    <w:rsid w:val="2E72276D"/>
    <w:rsid w:val="2E791665"/>
    <w:rsid w:val="2E871F6C"/>
    <w:rsid w:val="2E8852BC"/>
    <w:rsid w:val="2E982B26"/>
    <w:rsid w:val="2EA20A93"/>
    <w:rsid w:val="2EAE5D28"/>
    <w:rsid w:val="2EDF0F75"/>
    <w:rsid w:val="2F163264"/>
    <w:rsid w:val="2F1F0B51"/>
    <w:rsid w:val="2F45212B"/>
    <w:rsid w:val="2F5A7398"/>
    <w:rsid w:val="2F7436E8"/>
    <w:rsid w:val="2F8A473E"/>
    <w:rsid w:val="2FB0531E"/>
    <w:rsid w:val="2FBB2A7C"/>
    <w:rsid w:val="2FC11C09"/>
    <w:rsid w:val="2FDD345C"/>
    <w:rsid w:val="301F23DF"/>
    <w:rsid w:val="30397816"/>
    <w:rsid w:val="306F72D2"/>
    <w:rsid w:val="3087451E"/>
    <w:rsid w:val="30AC28B9"/>
    <w:rsid w:val="30B3242C"/>
    <w:rsid w:val="30D17B32"/>
    <w:rsid w:val="30DC703C"/>
    <w:rsid w:val="30DF1DCF"/>
    <w:rsid w:val="30EB7B8B"/>
    <w:rsid w:val="30ED1814"/>
    <w:rsid w:val="310337EB"/>
    <w:rsid w:val="310B66D2"/>
    <w:rsid w:val="31183FE8"/>
    <w:rsid w:val="313C08E6"/>
    <w:rsid w:val="314365C3"/>
    <w:rsid w:val="31705EE7"/>
    <w:rsid w:val="31BF1AD1"/>
    <w:rsid w:val="31DB6574"/>
    <w:rsid w:val="31E542D4"/>
    <w:rsid w:val="31F864B7"/>
    <w:rsid w:val="32204C24"/>
    <w:rsid w:val="325E6612"/>
    <w:rsid w:val="3266552B"/>
    <w:rsid w:val="327D492C"/>
    <w:rsid w:val="32B31CDC"/>
    <w:rsid w:val="32C30843"/>
    <w:rsid w:val="32CE5713"/>
    <w:rsid w:val="32FD0860"/>
    <w:rsid w:val="32FF2900"/>
    <w:rsid w:val="33087974"/>
    <w:rsid w:val="33222915"/>
    <w:rsid w:val="334702D2"/>
    <w:rsid w:val="33482D6D"/>
    <w:rsid w:val="3355025F"/>
    <w:rsid w:val="336456CD"/>
    <w:rsid w:val="33694CF9"/>
    <w:rsid w:val="336E1BE8"/>
    <w:rsid w:val="338C2135"/>
    <w:rsid w:val="338F1F96"/>
    <w:rsid w:val="33BD31C2"/>
    <w:rsid w:val="33BE5C4F"/>
    <w:rsid w:val="33BF3EE9"/>
    <w:rsid w:val="33D91C17"/>
    <w:rsid w:val="33F56764"/>
    <w:rsid w:val="34063D59"/>
    <w:rsid w:val="3452271D"/>
    <w:rsid w:val="34B27E5A"/>
    <w:rsid w:val="34DA78AE"/>
    <w:rsid w:val="34E4534C"/>
    <w:rsid w:val="34E91244"/>
    <w:rsid w:val="34F07218"/>
    <w:rsid w:val="34F915C4"/>
    <w:rsid w:val="34FA6361"/>
    <w:rsid w:val="35080A59"/>
    <w:rsid w:val="35087FD7"/>
    <w:rsid w:val="35164F44"/>
    <w:rsid w:val="35266AE6"/>
    <w:rsid w:val="35277D51"/>
    <w:rsid w:val="355118CA"/>
    <w:rsid w:val="35691EF5"/>
    <w:rsid w:val="356A2DE7"/>
    <w:rsid w:val="357629EC"/>
    <w:rsid w:val="35957DBF"/>
    <w:rsid w:val="35A40002"/>
    <w:rsid w:val="35A91876"/>
    <w:rsid w:val="35B17D88"/>
    <w:rsid w:val="35B82BBA"/>
    <w:rsid w:val="35E14DB3"/>
    <w:rsid w:val="35E437AA"/>
    <w:rsid w:val="35F20D6E"/>
    <w:rsid w:val="35FB42F5"/>
    <w:rsid w:val="36305F08"/>
    <w:rsid w:val="36691639"/>
    <w:rsid w:val="36813C44"/>
    <w:rsid w:val="368746B6"/>
    <w:rsid w:val="36883480"/>
    <w:rsid w:val="36A205C4"/>
    <w:rsid w:val="36DC729D"/>
    <w:rsid w:val="36F744EF"/>
    <w:rsid w:val="370944C3"/>
    <w:rsid w:val="37321EF9"/>
    <w:rsid w:val="37392636"/>
    <w:rsid w:val="374800C8"/>
    <w:rsid w:val="37513F76"/>
    <w:rsid w:val="377A1616"/>
    <w:rsid w:val="37991E9C"/>
    <w:rsid w:val="37A0584C"/>
    <w:rsid w:val="37AE62C3"/>
    <w:rsid w:val="37C52881"/>
    <w:rsid w:val="37D15902"/>
    <w:rsid w:val="37D270A9"/>
    <w:rsid w:val="37E521FE"/>
    <w:rsid w:val="38105790"/>
    <w:rsid w:val="381B0CC2"/>
    <w:rsid w:val="383F77C8"/>
    <w:rsid w:val="384B5B49"/>
    <w:rsid w:val="38626D9C"/>
    <w:rsid w:val="3881462B"/>
    <w:rsid w:val="38A87003"/>
    <w:rsid w:val="38DD5D05"/>
    <w:rsid w:val="38E27070"/>
    <w:rsid w:val="38EF4472"/>
    <w:rsid w:val="38F66DC7"/>
    <w:rsid w:val="38F92C81"/>
    <w:rsid w:val="390239BE"/>
    <w:rsid w:val="39196FEA"/>
    <w:rsid w:val="394134AC"/>
    <w:rsid w:val="398C3186"/>
    <w:rsid w:val="398C40CE"/>
    <w:rsid w:val="39A14A37"/>
    <w:rsid w:val="39BA475C"/>
    <w:rsid w:val="39CA4569"/>
    <w:rsid w:val="39F14C64"/>
    <w:rsid w:val="3A015A23"/>
    <w:rsid w:val="3A0B0650"/>
    <w:rsid w:val="3A164678"/>
    <w:rsid w:val="3A165171"/>
    <w:rsid w:val="3A16715B"/>
    <w:rsid w:val="3A3758E9"/>
    <w:rsid w:val="3A3B3D8A"/>
    <w:rsid w:val="3A4B3142"/>
    <w:rsid w:val="3A5B1E7F"/>
    <w:rsid w:val="3A667F7C"/>
    <w:rsid w:val="3A773F37"/>
    <w:rsid w:val="3A792688"/>
    <w:rsid w:val="3A8028E1"/>
    <w:rsid w:val="3A9041B9"/>
    <w:rsid w:val="3A960861"/>
    <w:rsid w:val="3AAC481C"/>
    <w:rsid w:val="3ABB3B14"/>
    <w:rsid w:val="3AE97E30"/>
    <w:rsid w:val="3AFB06C4"/>
    <w:rsid w:val="3AFF3CC6"/>
    <w:rsid w:val="3B1039B8"/>
    <w:rsid w:val="3B1D3714"/>
    <w:rsid w:val="3B215498"/>
    <w:rsid w:val="3B3C1123"/>
    <w:rsid w:val="3B5F0C53"/>
    <w:rsid w:val="3B70247D"/>
    <w:rsid w:val="3B7D37CF"/>
    <w:rsid w:val="3B8B3B7A"/>
    <w:rsid w:val="3BBD4182"/>
    <w:rsid w:val="3BD75C97"/>
    <w:rsid w:val="3C027D4E"/>
    <w:rsid w:val="3C130491"/>
    <w:rsid w:val="3C1F21D0"/>
    <w:rsid w:val="3C2B1F6C"/>
    <w:rsid w:val="3C42009C"/>
    <w:rsid w:val="3C5B63BC"/>
    <w:rsid w:val="3C71644C"/>
    <w:rsid w:val="3C8F66B1"/>
    <w:rsid w:val="3CD75931"/>
    <w:rsid w:val="3D0616CA"/>
    <w:rsid w:val="3D481D82"/>
    <w:rsid w:val="3D510B1E"/>
    <w:rsid w:val="3D542D81"/>
    <w:rsid w:val="3DB25A5B"/>
    <w:rsid w:val="3DE13E4D"/>
    <w:rsid w:val="3DF04EF6"/>
    <w:rsid w:val="3DF36CF4"/>
    <w:rsid w:val="3E0D0ACC"/>
    <w:rsid w:val="3E18333B"/>
    <w:rsid w:val="3E4660FB"/>
    <w:rsid w:val="3E5E3CF6"/>
    <w:rsid w:val="3EB05C6A"/>
    <w:rsid w:val="3EB4494A"/>
    <w:rsid w:val="3ECA1007"/>
    <w:rsid w:val="3ED33314"/>
    <w:rsid w:val="3ED77E2C"/>
    <w:rsid w:val="3EE355D0"/>
    <w:rsid w:val="3EF56614"/>
    <w:rsid w:val="3EF8381E"/>
    <w:rsid w:val="3F07032D"/>
    <w:rsid w:val="3F074157"/>
    <w:rsid w:val="3F1F3C5A"/>
    <w:rsid w:val="3F3409F6"/>
    <w:rsid w:val="3F4106F1"/>
    <w:rsid w:val="3F5433AF"/>
    <w:rsid w:val="3F8F5599"/>
    <w:rsid w:val="3FB553D0"/>
    <w:rsid w:val="3FB5602E"/>
    <w:rsid w:val="3FEB53A7"/>
    <w:rsid w:val="3FED77CF"/>
    <w:rsid w:val="3FF6117B"/>
    <w:rsid w:val="40047E36"/>
    <w:rsid w:val="40152228"/>
    <w:rsid w:val="401B5C80"/>
    <w:rsid w:val="402A647F"/>
    <w:rsid w:val="402C74DC"/>
    <w:rsid w:val="40595256"/>
    <w:rsid w:val="406C21C9"/>
    <w:rsid w:val="409E5EC9"/>
    <w:rsid w:val="40A676E9"/>
    <w:rsid w:val="40B10819"/>
    <w:rsid w:val="40BF1E6D"/>
    <w:rsid w:val="40DB38EA"/>
    <w:rsid w:val="40E83F0F"/>
    <w:rsid w:val="40F65A27"/>
    <w:rsid w:val="4122362A"/>
    <w:rsid w:val="415828E6"/>
    <w:rsid w:val="416820D8"/>
    <w:rsid w:val="41740278"/>
    <w:rsid w:val="4192347D"/>
    <w:rsid w:val="41965C93"/>
    <w:rsid w:val="41C00F65"/>
    <w:rsid w:val="41C36320"/>
    <w:rsid w:val="41C720B8"/>
    <w:rsid w:val="41CE19DD"/>
    <w:rsid w:val="4200792C"/>
    <w:rsid w:val="4206515C"/>
    <w:rsid w:val="42084A18"/>
    <w:rsid w:val="423148B8"/>
    <w:rsid w:val="427445FD"/>
    <w:rsid w:val="42867002"/>
    <w:rsid w:val="42C92A21"/>
    <w:rsid w:val="42ED13FA"/>
    <w:rsid w:val="42F41241"/>
    <w:rsid w:val="431A5C36"/>
    <w:rsid w:val="431F236A"/>
    <w:rsid w:val="43465205"/>
    <w:rsid w:val="43491464"/>
    <w:rsid w:val="434E040F"/>
    <w:rsid w:val="4363023D"/>
    <w:rsid w:val="437A1A1E"/>
    <w:rsid w:val="43911BC6"/>
    <w:rsid w:val="4392315C"/>
    <w:rsid w:val="4395047D"/>
    <w:rsid w:val="43F05E1D"/>
    <w:rsid w:val="441547A9"/>
    <w:rsid w:val="44353AA3"/>
    <w:rsid w:val="4494139D"/>
    <w:rsid w:val="44C80130"/>
    <w:rsid w:val="44DC1B9F"/>
    <w:rsid w:val="45061931"/>
    <w:rsid w:val="450E7154"/>
    <w:rsid w:val="452A2D94"/>
    <w:rsid w:val="452F625A"/>
    <w:rsid w:val="45435142"/>
    <w:rsid w:val="455933CC"/>
    <w:rsid w:val="45823B72"/>
    <w:rsid w:val="4584118C"/>
    <w:rsid w:val="45D02133"/>
    <w:rsid w:val="45EC32A5"/>
    <w:rsid w:val="45F605F5"/>
    <w:rsid w:val="460743C1"/>
    <w:rsid w:val="461B7E6D"/>
    <w:rsid w:val="461E35B1"/>
    <w:rsid w:val="4635704A"/>
    <w:rsid w:val="463A4AA4"/>
    <w:rsid w:val="463A62E0"/>
    <w:rsid w:val="465B4030"/>
    <w:rsid w:val="46841EB6"/>
    <w:rsid w:val="469F284C"/>
    <w:rsid w:val="46B502C1"/>
    <w:rsid w:val="46BF39F6"/>
    <w:rsid w:val="46C007F4"/>
    <w:rsid w:val="46D67B12"/>
    <w:rsid w:val="471C20EE"/>
    <w:rsid w:val="471D4C18"/>
    <w:rsid w:val="4727115F"/>
    <w:rsid w:val="474051A7"/>
    <w:rsid w:val="47451645"/>
    <w:rsid w:val="47625ED1"/>
    <w:rsid w:val="479B21E5"/>
    <w:rsid w:val="47C40DD5"/>
    <w:rsid w:val="47D429C9"/>
    <w:rsid w:val="47D9599A"/>
    <w:rsid w:val="47D97FDF"/>
    <w:rsid w:val="47E75E09"/>
    <w:rsid w:val="488E7377"/>
    <w:rsid w:val="48944D43"/>
    <w:rsid w:val="489C026E"/>
    <w:rsid w:val="48B131E5"/>
    <w:rsid w:val="48FC132D"/>
    <w:rsid w:val="490C45CC"/>
    <w:rsid w:val="49136944"/>
    <w:rsid w:val="49155047"/>
    <w:rsid w:val="494D3F74"/>
    <w:rsid w:val="4989333F"/>
    <w:rsid w:val="498B70B7"/>
    <w:rsid w:val="499661F8"/>
    <w:rsid w:val="499A2DFD"/>
    <w:rsid w:val="499F2B63"/>
    <w:rsid w:val="49CB5668"/>
    <w:rsid w:val="49F17652"/>
    <w:rsid w:val="4A1E549B"/>
    <w:rsid w:val="4A3F126C"/>
    <w:rsid w:val="4A5D4EF8"/>
    <w:rsid w:val="4A687024"/>
    <w:rsid w:val="4AE72A13"/>
    <w:rsid w:val="4AE87B39"/>
    <w:rsid w:val="4AF163DD"/>
    <w:rsid w:val="4AF46A2C"/>
    <w:rsid w:val="4B003837"/>
    <w:rsid w:val="4B04012B"/>
    <w:rsid w:val="4B1D1396"/>
    <w:rsid w:val="4B230500"/>
    <w:rsid w:val="4B294D26"/>
    <w:rsid w:val="4B3C5024"/>
    <w:rsid w:val="4B4655CB"/>
    <w:rsid w:val="4B49722A"/>
    <w:rsid w:val="4B63653E"/>
    <w:rsid w:val="4B7D0F09"/>
    <w:rsid w:val="4B89004E"/>
    <w:rsid w:val="4B984B07"/>
    <w:rsid w:val="4BA55545"/>
    <w:rsid w:val="4BAA0F20"/>
    <w:rsid w:val="4BBF5772"/>
    <w:rsid w:val="4BD42F98"/>
    <w:rsid w:val="4BFD58FC"/>
    <w:rsid w:val="4C1559E9"/>
    <w:rsid w:val="4C245054"/>
    <w:rsid w:val="4C2A56EA"/>
    <w:rsid w:val="4C556873"/>
    <w:rsid w:val="4C7038FB"/>
    <w:rsid w:val="4C8C57EC"/>
    <w:rsid w:val="4C9F01E6"/>
    <w:rsid w:val="4CA84402"/>
    <w:rsid w:val="4CB411BC"/>
    <w:rsid w:val="4CCD39DA"/>
    <w:rsid w:val="4CD31A71"/>
    <w:rsid w:val="4CD82ACC"/>
    <w:rsid w:val="4CE875CC"/>
    <w:rsid w:val="4CF82266"/>
    <w:rsid w:val="4D467EC5"/>
    <w:rsid w:val="4D4D381C"/>
    <w:rsid w:val="4D952497"/>
    <w:rsid w:val="4DB13F59"/>
    <w:rsid w:val="4DBF646A"/>
    <w:rsid w:val="4DC1224F"/>
    <w:rsid w:val="4DC23A1D"/>
    <w:rsid w:val="4DCC7F3C"/>
    <w:rsid w:val="4E053FFC"/>
    <w:rsid w:val="4E0A534D"/>
    <w:rsid w:val="4E444738"/>
    <w:rsid w:val="4E8A3D4F"/>
    <w:rsid w:val="4E976DC6"/>
    <w:rsid w:val="4EAB13E0"/>
    <w:rsid w:val="4EAF6565"/>
    <w:rsid w:val="4EBB406D"/>
    <w:rsid w:val="4EE70990"/>
    <w:rsid w:val="4EFD3CA0"/>
    <w:rsid w:val="4F170FE3"/>
    <w:rsid w:val="4F2E75E9"/>
    <w:rsid w:val="4F401E36"/>
    <w:rsid w:val="4F442388"/>
    <w:rsid w:val="4F622668"/>
    <w:rsid w:val="4F687188"/>
    <w:rsid w:val="4F755D84"/>
    <w:rsid w:val="4F787C14"/>
    <w:rsid w:val="4F7F2315"/>
    <w:rsid w:val="4F8F64D3"/>
    <w:rsid w:val="4F936CC6"/>
    <w:rsid w:val="4F953553"/>
    <w:rsid w:val="50184973"/>
    <w:rsid w:val="50247D10"/>
    <w:rsid w:val="50265E0A"/>
    <w:rsid w:val="502913D8"/>
    <w:rsid w:val="50335151"/>
    <w:rsid w:val="50A60283"/>
    <w:rsid w:val="51053BF3"/>
    <w:rsid w:val="51262688"/>
    <w:rsid w:val="512B04C5"/>
    <w:rsid w:val="512B4637"/>
    <w:rsid w:val="5156365B"/>
    <w:rsid w:val="516B2B23"/>
    <w:rsid w:val="51791347"/>
    <w:rsid w:val="51914BFA"/>
    <w:rsid w:val="51D96987"/>
    <w:rsid w:val="51DD23AF"/>
    <w:rsid w:val="51DF24F5"/>
    <w:rsid w:val="51EF38C2"/>
    <w:rsid w:val="520A3EC1"/>
    <w:rsid w:val="522B4CE1"/>
    <w:rsid w:val="5237369C"/>
    <w:rsid w:val="524B5398"/>
    <w:rsid w:val="525F53C4"/>
    <w:rsid w:val="52704CB5"/>
    <w:rsid w:val="527C5054"/>
    <w:rsid w:val="52976ACB"/>
    <w:rsid w:val="52A5375E"/>
    <w:rsid w:val="52B15DE1"/>
    <w:rsid w:val="52BE382F"/>
    <w:rsid w:val="52C109C7"/>
    <w:rsid w:val="52E87389"/>
    <w:rsid w:val="52F15438"/>
    <w:rsid w:val="52F5553C"/>
    <w:rsid w:val="52FB6928"/>
    <w:rsid w:val="536F129E"/>
    <w:rsid w:val="53731FA9"/>
    <w:rsid w:val="538763F5"/>
    <w:rsid w:val="53C12BDF"/>
    <w:rsid w:val="53D0673A"/>
    <w:rsid w:val="540E36A9"/>
    <w:rsid w:val="540E4F04"/>
    <w:rsid w:val="541805F8"/>
    <w:rsid w:val="54211CC3"/>
    <w:rsid w:val="54211F7C"/>
    <w:rsid w:val="543F69EA"/>
    <w:rsid w:val="54953ADC"/>
    <w:rsid w:val="54A939FE"/>
    <w:rsid w:val="54B55507"/>
    <w:rsid w:val="54BB2F47"/>
    <w:rsid w:val="54CA13DC"/>
    <w:rsid w:val="54D35858"/>
    <w:rsid w:val="54D53927"/>
    <w:rsid w:val="54D57A56"/>
    <w:rsid w:val="551F7E4C"/>
    <w:rsid w:val="552C19BE"/>
    <w:rsid w:val="552E230F"/>
    <w:rsid w:val="552F4F8B"/>
    <w:rsid w:val="55346855"/>
    <w:rsid w:val="5544727E"/>
    <w:rsid w:val="5545557F"/>
    <w:rsid w:val="5559172B"/>
    <w:rsid w:val="5566250B"/>
    <w:rsid w:val="559B01C1"/>
    <w:rsid w:val="55AC51D2"/>
    <w:rsid w:val="55B07EC1"/>
    <w:rsid w:val="55B57209"/>
    <w:rsid w:val="55C902A2"/>
    <w:rsid w:val="55D14FAD"/>
    <w:rsid w:val="55DB48B0"/>
    <w:rsid w:val="55E17C68"/>
    <w:rsid w:val="55E5182B"/>
    <w:rsid w:val="56034FE5"/>
    <w:rsid w:val="561E7D2D"/>
    <w:rsid w:val="56243741"/>
    <w:rsid w:val="56463262"/>
    <w:rsid w:val="56564B91"/>
    <w:rsid w:val="56701B0F"/>
    <w:rsid w:val="56775F49"/>
    <w:rsid w:val="56885080"/>
    <w:rsid w:val="5690783C"/>
    <w:rsid w:val="56CC39BF"/>
    <w:rsid w:val="56DC53F6"/>
    <w:rsid w:val="56E8239C"/>
    <w:rsid w:val="56FD5EBA"/>
    <w:rsid w:val="57117704"/>
    <w:rsid w:val="57160908"/>
    <w:rsid w:val="574F0859"/>
    <w:rsid w:val="578373DA"/>
    <w:rsid w:val="579A77B4"/>
    <w:rsid w:val="57CB57BA"/>
    <w:rsid w:val="57CE3F8B"/>
    <w:rsid w:val="57D00815"/>
    <w:rsid w:val="57E16AAA"/>
    <w:rsid w:val="57EA7352"/>
    <w:rsid w:val="580B5F93"/>
    <w:rsid w:val="5810450B"/>
    <w:rsid w:val="58555460"/>
    <w:rsid w:val="58897A90"/>
    <w:rsid w:val="592A2A30"/>
    <w:rsid w:val="594749F9"/>
    <w:rsid w:val="59476115"/>
    <w:rsid w:val="597E04AB"/>
    <w:rsid w:val="59953163"/>
    <w:rsid w:val="599F74F4"/>
    <w:rsid w:val="59A16560"/>
    <w:rsid w:val="59E96FC2"/>
    <w:rsid w:val="59F31C71"/>
    <w:rsid w:val="59FA62BF"/>
    <w:rsid w:val="5A0C0D0A"/>
    <w:rsid w:val="5A6944EA"/>
    <w:rsid w:val="5A6D5DD7"/>
    <w:rsid w:val="5A6F43A0"/>
    <w:rsid w:val="5A81696B"/>
    <w:rsid w:val="5AB046DC"/>
    <w:rsid w:val="5AC805B4"/>
    <w:rsid w:val="5AF0181D"/>
    <w:rsid w:val="5B1B5CFA"/>
    <w:rsid w:val="5B2F2075"/>
    <w:rsid w:val="5B31040E"/>
    <w:rsid w:val="5B6014DE"/>
    <w:rsid w:val="5BAA2D4E"/>
    <w:rsid w:val="5BDC0C81"/>
    <w:rsid w:val="5C0A2CA6"/>
    <w:rsid w:val="5C107C01"/>
    <w:rsid w:val="5C1C6902"/>
    <w:rsid w:val="5C82434A"/>
    <w:rsid w:val="5C827D30"/>
    <w:rsid w:val="5CE861EA"/>
    <w:rsid w:val="5CF31202"/>
    <w:rsid w:val="5CFA65D6"/>
    <w:rsid w:val="5D0D0A5A"/>
    <w:rsid w:val="5D135364"/>
    <w:rsid w:val="5D1B7756"/>
    <w:rsid w:val="5D1D4073"/>
    <w:rsid w:val="5D24203A"/>
    <w:rsid w:val="5D3D4190"/>
    <w:rsid w:val="5D443CF5"/>
    <w:rsid w:val="5D523A56"/>
    <w:rsid w:val="5D59272F"/>
    <w:rsid w:val="5D867E6A"/>
    <w:rsid w:val="5D8C19A7"/>
    <w:rsid w:val="5DA42C12"/>
    <w:rsid w:val="5DBB2B9B"/>
    <w:rsid w:val="5DE722C8"/>
    <w:rsid w:val="5E0D7652"/>
    <w:rsid w:val="5E266B47"/>
    <w:rsid w:val="5E2C2D16"/>
    <w:rsid w:val="5E3352CC"/>
    <w:rsid w:val="5E6C41D8"/>
    <w:rsid w:val="5E914D18"/>
    <w:rsid w:val="5EA14F87"/>
    <w:rsid w:val="5EB07FFD"/>
    <w:rsid w:val="5EB12C47"/>
    <w:rsid w:val="5EC62C14"/>
    <w:rsid w:val="5EE75C28"/>
    <w:rsid w:val="5EEA35AF"/>
    <w:rsid w:val="5F34112B"/>
    <w:rsid w:val="5F3C0431"/>
    <w:rsid w:val="5F3C7AEA"/>
    <w:rsid w:val="5F436141"/>
    <w:rsid w:val="5F4A4006"/>
    <w:rsid w:val="5F5A7F63"/>
    <w:rsid w:val="5F5E60E0"/>
    <w:rsid w:val="5F6704F9"/>
    <w:rsid w:val="5FA8487D"/>
    <w:rsid w:val="5FAC2718"/>
    <w:rsid w:val="60341DA6"/>
    <w:rsid w:val="60567FC7"/>
    <w:rsid w:val="608F7035"/>
    <w:rsid w:val="60AA5077"/>
    <w:rsid w:val="60C54572"/>
    <w:rsid w:val="60DD2497"/>
    <w:rsid w:val="60E20A32"/>
    <w:rsid w:val="60F611BD"/>
    <w:rsid w:val="6103018B"/>
    <w:rsid w:val="611D2854"/>
    <w:rsid w:val="61300984"/>
    <w:rsid w:val="6135424E"/>
    <w:rsid w:val="61354623"/>
    <w:rsid w:val="613A1C1F"/>
    <w:rsid w:val="613D4CE3"/>
    <w:rsid w:val="6154748E"/>
    <w:rsid w:val="619E4AEF"/>
    <w:rsid w:val="619E73B1"/>
    <w:rsid w:val="61A62975"/>
    <w:rsid w:val="61D17A78"/>
    <w:rsid w:val="62344A89"/>
    <w:rsid w:val="624429C7"/>
    <w:rsid w:val="624E5A52"/>
    <w:rsid w:val="6261092B"/>
    <w:rsid w:val="627E6465"/>
    <w:rsid w:val="62883A8F"/>
    <w:rsid w:val="62C33EC4"/>
    <w:rsid w:val="62D75E40"/>
    <w:rsid w:val="62DF104F"/>
    <w:rsid w:val="63147998"/>
    <w:rsid w:val="633B4DB7"/>
    <w:rsid w:val="63423E46"/>
    <w:rsid w:val="637102C7"/>
    <w:rsid w:val="6393458A"/>
    <w:rsid w:val="639F2DF5"/>
    <w:rsid w:val="640269BB"/>
    <w:rsid w:val="640712B6"/>
    <w:rsid w:val="643505DF"/>
    <w:rsid w:val="644B448D"/>
    <w:rsid w:val="6464010A"/>
    <w:rsid w:val="64984512"/>
    <w:rsid w:val="64AE52F0"/>
    <w:rsid w:val="64C91D05"/>
    <w:rsid w:val="64DD0CB7"/>
    <w:rsid w:val="64E8140A"/>
    <w:rsid w:val="64F178C7"/>
    <w:rsid w:val="64F953C5"/>
    <w:rsid w:val="65375449"/>
    <w:rsid w:val="654A79CF"/>
    <w:rsid w:val="65727758"/>
    <w:rsid w:val="657F5BFB"/>
    <w:rsid w:val="659D05DC"/>
    <w:rsid w:val="659D71F0"/>
    <w:rsid w:val="65A74E21"/>
    <w:rsid w:val="65F80CBE"/>
    <w:rsid w:val="660C3E24"/>
    <w:rsid w:val="661957C5"/>
    <w:rsid w:val="66294109"/>
    <w:rsid w:val="6635189E"/>
    <w:rsid w:val="66381562"/>
    <w:rsid w:val="66441CFD"/>
    <w:rsid w:val="66532588"/>
    <w:rsid w:val="66585D1C"/>
    <w:rsid w:val="66636DA7"/>
    <w:rsid w:val="667271DD"/>
    <w:rsid w:val="66903B07"/>
    <w:rsid w:val="66A41CBE"/>
    <w:rsid w:val="66EE4C37"/>
    <w:rsid w:val="67066F2C"/>
    <w:rsid w:val="67505F8C"/>
    <w:rsid w:val="678914B6"/>
    <w:rsid w:val="67980EC5"/>
    <w:rsid w:val="67BD092C"/>
    <w:rsid w:val="67E142E2"/>
    <w:rsid w:val="67E50D68"/>
    <w:rsid w:val="67EA0216"/>
    <w:rsid w:val="68345E8F"/>
    <w:rsid w:val="6846755B"/>
    <w:rsid w:val="684C20DA"/>
    <w:rsid w:val="687152A7"/>
    <w:rsid w:val="688C1749"/>
    <w:rsid w:val="68B107B5"/>
    <w:rsid w:val="6915613A"/>
    <w:rsid w:val="691E53FA"/>
    <w:rsid w:val="6941672D"/>
    <w:rsid w:val="6959663A"/>
    <w:rsid w:val="695F5AB8"/>
    <w:rsid w:val="6969465F"/>
    <w:rsid w:val="69750960"/>
    <w:rsid w:val="697842B1"/>
    <w:rsid w:val="6985509D"/>
    <w:rsid w:val="69E75CEE"/>
    <w:rsid w:val="69FB496B"/>
    <w:rsid w:val="6A1A7DA3"/>
    <w:rsid w:val="6A244C92"/>
    <w:rsid w:val="6A6248C6"/>
    <w:rsid w:val="6A6D70AD"/>
    <w:rsid w:val="6A806A08"/>
    <w:rsid w:val="6A9F30F7"/>
    <w:rsid w:val="6AAF3BF4"/>
    <w:rsid w:val="6ACC61B3"/>
    <w:rsid w:val="6ACE1BB6"/>
    <w:rsid w:val="6AD21FD2"/>
    <w:rsid w:val="6AF85BA1"/>
    <w:rsid w:val="6B036375"/>
    <w:rsid w:val="6B056F0A"/>
    <w:rsid w:val="6B172FBF"/>
    <w:rsid w:val="6B352F4C"/>
    <w:rsid w:val="6B391E59"/>
    <w:rsid w:val="6B3E3547"/>
    <w:rsid w:val="6B593B73"/>
    <w:rsid w:val="6B662C52"/>
    <w:rsid w:val="6B712E92"/>
    <w:rsid w:val="6BD118E0"/>
    <w:rsid w:val="6BD526E8"/>
    <w:rsid w:val="6BDC31C7"/>
    <w:rsid w:val="6C0F02A4"/>
    <w:rsid w:val="6C152AE5"/>
    <w:rsid w:val="6C215EAA"/>
    <w:rsid w:val="6C23619F"/>
    <w:rsid w:val="6C250B24"/>
    <w:rsid w:val="6C252A40"/>
    <w:rsid w:val="6C4E1180"/>
    <w:rsid w:val="6C6121CE"/>
    <w:rsid w:val="6C6C184A"/>
    <w:rsid w:val="6C722665"/>
    <w:rsid w:val="6CA86739"/>
    <w:rsid w:val="6CC06862"/>
    <w:rsid w:val="6CC14D56"/>
    <w:rsid w:val="6CF34043"/>
    <w:rsid w:val="6CFD344A"/>
    <w:rsid w:val="6D1C31AB"/>
    <w:rsid w:val="6D236405"/>
    <w:rsid w:val="6D49326E"/>
    <w:rsid w:val="6D4B5A6F"/>
    <w:rsid w:val="6D6300D5"/>
    <w:rsid w:val="6D7231C6"/>
    <w:rsid w:val="6D8975A5"/>
    <w:rsid w:val="6DB8333A"/>
    <w:rsid w:val="6DD30EA9"/>
    <w:rsid w:val="6DE13BAC"/>
    <w:rsid w:val="6DE953A6"/>
    <w:rsid w:val="6E3A3FA2"/>
    <w:rsid w:val="6E5611FB"/>
    <w:rsid w:val="6E5B4656"/>
    <w:rsid w:val="6E6C605B"/>
    <w:rsid w:val="6E6F23D2"/>
    <w:rsid w:val="6E776932"/>
    <w:rsid w:val="6E973146"/>
    <w:rsid w:val="6E9E37F3"/>
    <w:rsid w:val="6EA14B04"/>
    <w:rsid w:val="6EA6004D"/>
    <w:rsid w:val="6EAD6A9C"/>
    <w:rsid w:val="6ED17DE6"/>
    <w:rsid w:val="6ED22832"/>
    <w:rsid w:val="6EDB1CF6"/>
    <w:rsid w:val="6EE3190F"/>
    <w:rsid w:val="6EEB4FBA"/>
    <w:rsid w:val="6F527B03"/>
    <w:rsid w:val="6F5F1689"/>
    <w:rsid w:val="6F6D5E81"/>
    <w:rsid w:val="6F7307C0"/>
    <w:rsid w:val="6F8E32A4"/>
    <w:rsid w:val="6F9A146E"/>
    <w:rsid w:val="6FAD5E09"/>
    <w:rsid w:val="6FE918CA"/>
    <w:rsid w:val="701F1306"/>
    <w:rsid w:val="702E5B63"/>
    <w:rsid w:val="704B3E85"/>
    <w:rsid w:val="70803ADA"/>
    <w:rsid w:val="708052B8"/>
    <w:rsid w:val="70B6524F"/>
    <w:rsid w:val="7105441D"/>
    <w:rsid w:val="711B0DB4"/>
    <w:rsid w:val="7138613C"/>
    <w:rsid w:val="71462D37"/>
    <w:rsid w:val="71791EB6"/>
    <w:rsid w:val="71907CAE"/>
    <w:rsid w:val="719A4569"/>
    <w:rsid w:val="71B6203F"/>
    <w:rsid w:val="71DB1E04"/>
    <w:rsid w:val="71DC2D77"/>
    <w:rsid w:val="71F97EED"/>
    <w:rsid w:val="72100D33"/>
    <w:rsid w:val="72145C65"/>
    <w:rsid w:val="722E1A10"/>
    <w:rsid w:val="724745B5"/>
    <w:rsid w:val="724A7260"/>
    <w:rsid w:val="72593E73"/>
    <w:rsid w:val="725F72B6"/>
    <w:rsid w:val="7270752F"/>
    <w:rsid w:val="72AB4ACD"/>
    <w:rsid w:val="72BD3E0F"/>
    <w:rsid w:val="72C35C78"/>
    <w:rsid w:val="72E27499"/>
    <w:rsid w:val="72E53CA7"/>
    <w:rsid w:val="72E80587"/>
    <w:rsid w:val="730E577A"/>
    <w:rsid w:val="732E6D16"/>
    <w:rsid w:val="733D1677"/>
    <w:rsid w:val="733D6E8A"/>
    <w:rsid w:val="735A2970"/>
    <w:rsid w:val="736F5B65"/>
    <w:rsid w:val="737C66F5"/>
    <w:rsid w:val="73BB0416"/>
    <w:rsid w:val="73D246C4"/>
    <w:rsid w:val="73FE7CAF"/>
    <w:rsid w:val="741C481A"/>
    <w:rsid w:val="74490EA2"/>
    <w:rsid w:val="744F2C26"/>
    <w:rsid w:val="745E6FF3"/>
    <w:rsid w:val="749703E7"/>
    <w:rsid w:val="74C463D7"/>
    <w:rsid w:val="74E67A0E"/>
    <w:rsid w:val="750D7796"/>
    <w:rsid w:val="75155309"/>
    <w:rsid w:val="751A02DC"/>
    <w:rsid w:val="752234F7"/>
    <w:rsid w:val="75323748"/>
    <w:rsid w:val="75745BA4"/>
    <w:rsid w:val="75803FE8"/>
    <w:rsid w:val="75840CDB"/>
    <w:rsid w:val="75987A8E"/>
    <w:rsid w:val="75A1779E"/>
    <w:rsid w:val="75CC5217"/>
    <w:rsid w:val="75CD67FB"/>
    <w:rsid w:val="75D6497D"/>
    <w:rsid w:val="75D8387C"/>
    <w:rsid w:val="76092C49"/>
    <w:rsid w:val="76430528"/>
    <w:rsid w:val="765E60A6"/>
    <w:rsid w:val="76664776"/>
    <w:rsid w:val="76962958"/>
    <w:rsid w:val="76B161E7"/>
    <w:rsid w:val="76ED6C9A"/>
    <w:rsid w:val="77222536"/>
    <w:rsid w:val="773D3C79"/>
    <w:rsid w:val="7745011A"/>
    <w:rsid w:val="77592488"/>
    <w:rsid w:val="77706B69"/>
    <w:rsid w:val="777C31CA"/>
    <w:rsid w:val="77B75398"/>
    <w:rsid w:val="77CC7F28"/>
    <w:rsid w:val="77D15D7E"/>
    <w:rsid w:val="77D71596"/>
    <w:rsid w:val="77EA10E8"/>
    <w:rsid w:val="77F36C3B"/>
    <w:rsid w:val="77F92C11"/>
    <w:rsid w:val="782A02FC"/>
    <w:rsid w:val="78327197"/>
    <w:rsid w:val="78517258"/>
    <w:rsid w:val="787D353C"/>
    <w:rsid w:val="787E7C64"/>
    <w:rsid w:val="78810C2A"/>
    <w:rsid w:val="78882EAE"/>
    <w:rsid w:val="78AB7E6D"/>
    <w:rsid w:val="78DF2D59"/>
    <w:rsid w:val="78E17808"/>
    <w:rsid w:val="78E561DD"/>
    <w:rsid w:val="78F467C1"/>
    <w:rsid w:val="79186F48"/>
    <w:rsid w:val="79196BEE"/>
    <w:rsid w:val="7930488D"/>
    <w:rsid w:val="794C1303"/>
    <w:rsid w:val="795D3D1D"/>
    <w:rsid w:val="7963766C"/>
    <w:rsid w:val="797809C0"/>
    <w:rsid w:val="798152B2"/>
    <w:rsid w:val="79857D74"/>
    <w:rsid w:val="798968C0"/>
    <w:rsid w:val="799716EC"/>
    <w:rsid w:val="799A3293"/>
    <w:rsid w:val="79DD4C0A"/>
    <w:rsid w:val="79DE7DAB"/>
    <w:rsid w:val="79DF06EA"/>
    <w:rsid w:val="79F10BF9"/>
    <w:rsid w:val="79FB1D40"/>
    <w:rsid w:val="79FC1419"/>
    <w:rsid w:val="79FF7789"/>
    <w:rsid w:val="7A097A01"/>
    <w:rsid w:val="7A0A72A3"/>
    <w:rsid w:val="7A1B11DF"/>
    <w:rsid w:val="7A352537"/>
    <w:rsid w:val="7A37260E"/>
    <w:rsid w:val="7A4E2566"/>
    <w:rsid w:val="7A610296"/>
    <w:rsid w:val="7A6A39C7"/>
    <w:rsid w:val="7A7E3A32"/>
    <w:rsid w:val="7A810C91"/>
    <w:rsid w:val="7AD17722"/>
    <w:rsid w:val="7B2014A6"/>
    <w:rsid w:val="7B433587"/>
    <w:rsid w:val="7B4D7010"/>
    <w:rsid w:val="7B6C5FAE"/>
    <w:rsid w:val="7B744583"/>
    <w:rsid w:val="7B98103C"/>
    <w:rsid w:val="7BAF2247"/>
    <w:rsid w:val="7BB36A58"/>
    <w:rsid w:val="7BC51CA9"/>
    <w:rsid w:val="7BFC2C4A"/>
    <w:rsid w:val="7BFD7D2F"/>
    <w:rsid w:val="7C0D5EC1"/>
    <w:rsid w:val="7C5E41AC"/>
    <w:rsid w:val="7C6826E6"/>
    <w:rsid w:val="7C743857"/>
    <w:rsid w:val="7C7445A1"/>
    <w:rsid w:val="7C975A3F"/>
    <w:rsid w:val="7CFB5D27"/>
    <w:rsid w:val="7D1B7006"/>
    <w:rsid w:val="7D2701C2"/>
    <w:rsid w:val="7D543B16"/>
    <w:rsid w:val="7D61104F"/>
    <w:rsid w:val="7D763594"/>
    <w:rsid w:val="7D890613"/>
    <w:rsid w:val="7D963416"/>
    <w:rsid w:val="7DC01404"/>
    <w:rsid w:val="7E041BAA"/>
    <w:rsid w:val="7E096221"/>
    <w:rsid w:val="7E0C6C3E"/>
    <w:rsid w:val="7E27601C"/>
    <w:rsid w:val="7E484108"/>
    <w:rsid w:val="7E8907D6"/>
    <w:rsid w:val="7E9D5EDB"/>
    <w:rsid w:val="7EA21D71"/>
    <w:rsid w:val="7EDA402E"/>
    <w:rsid w:val="7EEC4462"/>
    <w:rsid w:val="7EEF5417"/>
    <w:rsid w:val="7EFE38AC"/>
    <w:rsid w:val="7F0C7A2E"/>
    <w:rsid w:val="7F104F2A"/>
    <w:rsid w:val="7F166E48"/>
    <w:rsid w:val="7F575FA6"/>
    <w:rsid w:val="7F914720"/>
    <w:rsid w:val="7FCF4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nhideWhenUsed="0" w:uiPriority="0" w:semiHidden="0" w:name="HTML Address"/>
    <w:lsdException w:uiPriority="99"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1"/>
      <w:lang w:val="en-US" w:eastAsia="zh-CN" w:bidi="ar-SA"/>
    </w:rPr>
  </w:style>
  <w:style w:type="paragraph" w:styleId="3">
    <w:name w:val="heading 1"/>
    <w:basedOn w:val="1"/>
    <w:next w:val="1"/>
    <w:link w:val="35"/>
    <w:qFormat/>
    <w:uiPriority w:val="0"/>
    <w:pPr>
      <w:keepNext/>
      <w:jc w:val="center"/>
      <w:outlineLvl w:val="0"/>
    </w:pPr>
    <w:rPr>
      <w:rFonts w:ascii="Times New Roman" w:hAnsi="Times New Roman"/>
      <w:b/>
      <w:kern w:val="2"/>
      <w:sz w:val="32"/>
    </w:rPr>
  </w:style>
  <w:style w:type="paragraph" w:styleId="4">
    <w:name w:val="heading 2"/>
    <w:basedOn w:val="1"/>
    <w:next w:val="1"/>
    <w:link w:val="41"/>
    <w:qFormat/>
    <w:uiPriority w:val="9"/>
    <w:pPr>
      <w:keepNext/>
      <w:keepLines/>
      <w:widowControl/>
      <w:jc w:val="center"/>
      <w:outlineLvl w:val="1"/>
    </w:pPr>
    <w:rPr>
      <w:rFonts w:ascii="Times New Roman" w:hAnsi="Times New Roman"/>
      <w:b/>
      <w:bCs/>
      <w:sz w:val="24"/>
      <w:szCs w:val="32"/>
    </w:rPr>
  </w:style>
  <w:style w:type="paragraph" w:styleId="5">
    <w:name w:val="heading 3"/>
    <w:basedOn w:val="1"/>
    <w:next w:val="1"/>
    <w:link w:val="36"/>
    <w:qFormat/>
    <w:uiPriority w:val="0"/>
    <w:pPr>
      <w:keepNext/>
      <w:ind w:firstLine="723" w:firstLineChars="200"/>
      <w:jc w:val="left"/>
      <w:outlineLvl w:val="2"/>
    </w:pPr>
    <w:rPr>
      <w:rFonts w:ascii="Times New Roman" w:hAnsi="Times New Roman"/>
      <w:b/>
      <w:bCs/>
      <w:kern w:val="2"/>
      <w:szCs w:val="24"/>
    </w:rPr>
  </w:style>
  <w:style w:type="paragraph" w:styleId="6">
    <w:name w:val="heading 4"/>
    <w:basedOn w:val="1"/>
    <w:next w:val="1"/>
    <w:link w:val="44"/>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7">
    <w:name w:val="heading 5"/>
    <w:basedOn w:val="1"/>
    <w:next w:val="1"/>
    <w:link w:val="40"/>
    <w:qFormat/>
    <w:uiPriority w:val="0"/>
    <w:pPr>
      <w:keepNext/>
      <w:keepLines/>
      <w:tabs>
        <w:tab w:val="left" w:pos="1008"/>
        <w:tab w:val="left" w:pos="1218"/>
      </w:tabs>
      <w:spacing w:before="60" w:line="360" w:lineRule="auto"/>
      <w:ind w:left="1008" w:hanging="1008"/>
      <w:outlineLvl w:val="4"/>
    </w:pPr>
    <w:rPr>
      <w:rFonts w:ascii="Arial Unicode MS" w:hAnsi="Arial Unicode MS"/>
      <w:bCs/>
      <w:kern w:val="2"/>
      <w:szCs w:val="24"/>
    </w:rPr>
  </w:style>
  <w:style w:type="paragraph" w:styleId="8">
    <w:name w:val="heading 6"/>
    <w:basedOn w:val="1"/>
    <w:next w:val="1"/>
    <w:link w:val="43"/>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paragraph" w:styleId="9">
    <w:name w:val="heading 7"/>
    <w:basedOn w:val="1"/>
    <w:next w:val="1"/>
    <w:link w:val="39"/>
    <w:qFormat/>
    <w:uiPriority w:val="0"/>
    <w:pPr>
      <w:keepNext/>
      <w:tabs>
        <w:tab w:val="left" w:pos="1296"/>
      </w:tabs>
      <w:autoSpaceDE w:val="0"/>
      <w:autoSpaceDN w:val="0"/>
      <w:adjustRightInd w:val="0"/>
      <w:spacing w:line="288" w:lineRule="auto"/>
      <w:ind w:left="1296" w:hanging="1296"/>
      <w:outlineLvl w:val="6"/>
    </w:pPr>
    <w:rPr>
      <w:rFonts w:ascii="Arial" w:hAnsi="Arial"/>
      <w:b/>
      <w:color w:val="000000"/>
      <w:kern w:val="2"/>
      <w:sz w:val="15"/>
    </w:rPr>
  </w:style>
  <w:style w:type="paragraph" w:styleId="10">
    <w:name w:val="heading 8"/>
    <w:basedOn w:val="1"/>
    <w:next w:val="1"/>
    <w:link w:val="45"/>
    <w:qFormat/>
    <w:uiPriority w:val="0"/>
    <w:pPr>
      <w:keepNext/>
      <w:tabs>
        <w:tab w:val="left" w:pos="1440"/>
      </w:tabs>
      <w:spacing w:line="360" w:lineRule="auto"/>
      <w:ind w:left="1440" w:hanging="1440"/>
      <w:outlineLvl w:val="7"/>
    </w:pPr>
    <w:rPr>
      <w:rFonts w:ascii="仿宋_GB2312" w:eastAsia="仿宋_GB2312"/>
      <w:b/>
      <w:kern w:val="2"/>
    </w:rPr>
  </w:style>
  <w:style w:type="paragraph" w:styleId="11">
    <w:name w:val="heading 9"/>
    <w:basedOn w:val="1"/>
    <w:next w:val="1"/>
    <w:link w:val="42"/>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jc w:val="center"/>
    </w:pPr>
  </w:style>
  <w:style w:type="paragraph" w:styleId="12">
    <w:name w:val="Normal Indent"/>
    <w:basedOn w:val="1"/>
    <w:next w:val="13"/>
    <w:link w:val="38"/>
    <w:qFormat/>
    <w:uiPriority w:val="0"/>
    <w:pPr>
      <w:ind w:firstLine="420" w:firstLineChars="200"/>
    </w:pPr>
    <w:rPr>
      <w:rFonts w:ascii="Times New Roman" w:hAnsi="Times New Roman"/>
      <w:kern w:val="2"/>
      <w:szCs w:val="24"/>
    </w:rPr>
  </w:style>
  <w:style w:type="paragraph" w:styleId="13">
    <w:name w:val="toc 4"/>
    <w:next w:val="1"/>
    <w:unhideWhenUsed/>
    <w:qFormat/>
    <w:uiPriority w:val="39"/>
    <w:pPr>
      <w:widowControl w:val="0"/>
      <w:ind w:left="1260" w:leftChars="600"/>
      <w:jc w:val="both"/>
    </w:pPr>
    <w:rPr>
      <w:rFonts w:ascii="宋体" w:hAnsi="Times New Roman" w:eastAsia="宋体" w:cs="Times New Roman"/>
      <w:sz w:val="24"/>
      <w:lang w:val="en-US" w:eastAsia="zh-CN" w:bidi="ar-SA"/>
    </w:rPr>
  </w:style>
  <w:style w:type="paragraph" w:styleId="14">
    <w:name w:val="annotation text"/>
    <w:basedOn w:val="1"/>
    <w:link w:val="54"/>
    <w:qFormat/>
    <w:uiPriority w:val="0"/>
    <w:pPr>
      <w:jc w:val="left"/>
    </w:pPr>
    <w:rPr>
      <w:rFonts w:ascii="Times New Roman" w:hAnsi="Times New Roman"/>
      <w:kern w:val="2"/>
      <w:szCs w:val="24"/>
    </w:rPr>
  </w:style>
  <w:style w:type="paragraph" w:styleId="15">
    <w:name w:val="Body Text"/>
    <w:basedOn w:val="1"/>
    <w:next w:val="1"/>
    <w:link w:val="49"/>
    <w:qFormat/>
    <w:uiPriority w:val="0"/>
    <w:pPr>
      <w:spacing w:after="120"/>
    </w:pPr>
    <w:rPr>
      <w:rFonts w:ascii="Times New Roman" w:hAnsi="Times New Roman"/>
      <w:kern w:val="2"/>
    </w:rPr>
  </w:style>
  <w:style w:type="paragraph" w:styleId="16">
    <w:name w:val="Body Text Indent"/>
    <w:basedOn w:val="1"/>
    <w:next w:val="17"/>
    <w:qFormat/>
    <w:uiPriority w:val="0"/>
    <w:pPr>
      <w:widowControl/>
      <w:ind w:firstLine="652" w:firstLineChars="233"/>
    </w:pPr>
    <w:rPr>
      <w:rFonts w:ascii="Times New Roman"/>
      <w:sz w:val="28"/>
    </w:rPr>
  </w:style>
  <w:style w:type="paragraph" w:styleId="17">
    <w:name w:val="envelope return"/>
    <w:basedOn w:val="1"/>
    <w:qFormat/>
    <w:uiPriority w:val="0"/>
    <w:pPr>
      <w:autoSpaceDE w:val="0"/>
      <w:autoSpaceDN w:val="0"/>
      <w:snapToGrid w:val="0"/>
      <w:jc w:val="left"/>
    </w:pPr>
    <w:rPr>
      <w:rFonts w:ascii="Arial" w:hAnsi="Arial" w:cs="宋体"/>
      <w:sz w:val="22"/>
      <w:szCs w:val="22"/>
      <w:lang w:val="zh-CN" w:bidi="zh-CN"/>
    </w:rPr>
  </w:style>
  <w:style w:type="paragraph" w:styleId="18">
    <w:name w:val="Plain Text"/>
    <w:next w:val="1"/>
    <w:qFormat/>
    <w:uiPriority w:val="0"/>
    <w:pPr>
      <w:widowControl w:val="0"/>
      <w:jc w:val="both"/>
    </w:pPr>
    <w:rPr>
      <w:rFonts w:ascii="宋体" w:hAnsi="Courier New" w:eastAsia="宋体" w:cs="Times New Roman"/>
      <w:kern w:val="2"/>
      <w:sz w:val="21"/>
      <w:lang w:val="en-US" w:eastAsia="zh-CN" w:bidi="ar-SA"/>
    </w:rPr>
  </w:style>
  <w:style w:type="paragraph" w:styleId="19">
    <w:name w:val="Balloon Text"/>
    <w:basedOn w:val="1"/>
    <w:link w:val="57"/>
    <w:qFormat/>
    <w:uiPriority w:val="0"/>
    <w:rPr>
      <w:sz w:val="18"/>
      <w:szCs w:val="18"/>
    </w:rPr>
  </w:style>
  <w:style w:type="paragraph" w:styleId="20">
    <w:name w:val="footer"/>
    <w:basedOn w:val="1"/>
    <w:link w:val="50"/>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pPr>
      <w:tabs>
        <w:tab w:val="left" w:pos="1418"/>
        <w:tab w:val="right" w:leader="dot" w:pos="8302"/>
      </w:tabs>
      <w:spacing w:line="360" w:lineRule="auto"/>
    </w:pPr>
    <w:rPr>
      <w:sz w:val="24"/>
    </w:rPr>
  </w:style>
  <w:style w:type="paragraph" w:styleId="23">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4">
    <w:name w:val="toc 2"/>
    <w:basedOn w:val="1"/>
    <w:next w:val="1"/>
    <w:unhideWhenUsed/>
    <w:qFormat/>
    <w:uiPriority w:val="39"/>
    <w:pPr>
      <w:tabs>
        <w:tab w:val="right" w:leader="dot" w:pos="8302"/>
      </w:tabs>
      <w:spacing w:line="360" w:lineRule="auto"/>
      <w:ind w:left="420" w:leftChars="200"/>
    </w:pPr>
  </w:style>
  <w:style w:type="paragraph" w:styleId="25">
    <w:name w:val="Body Text 2"/>
    <w:basedOn w:val="1"/>
    <w:qFormat/>
    <w:uiPriority w:val="0"/>
    <w:rPr>
      <w:rFonts w:ascii="楷体_GB2312" w:hAnsi="Copperplate Gothic Bold" w:eastAsia="楷体_GB2312"/>
      <w:kern w:val="2"/>
      <w:sz w:val="28"/>
    </w:rPr>
  </w:style>
  <w:style w:type="paragraph" w:styleId="26">
    <w:name w:val="Normal (Web)"/>
    <w:basedOn w:val="1"/>
    <w:qFormat/>
    <w:uiPriority w:val="0"/>
    <w:pPr>
      <w:spacing w:beforeAutospacing="1" w:afterAutospacing="1"/>
      <w:jc w:val="left"/>
    </w:pPr>
    <w:rPr>
      <w:sz w:val="24"/>
    </w:rPr>
  </w:style>
  <w:style w:type="paragraph" w:styleId="27">
    <w:name w:val="Title"/>
    <w:basedOn w:val="1"/>
    <w:next w:val="1"/>
    <w:link w:val="46"/>
    <w:qFormat/>
    <w:uiPriority w:val="0"/>
    <w:pPr>
      <w:spacing w:before="240" w:after="60"/>
      <w:jc w:val="center"/>
      <w:outlineLvl w:val="0"/>
    </w:pPr>
    <w:rPr>
      <w:rFonts w:ascii="Cambria" w:hAnsi="Cambria"/>
      <w:b/>
      <w:bCs/>
      <w:kern w:val="2"/>
      <w:sz w:val="32"/>
      <w:szCs w:val="32"/>
    </w:rPr>
  </w:style>
  <w:style w:type="paragraph" w:styleId="28">
    <w:name w:val="annotation subject"/>
    <w:basedOn w:val="14"/>
    <w:next w:val="14"/>
    <w:link w:val="59"/>
    <w:qFormat/>
    <w:uiPriority w:val="0"/>
    <w:rPr>
      <w:rFonts w:ascii="宋体" w:hAnsi="宋体"/>
      <w:b/>
      <w:bCs/>
      <w:kern w:val="0"/>
      <w:szCs w:val="20"/>
    </w:rPr>
  </w:style>
  <w:style w:type="paragraph" w:styleId="29">
    <w:name w:val="Body Text First Indent 2"/>
    <w:basedOn w:val="16"/>
    <w:next w:val="1"/>
    <w:qFormat/>
    <w:uiPriority w:val="0"/>
    <w:pPr>
      <w:ind w:firstLine="420"/>
    </w:pPr>
    <w:rPr>
      <w:rFonts w:hAnsi="Times New Roman"/>
      <w:sz w:val="21"/>
      <w:szCs w:val="21"/>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annotation reference"/>
    <w:basedOn w:val="32"/>
    <w:qFormat/>
    <w:uiPriority w:val="0"/>
    <w:rPr>
      <w:sz w:val="21"/>
      <w:szCs w:val="21"/>
    </w:rPr>
  </w:style>
  <w:style w:type="character" w:customStyle="1" w:styleId="35">
    <w:name w:val="标题 1 Char"/>
    <w:link w:val="3"/>
    <w:qFormat/>
    <w:uiPriority w:val="0"/>
    <w:rPr>
      <w:rFonts w:ascii="Times New Roman" w:hAnsi="Times New Roman" w:eastAsia="宋体"/>
      <w:b/>
      <w:kern w:val="2"/>
      <w:sz w:val="32"/>
    </w:rPr>
  </w:style>
  <w:style w:type="character" w:customStyle="1" w:styleId="36">
    <w:name w:val="标题 3 Char"/>
    <w:link w:val="5"/>
    <w:qFormat/>
    <w:uiPriority w:val="0"/>
    <w:rPr>
      <w:rFonts w:hAnsi="Times New Roman" w:eastAsia="宋体"/>
      <w:b/>
      <w:bCs/>
      <w:kern w:val="2"/>
      <w:sz w:val="24"/>
      <w:szCs w:val="24"/>
    </w:rPr>
  </w:style>
  <w:style w:type="character" w:customStyle="1" w:styleId="37">
    <w:name w:val="副标题 Char"/>
    <w:link w:val="23"/>
    <w:qFormat/>
    <w:uiPriority w:val="0"/>
    <w:rPr>
      <w:rFonts w:ascii="Cambria" w:hAnsi="Cambria"/>
      <w:b/>
      <w:bCs/>
      <w:kern w:val="28"/>
      <w:sz w:val="32"/>
      <w:szCs w:val="32"/>
    </w:rPr>
  </w:style>
  <w:style w:type="character" w:customStyle="1" w:styleId="38">
    <w:name w:val="正文缩进 Char"/>
    <w:link w:val="12"/>
    <w:qFormat/>
    <w:uiPriority w:val="0"/>
    <w:rPr>
      <w:rFonts w:hAnsi="Times New Roman" w:eastAsia="宋体"/>
      <w:kern w:val="2"/>
      <w:sz w:val="21"/>
      <w:szCs w:val="24"/>
    </w:rPr>
  </w:style>
  <w:style w:type="character" w:customStyle="1" w:styleId="39">
    <w:name w:val="标题 7 Char"/>
    <w:link w:val="9"/>
    <w:qFormat/>
    <w:uiPriority w:val="0"/>
    <w:rPr>
      <w:rFonts w:ascii="Arial" w:hAnsi="Arial"/>
      <w:b/>
      <w:color w:val="000000"/>
      <w:kern w:val="2"/>
      <w:sz w:val="15"/>
    </w:rPr>
  </w:style>
  <w:style w:type="character" w:customStyle="1" w:styleId="40">
    <w:name w:val="标题 5 Char"/>
    <w:link w:val="7"/>
    <w:qFormat/>
    <w:uiPriority w:val="0"/>
    <w:rPr>
      <w:rFonts w:ascii="Arial Unicode MS" w:hAnsi="Arial Unicode MS"/>
      <w:bCs/>
      <w:kern w:val="2"/>
      <w:sz w:val="24"/>
      <w:szCs w:val="24"/>
    </w:rPr>
  </w:style>
  <w:style w:type="character" w:customStyle="1" w:styleId="41">
    <w:name w:val="标题 2 Char"/>
    <w:link w:val="4"/>
    <w:qFormat/>
    <w:uiPriority w:val="9"/>
    <w:rPr>
      <w:rFonts w:ascii="Times New Roman" w:hAnsi="Times New Roman" w:eastAsia="宋体"/>
      <w:b/>
      <w:bCs/>
      <w:sz w:val="24"/>
      <w:szCs w:val="32"/>
    </w:rPr>
  </w:style>
  <w:style w:type="character" w:customStyle="1" w:styleId="42">
    <w:name w:val="标题 9 Char"/>
    <w:link w:val="11"/>
    <w:qFormat/>
    <w:uiPriority w:val="0"/>
    <w:rPr>
      <w:rFonts w:ascii="Arial" w:hAnsi="Arial" w:eastAsia="黑体"/>
      <w:kern w:val="2"/>
      <w:sz w:val="21"/>
      <w:szCs w:val="21"/>
    </w:rPr>
  </w:style>
  <w:style w:type="character" w:customStyle="1" w:styleId="43">
    <w:name w:val="标题 6 Char"/>
    <w:link w:val="8"/>
    <w:qFormat/>
    <w:uiPriority w:val="0"/>
    <w:rPr>
      <w:rFonts w:ascii="Arial Unicode MS" w:hAnsi="Arial Unicode MS"/>
      <w:bCs/>
      <w:kern w:val="2"/>
      <w:sz w:val="24"/>
      <w:szCs w:val="24"/>
    </w:rPr>
  </w:style>
  <w:style w:type="character" w:customStyle="1" w:styleId="44">
    <w:name w:val="标题 4 Char"/>
    <w:link w:val="6"/>
    <w:qFormat/>
    <w:uiPriority w:val="0"/>
    <w:rPr>
      <w:rFonts w:ascii="Arial" w:hAnsi="Arial"/>
      <w:bCs/>
      <w:kern w:val="2"/>
      <w:sz w:val="24"/>
      <w:szCs w:val="28"/>
    </w:rPr>
  </w:style>
  <w:style w:type="character" w:customStyle="1" w:styleId="45">
    <w:name w:val="标题 8 Char"/>
    <w:link w:val="10"/>
    <w:qFormat/>
    <w:uiPriority w:val="0"/>
    <w:rPr>
      <w:rFonts w:ascii="仿宋_GB2312" w:eastAsia="仿宋_GB2312"/>
      <w:b/>
      <w:kern w:val="2"/>
      <w:sz w:val="24"/>
    </w:rPr>
  </w:style>
  <w:style w:type="character" w:customStyle="1" w:styleId="46">
    <w:name w:val="标题 Char"/>
    <w:link w:val="27"/>
    <w:qFormat/>
    <w:uiPriority w:val="0"/>
    <w:rPr>
      <w:rFonts w:ascii="Cambria" w:hAnsi="Cambria"/>
      <w:b/>
      <w:bCs/>
      <w:kern w:val="2"/>
      <w:sz w:val="32"/>
      <w:szCs w:val="32"/>
    </w:rPr>
  </w:style>
  <w:style w:type="paragraph" w:customStyle="1" w:styleId="47">
    <w:name w:val="title12"/>
    <w:basedOn w:val="1"/>
    <w:qFormat/>
    <w:uiPriority w:val="0"/>
    <w:pPr>
      <w:spacing w:before="150"/>
      <w:jc w:val="left"/>
    </w:pPr>
    <w:rPr>
      <w:b/>
      <w:sz w:val="22"/>
      <w:szCs w:val="22"/>
    </w:rPr>
  </w:style>
  <w:style w:type="paragraph" w:customStyle="1" w:styleId="48">
    <w:name w:val="正文文本1"/>
    <w:basedOn w:val="1"/>
    <w:qFormat/>
    <w:uiPriority w:val="0"/>
    <w:pPr>
      <w:spacing w:after="220"/>
      <w:ind w:firstLine="340"/>
    </w:pPr>
    <w:rPr>
      <w:rFonts w:cs="宋体"/>
      <w:color w:val="0000FF"/>
      <w:sz w:val="20"/>
      <w:lang w:val="zh-CN" w:bidi="zh-CN"/>
    </w:rPr>
  </w:style>
  <w:style w:type="character" w:customStyle="1" w:styleId="49">
    <w:name w:val="正文文本 Char"/>
    <w:basedOn w:val="32"/>
    <w:link w:val="15"/>
    <w:qFormat/>
    <w:uiPriority w:val="0"/>
    <w:rPr>
      <w:rFonts w:hint="eastAsia" w:ascii="宋体" w:hAnsi="Calibri" w:eastAsia="宋体" w:cs="宋体"/>
      <w:sz w:val="24"/>
    </w:rPr>
  </w:style>
  <w:style w:type="character" w:customStyle="1" w:styleId="50">
    <w:name w:val="页脚 Char"/>
    <w:basedOn w:val="32"/>
    <w:link w:val="20"/>
    <w:qFormat/>
    <w:uiPriority w:val="0"/>
    <w:rPr>
      <w:rFonts w:hint="eastAsia" w:ascii="宋体" w:hAnsi="宋体" w:eastAsia="宋体" w:cs="宋体"/>
      <w:sz w:val="18"/>
      <w:szCs w:val="18"/>
    </w:rPr>
  </w:style>
  <w:style w:type="paragraph" w:customStyle="1" w:styleId="51">
    <w:name w:val="正文缩进1"/>
    <w:basedOn w:val="1"/>
    <w:qFormat/>
    <w:uiPriority w:val="0"/>
    <w:pPr>
      <w:ind w:firstLine="420" w:firstLineChars="200"/>
    </w:pPr>
    <w:rPr>
      <w:rFonts w:hint="eastAsia" w:hAnsi="Times New Roman"/>
      <w:sz w:val="24"/>
    </w:rPr>
  </w:style>
  <w:style w:type="character" w:customStyle="1" w:styleId="52">
    <w:name w:val="正文文本 字符1"/>
    <w:basedOn w:val="32"/>
    <w:qFormat/>
    <w:uiPriority w:val="0"/>
    <w:rPr>
      <w:rFonts w:hint="eastAsia" w:ascii="宋体" w:hAnsi="宋体" w:eastAsia="宋体" w:cs="宋体"/>
      <w:sz w:val="24"/>
    </w:rPr>
  </w:style>
  <w:style w:type="character" w:customStyle="1" w:styleId="53">
    <w:name w:val="批注文字 字符1"/>
    <w:basedOn w:val="32"/>
    <w:qFormat/>
    <w:uiPriority w:val="0"/>
    <w:rPr>
      <w:rFonts w:hint="eastAsia" w:ascii="宋体" w:hAnsi="宋体" w:eastAsia="宋体" w:cs="宋体"/>
      <w:sz w:val="24"/>
    </w:rPr>
  </w:style>
  <w:style w:type="character" w:customStyle="1" w:styleId="54">
    <w:name w:val="批注文字 Char"/>
    <w:basedOn w:val="32"/>
    <w:link w:val="14"/>
    <w:qFormat/>
    <w:uiPriority w:val="0"/>
    <w:rPr>
      <w:kern w:val="2"/>
      <w:sz w:val="21"/>
      <w:szCs w:val="24"/>
    </w:rPr>
  </w:style>
  <w:style w:type="paragraph" w:customStyle="1" w:styleId="55">
    <w:name w:val="Table Paragraph"/>
    <w:basedOn w:val="1"/>
    <w:qFormat/>
    <w:uiPriority w:val="0"/>
    <w:pPr>
      <w:autoSpaceDE w:val="0"/>
      <w:autoSpaceDN w:val="0"/>
      <w:adjustRightInd w:val="0"/>
      <w:jc w:val="left"/>
    </w:pPr>
    <w:rPr>
      <w:rFonts w:ascii="Times New Roman" w:hAnsi="Times New Roman"/>
      <w:sz w:val="24"/>
      <w:szCs w:val="24"/>
    </w:rPr>
  </w:style>
  <w:style w:type="character" w:customStyle="1" w:styleId="56">
    <w:name w:val="Char Char"/>
    <w:qFormat/>
    <w:uiPriority w:val="0"/>
    <w:rPr>
      <w:sz w:val="18"/>
      <w:szCs w:val="18"/>
    </w:rPr>
  </w:style>
  <w:style w:type="character" w:customStyle="1" w:styleId="57">
    <w:name w:val="批注框文本 Char"/>
    <w:basedOn w:val="32"/>
    <w:link w:val="19"/>
    <w:qFormat/>
    <w:uiPriority w:val="0"/>
    <w:rPr>
      <w:rFonts w:ascii="宋体" w:hAnsi="宋体"/>
      <w:sz w:val="18"/>
      <w:szCs w:val="18"/>
    </w:rPr>
  </w:style>
  <w:style w:type="paragraph" w:customStyle="1" w:styleId="58">
    <w:name w:val="表格文字"/>
    <w:basedOn w:val="1"/>
    <w:qFormat/>
    <w:uiPriority w:val="99"/>
    <w:pPr>
      <w:spacing w:before="25" w:after="25"/>
      <w:jc w:val="left"/>
    </w:pPr>
    <w:rPr>
      <w:rFonts w:asciiTheme="minorHAnsi" w:hAnsiTheme="minorHAnsi" w:eastAsiaTheme="minorEastAsia" w:cstheme="minorBidi"/>
      <w:bCs/>
      <w:spacing w:val="10"/>
      <w:sz w:val="24"/>
      <w:szCs w:val="24"/>
    </w:rPr>
  </w:style>
  <w:style w:type="character" w:customStyle="1" w:styleId="59">
    <w:name w:val="批注主题 Char"/>
    <w:basedOn w:val="54"/>
    <w:link w:val="28"/>
    <w:qFormat/>
    <w:uiPriority w:val="0"/>
    <w:rPr>
      <w:rFonts w:ascii="宋体" w:hAnsi="宋体"/>
      <w:b/>
      <w:bCs/>
      <w:kern w:val="2"/>
      <w:sz w:val="21"/>
      <w:szCs w:val="24"/>
    </w:rPr>
  </w:style>
  <w:style w:type="character" w:customStyle="1" w:styleId="60">
    <w:name w:val="font5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28921</Words>
  <Characters>31338</Characters>
  <Lines>298</Lines>
  <Paragraphs>84</Paragraphs>
  <TotalTime>9</TotalTime>
  <ScaleCrop>false</ScaleCrop>
  <LinksUpToDate>false</LinksUpToDate>
  <CharactersWithSpaces>33842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2022-10-21T09:17:00Z</dcterms:created>
  <dc:creator>郭颖</dc:creator>
  <cp:lastModifiedBy>NTKO</cp:lastModifiedBy>
  <cp:lastPrinted>2023-04-06T10:33:38Z</cp:lastPrinted>
  <dcterms:modified xsi:type="dcterms:W3CDTF">2023-04-06T10:33:47Z</dcterms:modified>
  <dc:title>政府采购货物和服务项目</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313B517528F242EDAAAC4E6C9AE3D9C8</vt:lpwstr>
  </property>
</Properties>
</file>