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line="360" w:lineRule="auto"/>
        <w:ind w:right="-22" w:firstLine="0" w:firstLineChars="0"/>
        <w:jc w:val="center"/>
        <w:textAlignment w:val="baseline"/>
        <w:outlineLvl w:val="0"/>
        <w:rPr>
          <w:rFonts w:ascii="宋体" w:hAnsi="宋体" w:cs="宋体"/>
          <w:color w:val="000000" w:themeColor="text1"/>
          <w:sz w:val="36"/>
          <w:szCs w:val="36"/>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采购内容及要求</w:t>
      </w:r>
    </w:p>
    <w:p>
      <w:pPr>
        <w:pStyle w:val="4"/>
        <w:spacing w:before="0" w:after="0" w:line="360" w:lineRule="auto"/>
        <w:rPr>
          <w:rFonts w:ascii="宋体" w:hAnsi="宋体" w:eastAsia="宋体" w:cs="宋体"/>
          <w:color w:val="000000" w:themeColor="text1"/>
          <w:szCs w:val="24"/>
          <w14:textFill>
            <w14:solidFill>
              <w14:schemeClr w14:val="tx1"/>
            </w14:solidFill>
          </w14:textFill>
        </w:rPr>
      </w:pPr>
      <w:bookmarkStart w:id="0" w:name="_Toc4391"/>
      <w:r>
        <w:rPr>
          <w:rFonts w:hint="eastAsia" w:ascii="宋体" w:hAnsi="宋体" w:eastAsia="宋体" w:cs="宋体"/>
          <w:color w:val="000000" w:themeColor="text1"/>
          <w:szCs w:val="24"/>
          <w14:textFill>
            <w14:solidFill>
              <w14:schemeClr w14:val="tx1"/>
            </w14:solidFill>
          </w14:textFill>
        </w:rPr>
        <w:t>一、采购内容及技术参数</w:t>
      </w:r>
      <w:bookmarkEnd w:id="0"/>
    </w:p>
    <w:p>
      <w:pPr>
        <w:pStyle w:val="5"/>
        <w:spacing w:before="0" w:after="0"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 采购内容</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的工作目标，主要是针对渭城区文物保护中心文物库房、展厅的文物保存环境现状及实际需求，配置离线手持温、湿度环境检测设备、配置文物储藏柜架、文物囊匣等藏储设施，改善文物储藏条件；针对展厅及库房进行展柜密封胶条更换以及展厅、库房灯光更换，改善提升文物展示储藏条件，形成预防性风险管理机制，有效提升渭城区文物保护中心文物预防性保护能力。</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项目的主要任务是：</w:t>
      </w:r>
    </w:p>
    <w:p>
      <w:pPr>
        <w:pStyle w:val="2"/>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1、针对当前库房文物保存设施现状，为改造和提升文物保存设施条件，为文物库房配置一批符合要求的文物专用储藏柜架；</w:t>
      </w:r>
    </w:p>
    <w:p>
      <w:pPr>
        <w:pStyle w:val="2"/>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2、为珍贵文物设计制作144个文物专用囊匣；</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3、配备必要的手持式温湿度检测仪器，用于定期检测和评估文物保存环境；</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4、展柜密封条更换，提高展柜密封性，努力达到展柜内文物微环境的稳定环境，同时针对展厅及库房内灯光进行更换，使用无紫外线辐射的LED灯光；</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5、制定藏品与资料预防性保护管理制度，设立相关岗位职责，形成藏品与资料保护管理、协调、监测、分析、处理、预案等一系列风险预控机制，全面提升馆藏文物与资料预防性保护水平。</w:t>
      </w:r>
    </w:p>
    <w:p>
      <w:pPr>
        <w:pStyle w:val="5"/>
        <w:spacing w:before="120" w:after="1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1.2 技术参数</w:t>
      </w:r>
    </w:p>
    <w:tbl>
      <w:tblPr>
        <w:tblStyle w:val="6"/>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10"/>
        <w:gridCol w:w="992"/>
        <w:gridCol w:w="5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序号</w:t>
            </w:r>
          </w:p>
        </w:tc>
        <w:tc>
          <w:tcPr>
            <w:tcW w:w="2310"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采购项名称</w:t>
            </w:r>
          </w:p>
        </w:tc>
        <w:tc>
          <w:tcPr>
            <w:tcW w:w="992"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数量</w:t>
            </w:r>
          </w:p>
        </w:tc>
        <w:tc>
          <w:tcPr>
            <w:tcW w:w="5510" w:type="dxa"/>
            <w:vAlign w:val="center"/>
          </w:tcPr>
          <w:p>
            <w:pPr>
              <w:widowControl/>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1</w:t>
            </w:r>
          </w:p>
        </w:tc>
        <w:tc>
          <w:tcPr>
            <w:tcW w:w="8812" w:type="dxa"/>
            <w:gridSpan w:val="3"/>
            <w:vAlign w:val="center"/>
          </w:tcPr>
          <w:p>
            <w:pPr>
              <w:widowControl/>
              <w:jc w:val="left"/>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环境巡检设备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1.1</w:t>
            </w:r>
          </w:p>
        </w:tc>
        <w:tc>
          <w:tcPr>
            <w:tcW w:w="2310"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便携式温湿度检测仪</w:t>
            </w:r>
          </w:p>
        </w:tc>
        <w:tc>
          <w:tcPr>
            <w:tcW w:w="99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2</w:t>
            </w:r>
            <w:r>
              <w:rPr>
                <w:rFonts w:hint="eastAsia" w:cs="宋体" w:asciiTheme="minorEastAsia" w:hAnsiTheme="minorEastAsia" w:eastAsiaTheme="minorEastAsia"/>
                <w:color w:val="000000" w:themeColor="text1"/>
                <w:szCs w:val="21"/>
                <w14:textFill>
                  <w14:solidFill>
                    <w14:schemeClr w14:val="tx1"/>
                  </w14:solidFill>
                </w14:textFill>
              </w:rPr>
              <w:t>台</w:t>
            </w:r>
          </w:p>
        </w:tc>
        <w:tc>
          <w:tcPr>
            <w:tcW w:w="5510" w:type="dxa"/>
            <w:vAlign w:val="center"/>
          </w:tcPr>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测量范围：-</w:t>
            </w:r>
            <w:r>
              <w:rPr>
                <w:rFonts w:asciiTheme="minorEastAsia" w:hAnsiTheme="minorEastAsia" w:eastAsiaTheme="minorEastAsia"/>
                <w:color w:val="000000" w:themeColor="text1"/>
                <w:szCs w:val="21"/>
                <w14:textFill>
                  <w14:solidFill>
                    <w14:schemeClr w14:val="tx1"/>
                  </w14:solidFill>
                </w14:textFill>
              </w:rPr>
              <w:t>10</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60</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100 %</w:t>
            </w:r>
            <w:r>
              <w:rPr>
                <w:rFonts w:hint="eastAsia" w:asciiTheme="minorEastAsia" w:hAnsiTheme="minorEastAsia" w:eastAsiaTheme="minorEastAsia"/>
                <w:color w:val="000000" w:themeColor="text1"/>
                <w:szCs w:val="21"/>
                <w14:textFill>
                  <w14:solidFill>
                    <w14:schemeClr w14:val="tx1"/>
                  </w14:solidFill>
                </w14:textFill>
              </w:rPr>
              <w:t>RH</w:t>
            </w:r>
          </w:p>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精度优于±2％RH /0.2K；</w:t>
            </w:r>
          </w:p>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分辨率0.1％RH /0.1℃；</w:t>
            </w:r>
          </w:p>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长期稳定性＜1％RH。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1.2</w:t>
            </w:r>
          </w:p>
        </w:tc>
        <w:tc>
          <w:tcPr>
            <w:tcW w:w="2310"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温湿度记录仪</w:t>
            </w:r>
          </w:p>
        </w:tc>
        <w:tc>
          <w:tcPr>
            <w:tcW w:w="99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5</w:t>
            </w:r>
            <w:r>
              <w:rPr>
                <w:rFonts w:hint="eastAsia" w:cs="宋体" w:asciiTheme="minorEastAsia" w:hAnsiTheme="minorEastAsia" w:eastAsiaTheme="minorEastAsia"/>
                <w:color w:val="000000" w:themeColor="text1"/>
                <w:szCs w:val="21"/>
                <w14:textFill>
                  <w14:solidFill>
                    <w14:schemeClr w14:val="tx1"/>
                  </w14:solidFill>
                </w14:textFill>
              </w:rPr>
              <w:t>台</w:t>
            </w:r>
          </w:p>
        </w:tc>
        <w:tc>
          <w:tcPr>
            <w:tcW w:w="5510" w:type="dxa"/>
            <w:vAlign w:val="center"/>
          </w:tcPr>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配</w:t>
            </w:r>
            <w:r>
              <w:rPr>
                <w:rFonts w:asciiTheme="minorEastAsia" w:hAnsiTheme="minorEastAsia" w:eastAsiaTheme="minorEastAsia"/>
                <w:color w:val="000000" w:themeColor="text1"/>
                <w:szCs w:val="21"/>
                <w14:textFill>
                  <w14:solidFill>
                    <w14:schemeClr w14:val="tx1"/>
                  </w14:solidFill>
                </w14:textFill>
              </w:rPr>
              <w:t>温湿度记录仪软件</w:t>
            </w:r>
            <w:r>
              <w:rPr>
                <w:rFonts w:hint="eastAsia" w:asciiTheme="minorEastAsia" w:hAnsiTheme="minorEastAsia" w:eastAsiaTheme="minorEastAsia"/>
                <w:color w:val="000000" w:themeColor="text1"/>
                <w:szCs w:val="21"/>
                <w14:textFill>
                  <w14:solidFill>
                    <w14:schemeClr w14:val="tx1"/>
                  </w14:solidFill>
                </w14:textFill>
              </w:rPr>
              <w:t>1套；</w:t>
            </w:r>
          </w:p>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测量范围：-2</w:t>
            </w:r>
            <w:r>
              <w:rPr>
                <w:rFonts w:asciiTheme="minorEastAsia" w:hAnsiTheme="minorEastAsia" w:eastAsia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14:textFill>
                  <w14:solidFill>
                    <w14:schemeClr w14:val="tx1"/>
                  </w14:solidFill>
                </w14:textFill>
              </w:rPr>
              <w:t>～55℃/</w:t>
            </w:r>
            <w:r>
              <w:rPr>
                <w:rFonts w:asciiTheme="minorEastAsia" w:hAnsiTheme="minorEastAsia" w:eastAsia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100 %</w:t>
            </w:r>
            <w:r>
              <w:rPr>
                <w:rFonts w:hint="eastAsia" w:asciiTheme="minorEastAsia" w:hAnsiTheme="minorEastAsia" w:eastAsiaTheme="minorEastAsia"/>
                <w:color w:val="000000" w:themeColor="text1"/>
                <w:szCs w:val="21"/>
                <w14:textFill>
                  <w14:solidFill>
                    <w14:schemeClr w14:val="tx1"/>
                  </w14:solidFill>
                </w14:textFill>
              </w:rPr>
              <w:t>RH；</w:t>
            </w:r>
          </w:p>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精度优于±2％RH /0.4K；</w:t>
            </w:r>
          </w:p>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分辨率0.1％RH /0.1℃；</w:t>
            </w:r>
          </w:p>
          <w:p>
            <w:pPr>
              <w:widowControl/>
              <w:numPr>
                <w:ilvl w:val="0"/>
                <w:numId w:val="1"/>
              </w:num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储存容量：100万个数据。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2</w:t>
            </w:r>
          </w:p>
        </w:tc>
        <w:tc>
          <w:tcPr>
            <w:tcW w:w="8812" w:type="dxa"/>
            <w:gridSpan w:val="3"/>
            <w:vAlign w:val="center"/>
          </w:tcPr>
          <w:p>
            <w:pPr>
              <w:widowControl/>
              <w:jc w:val="left"/>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文物囊匣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18" w:type="dxa"/>
            <w:gridSpan w:val="4"/>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1、囊匣整体要求：</w:t>
            </w:r>
          </w:p>
          <w:p>
            <w:pPr>
              <w:numPr>
                <w:ilvl w:val="0"/>
                <w:numId w:val="2"/>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整体设计合理、实用，结构稳固，美观大方。方便使用，便于文物存取和移动。</w:t>
            </w:r>
          </w:p>
          <w:p>
            <w:pPr>
              <w:numPr>
                <w:ilvl w:val="0"/>
                <w:numId w:val="2"/>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扣合紧密；对外力或冲击有良好的缓冲作用。</w:t>
            </w:r>
          </w:p>
          <w:p>
            <w:pPr>
              <w:numPr>
                <w:ilvl w:val="0"/>
                <w:numId w:val="2"/>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符合</w:t>
            </w:r>
            <w:r>
              <w:rPr>
                <w:rFonts w:asciiTheme="minorEastAsia" w:hAnsiTheme="minorEastAsia" w:eastAsiaTheme="minorEastAsia"/>
                <w:color w:val="000000" w:themeColor="text1"/>
                <w:szCs w:val="21"/>
                <w14:textFill>
                  <w14:solidFill>
                    <w14:schemeClr w14:val="tx1"/>
                  </w14:solidFill>
                </w14:textFill>
              </w:rPr>
              <w:t>GB/T 4857.</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2008静载荷堆码试验、</w:t>
            </w:r>
            <w:r>
              <w:rPr>
                <w:rFonts w:asciiTheme="minorEastAsia" w:hAnsiTheme="minorEastAsia" w:eastAsiaTheme="minorEastAsia"/>
                <w:color w:val="000000" w:themeColor="text1"/>
                <w:szCs w:val="21"/>
                <w14:textFill>
                  <w14:solidFill>
                    <w14:schemeClr w14:val="tx1"/>
                  </w14:solidFill>
                </w14:textFill>
              </w:rPr>
              <w:t>GB/T 4857.</w:t>
            </w: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2008压力试验、 </w:t>
            </w:r>
            <w:r>
              <w:rPr>
                <w:rFonts w:asciiTheme="minorEastAsia" w:hAnsiTheme="minorEastAsia" w:eastAsiaTheme="minorEastAsia"/>
                <w:color w:val="000000" w:themeColor="text1"/>
                <w:szCs w:val="21"/>
                <w14:textFill>
                  <w14:solidFill>
                    <w14:schemeClr w14:val="tx1"/>
                  </w14:solidFill>
                </w14:textFill>
              </w:rPr>
              <w:t>GB/T 4857.5-1992</w:t>
            </w:r>
            <w:r>
              <w:rPr>
                <w:rFonts w:hint="eastAsia" w:asciiTheme="minorEastAsia" w:hAnsiTheme="minorEastAsia" w:eastAsiaTheme="minorEastAsia"/>
                <w:color w:val="000000" w:themeColor="text1"/>
                <w:szCs w:val="21"/>
                <w14:textFill>
                  <w14:solidFill>
                    <w14:schemeClr w14:val="tx1"/>
                  </w14:solidFill>
                </w14:textFill>
              </w:rPr>
              <w:t>自由落体防撞试验标准，实验过程后，盒体不明显变形，不开裂，外观无明显异常。</w:t>
            </w:r>
          </w:p>
          <w:p>
            <w:pPr>
              <w:numPr>
                <w:ilvl w:val="0"/>
                <w:numId w:val="2"/>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表面平整光洁，材料纤维组织和纹理均匀；没有洞眼、残缺、破损、气泡、硬质块、色彩不均匀等材料病症。</w:t>
            </w:r>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制作</w:t>
            </w:r>
            <w:r>
              <w:rPr>
                <w:rFonts w:hint="eastAsia" w:asciiTheme="minorEastAsia" w:hAnsiTheme="minorEastAsia" w:eastAsiaTheme="minorEastAsia"/>
                <w:color w:val="000000" w:themeColor="text1"/>
                <w:szCs w:val="21"/>
                <w14:textFill>
                  <w14:solidFill>
                    <w14:schemeClr w14:val="tx1"/>
                  </w14:solidFill>
                </w14:textFill>
              </w:rPr>
              <w:t>囊匣材料：</w:t>
            </w:r>
          </w:p>
          <w:p>
            <w:pPr>
              <w:ind w:left="4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制作囊匣的材料应采用无酸的、中性的、惰性的或化学稳定性好的材料；应为博物馆级的或为业界广泛采用的成熟产品。</w:t>
            </w:r>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囊匣外盒物理性能</w:t>
            </w:r>
          </w:p>
          <w:p>
            <w:pPr>
              <w:numPr>
                <w:ilvl w:val="0"/>
                <w:numId w:val="3"/>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外形设计和制作规矩、齐整；盒壁与盒底的结构能保证足够的牢固性和承重力。盒盖与盒体扣合严密，无翘口或变形。</w:t>
            </w:r>
          </w:p>
          <w:p>
            <w:pPr>
              <w:numPr>
                <w:ilvl w:val="0"/>
                <w:numId w:val="3"/>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囊匣空盒抗压强度：主材为中密度纤维板（澳松板）囊匣的空盒，在承受20kPa压力时，中密度纤维板（澳松板）的囊匣压溃值＞7</w:t>
            </w:r>
            <w:r>
              <w:rPr>
                <w:rFonts w:asciiTheme="minorEastAsia" w:hAnsiTheme="minorEastAsia" w:eastAsiaTheme="minorEastAsia"/>
                <w:color w:val="000000" w:themeColor="text1"/>
                <w:szCs w:val="21"/>
                <w14:textFill>
                  <w14:solidFill>
                    <w14:schemeClr w14:val="tx1"/>
                  </w14:solidFill>
                </w14:textFill>
              </w:rPr>
              <w:t>0000N</w:t>
            </w:r>
            <w:r>
              <w:rPr>
                <w:rFonts w:hint="eastAsia" w:asciiTheme="minorEastAsia" w:hAnsiTheme="minorEastAsia" w:eastAsiaTheme="minorEastAsia"/>
                <w:color w:val="000000" w:themeColor="text1"/>
                <w:szCs w:val="21"/>
                <w14:textFill>
                  <w14:solidFill>
                    <w14:schemeClr w14:val="tx1"/>
                  </w14:solidFill>
                </w14:textFill>
              </w:rPr>
              <w:t>。</w:t>
            </w:r>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扣合：囊匣的扣件或加固件等配件不能损害到文物。扣合应牢固，保证盒盖与四壁密封性良好；开口设计应避免文物从盒中取放不便而造成损害。</w:t>
            </w:r>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囊匣内囊</w:t>
            </w:r>
            <w:r>
              <w:rPr>
                <w:rFonts w:hint="eastAsia" w:asciiTheme="minorEastAsia" w:hAnsiTheme="minorEastAsia" w:eastAsiaTheme="minorEastAsia"/>
                <w:color w:val="000000" w:themeColor="text1"/>
                <w:szCs w:val="21"/>
                <w14:textFill>
                  <w14:solidFill>
                    <w14:schemeClr w14:val="tx1"/>
                  </w14:solidFill>
                </w14:textFill>
              </w:rPr>
              <w:t>：</w:t>
            </w:r>
          </w:p>
          <w:p>
            <w:pPr>
              <w:numPr>
                <w:ilvl w:val="0"/>
                <w:numId w:val="4"/>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内囊是直接接触文物的部分，须使用安全可靠、环保的材料，能充分起到减震和缓冲的防护作用，且对文物不产生有害影响。</w:t>
            </w:r>
          </w:p>
          <w:p>
            <w:pPr>
              <w:numPr>
                <w:ilvl w:val="0"/>
                <w:numId w:val="4"/>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包覆面料：须采用质地柔软细腻、无污染物释放、不易产生霉变的无酸材料、天然材料或优质惰性材料。</w:t>
            </w:r>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填充/缓冲材料：须采用质地柔软、富有弹性、不易产生霉变、不易老化或变形、无有害物质的无酸材料、天然材料或优质惰性材料。</w:t>
            </w:r>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4、囊匣内囊物理性能：</w:t>
            </w:r>
          </w:p>
          <w:p>
            <w:pPr>
              <w:numPr>
                <w:ilvl w:val="0"/>
                <w:numId w:val="5"/>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囊应根据文物的质地、大小和保管方式进行设计，分清受力点，使文物完全贴附内囊，内囊与器物呈六面挤合状的紧致的包裹状态，文物在囊匣里不会产生位移，可以最大限度地防止文物在运输或者搬运时因意外受到冲撞所受到的伤害，达到最大限度保护好文物为目的。</w:t>
            </w:r>
          </w:p>
          <w:p>
            <w:pPr>
              <w:numPr>
                <w:ilvl w:val="0"/>
                <w:numId w:val="5"/>
              </w:num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泡绵内囊：</w:t>
            </w:r>
          </w:p>
          <w:p>
            <w:pPr>
              <w:ind w:left="42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（1）泡绵的软硬度适中；应与藏品呈均匀接触状，物囊吻合，器物于匣内呈稳固状态。</w:t>
            </w:r>
          </w:p>
          <w:p>
            <w:pPr>
              <w:pStyle w:val="2"/>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（2）泡绵表面不直接接触藏品，应包覆柔软纺织物。</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、囊匣盒体主要材料要求：</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无酸棉纸板</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主材（芯板）：无酸棉纸板。文物装具专用纸板。</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（1）pH值：7.2～8.5。</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（1）纤维构成：棉浆纤维≥30%，不含机械浆。</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（2）金属离子：总含量不高于50mg/kg。</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物理指标：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（1）纸板厚度：主材2.4～2.7mm。</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（2）克重：1500～2000g/㎡。</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（3）紧度：0.5～0.8g/cm³。</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（4）抗张强度（纵/横向）：＞33.5/30.0kN/m。</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中密度纤维板（澳松板）:</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环保性指标：甲醛释放量≤0.05mg/ m³，符合GB/T 39600-2021《人造板及其制品甲醛释放量分级》最高标准（E0）。</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物理性指标：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(1)密度≥0.7g/cm³。</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(2)含水率：5.0～8.0%。</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(3)内结合强度:≥0.6MPa。</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宋锦</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囊匣外表包覆材料。无酸、耐折、抗撕拉、耐摩擦；柔韧性好；纹样组织精密细致，风格古雅大方；有立体感和良好质感。</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（1）p</w:t>
            </w:r>
            <w:r>
              <w:rPr>
                <w:rFonts w:asciiTheme="minorEastAsia" w:hAnsiTheme="minorEastAsia" w:eastAsiaTheme="minorEastAsia"/>
                <w:color w:val="000000" w:themeColor="text1"/>
                <w:szCs w:val="21"/>
                <w14:textFill>
                  <w14:solidFill>
                    <w14:schemeClr w14:val="tx1"/>
                  </w14:solidFill>
                </w14:textFill>
              </w:rPr>
              <w:t>H</w:t>
            </w:r>
            <w:r>
              <w:rPr>
                <w:rFonts w:hint="eastAsia" w:asciiTheme="minorEastAsia" w:hAnsiTheme="minorEastAsia" w:eastAsiaTheme="minorEastAsia"/>
                <w:color w:val="000000" w:themeColor="text1"/>
                <w:szCs w:val="21"/>
                <w14:textFill>
                  <w14:solidFill>
                    <w14:schemeClr w14:val="tx1"/>
                  </w14:solidFill>
                </w14:textFill>
              </w:rPr>
              <w:t>值：5</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7.5</w:t>
            </w:r>
            <w:r>
              <w:rPr>
                <w:rFonts w:hint="eastAsia" w:asciiTheme="minorEastAsia" w:hAnsiTheme="minorEastAsia" w:eastAsiaTheme="minorEastAsia"/>
                <w:color w:val="000000" w:themeColor="text1"/>
                <w:szCs w:val="21"/>
                <w14:textFill>
                  <w14:solidFill>
                    <w14:schemeClr w14:val="tx1"/>
                  </w14:solidFill>
                </w14:textFill>
              </w:rPr>
              <w:t>或中性</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物理指标：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（1）耐水色牢度、耐酸/碱汗渍色牢度、耐干摩擦色牢度等项指标：≥3，符合A类标准。</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（2）宋锦纹样：用户选定；定制</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（1）甲醛含量：甲醛含量须符合国家纺织品GB/T2912.1-2009要求，级别A类；</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（2）不含可分解致癌芳香胺染料。</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（3）无异味。</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 xml:space="preserve">无酸棉布: </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无酸性指标：Ph值：≧7.0</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（1）甲醛含量：甲醛含量须符合国家纺织品GB/T2912.1-2009要求，级别A类；</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（2）不含可分解致癌芳香胺染料。</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（3）无异味。</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物理指标：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(1)纤维成分含量：棉含量 100%；</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(2)密度：经向≧</w:t>
            </w:r>
            <w:r>
              <w:rPr>
                <w:rFonts w:asciiTheme="minorEastAsia" w:hAnsiTheme="minorEastAsia" w:eastAsiaTheme="minorEastAsia"/>
                <w:color w:val="000000" w:themeColor="text1"/>
                <w:szCs w:val="21"/>
                <w14:textFill>
                  <w14:solidFill>
                    <w14:schemeClr w14:val="tx1"/>
                  </w14:solidFill>
                </w14:textFill>
              </w:rPr>
              <w:t>580</w:t>
            </w:r>
            <w:r>
              <w:rPr>
                <w:rFonts w:hint="eastAsia" w:asciiTheme="minorEastAsia" w:hAnsiTheme="minorEastAsia" w:eastAsiaTheme="minorEastAsia"/>
                <w:color w:val="000000" w:themeColor="text1"/>
                <w:szCs w:val="21"/>
                <w14:textFill>
                  <w14:solidFill>
                    <w14:schemeClr w14:val="tx1"/>
                  </w14:solidFill>
                </w14:textFill>
              </w:rPr>
              <w:t xml:space="preserve">根/10cm，纬向≧ </w:t>
            </w:r>
            <w:r>
              <w:rPr>
                <w:rFonts w:asciiTheme="minorEastAsia" w:hAnsiTheme="minorEastAsia" w:eastAsiaTheme="minorEastAsia"/>
                <w:color w:val="000000" w:themeColor="text1"/>
                <w:szCs w:val="21"/>
                <w14:textFill>
                  <w14:solidFill>
                    <w14:schemeClr w14:val="tx1"/>
                  </w14:solidFill>
                </w14:textFill>
              </w:rPr>
              <w:t>255</w:t>
            </w:r>
            <w:r>
              <w:rPr>
                <w:rFonts w:hint="eastAsia" w:asciiTheme="minorEastAsia" w:hAnsiTheme="minorEastAsia" w:eastAsiaTheme="minorEastAsia"/>
                <w:color w:val="000000" w:themeColor="text1"/>
                <w:szCs w:val="21"/>
                <w14:textFill>
                  <w14:solidFill>
                    <w14:schemeClr w14:val="tx1"/>
                  </w14:solidFill>
                </w14:textFill>
              </w:rPr>
              <w:t>根/10cm。</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(3)耐水色牢度、耐酸/碱汗渍色牢度、耐干摩擦色牢度等项指标：≥3，符合A类标准。</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超细纤维布</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内囊包覆面料。化学稳定性良好的惰性材料；质地柔软丝滑、透气性和回弹性好、抗霉菌、去污性强。</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（1）pH值6.0～8.0。</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（1）甲醛含量：甲醛含量须符合国家纺织品GB/T2912.1-2009要求，级别A类；</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（2）不含可分解致癌芳香胺染料。</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（3）无异味。</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物理指标：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）耐水色牢度、耐酸/碱汗渍色牢度、耐干摩擦色牢度等项指标：≥3，符合A类标准。</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（2）灰色、耐脏。</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仿丝棉</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超细仿丝棉。以超细中空涤纶短纤维为主要原料制成；丝光细滑、柔软，回弹性好。不发霉、不生虫。</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（1）pH值：6.5～7.0（水提物）</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（1）甲醛含量：不含。</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（2）不含可分解致癌芳香胺染料。</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（3）无异味。</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物理指标：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）耐水色牢度、耐酸/碱汗渍色牢度、耐干摩擦色牢度等项指标：≥3，符合A类标准。</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无酸卡纸板:</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无酸性指标：pH值8.4～8.7。</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（1）不含游离和水解的甲醛。</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（2）纤维构成：纯木浆纤维（化学浆），无废旧浆（检测报告的纤维配比中如含有“机械浆”，可判定为废旧浆）。</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物理指标：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（1）厚度：0.6</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～0.</w:t>
            </w: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 xml:space="preserve">mm。 </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（2）克重：54</w:t>
            </w:r>
            <w:r>
              <w:rPr>
                <w:rFonts w:asciiTheme="minorEastAsia" w:hAnsiTheme="minorEastAsia" w:eastAsia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60</w:t>
            </w:r>
            <w:r>
              <w:rPr>
                <w:rFonts w:hint="eastAsia" w:asciiTheme="minorEastAsia" w:hAnsiTheme="minorEastAsia" w:eastAsiaTheme="minorEastAsia"/>
                <w:color w:val="000000" w:themeColor="text1"/>
                <w:szCs w:val="21"/>
                <w14:textFill>
                  <w14:solidFill>
                    <w14:schemeClr w14:val="tx1"/>
                  </w14:solidFill>
                </w14:textFill>
              </w:rPr>
              <w:t>g/㎡。</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（3）紧度：0.80～0.88g/cm3。</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（4）抗张强度（纵/横向）：≥30.0/17.7kN/m。</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（5）卡伯值（硬度）：＜1.2。</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环保PE泡绵（电子交联P</w:t>
            </w:r>
            <w:r>
              <w:rPr>
                <w:rFonts w:asciiTheme="minorEastAsia" w:hAnsiTheme="minorEastAsia" w:eastAsiaTheme="minorEastAsia"/>
                <w:b/>
                <w:bCs/>
                <w:color w:val="000000" w:themeColor="text1"/>
                <w:szCs w:val="21"/>
                <w14:textFill>
                  <w14:solidFill>
                    <w14:schemeClr w14:val="tx1"/>
                  </w14:solidFill>
                </w14:textFill>
              </w:rPr>
              <w:t>E</w:t>
            </w:r>
            <w:r>
              <w:rPr>
                <w:rFonts w:hint="eastAsia" w:asciiTheme="minorEastAsia" w:hAnsiTheme="minorEastAsia" w:eastAsiaTheme="minorEastAsia"/>
                <w:b/>
                <w:bCs/>
                <w:color w:val="000000" w:themeColor="text1"/>
                <w:szCs w:val="21"/>
                <w14:textFill>
                  <w14:solidFill>
                    <w14:schemeClr w14:val="tx1"/>
                  </w14:solidFill>
                </w14:textFill>
              </w:rPr>
              <w:t>泡棉）:</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使用物理发泡技术生产的PE泡绵，不使用化学发泡剂。无毒、无臭、无污染物质析出，化学稳 定性好；不易老化和变色。</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无酸性指标：pH值6.0～7.0。</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(1)不含甲醛。</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(2)不含苯类、醚类、重金属等物质。</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文保专用白胶（无酸白胶）:</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胶粘性能好，不发脆，不发霉；有适度韧性；无刺激性异味。</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无酸性指标：pH值7.0～9.0。</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（1）不含甲醛、苯类物质；</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（2）不含增塑剂（</w:t>
            </w:r>
            <w:r>
              <w:rPr>
                <w:rFonts w:asciiTheme="minorEastAsia" w:hAnsiTheme="minorEastAsia" w:eastAsiaTheme="minorEastAsia"/>
                <w:color w:val="000000" w:themeColor="text1"/>
                <w:szCs w:val="21"/>
                <w14:textFill>
                  <w14:solidFill>
                    <w14:schemeClr w14:val="tx1"/>
                  </w14:solidFill>
                </w14:textFill>
              </w:rPr>
              <w:t>DBP</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BBP</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DEHP</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DINP</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DNOP</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DIDP</w:t>
            </w:r>
            <w:r>
              <w:rPr>
                <w:rFonts w:hint="eastAsia" w:asciiTheme="minorEastAsia" w:hAnsiTheme="minorEastAsia" w:eastAsiaTheme="minorEastAsia"/>
                <w:color w:val="000000" w:themeColor="text1"/>
                <w:szCs w:val="21"/>
                <w14:textFill>
                  <w14:solidFill>
                    <w14:schemeClr w14:val="tx1"/>
                  </w14:solidFill>
                </w14:textFill>
              </w:rPr>
              <w:t>等）</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（3）不含金属离子（铜、铁）。</w:t>
            </w: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热熔胶（E</w:t>
            </w:r>
            <w:r>
              <w:rPr>
                <w:rFonts w:asciiTheme="minorEastAsia" w:hAnsiTheme="minorEastAsia" w:eastAsiaTheme="minorEastAsia"/>
                <w:b/>
                <w:bCs/>
                <w:color w:val="000000" w:themeColor="text1"/>
                <w:szCs w:val="21"/>
                <w14:textFill>
                  <w14:solidFill>
                    <w14:schemeClr w14:val="tx1"/>
                  </w14:solidFill>
                </w14:textFill>
              </w:rPr>
              <w:t>VA</w:t>
            </w:r>
            <w:r>
              <w:rPr>
                <w:rFonts w:hint="eastAsia" w:asciiTheme="minorEastAsia" w:hAnsiTheme="minorEastAsia" w:eastAsiaTheme="minorEastAsia"/>
                <w:b/>
                <w:bCs/>
                <w:color w:val="000000" w:themeColor="text1"/>
                <w:szCs w:val="21"/>
                <w14:textFill>
                  <w14:solidFill>
                    <w14:schemeClr w14:val="tx1"/>
                  </w14:solidFill>
                </w14:textFill>
              </w:rPr>
              <w:t>）</w:t>
            </w:r>
          </w:p>
          <w:p>
            <w:pPr>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环保型EVA热熔胶。高纯度EVA材料，透明，无臭，无毒，无腐蚀性；热稳定性好，无炭化现象。</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无酸性指标：pH值</w:t>
            </w: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.0～</w:t>
            </w: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.0。</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环保性指标：</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（1）不含增塑剂（DBP、BBP、DEHP、DINP、DNOP、DIDP等）。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序号</w:t>
            </w:r>
          </w:p>
        </w:tc>
        <w:tc>
          <w:tcPr>
            <w:tcW w:w="2310"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名称</w:t>
            </w:r>
          </w:p>
        </w:tc>
        <w:tc>
          <w:tcPr>
            <w:tcW w:w="992" w:type="dxa"/>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数量</w:t>
            </w:r>
          </w:p>
        </w:tc>
        <w:tc>
          <w:tcPr>
            <w:tcW w:w="5510" w:type="dxa"/>
            <w:vAlign w:val="center"/>
          </w:tcPr>
          <w:p>
            <w:pPr>
              <w:pStyle w:val="2"/>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规格（mm）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1</w:t>
            </w:r>
          </w:p>
        </w:tc>
        <w:tc>
          <w:tcPr>
            <w:tcW w:w="2310"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992"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120</w:t>
            </w:r>
            <w:r>
              <w:rPr>
                <w:rFonts w:hint="eastAsia" w:asciiTheme="minorEastAsia" w:hAnsiTheme="minorEastAsia" w:eastAsiaTheme="minorEastAsia"/>
                <w:color w:val="000000" w:themeColor="text1"/>
                <w:szCs w:val="21"/>
                <w14:textFill>
                  <w14:solidFill>
                    <w14:schemeClr w14:val="tx1"/>
                  </w14:solidFill>
                </w14:textFill>
              </w:rPr>
              <w:t>个</w:t>
            </w:r>
          </w:p>
        </w:tc>
        <w:tc>
          <w:tcPr>
            <w:tcW w:w="5510" w:type="dxa"/>
            <w:vAlign w:val="center"/>
          </w:tcPr>
          <w:p>
            <w:pPr>
              <w:pStyle w:val="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详见附件文物囊匣清单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w:t>
            </w:r>
          </w:p>
        </w:tc>
        <w:tc>
          <w:tcPr>
            <w:tcW w:w="2310"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992"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24</w:t>
            </w:r>
            <w:r>
              <w:rPr>
                <w:rFonts w:hint="eastAsia" w:asciiTheme="minorEastAsia" w:hAnsiTheme="minorEastAsia" w:eastAsiaTheme="minorEastAsia"/>
                <w:color w:val="000000" w:themeColor="text1"/>
                <w:szCs w:val="21"/>
                <w14:textFill>
                  <w14:solidFill>
                    <w14:schemeClr w14:val="tx1"/>
                  </w14:solidFill>
                </w14:textFill>
              </w:rPr>
              <w:t>个</w:t>
            </w:r>
          </w:p>
        </w:tc>
        <w:tc>
          <w:tcPr>
            <w:tcW w:w="5510" w:type="dxa"/>
            <w:vAlign w:val="center"/>
          </w:tcPr>
          <w:p>
            <w:pPr>
              <w:pStyle w:val="2"/>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详见附件文物囊匣清单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三</w:t>
            </w:r>
          </w:p>
        </w:tc>
        <w:tc>
          <w:tcPr>
            <w:tcW w:w="8812" w:type="dxa"/>
            <w:gridSpan w:val="3"/>
            <w:vAlign w:val="center"/>
          </w:tcPr>
          <w:p>
            <w:pPr>
              <w:widowControl/>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文物储藏柜架及材料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w:t>
            </w:r>
          </w:p>
        </w:tc>
        <w:tc>
          <w:tcPr>
            <w:tcW w:w="2310"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多功能文物储藏柜</w:t>
            </w:r>
          </w:p>
        </w:tc>
        <w:tc>
          <w:tcPr>
            <w:tcW w:w="99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24</w:t>
            </w:r>
            <w:r>
              <w:rPr>
                <w:rFonts w:hint="eastAsia" w:cs="宋体" w:asciiTheme="minorEastAsia" w:hAnsiTheme="minorEastAsia" w:eastAsiaTheme="minorEastAsia"/>
                <w:color w:val="000000" w:themeColor="text1"/>
                <w:szCs w:val="21"/>
                <w14:textFill>
                  <w14:solidFill>
                    <w14:schemeClr w14:val="tx1"/>
                  </w14:solidFill>
                </w14:textFill>
              </w:rPr>
              <w:t>台</w:t>
            </w:r>
          </w:p>
        </w:tc>
        <w:tc>
          <w:tcPr>
            <w:tcW w:w="5510" w:type="dxa"/>
            <w:vAlign w:val="center"/>
          </w:tcPr>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1．规格：长1200*深800*高2200mm；</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内部结构：文物储藏柜每套设备5层文物存放台，设备分为上下两层门；文物存放台（存放台为整块钢板，不许有焊接及任何固定配件）内安装15mm厚的香樟木板外包亚麻布或纯棉布（香樟木可起到防虫、防潮、防腐等功效，外包亚麻布或纯棉布可减少文物与木质之间的摩擦率），每层存放台高度可根据文物尺寸自由调整，便于文物的有序存放，文物存放台匀载重正压力大于120kg不应有损坏和明显变形；</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3外形简洁、大方美观，四周作圆弧处理，拆装方便、灵活、耐用。文物存取处采用暗扣与锁结合的结构，结合紧密、美观、耐腐蚀，锁采用锁芯、拉手锌材质为合金结构，锁、拉手、连动装置一体化设计；</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4设备性能</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（1）可拆装框体钢结构，框架结构，整体焊接，组合式装配。在架体外装有文物防尘板，合拢后无空缝，达到了防火、防尘、防盗、防震、防光等要求。</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（2）底座为重型框架底座，采用整体桥梁式焊接，稳固牢靠。</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（3）香樟木板表面平整，并且经过干燥、防虫、防腐处理。</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（4）柜体稳定坚固，使用灵活可靠。</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（5）双层柜门前后封板，开关轻便、没有噪声。</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（6）组件拆装方便，所有部件外观平滑，没有外露尖角、毛刺。</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（7）存放台每层均匀载重正压力大于120kg，每层自由调整，便于存放尺寸较大的物品。</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（8）每标准节的高层门开启110度及搁板完全抽出并施加120kg向下正压力时，柜体不会有任何倾斜。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w:t>
            </w:r>
          </w:p>
        </w:tc>
        <w:tc>
          <w:tcPr>
            <w:tcW w:w="2310"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标准文物存储架</w:t>
            </w:r>
          </w:p>
        </w:tc>
        <w:tc>
          <w:tcPr>
            <w:tcW w:w="99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4</w:t>
            </w:r>
            <w:r>
              <w:rPr>
                <w:rFonts w:hint="eastAsia" w:cs="宋体" w:asciiTheme="minorEastAsia" w:hAnsiTheme="minorEastAsia" w:eastAsiaTheme="minorEastAsia"/>
                <w:color w:val="000000" w:themeColor="text1"/>
                <w:szCs w:val="21"/>
                <w14:textFill>
                  <w14:solidFill>
                    <w14:schemeClr w14:val="tx1"/>
                  </w14:solidFill>
                </w14:textFill>
              </w:rPr>
              <w:t>台</w:t>
            </w:r>
          </w:p>
        </w:tc>
        <w:tc>
          <w:tcPr>
            <w:tcW w:w="5510" w:type="dxa"/>
            <w:vAlign w:val="center"/>
          </w:tcPr>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规格：不小于1500mm×600mm×2200mm；</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2.</w:t>
            </w:r>
            <w:r>
              <w:rPr>
                <w:rFonts w:hint="eastAsia" w:cs="宋体" w:asciiTheme="minorEastAsia" w:hAnsiTheme="minorEastAsia" w:eastAsiaTheme="minorEastAsia"/>
                <w:color w:val="000000" w:themeColor="text1"/>
                <w:szCs w:val="21"/>
                <w14:textFill>
                  <w14:solidFill>
                    <w14:schemeClr w14:val="tx1"/>
                  </w14:solidFill>
                </w14:textFill>
              </w:rPr>
              <w:t>结构：主体结构分底框主拉杆、立柱、层板主拉杆、顶板主拉杆、搁板、包裹板等组成，采用框架底座，可拆开运输安装；</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w:t>
            </w:r>
            <w:r>
              <w:rPr>
                <w:rFonts w:hint="eastAsia" w:cs="宋体" w:asciiTheme="minorEastAsia" w:hAnsiTheme="minorEastAsia" w:eastAsiaTheme="minorEastAsia"/>
                <w:color w:val="000000" w:themeColor="text1"/>
                <w:szCs w:val="21"/>
                <w14:textFill>
                  <w14:solidFill>
                    <w14:schemeClr w14:val="tx1"/>
                  </w14:solidFill>
                </w14:textFill>
              </w:rPr>
              <w:t>五层含顶梁式结构，搁板均匀承重200Kg。全负载载重要求：每标准节在全负载(每块单面搁板均匀载重200kg，整体框架承重1000Kg)的情况下，架体、立柱没有任何变形，架体不产生倾斜现象，经48小时，搁板最大挠度不能超过1mm，卸载后不能有任何裂纹及变形，残余变形量&lt;0.1mm；</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4.</w:t>
            </w:r>
            <w:r>
              <w:rPr>
                <w:rFonts w:hint="eastAsia" w:cs="宋体" w:asciiTheme="minorEastAsia" w:hAnsiTheme="minorEastAsia" w:eastAsiaTheme="minorEastAsia"/>
                <w:color w:val="000000" w:themeColor="text1"/>
                <w:szCs w:val="21"/>
                <w14:textFill>
                  <w14:solidFill>
                    <w14:schemeClr w14:val="tx1"/>
                  </w14:solidFill>
                </w14:textFill>
              </w:rPr>
              <w:t>外形简洁、大方美观，四周作圆弧处理，拆装方便、灵活、耐用。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w:t>
            </w:r>
          </w:p>
        </w:tc>
        <w:tc>
          <w:tcPr>
            <w:tcW w:w="2310" w:type="dxa"/>
            <w:vAlign w:val="center"/>
          </w:tcPr>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文物减震推车</w:t>
            </w:r>
          </w:p>
        </w:tc>
        <w:tc>
          <w:tcPr>
            <w:tcW w:w="99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2个</w:t>
            </w:r>
          </w:p>
        </w:tc>
        <w:tc>
          <w:tcPr>
            <w:tcW w:w="5510" w:type="dxa"/>
            <w:vAlign w:val="center"/>
          </w:tcPr>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文物推车上下两层结构，有推手，下层增加护板，底部四万向轮，万向轮下带弹簧，当有重物放置，起到减震解压作用。主要部件材料为工业级304不锈钢。</w:t>
            </w:r>
          </w:p>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基本规格：</w:t>
            </w:r>
          </w:p>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尺寸：不小于长70*宽50*高90cm；</w:t>
            </w:r>
          </w:p>
          <w:p>
            <w:pPr>
              <w:widowControl/>
              <w:jc w:val="left"/>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层板净尺寸：不小于65*45cm。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3.4</w:t>
            </w:r>
          </w:p>
        </w:tc>
        <w:tc>
          <w:tcPr>
            <w:tcW w:w="2310"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库房专用登高梯</w:t>
            </w:r>
          </w:p>
        </w:tc>
        <w:tc>
          <w:tcPr>
            <w:tcW w:w="99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个</w:t>
            </w:r>
          </w:p>
        </w:tc>
        <w:tc>
          <w:tcPr>
            <w:tcW w:w="5510" w:type="dxa"/>
            <w:vAlign w:val="center"/>
          </w:tcPr>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规格：长100*宽59*高150cm ；</w:t>
            </w:r>
          </w:p>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载重：承重350kg；</w:t>
            </w:r>
          </w:p>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轮子：配4寸静音轮；</w:t>
            </w:r>
          </w:p>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材料：圆管25*25*1.5mm；</w:t>
            </w:r>
          </w:p>
          <w:p>
            <w:pPr>
              <w:widowControl/>
              <w:jc w:val="left"/>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踏板：防滑花纹板；</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配4个万向轮，配防松螺帽。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四</w:t>
            </w:r>
          </w:p>
        </w:tc>
        <w:tc>
          <w:tcPr>
            <w:tcW w:w="8812" w:type="dxa"/>
            <w:gridSpan w:val="3"/>
            <w:vAlign w:val="center"/>
          </w:tcPr>
          <w:p>
            <w:pPr>
              <w:widowControl/>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展厅、库房器材及辅料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4.1</w:t>
            </w:r>
          </w:p>
        </w:tc>
        <w:tc>
          <w:tcPr>
            <w:tcW w:w="2310"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展柜密封条</w:t>
            </w:r>
          </w:p>
        </w:tc>
        <w:tc>
          <w:tcPr>
            <w:tcW w:w="992"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300米</w:t>
            </w:r>
          </w:p>
        </w:tc>
        <w:tc>
          <w:tcPr>
            <w:tcW w:w="5510"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对展柜密封胶条进行更换，根据展柜类型选择合适的密封胶条样式；</w:t>
            </w:r>
            <w:bookmarkStart w:id="5" w:name="_GoBack"/>
            <w:bookmarkEnd w:id="5"/>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文物展柜应使用有机硅材质的密封胶和密封条，应满足材料环境安全性检验无毒无害和对文物无不良影响。材料安全性应达到长期使用等级；</w:t>
            </w:r>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3、文物展柜使用的密封胶应符合国标GB 16776的规定；</w:t>
            </w:r>
          </w:p>
          <w:p>
            <w:pPr>
              <w:pStyle w:val="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文物展柜使用的密封条应表面光滑，无明显的机械杂质。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4.2</w:t>
            </w:r>
          </w:p>
        </w:tc>
        <w:tc>
          <w:tcPr>
            <w:tcW w:w="2310"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展厅灯光</w:t>
            </w:r>
          </w:p>
        </w:tc>
        <w:tc>
          <w:tcPr>
            <w:tcW w:w="992"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32个</w:t>
            </w:r>
          </w:p>
        </w:tc>
        <w:tc>
          <w:tcPr>
            <w:tcW w:w="5510" w:type="dxa"/>
            <w:vAlign w:val="center"/>
          </w:tcPr>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LED照明系统，色温恒定3000k-4000K之间可选，照度可调节。照度在≤400lux范围内可调，可整组或分段调节。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4.3</w:t>
            </w:r>
          </w:p>
        </w:tc>
        <w:tc>
          <w:tcPr>
            <w:tcW w:w="2310"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展厅灯光辅材</w:t>
            </w:r>
          </w:p>
        </w:tc>
        <w:tc>
          <w:tcPr>
            <w:tcW w:w="992"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46米</w:t>
            </w:r>
          </w:p>
        </w:tc>
        <w:tc>
          <w:tcPr>
            <w:tcW w:w="5510" w:type="dxa"/>
            <w:vAlign w:val="center"/>
          </w:tcPr>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展厅灯光辅材，含灯光驱动及线路。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pStyle w:val="2"/>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4.4</w:t>
            </w:r>
          </w:p>
        </w:tc>
        <w:tc>
          <w:tcPr>
            <w:tcW w:w="2310"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库房灯光</w:t>
            </w:r>
          </w:p>
        </w:tc>
        <w:tc>
          <w:tcPr>
            <w:tcW w:w="992" w:type="dxa"/>
            <w:vAlign w:val="center"/>
          </w:tcPr>
          <w:p>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18个</w:t>
            </w:r>
          </w:p>
        </w:tc>
        <w:tc>
          <w:tcPr>
            <w:tcW w:w="5510" w:type="dxa"/>
            <w:vAlign w:val="center"/>
          </w:tcPr>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嵌入式LED平板灯，</w:t>
            </w:r>
            <w:bookmarkStart w:id="1" w:name="_Toc488483148"/>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规格：600*600mm；</w:t>
            </w:r>
            <w:bookmarkEnd w:id="1"/>
          </w:p>
          <w:p>
            <w:pPr>
              <w:rPr>
                <w:rFonts w:cs="宋体" w:asciiTheme="minorEastAsia" w:hAnsiTheme="minorEastAsia" w:eastAsiaTheme="minorEastAsia"/>
                <w:color w:val="000000" w:themeColor="text1"/>
                <w:szCs w:val="21"/>
                <w14:textFill>
                  <w14:solidFill>
                    <w14:schemeClr w14:val="tx1"/>
                  </w14:solidFill>
                </w14:textFill>
              </w:rPr>
            </w:pPr>
            <w:bookmarkStart w:id="2" w:name="_Toc488483149"/>
            <w:r>
              <w:rPr>
                <w:rFonts w:hint="eastAsia" w:cs="宋体" w:asciiTheme="minorEastAsia" w:hAnsiTheme="minorEastAsia" w:eastAsiaTheme="minorEastAsia"/>
                <w:color w:val="000000" w:themeColor="text1"/>
                <w:szCs w:val="21"/>
                <w14:textFill>
                  <w14:solidFill>
                    <w14:schemeClr w14:val="tx1"/>
                  </w14:solidFill>
                </w14:textFill>
              </w:rPr>
              <w:t>材质：铝材+PMMA；</w:t>
            </w:r>
            <w:bookmarkEnd w:id="2"/>
          </w:p>
          <w:p>
            <w:pPr>
              <w:rPr>
                <w:rFonts w:cs="宋体" w:asciiTheme="minorEastAsia" w:hAnsiTheme="minorEastAsia" w:eastAsiaTheme="minorEastAsia"/>
                <w:color w:val="000000" w:themeColor="text1"/>
                <w:szCs w:val="21"/>
                <w14:textFill>
                  <w14:solidFill>
                    <w14:schemeClr w14:val="tx1"/>
                  </w14:solidFill>
                </w14:textFill>
              </w:rPr>
            </w:pPr>
            <w:bookmarkStart w:id="3" w:name="_Toc488483150"/>
            <w:r>
              <w:rPr>
                <w:rFonts w:hint="eastAsia" w:cs="宋体" w:asciiTheme="minorEastAsia" w:hAnsiTheme="minorEastAsia" w:eastAsiaTheme="minorEastAsia"/>
                <w:color w:val="000000" w:themeColor="text1"/>
                <w:szCs w:val="21"/>
                <w14:textFill>
                  <w14:solidFill>
                    <w14:schemeClr w14:val="tx1"/>
                  </w14:solidFill>
                </w14:textFill>
              </w:rPr>
              <w:t>色温：3300K/6000K</w:t>
            </w:r>
            <w:bookmarkEnd w:id="3"/>
            <w:r>
              <w:rPr>
                <w:rFonts w:hint="eastAsia" w:cs="宋体" w:asciiTheme="minorEastAsia" w:hAnsiTheme="minorEastAsia" w:eastAsiaTheme="minorEastAsia"/>
                <w:color w:val="000000" w:themeColor="text1"/>
                <w:szCs w:val="21"/>
                <w14:textFill>
                  <w14:solidFill>
                    <w14:schemeClr w14:val="tx1"/>
                  </w14:solidFill>
                </w14:textFill>
              </w:rPr>
              <w:t>；</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光源3014LED芯片；</w:t>
            </w:r>
          </w:p>
          <w:p>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功率：≥32W。</w:t>
            </w:r>
          </w:p>
        </w:tc>
      </w:tr>
    </w:tbl>
    <w:p>
      <w:pPr>
        <w:pStyle w:val="2"/>
        <w:rPr>
          <w:color w:val="000000" w:themeColor="text1"/>
          <w14:textFill>
            <w14:solidFill>
              <w14:schemeClr w14:val="tx1"/>
            </w14:solidFill>
          </w14:textFill>
        </w:rPr>
      </w:pPr>
    </w:p>
    <w:p>
      <w:pPr>
        <w:pStyle w:val="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附：文物囊匣清单：</w:t>
      </w:r>
    </w:p>
    <w:tbl>
      <w:tblPr>
        <w:tblStyle w:val="6"/>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409"/>
        <w:gridCol w:w="1843"/>
        <w:gridCol w:w="992"/>
        <w:gridCol w:w="1551"/>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988" w:type="dxa"/>
            <w:shd w:val="clear" w:color="auto" w:fill="auto"/>
            <w:noWrap/>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序号</w:t>
            </w:r>
          </w:p>
        </w:tc>
        <w:tc>
          <w:tcPr>
            <w:tcW w:w="2409" w:type="dxa"/>
            <w:shd w:val="clear" w:color="auto" w:fill="auto"/>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名称</w:t>
            </w:r>
          </w:p>
        </w:tc>
        <w:tc>
          <w:tcPr>
            <w:tcW w:w="1843" w:type="dxa"/>
            <w:shd w:val="clear" w:color="auto" w:fill="auto"/>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规格（mm）</w:t>
            </w:r>
          </w:p>
        </w:tc>
        <w:tc>
          <w:tcPr>
            <w:tcW w:w="992" w:type="dxa"/>
            <w:shd w:val="clear" w:color="auto" w:fill="auto"/>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单位</w:t>
            </w:r>
          </w:p>
        </w:tc>
        <w:tc>
          <w:tcPr>
            <w:tcW w:w="1551" w:type="dxa"/>
            <w:shd w:val="clear" w:color="auto" w:fill="auto"/>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数量(个）</w:t>
            </w:r>
          </w:p>
        </w:tc>
        <w:tc>
          <w:tcPr>
            <w:tcW w:w="880" w:type="dxa"/>
            <w:shd w:val="clear" w:color="auto" w:fill="auto"/>
            <w:noWrap/>
            <w:vAlign w:val="center"/>
          </w:tcPr>
          <w:p>
            <w:pPr>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100×100×50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100×100×100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100×100×150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150×100×150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150×150×50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150×150×100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150×150×150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150×150×200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200×100×50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200×100×100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200×150×150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200×200×100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200×200×150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200×200×200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200×200×250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200×200×300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200×200×400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250×100×50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21</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250×150×50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22</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250×150×150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23</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250×200×100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250×250×100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250×250×150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26</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250×250×250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27</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250×250×350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28</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250×250×450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29</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300×250×250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300×300×50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31</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300×300×100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300×300×150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300×300×250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34</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300×300×300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350×200×200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36</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350×300×200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37</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350×350×100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38</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350×350×150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39</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450×450×150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40</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500×150×100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41</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550×150×100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42</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150×150×50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43</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200×200×50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44</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250×250×50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45</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翻盖式囊匣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300×300×50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46</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100×100×50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47</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150×100×50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48</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150×100×100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49</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300×150×50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50</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300×200×100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51</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350×150×100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52</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350×250×100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53</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350×300×300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54</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400×300×100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55</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多宝格式囊匣</w:t>
            </w: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600×400×150</w:t>
            </w: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个</w:t>
            </w: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88"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小计</w:t>
            </w:r>
          </w:p>
        </w:tc>
        <w:tc>
          <w:tcPr>
            <w:tcW w:w="2409"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843"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p>
        </w:tc>
        <w:tc>
          <w:tcPr>
            <w:tcW w:w="992"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1551" w:type="dxa"/>
            <w:shd w:val="clear" w:color="auto" w:fill="auto"/>
            <w:noWrap/>
            <w:vAlign w:val="bottom"/>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44</w:t>
            </w:r>
          </w:p>
        </w:tc>
        <w:tc>
          <w:tcPr>
            <w:tcW w:w="880" w:type="dxa"/>
            <w:shd w:val="clear" w:color="auto" w:fill="auto"/>
            <w:noWrap/>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bl>
    <w:p>
      <w:pPr>
        <w:pStyle w:val="3"/>
        <w:ind w:firstLine="210"/>
        <w:rPr>
          <w:color w:val="000000" w:themeColor="text1"/>
          <w14:textFill>
            <w14:solidFill>
              <w14:schemeClr w14:val="tx1"/>
            </w14:solidFill>
          </w14:textFill>
        </w:rPr>
      </w:pPr>
    </w:p>
    <w:p>
      <w:pPr>
        <w:pStyle w:val="4"/>
        <w:spacing w:before="0" w:after="0" w:line="360" w:lineRule="auto"/>
        <w:rPr>
          <w:rFonts w:hint="eastAsia" w:ascii="宋体" w:hAnsi="宋体" w:eastAsia="宋体" w:cs="宋体"/>
          <w:color w:val="000000" w:themeColor="text1"/>
          <w:szCs w:val="24"/>
          <w14:textFill>
            <w14:solidFill>
              <w14:schemeClr w14:val="tx1"/>
            </w14:solidFill>
          </w14:textFill>
        </w:rPr>
      </w:pPr>
      <w:bookmarkStart w:id="4" w:name="_Toc24104"/>
      <w:r>
        <w:rPr>
          <w:rFonts w:hint="eastAsia" w:ascii="宋体" w:hAnsi="宋体" w:eastAsia="宋体" w:cs="宋体"/>
          <w:color w:val="000000" w:themeColor="text1"/>
          <w:szCs w:val="24"/>
          <w:lang w:val="en-US" w:eastAsia="zh-CN"/>
          <w14:textFill>
            <w14:solidFill>
              <w14:schemeClr w14:val="tx1"/>
            </w14:solidFill>
          </w14:textFill>
        </w:rPr>
        <w:t>二</w:t>
      </w:r>
      <w:r>
        <w:rPr>
          <w:rFonts w:hint="eastAsia" w:ascii="宋体" w:hAnsi="宋体" w:eastAsia="宋体" w:cs="宋体"/>
          <w:color w:val="000000" w:themeColor="text1"/>
          <w:szCs w:val="24"/>
          <w14:textFill>
            <w14:solidFill>
              <w14:schemeClr w14:val="tx1"/>
            </w14:solidFill>
          </w14:textFill>
        </w:rPr>
        <w:t>、商务要求</w:t>
      </w:r>
      <w:bookmarkEnd w:id="4"/>
    </w:p>
    <w:p>
      <w:pPr>
        <w:pStyle w:val="5"/>
        <w:spacing w:before="0"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 交付使用地点及项目工期</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交付使用地点为：渭城区文物保护中心或甲方指定地点。</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合同履行期限：合同签订后 180 日历天。</w:t>
      </w:r>
    </w:p>
    <w:p>
      <w:pPr>
        <w:pStyle w:val="2"/>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.2付款方式</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1.合同签订之日起七个工作日内，甲方向乙方支付合同总金额40%作为预付款；</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2.所有设备到达甲方指定地点后七个工作日内，甲方向乙方支付合同总金额的40%；</w:t>
      </w:r>
    </w:p>
    <w:p>
      <w:pPr>
        <w:widowControl/>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3.设备安装完成并通过现场验收后七个工作日内，甲方向乙方支付合同总金额的20%。</w:t>
      </w:r>
    </w:p>
    <w:p>
      <w:pPr>
        <w:pStyle w:val="5"/>
        <w:spacing w:before="0"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.4售后服务</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提供所投产品至少包含1年的上门保修，终身维修。保修期自设备安装调试完成运行正常之日起计算。供应商在此项目后期的维护中，若出现系统故障，服务商应4小时内响应，48小时内到场排除故障并保证系统正常运行；</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在维护期内对采购方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3．提供现场技术培训服务。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685DB5"/>
    <w:multiLevelType w:val="multilevel"/>
    <w:tmpl w:val="72685DB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TRjMmQ4ZjhjYzczN2RhM2M5MWFiN2Q1NmRmNTEifQ=="/>
  </w:docVars>
  <w:rsids>
    <w:rsidRoot w:val="6C8A7DBA"/>
    <w:rsid w:val="6C8A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4">
    <w:name w:val="heading 1"/>
    <w:basedOn w:val="1"/>
    <w:next w:val="1"/>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5">
    <w:name w:val="heading 2"/>
    <w:basedOn w:val="1"/>
    <w:next w:val="1"/>
    <w:qFormat/>
    <w:uiPriority w:val="99"/>
    <w:pPr>
      <w:spacing w:before="260" w:after="260" w:line="416" w:lineRule="atLeast"/>
      <w:outlineLvl w:val="1"/>
    </w:pPr>
    <w:rPr>
      <w:rFonts w:ascii="Cambria" w:hAnsi="Cambria"/>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ascii="Tahoma" w:hAnsi="Tahoma"/>
    </w:rPr>
  </w:style>
  <w:style w:type="paragraph" w:styleId="3">
    <w:name w:val="Body Text First Indent"/>
    <w:basedOn w:val="2"/>
    <w:qFormat/>
    <w:uiPriority w:val="0"/>
    <w:pPr>
      <w:spacing w:after="120" w:line="240" w:lineRule="auto"/>
      <w:ind w:firstLine="100" w:firstLineChars="100"/>
    </w:pPr>
  </w:style>
  <w:style w:type="paragraph" w:styleId="8">
    <w:name w:val="List Paragraph"/>
    <w:basedOn w:val="1"/>
    <w:qFormat/>
    <w:uiPriority w:val="34"/>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2023-06-20T01:28:00Z</dcterms:created>
  <dc:creator>早睡早起</dc:creator>
  <cp:lastModifiedBy>早睡早起</cp:lastModifiedBy>
  <dcterms:modified xsi:type="dcterms:W3CDTF">2023-06-20T01:29:34Z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E8EE3E0024964735941FADBF8C6A116B_11</vt:lpwstr>
  </property>
</Properties>
</file>