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643" w:firstLineChars="200"/>
        <w:rPr>
          <w:rFonts w:hint="eastAsia" w:ascii="宋体" w:hAnsi="宋体" w:eastAsia="宋体" w:cs="宋体"/>
          <w:b/>
          <w:color w:val="auto"/>
          <w:sz w:val="32"/>
          <w:szCs w:val="32"/>
          <w:highlight w:val="none"/>
          <w:u w:val="single"/>
          <w:lang w:val="en-US" w:eastAsia="zh-CN"/>
        </w:rPr>
      </w:pPr>
      <w:r>
        <w:rPr>
          <w:rFonts w:hint="eastAsia" w:ascii="宋体" w:hAnsi="宋体" w:cs="宋体"/>
          <w:b/>
          <w:color w:val="auto"/>
          <w:sz w:val="32"/>
          <w:szCs w:val="32"/>
          <w:highlight w:val="none"/>
        </w:rPr>
        <w:t>项目编号：</w:t>
      </w:r>
      <w:r>
        <w:rPr>
          <w:rFonts w:hint="eastAsia" w:ascii="宋体" w:hAnsi="宋体" w:cs="宋体"/>
          <w:b/>
          <w:color w:val="auto"/>
          <w:sz w:val="32"/>
          <w:szCs w:val="32"/>
          <w:highlight w:val="none"/>
          <w:lang w:eastAsia="zh-CN"/>
        </w:rPr>
        <w:t>E-234132XA011/04</w:t>
      </w:r>
    </w:p>
    <w:p>
      <w:pPr>
        <w:spacing w:before="156" w:beforeLines="50" w:after="156" w:afterLines="50" w:line="360" w:lineRule="auto"/>
        <w:rPr>
          <w:b/>
          <w:bCs/>
          <w:color w:val="auto"/>
          <w:sz w:val="54"/>
          <w:szCs w:val="54"/>
          <w:highlight w:val="none"/>
        </w:rPr>
      </w:pPr>
    </w:p>
    <w:p>
      <w:pPr>
        <w:pStyle w:val="28"/>
        <w:spacing w:before="156" w:beforeLines="50"/>
        <w:jc w:val="both"/>
        <w:rPr>
          <w:rFonts w:ascii="宋体" w:hAnsi="宋体"/>
          <w:b/>
          <w:color w:val="auto"/>
          <w:sz w:val="48"/>
          <w:szCs w:val="48"/>
          <w:highlight w:val="none"/>
        </w:rPr>
      </w:pPr>
    </w:p>
    <w:p>
      <w:pPr>
        <w:pStyle w:val="28"/>
        <w:keepNext w:val="0"/>
        <w:keepLines w:val="0"/>
        <w:pageBreakBefore w:val="0"/>
        <w:widowControl w:val="0"/>
        <w:kinsoku/>
        <w:wordWrap/>
        <w:overflowPunct/>
        <w:topLinePunct w:val="0"/>
        <w:autoSpaceDE/>
        <w:autoSpaceDN/>
        <w:bidi w:val="0"/>
        <w:adjustRightInd/>
        <w:snapToGrid/>
        <w:spacing w:before="156" w:beforeLines="50" w:line="600" w:lineRule="auto"/>
        <w:jc w:val="center"/>
        <w:textAlignment w:val="auto"/>
        <w:rPr>
          <w:rFonts w:hint="eastAsia" w:ascii="宋体" w:hAnsi="宋体" w:eastAsia="宋体"/>
          <w:b/>
          <w:color w:val="auto"/>
          <w:sz w:val="48"/>
          <w:szCs w:val="48"/>
          <w:highlight w:val="none"/>
          <w:lang w:eastAsia="zh-CN"/>
        </w:rPr>
      </w:pPr>
      <w:r>
        <w:rPr>
          <w:rFonts w:hint="eastAsia" w:ascii="宋体" w:hAnsi="宋体"/>
          <w:b/>
          <w:color w:val="auto"/>
          <w:sz w:val="48"/>
          <w:szCs w:val="48"/>
          <w:highlight w:val="none"/>
          <w:lang w:eastAsia="zh-CN"/>
        </w:rPr>
        <w:t>咸阳市中心医院智慧医院建设提升、智慧医疗管理系统建设及环境扩容服务</w:t>
      </w:r>
    </w:p>
    <w:p>
      <w:pPr>
        <w:spacing w:before="156" w:beforeLines="50" w:after="156" w:afterLines="50"/>
        <w:ind w:right="-334" w:rightChars="-159"/>
        <w:jc w:val="center"/>
        <w:rPr>
          <w:rFonts w:hint="eastAsia" w:ascii="宋体" w:hAnsi="宋体" w:eastAsia="宋体" w:cs="Times New Roman"/>
          <w:b/>
          <w:color w:val="auto"/>
          <w:kern w:val="2"/>
          <w:sz w:val="32"/>
          <w:szCs w:val="32"/>
          <w:highlight w:val="none"/>
          <w:lang w:val="en-US" w:eastAsia="zh-CN" w:bidi="ar-SA"/>
        </w:rPr>
      </w:pPr>
      <w:r>
        <w:rPr>
          <w:rFonts w:hint="eastAsia" w:ascii="宋体" w:hAnsi="宋体" w:eastAsia="宋体" w:cs="Times New Roman"/>
          <w:b/>
          <w:color w:val="auto"/>
          <w:kern w:val="2"/>
          <w:sz w:val="32"/>
          <w:szCs w:val="32"/>
          <w:highlight w:val="none"/>
          <w:lang w:val="en-US" w:eastAsia="zh-CN" w:bidi="ar-SA"/>
        </w:rPr>
        <w:t>（</w:t>
      </w:r>
      <w:r>
        <w:rPr>
          <w:rFonts w:hint="eastAsia" w:ascii="宋体" w:hAnsi="宋体" w:cs="Times New Roman"/>
          <w:b/>
          <w:color w:val="auto"/>
          <w:kern w:val="2"/>
          <w:sz w:val="32"/>
          <w:szCs w:val="32"/>
          <w:highlight w:val="none"/>
          <w:lang w:val="en-US" w:eastAsia="zh-CN" w:bidi="ar-SA"/>
        </w:rPr>
        <w:t>04包：智慧医疗管理系统建设及环境扩容服务项目</w:t>
      </w:r>
      <w:r>
        <w:rPr>
          <w:rFonts w:hint="eastAsia" w:ascii="宋体" w:hAnsi="宋体" w:eastAsia="宋体" w:cs="Times New Roman"/>
          <w:b/>
          <w:color w:val="auto"/>
          <w:kern w:val="2"/>
          <w:sz w:val="32"/>
          <w:szCs w:val="32"/>
          <w:highlight w:val="none"/>
          <w:lang w:val="en-US" w:eastAsia="zh-CN" w:bidi="ar-SA"/>
        </w:rPr>
        <w:t>）</w:t>
      </w:r>
    </w:p>
    <w:p>
      <w:pPr>
        <w:pStyle w:val="28"/>
        <w:rPr>
          <w:color w:val="auto"/>
          <w:highlight w:val="none"/>
        </w:rPr>
      </w:pPr>
    </w:p>
    <w:p>
      <w:pPr>
        <w:spacing w:before="156" w:beforeLines="50" w:after="156" w:afterLines="50"/>
        <w:ind w:left="-178" w:leftChars="-85" w:right="-334" w:rightChars="-159"/>
        <w:jc w:val="center"/>
        <w:rPr>
          <w:rFonts w:hint="eastAsia" w:ascii="黑体" w:eastAsia="黑体"/>
          <w:b/>
          <w:color w:val="auto"/>
          <w:spacing w:val="40"/>
          <w:sz w:val="96"/>
          <w:szCs w:val="96"/>
          <w:highlight w:val="none"/>
        </w:rPr>
      </w:pPr>
    </w:p>
    <w:p>
      <w:pPr>
        <w:spacing w:before="156" w:beforeLines="50" w:after="156" w:afterLines="50"/>
        <w:ind w:left="-178" w:leftChars="-85" w:right="-334" w:rightChars="-159"/>
        <w:jc w:val="center"/>
        <w:rPr>
          <w:rFonts w:ascii="黑体" w:eastAsia="黑体"/>
          <w:b/>
          <w:color w:val="auto"/>
          <w:spacing w:val="40"/>
          <w:sz w:val="96"/>
          <w:szCs w:val="96"/>
          <w:highlight w:val="none"/>
        </w:rPr>
      </w:pPr>
      <w:r>
        <w:rPr>
          <w:rFonts w:hint="eastAsia" w:ascii="黑体" w:eastAsia="黑体"/>
          <w:b/>
          <w:color w:val="auto"/>
          <w:spacing w:val="40"/>
          <w:sz w:val="96"/>
          <w:szCs w:val="96"/>
          <w:highlight w:val="none"/>
        </w:rPr>
        <w:t>招标文件</w:t>
      </w:r>
    </w:p>
    <w:p>
      <w:pPr>
        <w:pStyle w:val="28"/>
        <w:rPr>
          <w:rFonts w:hAnsi="宋体"/>
          <w:b/>
          <w:color w:val="auto"/>
          <w:spacing w:val="4"/>
          <w:sz w:val="32"/>
          <w:szCs w:val="32"/>
          <w:highlight w:val="none"/>
        </w:rPr>
      </w:pPr>
    </w:p>
    <w:p>
      <w:pPr>
        <w:pStyle w:val="18"/>
        <w:rPr>
          <w:rFonts w:hAnsi="宋体"/>
          <w:b/>
          <w:color w:val="auto"/>
          <w:spacing w:val="4"/>
          <w:sz w:val="32"/>
          <w:szCs w:val="32"/>
          <w:highlight w:val="none"/>
        </w:rPr>
      </w:pPr>
    </w:p>
    <w:p>
      <w:pPr>
        <w:rPr>
          <w:color w:val="auto"/>
          <w:highlight w:val="none"/>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jc w:val="left"/>
        <w:textAlignment w:val="auto"/>
        <w:rPr>
          <w:rFonts w:hint="eastAsia" w:hAnsi="宋体"/>
          <w:b/>
          <w:color w:val="auto"/>
          <w:spacing w:val="4"/>
          <w:sz w:val="30"/>
          <w:szCs w:val="30"/>
          <w:highlight w:val="none"/>
          <w:lang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firstLine="1082" w:firstLineChars="350"/>
        <w:jc w:val="left"/>
        <w:textAlignment w:val="auto"/>
        <w:rPr>
          <w:rFonts w:hint="eastAsia" w:hAnsi="宋体"/>
          <w:b/>
          <w:color w:val="auto"/>
          <w:spacing w:val="4"/>
          <w:sz w:val="30"/>
          <w:szCs w:val="30"/>
          <w:highlight w:val="none"/>
        </w:rPr>
      </w:pPr>
      <w:r>
        <w:rPr>
          <w:rFonts w:hint="eastAsia" w:hAnsi="宋体"/>
          <w:b/>
          <w:color w:val="auto"/>
          <w:spacing w:val="4"/>
          <w:sz w:val="30"/>
          <w:szCs w:val="30"/>
          <w:highlight w:val="none"/>
          <w:lang w:eastAsia="zh-CN"/>
        </w:rPr>
        <w:t>采购人</w:t>
      </w:r>
      <w:r>
        <w:rPr>
          <w:rFonts w:hint="eastAsia" w:hAnsi="宋体"/>
          <w:b/>
          <w:color w:val="auto"/>
          <w:spacing w:val="4"/>
          <w:sz w:val="30"/>
          <w:szCs w:val="30"/>
          <w:highlight w:val="none"/>
        </w:rPr>
        <w:t>：咸阳市中心医院</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firstLine="1062" w:firstLineChars="317"/>
        <w:jc w:val="left"/>
        <w:textAlignment w:val="auto"/>
        <w:rPr>
          <w:rFonts w:ascii="宋体" w:hAnsi="宋体" w:cs="宋体"/>
          <w:b/>
          <w:color w:val="auto"/>
          <w:sz w:val="30"/>
          <w:szCs w:val="30"/>
          <w:highlight w:val="none"/>
        </w:rPr>
      </w:pPr>
      <w:r>
        <w:rPr>
          <w:rFonts w:hint="eastAsia" w:ascii="宋体" w:hAnsi="宋体" w:cs="宋体"/>
          <w:b/>
          <w:color w:val="auto"/>
          <w:spacing w:val="17"/>
          <w:sz w:val="30"/>
          <w:szCs w:val="30"/>
          <w:highlight w:val="none"/>
          <w:lang w:eastAsia="zh-CN"/>
        </w:rPr>
        <w:t>采购代理机构</w:t>
      </w:r>
      <w:r>
        <w:rPr>
          <w:rFonts w:hint="eastAsia" w:ascii="宋体" w:hAnsi="宋体" w:cs="宋体"/>
          <w:b/>
          <w:color w:val="auto"/>
          <w:spacing w:val="17"/>
          <w:sz w:val="30"/>
          <w:szCs w:val="30"/>
          <w:highlight w:val="none"/>
        </w:rPr>
        <w:t>：</w:t>
      </w:r>
      <w:r>
        <w:rPr>
          <w:rFonts w:hint="eastAsia" w:ascii="宋体" w:hAnsi="宋体" w:cs="宋体"/>
          <w:b/>
          <w:color w:val="auto"/>
          <w:sz w:val="30"/>
          <w:szCs w:val="30"/>
          <w:highlight w:val="none"/>
        </w:rPr>
        <w:t>中航技（北京）工程管理有限公司</w:t>
      </w:r>
    </w:p>
    <w:p>
      <w:pPr>
        <w:spacing w:line="480" w:lineRule="auto"/>
        <w:jc w:val="center"/>
        <w:rPr>
          <w:rFonts w:ascii="宋体" w:hAnsi="宋体" w:cs="宋体"/>
          <w:b/>
          <w:color w:val="auto"/>
          <w:sz w:val="30"/>
          <w:szCs w:val="30"/>
          <w:highlight w:val="none"/>
        </w:rPr>
        <w:sectPr>
          <w:headerReference r:id="rId3" w:type="default"/>
          <w:pgSz w:w="11906" w:h="16838"/>
          <w:pgMar w:top="1440" w:right="1800" w:bottom="1440" w:left="1800" w:header="851" w:footer="992" w:gutter="0"/>
          <w:cols w:space="425" w:num="1"/>
          <w:titlePg/>
          <w:docGrid w:type="lines" w:linePitch="312" w:charSpace="0"/>
        </w:sectPr>
      </w:pPr>
      <w:r>
        <w:rPr>
          <w:rFonts w:hint="eastAsia" w:ascii="宋体" w:hAnsi="宋体" w:cs="宋体"/>
          <w:b/>
          <w:color w:val="auto"/>
          <w:sz w:val="30"/>
          <w:szCs w:val="30"/>
          <w:highlight w:val="none"/>
        </w:rPr>
        <w:t>二○二</w:t>
      </w:r>
      <w:r>
        <w:rPr>
          <w:rFonts w:hint="eastAsia" w:ascii="宋体" w:hAnsi="宋体" w:cs="宋体"/>
          <w:b/>
          <w:color w:val="auto"/>
          <w:sz w:val="30"/>
          <w:szCs w:val="30"/>
          <w:highlight w:val="none"/>
          <w:lang w:val="en-US" w:eastAsia="zh-CN"/>
        </w:rPr>
        <w:t>三</w:t>
      </w:r>
      <w:r>
        <w:rPr>
          <w:rFonts w:hint="eastAsia" w:ascii="宋体" w:hAnsi="宋体" w:cs="宋体"/>
          <w:b/>
          <w:color w:val="auto"/>
          <w:sz w:val="30"/>
          <w:szCs w:val="30"/>
          <w:highlight w:val="none"/>
        </w:rPr>
        <w:t>年</w:t>
      </w:r>
      <w:r>
        <w:rPr>
          <w:rFonts w:hint="eastAsia" w:ascii="宋体" w:hAnsi="宋体" w:cs="宋体"/>
          <w:b/>
          <w:color w:val="auto"/>
          <w:sz w:val="30"/>
          <w:szCs w:val="30"/>
          <w:highlight w:val="none"/>
          <w:lang w:val="en-US" w:eastAsia="zh-CN"/>
        </w:rPr>
        <w:t>十一</w:t>
      </w:r>
      <w:r>
        <w:rPr>
          <w:rFonts w:hint="eastAsia" w:ascii="宋体" w:hAnsi="宋体" w:cs="宋体"/>
          <w:b/>
          <w:color w:val="auto"/>
          <w:sz w:val="30"/>
          <w:szCs w:val="30"/>
          <w:highlight w:val="none"/>
        </w:rPr>
        <w:t>月</w:t>
      </w:r>
    </w:p>
    <w:p>
      <w:pPr>
        <w:spacing w:line="480" w:lineRule="auto"/>
        <w:jc w:val="center"/>
        <w:rPr>
          <w:rFonts w:ascii="宋体" w:hAnsi="宋体"/>
          <w:b/>
          <w:bCs/>
          <w:color w:val="auto"/>
          <w:sz w:val="32"/>
          <w:szCs w:val="32"/>
          <w:highlight w:val="none"/>
        </w:rPr>
      </w:pPr>
    </w:p>
    <w:sdt>
      <w:sdtPr>
        <w:rPr>
          <w:rFonts w:ascii="宋体" w:hAnsi="宋体"/>
          <w:color w:val="auto"/>
          <w:highlight w:val="none"/>
        </w:rPr>
        <w:id w:val="147466966"/>
        <w15:color w:val="DBDBDB"/>
        <w:docPartObj>
          <w:docPartGallery w:val="Table of Contents"/>
          <w:docPartUnique/>
        </w:docPartObj>
      </w:sdtPr>
      <w:sdtEndPr>
        <w:rPr>
          <w:rFonts w:hint="eastAsia" w:ascii="宋体" w:hAnsi="宋体"/>
          <w:color w:val="auto"/>
          <w:szCs w:val="32"/>
          <w:highlight w:val="none"/>
        </w:rPr>
      </w:sdtEndPr>
      <w:sdtContent>
        <w:p>
          <w:pPr>
            <w:jc w:val="center"/>
            <w:rPr>
              <w:rFonts w:ascii="宋体" w:hAnsi="宋体"/>
              <w:color w:val="auto"/>
              <w:sz w:val="32"/>
              <w:szCs w:val="32"/>
              <w:highlight w:val="none"/>
            </w:rPr>
          </w:pPr>
          <w:r>
            <w:rPr>
              <w:rFonts w:ascii="宋体" w:hAnsi="宋体"/>
              <w:b/>
              <w:bCs/>
              <w:color w:val="auto"/>
              <w:sz w:val="32"/>
              <w:szCs w:val="32"/>
              <w:highlight w:val="none"/>
            </w:rPr>
            <w:t>目</w:t>
          </w:r>
          <w:r>
            <w:rPr>
              <w:rFonts w:hint="eastAsia" w:ascii="宋体" w:hAnsi="宋体"/>
              <w:b/>
              <w:bCs/>
              <w:color w:val="auto"/>
              <w:sz w:val="32"/>
              <w:szCs w:val="32"/>
              <w:highlight w:val="none"/>
            </w:rPr>
            <w:t xml:space="preserve"> </w:t>
          </w:r>
          <w:r>
            <w:rPr>
              <w:rFonts w:ascii="宋体" w:hAnsi="宋体"/>
              <w:b/>
              <w:bCs/>
              <w:color w:val="auto"/>
              <w:sz w:val="32"/>
              <w:szCs w:val="32"/>
              <w:highlight w:val="none"/>
            </w:rPr>
            <w:t>录</w:t>
          </w:r>
        </w:p>
        <w:p>
          <w:pPr>
            <w:pStyle w:val="17"/>
            <w:keepNext w:val="0"/>
            <w:keepLines w:val="0"/>
            <w:pageBreakBefore w:val="0"/>
            <w:widowControl w:val="0"/>
            <w:tabs>
              <w:tab w:val="right" w:leader="dot" w:pos="8754"/>
            </w:tabs>
            <w:kinsoku/>
            <w:wordWrap/>
            <w:overflowPunct/>
            <w:topLinePunct w:val="0"/>
            <w:autoSpaceDE/>
            <w:autoSpaceDN/>
            <w:bidi w:val="0"/>
            <w:adjustRightInd/>
            <w:snapToGrid/>
            <w:spacing w:before="157" w:beforeLines="50" w:line="360" w:lineRule="auto"/>
            <w:textAlignment w:val="auto"/>
            <w:rPr>
              <w:rFonts w:hint="eastAsia" w:ascii="宋体" w:hAnsi="宋体" w:eastAsia="宋体" w:cs="宋体"/>
            </w:rPr>
          </w:pPr>
          <w:r>
            <w:rPr>
              <w:rFonts w:hint="eastAsia" w:ascii="宋体" w:hAnsi="宋体"/>
              <w:color w:val="auto"/>
              <w:sz w:val="32"/>
              <w:szCs w:val="32"/>
              <w:highlight w:val="none"/>
            </w:rPr>
            <w:fldChar w:fldCharType="begin"/>
          </w:r>
          <w:r>
            <w:rPr>
              <w:rFonts w:hint="eastAsia" w:ascii="宋体" w:hAnsi="宋体"/>
              <w:color w:val="auto"/>
              <w:sz w:val="32"/>
              <w:szCs w:val="32"/>
              <w:highlight w:val="none"/>
            </w:rPr>
            <w:instrText xml:space="preserve">TOC \o "1-1" \h \u </w:instrText>
          </w:r>
          <w:r>
            <w:rPr>
              <w:rFonts w:hint="eastAsia" w:ascii="宋体" w:hAnsi="宋体"/>
              <w:color w:val="auto"/>
              <w:sz w:val="32"/>
              <w:szCs w:val="32"/>
              <w:highlight w:val="none"/>
            </w:rPr>
            <w:fldChar w:fldCharType="separate"/>
          </w:r>
          <w:r>
            <w:rPr>
              <w:rFonts w:hint="eastAsia" w:ascii="宋体" w:hAnsi="宋体" w:eastAsia="宋体" w:cs="宋体"/>
              <w:color w:val="auto"/>
              <w:szCs w:val="32"/>
              <w:highlight w:val="none"/>
            </w:rPr>
            <w:fldChar w:fldCharType="begin"/>
          </w:r>
          <w:r>
            <w:rPr>
              <w:rFonts w:hint="eastAsia" w:ascii="宋体" w:hAnsi="宋体" w:eastAsia="宋体" w:cs="宋体"/>
              <w:szCs w:val="32"/>
              <w:highlight w:val="none"/>
            </w:rPr>
            <w:instrText xml:space="preserve"> HYPERLINK \l _Toc19698 </w:instrText>
          </w:r>
          <w:r>
            <w:rPr>
              <w:rFonts w:hint="eastAsia" w:ascii="宋体" w:hAnsi="宋体" w:eastAsia="宋体" w:cs="宋体"/>
              <w:szCs w:val="32"/>
              <w:highlight w:val="none"/>
            </w:rPr>
            <w:fldChar w:fldCharType="separate"/>
          </w:r>
          <w:r>
            <w:rPr>
              <w:rFonts w:hint="eastAsia" w:ascii="宋体" w:hAnsi="宋体" w:eastAsia="宋体" w:cs="宋体"/>
              <w:bCs/>
              <w:szCs w:val="32"/>
              <w:highlight w:val="none"/>
            </w:rPr>
            <w:t>第一章 招标公告</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_Toc19698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color w:val="auto"/>
              <w:szCs w:val="32"/>
              <w:highlight w:val="none"/>
            </w:rPr>
            <w:fldChar w:fldCharType="end"/>
          </w:r>
        </w:p>
        <w:p>
          <w:pPr>
            <w:pStyle w:val="17"/>
            <w:keepNext w:val="0"/>
            <w:keepLines w:val="0"/>
            <w:pageBreakBefore w:val="0"/>
            <w:widowControl w:val="0"/>
            <w:tabs>
              <w:tab w:val="right" w:leader="dot" w:pos="8754"/>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color w:val="auto"/>
              <w:szCs w:val="32"/>
              <w:highlight w:val="none"/>
            </w:rPr>
            <w:fldChar w:fldCharType="begin"/>
          </w:r>
          <w:r>
            <w:rPr>
              <w:rFonts w:hint="eastAsia" w:ascii="宋体" w:hAnsi="宋体" w:eastAsia="宋体" w:cs="宋体"/>
              <w:szCs w:val="32"/>
              <w:highlight w:val="none"/>
            </w:rPr>
            <w:instrText xml:space="preserve"> HYPERLINK \l _Toc25941 </w:instrText>
          </w:r>
          <w:r>
            <w:rPr>
              <w:rFonts w:hint="eastAsia" w:ascii="宋体" w:hAnsi="宋体" w:eastAsia="宋体" w:cs="宋体"/>
              <w:szCs w:val="32"/>
              <w:highlight w:val="none"/>
            </w:rPr>
            <w:fldChar w:fldCharType="separate"/>
          </w:r>
          <w:r>
            <w:rPr>
              <w:rFonts w:hint="eastAsia" w:ascii="宋体" w:hAnsi="宋体" w:eastAsia="宋体" w:cs="宋体"/>
              <w:szCs w:val="32"/>
              <w:highlight w:val="none"/>
            </w:rPr>
            <w:t>第二章 投标人须知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_Toc25941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color w:val="auto"/>
              <w:szCs w:val="32"/>
              <w:highlight w:val="none"/>
            </w:rPr>
            <w:fldChar w:fldCharType="end"/>
          </w:r>
        </w:p>
        <w:p>
          <w:pPr>
            <w:pStyle w:val="17"/>
            <w:keepNext w:val="0"/>
            <w:keepLines w:val="0"/>
            <w:pageBreakBefore w:val="0"/>
            <w:widowControl w:val="0"/>
            <w:tabs>
              <w:tab w:val="right" w:leader="dot" w:pos="8754"/>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color w:val="auto"/>
              <w:szCs w:val="32"/>
              <w:highlight w:val="none"/>
            </w:rPr>
            <w:fldChar w:fldCharType="begin"/>
          </w:r>
          <w:r>
            <w:rPr>
              <w:rFonts w:hint="eastAsia" w:ascii="宋体" w:hAnsi="宋体" w:eastAsia="宋体" w:cs="宋体"/>
              <w:szCs w:val="32"/>
              <w:highlight w:val="none"/>
            </w:rPr>
            <w:instrText xml:space="preserve"> HYPERLINK \l _Toc19517 </w:instrText>
          </w:r>
          <w:r>
            <w:rPr>
              <w:rFonts w:hint="eastAsia" w:ascii="宋体" w:hAnsi="宋体" w:eastAsia="宋体" w:cs="宋体"/>
              <w:szCs w:val="32"/>
              <w:highlight w:val="none"/>
            </w:rPr>
            <w:fldChar w:fldCharType="separate"/>
          </w:r>
          <w:r>
            <w:rPr>
              <w:rFonts w:hint="eastAsia" w:ascii="宋体" w:hAnsi="宋体" w:eastAsia="宋体" w:cs="宋体"/>
              <w:kern w:val="44"/>
              <w:highlight w:val="none"/>
            </w:rPr>
            <w:t>第三章 评标标准及方法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_Toc19517 \h </w:instrText>
          </w:r>
          <w:r>
            <w:rPr>
              <w:rFonts w:hint="eastAsia" w:ascii="宋体" w:hAnsi="宋体" w:eastAsia="宋体" w:cs="宋体"/>
            </w:rPr>
            <w:fldChar w:fldCharType="separate"/>
          </w:r>
          <w:r>
            <w:rPr>
              <w:rFonts w:hint="eastAsia" w:ascii="宋体" w:hAnsi="宋体" w:eastAsia="宋体" w:cs="宋体"/>
            </w:rPr>
            <w:t>23</w:t>
          </w:r>
          <w:r>
            <w:rPr>
              <w:rFonts w:hint="eastAsia" w:ascii="宋体" w:hAnsi="宋体" w:eastAsia="宋体" w:cs="宋体"/>
            </w:rPr>
            <w:fldChar w:fldCharType="end"/>
          </w:r>
          <w:r>
            <w:rPr>
              <w:rFonts w:hint="eastAsia" w:ascii="宋体" w:hAnsi="宋体" w:eastAsia="宋体" w:cs="宋体"/>
              <w:color w:val="auto"/>
              <w:szCs w:val="32"/>
              <w:highlight w:val="none"/>
            </w:rPr>
            <w:fldChar w:fldCharType="end"/>
          </w:r>
        </w:p>
        <w:p>
          <w:pPr>
            <w:pStyle w:val="17"/>
            <w:keepNext w:val="0"/>
            <w:keepLines w:val="0"/>
            <w:pageBreakBefore w:val="0"/>
            <w:widowControl w:val="0"/>
            <w:tabs>
              <w:tab w:val="right" w:leader="dot" w:pos="8754"/>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color w:val="auto"/>
              <w:szCs w:val="32"/>
              <w:highlight w:val="none"/>
            </w:rPr>
            <w:fldChar w:fldCharType="begin"/>
          </w:r>
          <w:r>
            <w:rPr>
              <w:rFonts w:hint="eastAsia" w:ascii="宋体" w:hAnsi="宋体" w:eastAsia="宋体" w:cs="宋体"/>
              <w:szCs w:val="32"/>
              <w:highlight w:val="none"/>
            </w:rPr>
            <w:instrText xml:space="preserve"> HYPERLINK \l _Toc10942 </w:instrText>
          </w:r>
          <w:r>
            <w:rPr>
              <w:rFonts w:hint="eastAsia" w:ascii="宋体" w:hAnsi="宋体" w:eastAsia="宋体" w:cs="宋体"/>
              <w:szCs w:val="32"/>
              <w:highlight w:val="none"/>
            </w:rPr>
            <w:fldChar w:fldCharType="separate"/>
          </w:r>
          <w:r>
            <w:rPr>
              <w:rFonts w:hint="eastAsia" w:ascii="宋体" w:hAnsi="宋体" w:eastAsia="宋体" w:cs="宋体"/>
              <w:kern w:val="44"/>
            </w:rPr>
            <w:t xml:space="preserve">第四章 </w:t>
          </w:r>
          <w:r>
            <w:rPr>
              <w:rFonts w:hint="eastAsia" w:ascii="宋体" w:hAnsi="宋体" w:eastAsia="宋体" w:cs="宋体"/>
              <w:kern w:val="44"/>
              <w:highlight w:val="none"/>
            </w:rPr>
            <w:t>采购内容及要求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_Toc10942 \h </w:instrText>
          </w:r>
          <w:r>
            <w:rPr>
              <w:rFonts w:hint="eastAsia" w:ascii="宋体" w:hAnsi="宋体" w:eastAsia="宋体" w:cs="宋体"/>
            </w:rPr>
            <w:fldChar w:fldCharType="separate"/>
          </w:r>
          <w:r>
            <w:rPr>
              <w:rFonts w:hint="eastAsia" w:ascii="宋体" w:hAnsi="宋体" w:eastAsia="宋体" w:cs="宋体"/>
            </w:rPr>
            <w:t>32</w:t>
          </w:r>
          <w:r>
            <w:rPr>
              <w:rFonts w:hint="eastAsia" w:ascii="宋体" w:hAnsi="宋体" w:eastAsia="宋体" w:cs="宋体"/>
            </w:rPr>
            <w:fldChar w:fldCharType="end"/>
          </w:r>
          <w:r>
            <w:rPr>
              <w:rFonts w:hint="eastAsia" w:ascii="宋体" w:hAnsi="宋体" w:eastAsia="宋体" w:cs="宋体"/>
              <w:color w:val="auto"/>
              <w:szCs w:val="32"/>
              <w:highlight w:val="none"/>
            </w:rPr>
            <w:fldChar w:fldCharType="end"/>
          </w:r>
        </w:p>
        <w:p>
          <w:pPr>
            <w:pStyle w:val="17"/>
            <w:keepNext w:val="0"/>
            <w:keepLines w:val="0"/>
            <w:pageBreakBefore w:val="0"/>
            <w:widowControl w:val="0"/>
            <w:tabs>
              <w:tab w:val="right" w:leader="dot" w:pos="8754"/>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color w:val="auto"/>
              <w:szCs w:val="32"/>
              <w:highlight w:val="none"/>
            </w:rPr>
            <w:fldChar w:fldCharType="begin"/>
          </w:r>
          <w:r>
            <w:rPr>
              <w:rFonts w:hint="eastAsia" w:ascii="宋体" w:hAnsi="宋体" w:eastAsia="宋体" w:cs="宋体"/>
              <w:szCs w:val="32"/>
              <w:highlight w:val="none"/>
            </w:rPr>
            <w:instrText xml:space="preserve"> HYPERLINK \l _Toc11070 </w:instrText>
          </w:r>
          <w:r>
            <w:rPr>
              <w:rFonts w:hint="eastAsia" w:ascii="宋体" w:hAnsi="宋体" w:eastAsia="宋体" w:cs="宋体"/>
              <w:szCs w:val="32"/>
              <w:highlight w:val="none"/>
            </w:rPr>
            <w:fldChar w:fldCharType="separate"/>
          </w:r>
          <w:r>
            <w:rPr>
              <w:rFonts w:hint="eastAsia" w:ascii="宋体" w:hAnsi="宋体" w:eastAsia="宋体" w:cs="宋体"/>
              <w:kern w:val="44"/>
              <w:highlight w:val="none"/>
              <w:lang w:val="en-US" w:eastAsia="zh-CN"/>
            </w:rPr>
            <w:t>第五章 合同条款</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_Toc11070 \h </w:instrText>
          </w:r>
          <w:r>
            <w:rPr>
              <w:rFonts w:hint="eastAsia" w:ascii="宋体" w:hAnsi="宋体" w:eastAsia="宋体" w:cs="宋体"/>
            </w:rPr>
            <w:fldChar w:fldCharType="separate"/>
          </w:r>
          <w:r>
            <w:rPr>
              <w:rFonts w:hint="eastAsia" w:ascii="宋体" w:hAnsi="宋体" w:eastAsia="宋体" w:cs="宋体"/>
            </w:rPr>
            <w:t>60</w:t>
          </w:r>
          <w:r>
            <w:rPr>
              <w:rFonts w:hint="eastAsia" w:ascii="宋体" w:hAnsi="宋体" w:eastAsia="宋体" w:cs="宋体"/>
            </w:rPr>
            <w:fldChar w:fldCharType="end"/>
          </w:r>
          <w:r>
            <w:rPr>
              <w:rFonts w:hint="eastAsia" w:ascii="宋体" w:hAnsi="宋体" w:eastAsia="宋体" w:cs="宋体"/>
              <w:color w:val="auto"/>
              <w:szCs w:val="32"/>
              <w:highlight w:val="none"/>
            </w:rPr>
            <w:fldChar w:fldCharType="end"/>
          </w:r>
        </w:p>
        <w:p>
          <w:pPr>
            <w:pStyle w:val="17"/>
            <w:keepNext w:val="0"/>
            <w:keepLines w:val="0"/>
            <w:pageBreakBefore w:val="0"/>
            <w:widowControl w:val="0"/>
            <w:tabs>
              <w:tab w:val="right" w:leader="dot" w:pos="8754"/>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color w:val="auto"/>
              <w:szCs w:val="32"/>
              <w:highlight w:val="none"/>
            </w:rPr>
            <w:fldChar w:fldCharType="begin"/>
          </w:r>
          <w:r>
            <w:rPr>
              <w:rFonts w:hint="eastAsia" w:ascii="宋体" w:hAnsi="宋体" w:eastAsia="宋体" w:cs="宋体"/>
              <w:szCs w:val="32"/>
              <w:highlight w:val="none"/>
            </w:rPr>
            <w:instrText xml:space="preserve"> HYPERLINK \l _Toc5284 </w:instrText>
          </w:r>
          <w:r>
            <w:rPr>
              <w:rFonts w:hint="eastAsia" w:ascii="宋体" w:hAnsi="宋体" w:eastAsia="宋体" w:cs="宋体"/>
              <w:szCs w:val="32"/>
              <w:highlight w:val="none"/>
            </w:rPr>
            <w:fldChar w:fldCharType="separate"/>
          </w:r>
          <w:r>
            <w:rPr>
              <w:rFonts w:hint="eastAsia" w:ascii="宋体" w:hAnsi="宋体" w:eastAsia="宋体" w:cs="宋体"/>
              <w:highlight w:val="none"/>
            </w:rPr>
            <w:t>第六章</w:t>
          </w:r>
          <w:r>
            <w:rPr>
              <w:rFonts w:hint="eastAsia" w:ascii="宋体" w:hAnsi="宋体" w:eastAsia="宋体" w:cs="宋体"/>
              <w:highlight w:val="none"/>
              <w:lang w:val="en-US" w:eastAsia="zh-CN"/>
            </w:rPr>
            <w:t xml:space="preserve"> </w:t>
          </w:r>
          <w:r>
            <w:rPr>
              <w:rFonts w:hint="eastAsia" w:ascii="宋体" w:hAnsi="宋体" w:eastAsia="宋体" w:cs="宋体"/>
              <w:highlight w:val="none"/>
            </w:rPr>
            <w:t>投标文件格式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_Toc5284 \h </w:instrText>
          </w:r>
          <w:r>
            <w:rPr>
              <w:rFonts w:hint="eastAsia" w:ascii="宋体" w:hAnsi="宋体" w:eastAsia="宋体" w:cs="宋体"/>
            </w:rPr>
            <w:fldChar w:fldCharType="separate"/>
          </w:r>
          <w:r>
            <w:rPr>
              <w:rFonts w:hint="eastAsia" w:ascii="宋体" w:hAnsi="宋体" w:eastAsia="宋体" w:cs="宋体"/>
            </w:rPr>
            <w:t>67</w:t>
          </w:r>
          <w:r>
            <w:rPr>
              <w:rFonts w:hint="eastAsia" w:ascii="宋体" w:hAnsi="宋体" w:eastAsia="宋体" w:cs="宋体"/>
            </w:rPr>
            <w:fldChar w:fldCharType="end"/>
          </w:r>
          <w:r>
            <w:rPr>
              <w:rFonts w:hint="eastAsia" w:ascii="宋体" w:hAnsi="宋体" w:eastAsia="宋体" w:cs="宋体"/>
              <w:color w:val="auto"/>
              <w:szCs w:val="32"/>
              <w:highlight w:val="none"/>
            </w:rPr>
            <w:fldChar w:fldCharType="end"/>
          </w:r>
        </w:p>
        <w:p>
          <w:pPr>
            <w:pStyle w:val="17"/>
            <w:keepNext w:val="0"/>
            <w:keepLines w:val="0"/>
            <w:pageBreakBefore w:val="0"/>
            <w:widowControl w:val="0"/>
            <w:tabs>
              <w:tab w:val="right" w:leader="dot" w:pos="8754"/>
            </w:tabs>
            <w:kinsoku/>
            <w:wordWrap/>
            <w:overflowPunct/>
            <w:topLinePunct w:val="0"/>
            <w:autoSpaceDE/>
            <w:autoSpaceDN/>
            <w:bidi w:val="0"/>
            <w:adjustRightInd/>
            <w:snapToGrid/>
            <w:spacing w:line="360" w:lineRule="auto"/>
            <w:textAlignment w:val="auto"/>
          </w:pPr>
          <w:r>
            <w:rPr>
              <w:rFonts w:hint="eastAsia" w:ascii="宋体" w:hAnsi="宋体" w:eastAsia="宋体" w:cs="宋体"/>
              <w:color w:val="auto"/>
              <w:szCs w:val="32"/>
              <w:highlight w:val="none"/>
            </w:rPr>
            <w:fldChar w:fldCharType="begin"/>
          </w:r>
          <w:r>
            <w:rPr>
              <w:rFonts w:hint="eastAsia" w:ascii="宋体" w:hAnsi="宋体" w:eastAsia="宋体" w:cs="宋体"/>
              <w:szCs w:val="32"/>
              <w:highlight w:val="none"/>
            </w:rPr>
            <w:instrText xml:space="preserve"> HYPERLINK \l _Toc4505 </w:instrText>
          </w:r>
          <w:r>
            <w:rPr>
              <w:rFonts w:hint="eastAsia" w:ascii="宋体" w:hAnsi="宋体" w:eastAsia="宋体" w:cs="宋体"/>
              <w:szCs w:val="32"/>
              <w:highlight w:val="none"/>
            </w:rPr>
            <w:fldChar w:fldCharType="separate"/>
          </w:r>
          <w:r>
            <w:rPr>
              <w:rFonts w:hint="eastAsia" w:ascii="宋体" w:hAnsi="宋体" w:eastAsia="宋体" w:cs="宋体"/>
              <w:highlight w:val="none"/>
              <w:lang w:val="en-US" w:eastAsia="zh-CN"/>
            </w:rPr>
            <w:t xml:space="preserve">第七章 </w:t>
          </w:r>
          <w:r>
            <w:rPr>
              <w:rFonts w:hint="eastAsia" w:ascii="宋体" w:hAnsi="宋体" w:eastAsia="宋体" w:cs="宋体"/>
              <w:highlight w:val="none"/>
            </w:rPr>
            <w:t>质疑和投诉</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_Toc4505 \h </w:instrText>
          </w:r>
          <w:r>
            <w:rPr>
              <w:rFonts w:hint="eastAsia" w:ascii="宋体" w:hAnsi="宋体" w:eastAsia="宋体" w:cs="宋体"/>
            </w:rPr>
            <w:fldChar w:fldCharType="separate"/>
          </w:r>
          <w:r>
            <w:rPr>
              <w:rFonts w:hint="eastAsia" w:ascii="宋体" w:hAnsi="宋体" w:eastAsia="宋体" w:cs="宋体"/>
            </w:rPr>
            <w:t>90</w:t>
          </w:r>
          <w:r>
            <w:rPr>
              <w:rFonts w:hint="eastAsia" w:ascii="宋体" w:hAnsi="宋体" w:eastAsia="宋体" w:cs="宋体"/>
            </w:rPr>
            <w:fldChar w:fldCharType="end"/>
          </w:r>
          <w:r>
            <w:rPr>
              <w:rFonts w:hint="eastAsia" w:ascii="宋体" w:hAnsi="宋体" w:eastAsia="宋体" w:cs="宋体"/>
              <w:color w:val="auto"/>
              <w:szCs w:val="32"/>
              <w:highlight w:val="none"/>
            </w:rPr>
            <w:fldChar w:fldCharType="end"/>
          </w:r>
        </w:p>
        <w:p>
          <w:pPr>
            <w:pStyle w:val="22"/>
            <w:rPr>
              <w:rFonts w:ascii="宋体" w:hAnsi="宋体"/>
              <w:color w:val="auto"/>
              <w:sz w:val="32"/>
              <w:szCs w:val="32"/>
              <w:highlight w:val="none"/>
            </w:rPr>
          </w:pPr>
          <w:r>
            <w:rPr>
              <w:rFonts w:hint="eastAsia" w:ascii="宋体" w:hAnsi="宋体"/>
              <w:color w:val="auto"/>
              <w:szCs w:val="32"/>
              <w:highlight w:val="none"/>
            </w:rPr>
            <w:fldChar w:fldCharType="end"/>
          </w:r>
        </w:p>
      </w:sdtContent>
    </w:sdt>
    <w:p>
      <w:pPr>
        <w:pStyle w:val="22"/>
        <w:ind w:firstLine="640"/>
        <w:rPr>
          <w:rFonts w:ascii="宋体" w:hAnsi="宋体"/>
          <w:color w:val="auto"/>
          <w:sz w:val="32"/>
          <w:szCs w:val="32"/>
          <w:highlight w:val="none"/>
        </w:rPr>
      </w:pPr>
    </w:p>
    <w:p>
      <w:pPr>
        <w:pStyle w:val="22"/>
        <w:ind w:firstLine="640"/>
        <w:rPr>
          <w:rFonts w:ascii="宋体" w:hAnsi="宋体"/>
          <w:color w:val="auto"/>
          <w:sz w:val="32"/>
          <w:szCs w:val="32"/>
          <w:highlight w:val="none"/>
        </w:rPr>
      </w:pPr>
    </w:p>
    <w:p>
      <w:pPr>
        <w:pStyle w:val="22"/>
        <w:ind w:firstLine="640"/>
        <w:rPr>
          <w:rFonts w:ascii="宋体" w:hAnsi="宋体"/>
          <w:color w:val="auto"/>
          <w:sz w:val="32"/>
          <w:szCs w:val="32"/>
          <w:highlight w:val="none"/>
        </w:rPr>
      </w:pPr>
    </w:p>
    <w:p>
      <w:pPr>
        <w:pStyle w:val="22"/>
        <w:ind w:firstLine="640"/>
        <w:rPr>
          <w:rFonts w:ascii="宋体" w:hAnsi="宋体"/>
          <w:color w:val="auto"/>
          <w:sz w:val="32"/>
          <w:szCs w:val="32"/>
          <w:highlight w:val="none"/>
        </w:rPr>
      </w:pPr>
    </w:p>
    <w:p>
      <w:pPr>
        <w:pStyle w:val="22"/>
        <w:ind w:firstLine="640"/>
        <w:rPr>
          <w:rFonts w:ascii="宋体" w:hAnsi="宋体"/>
          <w:color w:val="auto"/>
          <w:sz w:val="32"/>
          <w:szCs w:val="32"/>
          <w:highlight w:val="none"/>
        </w:rPr>
      </w:pPr>
    </w:p>
    <w:p>
      <w:pPr>
        <w:pStyle w:val="22"/>
        <w:ind w:firstLine="640"/>
        <w:rPr>
          <w:rFonts w:ascii="宋体" w:hAnsi="宋体"/>
          <w:color w:val="auto"/>
          <w:sz w:val="32"/>
          <w:szCs w:val="32"/>
          <w:highlight w:val="none"/>
        </w:rPr>
      </w:pPr>
    </w:p>
    <w:p>
      <w:pPr>
        <w:pStyle w:val="22"/>
        <w:ind w:firstLine="640"/>
        <w:rPr>
          <w:rFonts w:ascii="宋体" w:hAnsi="宋体"/>
          <w:color w:val="auto"/>
          <w:sz w:val="32"/>
          <w:szCs w:val="32"/>
          <w:highlight w:val="none"/>
        </w:rPr>
      </w:pPr>
    </w:p>
    <w:p>
      <w:pPr>
        <w:pStyle w:val="22"/>
        <w:ind w:firstLine="640"/>
        <w:rPr>
          <w:rFonts w:ascii="宋体" w:hAnsi="宋体"/>
          <w:color w:val="auto"/>
          <w:sz w:val="32"/>
          <w:szCs w:val="32"/>
          <w:highlight w:val="none"/>
        </w:rPr>
      </w:pPr>
    </w:p>
    <w:p>
      <w:pPr>
        <w:pStyle w:val="22"/>
        <w:ind w:firstLine="640"/>
        <w:rPr>
          <w:rFonts w:ascii="宋体" w:hAnsi="宋体"/>
          <w:color w:val="auto"/>
          <w:sz w:val="32"/>
          <w:szCs w:val="32"/>
          <w:highlight w:val="none"/>
        </w:rPr>
      </w:pPr>
    </w:p>
    <w:p>
      <w:pPr>
        <w:pStyle w:val="22"/>
        <w:ind w:firstLine="640"/>
        <w:rPr>
          <w:rFonts w:ascii="宋体" w:hAnsi="宋体"/>
          <w:color w:val="auto"/>
          <w:sz w:val="32"/>
          <w:szCs w:val="32"/>
          <w:highlight w:val="none"/>
        </w:rPr>
      </w:pPr>
    </w:p>
    <w:p>
      <w:pPr>
        <w:pStyle w:val="22"/>
        <w:ind w:firstLine="640"/>
        <w:rPr>
          <w:rFonts w:ascii="宋体" w:hAnsi="宋体"/>
          <w:color w:val="auto"/>
          <w:sz w:val="32"/>
          <w:szCs w:val="32"/>
          <w:highlight w:val="none"/>
        </w:rPr>
      </w:pPr>
    </w:p>
    <w:p>
      <w:pPr>
        <w:pStyle w:val="22"/>
        <w:ind w:firstLine="640"/>
        <w:rPr>
          <w:rFonts w:ascii="宋体" w:hAnsi="宋体"/>
          <w:color w:val="auto"/>
          <w:sz w:val="32"/>
          <w:szCs w:val="32"/>
          <w:highlight w:val="none"/>
        </w:rPr>
      </w:pPr>
    </w:p>
    <w:p>
      <w:pPr>
        <w:rPr>
          <w:rFonts w:ascii="宋体" w:hAnsi="宋体"/>
          <w:b/>
          <w:bCs/>
          <w:color w:val="auto"/>
          <w:sz w:val="32"/>
          <w:szCs w:val="32"/>
          <w:highlight w:val="none"/>
        </w:rPr>
      </w:pPr>
      <w:bookmarkStart w:id="0" w:name="_Toc674"/>
      <w:bookmarkStart w:id="1" w:name="_Toc9496"/>
      <w:r>
        <w:rPr>
          <w:rFonts w:hint="eastAsia" w:ascii="宋体" w:hAnsi="宋体"/>
          <w:b/>
          <w:bCs/>
          <w:color w:val="auto"/>
          <w:sz w:val="32"/>
          <w:szCs w:val="32"/>
          <w:highlight w:val="none"/>
        </w:rPr>
        <w:br w:type="page"/>
      </w:r>
    </w:p>
    <w:p>
      <w:pPr>
        <w:spacing w:line="360" w:lineRule="auto"/>
        <w:ind w:firstLine="643" w:firstLineChars="200"/>
        <w:jc w:val="center"/>
        <w:outlineLvl w:val="0"/>
        <w:rPr>
          <w:rFonts w:ascii="宋体" w:hAnsi="宋体"/>
          <w:b/>
          <w:bCs/>
          <w:color w:val="auto"/>
          <w:sz w:val="32"/>
          <w:szCs w:val="32"/>
          <w:highlight w:val="none"/>
        </w:rPr>
      </w:pPr>
      <w:bookmarkStart w:id="2" w:name="_Toc19698"/>
      <w:r>
        <w:rPr>
          <w:rFonts w:hint="eastAsia" w:ascii="宋体" w:hAnsi="宋体"/>
          <w:b/>
          <w:bCs/>
          <w:color w:val="auto"/>
          <w:sz w:val="32"/>
          <w:szCs w:val="32"/>
          <w:highlight w:val="none"/>
        </w:rPr>
        <w:t>第一章 招标公告</w:t>
      </w:r>
      <w:bookmarkEnd w:id="0"/>
      <w:bookmarkEnd w:id="1"/>
      <w:bookmarkEnd w:id="2"/>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313" w:beforeLines="100" w:beforeAutospacing="0" w:after="157" w:afterLines="50" w:afterAutospacing="0" w:line="360" w:lineRule="auto"/>
        <w:ind w:right="0"/>
        <w:jc w:val="center"/>
        <w:textAlignment w:val="auto"/>
        <w:rPr>
          <w:rFonts w:hint="default" w:ascii="宋体" w:hAnsi="宋体" w:eastAsia="宋体" w:cs="宋体"/>
          <w:b/>
          <w:bCs/>
          <w:i w:val="0"/>
          <w:iCs w:val="0"/>
          <w:caps w:val="0"/>
          <w:color w:val="auto"/>
          <w:spacing w:val="0"/>
          <w:sz w:val="28"/>
          <w:szCs w:val="28"/>
          <w:highlight w:val="none"/>
          <w:shd w:val="clear" w:color="auto" w:fill="auto"/>
          <w:lang w:val="en-US" w:eastAsia="zh-CN"/>
        </w:rPr>
      </w:pPr>
      <w:r>
        <w:rPr>
          <w:rFonts w:hint="eastAsia" w:cs="宋体"/>
          <w:b/>
          <w:bCs/>
          <w:i w:val="0"/>
          <w:iCs w:val="0"/>
          <w:caps w:val="0"/>
          <w:color w:val="auto"/>
          <w:spacing w:val="0"/>
          <w:sz w:val="28"/>
          <w:szCs w:val="28"/>
          <w:highlight w:val="none"/>
          <w:shd w:val="clear" w:color="auto" w:fill="auto"/>
          <w:lang w:eastAsia="zh-CN"/>
        </w:rPr>
        <w:t>咸阳市中心医院智慧医院建设提升、智慧医疗管理系统建设及环境扩容服务</w:t>
      </w:r>
      <w:r>
        <w:rPr>
          <w:rFonts w:hint="eastAsia" w:cs="宋体"/>
          <w:b/>
          <w:bCs/>
          <w:i w:val="0"/>
          <w:iCs w:val="0"/>
          <w:caps w:val="0"/>
          <w:color w:val="auto"/>
          <w:spacing w:val="0"/>
          <w:sz w:val="28"/>
          <w:szCs w:val="28"/>
          <w:highlight w:val="none"/>
          <w:shd w:val="clear" w:color="auto" w:fill="auto"/>
          <w:lang w:val="en-US" w:eastAsia="zh-CN"/>
        </w:rPr>
        <w:t>招标公告</w:t>
      </w:r>
    </w:p>
    <w:p>
      <w:pPr>
        <w:pStyle w:val="7"/>
        <w:keepNext w:val="0"/>
        <w:keepLines w:val="0"/>
        <w:pageBreakBefore w:val="0"/>
        <w:widowControl/>
        <w:suppressLineNumbers w:val="0"/>
        <w:pBdr>
          <w:top w:val="single" w:color="auto" w:sz="4" w:space="0"/>
          <w:left w:val="single" w:color="auto" w:sz="4" w:space="0"/>
          <w:bottom w:val="single" w:color="auto" w:sz="4" w:space="0"/>
          <w:right w:val="single" w:color="auto" w:sz="4"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baseline"/>
        <w:rPr>
          <w:rFonts w:hint="eastAsia" w:ascii="宋体" w:hAnsi="宋体" w:eastAsia="宋体" w:cs="宋体"/>
          <w:b/>
          <w:bCs/>
          <w:i w:val="0"/>
          <w:iCs w:val="0"/>
          <w:caps w:val="0"/>
          <w:color w:val="auto"/>
          <w:spacing w:val="0"/>
          <w:kern w:val="0"/>
          <w:sz w:val="21"/>
          <w:szCs w:val="21"/>
          <w:highlight w:val="none"/>
          <w:shd w:val="clear" w:color="auto" w:fill="auto"/>
          <w:lang w:val="en-US" w:eastAsia="zh-CN" w:bidi="ar-SA"/>
        </w:rPr>
      </w:pPr>
      <w:r>
        <w:rPr>
          <w:rFonts w:hint="eastAsia" w:ascii="宋体" w:hAnsi="宋体" w:eastAsia="宋体" w:cs="宋体"/>
          <w:b/>
          <w:bCs/>
          <w:i w:val="0"/>
          <w:iCs w:val="0"/>
          <w:caps w:val="0"/>
          <w:color w:val="auto"/>
          <w:spacing w:val="0"/>
          <w:kern w:val="0"/>
          <w:sz w:val="21"/>
          <w:szCs w:val="21"/>
          <w:highlight w:val="none"/>
          <w:shd w:val="clear" w:color="auto" w:fill="auto"/>
          <w:lang w:val="en-US" w:eastAsia="zh-CN" w:bidi="ar-SA"/>
        </w:rPr>
        <w:t>项目概况</w:t>
      </w:r>
    </w:p>
    <w:p>
      <w:pPr>
        <w:pStyle w:val="20"/>
        <w:keepNext w:val="0"/>
        <w:keepLines w:val="0"/>
        <w:pageBreakBefore w:val="0"/>
        <w:widowControl/>
        <w:suppressLineNumbers w:val="0"/>
        <w:pBdr>
          <w:top w:val="single" w:color="auto" w:sz="4" w:space="0"/>
          <w:left w:val="single" w:color="auto" w:sz="4" w:space="0"/>
          <w:bottom w:val="single" w:color="auto" w:sz="4" w:space="0"/>
          <w:right w:val="single" w:color="auto" w:sz="4"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jc w:val="both"/>
        <w:textAlignment w:val="baseline"/>
        <w:rPr>
          <w:rFonts w:hint="eastAsia" w:ascii="宋体" w:hAnsi="宋体" w:eastAsia="宋体" w:cs="宋体"/>
          <w:b w:val="0"/>
          <w:bCs w:val="0"/>
          <w:i w:val="0"/>
          <w:iCs w:val="0"/>
          <w:caps w:val="0"/>
          <w:color w:val="auto"/>
          <w:spacing w:val="0"/>
          <w:kern w:val="0"/>
          <w:sz w:val="21"/>
          <w:szCs w:val="21"/>
          <w:highlight w:val="none"/>
          <w:shd w:val="clear" w:color="auto" w:fill="auto"/>
          <w:lang w:val="en-US" w:eastAsia="zh-CN" w:bidi="ar-SA"/>
        </w:rPr>
      </w:pPr>
      <w:r>
        <w:rPr>
          <w:rFonts w:hint="eastAsia" w:ascii="宋体" w:hAnsi="宋体" w:eastAsia="宋体" w:cs="宋体"/>
          <w:b w:val="0"/>
          <w:bCs w:val="0"/>
          <w:i w:val="0"/>
          <w:iCs w:val="0"/>
          <w:caps w:val="0"/>
          <w:color w:val="auto"/>
          <w:spacing w:val="0"/>
          <w:kern w:val="0"/>
          <w:sz w:val="21"/>
          <w:szCs w:val="21"/>
          <w:highlight w:val="none"/>
          <w:shd w:val="clear" w:color="auto" w:fill="auto"/>
          <w:lang w:val="en-US" w:eastAsia="zh-CN" w:bidi="ar-SA"/>
        </w:rPr>
        <w:t>智慧医院建设提升、智慧医疗管理系统建设及环境扩容服务招标项目的潜在投标人应在西安市高新区沣惠南路34号摩尔中心A座24层获取招标文件，并于2023年12月13日 09时30分（北京时间）前递交投标文件。</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lang w:val="en-US" w:eastAsia="zh-CN"/>
        </w:rPr>
      </w:pP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157" w:beforeLines="50" w:beforeAutospacing="0" w:after="157" w:afterLines="50" w:afterAutospacing="0" w:line="360" w:lineRule="auto"/>
        <w:ind w:right="0"/>
        <w:textAlignment w:val="auto"/>
        <w:rPr>
          <w:rFonts w:hint="eastAsia" w:ascii="宋体" w:hAnsi="宋体" w:eastAsia="宋体" w:cs="宋体"/>
          <w:b/>
          <w:bCs/>
          <w:i w:val="0"/>
          <w:iCs w:val="0"/>
          <w:caps w:val="0"/>
          <w:color w:val="auto"/>
          <w:spacing w:val="0"/>
          <w:sz w:val="21"/>
          <w:szCs w:val="21"/>
          <w:highlight w:val="none"/>
          <w:shd w:val="clear" w:color="auto" w:fill="auto"/>
        </w:rPr>
      </w:pPr>
      <w:r>
        <w:rPr>
          <w:rFonts w:hint="eastAsia" w:ascii="宋体" w:hAnsi="宋体" w:eastAsia="宋体" w:cs="宋体"/>
          <w:b/>
          <w:bCs/>
          <w:i w:val="0"/>
          <w:iCs w:val="0"/>
          <w:caps w:val="0"/>
          <w:color w:val="auto"/>
          <w:spacing w:val="0"/>
          <w:sz w:val="21"/>
          <w:szCs w:val="21"/>
          <w:highlight w:val="none"/>
          <w:shd w:val="clear" w:color="auto" w:fill="auto"/>
        </w:rPr>
        <w:t>一、项目基本情况</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项目编号：E-234132XA011</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项目名称：智慧医院建设提升、智慧医疗管理系统建设及环境扩容服务</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采购方式：公开招标</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预算金额：21,730,000.00元</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采购需求：</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840" w:firstLineChars="4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合同包1(互联网医院功能深化等项目):</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1050" w:firstLineChars="5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合同包预算金额：9,200,000.00元</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1050" w:firstLineChars="5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合同包最高限价：8,500,000.00元</w:t>
      </w:r>
    </w:p>
    <w:tbl>
      <w:tblPr>
        <w:tblStyle w:val="24"/>
        <w:tblW w:w="0" w:type="auto"/>
        <w:tblInd w:w="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1125"/>
        <w:gridCol w:w="1155"/>
        <w:gridCol w:w="977"/>
        <w:gridCol w:w="1584"/>
        <w:gridCol w:w="1479"/>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787" w:type="dxa"/>
            <w:vAlign w:val="center"/>
          </w:tcPr>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default" w:ascii="宋体" w:hAnsi="宋体" w:eastAsia="宋体" w:cs="宋体"/>
                <w:b/>
                <w:bCs/>
                <w:i w:val="0"/>
                <w:iCs w:val="0"/>
                <w:caps w:val="0"/>
                <w:color w:val="auto"/>
                <w:spacing w:val="0"/>
                <w:sz w:val="21"/>
                <w:szCs w:val="21"/>
                <w:highlight w:val="none"/>
                <w:shd w:val="clear" w:color="auto" w:fill="auto"/>
                <w:vertAlign w:val="baseline"/>
                <w:lang w:val="en-US" w:eastAsia="zh-CN"/>
              </w:rPr>
            </w:pPr>
            <w:r>
              <w:rPr>
                <w:rFonts w:hint="eastAsia" w:cs="宋体"/>
                <w:b/>
                <w:bCs/>
                <w:i w:val="0"/>
                <w:iCs w:val="0"/>
                <w:caps w:val="0"/>
                <w:color w:val="auto"/>
                <w:spacing w:val="0"/>
                <w:sz w:val="21"/>
                <w:szCs w:val="21"/>
                <w:highlight w:val="none"/>
                <w:shd w:val="clear" w:color="auto" w:fill="auto"/>
                <w:vertAlign w:val="baseline"/>
                <w:lang w:val="en-US" w:eastAsia="zh-CN"/>
              </w:rPr>
              <w:t>品目号</w:t>
            </w:r>
          </w:p>
        </w:tc>
        <w:tc>
          <w:tcPr>
            <w:tcW w:w="1125" w:type="dxa"/>
            <w:vAlign w:val="center"/>
          </w:tcPr>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default" w:ascii="宋体" w:hAnsi="宋体" w:eastAsia="宋体" w:cs="宋体"/>
                <w:b/>
                <w:bCs/>
                <w:i w:val="0"/>
                <w:iCs w:val="0"/>
                <w:caps w:val="0"/>
                <w:color w:val="auto"/>
                <w:spacing w:val="0"/>
                <w:sz w:val="21"/>
                <w:szCs w:val="21"/>
                <w:highlight w:val="none"/>
                <w:shd w:val="clear" w:color="auto" w:fill="auto"/>
                <w:vertAlign w:val="baseline"/>
                <w:lang w:val="en-US" w:eastAsia="zh-CN"/>
              </w:rPr>
            </w:pPr>
            <w:r>
              <w:rPr>
                <w:rFonts w:hint="eastAsia" w:cs="宋体"/>
                <w:b/>
                <w:bCs/>
                <w:i w:val="0"/>
                <w:iCs w:val="0"/>
                <w:caps w:val="0"/>
                <w:color w:val="auto"/>
                <w:spacing w:val="0"/>
                <w:sz w:val="21"/>
                <w:szCs w:val="21"/>
                <w:highlight w:val="none"/>
                <w:shd w:val="clear" w:color="auto" w:fill="auto"/>
                <w:vertAlign w:val="baseline"/>
                <w:lang w:val="en-US" w:eastAsia="zh-CN"/>
              </w:rPr>
              <w:t>品目名称</w:t>
            </w:r>
          </w:p>
        </w:tc>
        <w:tc>
          <w:tcPr>
            <w:tcW w:w="1155" w:type="dxa"/>
            <w:vAlign w:val="center"/>
          </w:tcPr>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采购标的</w:t>
            </w:r>
          </w:p>
        </w:tc>
        <w:tc>
          <w:tcPr>
            <w:tcW w:w="977" w:type="dxa"/>
            <w:vAlign w:val="center"/>
          </w:tcPr>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数量（单位）</w:t>
            </w:r>
          </w:p>
        </w:tc>
        <w:tc>
          <w:tcPr>
            <w:tcW w:w="0" w:type="auto"/>
            <w:vAlign w:val="center"/>
          </w:tcPr>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技术规格、参数及要求</w:t>
            </w:r>
          </w:p>
        </w:tc>
        <w:tc>
          <w:tcPr>
            <w:tcW w:w="0" w:type="auto"/>
            <w:vAlign w:val="center"/>
          </w:tcPr>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品目预算(元)</w:t>
            </w:r>
          </w:p>
        </w:tc>
        <w:tc>
          <w:tcPr>
            <w:tcW w:w="0" w:type="auto"/>
            <w:vAlign w:val="center"/>
          </w:tcPr>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787" w:type="dxa"/>
            <w:vAlign w:val="center"/>
          </w:tcPr>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b w:val="0"/>
                <w:bCs w:val="0"/>
                <w:i w:val="0"/>
                <w:iCs w:val="0"/>
                <w:caps w:val="0"/>
                <w:color w:val="auto"/>
                <w:spacing w:val="0"/>
                <w:sz w:val="21"/>
                <w:szCs w:val="21"/>
                <w:highlight w:val="none"/>
                <w:shd w:val="clear" w:color="auto" w:fill="auto"/>
                <w:vertAlign w:val="baseline"/>
              </w:rPr>
              <w:t>1-1</w:t>
            </w:r>
          </w:p>
        </w:tc>
        <w:tc>
          <w:tcPr>
            <w:tcW w:w="1125" w:type="dxa"/>
            <w:vAlign w:val="center"/>
          </w:tcPr>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b w:val="0"/>
                <w:bCs w:val="0"/>
                <w:i w:val="0"/>
                <w:iCs w:val="0"/>
                <w:caps w:val="0"/>
                <w:color w:val="auto"/>
                <w:spacing w:val="0"/>
                <w:sz w:val="21"/>
                <w:szCs w:val="21"/>
                <w:highlight w:val="none"/>
                <w:shd w:val="clear" w:color="auto" w:fill="auto"/>
                <w:vertAlign w:val="baseline"/>
              </w:rPr>
              <w:t>行业应用软件开发服务</w:t>
            </w:r>
          </w:p>
        </w:tc>
        <w:tc>
          <w:tcPr>
            <w:tcW w:w="1155" w:type="dxa"/>
            <w:vAlign w:val="center"/>
          </w:tcPr>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b w:val="0"/>
                <w:bCs w:val="0"/>
                <w:i w:val="0"/>
                <w:iCs w:val="0"/>
                <w:caps w:val="0"/>
                <w:color w:val="auto"/>
                <w:spacing w:val="0"/>
                <w:sz w:val="21"/>
                <w:szCs w:val="21"/>
                <w:highlight w:val="none"/>
                <w:shd w:val="clear" w:color="auto" w:fill="auto"/>
                <w:vertAlign w:val="baseline"/>
              </w:rPr>
              <w:t>9200000</w:t>
            </w:r>
          </w:p>
        </w:tc>
        <w:tc>
          <w:tcPr>
            <w:tcW w:w="977" w:type="dxa"/>
            <w:vAlign w:val="center"/>
          </w:tcPr>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b w:val="0"/>
                <w:bCs w:val="0"/>
                <w:i w:val="0"/>
                <w:iCs w:val="0"/>
                <w:caps w:val="0"/>
                <w:color w:val="auto"/>
                <w:spacing w:val="0"/>
                <w:sz w:val="21"/>
                <w:szCs w:val="21"/>
                <w:highlight w:val="none"/>
                <w:shd w:val="clear" w:color="auto" w:fill="auto"/>
                <w:vertAlign w:val="baseline"/>
              </w:rPr>
              <w:t>1(项)</w:t>
            </w:r>
          </w:p>
        </w:tc>
        <w:tc>
          <w:tcPr>
            <w:tcW w:w="0" w:type="auto"/>
            <w:vAlign w:val="center"/>
          </w:tcPr>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b w:val="0"/>
                <w:bCs w:val="0"/>
                <w:i w:val="0"/>
                <w:iCs w:val="0"/>
                <w:caps w:val="0"/>
                <w:color w:val="auto"/>
                <w:spacing w:val="0"/>
                <w:sz w:val="21"/>
                <w:szCs w:val="21"/>
                <w:highlight w:val="none"/>
                <w:shd w:val="clear" w:color="auto" w:fill="auto"/>
                <w:vertAlign w:val="baseline"/>
              </w:rPr>
              <w:t>详见采购文件</w:t>
            </w:r>
          </w:p>
        </w:tc>
        <w:tc>
          <w:tcPr>
            <w:tcW w:w="0" w:type="auto"/>
            <w:vAlign w:val="center"/>
          </w:tcPr>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b w:val="0"/>
                <w:bCs w:val="0"/>
                <w:i w:val="0"/>
                <w:iCs w:val="0"/>
                <w:caps w:val="0"/>
                <w:color w:val="auto"/>
                <w:spacing w:val="0"/>
                <w:sz w:val="21"/>
                <w:szCs w:val="21"/>
                <w:highlight w:val="none"/>
                <w:shd w:val="clear" w:color="auto" w:fill="auto"/>
                <w:vertAlign w:val="baseline"/>
              </w:rPr>
              <w:t>9,200,000.00</w:t>
            </w:r>
          </w:p>
        </w:tc>
        <w:tc>
          <w:tcPr>
            <w:tcW w:w="0" w:type="auto"/>
            <w:vAlign w:val="center"/>
          </w:tcPr>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b w:val="0"/>
                <w:bCs w:val="0"/>
                <w:i w:val="0"/>
                <w:iCs w:val="0"/>
                <w:caps w:val="0"/>
                <w:color w:val="auto"/>
                <w:spacing w:val="0"/>
                <w:sz w:val="21"/>
                <w:szCs w:val="21"/>
                <w:highlight w:val="none"/>
                <w:shd w:val="clear" w:color="auto" w:fill="auto"/>
                <w:vertAlign w:val="baseline"/>
              </w:rPr>
              <w:t>8,500,000.00</w:t>
            </w:r>
          </w:p>
        </w:tc>
      </w:tr>
    </w:tbl>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157" w:beforeLines="50" w:beforeAutospacing="0" w:after="0" w:afterAutospacing="0" w:line="360" w:lineRule="auto"/>
        <w:ind w:left="0" w:leftChars="0" w:right="0" w:firstLine="1050" w:firstLineChars="5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本合同包不接受联合体投标</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1050" w:firstLineChars="5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合同履行期限：6个月</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840" w:firstLineChars="4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合同包2(康复中心信息管理系统):</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1050" w:firstLineChars="5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合同包预算金额：1,100,000.00元</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1050" w:firstLineChars="5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合同包最高限价：1,100,000.00元</w:t>
      </w:r>
    </w:p>
    <w:tbl>
      <w:tblPr>
        <w:tblStyle w:val="24"/>
        <w:tblW w:w="0" w:type="auto"/>
        <w:tblInd w:w="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1125"/>
        <w:gridCol w:w="1155"/>
        <w:gridCol w:w="977"/>
        <w:gridCol w:w="1584"/>
        <w:gridCol w:w="1479"/>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787" w:type="dxa"/>
            <w:vAlign w:val="center"/>
          </w:tcPr>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default" w:ascii="宋体" w:hAnsi="宋体" w:eastAsia="宋体" w:cs="宋体"/>
                <w:b/>
                <w:bCs/>
                <w:i w:val="0"/>
                <w:iCs w:val="0"/>
                <w:caps w:val="0"/>
                <w:color w:val="auto"/>
                <w:spacing w:val="0"/>
                <w:sz w:val="21"/>
                <w:szCs w:val="21"/>
                <w:highlight w:val="none"/>
                <w:shd w:val="clear" w:color="auto" w:fill="auto"/>
                <w:vertAlign w:val="baseline"/>
                <w:lang w:val="en-US" w:eastAsia="zh-CN"/>
              </w:rPr>
            </w:pPr>
            <w:r>
              <w:rPr>
                <w:rFonts w:hint="eastAsia" w:cs="宋体"/>
                <w:b/>
                <w:bCs/>
                <w:i w:val="0"/>
                <w:iCs w:val="0"/>
                <w:caps w:val="0"/>
                <w:color w:val="auto"/>
                <w:spacing w:val="0"/>
                <w:sz w:val="21"/>
                <w:szCs w:val="21"/>
                <w:highlight w:val="none"/>
                <w:shd w:val="clear" w:color="auto" w:fill="auto"/>
                <w:vertAlign w:val="baseline"/>
                <w:lang w:val="en-US" w:eastAsia="zh-CN"/>
              </w:rPr>
              <w:t>品目号</w:t>
            </w:r>
          </w:p>
        </w:tc>
        <w:tc>
          <w:tcPr>
            <w:tcW w:w="1125" w:type="dxa"/>
            <w:vAlign w:val="center"/>
          </w:tcPr>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default" w:ascii="宋体" w:hAnsi="宋体" w:eastAsia="宋体" w:cs="宋体"/>
                <w:b/>
                <w:bCs/>
                <w:i w:val="0"/>
                <w:iCs w:val="0"/>
                <w:caps w:val="0"/>
                <w:color w:val="auto"/>
                <w:spacing w:val="0"/>
                <w:sz w:val="21"/>
                <w:szCs w:val="21"/>
                <w:highlight w:val="none"/>
                <w:shd w:val="clear" w:color="auto" w:fill="auto"/>
                <w:vertAlign w:val="baseline"/>
                <w:lang w:val="en-US" w:eastAsia="zh-CN"/>
              </w:rPr>
            </w:pPr>
            <w:r>
              <w:rPr>
                <w:rFonts w:hint="eastAsia" w:cs="宋体"/>
                <w:b/>
                <w:bCs/>
                <w:i w:val="0"/>
                <w:iCs w:val="0"/>
                <w:caps w:val="0"/>
                <w:color w:val="auto"/>
                <w:spacing w:val="0"/>
                <w:sz w:val="21"/>
                <w:szCs w:val="21"/>
                <w:highlight w:val="none"/>
                <w:shd w:val="clear" w:color="auto" w:fill="auto"/>
                <w:vertAlign w:val="baseline"/>
                <w:lang w:val="en-US" w:eastAsia="zh-CN"/>
              </w:rPr>
              <w:t>品目名称</w:t>
            </w:r>
          </w:p>
        </w:tc>
        <w:tc>
          <w:tcPr>
            <w:tcW w:w="1155" w:type="dxa"/>
            <w:vAlign w:val="center"/>
          </w:tcPr>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采购标的</w:t>
            </w:r>
          </w:p>
        </w:tc>
        <w:tc>
          <w:tcPr>
            <w:tcW w:w="977" w:type="dxa"/>
            <w:vAlign w:val="center"/>
          </w:tcPr>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数量（单位）</w:t>
            </w:r>
          </w:p>
        </w:tc>
        <w:tc>
          <w:tcPr>
            <w:tcW w:w="0" w:type="auto"/>
            <w:vAlign w:val="center"/>
          </w:tcPr>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技术规格、参数及要求</w:t>
            </w:r>
          </w:p>
        </w:tc>
        <w:tc>
          <w:tcPr>
            <w:tcW w:w="0" w:type="auto"/>
            <w:vAlign w:val="center"/>
          </w:tcPr>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品目预算(元)</w:t>
            </w:r>
          </w:p>
        </w:tc>
        <w:tc>
          <w:tcPr>
            <w:tcW w:w="0" w:type="auto"/>
            <w:vAlign w:val="center"/>
          </w:tcPr>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787"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color w:val="auto"/>
                <w:highlight w:val="none"/>
              </w:rPr>
              <w:t>2-1</w:t>
            </w:r>
          </w:p>
        </w:tc>
        <w:tc>
          <w:tcPr>
            <w:tcW w:w="112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color w:val="auto"/>
                <w:highlight w:val="none"/>
              </w:rPr>
              <w:t>行业应用软件开发服务</w:t>
            </w:r>
          </w:p>
        </w:tc>
        <w:tc>
          <w:tcPr>
            <w:tcW w:w="115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color w:val="auto"/>
                <w:highlight w:val="none"/>
              </w:rPr>
              <w:t>1100000</w:t>
            </w:r>
          </w:p>
        </w:tc>
        <w:tc>
          <w:tcPr>
            <w:tcW w:w="977"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color w:val="auto"/>
                <w:highlight w:val="none"/>
              </w:rPr>
              <w:t>1(项)</w:t>
            </w:r>
          </w:p>
        </w:tc>
        <w:tc>
          <w:tcPr>
            <w:tcW w:w="0" w:type="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color w:val="auto"/>
                <w:highlight w:val="none"/>
              </w:rPr>
              <w:t>详见采购文件</w:t>
            </w:r>
          </w:p>
        </w:tc>
        <w:tc>
          <w:tcPr>
            <w:tcW w:w="0" w:type="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color w:val="auto"/>
                <w:highlight w:val="none"/>
              </w:rPr>
              <w:t>1,100,000.00</w:t>
            </w:r>
          </w:p>
        </w:tc>
        <w:tc>
          <w:tcPr>
            <w:tcW w:w="0" w:type="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color w:val="auto"/>
                <w:highlight w:val="none"/>
              </w:rPr>
              <w:t>1,100,000.00</w:t>
            </w:r>
          </w:p>
        </w:tc>
      </w:tr>
    </w:tbl>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157" w:beforeLines="50" w:beforeAutospacing="0" w:after="0" w:afterAutospacing="0" w:line="360" w:lineRule="auto"/>
        <w:ind w:left="0" w:leftChars="0" w:right="0" w:firstLine="1050" w:firstLineChars="5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本合同包不接受联合体投标</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1050" w:firstLineChars="5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合同履行期限：6个月</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840" w:firstLineChars="4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合同包3(区域医疗中心建设):</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1050" w:firstLineChars="5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合同包预算金额：2,500,000.00元</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1050" w:firstLineChars="5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合同包最高限价：2,000,000.00元</w:t>
      </w:r>
    </w:p>
    <w:tbl>
      <w:tblPr>
        <w:tblStyle w:val="24"/>
        <w:tblW w:w="0" w:type="auto"/>
        <w:tblInd w:w="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1125"/>
        <w:gridCol w:w="1155"/>
        <w:gridCol w:w="977"/>
        <w:gridCol w:w="1584"/>
        <w:gridCol w:w="1479"/>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787" w:type="dxa"/>
            <w:vAlign w:val="center"/>
          </w:tcPr>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default" w:ascii="宋体" w:hAnsi="宋体" w:eastAsia="宋体" w:cs="宋体"/>
                <w:b/>
                <w:bCs/>
                <w:i w:val="0"/>
                <w:iCs w:val="0"/>
                <w:caps w:val="0"/>
                <w:color w:val="auto"/>
                <w:spacing w:val="0"/>
                <w:sz w:val="21"/>
                <w:szCs w:val="21"/>
                <w:highlight w:val="none"/>
                <w:shd w:val="clear" w:color="auto" w:fill="auto"/>
                <w:vertAlign w:val="baseline"/>
                <w:lang w:val="en-US" w:eastAsia="zh-CN"/>
              </w:rPr>
            </w:pPr>
            <w:bookmarkStart w:id="3" w:name="_Toc1447"/>
            <w:bookmarkStart w:id="4" w:name="_Toc5339"/>
            <w:bookmarkStart w:id="5" w:name="_Toc18266"/>
            <w:r>
              <w:rPr>
                <w:rFonts w:hint="eastAsia" w:cs="宋体"/>
                <w:b/>
                <w:bCs/>
                <w:i w:val="0"/>
                <w:iCs w:val="0"/>
                <w:caps w:val="0"/>
                <w:color w:val="auto"/>
                <w:spacing w:val="0"/>
                <w:sz w:val="21"/>
                <w:szCs w:val="21"/>
                <w:highlight w:val="none"/>
                <w:shd w:val="clear" w:color="auto" w:fill="auto"/>
                <w:vertAlign w:val="baseline"/>
                <w:lang w:val="en-US" w:eastAsia="zh-CN"/>
              </w:rPr>
              <w:t>品目号</w:t>
            </w:r>
          </w:p>
        </w:tc>
        <w:tc>
          <w:tcPr>
            <w:tcW w:w="1125" w:type="dxa"/>
            <w:vAlign w:val="center"/>
          </w:tcPr>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default" w:ascii="宋体" w:hAnsi="宋体" w:eastAsia="宋体" w:cs="宋体"/>
                <w:b/>
                <w:bCs/>
                <w:i w:val="0"/>
                <w:iCs w:val="0"/>
                <w:caps w:val="0"/>
                <w:color w:val="auto"/>
                <w:spacing w:val="0"/>
                <w:sz w:val="21"/>
                <w:szCs w:val="21"/>
                <w:highlight w:val="none"/>
                <w:shd w:val="clear" w:color="auto" w:fill="auto"/>
                <w:vertAlign w:val="baseline"/>
                <w:lang w:val="en-US" w:eastAsia="zh-CN"/>
              </w:rPr>
            </w:pPr>
            <w:r>
              <w:rPr>
                <w:rFonts w:hint="eastAsia" w:cs="宋体"/>
                <w:b/>
                <w:bCs/>
                <w:i w:val="0"/>
                <w:iCs w:val="0"/>
                <w:caps w:val="0"/>
                <w:color w:val="auto"/>
                <w:spacing w:val="0"/>
                <w:sz w:val="21"/>
                <w:szCs w:val="21"/>
                <w:highlight w:val="none"/>
                <w:shd w:val="clear" w:color="auto" w:fill="auto"/>
                <w:vertAlign w:val="baseline"/>
                <w:lang w:val="en-US" w:eastAsia="zh-CN"/>
              </w:rPr>
              <w:t>品目名称</w:t>
            </w:r>
          </w:p>
        </w:tc>
        <w:tc>
          <w:tcPr>
            <w:tcW w:w="1155" w:type="dxa"/>
            <w:vAlign w:val="center"/>
          </w:tcPr>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采购标的</w:t>
            </w:r>
          </w:p>
        </w:tc>
        <w:tc>
          <w:tcPr>
            <w:tcW w:w="977" w:type="dxa"/>
            <w:vAlign w:val="center"/>
          </w:tcPr>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数量（单位）</w:t>
            </w:r>
          </w:p>
        </w:tc>
        <w:tc>
          <w:tcPr>
            <w:tcW w:w="0" w:type="auto"/>
            <w:vAlign w:val="center"/>
          </w:tcPr>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技术规格、参数及要求</w:t>
            </w:r>
          </w:p>
        </w:tc>
        <w:tc>
          <w:tcPr>
            <w:tcW w:w="0" w:type="auto"/>
            <w:vAlign w:val="center"/>
          </w:tcPr>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品目预算(元)</w:t>
            </w:r>
          </w:p>
        </w:tc>
        <w:tc>
          <w:tcPr>
            <w:tcW w:w="0" w:type="auto"/>
            <w:vAlign w:val="center"/>
          </w:tcPr>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787"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rPr>
              <w:t>3-1</w:t>
            </w:r>
          </w:p>
        </w:tc>
        <w:tc>
          <w:tcPr>
            <w:tcW w:w="112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rPr>
              <w:t>行业应用软件开发服务</w:t>
            </w:r>
          </w:p>
        </w:tc>
        <w:tc>
          <w:tcPr>
            <w:tcW w:w="115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rPr>
              <w:t>2500000</w:t>
            </w:r>
          </w:p>
        </w:tc>
        <w:tc>
          <w:tcPr>
            <w:tcW w:w="977"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rPr>
              <w:t>1(项)</w:t>
            </w:r>
          </w:p>
        </w:tc>
        <w:tc>
          <w:tcPr>
            <w:tcW w:w="0" w:type="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rPr>
              <w:t>详见采购文件</w:t>
            </w:r>
          </w:p>
        </w:tc>
        <w:tc>
          <w:tcPr>
            <w:tcW w:w="0" w:type="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rPr>
              <w:t>2,500,000.00</w:t>
            </w:r>
          </w:p>
        </w:tc>
        <w:tc>
          <w:tcPr>
            <w:tcW w:w="0" w:type="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rPr>
              <w:t>2,000,000.00</w:t>
            </w:r>
          </w:p>
        </w:tc>
      </w:tr>
    </w:tbl>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157" w:beforeLines="50" w:beforeAutospacing="0" w:after="0" w:afterAutospacing="0" w:line="360" w:lineRule="auto"/>
        <w:ind w:left="0" w:leftChars="0" w:right="0" w:firstLine="1050" w:firstLineChars="5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本合同包不接受联合体投标</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1050" w:firstLineChars="5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合同履行期限：6个月</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840" w:firstLineChars="4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合同包4(智慧医疗管理系统建设及环境扩容服务项目):</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1050" w:firstLineChars="5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合同包预算金额：8,930,000.00元</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1050" w:firstLineChars="5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合同包最高限价：8,930,000.00元</w:t>
      </w:r>
    </w:p>
    <w:tbl>
      <w:tblPr>
        <w:tblStyle w:val="24"/>
        <w:tblW w:w="0" w:type="auto"/>
        <w:tblInd w:w="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1125"/>
        <w:gridCol w:w="1155"/>
        <w:gridCol w:w="977"/>
        <w:gridCol w:w="1584"/>
        <w:gridCol w:w="1479"/>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787" w:type="dxa"/>
            <w:vAlign w:val="center"/>
          </w:tcPr>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default" w:ascii="宋体" w:hAnsi="宋体" w:eastAsia="宋体" w:cs="宋体"/>
                <w:b/>
                <w:bCs/>
                <w:i w:val="0"/>
                <w:iCs w:val="0"/>
                <w:caps w:val="0"/>
                <w:color w:val="auto"/>
                <w:spacing w:val="0"/>
                <w:sz w:val="21"/>
                <w:szCs w:val="21"/>
                <w:highlight w:val="none"/>
                <w:shd w:val="clear" w:color="auto" w:fill="auto"/>
                <w:vertAlign w:val="baseline"/>
                <w:lang w:val="en-US" w:eastAsia="zh-CN"/>
              </w:rPr>
            </w:pPr>
            <w:r>
              <w:rPr>
                <w:rFonts w:hint="eastAsia" w:cs="宋体"/>
                <w:b/>
                <w:bCs/>
                <w:i w:val="0"/>
                <w:iCs w:val="0"/>
                <w:caps w:val="0"/>
                <w:color w:val="auto"/>
                <w:spacing w:val="0"/>
                <w:sz w:val="21"/>
                <w:szCs w:val="21"/>
                <w:highlight w:val="none"/>
                <w:shd w:val="clear" w:color="auto" w:fill="auto"/>
                <w:vertAlign w:val="baseline"/>
                <w:lang w:val="en-US" w:eastAsia="zh-CN"/>
              </w:rPr>
              <w:t>品目号</w:t>
            </w:r>
          </w:p>
        </w:tc>
        <w:tc>
          <w:tcPr>
            <w:tcW w:w="1125" w:type="dxa"/>
            <w:vAlign w:val="center"/>
          </w:tcPr>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default" w:ascii="宋体" w:hAnsi="宋体" w:eastAsia="宋体" w:cs="宋体"/>
                <w:b/>
                <w:bCs/>
                <w:i w:val="0"/>
                <w:iCs w:val="0"/>
                <w:caps w:val="0"/>
                <w:color w:val="auto"/>
                <w:spacing w:val="0"/>
                <w:sz w:val="21"/>
                <w:szCs w:val="21"/>
                <w:highlight w:val="none"/>
                <w:shd w:val="clear" w:color="auto" w:fill="auto"/>
                <w:vertAlign w:val="baseline"/>
                <w:lang w:val="en-US" w:eastAsia="zh-CN"/>
              </w:rPr>
            </w:pPr>
            <w:r>
              <w:rPr>
                <w:rFonts w:hint="eastAsia" w:cs="宋体"/>
                <w:b/>
                <w:bCs/>
                <w:i w:val="0"/>
                <w:iCs w:val="0"/>
                <w:caps w:val="0"/>
                <w:color w:val="auto"/>
                <w:spacing w:val="0"/>
                <w:sz w:val="21"/>
                <w:szCs w:val="21"/>
                <w:highlight w:val="none"/>
                <w:shd w:val="clear" w:color="auto" w:fill="auto"/>
                <w:vertAlign w:val="baseline"/>
                <w:lang w:val="en-US" w:eastAsia="zh-CN"/>
              </w:rPr>
              <w:t>品目名称</w:t>
            </w:r>
          </w:p>
        </w:tc>
        <w:tc>
          <w:tcPr>
            <w:tcW w:w="1155" w:type="dxa"/>
            <w:vAlign w:val="center"/>
          </w:tcPr>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采购标的</w:t>
            </w:r>
          </w:p>
        </w:tc>
        <w:tc>
          <w:tcPr>
            <w:tcW w:w="977" w:type="dxa"/>
            <w:vAlign w:val="center"/>
          </w:tcPr>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数量（单位）</w:t>
            </w:r>
          </w:p>
        </w:tc>
        <w:tc>
          <w:tcPr>
            <w:tcW w:w="0" w:type="auto"/>
            <w:vAlign w:val="center"/>
          </w:tcPr>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技术规格、参数及要求</w:t>
            </w:r>
          </w:p>
        </w:tc>
        <w:tc>
          <w:tcPr>
            <w:tcW w:w="0" w:type="auto"/>
            <w:vAlign w:val="center"/>
          </w:tcPr>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品目预算(元)</w:t>
            </w:r>
          </w:p>
        </w:tc>
        <w:tc>
          <w:tcPr>
            <w:tcW w:w="0" w:type="auto"/>
            <w:vAlign w:val="center"/>
          </w:tcPr>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bCs/>
                <w:i w:val="0"/>
                <w:iCs w:val="0"/>
                <w:caps w:val="0"/>
                <w:color w:val="auto"/>
                <w:spacing w:val="0"/>
                <w:sz w:val="21"/>
                <w:szCs w:val="21"/>
                <w:highlight w:val="none"/>
                <w:shd w:val="clear" w:color="auto" w:fill="auto"/>
                <w:vertAlign w:val="baseline"/>
              </w:rPr>
            </w:pPr>
            <w:r>
              <w:rPr>
                <w:rFonts w:hint="eastAsia" w:ascii="宋体" w:hAnsi="宋体" w:eastAsia="宋体" w:cs="宋体"/>
                <w:b/>
                <w:bCs/>
                <w:i w:val="0"/>
                <w:iCs w:val="0"/>
                <w:caps w:val="0"/>
                <w:color w:val="auto"/>
                <w:spacing w:val="0"/>
                <w:sz w:val="21"/>
                <w:szCs w:val="21"/>
                <w:highlight w:val="none"/>
                <w:shd w:val="clear" w:color="auto" w:fill="auto"/>
                <w:vertAlign w:val="baseline"/>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787"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rPr>
              <w:t>4-1</w:t>
            </w:r>
          </w:p>
        </w:tc>
        <w:tc>
          <w:tcPr>
            <w:tcW w:w="112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rPr>
              <w:t>行业应用软件开发服务</w:t>
            </w:r>
          </w:p>
        </w:tc>
        <w:tc>
          <w:tcPr>
            <w:tcW w:w="115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rPr>
              <w:t>8930000</w:t>
            </w:r>
          </w:p>
        </w:tc>
        <w:tc>
          <w:tcPr>
            <w:tcW w:w="977"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rPr>
              <w:t>1(项)</w:t>
            </w:r>
          </w:p>
        </w:tc>
        <w:tc>
          <w:tcPr>
            <w:tcW w:w="0" w:type="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rPr>
              <w:t>详见采购文件</w:t>
            </w:r>
          </w:p>
        </w:tc>
        <w:tc>
          <w:tcPr>
            <w:tcW w:w="0" w:type="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rPr>
              <w:t>8,930,000.00</w:t>
            </w:r>
          </w:p>
        </w:tc>
        <w:tc>
          <w:tcPr>
            <w:tcW w:w="0" w:type="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宋体" w:hAnsi="宋体" w:eastAsia="宋体" w:cs="宋体"/>
                <w:b w:val="0"/>
                <w:bCs w:val="0"/>
                <w:i w:val="0"/>
                <w:iCs w:val="0"/>
                <w:caps w:val="0"/>
                <w:color w:val="auto"/>
                <w:spacing w:val="0"/>
                <w:sz w:val="21"/>
                <w:szCs w:val="21"/>
                <w:highlight w:val="none"/>
                <w:shd w:val="clear" w:color="auto" w:fill="auto"/>
                <w:vertAlign w:val="baseline"/>
              </w:rPr>
            </w:pPr>
            <w:r>
              <w:rPr>
                <w:rFonts w:hint="eastAsia" w:ascii="宋体" w:hAnsi="宋体" w:eastAsia="宋体" w:cs="宋体"/>
              </w:rPr>
              <w:t>8,930,000.00</w:t>
            </w:r>
          </w:p>
        </w:tc>
      </w:tr>
    </w:tbl>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157" w:beforeLines="50" w:beforeAutospacing="0" w:after="0" w:afterAutospacing="0" w:line="360" w:lineRule="auto"/>
        <w:ind w:left="0" w:leftChars="0" w:right="0" w:firstLine="1050" w:firstLineChars="5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本合同包不接受联合体投标</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1050" w:firstLineChars="5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合同履行期限：6个月</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157" w:beforeLines="50" w:beforeAutospacing="0" w:after="157" w:afterLines="50" w:afterAutospacing="0" w:line="360" w:lineRule="auto"/>
        <w:ind w:right="0"/>
        <w:textAlignment w:val="auto"/>
        <w:rPr>
          <w:rFonts w:hint="eastAsia" w:ascii="宋体" w:hAnsi="宋体" w:eastAsia="宋体" w:cs="宋体"/>
          <w:b/>
          <w:bCs/>
          <w:i w:val="0"/>
          <w:iCs w:val="0"/>
          <w:caps w:val="0"/>
          <w:color w:val="auto"/>
          <w:spacing w:val="0"/>
          <w:sz w:val="21"/>
          <w:szCs w:val="21"/>
          <w:highlight w:val="none"/>
          <w:shd w:val="clear" w:color="auto" w:fill="auto"/>
        </w:rPr>
      </w:pPr>
      <w:r>
        <w:rPr>
          <w:rFonts w:hint="eastAsia" w:ascii="宋体" w:hAnsi="宋体" w:eastAsia="宋体" w:cs="宋体"/>
          <w:b/>
          <w:bCs/>
          <w:i w:val="0"/>
          <w:iCs w:val="0"/>
          <w:caps w:val="0"/>
          <w:color w:val="auto"/>
          <w:spacing w:val="0"/>
          <w:sz w:val="21"/>
          <w:szCs w:val="21"/>
          <w:highlight w:val="none"/>
          <w:shd w:val="clear" w:color="auto" w:fill="auto"/>
        </w:rPr>
        <w:t>二、申请人的资格要求：</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1.满足《中华人民共和国政府采购法》第二十二条规定;</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2.落实政府采购政策需满足的资格要求：</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630" w:leftChars="3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合同包1(互联网医院功能深化等项目)落实政府采购政策需满足的资格要求如下:</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2.1、《政府采购促进中小企业发展管理办法》（财库〔2020〕46号）、《关于政府采购支持监狱企业发展有关问题的通知》（财库〔2014〕68号</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2.2、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2.3、陕西省财政厅关于印发《陕西省中小企业政府采购信用融资办法》（陕财办采〔2018〕23号）。</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2.4、详见招标文件第二章相关事项。</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630" w:leftChars="3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合同包2(康复中心信息管理系统)落实政府采购政策需满足的资格要求如下:</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2.1、《政府采购促进中小企业发展管理办法》（财库〔2020〕46号）、《关于政府采购支持监狱企业发展有关问题的通知》（财库〔2014〕68号</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2.2、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2.3、陕西省财政厅关于印发《陕西省中小企业政府采购信用融资办法》（陕财办采〔2018〕23号）。</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2.4、详见招标文件第二章相关事项。</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630" w:leftChars="3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合同包3(区域医疗中心建设)落实政府采购政策需满足的资格要求如下:</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2.1、《政府采购促进中小企业发展管理办法》（财库〔2020〕46号）、《关于政府采购支持监狱企业发展有关问题的通知》（财库〔2014〕68号</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2.2、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2.3、陕西省财政厅关于印发《陕西省中小企业政府采购信用融资办法》（陕财办采〔2018〕23号）。</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2.4、详见招标文件第二章相关事项。</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630" w:leftChars="3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合同包4(智慧医疗管理系统建设及环境扩容服务项目)落实政府采购政策需满足的资格要求如下:</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2.1、《政府采购促进中小企业发展管理办法》（财库〔2020〕46号）、《关于政府采购支持监狱企业发展有关问题的通知》（财库〔2014〕68号</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2.2、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2.3、陕西省财政厅关于印发《陕西省中小企业政府采购信用融资办法》（陕财办采〔2018〕23号）。</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2.4、详见招标文件第二章相关事项。</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3.本项目的特定资格要求：</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630" w:leftChars="3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合同包1(互联网医院功能深化等项目)特定资格要求如下:</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无</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630" w:leftChars="3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合同包2(康复中心信息管理系统)特定资格要求如下:</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无</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630" w:leftChars="3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合同包3(区域医疗中心建设)特定资格要求如下:</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无</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630" w:leftChars="3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合同包4(智慧医疗管理系统建设及环境扩容服务项目)特定资格要求如下:</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840" w:leftChars="400" w:right="0" w:firstLine="0" w:firstLineChars="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无</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157" w:beforeLines="50" w:beforeAutospacing="0" w:after="157" w:afterLines="50" w:afterAutospacing="0" w:line="360" w:lineRule="auto"/>
        <w:ind w:right="0"/>
        <w:textAlignment w:val="auto"/>
        <w:rPr>
          <w:rFonts w:hint="eastAsia" w:ascii="宋体" w:hAnsi="宋体" w:eastAsia="宋体" w:cs="宋体"/>
          <w:b/>
          <w:bCs/>
          <w:i w:val="0"/>
          <w:iCs w:val="0"/>
          <w:caps w:val="0"/>
          <w:color w:val="auto"/>
          <w:spacing w:val="0"/>
          <w:sz w:val="21"/>
          <w:szCs w:val="21"/>
          <w:highlight w:val="none"/>
          <w:shd w:val="clear" w:color="auto" w:fill="auto"/>
        </w:rPr>
      </w:pPr>
      <w:r>
        <w:rPr>
          <w:rFonts w:hint="eastAsia" w:ascii="宋体" w:hAnsi="宋体" w:eastAsia="宋体" w:cs="宋体"/>
          <w:b/>
          <w:bCs/>
          <w:i w:val="0"/>
          <w:iCs w:val="0"/>
          <w:caps w:val="0"/>
          <w:color w:val="auto"/>
          <w:spacing w:val="0"/>
          <w:sz w:val="21"/>
          <w:szCs w:val="21"/>
          <w:highlight w:val="none"/>
          <w:shd w:val="clear" w:color="auto" w:fill="auto"/>
        </w:rPr>
        <w:t>三、获取招标文件</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时间： 2023年11月23日 至 2023年11月29日 ，每天上午 09:00:00 至 12:00:00 ，下午 12:00:00 至 17:00:00 （北京时间）</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途径：西安市高新区沣惠南路34号摩尔中心A座24层</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方式：现场获取</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售价： 0元</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157" w:beforeLines="50" w:beforeAutospacing="0" w:after="157" w:afterLines="50" w:afterAutospacing="0" w:line="360" w:lineRule="auto"/>
        <w:ind w:right="0"/>
        <w:textAlignment w:val="auto"/>
        <w:rPr>
          <w:rFonts w:hint="eastAsia" w:ascii="宋体" w:hAnsi="宋体" w:eastAsia="宋体" w:cs="宋体"/>
          <w:b/>
          <w:bCs/>
          <w:i w:val="0"/>
          <w:iCs w:val="0"/>
          <w:caps w:val="0"/>
          <w:color w:val="auto"/>
          <w:spacing w:val="0"/>
          <w:sz w:val="21"/>
          <w:szCs w:val="21"/>
          <w:highlight w:val="none"/>
          <w:shd w:val="clear" w:color="auto" w:fill="auto"/>
        </w:rPr>
      </w:pPr>
      <w:r>
        <w:rPr>
          <w:rFonts w:hint="eastAsia" w:ascii="宋体" w:hAnsi="宋体" w:eastAsia="宋体" w:cs="宋体"/>
          <w:b/>
          <w:bCs/>
          <w:i w:val="0"/>
          <w:iCs w:val="0"/>
          <w:caps w:val="0"/>
          <w:color w:val="auto"/>
          <w:spacing w:val="0"/>
          <w:sz w:val="21"/>
          <w:szCs w:val="21"/>
          <w:highlight w:val="none"/>
          <w:shd w:val="clear" w:color="auto" w:fill="auto"/>
        </w:rPr>
        <w:t>四、提交投标文件截止时间、开标时间和地点</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时间： 2023年12月13日 09时30分00秒 （北京时间）</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提交投标文件地点：西安市高新区沣惠南路34号摩尔中心A座24层</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开标地点：西安市高新区沣惠南路34号摩尔中心A座24层</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157" w:beforeLines="50" w:beforeAutospacing="0" w:after="157" w:afterLines="50" w:afterAutospacing="0" w:line="360" w:lineRule="auto"/>
        <w:ind w:right="0"/>
        <w:textAlignment w:val="auto"/>
        <w:rPr>
          <w:rFonts w:hint="eastAsia" w:ascii="宋体" w:hAnsi="宋体" w:eastAsia="宋体" w:cs="宋体"/>
          <w:b/>
          <w:bCs/>
          <w:i w:val="0"/>
          <w:iCs w:val="0"/>
          <w:caps w:val="0"/>
          <w:color w:val="auto"/>
          <w:spacing w:val="0"/>
          <w:sz w:val="21"/>
          <w:szCs w:val="21"/>
          <w:highlight w:val="none"/>
          <w:shd w:val="clear" w:color="auto" w:fill="auto"/>
        </w:rPr>
      </w:pPr>
      <w:r>
        <w:rPr>
          <w:rFonts w:hint="eastAsia" w:ascii="宋体" w:hAnsi="宋体" w:eastAsia="宋体" w:cs="宋体"/>
          <w:b/>
          <w:bCs/>
          <w:i w:val="0"/>
          <w:iCs w:val="0"/>
          <w:caps w:val="0"/>
          <w:color w:val="auto"/>
          <w:spacing w:val="0"/>
          <w:sz w:val="21"/>
          <w:szCs w:val="21"/>
          <w:highlight w:val="none"/>
          <w:shd w:val="clear" w:color="auto" w:fill="auto"/>
        </w:rPr>
        <w:t>五、公告期限</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20" w:firstLineChars="200"/>
        <w:textAlignment w:val="auto"/>
        <w:rPr>
          <w:rFonts w:hint="eastAsia" w:ascii="宋体" w:hAnsi="宋体" w:eastAsia="宋体" w:cs="宋体"/>
          <w:i w:val="0"/>
          <w:iCs w:val="0"/>
          <w:caps w:val="0"/>
          <w:color w:val="auto"/>
          <w:spacing w:val="0"/>
          <w:sz w:val="21"/>
          <w:szCs w:val="21"/>
          <w:highlight w:val="none"/>
          <w:shd w:val="clear" w:color="auto" w:fill="auto"/>
        </w:rPr>
      </w:pPr>
      <w:r>
        <w:rPr>
          <w:rFonts w:hint="eastAsia" w:ascii="宋体" w:hAnsi="宋体" w:eastAsia="宋体" w:cs="宋体"/>
          <w:i w:val="0"/>
          <w:iCs w:val="0"/>
          <w:caps w:val="0"/>
          <w:color w:val="auto"/>
          <w:spacing w:val="0"/>
          <w:sz w:val="21"/>
          <w:szCs w:val="21"/>
          <w:highlight w:val="none"/>
          <w:shd w:val="clear" w:color="auto" w:fill="auto"/>
        </w:rPr>
        <w:t>自本公告发布之日起5个工作日。</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157" w:beforeLines="50" w:beforeAutospacing="0" w:after="157" w:afterLines="50" w:afterAutospacing="0" w:line="360" w:lineRule="auto"/>
        <w:ind w:right="0"/>
        <w:textAlignment w:val="auto"/>
        <w:rPr>
          <w:rFonts w:hint="eastAsia" w:ascii="宋体" w:hAnsi="宋体" w:eastAsia="宋体" w:cs="宋体"/>
          <w:b/>
          <w:bCs/>
          <w:i w:val="0"/>
          <w:iCs w:val="0"/>
          <w:caps w:val="0"/>
          <w:color w:val="auto"/>
          <w:spacing w:val="0"/>
          <w:sz w:val="21"/>
          <w:szCs w:val="21"/>
          <w:highlight w:val="none"/>
          <w:shd w:val="clear" w:color="auto" w:fill="auto"/>
        </w:rPr>
      </w:pPr>
      <w:r>
        <w:rPr>
          <w:rFonts w:hint="eastAsia" w:ascii="宋体" w:hAnsi="宋体" w:eastAsia="宋体" w:cs="宋体"/>
          <w:b/>
          <w:bCs/>
          <w:i w:val="0"/>
          <w:iCs w:val="0"/>
          <w:caps w:val="0"/>
          <w:color w:val="auto"/>
          <w:spacing w:val="0"/>
          <w:sz w:val="21"/>
          <w:szCs w:val="21"/>
          <w:highlight w:val="none"/>
          <w:shd w:val="clear" w:color="auto" w:fill="auto"/>
        </w:rPr>
        <w:t>六、其他补充事宜</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firstLine="420" w:firstLineChars="200"/>
        <w:textAlignment w:val="auto"/>
        <w:rPr>
          <w:rFonts w:hint="eastAsia" w:ascii="宋体" w:hAnsi="宋体" w:eastAsia="宋体" w:cs="宋体"/>
          <w:b w:val="0"/>
          <w:bCs w:val="0"/>
          <w:i w:val="0"/>
          <w:iCs w:val="0"/>
          <w:caps w:val="0"/>
          <w:color w:val="auto"/>
          <w:spacing w:val="0"/>
          <w:sz w:val="21"/>
          <w:szCs w:val="21"/>
          <w:highlight w:val="none"/>
          <w:shd w:val="clear" w:color="auto" w:fill="auto"/>
        </w:rPr>
      </w:pPr>
      <w:r>
        <w:rPr>
          <w:rFonts w:hint="eastAsia" w:ascii="宋体" w:hAnsi="宋体" w:eastAsia="宋体" w:cs="宋体"/>
          <w:b w:val="0"/>
          <w:bCs w:val="0"/>
          <w:i w:val="0"/>
          <w:iCs w:val="0"/>
          <w:caps w:val="0"/>
          <w:color w:val="auto"/>
          <w:spacing w:val="0"/>
          <w:sz w:val="21"/>
          <w:szCs w:val="21"/>
          <w:highlight w:val="none"/>
          <w:shd w:val="clear" w:color="auto" w:fill="auto"/>
        </w:rPr>
        <w:t>1、凡有意愿报名者需提供真实有效的信息，符合政府采购法第二十二条规定，持单位介绍信、被委托人身份证原件及复印件至本代理机构领取招标文件。</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firstLine="420" w:firstLineChars="200"/>
        <w:textAlignment w:val="auto"/>
        <w:rPr>
          <w:rFonts w:hint="eastAsia" w:ascii="宋体" w:hAnsi="宋体" w:eastAsia="宋体" w:cs="宋体"/>
          <w:b w:val="0"/>
          <w:bCs w:val="0"/>
          <w:i w:val="0"/>
          <w:iCs w:val="0"/>
          <w:caps w:val="0"/>
          <w:color w:val="auto"/>
          <w:spacing w:val="0"/>
          <w:sz w:val="21"/>
          <w:szCs w:val="21"/>
          <w:highlight w:val="none"/>
          <w:shd w:val="clear" w:color="auto" w:fill="auto"/>
        </w:rPr>
      </w:pPr>
      <w:r>
        <w:rPr>
          <w:rFonts w:hint="eastAsia" w:ascii="宋体" w:hAnsi="宋体" w:eastAsia="宋体" w:cs="宋体"/>
          <w:b w:val="0"/>
          <w:bCs w:val="0"/>
          <w:i w:val="0"/>
          <w:iCs w:val="0"/>
          <w:caps w:val="0"/>
          <w:color w:val="auto"/>
          <w:spacing w:val="0"/>
          <w:sz w:val="21"/>
          <w:szCs w:val="21"/>
          <w:highlight w:val="none"/>
          <w:shd w:val="clear" w:color="auto" w:fill="auto"/>
        </w:rPr>
        <w:t>2、投标人登记免费领取招标文件的，如不参与项目投标，应在递交投标文件截止时间前一天以书面形式告知采购代理机构。否则，采购代理机构可以向财政部门反应情况并提供相应佐证。投标人一年内累计出现三次该情形，将被监管部门记录为失信行为。</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157" w:beforeLines="50" w:beforeAutospacing="0" w:after="157" w:afterLines="50" w:afterAutospacing="0" w:line="360" w:lineRule="auto"/>
        <w:ind w:right="0"/>
        <w:textAlignment w:val="auto"/>
        <w:rPr>
          <w:rFonts w:hint="eastAsia" w:ascii="宋体" w:hAnsi="宋体" w:eastAsia="宋体" w:cs="宋体"/>
          <w:b/>
          <w:bCs/>
          <w:i w:val="0"/>
          <w:iCs w:val="0"/>
          <w:caps w:val="0"/>
          <w:color w:val="auto"/>
          <w:spacing w:val="0"/>
          <w:sz w:val="21"/>
          <w:szCs w:val="21"/>
          <w:highlight w:val="none"/>
          <w:shd w:val="clear" w:color="auto" w:fill="auto"/>
        </w:rPr>
      </w:pPr>
      <w:r>
        <w:rPr>
          <w:rFonts w:hint="eastAsia" w:ascii="宋体" w:hAnsi="宋体" w:eastAsia="宋体" w:cs="宋体"/>
          <w:b/>
          <w:bCs/>
          <w:i w:val="0"/>
          <w:iCs w:val="0"/>
          <w:caps w:val="0"/>
          <w:color w:val="auto"/>
          <w:spacing w:val="0"/>
          <w:sz w:val="21"/>
          <w:szCs w:val="21"/>
          <w:highlight w:val="none"/>
          <w:shd w:val="clear" w:color="auto" w:fill="auto"/>
        </w:rPr>
        <w:t>七、对本次招标提出询问，请按以下方式联系。</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firstLine="420" w:firstLineChars="200"/>
        <w:textAlignment w:val="auto"/>
        <w:rPr>
          <w:rFonts w:hint="eastAsia" w:ascii="宋体" w:hAnsi="宋体" w:eastAsia="宋体" w:cs="宋体"/>
          <w:b w:val="0"/>
          <w:bCs w:val="0"/>
          <w:i w:val="0"/>
          <w:iCs w:val="0"/>
          <w:caps w:val="0"/>
          <w:color w:val="auto"/>
          <w:spacing w:val="0"/>
          <w:sz w:val="21"/>
          <w:szCs w:val="21"/>
          <w:highlight w:val="none"/>
          <w:shd w:val="clear" w:color="auto" w:fill="auto"/>
        </w:rPr>
      </w:pPr>
      <w:r>
        <w:rPr>
          <w:rFonts w:hint="eastAsia" w:ascii="宋体" w:hAnsi="宋体" w:eastAsia="宋体" w:cs="宋体"/>
          <w:b w:val="0"/>
          <w:bCs w:val="0"/>
          <w:i w:val="0"/>
          <w:iCs w:val="0"/>
          <w:caps w:val="0"/>
          <w:color w:val="auto"/>
          <w:spacing w:val="0"/>
          <w:sz w:val="21"/>
          <w:szCs w:val="21"/>
          <w:highlight w:val="none"/>
          <w:shd w:val="clear" w:color="auto" w:fill="auto"/>
        </w:rPr>
        <w:t>1.采购人信息</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firstLine="630" w:firstLineChars="300"/>
        <w:textAlignment w:val="auto"/>
        <w:rPr>
          <w:rFonts w:hint="eastAsia" w:ascii="宋体" w:hAnsi="宋体" w:eastAsia="宋体" w:cs="宋体"/>
          <w:b w:val="0"/>
          <w:bCs w:val="0"/>
          <w:i w:val="0"/>
          <w:iCs w:val="0"/>
          <w:caps w:val="0"/>
          <w:color w:val="auto"/>
          <w:spacing w:val="0"/>
          <w:sz w:val="21"/>
          <w:szCs w:val="21"/>
          <w:highlight w:val="none"/>
          <w:shd w:val="clear" w:color="auto" w:fill="auto"/>
        </w:rPr>
      </w:pPr>
      <w:r>
        <w:rPr>
          <w:rFonts w:hint="eastAsia" w:ascii="宋体" w:hAnsi="宋体" w:eastAsia="宋体" w:cs="宋体"/>
          <w:b w:val="0"/>
          <w:bCs w:val="0"/>
          <w:i w:val="0"/>
          <w:iCs w:val="0"/>
          <w:caps w:val="0"/>
          <w:color w:val="auto"/>
          <w:spacing w:val="0"/>
          <w:sz w:val="21"/>
          <w:szCs w:val="21"/>
          <w:highlight w:val="none"/>
          <w:shd w:val="clear" w:color="auto" w:fill="auto"/>
        </w:rPr>
        <w:t>名称：咸阳市中心医院</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firstLine="630" w:firstLineChars="300"/>
        <w:textAlignment w:val="auto"/>
        <w:rPr>
          <w:rFonts w:hint="eastAsia" w:ascii="宋体" w:hAnsi="宋体" w:eastAsia="宋体" w:cs="宋体"/>
          <w:b w:val="0"/>
          <w:bCs w:val="0"/>
          <w:i w:val="0"/>
          <w:iCs w:val="0"/>
          <w:caps w:val="0"/>
          <w:color w:val="auto"/>
          <w:spacing w:val="0"/>
          <w:sz w:val="21"/>
          <w:szCs w:val="21"/>
          <w:highlight w:val="none"/>
          <w:shd w:val="clear" w:color="auto" w:fill="auto"/>
        </w:rPr>
      </w:pPr>
      <w:r>
        <w:rPr>
          <w:rFonts w:hint="eastAsia" w:ascii="宋体" w:hAnsi="宋体" w:eastAsia="宋体" w:cs="宋体"/>
          <w:b w:val="0"/>
          <w:bCs w:val="0"/>
          <w:i w:val="0"/>
          <w:iCs w:val="0"/>
          <w:caps w:val="0"/>
          <w:color w:val="auto"/>
          <w:spacing w:val="0"/>
          <w:sz w:val="21"/>
          <w:szCs w:val="21"/>
          <w:highlight w:val="none"/>
          <w:shd w:val="clear" w:color="auto" w:fill="auto"/>
        </w:rPr>
        <w:t>地址：咸阳市人民东路78号</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firstLine="630" w:firstLineChars="300"/>
        <w:textAlignment w:val="auto"/>
        <w:rPr>
          <w:rFonts w:hint="eastAsia" w:ascii="宋体" w:hAnsi="宋体" w:eastAsia="宋体" w:cs="宋体"/>
          <w:b w:val="0"/>
          <w:bCs w:val="0"/>
          <w:i w:val="0"/>
          <w:iCs w:val="0"/>
          <w:caps w:val="0"/>
          <w:color w:val="auto"/>
          <w:spacing w:val="0"/>
          <w:sz w:val="21"/>
          <w:szCs w:val="21"/>
          <w:highlight w:val="none"/>
          <w:shd w:val="clear" w:color="auto" w:fill="auto"/>
        </w:rPr>
      </w:pPr>
      <w:r>
        <w:rPr>
          <w:rFonts w:hint="eastAsia" w:ascii="宋体" w:hAnsi="宋体" w:eastAsia="宋体" w:cs="宋体"/>
          <w:b w:val="0"/>
          <w:bCs w:val="0"/>
          <w:i w:val="0"/>
          <w:iCs w:val="0"/>
          <w:caps w:val="0"/>
          <w:color w:val="auto"/>
          <w:spacing w:val="0"/>
          <w:sz w:val="21"/>
          <w:szCs w:val="21"/>
          <w:highlight w:val="none"/>
          <w:shd w:val="clear" w:color="auto" w:fill="auto"/>
        </w:rPr>
        <w:t>联系方式：029-33284535</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firstLine="420" w:firstLineChars="200"/>
        <w:textAlignment w:val="auto"/>
        <w:rPr>
          <w:rFonts w:hint="eastAsia" w:ascii="宋体" w:hAnsi="宋体" w:eastAsia="宋体" w:cs="宋体"/>
          <w:b w:val="0"/>
          <w:bCs w:val="0"/>
          <w:i w:val="0"/>
          <w:iCs w:val="0"/>
          <w:caps w:val="0"/>
          <w:color w:val="auto"/>
          <w:spacing w:val="0"/>
          <w:sz w:val="21"/>
          <w:szCs w:val="21"/>
          <w:highlight w:val="none"/>
          <w:shd w:val="clear" w:color="auto" w:fill="auto"/>
        </w:rPr>
      </w:pPr>
      <w:r>
        <w:rPr>
          <w:rFonts w:hint="eastAsia" w:ascii="宋体" w:hAnsi="宋体" w:eastAsia="宋体" w:cs="宋体"/>
          <w:b w:val="0"/>
          <w:bCs w:val="0"/>
          <w:i w:val="0"/>
          <w:iCs w:val="0"/>
          <w:caps w:val="0"/>
          <w:color w:val="auto"/>
          <w:spacing w:val="0"/>
          <w:sz w:val="21"/>
          <w:szCs w:val="21"/>
          <w:highlight w:val="none"/>
          <w:shd w:val="clear" w:color="auto" w:fill="auto"/>
        </w:rPr>
        <w:t>2.采购代理机构信息</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firstLine="630" w:firstLineChars="300"/>
        <w:textAlignment w:val="auto"/>
        <w:rPr>
          <w:rFonts w:hint="eastAsia" w:ascii="宋体" w:hAnsi="宋体" w:eastAsia="宋体" w:cs="宋体"/>
          <w:b w:val="0"/>
          <w:bCs w:val="0"/>
          <w:i w:val="0"/>
          <w:iCs w:val="0"/>
          <w:caps w:val="0"/>
          <w:color w:val="auto"/>
          <w:spacing w:val="0"/>
          <w:sz w:val="21"/>
          <w:szCs w:val="21"/>
          <w:highlight w:val="none"/>
          <w:shd w:val="clear" w:color="auto" w:fill="auto"/>
        </w:rPr>
      </w:pPr>
      <w:r>
        <w:rPr>
          <w:rFonts w:hint="eastAsia" w:ascii="宋体" w:hAnsi="宋体" w:eastAsia="宋体" w:cs="宋体"/>
          <w:b w:val="0"/>
          <w:bCs w:val="0"/>
          <w:i w:val="0"/>
          <w:iCs w:val="0"/>
          <w:caps w:val="0"/>
          <w:color w:val="auto"/>
          <w:spacing w:val="0"/>
          <w:sz w:val="21"/>
          <w:szCs w:val="21"/>
          <w:highlight w:val="none"/>
          <w:shd w:val="clear" w:color="auto" w:fill="auto"/>
        </w:rPr>
        <w:t>名称：中航技（北京）工程管理有限公司</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firstLine="630" w:firstLineChars="300"/>
        <w:textAlignment w:val="auto"/>
        <w:rPr>
          <w:rFonts w:hint="eastAsia" w:ascii="宋体" w:hAnsi="宋体" w:eastAsia="宋体" w:cs="宋体"/>
          <w:b w:val="0"/>
          <w:bCs w:val="0"/>
          <w:i w:val="0"/>
          <w:iCs w:val="0"/>
          <w:caps w:val="0"/>
          <w:color w:val="auto"/>
          <w:spacing w:val="0"/>
          <w:sz w:val="21"/>
          <w:szCs w:val="21"/>
          <w:highlight w:val="none"/>
          <w:shd w:val="clear" w:color="auto" w:fill="auto"/>
        </w:rPr>
      </w:pPr>
      <w:r>
        <w:rPr>
          <w:rFonts w:hint="eastAsia" w:ascii="宋体" w:hAnsi="宋体" w:eastAsia="宋体" w:cs="宋体"/>
          <w:b w:val="0"/>
          <w:bCs w:val="0"/>
          <w:i w:val="0"/>
          <w:iCs w:val="0"/>
          <w:caps w:val="0"/>
          <w:color w:val="auto"/>
          <w:spacing w:val="0"/>
          <w:sz w:val="21"/>
          <w:szCs w:val="21"/>
          <w:highlight w:val="none"/>
          <w:shd w:val="clear" w:color="auto" w:fill="auto"/>
        </w:rPr>
        <w:t>地址：西安市高新区沣惠南路34号摩尔中心A座24楼</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firstLine="630" w:firstLineChars="300"/>
        <w:textAlignment w:val="auto"/>
        <w:rPr>
          <w:rFonts w:hint="eastAsia" w:ascii="宋体" w:hAnsi="宋体" w:eastAsia="宋体" w:cs="宋体"/>
          <w:b w:val="0"/>
          <w:bCs w:val="0"/>
          <w:i w:val="0"/>
          <w:iCs w:val="0"/>
          <w:caps w:val="0"/>
          <w:color w:val="auto"/>
          <w:spacing w:val="0"/>
          <w:sz w:val="21"/>
          <w:szCs w:val="21"/>
          <w:highlight w:val="none"/>
          <w:shd w:val="clear" w:color="auto" w:fill="auto"/>
        </w:rPr>
      </w:pPr>
      <w:r>
        <w:rPr>
          <w:rFonts w:hint="eastAsia" w:ascii="宋体" w:hAnsi="宋体" w:eastAsia="宋体" w:cs="宋体"/>
          <w:b w:val="0"/>
          <w:bCs w:val="0"/>
          <w:i w:val="0"/>
          <w:iCs w:val="0"/>
          <w:caps w:val="0"/>
          <w:color w:val="auto"/>
          <w:spacing w:val="0"/>
          <w:sz w:val="21"/>
          <w:szCs w:val="21"/>
          <w:highlight w:val="none"/>
          <w:shd w:val="clear" w:color="auto" w:fill="auto"/>
        </w:rPr>
        <w:t>联系方式：029-89187077</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firstLine="420" w:firstLineChars="200"/>
        <w:textAlignment w:val="auto"/>
        <w:rPr>
          <w:rFonts w:hint="eastAsia" w:ascii="宋体" w:hAnsi="宋体" w:eastAsia="宋体" w:cs="宋体"/>
          <w:b w:val="0"/>
          <w:bCs w:val="0"/>
          <w:i w:val="0"/>
          <w:iCs w:val="0"/>
          <w:caps w:val="0"/>
          <w:color w:val="auto"/>
          <w:spacing w:val="0"/>
          <w:sz w:val="21"/>
          <w:szCs w:val="21"/>
          <w:highlight w:val="none"/>
          <w:shd w:val="clear" w:color="auto" w:fill="auto"/>
        </w:rPr>
      </w:pPr>
      <w:r>
        <w:rPr>
          <w:rFonts w:hint="eastAsia" w:ascii="宋体" w:hAnsi="宋体" w:eastAsia="宋体" w:cs="宋体"/>
          <w:b w:val="0"/>
          <w:bCs w:val="0"/>
          <w:i w:val="0"/>
          <w:iCs w:val="0"/>
          <w:caps w:val="0"/>
          <w:color w:val="auto"/>
          <w:spacing w:val="0"/>
          <w:sz w:val="21"/>
          <w:szCs w:val="21"/>
          <w:highlight w:val="none"/>
          <w:shd w:val="clear" w:color="auto" w:fill="auto"/>
        </w:rPr>
        <w:t>3.项目联系方式</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firstLine="630" w:firstLineChars="300"/>
        <w:textAlignment w:val="auto"/>
        <w:rPr>
          <w:rFonts w:hint="eastAsia" w:ascii="宋体" w:hAnsi="宋体" w:eastAsia="宋体" w:cs="宋体"/>
          <w:b w:val="0"/>
          <w:bCs w:val="0"/>
          <w:i w:val="0"/>
          <w:iCs w:val="0"/>
          <w:caps w:val="0"/>
          <w:color w:val="auto"/>
          <w:spacing w:val="0"/>
          <w:sz w:val="21"/>
          <w:szCs w:val="21"/>
          <w:highlight w:val="none"/>
          <w:shd w:val="clear" w:color="auto" w:fill="auto"/>
        </w:rPr>
      </w:pPr>
      <w:r>
        <w:rPr>
          <w:rFonts w:hint="eastAsia" w:ascii="宋体" w:hAnsi="宋体" w:eastAsia="宋体" w:cs="宋体"/>
          <w:b w:val="0"/>
          <w:bCs w:val="0"/>
          <w:i w:val="0"/>
          <w:iCs w:val="0"/>
          <w:caps w:val="0"/>
          <w:color w:val="auto"/>
          <w:spacing w:val="0"/>
          <w:sz w:val="21"/>
          <w:szCs w:val="21"/>
          <w:highlight w:val="none"/>
          <w:shd w:val="clear" w:color="auto" w:fill="auto"/>
        </w:rPr>
        <w:t>项目联系人：赵伟、李冲</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firstLine="630" w:firstLineChars="300"/>
        <w:textAlignment w:val="auto"/>
        <w:rPr>
          <w:rFonts w:hint="eastAsia" w:ascii="宋体" w:hAnsi="宋体"/>
          <w:color w:val="auto"/>
          <w:sz w:val="32"/>
          <w:szCs w:val="32"/>
          <w:highlight w:val="none"/>
        </w:rPr>
      </w:pPr>
      <w:r>
        <w:rPr>
          <w:rFonts w:hint="eastAsia" w:ascii="宋体" w:hAnsi="宋体" w:eastAsia="宋体" w:cs="宋体"/>
          <w:b w:val="0"/>
          <w:bCs w:val="0"/>
          <w:i w:val="0"/>
          <w:iCs w:val="0"/>
          <w:caps w:val="0"/>
          <w:color w:val="auto"/>
          <w:spacing w:val="0"/>
          <w:sz w:val="21"/>
          <w:szCs w:val="21"/>
          <w:highlight w:val="none"/>
          <w:shd w:val="clear" w:color="auto" w:fill="auto"/>
        </w:rPr>
        <w:t>电话：029-89187077</w:t>
      </w:r>
      <w:r>
        <w:rPr>
          <w:rFonts w:hint="eastAsia" w:ascii="宋体" w:hAnsi="宋体"/>
          <w:color w:val="auto"/>
          <w:sz w:val="32"/>
          <w:szCs w:val="32"/>
          <w:highlight w:val="none"/>
        </w:rPr>
        <w:br w:type="page"/>
      </w:r>
    </w:p>
    <w:p>
      <w:pPr>
        <w:pStyle w:val="3"/>
        <w:spacing w:after="240" w:line="240" w:lineRule="auto"/>
        <w:ind w:left="0" w:firstLine="0"/>
        <w:jc w:val="center"/>
        <w:rPr>
          <w:rFonts w:ascii="宋体" w:hAnsi="宋体"/>
          <w:color w:val="auto"/>
          <w:sz w:val="32"/>
          <w:szCs w:val="32"/>
          <w:highlight w:val="none"/>
        </w:rPr>
      </w:pPr>
      <w:bookmarkStart w:id="6" w:name="_Toc25941"/>
      <w:r>
        <w:rPr>
          <w:rFonts w:hint="eastAsia" w:ascii="宋体" w:hAnsi="宋体"/>
          <w:color w:val="auto"/>
          <w:sz w:val="32"/>
          <w:szCs w:val="32"/>
          <w:highlight w:val="none"/>
        </w:rPr>
        <w:t>第二章  投标人须知</w:t>
      </w:r>
      <w:bookmarkEnd w:id="3"/>
      <w:bookmarkEnd w:id="4"/>
      <w:bookmarkEnd w:id="5"/>
      <w:bookmarkEnd w:id="6"/>
    </w:p>
    <w:p>
      <w:pPr>
        <w:pStyle w:val="4"/>
        <w:bidi w:val="0"/>
        <w:jc w:val="center"/>
        <w:rPr>
          <w:color w:val="auto"/>
          <w:highlight w:val="none"/>
        </w:rPr>
      </w:pPr>
      <w:r>
        <w:rPr>
          <w:rFonts w:hint="eastAsia"/>
          <w:color w:val="auto"/>
          <w:highlight w:val="none"/>
        </w:rPr>
        <w:t>投标人</w:t>
      </w:r>
      <w:r>
        <w:rPr>
          <w:color w:val="auto"/>
          <w:highlight w:val="none"/>
        </w:rPr>
        <w:t>须知前附表</w:t>
      </w:r>
    </w:p>
    <w:tbl>
      <w:tblPr>
        <w:tblStyle w:val="23"/>
        <w:tblW w:w="974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831"/>
        <w:gridCol w:w="72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7" w:hRule="atLeast"/>
          <w:tblHeader/>
          <w:jc w:val="center"/>
        </w:trPr>
        <w:tc>
          <w:tcPr>
            <w:tcW w:w="687" w:type="dxa"/>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序号</w:t>
            </w:r>
          </w:p>
        </w:tc>
        <w:tc>
          <w:tcPr>
            <w:tcW w:w="1831" w:type="dxa"/>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条款名称</w:t>
            </w:r>
          </w:p>
        </w:tc>
        <w:tc>
          <w:tcPr>
            <w:tcW w:w="7226" w:type="dxa"/>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 xml:space="preserve">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w:t>
            </w:r>
          </w:p>
        </w:tc>
        <w:tc>
          <w:tcPr>
            <w:tcW w:w="183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招标人</w:t>
            </w:r>
          </w:p>
        </w:tc>
        <w:tc>
          <w:tcPr>
            <w:tcW w:w="7226"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cs="宋体"/>
                <w:color w:val="auto"/>
                <w:szCs w:val="21"/>
                <w:highlight w:val="none"/>
              </w:rPr>
            </w:pPr>
            <w:r>
              <w:rPr>
                <w:rFonts w:hint="eastAsia" w:ascii="宋体" w:hAnsi="宋体" w:cs="宋体"/>
                <w:color w:val="auto"/>
                <w:szCs w:val="21"/>
                <w:highlight w:val="none"/>
              </w:rPr>
              <w:t>名称：咸阳市中心医院</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cs="宋体"/>
                <w:color w:val="auto"/>
                <w:szCs w:val="21"/>
                <w:highlight w:val="none"/>
              </w:rPr>
            </w:pPr>
            <w:r>
              <w:rPr>
                <w:rFonts w:hint="eastAsia" w:ascii="宋体" w:hAnsi="宋体" w:cs="宋体"/>
                <w:color w:val="auto"/>
                <w:szCs w:val="21"/>
                <w:highlight w:val="none"/>
              </w:rPr>
              <w:t>地址：咸阳市人民东路78号</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cs="宋体"/>
                <w:color w:val="auto"/>
                <w:szCs w:val="21"/>
                <w:highlight w:val="none"/>
              </w:rPr>
            </w:pPr>
            <w:r>
              <w:rPr>
                <w:rFonts w:hint="eastAsia" w:ascii="宋体" w:hAnsi="宋体" w:cs="宋体"/>
                <w:color w:val="auto"/>
                <w:szCs w:val="21"/>
                <w:highlight w:val="none"/>
              </w:rPr>
              <w:t>联系人：</w:t>
            </w:r>
            <w:r>
              <w:rPr>
                <w:rFonts w:hint="eastAsia" w:ascii="宋体" w:hAnsi="宋体" w:cs="宋体"/>
                <w:color w:val="auto"/>
                <w:szCs w:val="21"/>
                <w:highlight w:val="none"/>
                <w:lang w:val="en-US" w:eastAsia="zh-CN"/>
              </w:rPr>
              <w:t>祁</w:t>
            </w:r>
            <w:r>
              <w:rPr>
                <w:rFonts w:hint="eastAsia" w:ascii="宋体" w:hAnsi="宋体" w:cs="宋体"/>
                <w:color w:val="auto"/>
                <w:szCs w:val="21"/>
                <w:highlight w:val="none"/>
              </w:rPr>
              <w:t>老师</w:t>
            </w:r>
          </w:p>
          <w:p>
            <w:pPr>
              <w:keepNext w:val="0"/>
              <w:keepLines w:val="0"/>
              <w:pageBreakBefore w:val="0"/>
              <w:widowControl/>
              <w:kinsoku/>
              <w:wordWrap/>
              <w:overflowPunct/>
              <w:topLinePunct w:val="0"/>
              <w:autoSpaceDE/>
              <w:autoSpaceDN/>
              <w:bidi w:val="0"/>
              <w:adjustRightInd/>
              <w:snapToGrid/>
              <w:spacing w:line="288" w:lineRule="auto"/>
              <w:textAlignment w:val="auto"/>
              <w:rPr>
                <w:rFonts w:ascii="宋体" w:hAnsi="宋体" w:cs="宋体"/>
                <w:color w:val="auto"/>
                <w:szCs w:val="21"/>
                <w:highlight w:val="none"/>
              </w:rPr>
            </w:pPr>
            <w:r>
              <w:rPr>
                <w:rFonts w:hint="eastAsia" w:ascii="宋体" w:hAnsi="宋体" w:cs="宋体"/>
                <w:color w:val="auto"/>
                <w:szCs w:val="21"/>
                <w:highlight w:val="none"/>
              </w:rPr>
              <w:t xml:space="preserve">电话：029-33284535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w:t>
            </w:r>
          </w:p>
        </w:tc>
        <w:tc>
          <w:tcPr>
            <w:tcW w:w="1831" w:type="dxa"/>
            <w:vAlign w:val="center"/>
          </w:tcPr>
          <w:p>
            <w:pPr>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采购代理机构</w:t>
            </w:r>
          </w:p>
        </w:tc>
        <w:tc>
          <w:tcPr>
            <w:tcW w:w="7226"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ascii="宋体" w:hAnsi="宋体" w:cs="宋体"/>
                <w:color w:val="auto"/>
                <w:szCs w:val="21"/>
                <w:highlight w:val="none"/>
              </w:rPr>
            </w:pPr>
            <w:r>
              <w:rPr>
                <w:rFonts w:hint="eastAsia" w:ascii="宋体" w:hAnsi="宋体" w:cs="宋体"/>
                <w:color w:val="auto"/>
                <w:szCs w:val="21"/>
                <w:highlight w:val="none"/>
                <w:lang w:val="en-US" w:eastAsia="zh-CN"/>
              </w:rPr>
              <w:t>名称</w:t>
            </w:r>
            <w:r>
              <w:rPr>
                <w:rFonts w:hint="eastAsia" w:ascii="宋体" w:hAnsi="宋体" w:cs="宋体"/>
                <w:color w:val="auto"/>
                <w:szCs w:val="21"/>
                <w:highlight w:val="none"/>
              </w:rPr>
              <w:t>：中航技（北京）工程管理有限公司</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cs="宋体"/>
                <w:color w:val="auto"/>
                <w:szCs w:val="21"/>
                <w:highlight w:val="none"/>
              </w:rPr>
            </w:pPr>
            <w:r>
              <w:rPr>
                <w:rFonts w:hint="eastAsia" w:ascii="宋体" w:hAnsi="宋体" w:cs="宋体"/>
                <w:color w:val="auto"/>
                <w:szCs w:val="21"/>
                <w:highlight w:val="none"/>
              </w:rPr>
              <w:t>地址：西安市高新区沣惠南路34号摩尔中心A座24楼</w:t>
            </w:r>
          </w:p>
          <w:p>
            <w:pPr>
              <w:keepNext w:val="0"/>
              <w:keepLines w:val="0"/>
              <w:pageBreakBefore w:val="0"/>
              <w:widowControl/>
              <w:kinsoku/>
              <w:wordWrap/>
              <w:overflowPunct/>
              <w:topLinePunct w:val="0"/>
              <w:autoSpaceDE/>
              <w:autoSpaceDN/>
              <w:bidi w:val="0"/>
              <w:adjustRightInd/>
              <w:snapToGrid/>
              <w:spacing w:line="288" w:lineRule="auto"/>
              <w:textAlignment w:val="auto"/>
              <w:rPr>
                <w:rFonts w:ascii="宋体" w:hAnsi="宋体" w:cs="宋体"/>
                <w:color w:val="auto"/>
                <w:szCs w:val="21"/>
                <w:highlight w:val="none"/>
              </w:rPr>
            </w:pPr>
            <w:r>
              <w:rPr>
                <w:rFonts w:hint="eastAsia" w:ascii="宋体" w:hAnsi="宋体" w:cs="宋体"/>
                <w:color w:val="auto"/>
                <w:szCs w:val="21"/>
                <w:highlight w:val="none"/>
              </w:rPr>
              <w:t>联系人：赵伟、李冲</w:t>
            </w:r>
          </w:p>
          <w:p>
            <w:pPr>
              <w:keepNext w:val="0"/>
              <w:keepLines w:val="0"/>
              <w:pageBreakBefore w:val="0"/>
              <w:widowControl/>
              <w:kinsoku/>
              <w:wordWrap/>
              <w:overflowPunct/>
              <w:topLinePunct w:val="0"/>
              <w:autoSpaceDE/>
              <w:autoSpaceDN/>
              <w:bidi w:val="0"/>
              <w:adjustRightInd/>
              <w:snapToGrid/>
              <w:spacing w:line="288" w:lineRule="auto"/>
              <w:textAlignment w:val="auto"/>
              <w:rPr>
                <w:rFonts w:ascii="宋体" w:hAnsi="宋体" w:cs="宋体"/>
                <w:color w:val="auto"/>
                <w:szCs w:val="21"/>
                <w:highlight w:val="none"/>
              </w:rPr>
            </w:pPr>
            <w:r>
              <w:rPr>
                <w:rFonts w:hint="eastAsia" w:ascii="宋体" w:hAnsi="宋体" w:cs="宋体"/>
                <w:color w:val="auto"/>
                <w:szCs w:val="21"/>
                <w:highlight w:val="none"/>
              </w:rPr>
              <w:t>电话：029-</w:t>
            </w:r>
            <w:r>
              <w:rPr>
                <w:rFonts w:hint="eastAsia" w:ascii="宋体" w:hAnsi="宋体" w:cs="宋体"/>
                <w:color w:val="auto"/>
                <w:szCs w:val="21"/>
                <w:highlight w:val="none"/>
                <w:lang w:val="en-US" w:eastAsia="zh-CN"/>
              </w:rPr>
              <w:t>89187077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w:t>
            </w:r>
          </w:p>
        </w:tc>
        <w:tc>
          <w:tcPr>
            <w:tcW w:w="1831" w:type="dxa"/>
            <w:vAlign w:val="center"/>
          </w:tcPr>
          <w:p>
            <w:pPr>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项目名称</w:t>
            </w:r>
          </w:p>
        </w:tc>
        <w:tc>
          <w:tcPr>
            <w:tcW w:w="7226" w:type="dxa"/>
            <w:vAlign w:val="center"/>
          </w:tcPr>
          <w:p>
            <w:pPr>
              <w:keepNext w:val="0"/>
              <w:keepLines w:val="0"/>
              <w:pageBreakBefore w:val="0"/>
              <w:kinsoku/>
              <w:wordWrap/>
              <w:overflowPunct/>
              <w:topLinePunct w:val="0"/>
              <w:autoSpaceDE/>
              <w:autoSpaceDN/>
              <w:bidi w:val="0"/>
              <w:spacing w:line="288" w:lineRule="auto"/>
              <w:textAlignment w:val="auto"/>
              <w:rPr>
                <w:rFonts w:hint="eastAsia" w:ascii="宋体" w:hAnsi="宋体" w:eastAsia="宋体" w:cs="宋体"/>
                <w:color w:val="auto"/>
                <w:szCs w:val="21"/>
                <w:highlight w:val="none"/>
                <w:lang w:eastAsia="zh-CN"/>
              </w:rPr>
            </w:pPr>
            <w:r>
              <w:rPr>
                <w:rFonts w:hint="eastAsia" w:ascii="宋体" w:hAnsi="宋体" w:cs="宋体"/>
                <w:i w:val="0"/>
                <w:iCs w:val="0"/>
                <w:caps w:val="0"/>
                <w:color w:val="auto"/>
                <w:spacing w:val="0"/>
                <w:kern w:val="0"/>
                <w:sz w:val="21"/>
                <w:szCs w:val="21"/>
                <w:highlight w:val="none"/>
                <w:shd w:val="clear" w:color="auto" w:fill="auto"/>
                <w:lang w:val="en-US" w:eastAsia="zh-CN" w:bidi="ar-SA"/>
              </w:rPr>
              <w:t>咸阳市中心医院智慧医院建设提升、智慧医疗管理系统建设及环境扩容服务</w:t>
            </w:r>
            <w:r>
              <w:rPr>
                <w:rFonts w:hint="eastAsia" w:ascii="宋体" w:hAnsi="宋体" w:eastAsia="宋体" w:cs="宋体"/>
                <w:i w:val="0"/>
                <w:iCs w:val="0"/>
                <w:caps w:val="0"/>
                <w:color w:val="auto"/>
                <w:spacing w:val="0"/>
                <w:kern w:val="0"/>
                <w:sz w:val="21"/>
                <w:szCs w:val="21"/>
                <w:highlight w:val="none"/>
                <w:shd w:val="clear" w:color="auto" w:fill="auto"/>
                <w:lang w:val="en-US" w:eastAsia="zh-CN" w:bidi="ar-SA"/>
              </w:rPr>
              <w:t>（04包：智慧医疗管理系统建设及环境扩容服务项目）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4</w:t>
            </w:r>
          </w:p>
        </w:tc>
        <w:tc>
          <w:tcPr>
            <w:tcW w:w="183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项目概况</w:t>
            </w:r>
          </w:p>
        </w:tc>
        <w:tc>
          <w:tcPr>
            <w:tcW w:w="7226" w:type="dxa"/>
            <w:vAlign w:val="center"/>
          </w:tcPr>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88" w:lineRule="auto"/>
              <w:ind w:right="0"/>
              <w:textAlignment w:val="auto"/>
              <w:rPr>
                <w:rFonts w:hint="default" w:cs="宋体"/>
                <w:i w:val="0"/>
                <w:iCs w:val="0"/>
                <w:caps w:val="0"/>
                <w:color w:val="auto"/>
                <w:spacing w:val="0"/>
                <w:sz w:val="21"/>
                <w:szCs w:val="21"/>
                <w:highlight w:val="none"/>
                <w:shd w:val="clear" w:color="auto" w:fill="auto"/>
                <w:lang w:val="en-US" w:eastAsia="zh-CN"/>
              </w:rPr>
            </w:pPr>
            <w:r>
              <w:rPr>
                <w:rFonts w:hint="eastAsia" w:cs="宋体"/>
                <w:i w:val="0"/>
                <w:iCs w:val="0"/>
                <w:caps w:val="0"/>
                <w:color w:val="auto"/>
                <w:spacing w:val="0"/>
                <w:sz w:val="21"/>
                <w:szCs w:val="21"/>
                <w:highlight w:val="none"/>
                <w:shd w:val="clear" w:color="auto" w:fill="auto"/>
                <w:lang w:val="en-US" w:eastAsia="zh-CN"/>
              </w:rPr>
              <w:t>加速医院信息化建设，满足医疗应用系统对基础平台承载能力及安全的要求，结合医院业务发展实际需要，针对智慧医院系统应用所需环境进行配套扩容建设</w:t>
            </w:r>
            <w:r>
              <w:rPr>
                <w:rFonts w:hint="eastAsia" w:ascii="宋体" w:hAnsi="宋体" w:eastAsia="宋体" w:cs="宋体"/>
                <w:i w:val="0"/>
                <w:iCs w:val="0"/>
                <w:caps w:val="0"/>
                <w:color w:val="auto"/>
                <w:spacing w:val="0"/>
                <w:sz w:val="21"/>
                <w:szCs w:val="21"/>
                <w:highlight w:val="none"/>
                <w:shd w:val="clear" w:color="auto" w:fill="auto"/>
              </w:rPr>
              <w:t>。</w:t>
            </w:r>
            <w:r>
              <w:rPr>
                <w:rFonts w:hint="eastAsia" w:cs="宋体"/>
                <w:i w:val="0"/>
                <w:iCs w:val="0"/>
                <w:caps w:val="0"/>
                <w:color w:val="auto"/>
                <w:spacing w:val="0"/>
                <w:sz w:val="21"/>
                <w:szCs w:val="21"/>
                <w:highlight w:val="none"/>
                <w:shd w:val="clear" w:color="auto" w:fill="auto"/>
                <w:lang w:val="en-US" w:eastAsia="zh-CN"/>
              </w:rPr>
              <w:t>具体内容详见“</w:t>
            </w:r>
            <w:r>
              <w:rPr>
                <w:rFonts w:hint="eastAsia" w:cs="宋体"/>
                <w:i w:val="0"/>
                <w:iCs w:val="0"/>
                <w:caps w:val="0"/>
                <w:color w:val="auto"/>
                <w:spacing w:val="0"/>
                <w:sz w:val="21"/>
                <w:szCs w:val="21"/>
                <w:highlight w:val="none"/>
                <w:shd w:val="clear" w:color="auto" w:fill="auto"/>
                <w:lang w:eastAsia="zh-CN"/>
              </w:rPr>
              <w:t>第四章 采购内容及要求”。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w:t>
            </w:r>
          </w:p>
        </w:tc>
        <w:tc>
          <w:tcPr>
            <w:tcW w:w="1831" w:type="dxa"/>
            <w:vAlign w:val="center"/>
          </w:tcPr>
          <w:p>
            <w:pPr>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服务地点</w:t>
            </w:r>
          </w:p>
        </w:tc>
        <w:tc>
          <w:tcPr>
            <w:tcW w:w="7226" w:type="dxa"/>
            <w:vAlign w:val="center"/>
          </w:tcPr>
          <w:p>
            <w:pPr>
              <w:widowControl/>
              <w:rPr>
                <w:rFonts w:ascii="宋体" w:hAnsi="宋体" w:cs="宋体"/>
                <w:b/>
                <w:color w:val="auto"/>
                <w:szCs w:val="21"/>
                <w:highlight w:val="none"/>
              </w:rPr>
            </w:pPr>
            <w:r>
              <w:rPr>
                <w:rFonts w:hint="eastAsia" w:ascii="宋体" w:hAnsi="宋体" w:cs="宋体"/>
                <w:color w:val="auto"/>
                <w:szCs w:val="21"/>
                <w:highlight w:val="none"/>
              </w:rPr>
              <w:t>咸阳市中心医院指定地点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6</w:t>
            </w:r>
          </w:p>
        </w:tc>
        <w:tc>
          <w:tcPr>
            <w:tcW w:w="1831" w:type="dxa"/>
            <w:vAlign w:val="center"/>
          </w:tcPr>
          <w:p>
            <w:pPr>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最高限价</w:t>
            </w:r>
          </w:p>
        </w:tc>
        <w:tc>
          <w:tcPr>
            <w:tcW w:w="7226" w:type="dxa"/>
            <w:vAlign w:val="center"/>
          </w:tcPr>
          <w:p>
            <w:pPr>
              <w:rPr>
                <w:rFonts w:hint="default" w:ascii="宋体" w:hAnsi="宋体" w:cs="宋体"/>
                <w:color w:val="auto"/>
                <w:szCs w:val="21"/>
                <w:highlight w:val="none"/>
                <w:lang w:val="en-US" w:eastAsia="zh-CN"/>
              </w:rPr>
            </w:pPr>
            <w:r>
              <w:rPr>
                <w:rFonts w:hint="eastAsia" w:ascii="宋体" w:hAnsi="宋体" w:cs="宋体"/>
                <w:color w:val="auto"/>
                <w:sz w:val="21"/>
                <w:szCs w:val="21"/>
                <w:highlight w:val="none"/>
                <w:vertAlign w:val="baseline"/>
                <w:lang w:val="en-US" w:eastAsia="zh-CN"/>
              </w:rPr>
              <w:t>893.00</w:t>
            </w:r>
            <w:r>
              <w:rPr>
                <w:rFonts w:hint="eastAsia" w:ascii="宋体" w:hAnsi="宋体" w:cs="宋体"/>
                <w:color w:val="auto"/>
                <w:szCs w:val="21"/>
                <w:highlight w:val="none"/>
                <w:lang w:val="en-US" w:eastAsia="zh-CN"/>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7</w:t>
            </w:r>
          </w:p>
        </w:tc>
        <w:tc>
          <w:tcPr>
            <w:tcW w:w="1831" w:type="dxa"/>
            <w:vAlign w:val="center"/>
          </w:tcPr>
          <w:p>
            <w:pPr>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资金来源</w:t>
            </w:r>
          </w:p>
        </w:tc>
        <w:tc>
          <w:tcPr>
            <w:tcW w:w="7226" w:type="dxa"/>
            <w:vAlign w:val="center"/>
          </w:tcPr>
          <w:p>
            <w:pP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财政资金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8</w:t>
            </w:r>
          </w:p>
        </w:tc>
        <w:tc>
          <w:tcPr>
            <w:tcW w:w="1831" w:type="dxa"/>
            <w:vAlign w:val="center"/>
          </w:tcPr>
          <w:p>
            <w:pPr>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项目完工期</w:t>
            </w:r>
          </w:p>
        </w:tc>
        <w:tc>
          <w:tcPr>
            <w:tcW w:w="7226" w:type="dxa"/>
            <w:vAlign w:val="center"/>
          </w:tcPr>
          <w:p>
            <w:pP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180日历天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9</w:t>
            </w:r>
          </w:p>
        </w:tc>
        <w:tc>
          <w:tcPr>
            <w:tcW w:w="183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招标范围</w:t>
            </w:r>
          </w:p>
        </w:tc>
        <w:tc>
          <w:tcPr>
            <w:tcW w:w="7226" w:type="dxa"/>
            <w:vAlign w:val="center"/>
          </w:tcPr>
          <w:p>
            <w:pPr>
              <w:rPr>
                <w:rFonts w:ascii="宋体" w:hAnsi="宋体" w:cs="宋体"/>
                <w:color w:val="auto"/>
                <w:szCs w:val="21"/>
                <w:highlight w:val="none"/>
                <w:u w:val="single"/>
              </w:rPr>
            </w:pPr>
            <w:r>
              <w:rPr>
                <w:rFonts w:hint="eastAsia" w:ascii="宋体" w:hAnsi="宋体" w:cs="宋体"/>
                <w:color w:val="auto"/>
                <w:szCs w:val="21"/>
                <w:highlight w:val="none"/>
              </w:rPr>
              <w:t>本项目招标文件包含的全部内容。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10</w:t>
            </w:r>
          </w:p>
        </w:tc>
        <w:tc>
          <w:tcPr>
            <w:tcW w:w="183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付款方式</w:t>
            </w:r>
          </w:p>
        </w:tc>
        <w:tc>
          <w:tcPr>
            <w:tcW w:w="7226" w:type="dxa"/>
            <w:vAlign w:val="center"/>
          </w:tcPr>
          <w:p>
            <w:pPr>
              <w:rPr>
                <w:rFonts w:ascii="宋体" w:hAnsi="宋体" w:cs="宋体"/>
                <w:color w:val="auto"/>
                <w:szCs w:val="21"/>
                <w:highlight w:val="none"/>
              </w:rPr>
            </w:pPr>
            <w:r>
              <w:rPr>
                <w:rFonts w:hint="eastAsia" w:ascii="宋体" w:hAnsi="宋体" w:cs="宋体"/>
                <w:color w:val="auto"/>
                <w:szCs w:val="21"/>
                <w:highlight w:val="none"/>
              </w:rPr>
              <w:t>详见第五章合同条款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11</w:t>
            </w:r>
          </w:p>
        </w:tc>
        <w:tc>
          <w:tcPr>
            <w:tcW w:w="183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质量标准</w:t>
            </w:r>
          </w:p>
        </w:tc>
        <w:tc>
          <w:tcPr>
            <w:tcW w:w="7226" w:type="dxa"/>
            <w:vAlign w:val="center"/>
          </w:tcPr>
          <w:p>
            <w:pP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符合国家标准、行业规范和医院需求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87" w:type="dxa"/>
            <w:vAlign w:val="center"/>
          </w:tcPr>
          <w:p>
            <w:pPr>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12</w:t>
            </w:r>
          </w:p>
        </w:tc>
        <w:tc>
          <w:tcPr>
            <w:tcW w:w="183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投标人资格要求</w:t>
            </w:r>
          </w:p>
        </w:tc>
        <w:tc>
          <w:tcPr>
            <w:tcW w:w="7226" w:type="dxa"/>
            <w:vAlign w:val="center"/>
          </w:tcPr>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88" w:lineRule="auto"/>
              <w:ind w:right="0" w:rightChars="0"/>
              <w:textAlignment w:val="auto"/>
              <w:rPr>
                <w:rFonts w:hint="eastAsia"/>
                <w:color w:val="auto"/>
                <w:sz w:val="21"/>
                <w:szCs w:val="21"/>
                <w:highlight w:val="none"/>
              </w:rPr>
            </w:pPr>
            <w:r>
              <w:rPr>
                <w:rFonts w:hint="eastAsia"/>
                <w:color w:val="auto"/>
                <w:sz w:val="21"/>
                <w:szCs w:val="21"/>
                <w:highlight w:val="none"/>
              </w:rPr>
              <w:t>1、参加政府采购活动的投标人应当具备政府采购法第二十二条第一款规定“具有独立承担民事责任的能力”的条件，并提供下列材料（加盖公章），未按要求提供或者提供的资料不全或未盖公章，视为未实质性响应招标文件要求，按相应无效处理：</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88" w:lineRule="auto"/>
              <w:ind w:right="0" w:rightChars="0"/>
              <w:textAlignment w:val="auto"/>
              <w:rPr>
                <w:rFonts w:hint="eastAsia"/>
                <w:color w:val="auto"/>
                <w:sz w:val="21"/>
                <w:szCs w:val="21"/>
                <w:highlight w:val="none"/>
              </w:rPr>
            </w:pPr>
            <w:r>
              <w:rPr>
                <w:rFonts w:hint="eastAsia"/>
                <w:color w:val="auto"/>
                <w:sz w:val="21"/>
                <w:szCs w:val="21"/>
                <w:highlight w:val="none"/>
              </w:rPr>
              <w:t>1）法人或者其他组织的营业执照等复印件加盖投标人公章，</w:t>
            </w:r>
            <w:r>
              <w:rPr>
                <w:rFonts w:hint="eastAsia"/>
                <w:color w:val="auto"/>
                <w:sz w:val="21"/>
                <w:szCs w:val="21"/>
                <w:highlight w:val="none"/>
                <w:lang w:eastAsia="zh-CN"/>
              </w:rPr>
              <w:t>自然人提供本人身份证</w:t>
            </w:r>
            <w:r>
              <w:rPr>
                <w:rFonts w:hint="eastAsia"/>
                <w:color w:val="auto"/>
                <w:sz w:val="21"/>
                <w:szCs w:val="21"/>
                <w:highlight w:val="none"/>
              </w:rPr>
              <w:t>；</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88" w:lineRule="auto"/>
              <w:ind w:right="0" w:rightChars="0"/>
              <w:textAlignment w:val="auto"/>
              <w:rPr>
                <w:rFonts w:hint="eastAsia"/>
                <w:color w:val="auto"/>
                <w:sz w:val="21"/>
                <w:szCs w:val="21"/>
                <w:highlight w:val="none"/>
              </w:rPr>
            </w:pPr>
            <w:r>
              <w:rPr>
                <w:rFonts w:hint="eastAsia"/>
                <w:color w:val="auto"/>
                <w:sz w:val="21"/>
                <w:szCs w:val="21"/>
                <w:highlight w:val="none"/>
              </w:rPr>
              <w:t>2）</w:t>
            </w:r>
            <w:r>
              <w:rPr>
                <w:rFonts w:hint="eastAsia"/>
                <w:color w:val="auto"/>
                <w:sz w:val="21"/>
                <w:szCs w:val="21"/>
                <w:highlight w:val="none"/>
                <w:lang w:eastAsia="zh-CN"/>
              </w:rPr>
              <w:t>提供法定代表人授权委托书</w:t>
            </w:r>
            <w:r>
              <w:rPr>
                <w:rFonts w:hint="eastAsia"/>
                <w:color w:val="auto"/>
                <w:sz w:val="21"/>
                <w:szCs w:val="21"/>
                <w:highlight w:val="none"/>
              </w:rPr>
              <w:t>并附</w:t>
            </w:r>
            <w:r>
              <w:rPr>
                <w:rFonts w:hint="eastAsia"/>
                <w:color w:val="auto"/>
                <w:sz w:val="21"/>
                <w:szCs w:val="21"/>
                <w:highlight w:val="none"/>
                <w:lang w:val="en-US" w:eastAsia="zh-CN"/>
              </w:rPr>
              <w:t>法定代表人</w:t>
            </w:r>
            <w:r>
              <w:rPr>
                <w:rFonts w:hint="eastAsia"/>
                <w:color w:val="auto"/>
                <w:sz w:val="21"/>
                <w:szCs w:val="21"/>
                <w:highlight w:val="none"/>
              </w:rPr>
              <w:t>及授权人代表身份证复印件并依照规定格式签署和盖章，法定代表人参加投标的提供身份证复印件；</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88" w:lineRule="auto"/>
              <w:ind w:right="0" w:rightChars="0"/>
              <w:textAlignment w:val="auto"/>
              <w:rPr>
                <w:rFonts w:hint="eastAsia" w:eastAsia="宋体"/>
                <w:color w:val="auto"/>
                <w:sz w:val="21"/>
                <w:szCs w:val="21"/>
                <w:highlight w:val="none"/>
                <w:lang w:eastAsia="zh-CN"/>
              </w:rPr>
            </w:pPr>
            <w:r>
              <w:rPr>
                <w:rFonts w:hint="eastAsia"/>
                <w:color w:val="auto"/>
                <w:sz w:val="21"/>
                <w:szCs w:val="21"/>
                <w:highlight w:val="none"/>
              </w:rPr>
              <w:t>3）</w:t>
            </w:r>
            <w:r>
              <w:rPr>
                <w:rFonts w:hint="eastAsia"/>
                <w:color w:val="auto"/>
                <w:sz w:val="21"/>
                <w:szCs w:val="21"/>
                <w:highlight w:val="none"/>
                <w:lang w:eastAsia="zh-CN"/>
              </w:rPr>
              <w:t>提供2022年度经审计的财务报告，或投标截止时间前6个月内任意时段的资产负债表，或投标截止时间前6个月内任意时间由基本开户银行出具的资信证明，或财政部门认可的政府采购专业担保机构出具的投标担保函。（以上四种形式的资料提供任何一种即可）</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88" w:lineRule="auto"/>
              <w:ind w:right="0" w:rightChars="0"/>
              <w:textAlignment w:val="auto"/>
              <w:rPr>
                <w:rFonts w:hint="eastAsia"/>
                <w:color w:val="auto"/>
                <w:sz w:val="21"/>
                <w:szCs w:val="21"/>
                <w:highlight w:val="none"/>
              </w:rPr>
            </w:pPr>
            <w:r>
              <w:rPr>
                <w:rFonts w:hint="eastAsia"/>
                <w:color w:val="auto"/>
                <w:sz w:val="21"/>
                <w:szCs w:val="21"/>
                <w:highlight w:val="none"/>
              </w:rPr>
              <w:t>4）</w:t>
            </w:r>
            <w:r>
              <w:rPr>
                <w:rFonts w:hint="eastAsia"/>
                <w:color w:val="auto"/>
                <w:sz w:val="21"/>
                <w:szCs w:val="21"/>
                <w:highlight w:val="none"/>
                <w:lang w:eastAsia="zh-CN"/>
              </w:rPr>
              <w:t>提供自投标截止时间前6个月内已缴纳任意时段完税凭证或税务机关开具的完税证明（任意税种）；依法免税的应提供相关文件证明</w:t>
            </w:r>
            <w:r>
              <w:rPr>
                <w:rFonts w:hint="eastAsia"/>
                <w:color w:val="auto"/>
                <w:sz w:val="21"/>
                <w:szCs w:val="21"/>
                <w:highlight w:val="none"/>
              </w:rPr>
              <w:t>；</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88" w:lineRule="auto"/>
              <w:ind w:right="0" w:rightChars="0"/>
              <w:textAlignment w:val="auto"/>
              <w:rPr>
                <w:rFonts w:hint="eastAsia"/>
                <w:color w:val="auto"/>
                <w:sz w:val="21"/>
                <w:szCs w:val="21"/>
                <w:highlight w:val="none"/>
                <w:lang w:eastAsia="zh-CN"/>
              </w:rPr>
            </w:pPr>
            <w:r>
              <w:rPr>
                <w:rFonts w:hint="eastAsia"/>
                <w:color w:val="auto"/>
                <w:sz w:val="21"/>
                <w:szCs w:val="21"/>
                <w:highlight w:val="none"/>
              </w:rPr>
              <w:t>5）</w:t>
            </w:r>
            <w:r>
              <w:rPr>
                <w:rFonts w:hint="eastAsia"/>
                <w:color w:val="auto"/>
                <w:sz w:val="21"/>
                <w:szCs w:val="21"/>
                <w:highlight w:val="none"/>
                <w:lang w:eastAsia="zh-CN"/>
              </w:rPr>
              <w:t>提供自投标截止时间前6个月内已缴存的任意时段的社会保障资金缴存单据或社保机构开具的社会保险参保缴费情况证明；依法不需要缴纳社会保障资金的应提供相关文件证明；</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88" w:lineRule="auto"/>
              <w:ind w:right="0" w:rightChars="0"/>
              <w:textAlignment w:val="auto"/>
              <w:rPr>
                <w:rFonts w:hint="eastAsia"/>
                <w:color w:val="auto"/>
                <w:sz w:val="21"/>
                <w:szCs w:val="21"/>
                <w:highlight w:val="none"/>
              </w:rPr>
            </w:pPr>
            <w:r>
              <w:rPr>
                <w:rFonts w:hint="eastAsia"/>
                <w:color w:val="auto"/>
                <w:sz w:val="21"/>
                <w:szCs w:val="21"/>
                <w:highlight w:val="none"/>
              </w:rPr>
              <w:t>6）</w:t>
            </w:r>
            <w:r>
              <w:rPr>
                <w:rFonts w:hint="eastAsia"/>
                <w:color w:val="auto"/>
                <w:sz w:val="21"/>
                <w:szCs w:val="21"/>
                <w:highlight w:val="none"/>
                <w:lang w:eastAsia="zh-CN"/>
              </w:rPr>
              <w:t>具备履行合同所必需的设备和专业技术能力</w:t>
            </w:r>
            <w:r>
              <w:rPr>
                <w:rFonts w:hint="eastAsia"/>
                <w:color w:val="auto"/>
                <w:sz w:val="21"/>
                <w:szCs w:val="21"/>
                <w:highlight w:val="none"/>
              </w:rPr>
              <w:t>书面声明，格式自拟；</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88" w:lineRule="auto"/>
              <w:ind w:right="0" w:right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7）参加政府采购活动前3年内在经营活动中没有重大违法记录的书面声明，格式自拟；</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88" w:lineRule="auto"/>
              <w:ind w:right="0" w:rightChars="0"/>
              <w:textAlignment w:val="auto"/>
              <w:rPr>
                <w:rFonts w:hint="default"/>
                <w:color w:val="auto"/>
                <w:sz w:val="21"/>
                <w:szCs w:val="21"/>
                <w:highlight w:val="none"/>
                <w:lang w:val="en-US"/>
              </w:rPr>
            </w:pPr>
            <w:r>
              <w:rPr>
                <w:rFonts w:hint="eastAsia"/>
                <w:color w:val="auto"/>
                <w:sz w:val="21"/>
                <w:szCs w:val="21"/>
                <w:highlight w:val="none"/>
                <w:lang w:val="en-US" w:eastAsia="zh-CN"/>
              </w:rPr>
              <w:t>2、特定资格条件：无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Cs w:val="21"/>
                <w:highlight w:val="none"/>
              </w:rPr>
            </w:pPr>
            <w:r>
              <w:rPr>
                <w:rFonts w:hint="eastAsia" w:ascii="宋体" w:hAnsi="宋体" w:cs="宋体"/>
                <w:color w:val="auto"/>
                <w:szCs w:val="21"/>
                <w:highlight w:val="none"/>
              </w:rPr>
              <w:t>13</w:t>
            </w:r>
          </w:p>
        </w:tc>
        <w:tc>
          <w:tcPr>
            <w:tcW w:w="1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color w:val="auto"/>
                <w:szCs w:val="21"/>
                <w:highlight w:val="none"/>
              </w:rPr>
            </w:pPr>
            <w:r>
              <w:rPr>
                <w:rFonts w:hint="eastAsia" w:ascii="宋体" w:hAnsi="宋体" w:cs="宋体"/>
                <w:color w:val="auto"/>
                <w:szCs w:val="21"/>
                <w:highlight w:val="none"/>
              </w:rPr>
              <w:t>采购方式</w:t>
            </w:r>
          </w:p>
        </w:tc>
        <w:tc>
          <w:tcPr>
            <w:tcW w:w="7226"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cs="宋体"/>
                <w:color w:val="auto"/>
                <w:szCs w:val="21"/>
                <w:highlight w:val="none"/>
              </w:rPr>
            </w:pPr>
            <w:r>
              <w:rPr>
                <w:rFonts w:hint="eastAsia" w:ascii="宋体" w:hAnsi="宋体" w:cs="宋体"/>
                <w:color w:val="auto"/>
                <w:szCs w:val="21"/>
                <w:highlight w:val="none"/>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13" w:hRule="atLeast"/>
          <w:jc w:val="center"/>
        </w:trPr>
        <w:tc>
          <w:tcPr>
            <w:tcW w:w="687"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14</w:t>
            </w:r>
          </w:p>
        </w:tc>
        <w:tc>
          <w:tcPr>
            <w:tcW w:w="1831" w:type="dxa"/>
            <w:vAlign w:val="center"/>
          </w:tcPr>
          <w:p>
            <w:pPr>
              <w:spacing w:line="360"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质疑与答复</w:t>
            </w:r>
          </w:p>
        </w:tc>
        <w:tc>
          <w:tcPr>
            <w:tcW w:w="7226" w:type="dxa"/>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 xml:space="preserve">提出质疑截止时间：潜在供应商已依法获取其可质疑的采购文件的，可以对该文件提出质疑。对采购文件提出质疑的，应当在获取采购文件或者采购文件公告期限届满之日起 7 个工作日内提出。 </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提出方式：书面形式（格式详见招标文件第七章）</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 xml:space="preserve">质疑答复：采购人、采购代理机构应当在收到质疑函后7个工作日内作出答复，并以书面形式通知质疑供应商和其他有关供应商。 </w:t>
            </w:r>
          </w:p>
          <w:p>
            <w:pPr>
              <w:pStyle w:val="2"/>
              <w:rPr>
                <w:rFonts w:hint="default" w:eastAsia="宋体"/>
                <w:color w:val="auto"/>
                <w:highlight w:val="none"/>
                <w:lang w:val="en-US" w:eastAsia="zh-CN"/>
              </w:rPr>
            </w:pPr>
            <w:r>
              <w:rPr>
                <w:rFonts w:hint="eastAsia" w:ascii="宋体" w:hAnsi="宋体"/>
                <w:color w:val="auto"/>
                <w:sz w:val="21"/>
                <w:szCs w:val="21"/>
                <w:highlight w:val="none"/>
              </w:rPr>
              <w:t>针对同一采购程序环节又提出其他质疑事项的，或质疑答复后就同一事项再次提出质疑的</w:t>
            </w:r>
            <w:r>
              <w:rPr>
                <w:rFonts w:hint="eastAsia" w:ascii="宋体" w:hAnsi="宋体"/>
                <w:color w:val="auto"/>
                <w:sz w:val="21"/>
                <w:szCs w:val="21"/>
                <w:highlight w:val="none"/>
                <w:lang w:val="en-US" w:eastAsia="zh-CN"/>
              </w:rPr>
              <w:t>为无效质疑，采购人或代理机构不予接收。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92"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15</w:t>
            </w:r>
          </w:p>
        </w:tc>
        <w:tc>
          <w:tcPr>
            <w:tcW w:w="1831" w:type="dxa"/>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招标文件澄清和修改</w:t>
            </w:r>
          </w:p>
        </w:tc>
        <w:tc>
          <w:tcPr>
            <w:tcW w:w="7226" w:type="dxa"/>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cs="宋体"/>
                <w:color w:val="auto"/>
                <w:szCs w:val="21"/>
                <w:highlight w:val="none"/>
              </w:rPr>
            </w:pPr>
            <w:bookmarkStart w:id="7" w:name="_Toc11785"/>
            <w:r>
              <w:rPr>
                <w:rFonts w:hint="eastAsia" w:ascii="宋体" w:hAnsi="宋体" w:cs="宋体"/>
                <w:color w:val="auto"/>
                <w:szCs w:val="21"/>
                <w:highlight w:val="none"/>
              </w:rPr>
              <w:t>招标文件的澄清和修改：投标截止时间15日前</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cs="宋体"/>
                <w:color w:val="auto"/>
                <w:szCs w:val="21"/>
                <w:highlight w:val="none"/>
              </w:rPr>
            </w:pPr>
            <w:r>
              <w:rPr>
                <w:rFonts w:hint="eastAsia" w:ascii="宋体" w:hAnsi="宋体" w:cs="宋体"/>
                <w:color w:val="auto"/>
                <w:szCs w:val="21"/>
                <w:highlight w:val="none"/>
              </w:rPr>
              <w:t>在投标截止时间15日前，招标人可以澄清或修改招标文件，并以书面形式通知各投标人。如果修改招标文件的时间距投标截止时间不足15日时，招标人将延长投标截止时间。</w:t>
            </w:r>
            <w:bookmarkEnd w:id="7"/>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16</w:t>
            </w:r>
          </w:p>
        </w:tc>
        <w:tc>
          <w:tcPr>
            <w:tcW w:w="183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投标截止时间</w:t>
            </w:r>
          </w:p>
        </w:tc>
        <w:tc>
          <w:tcPr>
            <w:tcW w:w="7226" w:type="dxa"/>
            <w:vAlign w:val="center"/>
          </w:tcPr>
          <w:p>
            <w:pPr>
              <w:rPr>
                <w:rFonts w:ascii="宋体" w:hAnsi="宋体" w:cs="宋体"/>
                <w:color w:val="auto"/>
                <w:szCs w:val="21"/>
                <w:highlight w:val="none"/>
              </w:rPr>
            </w:pPr>
            <w:r>
              <w:rPr>
                <w:rFonts w:hint="eastAsia" w:ascii="宋体" w:hAnsi="宋体" w:cs="宋体"/>
                <w:color w:val="auto"/>
                <w:szCs w:val="21"/>
                <w:highlight w:val="none"/>
              </w:rPr>
              <w:t>202</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12月13日</w:t>
            </w:r>
            <w:r>
              <w:rPr>
                <w:rFonts w:hint="eastAsia" w:ascii="宋体" w:hAnsi="宋体" w:cs="宋体"/>
                <w:color w:val="auto"/>
                <w:szCs w:val="21"/>
                <w:highlight w:val="none"/>
              </w:rPr>
              <w:t>09时30分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17</w:t>
            </w:r>
          </w:p>
        </w:tc>
        <w:tc>
          <w:tcPr>
            <w:tcW w:w="183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投标有效期</w:t>
            </w:r>
          </w:p>
        </w:tc>
        <w:tc>
          <w:tcPr>
            <w:tcW w:w="7226" w:type="dxa"/>
            <w:vAlign w:val="center"/>
          </w:tcPr>
          <w:p>
            <w:pPr>
              <w:rPr>
                <w:rFonts w:ascii="宋体" w:hAnsi="宋体" w:cs="宋体"/>
                <w:color w:val="auto"/>
                <w:szCs w:val="21"/>
                <w:highlight w:val="none"/>
              </w:rPr>
            </w:pPr>
            <w:r>
              <w:rPr>
                <w:rFonts w:hint="eastAsia" w:ascii="宋体" w:hAnsi="宋体" w:cs="宋体"/>
                <w:color w:val="auto"/>
                <w:kern w:val="0"/>
                <w:szCs w:val="21"/>
                <w:highlight w:val="none"/>
              </w:rPr>
              <w:t>90天（从提交投标文件的截止之日起算）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18</w:t>
            </w:r>
          </w:p>
        </w:tc>
        <w:tc>
          <w:tcPr>
            <w:tcW w:w="183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投标保证金</w:t>
            </w:r>
          </w:p>
        </w:tc>
        <w:tc>
          <w:tcPr>
            <w:tcW w:w="7226" w:type="dxa"/>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本项目不收取保证金。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87"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19</w:t>
            </w:r>
          </w:p>
        </w:tc>
        <w:tc>
          <w:tcPr>
            <w:tcW w:w="1831" w:type="dxa"/>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是否允许递交备选方案</w:t>
            </w:r>
          </w:p>
        </w:tc>
        <w:tc>
          <w:tcPr>
            <w:tcW w:w="7226" w:type="dxa"/>
            <w:vAlign w:val="center"/>
          </w:tcPr>
          <w:p>
            <w:pPr>
              <w:rPr>
                <w:rFonts w:ascii="宋体" w:hAnsi="宋体" w:cs="宋体"/>
                <w:color w:val="auto"/>
                <w:szCs w:val="21"/>
                <w:highlight w:val="none"/>
              </w:rPr>
            </w:pPr>
            <w:r>
              <w:rPr>
                <w:rFonts w:hint="eastAsia" w:ascii="宋体" w:hAnsi="宋体" w:cs="宋体"/>
                <w:color w:val="auto"/>
                <w:szCs w:val="21"/>
                <w:highlight w:val="none"/>
              </w:rPr>
              <w:t>不允许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87" w:type="dxa"/>
            <w:vAlign w:val="center"/>
          </w:tcPr>
          <w:p>
            <w:pPr>
              <w:spacing w:line="360"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20</w:t>
            </w:r>
          </w:p>
        </w:tc>
        <w:tc>
          <w:tcPr>
            <w:tcW w:w="183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签字或盖章要求</w:t>
            </w:r>
          </w:p>
        </w:tc>
        <w:tc>
          <w:tcPr>
            <w:tcW w:w="7226" w:type="dxa"/>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cs="宋体"/>
                <w:color w:val="auto"/>
                <w:szCs w:val="21"/>
                <w:highlight w:val="none"/>
              </w:rPr>
            </w:pPr>
            <w:r>
              <w:rPr>
                <w:rFonts w:hint="eastAsia" w:ascii="宋体" w:hAnsi="宋体" w:cs="宋体"/>
                <w:color w:val="auto"/>
                <w:szCs w:val="21"/>
                <w:highlight w:val="none"/>
              </w:rPr>
              <w:t>纸质投标文件封面及其它有要求的部位应加盖投标人公章并经</w:t>
            </w:r>
            <w:r>
              <w:rPr>
                <w:rFonts w:hint="eastAsia" w:ascii="宋体" w:hAnsi="宋体" w:cs="宋体"/>
                <w:color w:val="auto"/>
                <w:szCs w:val="21"/>
                <w:highlight w:val="none"/>
                <w:lang w:eastAsia="zh-CN"/>
              </w:rPr>
              <w:t>法定代表人（负责人）</w:t>
            </w:r>
            <w:r>
              <w:rPr>
                <w:rFonts w:hint="eastAsia" w:ascii="宋体" w:hAnsi="宋体" w:cs="宋体"/>
                <w:color w:val="auto"/>
                <w:szCs w:val="21"/>
                <w:highlight w:val="none"/>
              </w:rPr>
              <w:t>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11" w:hRule="atLeast"/>
          <w:jc w:val="center"/>
        </w:trPr>
        <w:tc>
          <w:tcPr>
            <w:tcW w:w="687"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21</w:t>
            </w:r>
          </w:p>
        </w:tc>
        <w:tc>
          <w:tcPr>
            <w:tcW w:w="1831" w:type="dxa"/>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投标文件的份数及装订要求</w:t>
            </w:r>
          </w:p>
        </w:tc>
        <w:tc>
          <w:tcPr>
            <w:tcW w:w="722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88" w:lineRule="auto"/>
              <w:textAlignment w:val="auto"/>
              <w:rPr>
                <w:rFonts w:hint="eastAsia" w:ascii="宋体" w:hAnsi="宋体" w:cs="宋体"/>
                <w:color w:val="auto"/>
                <w:szCs w:val="21"/>
                <w:highlight w:val="none"/>
              </w:rPr>
            </w:pPr>
            <w:r>
              <w:rPr>
                <w:rFonts w:hint="eastAsia" w:ascii="宋体" w:hAnsi="宋体" w:cs="宋体"/>
                <w:color w:val="auto"/>
                <w:szCs w:val="21"/>
                <w:highlight w:val="none"/>
              </w:rPr>
              <w:t>份数要求：</w:t>
            </w:r>
          </w:p>
          <w:p>
            <w:pPr>
              <w:widowControl/>
              <w:spacing w:line="259" w:lineRule="auto"/>
              <w:jc w:val="left"/>
              <w:rPr>
                <w:rFonts w:hint="eastAsia" w:ascii="宋体" w:hAnsi="宋体"/>
                <w:color w:val="auto"/>
                <w:sz w:val="21"/>
                <w:szCs w:val="21"/>
                <w:highlight w:val="none"/>
              </w:rPr>
            </w:pPr>
            <w:r>
              <w:rPr>
                <w:rFonts w:hint="eastAsia" w:ascii="宋体" w:hAnsi="宋体"/>
                <w:color w:val="auto"/>
                <w:sz w:val="21"/>
                <w:szCs w:val="21"/>
                <w:highlight w:val="none"/>
              </w:rPr>
              <w:t>1）</w:t>
            </w:r>
            <w:r>
              <w:rPr>
                <w:rFonts w:ascii="宋体" w:hAnsi="宋体"/>
                <w:b/>
                <w:bCs/>
                <w:color w:val="auto"/>
                <w:sz w:val="21"/>
                <w:szCs w:val="21"/>
                <w:highlight w:val="none"/>
              </w:rPr>
              <w:t>一份投标文件正本和</w:t>
            </w:r>
            <w:r>
              <w:rPr>
                <w:rFonts w:hint="eastAsia" w:ascii="宋体" w:hAnsi="宋体"/>
                <w:b/>
                <w:bCs/>
                <w:color w:val="auto"/>
                <w:sz w:val="21"/>
                <w:szCs w:val="21"/>
                <w:highlight w:val="none"/>
                <w:lang w:val="en-US" w:eastAsia="zh-CN"/>
              </w:rPr>
              <w:t>2</w:t>
            </w:r>
            <w:r>
              <w:rPr>
                <w:rFonts w:hint="eastAsia" w:ascii="宋体" w:hAnsi="宋体"/>
                <w:b/>
                <w:bCs/>
                <w:color w:val="auto"/>
                <w:sz w:val="21"/>
                <w:szCs w:val="21"/>
                <w:highlight w:val="none"/>
              </w:rPr>
              <w:t>份</w:t>
            </w:r>
            <w:r>
              <w:rPr>
                <w:rFonts w:ascii="宋体" w:hAnsi="宋体"/>
                <w:b/>
                <w:bCs/>
                <w:color w:val="auto"/>
                <w:sz w:val="21"/>
                <w:szCs w:val="21"/>
                <w:highlight w:val="none"/>
              </w:rPr>
              <w:t>副本</w:t>
            </w:r>
            <w:r>
              <w:rPr>
                <w:rFonts w:ascii="宋体" w:hAnsi="宋体"/>
                <w:color w:val="auto"/>
                <w:sz w:val="21"/>
                <w:szCs w:val="21"/>
                <w:highlight w:val="none"/>
              </w:rPr>
              <w:t>，每套投标文件须清楚地标明“正本”或“副本”</w:t>
            </w:r>
            <w:r>
              <w:rPr>
                <w:rFonts w:hint="eastAsia" w:ascii="宋体" w:hAnsi="宋体"/>
                <w:color w:val="auto"/>
                <w:sz w:val="21"/>
                <w:szCs w:val="21"/>
                <w:highlight w:val="none"/>
              </w:rPr>
              <w:t>，</w:t>
            </w:r>
            <w:r>
              <w:rPr>
                <w:rFonts w:ascii="宋体" w:hAnsi="宋体"/>
                <w:color w:val="auto"/>
                <w:sz w:val="21"/>
                <w:szCs w:val="21"/>
                <w:highlight w:val="none"/>
              </w:rPr>
              <w:t>若副本与正本不符，以正本为准</w:t>
            </w:r>
            <w:r>
              <w:rPr>
                <w:rFonts w:hint="eastAsia" w:ascii="宋体" w:hAnsi="宋体"/>
                <w:color w:val="auto"/>
                <w:sz w:val="21"/>
                <w:szCs w:val="21"/>
                <w:highlight w:val="none"/>
              </w:rPr>
              <w:t>；</w:t>
            </w:r>
          </w:p>
          <w:p>
            <w:pPr>
              <w:widowControl/>
              <w:spacing w:line="259" w:lineRule="auto"/>
              <w:jc w:val="left"/>
              <w:rPr>
                <w:rFonts w:hint="eastAsia" w:ascii="宋体" w:hAnsi="宋体"/>
                <w:color w:val="auto"/>
                <w:sz w:val="21"/>
                <w:szCs w:val="21"/>
                <w:highlight w:val="none"/>
              </w:rPr>
            </w:pPr>
            <w:r>
              <w:rPr>
                <w:rFonts w:hint="eastAsia" w:ascii="宋体" w:hAnsi="宋体"/>
                <w:color w:val="auto"/>
                <w:sz w:val="21"/>
                <w:szCs w:val="21"/>
                <w:highlight w:val="none"/>
              </w:rPr>
              <w:t>2）</w:t>
            </w:r>
            <w:r>
              <w:rPr>
                <w:rFonts w:hint="eastAsia" w:ascii="宋体" w:hAnsi="宋体"/>
                <w:b/>
                <w:bCs/>
                <w:color w:val="auto"/>
                <w:sz w:val="21"/>
                <w:szCs w:val="21"/>
                <w:highlight w:val="none"/>
                <w:lang w:val="en-US" w:eastAsia="zh-CN"/>
              </w:rPr>
              <w:t>按招标文件要求</w:t>
            </w:r>
            <w:r>
              <w:rPr>
                <w:rFonts w:hint="eastAsia" w:ascii="宋体" w:hAnsi="宋体"/>
                <w:b/>
                <w:bCs/>
                <w:color w:val="auto"/>
                <w:sz w:val="21"/>
                <w:szCs w:val="21"/>
                <w:highlight w:val="none"/>
              </w:rPr>
              <w:t>签字</w:t>
            </w:r>
            <w:r>
              <w:rPr>
                <w:rFonts w:hint="eastAsia" w:ascii="宋体" w:hAnsi="宋体"/>
                <w:b/>
                <w:bCs/>
                <w:color w:val="auto"/>
                <w:sz w:val="21"/>
                <w:szCs w:val="21"/>
                <w:highlight w:val="none"/>
                <w:lang w:val="en-US" w:eastAsia="zh-CN"/>
              </w:rPr>
              <w:t>盖章</w:t>
            </w:r>
            <w:r>
              <w:rPr>
                <w:rFonts w:hint="eastAsia" w:ascii="宋体" w:hAnsi="宋体"/>
                <w:b/>
                <w:bCs/>
                <w:color w:val="auto"/>
                <w:sz w:val="21"/>
                <w:szCs w:val="21"/>
                <w:highlight w:val="none"/>
              </w:rPr>
              <w:t>的“开标一览表”2份</w:t>
            </w:r>
            <w:r>
              <w:rPr>
                <w:rFonts w:hint="eastAsia" w:ascii="宋体" w:hAnsi="宋体"/>
                <w:color w:val="auto"/>
                <w:sz w:val="21"/>
                <w:szCs w:val="21"/>
                <w:highlight w:val="none"/>
              </w:rPr>
              <w:t>；</w:t>
            </w:r>
          </w:p>
          <w:p>
            <w:pPr>
              <w:pStyle w:val="2"/>
              <w:rPr>
                <w:rFonts w:ascii="宋体" w:hAnsi="宋体" w:cs="宋体"/>
                <w:b/>
                <w:bCs/>
                <w:color w:val="auto"/>
                <w:sz w:val="21"/>
                <w:szCs w:val="21"/>
                <w:highlight w:val="none"/>
              </w:rPr>
            </w:pPr>
            <w:r>
              <w:rPr>
                <w:rFonts w:hint="eastAsia" w:ascii="宋体" w:hAnsi="宋体"/>
                <w:color w:val="auto"/>
                <w:sz w:val="21"/>
                <w:szCs w:val="21"/>
                <w:highlight w:val="none"/>
              </w:rPr>
              <w:t>3）</w:t>
            </w:r>
            <w:r>
              <w:rPr>
                <w:rFonts w:ascii="宋体" w:hAnsi="宋体"/>
                <w:b/>
                <w:bCs/>
                <w:color w:val="auto"/>
                <w:sz w:val="21"/>
                <w:szCs w:val="21"/>
                <w:highlight w:val="none"/>
              </w:rPr>
              <w:t>同时提供</w:t>
            </w:r>
            <w:r>
              <w:rPr>
                <w:rFonts w:hint="eastAsia" w:ascii="宋体" w:hAnsi="宋体"/>
                <w:b/>
                <w:bCs/>
                <w:color w:val="auto"/>
                <w:sz w:val="21"/>
                <w:szCs w:val="21"/>
                <w:highlight w:val="none"/>
              </w:rPr>
              <w:t>1份</w:t>
            </w:r>
            <w:r>
              <w:rPr>
                <w:rFonts w:ascii="宋体" w:hAnsi="宋体"/>
                <w:b/>
                <w:bCs/>
                <w:color w:val="auto"/>
                <w:sz w:val="21"/>
                <w:szCs w:val="21"/>
                <w:highlight w:val="none"/>
              </w:rPr>
              <w:t>电子介质的投标文件</w:t>
            </w:r>
            <w:r>
              <w:rPr>
                <w:rFonts w:hint="eastAsia" w:ascii="宋体" w:hAnsi="宋体"/>
                <w:b/>
                <w:bCs/>
                <w:color w:val="auto"/>
                <w:sz w:val="21"/>
                <w:szCs w:val="21"/>
                <w:highlight w:val="none"/>
              </w:rPr>
              <w:t>（U盘）</w:t>
            </w:r>
            <w:r>
              <w:rPr>
                <w:rFonts w:hint="eastAsia" w:ascii="宋体" w:hAnsi="宋体"/>
                <w:color w:val="auto"/>
                <w:sz w:val="21"/>
                <w:szCs w:val="21"/>
                <w:highlight w:val="none"/>
              </w:rPr>
              <w:t>，包括投标文件正本完整版（PDF格式</w:t>
            </w:r>
            <w:r>
              <w:rPr>
                <w:rFonts w:hint="eastAsia" w:ascii="宋体" w:hAnsi="宋体"/>
                <w:color w:val="auto"/>
                <w:sz w:val="21"/>
                <w:szCs w:val="21"/>
                <w:highlight w:val="none"/>
                <w:lang w:val="en-US" w:eastAsia="zh-CN"/>
              </w:rPr>
              <w:t>和</w:t>
            </w:r>
            <w:r>
              <w:rPr>
                <w:rFonts w:hint="eastAsia" w:ascii="宋体" w:hAnsi="宋体"/>
                <w:color w:val="auto"/>
                <w:sz w:val="21"/>
                <w:szCs w:val="21"/>
                <w:highlight w:val="none"/>
              </w:rPr>
              <w:t>WORD格式）</w:t>
            </w: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项</w:t>
            </w:r>
            <w:r>
              <w:rPr>
                <w:rFonts w:ascii="宋体" w:hAnsi="宋体"/>
                <w:color w:val="auto"/>
                <w:sz w:val="21"/>
                <w:szCs w:val="21"/>
                <w:highlight w:val="none"/>
              </w:rPr>
              <w:t>。电子介质的投标文件与纸质投标文件具有同等的法律效力。当电子介质的投标文件与纸质投标文件不一致时，以纸质投标文件为准。</w:t>
            </w:r>
          </w:p>
          <w:p>
            <w:pPr>
              <w:keepNext w:val="0"/>
              <w:keepLines w:val="0"/>
              <w:pageBreakBefore w:val="0"/>
              <w:widowControl w:val="0"/>
              <w:numPr>
                <w:ilvl w:val="0"/>
                <w:numId w:val="1"/>
              </w:numPr>
              <w:kinsoku/>
              <w:wordWrap/>
              <w:overflowPunct/>
              <w:topLinePunct w:val="0"/>
              <w:autoSpaceDE/>
              <w:autoSpaceDN/>
              <w:bidi w:val="0"/>
              <w:adjustRightInd/>
              <w:snapToGrid/>
              <w:spacing w:line="288" w:lineRule="auto"/>
              <w:textAlignment w:val="auto"/>
              <w:rPr>
                <w:rFonts w:ascii="宋体" w:hAnsi="宋体" w:cs="宋体"/>
                <w:color w:val="auto"/>
                <w:szCs w:val="21"/>
                <w:highlight w:val="none"/>
              </w:rPr>
            </w:pPr>
            <w:r>
              <w:rPr>
                <w:rFonts w:hint="eastAsia" w:ascii="宋体" w:hAnsi="宋体" w:cs="宋体"/>
                <w:color w:val="auto"/>
                <w:szCs w:val="21"/>
                <w:highlight w:val="none"/>
              </w:rPr>
              <w:t>装订要求：正、副本分别</w:t>
            </w:r>
            <w:r>
              <w:rPr>
                <w:rFonts w:hint="eastAsia" w:ascii="宋体" w:hAnsi="宋体" w:cs="宋体"/>
                <w:color w:val="auto"/>
                <w:szCs w:val="21"/>
                <w:highlight w:val="none"/>
                <w:lang w:val="en-US" w:eastAsia="zh-CN"/>
              </w:rPr>
              <w:t>胶装</w:t>
            </w:r>
            <w:r>
              <w:rPr>
                <w:rFonts w:hint="eastAsia" w:ascii="宋体" w:hAnsi="宋体" w:cs="宋体"/>
                <w:color w:val="auto"/>
                <w:szCs w:val="21"/>
                <w:highlight w:val="none"/>
              </w:rPr>
              <w:t>成册，如有彩页应装订成册，不允许活页夹装订；</w:t>
            </w:r>
            <w:r>
              <w:rPr>
                <w:rFonts w:hint="eastAsia" w:ascii="宋体" w:hAnsi="宋体" w:cs="宋体"/>
                <w:b/>
                <w:bCs/>
                <w:color w:val="auto"/>
                <w:szCs w:val="21"/>
                <w:highlight w:val="none"/>
              </w:rPr>
              <w:t>书脊处标明项目名称及投标人名称。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11" w:hRule="atLeast"/>
          <w:jc w:val="center"/>
        </w:trPr>
        <w:tc>
          <w:tcPr>
            <w:tcW w:w="687" w:type="dxa"/>
            <w:vMerge w:val="restart"/>
            <w:vAlign w:val="center"/>
          </w:tcPr>
          <w:p>
            <w:pPr>
              <w:spacing w:line="288"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22</w:t>
            </w:r>
          </w:p>
        </w:tc>
        <w:tc>
          <w:tcPr>
            <w:tcW w:w="1831" w:type="dxa"/>
            <w:vMerge w:val="restart"/>
            <w:vAlign w:val="center"/>
          </w:tcPr>
          <w:p>
            <w:pPr>
              <w:spacing w:line="288" w:lineRule="auto"/>
              <w:jc w:val="center"/>
              <w:rPr>
                <w:rFonts w:hint="eastAsia" w:ascii="宋体" w:hAnsi="宋体" w:cs="宋体"/>
                <w:color w:val="auto"/>
                <w:szCs w:val="21"/>
                <w:highlight w:val="none"/>
              </w:rPr>
            </w:pPr>
            <w:r>
              <w:rPr>
                <w:rFonts w:hint="eastAsia" w:ascii="宋体" w:hAnsi="宋体" w:cs="宋体"/>
                <w:color w:val="auto"/>
                <w:szCs w:val="21"/>
                <w:highlight w:val="none"/>
              </w:rPr>
              <w:t>投标文件的密封和标记</w:t>
            </w:r>
          </w:p>
        </w:tc>
        <w:tc>
          <w:tcPr>
            <w:tcW w:w="7226" w:type="dxa"/>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宋体"/>
                <w:color w:val="auto"/>
                <w:szCs w:val="21"/>
                <w:highlight w:val="none"/>
              </w:rPr>
            </w:pPr>
            <w:r>
              <w:rPr>
                <w:rFonts w:hint="eastAsia" w:ascii="宋体" w:hAnsi="宋体" w:cs="宋体"/>
                <w:color w:val="auto"/>
                <w:szCs w:val="21"/>
                <w:highlight w:val="none"/>
              </w:rPr>
              <w:t>投标文件应包括开标一览表。为方便开标时唱标，投标人还应将①开标一览表单独密封提交并在信封上标注“开标一览表</w:t>
            </w:r>
            <w:r>
              <w:rPr>
                <w:rFonts w:hint="eastAsia" w:ascii="宋体" w:hAnsi="宋体" w:cs="宋体"/>
                <w:color w:val="auto"/>
                <w:szCs w:val="21"/>
                <w:highlight w:val="none"/>
                <w:lang w:eastAsia="zh-CN"/>
              </w:rPr>
              <w:t>”</w:t>
            </w:r>
            <w:r>
              <w:rPr>
                <w:rFonts w:hint="eastAsia" w:ascii="宋体" w:hAnsi="宋体" w:cs="宋体"/>
                <w:color w:val="auto"/>
                <w:szCs w:val="21"/>
                <w:highlight w:val="none"/>
              </w:rPr>
              <w:t>字样</w:t>
            </w:r>
            <w:r>
              <w:rPr>
                <w:rFonts w:hint="eastAsia" w:ascii="宋体" w:hAnsi="宋体" w:cs="宋体"/>
                <w:color w:val="auto"/>
                <w:szCs w:val="21"/>
                <w:highlight w:val="none"/>
                <w:lang w:eastAsia="zh-CN"/>
              </w:rPr>
              <w:t>。</w:t>
            </w:r>
            <w:r>
              <w:rPr>
                <w:rFonts w:hint="eastAsia" w:ascii="宋体" w:hAnsi="宋体" w:cs="宋体"/>
                <w:color w:val="auto"/>
                <w:szCs w:val="21"/>
                <w:highlight w:val="none"/>
              </w:rPr>
              <w:t>②电子介质投标文件单独密封提交并在信封上标注“电子投标文件”字样。③投标文件正本</w:t>
            </w:r>
            <w:r>
              <w:rPr>
                <w:rFonts w:hint="eastAsia" w:ascii="宋体" w:hAnsi="宋体" w:cs="宋体"/>
                <w:color w:val="auto"/>
                <w:szCs w:val="21"/>
                <w:highlight w:val="none"/>
                <w:lang w:eastAsia="zh-CN"/>
              </w:rPr>
              <w:t>、</w:t>
            </w:r>
            <w:r>
              <w:rPr>
                <w:rFonts w:hint="eastAsia" w:ascii="宋体" w:hAnsi="宋体" w:cs="宋体"/>
                <w:color w:val="auto"/>
                <w:szCs w:val="21"/>
                <w:highlight w:val="none"/>
              </w:rPr>
              <w:t>所有的副本封装在一个信封中，如投标文件副本厚重体积大造成递交不便利，允许将副本分为1或最多2个信封密封包装。招标人将拒收不按招标文件要求密封的投标文件。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92" w:hRule="atLeast"/>
          <w:jc w:val="center"/>
        </w:trPr>
        <w:tc>
          <w:tcPr>
            <w:tcW w:w="687" w:type="dxa"/>
            <w:vMerge w:val="continue"/>
            <w:vAlign w:val="center"/>
          </w:tcPr>
          <w:p>
            <w:pPr>
              <w:jc w:val="center"/>
              <w:rPr>
                <w:rFonts w:ascii="宋体" w:hAnsi="宋体" w:cs="宋体"/>
                <w:color w:val="auto"/>
                <w:szCs w:val="21"/>
                <w:highlight w:val="none"/>
              </w:rPr>
            </w:pPr>
          </w:p>
        </w:tc>
        <w:tc>
          <w:tcPr>
            <w:tcW w:w="1831" w:type="dxa"/>
            <w:vMerge w:val="continue"/>
            <w:vAlign w:val="center"/>
          </w:tcPr>
          <w:p>
            <w:pPr>
              <w:spacing w:line="288" w:lineRule="auto"/>
              <w:jc w:val="center"/>
              <w:rPr>
                <w:rFonts w:ascii="宋体" w:hAnsi="宋体" w:cs="宋体"/>
                <w:color w:val="auto"/>
                <w:szCs w:val="21"/>
                <w:highlight w:val="none"/>
              </w:rPr>
            </w:pPr>
          </w:p>
        </w:tc>
        <w:tc>
          <w:tcPr>
            <w:tcW w:w="7226" w:type="dxa"/>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宋体"/>
                <w:color w:val="auto"/>
                <w:szCs w:val="21"/>
                <w:highlight w:val="none"/>
              </w:rPr>
            </w:pPr>
            <w:r>
              <w:rPr>
                <w:rFonts w:hint="eastAsia" w:ascii="宋体" w:hAnsi="宋体" w:cs="宋体"/>
                <w:color w:val="auto"/>
                <w:szCs w:val="21"/>
                <w:highlight w:val="none"/>
              </w:rPr>
              <w:t>外层信封均应标明</w:t>
            </w:r>
            <w:r>
              <w:rPr>
                <w:rFonts w:hint="eastAsia" w:ascii="宋体" w:hAnsi="宋体" w:cs="宋体"/>
                <w:color w:val="auto"/>
                <w:szCs w:val="21"/>
                <w:highlight w:val="none"/>
                <w:lang w:val="en-US" w:eastAsia="zh-CN"/>
              </w:rPr>
              <w:t>以下字样</w:t>
            </w:r>
            <w:r>
              <w:rPr>
                <w:rFonts w:hint="eastAsia" w:ascii="宋体" w:hAnsi="宋体" w:cs="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项目编号：</w:t>
            </w:r>
            <w:r>
              <w:rPr>
                <w:rFonts w:hint="eastAsia" w:ascii="宋体" w:hAnsi="宋体" w:cs="宋体"/>
                <w:color w:val="auto"/>
                <w:szCs w:val="21"/>
                <w:highlight w:val="none"/>
                <w:lang w:eastAsia="zh-CN"/>
              </w:rPr>
              <w:t>E-234132XA011/0</w:t>
            </w:r>
            <w:r>
              <w:rPr>
                <w:rFonts w:hint="eastAsia" w:ascii="宋体" w:hAnsi="宋体" w:cs="宋体"/>
                <w:color w:val="auto"/>
                <w:szCs w:val="21"/>
                <w:highlight w:val="none"/>
                <w:lang w:val="en-US" w:eastAsia="zh-CN"/>
              </w:rPr>
              <w:t>4</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宋体"/>
                <w:color w:val="auto"/>
                <w:szCs w:val="21"/>
                <w:highlight w:val="none"/>
              </w:rPr>
            </w:pPr>
            <w:r>
              <w:rPr>
                <w:rFonts w:hint="eastAsia" w:ascii="宋体" w:hAnsi="宋体" w:cs="宋体"/>
                <w:color w:val="auto"/>
                <w:szCs w:val="21"/>
                <w:highlight w:val="none"/>
              </w:rPr>
              <w:t>项目名称：</w:t>
            </w:r>
            <w:r>
              <w:rPr>
                <w:rFonts w:hint="eastAsia" w:ascii="宋体" w:hAnsi="宋体" w:cs="宋体"/>
                <w:i w:val="0"/>
                <w:iCs w:val="0"/>
                <w:caps w:val="0"/>
                <w:color w:val="auto"/>
                <w:spacing w:val="0"/>
                <w:kern w:val="0"/>
                <w:sz w:val="21"/>
                <w:szCs w:val="21"/>
                <w:highlight w:val="none"/>
                <w:shd w:val="clear" w:color="auto" w:fill="auto"/>
                <w:lang w:val="en-US" w:eastAsia="zh-CN" w:bidi="ar-SA"/>
              </w:rPr>
              <w:t>咸阳市中心医院智慧医院建设提升、智慧医疗管理系统建设及环境扩容服务</w:t>
            </w:r>
            <w:r>
              <w:rPr>
                <w:rFonts w:hint="eastAsia" w:ascii="宋体" w:hAnsi="宋体" w:eastAsia="宋体" w:cs="宋体"/>
                <w:i w:val="0"/>
                <w:iCs w:val="0"/>
                <w:caps w:val="0"/>
                <w:color w:val="auto"/>
                <w:spacing w:val="0"/>
                <w:kern w:val="0"/>
                <w:sz w:val="21"/>
                <w:szCs w:val="21"/>
                <w:highlight w:val="none"/>
                <w:shd w:val="clear" w:color="auto" w:fill="auto"/>
                <w:lang w:val="en-US" w:eastAsia="zh-CN" w:bidi="ar-SA"/>
              </w:rPr>
              <w:t>（04包：智慧医疗管理系统建设及环境扩容服务项目）</w:t>
            </w:r>
          </w:p>
          <w:p>
            <w:pPr>
              <w:keepNext w:val="0"/>
              <w:keepLines w:val="0"/>
              <w:pageBreakBefore w:val="0"/>
              <w:widowControl w:val="0"/>
              <w:kinsoku/>
              <w:wordWrap/>
              <w:overflowPunct/>
              <w:topLinePunct w:val="0"/>
              <w:autoSpaceDE/>
              <w:autoSpaceDN/>
              <w:bidi w:val="0"/>
              <w:adjustRightInd/>
              <w:snapToGrid/>
              <w:spacing w:line="288" w:lineRule="auto"/>
              <w:ind w:firstLine="1890" w:firstLineChars="900"/>
              <w:textAlignment w:val="auto"/>
              <w:rPr>
                <w:rFonts w:hint="eastAsia" w:ascii="宋体" w:hAnsi="宋体" w:cs="宋体"/>
                <w:color w:val="auto"/>
                <w:szCs w:val="21"/>
                <w:highlight w:val="none"/>
              </w:rPr>
            </w:pPr>
            <w:r>
              <w:rPr>
                <w:rFonts w:hint="eastAsia" w:ascii="宋体" w:hAnsi="宋体" w:cs="宋体"/>
                <w:color w:val="auto"/>
                <w:szCs w:val="21"/>
                <w:highlight w:val="none"/>
                <w:lang w:val="en-US" w:eastAsia="zh-CN"/>
              </w:rPr>
              <w:t>投标文件</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宋体"/>
                <w:color w:val="auto"/>
                <w:szCs w:val="21"/>
                <w:highlight w:val="none"/>
              </w:rPr>
            </w:pPr>
            <w:r>
              <w:rPr>
                <w:rFonts w:hint="eastAsia" w:ascii="宋体" w:hAnsi="宋体" w:cs="宋体"/>
                <w:color w:val="auto"/>
                <w:szCs w:val="21"/>
                <w:highlight w:val="none"/>
              </w:rPr>
              <w:t>投标人名称（盖章）：</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cs="宋体"/>
                <w:color w:val="auto"/>
                <w:szCs w:val="21"/>
                <w:highlight w:val="none"/>
              </w:rPr>
            </w:pPr>
            <w:r>
              <w:rPr>
                <w:rFonts w:hint="eastAsia" w:ascii="宋体" w:hAnsi="宋体" w:cs="宋体"/>
                <w:color w:val="auto"/>
                <w:szCs w:val="21"/>
                <w:highlight w:val="none"/>
              </w:rPr>
              <w:t>在</w:t>
            </w:r>
            <w:r>
              <w:rPr>
                <w:rFonts w:hint="eastAsia" w:ascii="宋体" w:hAnsi="宋体" w:cs="宋体"/>
                <w:color w:val="auto"/>
                <w:szCs w:val="21"/>
                <w:highlight w:val="none"/>
                <w:lang w:val="en-US" w:eastAsia="zh-CN"/>
              </w:rPr>
              <w:t>投标文件递交截止时间</w:t>
            </w:r>
            <w:r>
              <w:rPr>
                <w:rFonts w:hint="eastAsia" w:ascii="宋体" w:hAnsi="宋体" w:cs="宋体"/>
                <w:color w:val="auto"/>
                <w:szCs w:val="21"/>
                <w:highlight w:val="none"/>
              </w:rPr>
              <w:t>之前不得启封。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23</w:t>
            </w:r>
          </w:p>
        </w:tc>
        <w:tc>
          <w:tcPr>
            <w:tcW w:w="183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递交投标文件地点</w:t>
            </w:r>
          </w:p>
        </w:tc>
        <w:tc>
          <w:tcPr>
            <w:tcW w:w="7226" w:type="dxa"/>
            <w:vAlign w:val="center"/>
          </w:tcPr>
          <w:p>
            <w:pPr>
              <w:widowControl/>
              <w:jc w:val="left"/>
              <w:rPr>
                <w:rFonts w:ascii="宋体" w:hAnsi="宋体" w:cs="宋体"/>
                <w:color w:val="auto"/>
                <w:szCs w:val="21"/>
                <w:highlight w:val="none"/>
              </w:rPr>
            </w:pPr>
            <w:r>
              <w:rPr>
                <w:rFonts w:hint="eastAsia" w:ascii="宋体" w:hAnsi="宋体" w:cs="宋体"/>
                <w:color w:val="auto"/>
                <w:szCs w:val="21"/>
                <w:highlight w:val="none"/>
              </w:rPr>
              <w:t>西安市高新区沣惠南路34号摩尔中心A座24层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687"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24</w:t>
            </w:r>
          </w:p>
        </w:tc>
        <w:tc>
          <w:tcPr>
            <w:tcW w:w="183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开标时间和地点</w:t>
            </w:r>
          </w:p>
        </w:tc>
        <w:tc>
          <w:tcPr>
            <w:tcW w:w="7226" w:type="dxa"/>
            <w:vAlign w:val="center"/>
          </w:tcPr>
          <w:p>
            <w:pPr>
              <w:spacing w:line="288" w:lineRule="auto"/>
              <w:rPr>
                <w:rFonts w:ascii="宋体" w:hAnsi="宋体" w:cs="宋体"/>
                <w:color w:val="auto"/>
                <w:szCs w:val="21"/>
                <w:highlight w:val="none"/>
              </w:rPr>
            </w:pPr>
            <w:r>
              <w:rPr>
                <w:rFonts w:hint="eastAsia" w:ascii="宋体" w:hAnsi="宋体" w:cs="宋体"/>
                <w:color w:val="auto"/>
                <w:szCs w:val="21"/>
                <w:highlight w:val="none"/>
              </w:rPr>
              <w:t>开标时间：</w:t>
            </w:r>
            <w:r>
              <w:rPr>
                <w:rFonts w:hint="eastAsia" w:ascii="宋体" w:hAnsi="宋体" w:cs="宋体"/>
                <w:color w:val="auto"/>
                <w:szCs w:val="21"/>
                <w:highlight w:val="none"/>
                <w:lang w:eastAsia="zh-CN"/>
              </w:rPr>
              <w:t>202</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lang w:eastAsia="zh-CN"/>
              </w:rPr>
              <w:t>年</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lang w:eastAsia="zh-CN"/>
              </w:rPr>
              <w:t>月</w:t>
            </w:r>
            <w:r>
              <w:rPr>
                <w:rFonts w:hint="eastAsia" w:ascii="宋体" w:hAnsi="宋体" w:cs="宋体"/>
                <w:color w:val="auto"/>
                <w:szCs w:val="21"/>
                <w:highlight w:val="none"/>
                <w:lang w:val="en-US" w:eastAsia="zh-CN"/>
              </w:rPr>
              <w:t xml:space="preserve"> 13 </w:t>
            </w:r>
            <w:r>
              <w:rPr>
                <w:rFonts w:hint="eastAsia" w:ascii="宋体" w:hAnsi="宋体" w:cs="宋体"/>
                <w:color w:val="auto"/>
                <w:szCs w:val="21"/>
                <w:highlight w:val="none"/>
                <w:lang w:eastAsia="zh-CN"/>
              </w:rPr>
              <w:t>日</w:t>
            </w:r>
            <w:r>
              <w:rPr>
                <w:rFonts w:hint="eastAsia" w:ascii="宋体" w:hAnsi="宋体" w:cs="宋体"/>
                <w:color w:val="auto"/>
                <w:szCs w:val="21"/>
                <w:highlight w:val="none"/>
                <w:lang w:val="en-US" w:eastAsia="zh-CN"/>
              </w:rPr>
              <w:t>09</w:t>
            </w:r>
            <w:r>
              <w:rPr>
                <w:rFonts w:hint="eastAsia" w:ascii="宋体" w:hAnsi="宋体" w:cs="宋体"/>
                <w:color w:val="auto"/>
                <w:szCs w:val="21"/>
                <w:highlight w:val="none"/>
              </w:rPr>
              <w:t>时</w:t>
            </w:r>
            <w:r>
              <w:rPr>
                <w:rFonts w:hint="eastAsia" w:ascii="宋体" w:hAnsi="宋体" w:cs="宋体"/>
                <w:color w:val="auto"/>
                <w:szCs w:val="21"/>
                <w:highlight w:val="none"/>
                <w:lang w:val="en-US" w:eastAsia="zh-CN"/>
              </w:rPr>
              <w:t>30</w:t>
            </w:r>
            <w:r>
              <w:rPr>
                <w:rFonts w:hint="eastAsia" w:ascii="宋体" w:hAnsi="宋体" w:cs="宋体"/>
                <w:color w:val="auto"/>
                <w:szCs w:val="21"/>
                <w:highlight w:val="none"/>
              </w:rPr>
              <w:t>分</w:t>
            </w:r>
          </w:p>
          <w:p>
            <w:pPr>
              <w:spacing w:line="288" w:lineRule="auto"/>
              <w:rPr>
                <w:rFonts w:ascii="宋体" w:hAnsi="宋体" w:cs="宋体"/>
                <w:color w:val="auto"/>
                <w:szCs w:val="21"/>
                <w:highlight w:val="none"/>
              </w:rPr>
            </w:pPr>
            <w:r>
              <w:rPr>
                <w:rFonts w:hint="eastAsia" w:ascii="宋体" w:hAnsi="宋体" w:cs="宋体"/>
                <w:color w:val="auto"/>
                <w:szCs w:val="21"/>
                <w:highlight w:val="none"/>
              </w:rPr>
              <w:t>开标地点：陕西省西安市高新区沣惠南路34号摩尔中心A座24层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87"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25</w:t>
            </w:r>
          </w:p>
        </w:tc>
        <w:tc>
          <w:tcPr>
            <w:tcW w:w="1831" w:type="dxa"/>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评标委员会</w:t>
            </w:r>
          </w:p>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的组建</w:t>
            </w:r>
          </w:p>
        </w:tc>
        <w:tc>
          <w:tcPr>
            <w:tcW w:w="722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ascii="宋体" w:hAnsi="宋体" w:cs="宋体"/>
                <w:color w:val="auto"/>
                <w:szCs w:val="21"/>
                <w:highlight w:val="none"/>
              </w:rPr>
            </w:pPr>
            <w:r>
              <w:rPr>
                <w:rFonts w:hint="eastAsia" w:ascii="宋体" w:hAnsi="宋体" w:cs="宋体"/>
                <w:color w:val="auto"/>
                <w:szCs w:val="21"/>
                <w:highlight w:val="none"/>
              </w:rPr>
              <w:t>评标委员会构成：</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 xml:space="preserve">人，其中招标人代表 </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 xml:space="preserve"> 名、专家 </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名。</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ascii="宋体" w:hAnsi="宋体" w:cs="宋体"/>
                <w:color w:val="auto"/>
                <w:szCs w:val="21"/>
                <w:highlight w:val="none"/>
              </w:rPr>
            </w:pPr>
            <w:r>
              <w:rPr>
                <w:rFonts w:hint="eastAsia" w:ascii="宋体" w:hAnsi="宋体" w:cs="宋体"/>
                <w:color w:val="auto"/>
                <w:szCs w:val="21"/>
                <w:highlight w:val="none"/>
              </w:rPr>
              <w:t>评标专家确定方式：</w:t>
            </w:r>
            <w:r>
              <w:rPr>
                <w:rFonts w:hint="eastAsia" w:ascii="宋体" w:hAnsi="宋体" w:cs="宋体"/>
                <w:color w:val="auto"/>
                <w:szCs w:val="21"/>
                <w:highlight w:val="none"/>
                <w:lang w:val="en-US" w:eastAsia="zh-CN"/>
              </w:rPr>
              <w:t>在</w:t>
            </w:r>
            <w:r>
              <w:rPr>
                <w:rFonts w:hint="eastAsia" w:ascii="宋体" w:hAnsi="宋体" w:cs="宋体"/>
                <w:color w:val="auto"/>
                <w:szCs w:val="21"/>
                <w:highlight w:val="none"/>
              </w:rPr>
              <w:t>评审专家库中随机抽取。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26</w:t>
            </w:r>
          </w:p>
        </w:tc>
        <w:tc>
          <w:tcPr>
            <w:tcW w:w="1831" w:type="dxa"/>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是否授权评标委员会确定中标投标人</w:t>
            </w:r>
          </w:p>
        </w:tc>
        <w:tc>
          <w:tcPr>
            <w:tcW w:w="7226" w:type="dxa"/>
            <w:vAlign w:val="center"/>
          </w:tcPr>
          <w:p>
            <w:pPr>
              <w:rPr>
                <w:rFonts w:ascii="宋体" w:hAnsi="宋体" w:cs="宋体"/>
                <w:color w:val="auto"/>
                <w:szCs w:val="21"/>
                <w:highlight w:val="none"/>
              </w:rPr>
            </w:pPr>
            <w:r>
              <w:rPr>
                <w:rFonts w:hint="eastAsia" w:ascii="宋体" w:hAnsi="宋体" w:cs="宋体"/>
                <w:color w:val="auto"/>
                <w:szCs w:val="21"/>
                <w:highlight w:val="none"/>
              </w:rPr>
              <w:t>否，推荐的中标候选人数量：3名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Align w:val="center"/>
          </w:tcPr>
          <w:p>
            <w:pPr>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27</w:t>
            </w:r>
          </w:p>
        </w:tc>
        <w:tc>
          <w:tcPr>
            <w:tcW w:w="9057" w:type="dxa"/>
            <w:gridSpan w:val="2"/>
            <w:vAlign w:val="center"/>
          </w:tcPr>
          <w:p>
            <w:pPr>
              <w:jc w:val="left"/>
              <w:rPr>
                <w:rFonts w:ascii="宋体" w:hAnsi="宋体" w:cs="宋体"/>
                <w:color w:val="auto"/>
                <w:szCs w:val="21"/>
                <w:highlight w:val="none"/>
              </w:rPr>
            </w:pPr>
            <w:r>
              <w:rPr>
                <w:rFonts w:hint="eastAsia" w:ascii="宋体" w:hAnsi="宋体" w:cs="宋体"/>
                <w:color w:val="auto"/>
                <w:szCs w:val="21"/>
                <w:highlight w:val="none"/>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Align w:val="center"/>
          </w:tcPr>
          <w:p>
            <w:pPr>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（1）</w:t>
            </w:r>
          </w:p>
        </w:tc>
        <w:tc>
          <w:tcPr>
            <w:tcW w:w="1831" w:type="dxa"/>
            <w:vAlign w:val="center"/>
          </w:tcPr>
          <w:p>
            <w:pPr>
              <w:jc w:val="lef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核心产品</w:t>
            </w:r>
          </w:p>
        </w:tc>
        <w:tc>
          <w:tcPr>
            <w:tcW w:w="7226" w:type="dxa"/>
            <w:vAlign w:val="center"/>
          </w:tcPr>
          <w:p>
            <w:pPr>
              <w:jc w:val="left"/>
              <w:rPr>
                <w:rFonts w:hint="eastAsia" w:ascii="宋体" w:hAnsi="宋体" w:cs="宋体"/>
                <w:color w:val="auto"/>
                <w:szCs w:val="21"/>
                <w:highlight w:val="none"/>
              </w:rPr>
            </w:pPr>
            <w:r>
              <w:rPr>
                <w:rFonts w:hint="eastAsia" w:ascii="宋体" w:hAnsi="宋体" w:cs="宋体"/>
                <w:b/>
                <w:bCs/>
                <w:color w:val="auto"/>
                <w:szCs w:val="21"/>
                <w:highlight w:val="none"/>
              </w:rPr>
              <w:t>核心交换机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w:t>
            </w:r>
          </w:p>
        </w:tc>
        <w:tc>
          <w:tcPr>
            <w:tcW w:w="183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招标代理服务费</w:t>
            </w:r>
          </w:p>
        </w:tc>
        <w:tc>
          <w:tcPr>
            <w:tcW w:w="7226" w:type="dxa"/>
            <w:vAlign w:val="center"/>
          </w:tcPr>
          <w:p>
            <w:pPr>
              <w:numPr>
                <w:ilvl w:val="0"/>
                <w:numId w:val="0"/>
              </w:numPr>
              <w:tabs>
                <w:tab w:val="left" w:pos="9030"/>
              </w:tabs>
              <w:spacing w:line="288" w:lineRule="auto"/>
              <w:jc w:val="left"/>
              <w:rPr>
                <w:rFonts w:hint="eastAsia" w:ascii="宋体" w:hAnsi="宋体" w:cs="宋体"/>
                <w:szCs w:val="21"/>
                <w:lang w:val="en-US" w:eastAsia="zh-CN"/>
              </w:rPr>
            </w:pPr>
            <w:r>
              <w:rPr>
                <w:rFonts w:hint="eastAsia" w:ascii="宋体" w:hAnsi="宋体" w:cs="宋体"/>
                <w:szCs w:val="21"/>
                <w:lang w:val="en-US" w:eastAsia="zh-CN"/>
              </w:rPr>
              <w:t>1、</w:t>
            </w:r>
            <w:r>
              <w:rPr>
                <w:rFonts w:hint="eastAsia" w:ascii="宋体" w:hAnsi="宋体" w:cs="宋体"/>
                <w:color w:val="auto"/>
                <w:szCs w:val="21"/>
                <w:highlight w:val="none"/>
              </w:rPr>
              <w:t>招标代理服务费</w:t>
            </w:r>
          </w:p>
          <w:p>
            <w:pPr>
              <w:numPr>
                <w:ilvl w:val="0"/>
                <w:numId w:val="0"/>
              </w:numPr>
              <w:tabs>
                <w:tab w:val="left" w:pos="9030"/>
              </w:tabs>
              <w:spacing w:line="288" w:lineRule="auto"/>
              <w:jc w:val="left"/>
              <w:rPr>
                <w:rFonts w:hint="eastAsia" w:ascii="宋体" w:hAnsi="宋体" w:cs="宋体"/>
                <w:szCs w:val="21"/>
              </w:rPr>
            </w:pPr>
            <w:r>
              <w:rPr>
                <w:rFonts w:hint="eastAsia" w:ascii="宋体" w:hAnsi="宋体" w:cs="宋体"/>
                <w:szCs w:val="21"/>
              </w:rPr>
              <w:t>按照国家计委颁布的«招标代理服务收费管理暂行办法»（计价格[2002]1980号）和国家发改委办公厅颁布的«国家发改委办公厅关于招标代理服务收费有关问题的通知（发改办价格[2003]857号）规定</w:t>
            </w:r>
            <w:r>
              <w:rPr>
                <w:rFonts w:hint="eastAsia" w:ascii="宋体" w:hAnsi="宋体" w:cs="宋体"/>
                <w:szCs w:val="21"/>
                <w:lang w:val="en-US" w:eastAsia="zh-CN"/>
              </w:rPr>
              <w:t>按固定下浮百分比取费</w:t>
            </w:r>
            <w:r>
              <w:rPr>
                <w:rFonts w:hint="eastAsia" w:ascii="宋体" w:hAnsi="宋体" w:cs="宋体"/>
                <w:szCs w:val="21"/>
              </w:rPr>
              <w:t>。由中标单位在领取中标通知书之前支付。</w:t>
            </w:r>
          </w:p>
          <w:p>
            <w:pPr>
              <w:pStyle w:val="28"/>
              <w:numPr>
                <w:ilvl w:val="0"/>
                <w:numId w:val="0"/>
              </w:numPr>
              <w:rPr>
                <w:rFonts w:hint="eastAsia" w:ascii="宋体" w:hAnsi="宋体" w:eastAsia="宋体" w:cs="宋体"/>
                <w:kern w:val="2"/>
                <w:sz w:val="21"/>
                <w:szCs w:val="21"/>
                <w:lang w:val="zh-CN" w:eastAsia="zh-CN" w:bidi="ar-SA"/>
              </w:rPr>
            </w:pPr>
            <w:r>
              <w:rPr>
                <w:rFonts w:hint="eastAsia" w:ascii="宋体" w:hAnsi="宋体" w:eastAsia="宋体" w:cs="宋体"/>
                <w:kern w:val="2"/>
                <w:sz w:val="21"/>
                <w:szCs w:val="21"/>
                <w:lang w:val="zh-CN" w:eastAsia="zh-CN" w:bidi="ar-SA"/>
              </w:rPr>
              <w:t>中标金额＜100万元，按照标准下浮30%收取。</w:t>
            </w:r>
          </w:p>
          <w:p>
            <w:pPr>
              <w:pStyle w:val="28"/>
              <w:numPr>
                <w:ilvl w:val="0"/>
                <w:numId w:val="0"/>
              </w:numPr>
              <w:rPr>
                <w:rFonts w:hint="eastAsia" w:ascii="宋体" w:hAnsi="宋体" w:eastAsia="宋体" w:cs="宋体"/>
                <w:kern w:val="2"/>
                <w:sz w:val="21"/>
                <w:szCs w:val="21"/>
                <w:lang w:val="zh-CN" w:eastAsia="zh-CN" w:bidi="ar-SA"/>
              </w:rPr>
            </w:pPr>
            <w:r>
              <w:rPr>
                <w:rFonts w:hint="eastAsia" w:ascii="宋体" w:hAnsi="宋体" w:eastAsia="宋体" w:cs="宋体"/>
                <w:kern w:val="2"/>
                <w:sz w:val="21"/>
                <w:szCs w:val="21"/>
                <w:lang w:val="zh-CN" w:eastAsia="zh-CN" w:bidi="ar-SA"/>
              </w:rPr>
              <w:t>100万元≤中标金额＜200万元，按照标准下浮35%收取。</w:t>
            </w:r>
          </w:p>
          <w:p>
            <w:pPr>
              <w:pStyle w:val="28"/>
              <w:numPr>
                <w:ilvl w:val="0"/>
                <w:numId w:val="0"/>
              </w:numPr>
              <w:rPr>
                <w:rFonts w:hint="eastAsia" w:ascii="宋体" w:hAnsi="宋体" w:eastAsia="宋体" w:cs="宋体"/>
                <w:kern w:val="2"/>
                <w:sz w:val="21"/>
                <w:szCs w:val="21"/>
                <w:lang w:val="zh-CN" w:eastAsia="zh-CN" w:bidi="ar-SA"/>
              </w:rPr>
            </w:pPr>
            <w:r>
              <w:rPr>
                <w:rFonts w:hint="eastAsia" w:ascii="宋体" w:hAnsi="宋体" w:eastAsia="宋体" w:cs="宋体"/>
                <w:kern w:val="2"/>
                <w:sz w:val="21"/>
                <w:szCs w:val="21"/>
                <w:lang w:val="en-US" w:eastAsia="zh-CN" w:bidi="ar-SA"/>
              </w:rPr>
              <w:t>2</w:t>
            </w:r>
            <w:r>
              <w:rPr>
                <w:rFonts w:hint="eastAsia" w:ascii="宋体" w:hAnsi="宋体" w:eastAsia="宋体" w:cs="宋体"/>
                <w:kern w:val="2"/>
                <w:sz w:val="21"/>
                <w:szCs w:val="21"/>
                <w:lang w:val="zh-CN" w:eastAsia="zh-CN" w:bidi="ar-SA"/>
              </w:rPr>
              <w:t>00万元≤中标金额＜</w:t>
            </w:r>
            <w:r>
              <w:rPr>
                <w:rFonts w:hint="eastAsia" w:ascii="宋体" w:hAnsi="宋体" w:eastAsia="宋体" w:cs="宋体"/>
                <w:kern w:val="2"/>
                <w:sz w:val="21"/>
                <w:szCs w:val="21"/>
                <w:lang w:val="en-US" w:eastAsia="zh-CN" w:bidi="ar-SA"/>
              </w:rPr>
              <w:t>5</w:t>
            </w:r>
            <w:r>
              <w:rPr>
                <w:rFonts w:hint="eastAsia" w:ascii="宋体" w:hAnsi="宋体" w:eastAsia="宋体" w:cs="宋体"/>
                <w:kern w:val="2"/>
                <w:sz w:val="21"/>
                <w:szCs w:val="21"/>
                <w:lang w:val="zh-CN" w:eastAsia="zh-CN" w:bidi="ar-SA"/>
              </w:rPr>
              <w:t>00万元，按照标准下浮</w:t>
            </w:r>
            <w:r>
              <w:rPr>
                <w:rFonts w:hint="eastAsia" w:ascii="宋体" w:hAnsi="宋体" w:eastAsia="宋体" w:cs="宋体"/>
                <w:kern w:val="2"/>
                <w:sz w:val="21"/>
                <w:szCs w:val="21"/>
                <w:lang w:val="en-US" w:eastAsia="zh-CN" w:bidi="ar-SA"/>
              </w:rPr>
              <w:t>40</w:t>
            </w:r>
            <w:r>
              <w:rPr>
                <w:rFonts w:hint="eastAsia" w:ascii="宋体" w:hAnsi="宋体" w:eastAsia="宋体" w:cs="宋体"/>
                <w:kern w:val="2"/>
                <w:sz w:val="21"/>
                <w:szCs w:val="21"/>
                <w:lang w:val="zh-CN" w:eastAsia="zh-CN" w:bidi="ar-SA"/>
              </w:rPr>
              <w:t>%收取。</w:t>
            </w:r>
          </w:p>
          <w:p>
            <w:pPr>
              <w:pStyle w:val="28"/>
              <w:numPr>
                <w:ilvl w:val="0"/>
                <w:numId w:val="0"/>
              </w:numPr>
              <w:rPr>
                <w:rFonts w:hint="eastAsia" w:ascii="宋体" w:hAnsi="宋体" w:eastAsia="宋体" w:cs="宋体"/>
                <w:kern w:val="2"/>
                <w:sz w:val="21"/>
                <w:szCs w:val="21"/>
                <w:lang w:val="zh-CN" w:eastAsia="zh-CN" w:bidi="ar-SA"/>
              </w:rPr>
            </w:pPr>
            <w:r>
              <w:rPr>
                <w:rFonts w:hint="eastAsia" w:ascii="宋体" w:hAnsi="宋体" w:eastAsia="宋体" w:cs="宋体"/>
                <w:kern w:val="2"/>
                <w:sz w:val="21"/>
                <w:szCs w:val="21"/>
                <w:lang w:val="en-US" w:eastAsia="zh-CN" w:bidi="ar-SA"/>
              </w:rPr>
              <w:t>5</w:t>
            </w:r>
            <w:r>
              <w:rPr>
                <w:rFonts w:hint="eastAsia" w:ascii="宋体" w:hAnsi="宋体" w:eastAsia="宋体" w:cs="宋体"/>
                <w:kern w:val="2"/>
                <w:sz w:val="21"/>
                <w:szCs w:val="21"/>
                <w:lang w:val="zh-CN" w:eastAsia="zh-CN" w:bidi="ar-SA"/>
              </w:rPr>
              <w:t>00万元≤中标金额＜</w:t>
            </w:r>
            <w:r>
              <w:rPr>
                <w:rFonts w:hint="eastAsia" w:ascii="宋体" w:hAnsi="宋体" w:eastAsia="宋体" w:cs="宋体"/>
                <w:kern w:val="2"/>
                <w:sz w:val="21"/>
                <w:szCs w:val="21"/>
                <w:lang w:val="en-US" w:eastAsia="zh-CN" w:bidi="ar-SA"/>
              </w:rPr>
              <w:t>10</w:t>
            </w:r>
            <w:r>
              <w:rPr>
                <w:rFonts w:hint="eastAsia" w:ascii="宋体" w:hAnsi="宋体" w:eastAsia="宋体" w:cs="宋体"/>
                <w:kern w:val="2"/>
                <w:sz w:val="21"/>
                <w:szCs w:val="21"/>
                <w:lang w:val="zh-CN" w:eastAsia="zh-CN" w:bidi="ar-SA"/>
              </w:rPr>
              <w:t>00万元，按照标准下浮</w:t>
            </w:r>
            <w:r>
              <w:rPr>
                <w:rFonts w:hint="eastAsia" w:ascii="宋体" w:hAnsi="宋体" w:eastAsia="宋体" w:cs="宋体"/>
                <w:kern w:val="2"/>
                <w:sz w:val="21"/>
                <w:szCs w:val="21"/>
                <w:lang w:val="en-US" w:eastAsia="zh-CN" w:bidi="ar-SA"/>
              </w:rPr>
              <w:t>45</w:t>
            </w:r>
            <w:r>
              <w:rPr>
                <w:rFonts w:hint="eastAsia" w:ascii="宋体" w:hAnsi="宋体" w:eastAsia="宋体" w:cs="宋体"/>
                <w:kern w:val="2"/>
                <w:sz w:val="21"/>
                <w:szCs w:val="21"/>
                <w:lang w:val="zh-CN" w:eastAsia="zh-CN" w:bidi="ar-SA"/>
              </w:rPr>
              <w:t>%收取。</w:t>
            </w:r>
          </w:p>
          <w:p>
            <w:pPr>
              <w:tabs>
                <w:tab w:val="left" w:pos="9030"/>
              </w:tabs>
              <w:spacing w:line="288" w:lineRule="auto"/>
              <w:jc w:val="left"/>
              <w:rPr>
                <w:rFonts w:ascii="宋体" w:hAnsi="宋体" w:cs="宋体"/>
                <w:szCs w:val="21"/>
              </w:rPr>
            </w:pPr>
            <w:r>
              <w:rPr>
                <w:rFonts w:hint="eastAsia" w:ascii="宋体" w:hAnsi="宋体" w:cs="宋体"/>
                <w:szCs w:val="21"/>
                <w:lang w:val="en-US" w:eastAsia="zh-CN"/>
              </w:rPr>
              <w:t>2、</w:t>
            </w:r>
            <w:r>
              <w:rPr>
                <w:rFonts w:hint="eastAsia" w:ascii="宋体" w:hAnsi="宋体" w:cs="宋体"/>
                <w:szCs w:val="21"/>
              </w:rPr>
              <w:t>招标代理服务费交纳信息</w:t>
            </w:r>
          </w:p>
          <w:p>
            <w:pPr>
              <w:tabs>
                <w:tab w:val="left" w:pos="9030"/>
              </w:tabs>
              <w:spacing w:line="288" w:lineRule="auto"/>
              <w:jc w:val="left"/>
              <w:rPr>
                <w:rFonts w:ascii="宋体" w:hAnsi="宋体" w:cs="宋体"/>
                <w:szCs w:val="21"/>
              </w:rPr>
            </w:pPr>
            <w:r>
              <w:rPr>
                <w:rFonts w:hint="eastAsia" w:ascii="宋体" w:hAnsi="宋体" w:cs="宋体"/>
                <w:szCs w:val="21"/>
              </w:rPr>
              <w:t>账户</w:t>
            </w:r>
            <w:r>
              <w:rPr>
                <w:rFonts w:hint="eastAsia" w:ascii="宋体" w:hAnsi="宋体" w:cs="宋体"/>
                <w:szCs w:val="21"/>
                <w:lang w:val="zh-CN"/>
              </w:rPr>
              <w:t>名称：中航技（北京）工程管理有限公司</w:t>
            </w:r>
            <w:r>
              <w:rPr>
                <w:rFonts w:hint="eastAsia" w:ascii="宋体" w:hAnsi="宋体" w:cs="宋体"/>
                <w:szCs w:val="21"/>
              </w:rPr>
              <w:t>西安分公司</w:t>
            </w:r>
          </w:p>
          <w:p>
            <w:pPr>
              <w:tabs>
                <w:tab w:val="left" w:pos="9030"/>
              </w:tabs>
              <w:spacing w:line="288" w:lineRule="auto"/>
              <w:jc w:val="left"/>
              <w:rPr>
                <w:rFonts w:ascii="宋体" w:hAnsi="宋体" w:cs="宋体"/>
                <w:szCs w:val="21"/>
                <w:lang w:val="zh-CN"/>
              </w:rPr>
            </w:pPr>
            <w:r>
              <w:rPr>
                <w:rFonts w:hint="eastAsia" w:ascii="宋体" w:hAnsi="宋体" w:cs="宋体"/>
                <w:szCs w:val="21"/>
                <w:lang w:val="zh-CN"/>
              </w:rPr>
              <w:t>开户银行：</w:t>
            </w:r>
            <w:r>
              <w:rPr>
                <w:rFonts w:hint="eastAsia" w:ascii="宋体" w:hAnsi="宋体" w:cs="宋体"/>
                <w:szCs w:val="21"/>
              </w:rPr>
              <w:t>中国银行西安高科智慧园支行</w:t>
            </w:r>
          </w:p>
          <w:p>
            <w:pPr>
              <w:tabs>
                <w:tab w:val="left" w:pos="9030"/>
              </w:tabs>
              <w:spacing w:line="288" w:lineRule="auto"/>
              <w:jc w:val="left"/>
              <w:rPr>
                <w:rFonts w:ascii="宋体" w:hAnsi="宋体" w:cs="宋体"/>
                <w:color w:val="auto"/>
                <w:szCs w:val="21"/>
                <w:highlight w:val="none"/>
              </w:rPr>
            </w:pPr>
            <w:r>
              <w:rPr>
                <w:rFonts w:hint="eastAsia" w:ascii="宋体" w:hAnsi="宋体" w:cs="宋体"/>
                <w:szCs w:val="21"/>
                <w:lang w:val="zh-CN"/>
              </w:rPr>
              <w:t>账    号：</w:t>
            </w:r>
            <w:r>
              <w:rPr>
                <w:rFonts w:hint="eastAsia" w:ascii="宋体" w:hAnsi="宋体" w:cs="宋体"/>
                <w:szCs w:val="21"/>
              </w:rPr>
              <w:t>102876626131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w:t>
            </w:r>
          </w:p>
        </w:tc>
        <w:tc>
          <w:tcPr>
            <w:tcW w:w="9057" w:type="dxa"/>
            <w:gridSpan w:val="2"/>
            <w:vAlign w:val="center"/>
          </w:tcPr>
          <w:p>
            <w:pPr>
              <w:jc w:val="left"/>
              <w:rPr>
                <w:rFonts w:ascii="宋体" w:hAnsi="宋体" w:cs="宋体"/>
                <w:color w:val="auto"/>
                <w:szCs w:val="21"/>
                <w:highlight w:val="none"/>
              </w:rPr>
            </w:pPr>
            <w:r>
              <w:rPr>
                <w:rFonts w:hint="eastAsia" w:ascii="宋体" w:hAnsi="宋体" w:cs="宋体"/>
                <w:color w:val="auto"/>
                <w:szCs w:val="21"/>
                <w:highlight w:val="none"/>
              </w:rPr>
              <w:t>投标人须知前附表和须知不一致的地方，以前附表为准。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68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w:t>
            </w:r>
          </w:p>
        </w:tc>
        <w:tc>
          <w:tcPr>
            <w:tcW w:w="9057" w:type="dxa"/>
            <w:gridSpan w:val="2"/>
            <w:vAlign w:val="center"/>
          </w:tcPr>
          <w:p>
            <w:pPr>
              <w:jc w:val="left"/>
              <w:rPr>
                <w:rFonts w:ascii="宋体" w:hAnsi="宋体" w:cs="宋体"/>
                <w:color w:val="auto"/>
                <w:szCs w:val="21"/>
                <w:highlight w:val="none"/>
              </w:rPr>
            </w:pPr>
            <w:r>
              <w:rPr>
                <w:rFonts w:hint="eastAsia" w:ascii="宋体" w:hAnsi="宋体" w:cs="宋体"/>
                <w:color w:val="auto"/>
                <w:szCs w:val="21"/>
                <w:highlight w:val="none"/>
              </w:rPr>
              <w:t>文件未明确的其他事项，按照有关法律、法规或省市有关规定执行。</w:t>
            </w:r>
            <w:r>
              <w:rPr>
                <w:rFonts w:hint="eastAsia" w:ascii="宋体" w:hAnsi="宋体" w:cs="宋体"/>
                <w:szCs w:val="21"/>
              </w:rPr>
              <w:t>本招标文件由招标人和采购代理机构负责解释。</w:t>
            </w:r>
          </w:p>
        </w:tc>
      </w:tr>
    </w:tbl>
    <w:p>
      <w:pPr>
        <w:rPr>
          <w:color w:val="auto"/>
          <w:highlight w:val="none"/>
        </w:rPr>
      </w:pPr>
      <w:r>
        <w:rPr>
          <w:color w:val="auto"/>
          <w:highlight w:val="none"/>
        </w:rPr>
        <w:br w:type="page"/>
      </w:r>
    </w:p>
    <w:p>
      <w:pPr>
        <w:pStyle w:val="4"/>
        <w:bidi w:val="0"/>
        <w:rPr>
          <w:rFonts w:hint="eastAsia"/>
          <w:color w:val="auto"/>
          <w:sz w:val="22"/>
          <w:szCs w:val="16"/>
          <w:highlight w:val="none"/>
        </w:rPr>
      </w:pPr>
      <w:r>
        <w:rPr>
          <w:rFonts w:hint="eastAsia"/>
          <w:color w:val="auto"/>
          <w:sz w:val="22"/>
          <w:szCs w:val="16"/>
          <w:highlight w:val="none"/>
        </w:rPr>
        <w:t>一、总  则</w:t>
      </w:r>
    </w:p>
    <w:p>
      <w:pPr>
        <w:spacing w:line="360" w:lineRule="auto"/>
        <w:rPr>
          <w:rFonts w:ascii="宋体" w:hAnsi="宋体"/>
          <w:b/>
          <w:color w:val="auto"/>
          <w:sz w:val="21"/>
          <w:szCs w:val="21"/>
          <w:highlight w:val="none"/>
        </w:rPr>
      </w:pPr>
      <w:bookmarkStart w:id="8" w:name="_Toc250572264"/>
      <w:bookmarkStart w:id="9" w:name="_Toc238899378"/>
      <w:bookmarkStart w:id="10" w:name="_Toc30853"/>
      <w:bookmarkStart w:id="11" w:name="_Toc67552688"/>
      <w:bookmarkStart w:id="12" w:name="_Toc235544703"/>
      <w:bookmarkStart w:id="13" w:name="_Toc54404815"/>
      <w:bookmarkStart w:id="14" w:name="_Toc269407612"/>
      <w:r>
        <w:rPr>
          <w:rFonts w:hint="eastAsia" w:ascii="宋体" w:hAnsi="宋体"/>
          <w:b/>
          <w:color w:val="auto"/>
          <w:sz w:val="21"/>
          <w:szCs w:val="21"/>
          <w:highlight w:val="none"/>
        </w:rPr>
        <w:t>1.1 项目概况</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1.1.1 根据《中华人民共和国政府采购法》及实施条例等有关法律、法规和规章的规定，本招标项目已具备招标条件，现对本项目进行招标。</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1.1.2 本招标项目招标人：见投标人须知前附表。</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1.1.3 本招标项目</w:t>
      </w:r>
      <w:r>
        <w:rPr>
          <w:rFonts w:hint="eastAsia" w:ascii="宋体" w:hAnsi="宋体" w:cs="宋体"/>
          <w:color w:val="auto"/>
          <w:szCs w:val="21"/>
          <w:highlight w:val="none"/>
          <w:lang w:val="en-US" w:eastAsia="zh-CN"/>
        </w:rPr>
        <w:t>采购代理机构</w:t>
      </w:r>
      <w:r>
        <w:rPr>
          <w:rFonts w:hint="eastAsia" w:ascii="宋体" w:hAnsi="宋体" w:eastAsia="宋体" w:cs="宋体"/>
          <w:color w:val="auto"/>
          <w:szCs w:val="21"/>
          <w:highlight w:val="none"/>
          <w:lang w:val="en-US" w:eastAsia="zh-CN"/>
        </w:rPr>
        <w:t>：见投标人须知前附表。</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1.1.4 本招标项目名称：见投标人须知前附表。</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1.1.5 本招标项目地点：见投标人须知前附表。</w:t>
      </w:r>
    </w:p>
    <w:p>
      <w:pPr>
        <w:spacing w:line="360" w:lineRule="auto"/>
        <w:rPr>
          <w:rFonts w:ascii="宋体" w:hAnsi="宋体"/>
          <w:b/>
          <w:color w:val="auto"/>
          <w:sz w:val="21"/>
          <w:szCs w:val="21"/>
          <w:highlight w:val="none"/>
        </w:rPr>
      </w:pPr>
      <w:r>
        <w:rPr>
          <w:rFonts w:hint="eastAsia" w:ascii="宋体" w:hAnsi="宋体"/>
          <w:b/>
          <w:color w:val="auto"/>
          <w:sz w:val="21"/>
          <w:szCs w:val="21"/>
          <w:highlight w:val="none"/>
        </w:rPr>
        <w:t>1.2 资金来源</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1.2.1 本招标项目的</w:t>
      </w:r>
      <w:r>
        <w:rPr>
          <w:rFonts w:hint="eastAsia" w:ascii="宋体" w:hAnsi="宋体"/>
          <w:color w:val="auto"/>
          <w:sz w:val="21"/>
          <w:szCs w:val="21"/>
          <w:highlight w:val="none"/>
          <w:lang w:eastAsia="zh-CN"/>
        </w:rPr>
        <w:t>最高限价</w:t>
      </w:r>
      <w:r>
        <w:rPr>
          <w:rFonts w:hint="eastAsia" w:ascii="宋体" w:hAnsi="宋体"/>
          <w:color w:val="auto"/>
          <w:sz w:val="21"/>
          <w:szCs w:val="21"/>
          <w:highlight w:val="none"/>
        </w:rPr>
        <w:t>：见投标人须知前附表。</w:t>
      </w:r>
    </w:p>
    <w:p>
      <w:pPr>
        <w:spacing w:line="360" w:lineRule="auto"/>
        <w:rPr>
          <w:rFonts w:ascii="宋体" w:hAnsi="宋体"/>
          <w:b/>
          <w:color w:val="auto"/>
          <w:sz w:val="21"/>
          <w:szCs w:val="21"/>
          <w:highlight w:val="none"/>
        </w:rPr>
      </w:pPr>
      <w:r>
        <w:rPr>
          <w:rFonts w:hint="eastAsia" w:ascii="宋体" w:hAnsi="宋体"/>
          <w:b/>
          <w:color w:val="auto"/>
          <w:sz w:val="21"/>
          <w:szCs w:val="21"/>
          <w:highlight w:val="none"/>
        </w:rPr>
        <w:t>1.3 招标范围</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1.3.1 本次招标范围：见投标人须知前附表。</w:t>
      </w:r>
    </w:p>
    <w:p>
      <w:pPr>
        <w:spacing w:line="360" w:lineRule="auto"/>
        <w:rPr>
          <w:rFonts w:ascii="宋体" w:hAnsi="宋体"/>
          <w:b/>
          <w:color w:val="auto"/>
          <w:sz w:val="21"/>
          <w:szCs w:val="21"/>
          <w:highlight w:val="none"/>
        </w:rPr>
      </w:pPr>
      <w:r>
        <w:rPr>
          <w:rFonts w:hint="eastAsia" w:ascii="宋体" w:hAnsi="宋体"/>
          <w:b/>
          <w:color w:val="auto"/>
          <w:sz w:val="21"/>
          <w:szCs w:val="21"/>
          <w:highlight w:val="none"/>
        </w:rPr>
        <w:t>1.4 投标人资格要求</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1.4.1 投标人应具备承担本项目的资质条件：见投标人须知前附表。</w:t>
      </w:r>
    </w:p>
    <w:p>
      <w:pPr>
        <w:spacing w:line="360" w:lineRule="auto"/>
        <w:ind w:firstLine="420" w:firstLineChars="200"/>
        <w:rPr>
          <w:rFonts w:hint="eastAsia" w:ascii="宋体" w:hAnsi="宋体"/>
          <w:color w:val="auto"/>
          <w:sz w:val="21"/>
          <w:szCs w:val="21"/>
          <w:highlight w:val="none"/>
          <w:lang w:eastAsia="zh-CN"/>
        </w:rPr>
      </w:pPr>
      <w:r>
        <w:rPr>
          <w:rFonts w:hint="eastAsia" w:ascii="宋体" w:hAnsi="宋体"/>
          <w:color w:val="auto"/>
          <w:sz w:val="21"/>
          <w:szCs w:val="21"/>
          <w:highlight w:val="none"/>
        </w:rPr>
        <w:t xml:space="preserve">1.4.2 </w:t>
      </w:r>
      <w:r>
        <w:rPr>
          <w:rFonts w:hint="eastAsia" w:ascii="宋体" w:hAnsi="宋体"/>
          <w:color w:val="auto"/>
          <w:sz w:val="21"/>
          <w:szCs w:val="21"/>
          <w:highlight w:val="none"/>
          <w:lang w:eastAsia="zh-CN"/>
        </w:rPr>
        <w:t>单位负责人为同一人或者存在直接控股、管理关系的不同供应商，不得参加同一合同项下的政府采购活动。</w:t>
      </w:r>
    </w:p>
    <w:p>
      <w:pPr>
        <w:spacing w:line="360" w:lineRule="auto"/>
        <w:ind w:firstLine="420" w:firstLineChars="200"/>
        <w:rPr>
          <w:rFonts w:hint="eastAsia" w:ascii="宋体" w:hAnsi="宋体"/>
          <w:color w:val="auto"/>
          <w:sz w:val="21"/>
          <w:szCs w:val="21"/>
          <w:highlight w:val="none"/>
          <w:lang w:eastAsia="zh-CN"/>
        </w:rPr>
      </w:pPr>
      <w:r>
        <w:rPr>
          <w:rFonts w:hint="eastAsia" w:ascii="宋体" w:hAnsi="宋体"/>
          <w:color w:val="auto"/>
          <w:sz w:val="21"/>
          <w:szCs w:val="21"/>
          <w:highlight w:val="none"/>
        </w:rPr>
        <w:t>为采购项目提供整体设计、规范编制或者项目管理、监理、检测等服务的供应商，不得再参加该采购项目的其他采购活动。</w:t>
      </w:r>
    </w:p>
    <w:p>
      <w:pPr>
        <w:spacing w:line="360" w:lineRule="auto"/>
        <w:rPr>
          <w:rFonts w:ascii="宋体" w:hAnsi="宋体"/>
          <w:b/>
          <w:color w:val="auto"/>
          <w:sz w:val="21"/>
          <w:szCs w:val="21"/>
          <w:highlight w:val="none"/>
        </w:rPr>
      </w:pPr>
      <w:r>
        <w:rPr>
          <w:rFonts w:hint="eastAsia" w:ascii="宋体" w:hAnsi="宋体"/>
          <w:b/>
          <w:color w:val="auto"/>
          <w:sz w:val="21"/>
          <w:szCs w:val="21"/>
          <w:highlight w:val="none"/>
        </w:rPr>
        <w:t>1.5 费用承担</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投标人准备和参加投标活动发生的费用自理。</w:t>
      </w:r>
    </w:p>
    <w:p>
      <w:pPr>
        <w:spacing w:line="360" w:lineRule="auto"/>
        <w:rPr>
          <w:rFonts w:ascii="宋体" w:hAnsi="宋体"/>
          <w:b/>
          <w:color w:val="auto"/>
          <w:sz w:val="21"/>
          <w:szCs w:val="21"/>
          <w:highlight w:val="none"/>
        </w:rPr>
      </w:pPr>
      <w:r>
        <w:rPr>
          <w:rFonts w:hint="eastAsia" w:ascii="宋体" w:hAnsi="宋体"/>
          <w:b/>
          <w:color w:val="auto"/>
          <w:sz w:val="21"/>
          <w:szCs w:val="21"/>
          <w:highlight w:val="none"/>
        </w:rPr>
        <w:t>1.6 保密</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参与招标投标活动的各方应对招标文件和投标文件中的商业和技术等秘密保密，违者应对由此造成的后果承担法律责任。</w:t>
      </w:r>
    </w:p>
    <w:p>
      <w:pPr>
        <w:spacing w:line="360" w:lineRule="auto"/>
        <w:rPr>
          <w:rFonts w:ascii="宋体" w:hAnsi="宋体"/>
          <w:b/>
          <w:color w:val="auto"/>
          <w:sz w:val="21"/>
          <w:szCs w:val="21"/>
          <w:highlight w:val="none"/>
        </w:rPr>
      </w:pPr>
      <w:r>
        <w:rPr>
          <w:rFonts w:hint="eastAsia" w:ascii="宋体" w:hAnsi="宋体"/>
          <w:b/>
          <w:color w:val="auto"/>
          <w:sz w:val="21"/>
          <w:szCs w:val="21"/>
          <w:highlight w:val="none"/>
        </w:rPr>
        <w:t>1.7 语言文字</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1.7.1投标人提交的投标文件以及投标人与采购代理机构就有关投标所有来往书面文件均须使用中文简体。投标文件中如附有外文资料，必须对应翻译成中文并加盖投标人公章后附在相关外文资料后面，否则，投标人的投标文件将作为无效投标处理。</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1.7.2翻译的中文资料与外文资料如果出现差异和矛盾以中文为准。投标人不能以响应招标文件为目的将不满足招标文件要求和规定的投标故意翻译成满足的投标，否则，投标人的投标将作为无效投标处理。</w:t>
      </w:r>
    </w:p>
    <w:p>
      <w:pPr>
        <w:spacing w:line="360" w:lineRule="auto"/>
        <w:rPr>
          <w:rFonts w:ascii="宋体" w:hAnsi="宋体"/>
          <w:b/>
          <w:color w:val="auto"/>
          <w:sz w:val="21"/>
          <w:szCs w:val="21"/>
          <w:highlight w:val="none"/>
        </w:rPr>
      </w:pPr>
      <w:r>
        <w:rPr>
          <w:rFonts w:hint="eastAsia" w:ascii="宋体" w:hAnsi="宋体"/>
          <w:b/>
          <w:color w:val="auto"/>
          <w:sz w:val="21"/>
          <w:szCs w:val="21"/>
          <w:highlight w:val="none"/>
        </w:rPr>
        <w:t>1.8 计量单位</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投标文件中所使用的计量单位，除技术规格及要求另有规定外，本采购项目的投标均采用中华人民共和国法定计量单位。</w:t>
      </w:r>
    </w:p>
    <w:p>
      <w:pPr>
        <w:spacing w:line="360" w:lineRule="auto"/>
        <w:rPr>
          <w:rFonts w:hint="eastAsia" w:ascii="宋体" w:hAnsi="宋体"/>
          <w:b/>
          <w:color w:val="auto"/>
          <w:sz w:val="21"/>
          <w:szCs w:val="21"/>
          <w:highlight w:val="none"/>
        </w:rPr>
      </w:pPr>
      <w:r>
        <w:rPr>
          <w:rFonts w:hint="eastAsia" w:ascii="宋体" w:hAnsi="宋体"/>
          <w:b/>
          <w:color w:val="auto"/>
          <w:sz w:val="21"/>
          <w:szCs w:val="21"/>
          <w:highlight w:val="none"/>
        </w:rPr>
        <w:t>1.9 踏勘现场</w:t>
      </w:r>
    </w:p>
    <w:p>
      <w:pPr>
        <w:bidi w:val="0"/>
        <w:rPr>
          <w:rFonts w:hint="default" w:eastAsia="宋体"/>
          <w:color w:val="auto"/>
          <w:highlight w:val="none"/>
          <w:lang w:val="en-US" w:eastAsia="zh-CN"/>
        </w:rPr>
      </w:pPr>
      <w:r>
        <w:rPr>
          <w:rFonts w:hint="eastAsia"/>
          <w:color w:val="auto"/>
          <w:highlight w:val="none"/>
          <w:lang w:val="en-US" w:eastAsia="zh-CN"/>
        </w:rPr>
        <w:t xml:space="preserve">    本项目不组织现场踏勘。</w:t>
      </w:r>
    </w:p>
    <w:p>
      <w:pPr>
        <w:spacing w:line="360" w:lineRule="auto"/>
        <w:rPr>
          <w:rFonts w:hint="eastAsia" w:ascii="宋体" w:hAnsi="宋体"/>
          <w:b/>
          <w:color w:val="auto"/>
          <w:sz w:val="21"/>
          <w:szCs w:val="21"/>
          <w:highlight w:val="none"/>
        </w:rPr>
      </w:pPr>
      <w:r>
        <w:rPr>
          <w:rFonts w:hint="eastAsia" w:ascii="宋体" w:hAnsi="宋体"/>
          <w:b/>
          <w:color w:val="auto"/>
          <w:sz w:val="21"/>
          <w:szCs w:val="21"/>
          <w:highlight w:val="none"/>
        </w:rPr>
        <w:t>1.10招标文件取得</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招标公告在</w:t>
      </w:r>
      <w:r>
        <w:rPr>
          <w:rFonts w:hint="eastAsia" w:ascii="宋体" w:hAnsi="宋体" w:eastAsia="宋体" w:cs="Times New Roman"/>
          <w:color w:val="auto"/>
          <w:sz w:val="21"/>
          <w:szCs w:val="21"/>
          <w:highlight w:val="none"/>
          <w:lang w:val="en-US" w:eastAsia="zh-CN"/>
        </w:rPr>
        <w:t>陕西省政府采购网</w:t>
      </w:r>
      <w:r>
        <w:rPr>
          <w:rFonts w:hint="eastAsia" w:ascii="宋体" w:hAnsi="宋体" w:eastAsia="宋体" w:cs="Times New Roman"/>
          <w:color w:val="auto"/>
          <w:sz w:val="21"/>
          <w:szCs w:val="21"/>
          <w:highlight w:val="none"/>
        </w:rPr>
        <w:t>发布并以此为准，有意愿投标的合格投标人必须在采购代理机构获取招标文件，凡未在采购代理机构获取本项目招标文件或未在采购代理机构获取本项目招标文件采取复制他人招标文件的投标将被拒绝。</w:t>
      </w:r>
    </w:p>
    <w:p>
      <w:pPr>
        <w:spacing w:line="360" w:lineRule="auto"/>
        <w:rPr>
          <w:rFonts w:hint="eastAsia" w:ascii="宋体" w:hAnsi="宋体" w:eastAsia="宋体" w:cs="Times New Roman"/>
          <w:b/>
          <w:color w:val="auto"/>
          <w:sz w:val="21"/>
          <w:szCs w:val="21"/>
          <w:highlight w:val="none"/>
        </w:rPr>
      </w:pPr>
      <w:bookmarkStart w:id="15" w:name="_Toc48301710"/>
      <w:bookmarkStart w:id="16" w:name="_Toc52064303"/>
      <w:bookmarkStart w:id="17" w:name="_Toc52064846"/>
      <w:r>
        <w:rPr>
          <w:rFonts w:hint="eastAsia" w:ascii="宋体" w:hAnsi="宋体" w:eastAsia="宋体" w:cs="Times New Roman"/>
          <w:b/>
          <w:color w:val="auto"/>
          <w:sz w:val="21"/>
          <w:szCs w:val="21"/>
          <w:highlight w:val="none"/>
        </w:rPr>
        <w:t>1.11投标文件的货币单位</w:t>
      </w:r>
      <w:bookmarkEnd w:id="15"/>
      <w:bookmarkEnd w:id="16"/>
      <w:bookmarkEnd w:id="17"/>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本项目投标文件所采用的货币单位：元</w:t>
      </w:r>
    </w:p>
    <w:p>
      <w:pPr>
        <w:spacing w:line="360" w:lineRule="auto"/>
        <w:rPr>
          <w:rFonts w:hint="eastAsia" w:ascii="宋体" w:hAnsi="宋体"/>
          <w:b/>
          <w:color w:val="auto"/>
          <w:sz w:val="21"/>
          <w:szCs w:val="21"/>
          <w:highlight w:val="none"/>
        </w:rPr>
      </w:pPr>
      <w:bookmarkStart w:id="18" w:name="_Toc48301711"/>
      <w:bookmarkStart w:id="19" w:name="_Toc52064304"/>
      <w:bookmarkStart w:id="20" w:name="_Toc52064847"/>
      <w:r>
        <w:rPr>
          <w:rFonts w:hint="eastAsia" w:ascii="宋体" w:hAnsi="宋体"/>
          <w:b/>
          <w:color w:val="auto"/>
          <w:sz w:val="21"/>
          <w:szCs w:val="21"/>
          <w:highlight w:val="none"/>
        </w:rPr>
        <w:t>1.12投标文件的投标范围</w:t>
      </w:r>
      <w:bookmarkEnd w:id="18"/>
      <w:bookmarkEnd w:id="19"/>
      <w:bookmarkEnd w:id="20"/>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投标人可以对招标文件中采购项目所列货物进行投标，但不得将同一个包中的内容拆开投标，将同一个包内容拆开的投标将按无效投标处理。</w:t>
      </w:r>
    </w:p>
    <w:p>
      <w:pPr>
        <w:spacing w:line="360" w:lineRule="auto"/>
        <w:rPr>
          <w:rFonts w:hint="eastAsia" w:ascii="宋体" w:hAnsi="宋体"/>
          <w:b/>
          <w:color w:val="auto"/>
          <w:sz w:val="21"/>
          <w:szCs w:val="21"/>
          <w:highlight w:val="none"/>
        </w:rPr>
      </w:pPr>
      <w:bookmarkStart w:id="21" w:name="_Toc52064305"/>
      <w:bookmarkStart w:id="22" w:name="_Toc48301712"/>
      <w:bookmarkStart w:id="23" w:name="_Toc52064848"/>
      <w:r>
        <w:rPr>
          <w:rFonts w:hint="eastAsia" w:ascii="宋体" w:hAnsi="宋体"/>
          <w:b/>
          <w:color w:val="auto"/>
          <w:sz w:val="21"/>
          <w:szCs w:val="21"/>
          <w:highlight w:val="none"/>
        </w:rPr>
        <w:t>1.13联合体投标的规定</w:t>
      </w:r>
      <w:bookmarkEnd w:id="21"/>
      <w:bookmarkEnd w:id="22"/>
      <w:bookmarkEnd w:id="23"/>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本次采购活动不接受联合体投标。</w:t>
      </w:r>
    </w:p>
    <w:p>
      <w:pPr>
        <w:spacing w:line="360" w:lineRule="auto"/>
        <w:rPr>
          <w:rFonts w:hint="eastAsia" w:ascii="宋体" w:hAnsi="宋体"/>
          <w:b/>
          <w:color w:val="auto"/>
          <w:sz w:val="21"/>
          <w:szCs w:val="21"/>
          <w:highlight w:val="none"/>
        </w:rPr>
      </w:pPr>
      <w:bookmarkStart w:id="24" w:name="_Toc48301713"/>
      <w:bookmarkStart w:id="25" w:name="_Toc52064849"/>
      <w:bookmarkStart w:id="26" w:name="_Toc52064306"/>
      <w:r>
        <w:rPr>
          <w:rFonts w:hint="eastAsia" w:ascii="宋体" w:hAnsi="宋体"/>
          <w:b/>
          <w:color w:val="auto"/>
          <w:sz w:val="21"/>
          <w:szCs w:val="21"/>
          <w:highlight w:val="none"/>
        </w:rPr>
        <w:t>1.14所涉及的知识产权</w:t>
      </w:r>
      <w:bookmarkEnd w:id="24"/>
      <w:bookmarkEnd w:id="25"/>
      <w:bookmarkEnd w:id="26"/>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1.14.1投标人应保证对本项目投标的任何货物（包括部分使用）时，不会产生因第三方提出侵犯其专利权、商标权或其它知识产权而引起的法律和经济纠纷，否则，由投标人承担所有相关责任。</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1.14.2采购人享有本项目实施过程中产生的知识成果及知识产权。</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1.14.3投标人如欲在项目实施过程中采用自有知识成果，需在投标文件中声明并提供知识产权和市场准入的相关证明文件。使用该知识成果后，投标人需提供和开放开发接口和开发手册等技术文档，并承诺提供无限期技术支持，采购人享有永久使用权。</w:t>
      </w:r>
    </w:p>
    <w:p>
      <w:pPr>
        <w:spacing w:line="360" w:lineRule="auto"/>
        <w:ind w:firstLine="420" w:firstLineChars="200"/>
        <w:jc w:val="left"/>
        <w:rPr>
          <w:rFonts w:hint="eastAsia" w:ascii="宋体" w:hAnsi="宋体"/>
          <w:color w:val="auto"/>
          <w:sz w:val="21"/>
          <w:szCs w:val="21"/>
          <w:highlight w:val="none"/>
        </w:rPr>
      </w:pPr>
      <w:r>
        <w:rPr>
          <w:rFonts w:hint="eastAsia" w:ascii="宋体" w:hAnsi="宋体" w:eastAsia="宋体" w:cs="宋体"/>
          <w:color w:val="auto"/>
          <w:szCs w:val="21"/>
          <w:highlight w:val="none"/>
          <w:lang w:val="en-US" w:eastAsia="zh-CN"/>
        </w:rPr>
        <w:t>1.14.4如采用投标人所不拥有的知识产权，则在投标报价中必须包括合法获取</w:t>
      </w:r>
      <w:r>
        <w:rPr>
          <w:rFonts w:hint="eastAsia" w:ascii="宋体" w:hAnsi="宋体"/>
          <w:color w:val="auto"/>
          <w:sz w:val="21"/>
          <w:szCs w:val="21"/>
          <w:highlight w:val="none"/>
        </w:rPr>
        <w:t>该知识产权无限制使用的相关费用。</w:t>
      </w:r>
    </w:p>
    <w:p>
      <w:pPr>
        <w:spacing w:line="360" w:lineRule="auto"/>
        <w:rPr>
          <w:rFonts w:hint="eastAsia" w:ascii="宋体" w:hAnsi="宋体"/>
          <w:b/>
          <w:color w:val="auto"/>
          <w:sz w:val="21"/>
          <w:szCs w:val="21"/>
          <w:highlight w:val="none"/>
        </w:rPr>
      </w:pPr>
      <w:r>
        <w:rPr>
          <w:rFonts w:hint="eastAsia" w:ascii="宋体" w:hAnsi="宋体"/>
          <w:b/>
          <w:color w:val="auto"/>
          <w:sz w:val="21"/>
          <w:szCs w:val="21"/>
          <w:highlight w:val="none"/>
        </w:rPr>
        <w:t>1.15应落实的政府采购政策</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1.15.1对中小企业、监狱企业、残疾人福利性单位的优惠政策</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（1）根据《政府采购促进中小企业发展管理办法》（财库〔2020〕46号）</w:t>
      </w:r>
      <w:r>
        <w:rPr>
          <w:rFonts w:hint="eastAsia" w:ascii="宋体" w:hAnsi="宋体" w:cs="宋体"/>
          <w:color w:val="auto"/>
          <w:szCs w:val="21"/>
          <w:highlight w:val="none"/>
          <w:lang w:val="en-US" w:eastAsia="zh-CN"/>
        </w:rPr>
        <w:t>、《关于进一步加大政府采购支持中小企业力度的通知》财库〔2022〕19号的相关规定</w:t>
      </w:r>
      <w:r>
        <w:rPr>
          <w:rFonts w:hint="eastAsia" w:ascii="宋体" w:hAnsi="宋体" w:eastAsia="宋体" w:cs="宋体"/>
          <w:color w:val="auto"/>
          <w:szCs w:val="21"/>
          <w:highlight w:val="none"/>
          <w:lang w:val="en-US" w:eastAsia="zh-CN"/>
        </w:rPr>
        <w:t>，提供小微企业制造的货物、承建的工程或者承接的服务（不包括使用大型、中型企业商号或者注册商标的货物）参与政府采购活动时对小型和微型企业产品的报价给予10%~20%的扣除（实际价格扣除比例以《第三章  评标标准及方法》中的具体规定为准），用扣除后的价格参加评审。同时，依据该办法第四条第二款规定在货物采购项目中，投标人提供的货物既有中小企业制造货物，也有大型企业制造货物的，不享受中小企业扶持政策。</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（2）根据财政部、司法部联合下发的《关于政府采购支持监狱企业发展有关问题的通知》（财库〔2014〕68号）的规定，监狱企业视同小型、微型企业。</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根据财政部、民政部、中国残疾人联合会下发的《关于促进残疾人就业政府采购政策的通知》（财库〔2017〕141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参加政府采购活动的中小企业、监狱企业、残疾人福利性单位应根据企业性质分别提供《中小企业声明函》\《监狱企业证明函》\《残疾人福利性单位声明函》。其中，《监狱企业证明函》应由省级以上监狱管理局、戒毒管理局（含新疆生产建设兵团）出具。未提供上述声明函\证明函的，不能享受招标文件规定的价格扣除，但不影响投标文件的有效性。</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1.15.2节能、环保产品采购政策</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根据财政部、发展改革委、生态环境部、市场监管总局《关于调整优化节能产品、环境标志产品政府采购执行机制的通知》（财库〔2019〕9号）规定“对政府采购节能产品、环境标志产品实施品目清单管理”。采购人拟采购的产品属于品目清单范围的，依据国家确定的认证机构出具的、处于有效期之内的节能产品、环境标志产品认证证书，对获得证书的产品实施政府优先采购或强制采购。</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（3）《节能产品政府采购品目清单》见财政部、发展改革委《关于印发节能产品政府采购品目清单的通知》（财库〔2019〕19号）附件。</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（4）《环境标志产品政府采购品目清单》见财政部、生态环境部《关于印发环境标志产品政府采购品目清单的通知》（财库〔2019〕18号）附件。</w:t>
      </w:r>
    </w:p>
    <w:p>
      <w:pPr>
        <w:spacing w:line="360" w:lineRule="auto"/>
        <w:ind w:firstLine="420" w:firstLineChars="200"/>
        <w:jc w:val="left"/>
        <w:rPr>
          <w:rFonts w:hint="eastAsia" w:ascii="宋体" w:hAnsi="宋体"/>
          <w:color w:val="auto"/>
          <w:sz w:val="21"/>
          <w:szCs w:val="21"/>
          <w:highlight w:val="none"/>
        </w:rPr>
      </w:pPr>
      <w:r>
        <w:rPr>
          <w:rFonts w:hint="eastAsia" w:ascii="宋体" w:hAnsi="宋体" w:eastAsia="宋体" w:cs="宋体"/>
          <w:color w:val="auto"/>
          <w:szCs w:val="21"/>
          <w:highlight w:val="none"/>
          <w:lang w:val="en-US" w:eastAsia="zh-CN"/>
        </w:rPr>
        <w:t>（5）“国家确定的认证机构”名单见市场监管总局《关于发布参与实施政府采购节能产品、环境标志产品认证机构名录的公告》（2019年第16号）。</w:t>
      </w:r>
    </w:p>
    <w:p>
      <w:pPr>
        <w:spacing w:line="360" w:lineRule="auto"/>
        <w:ind w:firstLine="525" w:firstLineChars="250"/>
        <w:rPr>
          <w:rFonts w:hint="eastAsia" w:ascii="宋体" w:hAnsi="宋体"/>
          <w:color w:val="auto"/>
          <w:sz w:val="21"/>
          <w:szCs w:val="21"/>
          <w:highlight w:val="none"/>
        </w:rPr>
      </w:pPr>
      <w:r>
        <w:rPr>
          <w:rFonts w:hint="eastAsia" w:ascii="宋体" w:hAnsi="宋体"/>
          <w:color w:val="auto"/>
          <w:sz w:val="21"/>
          <w:szCs w:val="21"/>
          <w:highlight w:val="none"/>
        </w:rPr>
        <w:t>1.15.3陕西省中小企业政府采购信用融资办法</w:t>
      </w:r>
    </w:p>
    <w:p>
      <w:pPr>
        <w:spacing w:line="360" w:lineRule="auto"/>
        <w:ind w:firstLine="525" w:firstLineChars="250"/>
        <w:rPr>
          <w:rFonts w:hint="eastAsia" w:ascii="宋体" w:hAnsi="宋体" w:eastAsia="宋体" w:cs="宋体"/>
          <w:color w:val="auto"/>
          <w:szCs w:val="21"/>
          <w:highlight w:val="none"/>
          <w:lang w:val="en-US" w:eastAsia="zh-CN"/>
        </w:rPr>
      </w:pPr>
      <w:r>
        <w:rPr>
          <w:rFonts w:hint="eastAsia" w:ascii="宋体" w:hAnsi="宋体"/>
          <w:color w:val="auto"/>
          <w:sz w:val="21"/>
          <w:szCs w:val="21"/>
          <w:highlight w:val="none"/>
        </w:rPr>
        <w:t>为进</w:t>
      </w:r>
      <w:r>
        <w:rPr>
          <w:rFonts w:hint="eastAsia" w:ascii="宋体" w:hAnsi="宋体" w:eastAsia="宋体" w:cs="宋体"/>
          <w:color w:val="auto"/>
          <w:szCs w:val="21"/>
          <w:highlight w:val="none"/>
          <w:lang w:val="en-US" w:eastAsia="zh-CN"/>
        </w:rPr>
        <w:t>一步贯彻落实国务院和陕西省关于支持中小企业发展的政策措施，发挥政府采购政策导向作用，充分利用信息化技术，通过搭建信息对称、相互对接的平台，有效缓解中小企业融资难、融资贵问题。陕西省财政厅结合陕西省政府采购信息化建设实际，制定了《陕西省中小企业政府采购信用融资办法》（陕财办采〔2018〕23号，简称融资办法）。</w:t>
      </w:r>
    </w:p>
    <w:p>
      <w:pPr>
        <w:spacing w:line="360" w:lineRule="auto"/>
        <w:rPr>
          <w:rFonts w:ascii="宋体" w:hAnsi="宋体"/>
          <w:b/>
          <w:bCs/>
          <w:color w:val="auto"/>
          <w:sz w:val="21"/>
          <w:szCs w:val="21"/>
          <w:highlight w:val="none"/>
        </w:rPr>
      </w:pPr>
      <w:r>
        <w:rPr>
          <w:rFonts w:hint="eastAsia" w:ascii="宋体" w:hAnsi="宋体"/>
          <w:b/>
          <w:bCs/>
          <w:color w:val="auto"/>
          <w:sz w:val="21"/>
          <w:szCs w:val="21"/>
          <w:highlight w:val="none"/>
        </w:rPr>
        <w:t>1.16相同品牌认定</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 xml:space="preserve">1.16.1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根据报价由低到高的方式，如报价相同采取随机抽取方式）确定一个投标人获得中标人推荐资格，招标文件未规定的采取随机抽取方式确定，其他同品牌投标人不作为中标候选人。 </w:t>
      </w:r>
    </w:p>
    <w:p>
      <w:pPr>
        <w:pStyle w:val="4"/>
        <w:bidi w:val="0"/>
        <w:ind w:left="0" w:firstLine="0"/>
        <w:rPr>
          <w:rFonts w:hint="eastAsia" w:ascii="宋体" w:hAnsi="宋体" w:eastAsia="宋体"/>
          <w:color w:val="auto"/>
          <w:sz w:val="22"/>
          <w:szCs w:val="16"/>
          <w:highlight w:val="none"/>
        </w:rPr>
      </w:pPr>
      <w:r>
        <w:rPr>
          <w:rFonts w:hint="eastAsia" w:ascii="宋体" w:hAnsi="宋体" w:eastAsia="宋体"/>
          <w:color w:val="auto"/>
          <w:sz w:val="22"/>
          <w:szCs w:val="16"/>
          <w:highlight w:val="none"/>
        </w:rPr>
        <w:t>二、招标文件</w:t>
      </w:r>
      <w:bookmarkEnd w:id="8"/>
      <w:bookmarkEnd w:id="9"/>
      <w:bookmarkEnd w:id="10"/>
      <w:bookmarkEnd w:id="11"/>
      <w:bookmarkEnd w:id="12"/>
      <w:bookmarkEnd w:id="13"/>
      <w:bookmarkEnd w:id="14"/>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2.1</w:t>
      </w:r>
      <w:r>
        <w:rPr>
          <w:rFonts w:hint="eastAsia" w:ascii="宋体" w:hAnsi="宋体" w:cs="宋体"/>
          <w:color w:val="auto"/>
          <w:szCs w:val="21"/>
          <w:highlight w:val="none"/>
        </w:rPr>
        <w:t>招标文件的构成</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2.1.1</w:t>
      </w:r>
      <w:r>
        <w:rPr>
          <w:rFonts w:hint="eastAsia" w:ascii="宋体" w:hAnsi="宋体" w:cs="宋体"/>
          <w:color w:val="auto"/>
          <w:szCs w:val="21"/>
          <w:highlight w:val="none"/>
        </w:rPr>
        <w:t>招标文件包括下列内容：</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第一章  招标公告</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第二章  投标人须知</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第三章  评标标准及方法</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第四章  采购内容及要求</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第五章  合同条款</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第六章  投标文件格式</w:t>
      </w:r>
    </w:p>
    <w:p>
      <w:pPr>
        <w:spacing w:line="360" w:lineRule="auto"/>
        <w:ind w:firstLine="420" w:firstLineChars="200"/>
        <w:jc w:val="left"/>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第七章  质疑和投诉</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2.1.2</w:t>
      </w:r>
      <w:r>
        <w:rPr>
          <w:rFonts w:hint="eastAsia" w:ascii="宋体" w:hAnsi="宋体" w:cs="宋体"/>
          <w:color w:val="auto"/>
          <w:szCs w:val="21"/>
          <w:highlight w:val="none"/>
          <w:lang w:eastAsia="zh-CN"/>
        </w:rPr>
        <w:t>采购代理机构</w:t>
      </w:r>
      <w:r>
        <w:rPr>
          <w:rFonts w:hint="eastAsia" w:ascii="宋体" w:hAnsi="宋体" w:cs="宋体"/>
          <w:color w:val="auto"/>
          <w:szCs w:val="21"/>
          <w:highlight w:val="none"/>
        </w:rPr>
        <w:t>以书面形式发给投标人的解释、修改、补充通知等也是本招标文件的正式组成部分。</w:t>
      </w:r>
    </w:p>
    <w:p>
      <w:pPr>
        <w:spacing w:line="360" w:lineRule="auto"/>
        <w:ind w:firstLine="420" w:firstLineChars="200"/>
        <w:jc w:val="left"/>
        <w:rPr>
          <w:rFonts w:hint="eastAsia" w:ascii="宋体" w:hAnsi="宋体" w:cs="宋体"/>
          <w:color w:val="auto"/>
          <w:szCs w:val="21"/>
          <w:highlight w:val="none"/>
        </w:rPr>
      </w:pPr>
      <w:bookmarkStart w:id="27" w:name="_Toc48301700"/>
      <w:bookmarkStart w:id="28" w:name="_Toc52064292"/>
      <w:bookmarkStart w:id="29" w:name="_Toc52064835"/>
      <w:r>
        <w:rPr>
          <w:rFonts w:hint="eastAsia" w:ascii="宋体" w:hAnsi="宋体" w:cs="宋体"/>
          <w:color w:val="auto"/>
          <w:szCs w:val="21"/>
          <w:highlight w:val="none"/>
        </w:rPr>
        <w:t>2.2招标文件澄清或者修改</w:t>
      </w:r>
      <w:bookmarkEnd w:id="27"/>
      <w:bookmarkEnd w:id="28"/>
      <w:bookmarkEnd w:id="29"/>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2.2.1采购代理机构可以对已发出的招标文件进行必要澄清和修改，但不得改变采购标的和资格条件。澄清或者修改应当在原公告发布媒体上发布澄清公告。澄清或修改的内容为招标文件组成部分。</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2.2.2澄清或者修改的内容可能影响投标文件编制的，采购代理机构应当在投标截止时间至少15日前，以书面形式或者电子邮件通知所有获取招标文件的潜在投标人；不足15日的，采购代理机构应当顺延提交投标文件的截止时间。</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2.2.3获取招标文件的潜在投标人在投标截止时间15日前收到的澄清或者修改，要求潜在投标人以书面或电子邮件形式回复和盖章确认，方式为原件送达采购代理机构或者盖章后的PDF格式文档通过电子邮件回复至代理机构规定的邮箱地址。招标文件澄清或者修改的书面或电子邮件通知与潜在投标人预留的联系方式无法联系或发送，或者潜在投标人对已发出的招标文件澄清或者修改的书面或电子邮件通知未以书面或电子邮件形式按照要求回复和确认的，采购代理机构视同潜在投标人对招标文件澄清或者修改的书面或电子邮件通知已经认可。</w:t>
      </w:r>
    </w:p>
    <w:p>
      <w:pPr>
        <w:spacing w:line="360" w:lineRule="auto"/>
        <w:ind w:firstLine="420" w:firstLineChars="200"/>
        <w:jc w:val="left"/>
        <w:rPr>
          <w:rFonts w:hint="eastAsia" w:ascii="宋体" w:hAnsi="宋体" w:eastAsia="宋体" w:cs="宋体"/>
          <w:color w:val="auto"/>
          <w:szCs w:val="21"/>
          <w:highlight w:val="none"/>
          <w:lang w:val="en-US" w:eastAsia="zh-CN"/>
        </w:rPr>
      </w:pPr>
      <w:bookmarkStart w:id="30" w:name="_Toc52064836"/>
      <w:bookmarkStart w:id="31" w:name="_Toc52064293"/>
      <w:r>
        <w:rPr>
          <w:rFonts w:hint="eastAsia" w:ascii="宋体" w:hAnsi="宋体" w:eastAsia="宋体" w:cs="宋体"/>
          <w:color w:val="auto"/>
          <w:szCs w:val="21"/>
          <w:highlight w:val="none"/>
          <w:lang w:val="en-US" w:eastAsia="zh-CN"/>
        </w:rPr>
        <w:t>2.3对采购代理机构书面通知的回复和确认</w:t>
      </w:r>
      <w:bookmarkEnd w:id="30"/>
      <w:bookmarkEnd w:id="31"/>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在本项目采购活动中，采购代理机构按照有关法规和规定对获取招标文件的潜在投标人发出的书面或者电子邮件通知要求回复和盖章并签字确认的，潜在投标人应当在规定时间内以书面或电子邮件形式回复和盖章并签字确认，方式为原件送达采购代理机构或者盖章并签字后的PDF格式文档通过电子邮件回复至采购代理机构规定的邮箱地址。书面或电子邮件/电话通知与潜在投标人预留的联系方式无法联系或发送，或者潜在投标人对已发出的书面通知未以书面形式按照要求回复和确认的，采购代理机构视同潜在投标人对采购代理机构书面或电子邮件通知已经认可。</w:t>
      </w:r>
    </w:p>
    <w:p>
      <w:pPr>
        <w:pStyle w:val="4"/>
        <w:bidi w:val="0"/>
        <w:ind w:left="0" w:firstLine="0"/>
        <w:rPr>
          <w:rFonts w:hint="eastAsia" w:ascii="宋体" w:hAnsi="宋体" w:eastAsia="宋体"/>
          <w:color w:val="auto"/>
          <w:sz w:val="22"/>
          <w:szCs w:val="16"/>
          <w:highlight w:val="none"/>
        </w:rPr>
      </w:pPr>
      <w:bookmarkStart w:id="32" w:name="_Toc235544704"/>
      <w:bookmarkStart w:id="33" w:name="_Toc238899379"/>
      <w:bookmarkStart w:id="34" w:name="_Toc67552689"/>
      <w:bookmarkStart w:id="35" w:name="_Toc269407613"/>
      <w:bookmarkStart w:id="36" w:name="_Toc14169"/>
      <w:bookmarkStart w:id="37" w:name="_Toc54404816"/>
      <w:bookmarkStart w:id="38" w:name="_Toc250572265"/>
      <w:r>
        <w:rPr>
          <w:rFonts w:hint="eastAsia" w:ascii="宋体" w:hAnsi="宋体" w:eastAsia="宋体"/>
          <w:color w:val="auto"/>
          <w:sz w:val="22"/>
          <w:szCs w:val="16"/>
          <w:highlight w:val="none"/>
        </w:rPr>
        <w:t>三、投标文件</w:t>
      </w:r>
      <w:bookmarkEnd w:id="32"/>
      <w:bookmarkEnd w:id="33"/>
      <w:bookmarkEnd w:id="34"/>
      <w:bookmarkEnd w:id="35"/>
      <w:bookmarkEnd w:id="36"/>
      <w:bookmarkEnd w:id="37"/>
      <w:bookmarkEnd w:id="38"/>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3.1</w:t>
      </w:r>
      <w:r>
        <w:rPr>
          <w:rFonts w:hint="eastAsia" w:ascii="宋体" w:hAnsi="宋体" w:cs="宋体"/>
          <w:color w:val="auto"/>
          <w:szCs w:val="21"/>
          <w:highlight w:val="none"/>
        </w:rPr>
        <w:t>投标要求</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3.1</w:t>
      </w:r>
      <w:r>
        <w:rPr>
          <w:rFonts w:hint="eastAsia" w:ascii="宋体" w:hAnsi="宋体" w:cs="宋体"/>
          <w:color w:val="auto"/>
          <w:szCs w:val="21"/>
          <w:highlight w:val="none"/>
        </w:rPr>
        <w:t>.1 投标人获取招标文件后，应仔细检查招标文件的所有内容，如有残缺、印刷不清等问题应</w:t>
      </w:r>
      <w:r>
        <w:rPr>
          <w:rFonts w:hint="eastAsia" w:ascii="宋体" w:hAnsi="宋体" w:cs="宋体"/>
          <w:color w:val="auto"/>
          <w:szCs w:val="21"/>
          <w:highlight w:val="none"/>
          <w:lang w:val="en-US" w:eastAsia="zh-CN"/>
        </w:rPr>
        <w:t>及时</w:t>
      </w:r>
      <w:r>
        <w:rPr>
          <w:rFonts w:hint="eastAsia" w:ascii="宋体" w:hAnsi="宋体" w:cs="宋体"/>
          <w:color w:val="auto"/>
          <w:szCs w:val="21"/>
          <w:highlight w:val="none"/>
        </w:rPr>
        <w:t>向</w:t>
      </w:r>
      <w:r>
        <w:rPr>
          <w:rFonts w:hint="eastAsia" w:ascii="宋体" w:hAnsi="宋体" w:cs="宋体"/>
          <w:color w:val="auto"/>
          <w:szCs w:val="21"/>
          <w:highlight w:val="none"/>
          <w:lang w:eastAsia="zh-CN"/>
        </w:rPr>
        <w:t>采购代理机构</w:t>
      </w:r>
      <w:r>
        <w:rPr>
          <w:rFonts w:hint="eastAsia" w:ascii="宋体" w:hAnsi="宋体" w:cs="宋体"/>
          <w:color w:val="auto"/>
          <w:szCs w:val="21"/>
          <w:highlight w:val="none"/>
        </w:rPr>
        <w:t>提出，否则，由此引起的损失由投标人自行承担。投标人同时应认真阅读招标文件中的所有内容、格式、条款和规范要求，按招标文件的要求编写和提交投标文件，并保证所提供的全部资料的真实性。若投标人的投标文件没有按招标文件要求提交，或投标文件没有对招标文件作出实质性的响应等，根据相关条款规定其投标可能被拒绝。</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3.2</w:t>
      </w:r>
      <w:r>
        <w:rPr>
          <w:rFonts w:hint="eastAsia" w:ascii="宋体" w:hAnsi="宋体" w:cs="宋体"/>
          <w:color w:val="auto"/>
          <w:szCs w:val="21"/>
          <w:highlight w:val="none"/>
        </w:rPr>
        <w:t>投标文件的组成</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投标文件由以下内容、并按顺序以及提供的格式（如有）组成：</w:t>
      </w:r>
    </w:p>
    <w:p>
      <w:pPr>
        <w:spacing w:line="360" w:lineRule="auto"/>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一  投标函</w:t>
      </w:r>
    </w:p>
    <w:p>
      <w:pPr>
        <w:spacing w:line="360" w:lineRule="auto"/>
        <w:ind w:firstLine="420" w:firstLineChars="200"/>
        <w:jc w:val="lef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 xml:space="preserve">二  </w:t>
      </w:r>
      <w:r>
        <w:rPr>
          <w:rFonts w:hint="eastAsia" w:ascii="宋体" w:hAnsi="宋体" w:cs="宋体"/>
          <w:color w:val="auto"/>
          <w:szCs w:val="21"/>
          <w:highlight w:val="none"/>
          <w:lang w:val="en-US" w:eastAsia="zh-CN"/>
        </w:rPr>
        <w:t>开标一览表</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三  投标人资格</w:t>
      </w:r>
    </w:p>
    <w:p>
      <w:pPr>
        <w:spacing w:line="360" w:lineRule="auto"/>
        <w:ind w:firstLine="420" w:firstLineChars="200"/>
        <w:jc w:val="left"/>
        <w:rPr>
          <w:rFonts w:hint="eastAsia" w:ascii="宋体" w:hAnsi="宋体" w:eastAsia="宋体" w:cs="宋体"/>
          <w:bCs/>
          <w:color w:val="auto"/>
          <w:szCs w:val="21"/>
          <w:highlight w:val="none"/>
          <w:lang w:eastAsia="zh-CN"/>
        </w:rPr>
      </w:pPr>
      <w:r>
        <w:rPr>
          <w:rFonts w:hint="eastAsia" w:ascii="宋体" w:hAnsi="宋体" w:cs="宋体"/>
          <w:bCs/>
          <w:color w:val="auto"/>
          <w:szCs w:val="21"/>
          <w:highlight w:val="none"/>
        </w:rPr>
        <w:t xml:space="preserve">四  </w:t>
      </w:r>
      <w:r>
        <w:rPr>
          <w:rFonts w:hint="eastAsia" w:ascii="宋体" w:hAnsi="宋体" w:cs="宋体"/>
          <w:bCs/>
          <w:color w:val="auto"/>
          <w:szCs w:val="21"/>
          <w:highlight w:val="none"/>
          <w:lang w:val="en-US" w:eastAsia="zh-CN"/>
        </w:rPr>
        <w:t>技术方案</w:t>
      </w:r>
    </w:p>
    <w:p>
      <w:pPr>
        <w:spacing w:line="360" w:lineRule="auto"/>
        <w:ind w:firstLine="420" w:firstLineChars="200"/>
        <w:jc w:val="left"/>
        <w:rPr>
          <w:rFonts w:hint="eastAsia" w:ascii="宋体" w:hAnsi="宋体" w:eastAsia="宋体" w:cs="宋体"/>
          <w:bCs/>
          <w:color w:val="auto"/>
          <w:szCs w:val="21"/>
          <w:highlight w:val="none"/>
          <w:lang w:val="en-US" w:eastAsia="zh-CN"/>
        </w:rPr>
      </w:pPr>
      <w:r>
        <w:rPr>
          <w:rFonts w:hint="eastAsia" w:ascii="宋体" w:hAnsi="宋体" w:cs="宋体"/>
          <w:bCs/>
          <w:color w:val="auto"/>
          <w:szCs w:val="21"/>
          <w:highlight w:val="none"/>
          <w:lang w:val="en-US" w:eastAsia="zh-CN"/>
        </w:rPr>
        <w:t>五</w:t>
      </w:r>
      <w:r>
        <w:rPr>
          <w:rFonts w:hint="eastAsia" w:ascii="宋体" w:hAnsi="宋体" w:cs="宋体"/>
          <w:bCs/>
          <w:color w:val="auto"/>
          <w:szCs w:val="21"/>
          <w:highlight w:val="none"/>
        </w:rPr>
        <w:t xml:space="preserve">  商务</w:t>
      </w:r>
      <w:r>
        <w:rPr>
          <w:rFonts w:hint="eastAsia" w:ascii="宋体" w:hAnsi="宋体" w:cs="宋体"/>
          <w:bCs/>
          <w:color w:val="auto"/>
          <w:szCs w:val="21"/>
          <w:highlight w:val="none"/>
          <w:lang w:val="en-US" w:eastAsia="zh-CN"/>
        </w:rPr>
        <w:t>响应</w:t>
      </w:r>
    </w:p>
    <w:p>
      <w:pPr>
        <w:spacing w:line="360" w:lineRule="auto"/>
        <w:ind w:firstLine="420" w:firstLineChars="200"/>
        <w:jc w:val="left"/>
        <w:rPr>
          <w:rFonts w:hint="eastAsia" w:ascii="宋体" w:hAnsi="宋体" w:cs="宋体"/>
          <w:bCs/>
          <w:color w:val="auto"/>
          <w:szCs w:val="21"/>
          <w:highlight w:val="none"/>
        </w:rPr>
      </w:pPr>
      <w:r>
        <w:rPr>
          <w:rFonts w:hint="eastAsia" w:ascii="宋体" w:hAnsi="宋体" w:cs="宋体"/>
          <w:bCs/>
          <w:color w:val="auto"/>
          <w:szCs w:val="21"/>
          <w:highlight w:val="none"/>
          <w:lang w:val="en-US" w:eastAsia="zh-CN"/>
        </w:rPr>
        <w:t>六</w:t>
      </w:r>
      <w:r>
        <w:rPr>
          <w:rFonts w:hint="eastAsia" w:ascii="宋体" w:hAnsi="宋体" w:cs="宋体"/>
          <w:bCs/>
          <w:color w:val="auto"/>
          <w:szCs w:val="21"/>
          <w:highlight w:val="none"/>
        </w:rPr>
        <w:t xml:space="preserve">  </w:t>
      </w:r>
      <w:r>
        <w:rPr>
          <w:rFonts w:hint="eastAsia" w:ascii="宋体" w:hAnsi="宋体" w:cs="宋体"/>
          <w:bCs/>
          <w:color w:val="auto"/>
          <w:szCs w:val="21"/>
          <w:highlight w:val="none"/>
          <w:lang w:val="zh-CN" w:eastAsia="zh-CN"/>
        </w:rPr>
        <w:t>提供政府采购政策等证明材料</w:t>
      </w:r>
    </w:p>
    <w:p>
      <w:pPr>
        <w:bidi w:val="0"/>
        <w:rPr>
          <w:rFonts w:hint="default" w:eastAsia="宋体"/>
          <w:color w:val="auto"/>
          <w:highlight w:val="none"/>
          <w:lang w:val="en-US" w:eastAsia="zh-CN"/>
        </w:rPr>
      </w:pPr>
      <w:r>
        <w:rPr>
          <w:rFonts w:hint="eastAsia"/>
          <w:color w:val="auto"/>
          <w:highlight w:val="none"/>
          <w:lang w:val="en-US" w:eastAsia="zh-CN"/>
        </w:rPr>
        <w:t xml:space="preserve">    七  投标人认为需要提供的其他资料</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3.3</w:t>
      </w:r>
      <w:r>
        <w:rPr>
          <w:rFonts w:hint="eastAsia" w:ascii="宋体" w:hAnsi="宋体" w:cs="宋体"/>
          <w:color w:val="auto"/>
          <w:szCs w:val="21"/>
          <w:highlight w:val="none"/>
        </w:rPr>
        <w:t>投标文件格式</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3.3</w:t>
      </w:r>
      <w:r>
        <w:rPr>
          <w:rFonts w:hint="eastAsia" w:ascii="宋体" w:hAnsi="宋体" w:cs="宋体"/>
          <w:color w:val="auto"/>
          <w:szCs w:val="21"/>
          <w:highlight w:val="none"/>
        </w:rPr>
        <w:t>.1 投标人提供的投标文件应设置目录且逐页标注页码。</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3.3</w:t>
      </w:r>
      <w:r>
        <w:rPr>
          <w:rFonts w:hint="eastAsia" w:ascii="宋体" w:hAnsi="宋体" w:cs="宋体"/>
          <w:color w:val="auto"/>
          <w:szCs w:val="21"/>
          <w:highlight w:val="none"/>
        </w:rPr>
        <w:t>.2 投标人应严格按招标文件中提供的投标文件格式填写投标函、技术要求响应表、投标报价清单等。</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3.4</w:t>
      </w:r>
      <w:r>
        <w:rPr>
          <w:rFonts w:hint="eastAsia" w:ascii="宋体" w:hAnsi="宋体" w:cs="宋体"/>
          <w:color w:val="auto"/>
          <w:szCs w:val="21"/>
          <w:highlight w:val="none"/>
        </w:rPr>
        <w:t xml:space="preserve"> 投标报价</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3.4</w:t>
      </w:r>
      <w:r>
        <w:rPr>
          <w:rFonts w:hint="eastAsia" w:ascii="宋体" w:hAnsi="宋体" w:cs="宋体"/>
          <w:color w:val="auto"/>
          <w:szCs w:val="21"/>
          <w:highlight w:val="none"/>
        </w:rPr>
        <w:t>.1投标报价不得超过本项目</w:t>
      </w:r>
      <w:r>
        <w:rPr>
          <w:rFonts w:hint="eastAsia" w:ascii="宋体" w:hAnsi="宋体" w:cs="宋体"/>
          <w:color w:val="auto"/>
          <w:szCs w:val="21"/>
          <w:highlight w:val="none"/>
          <w:lang w:eastAsia="zh-CN"/>
        </w:rPr>
        <w:t>最高限价</w:t>
      </w:r>
      <w:r>
        <w:rPr>
          <w:rFonts w:hint="eastAsia" w:ascii="宋体" w:hAnsi="宋体" w:cs="宋体"/>
          <w:color w:val="auto"/>
          <w:szCs w:val="21"/>
          <w:highlight w:val="none"/>
        </w:rPr>
        <w:t>，否则按废标处理。</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3.4</w:t>
      </w:r>
      <w:r>
        <w:rPr>
          <w:rFonts w:hint="eastAsia" w:ascii="宋体" w:hAnsi="宋体" w:cs="宋体"/>
          <w:color w:val="auto"/>
          <w:szCs w:val="21"/>
          <w:highlight w:val="none"/>
        </w:rPr>
        <w:t>.2投标人应列出详细的清单及报价，并对此项目所列的所有货物及伴随服务进行报价。</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3.4</w:t>
      </w:r>
      <w:r>
        <w:rPr>
          <w:rFonts w:hint="eastAsia" w:ascii="宋体" w:hAnsi="宋体" w:cs="宋体"/>
          <w:color w:val="auto"/>
          <w:szCs w:val="21"/>
          <w:highlight w:val="none"/>
        </w:rPr>
        <w:t>.3 任何有选择的投标报价招标人不接受。</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3.4</w:t>
      </w:r>
      <w:r>
        <w:rPr>
          <w:rFonts w:hint="eastAsia" w:ascii="宋体" w:hAnsi="宋体" w:cs="宋体"/>
          <w:color w:val="auto"/>
          <w:szCs w:val="21"/>
          <w:highlight w:val="none"/>
        </w:rPr>
        <w:t>.4 投标报价为完成本项目所发生的一切费用,包括但不限于设备的设计、制造、包装、仓储、运输、装卸、保管、保险费、安装费、调试费、验收合格之前及售后保修期间更换备品备件发生的费用、税金、调试配合及技术资料、技术服务等所有费用，如有遗漏，视为已包含在内。</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投标人应充分考虑各种费用、市场风险、责任、合同主要条款和付款条件等。投标报价不受市场价格变化的影响，一次包死。</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3.5</w:t>
      </w:r>
      <w:r>
        <w:rPr>
          <w:rFonts w:hint="eastAsia" w:ascii="宋体" w:hAnsi="宋体" w:cs="宋体"/>
          <w:color w:val="auto"/>
          <w:szCs w:val="21"/>
          <w:highlight w:val="none"/>
        </w:rPr>
        <w:t>投标货物符合招标文件规定的技术规格参数及其他要求。</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3.5</w:t>
      </w:r>
      <w:r>
        <w:rPr>
          <w:rFonts w:hint="eastAsia" w:ascii="宋体" w:hAnsi="宋体" w:cs="宋体"/>
          <w:color w:val="auto"/>
          <w:szCs w:val="21"/>
          <w:highlight w:val="none"/>
        </w:rPr>
        <w:t>.1投标人应对招标文件中的各项条款做出清晰准确的答复。</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3.5</w:t>
      </w:r>
      <w:r>
        <w:rPr>
          <w:rFonts w:hint="eastAsia" w:ascii="宋体" w:hAnsi="宋体" w:cs="宋体"/>
          <w:color w:val="auto"/>
          <w:szCs w:val="21"/>
          <w:highlight w:val="none"/>
        </w:rPr>
        <w:t>.2 上述文件可以是文字资料、图纸和数据，并须提供货物主要性能的详细描述。</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3.6投标保证金</w:t>
      </w:r>
    </w:p>
    <w:p>
      <w:pPr>
        <w:spacing w:line="360" w:lineRule="auto"/>
        <w:ind w:firstLine="420" w:firstLineChars="200"/>
        <w:jc w:val="left"/>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本项目不收取投标保证金。</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3.7</w:t>
      </w:r>
      <w:r>
        <w:rPr>
          <w:rFonts w:hint="eastAsia" w:ascii="宋体" w:hAnsi="宋体" w:cs="宋体"/>
          <w:color w:val="auto"/>
          <w:szCs w:val="21"/>
          <w:highlight w:val="none"/>
        </w:rPr>
        <w:t>投标有效期</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3.7</w:t>
      </w:r>
      <w:r>
        <w:rPr>
          <w:rFonts w:hint="eastAsia" w:ascii="宋体" w:hAnsi="宋体" w:cs="宋体"/>
          <w:color w:val="auto"/>
          <w:szCs w:val="21"/>
          <w:highlight w:val="none"/>
        </w:rPr>
        <w:t>.1 投标有效期：见投标人须知前附表。</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3.7</w:t>
      </w:r>
      <w:r>
        <w:rPr>
          <w:rFonts w:hint="eastAsia" w:ascii="宋体" w:hAnsi="宋体" w:cs="宋体"/>
          <w:color w:val="auto"/>
          <w:szCs w:val="21"/>
          <w:highlight w:val="none"/>
        </w:rPr>
        <w:t>.2 特殊情况下，投标人可于投标有效期满之前要求投标人同意延长有效期，要求与答复均以书面形式。投标人可以拒绝上述要求而其投标保证金将予以退还。对于同意该要求的投标人，既不要求也不允许其修改投标文件，但将要求其相应延长投标保证金的有效期，有关退还和不予退还投标保证金的规定在投标有效期的延长期内继续有效。</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3.8</w:t>
      </w:r>
      <w:r>
        <w:rPr>
          <w:rFonts w:hint="eastAsia" w:ascii="宋体" w:hAnsi="宋体" w:cs="宋体"/>
          <w:color w:val="auto"/>
          <w:szCs w:val="21"/>
          <w:highlight w:val="none"/>
        </w:rPr>
        <w:t>投标文件的签署及规定</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3.8</w:t>
      </w:r>
      <w:r>
        <w:rPr>
          <w:rFonts w:hint="eastAsia" w:ascii="宋体" w:hAnsi="宋体" w:cs="宋体"/>
          <w:color w:val="auto"/>
          <w:szCs w:val="21"/>
          <w:highlight w:val="none"/>
        </w:rPr>
        <w:t>.1 投标人须按照招标文件的份数要求提供投标文件，在每一份投标文件上要明确注明“正本”、“副本”字样，正副本内容不致的，以正本为准。</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3.8</w:t>
      </w:r>
      <w:r>
        <w:rPr>
          <w:rFonts w:hint="eastAsia" w:ascii="宋体" w:hAnsi="宋体" w:cs="宋体"/>
          <w:color w:val="auto"/>
          <w:szCs w:val="21"/>
          <w:highlight w:val="none"/>
        </w:rPr>
        <w:t>.2 投标文件正本和副本均应使用不能擦去的墨水打印或书写，并由投标人法定代表人或其正式授权的委托代理人签署，且加盖投标人公章。</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3.8</w:t>
      </w:r>
      <w:r>
        <w:rPr>
          <w:rFonts w:hint="eastAsia" w:ascii="宋体" w:hAnsi="宋体" w:cs="宋体"/>
          <w:color w:val="auto"/>
          <w:szCs w:val="21"/>
          <w:highlight w:val="none"/>
        </w:rPr>
        <w:t>.3 投标人除对错处作必要修改外，投标文件中不许有加行、涂抹或改写。若有修改须由投标文件</w:t>
      </w:r>
      <w:r>
        <w:rPr>
          <w:rFonts w:hint="eastAsia" w:ascii="宋体" w:hAnsi="宋体" w:cs="宋体"/>
          <w:color w:val="auto"/>
          <w:szCs w:val="21"/>
          <w:highlight w:val="none"/>
          <w:lang w:eastAsia="zh-CN"/>
        </w:rPr>
        <w:t>法定代表人（负责人）</w:t>
      </w:r>
      <w:r>
        <w:rPr>
          <w:rFonts w:hint="eastAsia" w:ascii="宋体" w:hAnsi="宋体" w:cs="宋体"/>
          <w:color w:val="auto"/>
          <w:szCs w:val="21"/>
          <w:highlight w:val="none"/>
        </w:rPr>
        <w:t>或其委托代理人签字。</w:t>
      </w:r>
    </w:p>
    <w:p>
      <w:pPr>
        <w:spacing w:line="360" w:lineRule="auto"/>
        <w:ind w:firstLine="420" w:firstLineChars="200"/>
        <w:jc w:val="left"/>
        <w:rPr>
          <w:rFonts w:ascii="宋体" w:hAnsi="宋体" w:cs="宋体"/>
          <w:b/>
          <w:bCs/>
          <w:color w:val="auto"/>
          <w:szCs w:val="21"/>
          <w:highlight w:val="none"/>
        </w:rPr>
      </w:pPr>
      <w:r>
        <w:rPr>
          <w:rFonts w:hint="eastAsia" w:ascii="宋体" w:hAnsi="宋体" w:cs="宋体"/>
          <w:color w:val="auto"/>
          <w:szCs w:val="21"/>
          <w:highlight w:val="none"/>
          <w:lang w:val="en-US" w:eastAsia="zh-CN"/>
        </w:rPr>
        <w:t>3.8</w:t>
      </w:r>
      <w:r>
        <w:rPr>
          <w:rFonts w:hint="eastAsia" w:ascii="宋体" w:hAnsi="宋体" w:cs="宋体"/>
          <w:color w:val="auto"/>
          <w:szCs w:val="21"/>
          <w:highlight w:val="none"/>
        </w:rPr>
        <w:t>.4 以电报、电话、传真、电子邮件等形式投标概不接受。</w:t>
      </w:r>
      <w:bookmarkStart w:id="39" w:name="_Toc250572266"/>
      <w:bookmarkStart w:id="40" w:name="_Toc238899380"/>
      <w:bookmarkStart w:id="41" w:name="_Toc235544705"/>
      <w:bookmarkStart w:id="42" w:name="_Toc269407614"/>
      <w:bookmarkStart w:id="43" w:name="_Toc67552690"/>
      <w:bookmarkStart w:id="44" w:name="_Toc12453"/>
      <w:bookmarkStart w:id="45" w:name="_Toc54404817"/>
    </w:p>
    <w:p>
      <w:pPr>
        <w:pStyle w:val="4"/>
        <w:bidi w:val="0"/>
        <w:ind w:left="0" w:firstLine="0"/>
        <w:rPr>
          <w:rFonts w:hint="eastAsia" w:ascii="宋体" w:hAnsi="宋体" w:eastAsia="宋体"/>
          <w:color w:val="auto"/>
          <w:sz w:val="22"/>
          <w:szCs w:val="16"/>
          <w:highlight w:val="none"/>
        </w:rPr>
      </w:pPr>
      <w:r>
        <w:rPr>
          <w:rFonts w:hint="eastAsia" w:ascii="宋体" w:hAnsi="宋体" w:eastAsia="宋体"/>
          <w:color w:val="auto"/>
          <w:sz w:val="22"/>
          <w:szCs w:val="16"/>
          <w:highlight w:val="none"/>
        </w:rPr>
        <w:t>四、投标文件的递交</w:t>
      </w:r>
      <w:bookmarkEnd w:id="39"/>
      <w:bookmarkEnd w:id="40"/>
      <w:bookmarkEnd w:id="41"/>
      <w:bookmarkEnd w:id="42"/>
      <w:bookmarkEnd w:id="43"/>
      <w:bookmarkEnd w:id="44"/>
      <w:bookmarkEnd w:id="45"/>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4.1</w:t>
      </w:r>
      <w:r>
        <w:rPr>
          <w:rFonts w:hint="eastAsia" w:ascii="宋体" w:hAnsi="宋体" w:cs="宋体"/>
          <w:color w:val="auto"/>
          <w:szCs w:val="21"/>
          <w:highlight w:val="none"/>
        </w:rPr>
        <w:t>投标文件的密封、标记</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4.1</w:t>
      </w:r>
      <w:r>
        <w:rPr>
          <w:rFonts w:hint="eastAsia" w:ascii="宋体" w:hAnsi="宋体" w:cs="宋体"/>
          <w:color w:val="auto"/>
          <w:szCs w:val="21"/>
          <w:highlight w:val="none"/>
        </w:rPr>
        <w:t>.1 投标人应将正、副本分别</w:t>
      </w:r>
      <w:r>
        <w:rPr>
          <w:rFonts w:hint="eastAsia" w:ascii="宋体" w:hAnsi="宋体" w:cs="宋体"/>
          <w:color w:val="auto"/>
          <w:szCs w:val="21"/>
          <w:highlight w:val="none"/>
          <w:lang w:val="en-US" w:eastAsia="zh-CN"/>
        </w:rPr>
        <w:t>胶装成册</w:t>
      </w:r>
      <w:r>
        <w:rPr>
          <w:rFonts w:hint="eastAsia" w:ascii="宋体" w:hAnsi="宋体" w:cs="宋体"/>
          <w:color w:val="auto"/>
          <w:szCs w:val="21"/>
          <w:highlight w:val="none"/>
        </w:rPr>
        <w:t>，密封包装，密封袋上标明的内容见投标人须知前附表，并在密封袋封口处加盖投标人公章。</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4.1</w:t>
      </w:r>
      <w:r>
        <w:rPr>
          <w:rFonts w:hint="eastAsia" w:ascii="宋体" w:hAnsi="宋体" w:cs="宋体"/>
          <w:color w:val="auto"/>
          <w:szCs w:val="21"/>
          <w:highlight w:val="none"/>
        </w:rPr>
        <w:t>.2 如果未按上述规定进行密封和标记，招标人可以拒收或者告知投标人，招标人将不承担投标文件错放、提前开封、泄露商业机密等任何责任。对于提前开封的投标文件将视为投标无效。</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4.2</w:t>
      </w:r>
      <w:r>
        <w:rPr>
          <w:rFonts w:hint="eastAsia" w:ascii="宋体" w:hAnsi="宋体" w:cs="宋体"/>
          <w:color w:val="auto"/>
          <w:szCs w:val="21"/>
          <w:highlight w:val="none"/>
        </w:rPr>
        <w:t>递交投标文件的截止时间</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4.2</w:t>
      </w:r>
      <w:r>
        <w:rPr>
          <w:rFonts w:hint="eastAsia" w:ascii="宋体" w:hAnsi="宋体" w:cs="宋体"/>
          <w:color w:val="auto"/>
          <w:szCs w:val="21"/>
          <w:highlight w:val="none"/>
        </w:rPr>
        <w:t>.1 投标文件由专人提交，投标人应将投标文件按投标人须知的规定进行密封和标记，按投标人须知前附表要求的时间、地点送交</w:t>
      </w:r>
      <w:r>
        <w:rPr>
          <w:rFonts w:hint="eastAsia" w:ascii="宋体" w:hAnsi="宋体" w:cs="宋体"/>
          <w:color w:val="auto"/>
          <w:szCs w:val="21"/>
          <w:highlight w:val="none"/>
          <w:lang w:eastAsia="zh-CN"/>
        </w:rPr>
        <w:t>采购代理机构</w:t>
      </w:r>
      <w:r>
        <w:rPr>
          <w:rFonts w:hint="eastAsia" w:ascii="宋体" w:hAnsi="宋体" w:cs="宋体"/>
          <w:color w:val="auto"/>
          <w:szCs w:val="21"/>
          <w:highlight w:val="none"/>
        </w:rPr>
        <w:t>，超过规定时限送交的投标文件，招标人将不予接收。</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4.2</w:t>
      </w:r>
      <w:r>
        <w:rPr>
          <w:rFonts w:hint="eastAsia" w:ascii="宋体" w:hAnsi="宋体" w:cs="宋体"/>
          <w:color w:val="auto"/>
          <w:szCs w:val="21"/>
          <w:highlight w:val="none"/>
        </w:rPr>
        <w:t>.2 招标人可以以修改补充通知的方式，延长提交投标文件的截止时间。在此情况下，投标人的所有权利和义务以及投标人受制约的截止时间，均以延长后新的投标截止时间为准。</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4.3</w:t>
      </w:r>
      <w:r>
        <w:rPr>
          <w:rFonts w:hint="eastAsia" w:ascii="宋体" w:hAnsi="宋体" w:cs="宋体"/>
          <w:color w:val="auto"/>
          <w:szCs w:val="21"/>
          <w:highlight w:val="none"/>
        </w:rPr>
        <w:t>投标文件有下列情形之一的，招标人不予受理：</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（一）逾期送达的或者未送达指定地点的；</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（二）未按招标文件要求密封的。</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4.4</w:t>
      </w:r>
      <w:r>
        <w:rPr>
          <w:rFonts w:hint="eastAsia" w:ascii="宋体" w:hAnsi="宋体" w:cs="宋体"/>
          <w:color w:val="auto"/>
          <w:szCs w:val="21"/>
          <w:highlight w:val="none"/>
        </w:rPr>
        <w:t>投标文件的修改和撤销</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4.4</w:t>
      </w:r>
      <w:r>
        <w:rPr>
          <w:rFonts w:hint="eastAsia" w:ascii="宋体" w:hAnsi="宋体" w:cs="宋体"/>
          <w:color w:val="auto"/>
          <w:szCs w:val="21"/>
          <w:highlight w:val="none"/>
        </w:rPr>
        <w:t>.1 投标人在提交投标文件以后，在规定的投标截止时间之前，可以书面形式补充修改或撤回已提交的投标文件，并以书面形式通知招标人。补充、修改的内容作为投标文件的组成部分。</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4.4</w:t>
      </w:r>
      <w:r>
        <w:rPr>
          <w:rFonts w:hint="eastAsia" w:ascii="宋体" w:hAnsi="宋体" w:cs="宋体"/>
          <w:color w:val="auto"/>
          <w:szCs w:val="21"/>
          <w:highlight w:val="none"/>
        </w:rPr>
        <w:t>.2 投标人对投标文件的补充、修改，应按本须知有关规定密封、标记和提交，并在内外层投标文件密封袋上清楚标明“补充、修改”或“撤回”字样。</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4.4</w:t>
      </w:r>
      <w:r>
        <w:rPr>
          <w:rFonts w:hint="eastAsia" w:ascii="宋体" w:hAnsi="宋体" w:cs="宋体"/>
          <w:color w:val="auto"/>
          <w:szCs w:val="21"/>
          <w:highlight w:val="none"/>
        </w:rPr>
        <w:t>.3 投标截止时间以后，投标人不得补充、修改投标文件。</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4.4</w:t>
      </w:r>
      <w:r>
        <w:rPr>
          <w:rFonts w:hint="eastAsia" w:ascii="宋体" w:hAnsi="宋体" w:cs="宋体"/>
          <w:color w:val="auto"/>
          <w:szCs w:val="21"/>
          <w:highlight w:val="none"/>
        </w:rPr>
        <w:t>.4 投标人不得在投标有效期内，撤销投标文件</w:t>
      </w:r>
      <w:r>
        <w:rPr>
          <w:rFonts w:hint="eastAsia" w:ascii="宋体" w:hAnsi="宋体" w:cs="宋体"/>
          <w:color w:val="auto"/>
          <w:szCs w:val="21"/>
          <w:highlight w:val="none"/>
          <w:lang w:eastAsia="zh-CN"/>
        </w:rPr>
        <w:t>，</w:t>
      </w:r>
      <w:r>
        <w:rPr>
          <w:rFonts w:hint="eastAsia" w:ascii="宋体" w:hAnsi="宋体" w:cs="宋体"/>
          <w:color w:val="auto"/>
          <w:szCs w:val="21"/>
          <w:highlight w:val="none"/>
        </w:rPr>
        <w:t>否则招标人将不予退还其投标保证金。</w:t>
      </w:r>
    </w:p>
    <w:p>
      <w:pPr>
        <w:pStyle w:val="4"/>
        <w:bidi w:val="0"/>
        <w:ind w:left="0" w:firstLine="0"/>
        <w:rPr>
          <w:rFonts w:hint="eastAsia" w:ascii="宋体" w:hAnsi="宋体" w:eastAsia="宋体"/>
          <w:color w:val="auto"/>
          <w:sz w:val="22"/>
          <w:szCs w:val="16"/>
          <w:highlight w:val="none"/>
        </w:rPr>
      </w:pPr>
      <w:bookmarkStart w:id="46" w:name="_Toc238899381"/>
      <w:bookmarkStart w:id="47" w:name="_Toc67552691"/>
      <w:bookmarkStart w:id="48" w:name="_Toc9240"/>
      <w:bookmarkStart w:id="49" w:name="_Toc54404818"/>
      <w:bookmarkStart w:id="50" w:name="_Toc235544706"/>
      <w:bookmarkStart w:id="51" w:name="_Toc250572267"/>
      <w:bookmarkStart w:id="52" w:name="_Toc269407615"/>
      <w:r>
        <w:rPr>
          <w:rFonts w:hint="eastAsia" w:ascii="宋体" w:hAnsi="宋体" w:eastAsia="宋体"/>
          <w:color w:val="auto"/>
          <w:sz w:val="22"/>
          <w:szCs w:val="16"/>
          <w:highlight w:val="none"/>
        </w:rPr>
        <w:t>五、开标</w:t>
      </w:r>
      <w:bookmarkEnd w:id="46"/>
      <w:bookmarkEnd w:id="47"/>
      <w:bookmarkEnd w:id="48"/>
      <w:bookmarkEnd w:id="49"/>
      <w:bookmarkEnd w:id="50"/>
      <w:bookmarkEnd w:id="51"/>
      <w:bookmarkEnd w:id="52"/>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5.1</w:t>
      </w:r>
      <w:r>
        <w:rPr>
          <w:rFonts w:hint="eastAsia" w:ascii="宋体" w:hAnsi="宋体" w:cs="宋体"/>
          <w:color w:val="auto"/>
          <w:szCs w:val="21"/>
          <w:highlight w:val="none"/>
        </w:rPr>
        <w:t>开标</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5.1</w:t>
      </w:r>
      <w:r>
        <w:rPr>
          <w:rFonts w:hint="eastAsia" w:ascii="宋体" w:hAnsi="宋体" w:cs="宋体"/>
          <w:color w:val="auto"/>
          <w:szCs w:val="21"/>
          <w:highlight w:val="none"/>
        </w:rPr>
        <w:t>.1 招标人在规定的投标截止时间（开标时间）和投标人须知前附表规定的地点公开开标，并邀请所有投标人的</w:t>
      </w:r>
      <w:r>
        <w:rPr>
          <w:rFonts w:hint="eastAsia" w:ascii="宋体" w:hAnsi="宋体" w:cs="宋体"/>
          <w:color w:val="auto"/>
          <w:szCs w:val="21"/>
          <w:highlight w:val="none"/>
          <w:lang w:eastAsia="zh-CN"/>
        </w:rPr>
        <w:t>法定代表人（负责人）</w:t>
      </w:r>
      <w:r>
        <w:rPr>
          <w:rFonts w:hint="eastAsia" w:ascii="宋体" w:hAnsi="宋体" w:cs="宋体"/>
          <w:color w:val="auto"/>
          <w:szCs w:val="21"/>
          <w:highlight w:val="none"/>
        </w:rPr>
        <w:t>或其委托代理人准时参加。</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5.2采购代理机构在招标文件规定的时间和地点组织公开开标，邀请投标人代表或法定代表人参加；</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5.3开标时，应当由投标人或者其推选的代表检查投标文件的密封情况；经确认无误后，由采购代理机构工作人员当众拆封，宣布投标人名称、投标价格和招标文件规定的需要宣布的其他内容；</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5.4投标人不足三家不得开标；</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5.5开标过程应当由采购代理机构负责记录，由参加开标的各投标人代表和相关工作人员签字确认；</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5.6投标人代表对开标过程和开标记录有疑义，以及认为采购代理机构相关工作人员有需要回避的情形的，应当场提出询问或者回避申请；</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5.7投标人未参加开标的，视同认可开标结果；</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5.8开标时，“</w:t>
      </w:r>
      <w:r>
        <w:rPr>
          <w:rFonts w:hint="eastAsia" w:ascii="宋体" w:hAnsi="宋体" w:cs="宋体"/>
          <w:color w:val="auto"/>
          <w:szCs w:val="21"/>
          <w:highlight w:val="none"/>
          <w:lang w:val="en-US" w:eastAsia="zh-CN"/>
        </w:rPr>
        <w:t>开标</w:t>
      </w:r>
      <w:bookmarkStart w:id="235" w:name="_GoBack"/>
      <w:bookmarkEnd w:id="235"/>
      <w:r>
        <w:rPr>
          <w:rFonts w:hint="eastAsia" w:ascii="宋体" w:hAnsi="宋体" w:cs="宋体"/>
          <w:color w:val="auto"/>
          <w:szCs w:val="21"/>
          <w:highlight w:val="none"/>
        </w:rPr>
        <w:t>一览表”中的大写金额与小写金额不一致的，以大写金额为准；总价金额与按单价计算的汇总金额不一致的，以单价计算的汇总金额为准；单价金额有明显小数点错误的，以总价为准，并修改单价。按上述修正错误的方法调整的投标报价应对投标人具有约束力，如果投标人不接受修正后的价格，其投标将被拒绝；</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5.9开标过程应当全程录音录像并保存归档。</w:t>
      </w:r>
    </w:p>
    <w:p>
      <w:pPr>
        <w:pStyle w:val="4"/>
        <w:bidi w:val="0"/>
        <w:ind w:left="0" w:firstLine="0"/>
        <w:rPr>
          <w:rFonts w:hint="eastAsia" w:ascii="宋体" w:hAnsi="宋体" w:eastAsia="宋体"/>
          <w:color w:val="auto"/>
          <w:sz w:val="22"/>
          <w:szCs w:val="16"/>
          <w:highlight w:val="none"/>
          <w:lang w:val="en-US" w:eastAsia="zh-CN"/>
        </w:rPr>
      </w:pPr>
      <w:r>
        <w:rPr>
          <w:rFonts w:hint="eastAsia"/>
          <w:color w:val="auto"/>
          <w:sz w:val="22"/>
          <w:szCs w:val="16"/>
          <w:highlight w:val="none"/>
          <w:lang w:val="en-US" w:eastAsia="zh-CN"/>
        </w:rPr>
        <w:t>六、</w:t>
      </w:r>
      <w:r>
        <w:rPr>
          <w:rFonts w:hint="eastAsia" w:ascii="宋体" w:hAnsi="宋体" w:eastAsia="宋体"/>
          <w:color w:val="auto"/>
          <w:sz w:val="22"/>
          <w:szCs w:val="16"/>
          <w:highlight w:val="none"/>
          <w:lang w:val="en-US" w:eastAsia="zh-CN"/>
        </w:rPr>
        <w:t>评标</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6.1 评标委员会按照第三章“评标办法”规定的方法、评审因素、标准和程序对投标文件进行评审。第三章“评标办法”没有规定的方法、评审因素和标准，不作为评标依据。</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6.2 评标过程的保密</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6.2.1开标后，直至授予中标人合同为止，凡属于对投标文件的审查、澄清、评价和比较的有关资料以及中标候选人的推荐情况，与评标有关的其他任何情况均严格保密。</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6.2.2在投标文件的评审和比较、中标候选人推荐以及授予合同的过程中，投标人向招标人和评标委员会施加影响的任何行为，都将会导致其投标被拒绝。</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6.2.3中标人确定后，招标人不对未中标人就评标过程以及未能中标原因作出任何解释,亦不退回投标文件。未中标人不得向评标委员会组成人员和招标人或其他有关人员索问评标过程的情况和材料。</w:t>
      </w:r>
    </w:p>
    <w:p>
      <w:pPr>
        <w:pStyle w:val="4"/>
        <w:bidi w:val="0"/>
        <w:ind w:left="0" w:firstLine="0"/>
        <w:rPr>
          <w:rFonts w:hint="eastAsia" w:ascii="宋体" w:hAnsi="宋体" w:eastAsia="宋体"/>
          <w:color w:val="auto"/>
          <w:sz w:val="22"/>
          <w:szCs w:val="16"/>
          <w:highlight w:val="none"/>
          <w:lang w:val="en-US" w:eastAsia="zh-CN"/>
        </w:rPr>
      </w:pPr>
      <w:r>
        <w:rPr>
          <w:rFonts w:hint="eastAsia"/>
          <w:color w:val="auto"/>
          <w:sz w:val="22"/>
          <w:szCs w:val="16"/>
          <w:highlight w:val="none"/>
          <w:lang w:val="en-US" w:eastAsia="zh-CN"/>
        </w:rPr>
        <w:t>七、</w:t>
      </w:r>
      <w:r>
        <w:rPr>
          <w:rFonts w:hint="eastAsia" w:ascii="宋体" w:hAnsi="宋体" w:eastAsia="宋体"/>
          <w:color w:val="auto"/>
          <w:sz w:val="22"/>
          <w:szCs w:val="16"/>
          <w:highlight w:val="none"/>
          <w:lang w:val="en-US" w:eastAsia="zh-CN"/>
        </w:rPr>
        <w:t>中标</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7.1采购代理机构在评标结束后2个工作日内将评标报告送采购人；</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7.2采购人在收到评标报告后5个工作日内，按照评标报告中推荐的中标候选人顺序确定中标人；</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7.3根据采购人确定的中标人，采购代理机构在采购人确定中标人之日起2个工作日内在</w:t>
      </w:r>
      <w:r>
        <w:rPr>
          <w:rFonts w:hint="eastAsia" w:ascii="宋体" w:hAnsi="宋体" w:cs="宋体"/>
          <w:color w:val="auto"/>
          <w:szCs w:val="21"/>
          <w:highlight w:val="none"/>
          <w:lang w:eastAsia="zh-CN"/>
        </w:rPr>
        <w:t>陕西省政府采购网</w:t>
      </w:r>
      <w:r>
        <w:rPr>
          <w:rFonts w:hint="eastAsia" w:ascii="宋体" w:hAnsi="宋体" w:cs="宋体"/>
          <w:color w:val="auto"/>
          <w:szCs w:val="21"/>
          <w:highlight w:val="none"/>
        </w:rPr>
        <w:t>上公告中标结果，同时向中标人发出中标通知书；</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7.4中标公告期限为1个工作日；</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7.5对未通过资格审查的投标人，采购代理机构应当告知其未通过的原因，以及未中标人的评审得分与排序；</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7.8中标通知书：</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7.8.1中标通知书为签订采购合同的依据，是合同的有效组成部分；</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7.8.2中标通知书对采购人和中标人均具有法律效力。中标通知书发出后，采购人改变中标结果，或者中标人无正当理由放弃中标的，应当承担相应的法律责任；</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7.8.3中标人的投标文件本应作为无效投标处理或者有采购相关法律法规规章制度规定的中标无效情形的，采购代理机构在取得有权主体的认定以后，应当宣布发出的中标通知书无效，并收回发出的中标通知书（中标人也应当</w:t>
      </w:r>
      <w:r>
        <w:rPr>
          <w:rFonts w:hint="eastAsia" w:ascii="宋体" w:hAnsi="宋体" w:cs="宋体"/>
          <w:color w:val="auto"/>
          <w:szCs w:val="21"/>
          <w:highlight w:val="none"/>
          <w:lang w:val="en-US" w:eastAsia="zh-CN"/>
        </w:rPr>
        <w:t>交</w:t>
      </w:r>
      <w:r>
        <w:rPr>
          <w:rFonts w:hint="eastAsia" w:ascii="宋体" w:hAnsi="宋体" w:cs="宋体"/>
          <w:color w:val="auto"/>
          <w:szCs w:val="21"/>
          <w:highlight w:val="none"/>
        </w:rPr>
        <w:t>回），依法重新确定中标人或者重新开展采购活动。</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7.9中标服务费</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见投标人须知前附表</w:t>
      </w:r>
      <w:r>
        <w:rPr>
          <w:rFonts w:hint="eastAsia" w:ascii="宋体" w:hAnsi="宋体" w:cs="宋体"/>
          <w:color w:val="auto"/>
          <w:szCs w:val="21"/>
          <w:highlight w:val="none"/>
        </w:rPr>
        <w:t>。</w:t>
      </w:r>
    </w:p>
    <w:p>
      <w:pPr>
        <w:pStyle w:val="4"/>
        <w:bidi w:val="0"/>
        <w:ind w:left="0" w:firstLine="0"/>
        <w:rPr>
          <w:rFonts w:hint="eastAsia" w:ascii="宋体" w:hAnsi="宋体" w:eastAsia="宋体"/>
          <w:color w:val="auto"/>
          <w:sz w:val="22"/>
          <w:szCs w:val="16"/>
          <w:highlight w:val="none"/>
          <w:lang w:val="en-US" w:eastAsia="zh-CN"/>
        </w:rPr>
      </w:pPr>
      <w:r>
        <w:rPr>
          <w:rFonts w:hint="eastAsia"/>
          <w:color w:val="auto"/>
          <w:sz w:val="22"/>
          <w:szCs w:val="16"/>
          <w:highlight w:val="none"/>
          <w:lang w:val="en-US" w:eastAsia="zh-CN"/>
        </w:rPr>
        <w:t>八、</w:t>
      </w:r>
      <w:r>
        <w:rPr>
          <w:rFonts w:hint="eastAsia" w:ascii="宋体" w:hAnsi="宋体" w:eastAsia="宋体"/>
          <w:color w:val="auto"/>
          <w:sz w:val="22"/>
          <w:szCs w:val="16"/>
          <w:highlight w:val="none"/>
          <w:lang w:val="en-US" w:eastAsia="zh-CN"/>
        </w:rPr>
        <w:t>合同授予</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8.1签订时间的约束</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自中标通知书发出之日起30日内，按照招标文件和中标人投标文件的规定，采购人应当与中标人签订书面合同。采购人不得违法改变中标结果，中标人无正当理由不得放弃中标。</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8.2签订内容的约束</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8.2.1所签订的合同不得对招标文件确定的事项和中标人投标文件作实质性修改，中标人应当严格接受招标文件和中标人投标文件的约束，不得对投标产品的名称、型号规格、数量、技术规格、配置、商务和招标文件要求的内容做实质性变动。采购人不得向中标人提出任何不合理的要求作为签订合同的条件。</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8.2.2政府采购合同应当包括采购人与中标人的名称和住所、标的、数量、质量、价款或者报酬、履行期限及地点和方式、验收要求、违约责任、解决争议的方法等内容。</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8.2.3采购人与中标人应当根据合同的约定依法履行合同义务。政府采购合同的履行、违约责任和解决争议的方法等适用《中华人民共和国民法典》。</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8.3合同履约的约束</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8.3.1货物必须符合招标文件规定的国家相关标准、行业标准、地方标准或者其他标准、规范；</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8.3.2货物必须符合招标文件规定的质量、安全、技术规格、物理特性等要求；</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8.3.3货物必须符合招标文件和中标人投标文件规定的数量、项目交付或者实施的时间和地点。</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8.3.4中标人需提供满足项目实施的货物的标准、期限、实现的效率等规定和措施；</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8.3.5中标人应当提供完成项目的计划方案、相关资料或借鉴完成类似项目的检验大纲等验收依据或者完备、合理和科学的验收标准，以及相关的其他技术、服务等支持；</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8.3.6中标人应当积极配合采购人及时对项目进行验收。或者必要时采购人可以邀请参加本项目的其他投标人或者第三方机构参与验收的配合。</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8.3.7对于中标人违反采购合同约定的行为，采购人应当及时处理，依法追究其违约责任。</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8.4合同签订事项</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8.4.1中标人在收到招标人发出的《中标通知书》后，应在规定的时间内与采购人签订采购合同。由于中标人的原因逾期未与采购人签订采购合同的，将视为放弃中标，取消其中标资格并将按相关规定进行处理。</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8.4.2采购人不得向中标人提出任何不合理的要求，作为签订合同的条件。中标人拒绝按照招标文件和投标文件签订合同的或者签订的合同对服务内容做出了实质性修改，采购人有权终止合同，并保留要求经济赔偿的权利。</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8.4.3中标人因不可抗力原因不能履行采购合同或放弃中标的，采购人可以与排在中标人之后第一位的中标候选人签订采购合同，以此类推。</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8.4.4中标人在合同签订之后三个工作日内，将签订的合同（</w:t>
      </w:r>
      <w:r>
        <w:rPr>
          <w:rFonts w:hint="eastAsia" w:ascii="宋体" w:hAnsi="宋体" w:cs="宋体"/>
          <w:color w:val="auto"/>
          <w:szCs w:val="21"/>
          <w:highlight w:val="none"/>
          <w:lang w:val="en-US" w:eastAsia="zh-CN"/>
        </w:rPr>
        <w:t>PDF扫描件或原件复印件</w:t>
      </w:r>
      <w:r>
        <w:rPr>
          <w:rFonts w:hint="eastAsia" w:ascii="宋体" w:hAnsi="宋体" w:cs="宋体"/>
          <w:color w:val="auto"/>
          <w:szCs w:val="21"/>
          <w:highlight w:val="none"/>
        </w:rPr>
        <w:t>）送采购代理机构留存。</w:t>
      </w:r>
    </w:p>
    <w:p>
      <w:pPr>
        <w:pStyle w:val="4"/>
        <w:bidi w:val="0"/>
        <w:ind w:left="0" w:firstLine="0"/>
        <w:rPr>
          <w:rFonts w:hint="eastAsia" w:ascii="宋体" w:hAnsi="宋体" w:eastAsia="宋体"/>
          <w:color w:val="auto"/>
          <w:sz w:val="22"/>
          <w:szCs w:val="16"/>
          <w:highlight w:val="none"/>
          <w:lang w:val="en-US" w:eastAsia="zh-CN"/>
        </w:rPr>
      </w:pPr>
      <w:r>
        <w:rPr>
          <w:rFonts w:hint="eastAsia"/>
          <w:color w:val="auto"/>
          <w:sz w:val="22"/>
          <w:szCs w:val="16"/>
          <w:highlight w:val="none"/>
          <w:lang w:val="en-US" w:eastAsia="zh-CN"/>
        </w:rPr>
        <w:t>九、</w:t>
      </w:r>
      <w:r>
        <w:rPr>
          <w:rFonts w:hint="eastAsia" w:ascii="宋体" w:hAnsi="宋体" w:eastAsia="宋体"/>
          <w:color w:val="auto"/>
          <w:sz w:val="22"/>
          <w:szCs w:val="16"/>
          <w:highlight w:val="none"/>
          <w:lang w:val="en-US" w:eastAsia="zh-CN"/>
        </w:rPr>
        <w:t>样品</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本次采购活动不要求提供样品。</w:t>
      </w:r>
    </w:p>
    <w:p>
      <w:pPr>
        <w:pStyle w:val="4"/>
        <w:bidi w:val="0"/>
        <w:ind w:left="0" w:firstLine="0"/>
        <w:rPr>
          <w:rFonts w:hint="eastAsia" w:ascii="宋体" w:hAnsi="宋体" w:eastAsia="宋体"/>
          <w:color w:val="auto"/>
          <w:sz w:val="22"/>
          <w:szCs w:val="16"/>
          <w:highlight w:val="none"/>
          <w:lang w:val="en-US" w:eastAsia="zh-CN"/>
        </w:rPr>
      </w:pPr>
      <w:r>
        <w:rPr>
          <w:rFonts w:hint="eastAsia"/>
          <w:color w:val="auto"/>
          <w:sz w:val="22"/>
          <w:szCs w:val="16"/>
          <w:highlight w:val="none"/>
          <w:lang w:val="en-US" w:eastAsia="zh-CN"/>
        </w:rPr>
        <w:t>十、</w:t>
      </w:r>
      <w:r>
        <w:rPr>
          <w:rFonts w:hint="eastAsia" w:ascii="宋体" w:hAnsi="宋体" w:eastAsia="宋体"/>
          <w:color w:val="auto"/>
          <w:sz w:val="22"/>
          <w:szCs w:val="16"/>
          <w:highlight w:val="none"/>
          <w:lang w:val="en-US" w:eastAsia="zh-CN"/>
        </w:rPr>
        <w:t>图纸</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本次采购活动</w:t>
      </w:r>
      <w:r>
        <w:rPr>
          <w:rFonts w:hint="eastAsia" w:ascii="宋体" w:hAnsi="宋体" w:cs="宋体"/>
          <w:color w:val="auto"/>
          <w:szCs w:val="21"/>
          <w:highlight w:val="none"/>
          <w:lang w:val="en-US" w:eastAsia="zh-CN"/>
        </w:rPr>
        <w:t>无图纸</w:t>
      </w:r>
      <w:r>
        <w:rPr>
          <w:rFonts w:hint="eastAsia" w:ascii="宋体" w:hAnsi="宋体" w:cs="宋体"/>
          <w:color w:val="auto"/>
          <w:szCs w:val="21"/>
          <w:highlight w:val="none"/>
        </w:rPr>
        <w:t>。</w:t>
      </w:r>
    </w:p>
    <w:p>
      <w:pPr>
        <w:pStyle w:val="4"/>
        <w:bidi w:val="0"/>
        <w:ind w:left="0" w:firstLine="0"/>
        <w:rPr>
          <w:rFonts w:hint="eastAsia" w:ascii="宋体" w:hAnsi="宋体" w:eastAsia="宋体"/>
          <w:color w:val="auto"/>
          <w:sz w:val="22"/>
          <w:szCs w:val="16"/>
          <w:highlight w:val="none"/>
          <w:lang w:val="en-US" w:eastAsia="zh-CN"/>
        </w:rPr>
      </w:pPr>
      <w:r>
        <w:rPr>
          <w:rFonts w:hint="eastAsia"/>
          <w:color w:val="auto"/>
          <w:sz w:val="22"/>
          <w:szCs w:val="16"/>
          <w:highlight w:val="none"/>
          <w:lang w:val="en-US" w:eastAsia="zh-CN"/>
        </w:rPr>
        <w:t>十一、</w:t>
      </w:r>
      <w:r>
        <w:rPr>
          <w:rFonts w:hint="eastAsia" w:ascii="宋体" w:hAnsi="宋体" w:eastAsia="宋体"/>
          <w:color w:val="auto"/>
          <w:sz w:val="22"/>
          <w:szCs w:val="16"/>
          <w:highlight w:val="none"/>
          <w:lang w:val="en-US" w:eastAsia="zh-CN"/>
        </w:rPr>
        <w:t>招标活动的终止</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采购代理机构在发布招标公告后，除因重大变故采购任务取消情况外，不得擅自终止招标活动。</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终止招标的，采购代理机构应当及时在原公告发布媒体上发布终止公告，以书面或电子邮件形式通知已获取招标文件的潜在投标人。</w:t>
      </w:r>
    </w:p>
    <w:p>
      <w:pPr>
        <w:pStyle w:val="4"/>
        <w:bidi w:val="0"/>
        <w:ind w:left="0" w:firstLine="0"/>
        <w:rPr>
          <w:rFonts w:hint="eastAsia" w:ascii="宋体" w:hAnsi="宋体" w:eastAsia="宋体"/>
          <w:color w:val="auto"/>
          <w:sz w:val="22"/>
          <w:szCs w:val="16"/>
          <w:highlight w:val="none"/>
          <w:lang w:val="en-US" w:eastAsia="zh-CN"/>
        </w:rPr>
      </w:pPr>
      <w:r>
        <w:rPr>
          <w:rFonts w:hint="eastAsia"/>
          <w:color w:val="auto"/>
          <w:sz w:val="22"/>
          <w:szCs w:val="16"/>
          <w:highlight w:val="none"/>
          <w:lang w:val="en-US" w:eastAsia="zh-CN"/>
        </w:rPr>
        <w:t>十二、</w:t>
      </w:r>
      <w:r>
        <w:rPr>
          <w:rFonts w:hint="eastAsia" w:ascii="宋体" w:hAnsi="宋体" w:eastAsia="宋体"/>
          <w:color w:val="auto"/>
          <w:sz w:val="22"/>
          <w:szCs w:val="16"/>
          <w:highlight w:val="none"/>
          <w:lang w:val="en-US" w:eastAsia="zh-CN"/>
        </w:rPr>
        <w:t>行贿与受贿约束</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投标人在获取招标文件后，在投标过程中不得向采购代理机构工作人员提供、赠予、给予等任何形式的有价物品，不得向采购人给予赠品、回扣或者与采购无关的其他商品、服务，坚决杜绝和抵制影响采购招标的正常决策行为。投标人一旦发生上述行为且证据明确，其投标资格被取消并承担相应法律责任。</w:t>
      </w:r>
    </w:p>
    <w:p>
      <w:pPr>
        <w:pStyle w:val="4"/>
        <w:bidi w:val="0"/>
        <w:ind w:left="0" w:firstLine="0"/>
        <w:rPr>
          <w:rFonts w:hint="eastAsia" w:ascii="宋体" w:hAnsi="宋体" w:eastAsia="宋体"/>
          <w:color w:val="auto"/>
          <w:sz w:val="22"/>
          <w:szCs w:val="16"/>
          <w:highlight w:val="none"/>
          <w:lang w:val="en-US" w:eastAsia="zh-CN"/>
        </w:rPr>
      </w:pPr>
      <w:r>
        <w:rPr>
          <w:rFonts w:hint="eastAsia"/>
          <w:color w:val="auto"/>
          <w:sz w:val="22"/>
          <w:szCs w:val="16"/>
          <w:highlight w:val="none"/>
          <w:lang w:val="en-US" w:eastAsia="zh-CN"/>
        </w:rPr>
        <w:t>十三、</w:t>
      </w:r>
      <w:r>
        <w:rPr>
          <w:rFonts w:hint="eastAsia" w:ascii="宋体" w:hAnsi="宋体" w:eastAsia="宋体"/>
          <w:color w:val="auto"/>
          <w:sz w:val="22"/>
          <w:szCs w:val="16"/>
          <w:highlight w:val="none"/>
          <w:lang w:val="en-US" w:eastAsia="zh-CN"/>
        </w:rPr>
        <w:t>投标人信用查询方法和途径</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13.1</w:t>
      </w:r>
      <w:r>
        <w:rPr>
          <w:rFonts w:hint="eastAsia" w:ascii="宋体" w:hAnsi="宋体" w:cs="宋体"/>
          <w:color w:val="auto"/>
          <w:szCs w:val="21"/>
          <w:highlight w:val="none"/>
        </w:rPr>
        <w:t>根据财政部《关于在政府采购活动中查询及使用信用记录有关问题的通知》（财库〔2016〕125号）第二条有关要求，采购人将在资格审查阶段通过【信用中国】（</w:t>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HYPERLINK "https://www.creditchina.gov.cn"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https://www.creditchina.gov.cn</w:t>
      </w:r>
      <w:r>
        <w:rPr>
          <w:rFonts w:hint="eastAsia" w:ascii="宋体" w:hAnsi="宋体" w:cs="宋体"/>
          <w:color w:val="auto"/>
          <w:szCs w:val="21"/>
          <w:highlight w:val="none"/>
        </w:rPr>
        <w:fldChar w:fldCharType="end"/>
      </w:r>
      <w:r>
        <w:rPr>
          <w:rFonts w:hint="eastAsia" w:ascii="宋体" w:hAnsi="宋体" w:cs="宋体"/>
          <w:color w:val="auto"/>
          <w:szCs w:val="21"/>
          <w:highlight w:val="none"/>
        </w:rPr>
        <w:t>/）和【中国政府采购网】（</w:t>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HYPERLINK "http://www.ccgp.gov.cn/"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http://www.ccgp.gov.cn/）</w:t>
      </w:r>
      <w:r>
        <w:rPr>
          <w:rFonts w:hint="eastAsia" w:ascii="宋体" w:hAnsi="宋体" w:cs="宋体"/>
          <w:color w:val="auto"/>
          <w:szCs w:val="21"/>
          <w:highlight w:val="none"/>
        </w:rPr>
        <w:fldChar w:fldCharType="end"/>
      </w:r>
      <w:r>
        <w:rPr>
          <w:rFonts w:hint="eastAsia" w:ascii="宋体" w:hAnsi="宋体" w:cs="宋体"/>
          <w:color w:val="auto"/>
          <w:szCs w:val="21"/>
          <w:highlight w:val="none"/>
        </w:rPr>
        <w:t>对供应商的信用情况进行甄别。</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13.2</w:t>
      </w:r>
      <w:r>
        <w:rPr>
          <w:rFonts w:hint="eastAsia" w:ascii="宋体" w:hAnsi="宋体" w:cs="宋体"/>
          <w:color w:val="auto"/>
          <w:szCs w:val="21"/>
          <w:highlight w:val="none"/>
        </w:rPr>
        <w:t>对列入失信被执行人、重大税收违法案件当事人名单、政府采购严重违法失信行为记录名单及其他不符合《中华人民共和国政府采购法》第二十二条规定条件的供应商，将拒绝其参与政府采购活动。</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13.3</w:t>
      </w:r>
      <w:r>
        <w:rPr>
          <w:rFonts w:hint="eastAsia" w:ascii="宋体" w:hAnsi="宋体" w:cs="宋体"/>
          <w:color w:val="auto"/>
          <w:szCs w:val="21"/>
          <w:highlight w:val="none"/>
        </w:rPr>
        <w:t>供应商在参加政府采购活动前3年内因违法经营被禁止在一定期限内参加政府采购活动，期限届满的，可以参加政府采购活动的，但供应商应提供相关证明材料。</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13.4</w:t>
      </w:r>
      <w:r>
        <w:rPr>
          <w:rFonts w:hint="eastAsia" w:ascii="宋体" w:hAnsi="宋体" w:cs="宋体"/>
          <w:color w:val="auto"/>
          <w:szCs w:val="21"/>
          <w:highlight w:val="none"/>
        </w:rPr>
        <w:t>信用记录查询结果打印后，将与其他采购文件一并保存。</w:t>
      </w:r>
    </w:p>
    <w:p>
      <w:pPr>
        <w:pStyle w:val="4"/>
        <w:bidi w:val="0"/>
        <w:ind w:left="0" w:firstLine="0"/>
        <w:rPr>
          <w:rFonts w:hint="eastAsia"/>
          <w:color w:val="auto"/>
          <w:sz w:val="22"/>
          <w:szCs w:val="16"/>
          <w:highlight w:val="none"/>
          <w:lang w:val="en-US" w:eastAsia="zh-CN"/>
        </w:rPr>
      </w:pPr>
      <w:r>
        <w:rPr>
          <w:rFonts w:hint="eastAsia"/>
          <w:color w:val="auto"/>
          <w:sz w:val="22"/>
          <w:szCs w:val="16"/>
          <w:highlight w:val="none"/>
          <w:lang w:val="en-US" w:eastAsia="zh-CN"/>
        </w:rPr>
        <w:t>十四、其他说明</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1、</w:t>
      </w:r>
      <w:r>
        <w:rPr>
          <w:rFonts w:hint="eastAsia" w:ascii="宋体" w:hAnsi="宋体" w:cs="宋体"/>
          <w:color w:val="auto"/>
          <w:kern w:val="0"/>
          <w:szCs w:val="21"/>
          <w:highlight w:val="none"/>
        </w:rPr>
        <w:t>投标人不得存在下列情形之一，否则</w:t>
      </w:r>
      <w:r>
        <w:rPr>
          <w:rFonts w:hint="eastAsia" w:ascii="宋体" w:hAnsi="宋体" w:cs="宋体"/>
          <w:color w:val="auto"/>
          <w:szCs w:val="21"/>
          <w:highlight w:val="none"/>
        </w:rPr>
        <w:t>其投标将被否决：</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（1）为招标人不具有独立法人资格的附属机构（单位）； </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（2）为本项目提供招标代理服务的； </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（3）被责令停业的； </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（4）被暂停或取消投标资格的； </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（5）财产被接管或冻结的；</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（6）在最近三年内有骗取中标或严重违约或重大质量问题的；</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（7）存在提供虚假的财务状况、业绩、虚假的信用状况等弄虚作假的行为；</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（8）不按评标委员会要求澄清、说明或补正的。</w:t>
      </w:r>
    </w:p>
    <w:p>
      <w:r>
        <w:br w:type="page"/>
      </w:r>
    </w:p>
    <w:p>
      <w:pPr>
        <w:spacing w:line="360" w:lineRule="auto"/>
        <w:ind w:firstLine="42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2、</w:t>
      </w:r>
      <w:r>
        <w:rPr>
          <w:rFonts w:hint="eastAsia" w:ascii="宋体" w:hAnsi="宋体" w:eastAsia="宋体" w:cs="宋体"/>
          <w:b/>
          <w:bCs/>
          <w:color w:val="auto"/>
          <w:sz w:val="24"/>
          <w:highlight w:val="none"/>
        </w:rPr>
        <w:t>政府采购信用担保及信用融资政策：</w:t>
      </w:r>
    </w:p>
    <w:p>
      <w:pPr>
        <w:widowControl/>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为支持和促进中小企业发展，进一步发挥政府采购政策功能作用，根据《财政部关于开展政府采购信用担保试点工作的通知》（财库（2011）124号），陕西省财政厅制订了《陕西省政府采购信用担保试点工作实施方案（试行）》及《陕西省中小企业政府采购信用融资办法》（陕财办采〔2018〕23号），为参与陕西省政府采购项目的供应商提供政府采购信用担保和融资服务，并按照程序确定了合作的担保机构和商业银行。</w:t>
      </w:r>
    </w:p>
    <w:p>
      <w:pPr>
        <w:widowControl/>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中标人如果需要融资贷款服务的，可凭中标通知书、政府采购合同等相关资料，按照文件规定的程序申请办理，具体规定可登陆陕西省政府采购网(www.ccgp-shaanxi.gov.cn/)重要通知专栏中查询了解。</w:t>
      </w:r>
    </w:p>
    <w:p>
      <w:pPr>
        <w:pStyle w:val="12"/>
        <w:ind w:left="0" w:leftChars="0" w:firstLine="0" w:firstLineChars="0"/>
      </w:pPr>
      <w:r>
        <w:rPr>
          <w:rFonts w:hint="eastAsia" w:ascii="楷体" w:hAnsi="楷体" w:eastAsia="楷体" w:cs="楷体"/>
          <w:color w:val="auto"/>
          <w:szCs w:val="21"/>
          <w:highlight w:val="none"/>
        </w:rPr>
        <w:drawing>
          <wp:inline distT="0" distB="0" distL="114300" distR="114300">
            <wp:extent cx="5786120" cy="4500245"/>
            <wp:effectExtent l="0" t="0" r="5080" b="1460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3"/>
                    <a:stretch>
                      <a:fillRect/>
                    </a:stretch>
                  </pic:blipFill>
                  <pic:spPr>
                    <a:xfrm>
                      <a:off x="0" y="0"/>
                      <a:ext cx="5786120" cy="4500245"/>
                    </a:xfrm>
                    <a:prstGeom prst="rect">
                      <a:avLst/>
                    </a:prstGeom>
                    <a:noFill/>
                    <a:ln>
                      <a:noFill/>
                    </a:ln>
                  </pic:spPr>
                </pic:pic>
              </a:graphicData>
            </a:graphic>
          </wp:inline>
        </w:drawing>
      </w:r>
    </w:p>
    <w:p>
      <w:pPr>
        <w:rPr>
          <w:rFonts w:ascii="宋体" w:hAnsi="宋体" w:cs="宋体"/>
          <w:color w:val="auto"/>
          <w:sz w:val="24"/>
          <w:highlight w:val="none"/>
        </w:rPr>
      </w:pPr>
      <w:r>
        <w:rPr>
          <w:rFonts w:hint="eastAsia" w:ascii="宋体" w:hAnsi="宋体" w:cs="宋体"/>
          <w:color w:val="auto"/>
          <w:sz w:val="24"/>
          <w:highlight w:val="none"/>
        </w:rPr>
        <w:br w:type="page"/>
      </w:r>
    </w:p>
    <w:p>
      <w:pPr>
        <w:spacing w:line="360" w:lineRule="auto"/>
        <w:jc w:val="center"/>
        <w:outlineLvl w:val="0"/>
        <w:rPr>
          <w:rFonts w:ascii="宋体" w:hAnsi="宋体"/>
          <w:b/>
          <w:color w:val="auto"/>
          <w:kern w:val="44"/>
          <w:sz w:val="32"/>
          <w:highlight w:val="none"/>
        </w:rPr>
      </w:pPr>
      <w:bookmarkStart w:id="53" w:name="_Toc23925"/>
      <w:bookmarkStart w:id="54" w:name="_Toc20329"/>
      <w:bookmarkStart w:id="55" w:name="_Toc19517"/>
      <w:r>
        <w:rPr>
          <w:rFonts w:ascii="宋体" w:hAnsi="宋体"/>
          <w:b/>
          <w:color w:val="auto"/>
          <w:kern w:val="44"/>
          <w:sz w:val="32"/>
          <w:highlight w:val="none"/>
        </w:rPr>
        <w:t>第</w:t>
      </w:r>
      <w:r>
        <w:rPr>
          <w:rFonts w:hint="eastAsia" w:ascii="宋体" w:hAnsi="宋体"/>
          <w:b/>
          <w:color w:val="auto"/>
          <w:kern w:val="44"/>
          <w:sz w:val="32"/>
          <w:highlight w:val="none"/>
        </w:rPr>
        <w:t>三</w:t>
      </w:r>
      <w:r>
        <w:rPr>
          <w:rFonts w:ascii="宋体" w:hAnsi="宋体"/>
          <w:b/>
          <w:color w:val="auto"/>
          <w:kern w:val="44"/>
          <w:sz w:val="32"/>
          <w:highlight w:val="none"/>
        </w:rPr>
        <w:t>章  评标标准及方法</w:t>
      </w:r>
      <w:bookmarkEnd w:id="53"/>
      <w:bookmarkEnd w:id="54"/>
      <w:bookmarkEnd w:id="55"/>
    </w:p>
    <w:p>
      <w:pPr>
        <w:pStyle w:val="4"/>
        <w:spacing w:before="78" w:after="78"/>
        <w:rPr>
          <w:rFonts w:hint="eastAsia" w:ascii="宋体" w:hAnsi="宋体"/>
          <w:color w:val="auto"/>
          <w:highlight w:val="none"/>
        </w:rPr>
      </w:pPr>
      <w:bookmarkStart w:id="56" w:name="_Toc29875"/>
      <w:bookmarkStart w:id="57" w:name="_Toc363463332"/>
      <w:r>
        <w:rPr>
          <w:rFonts w:hint="eastAsia" w:ascii="宋体" w:hAnsi="宋体"/>
          <w:color w:val="auto"/>
          <w:highlight w:val="none"/>
        </w:rPr>
        <w:t>一</w:t>
      </w:r>
      <w:r>
        <w:rPr>
          <w:rFonts w:hint="eastAsia"/>
          <w:color w:val="auto"/>
          <w:highlight w:val="none"/>
          <w:lang w:eastAsia="zh-CN"/>
        </w:rPr>
        <w:t>、</w:t>
      </w:r>
      <w:r>
        <w:rPr>
          <w:rFonts w:hint="eastAsia" w:ascii="宋体" w:hAnsi="宋体"/>
          <w:color w:val="auto"/>
          <w:highlight w:val="none"/>
        </w:rPr>
        <w:t>评标方法</w:t>
      </w:r>
      <w:bookmarkEnd w:id="56"/>
      <w:bookmarkEnd w:id="57"/>
    </w:p>
    <w:p>
      <w:pPr>
        <w:spacing w:line="360" w:lineRule="auto"/>
        <w:ind w:firstLine="420" w:firstLineChars="200"/>
        <w:rPr>
          <w:rFonts w:ascii="宋体" w:hAnsi="宋体" w:cs="宋体"/>
          <w:bCs/>
          <w:color w:val="auto"/>
          <w:sz w:val="21"/>
          <w:szCs w:val="21"/>
          <w:highlight w:val="none"/>
        </w:rPr>
      </w:pPr>
      <w:r>
        <w:rPr>
          <w:rFonts w:hint="eastAsia" w:ascii="宋体" w:hAnsi="宋体"/>
          <w:color w:val="auto"/>
          <w:sz w:val="21"/>
          <w:szCs w:val="21"/>
          <w:highlight w:val="none"/>
        </w:rPr>
        <w:t>按照《中华人民共和国政府采购法》、《中华人民共和国政府采购法实施条例》和《政府采购服务和服务招标投标管理办法》</w:t>
      </w:r>
      <w:r>
        <w:rPr>
          <w:rFonts w:hint="eastAsia" w:ascii="宋体" w:hAnsi="宋体"/>
          <w:color w:val="auto"/>
          <w:sz w:val="21"/>
          <w:szCs w:val="21"/>
          <w:highlight w:val="none"/>
          <w:lang w:eastAsia="zh-CN"/>
        </w:rPr>
        <w:t>（</w:t>
      </w:r>
      <w:r>
        <w:rPr>
          <w:rFonts w:hint="eastAsia" w:ascii="宋体" w:hAnsi="宋体"/>
          <w:color w:val="auto"/>
          <w:sz w:val="21"/>
          <w:szCs w:val="21"/>
          <w:highlight w:val="none"/>
        </w:rPr>
        <w:t>第87号令</w:t>
      </w:r>
      <w:r>
        <w:rPr>
          <w:rFonts w:hint="eastAsia" w:ascii="宋体" w:hAnsi="宋体"/>
          <w:color w:val="auto"/>
          <w:sz w:val="21"/>
          <w:szCs w:val="21"/>
          <w:highlight w:val="none"/>
          <w:lang w:eastAsia="zh-CN"/>
        </w:rPr>
        <w:t>）</w:t>
      </w:r>
      <w:r>
        <w:rPr>
          <w:rFonts w:hint="eastAsia" w:ascii="宋体" w:hAnsi="宋体"/>
          <w:color w:val="auto"/>
          <w:sz w:val="21"/>
          <w:szCs w:val="21"/>
          <w:highlight w:val="none"/>
        </w:rPr>
        <w:t>的规定，本次评标采用综合评分法--投标文件满足招标文件全部实质性要求，且按照评审因素的量化指标评审得分最高的投标人为中标候选人。（最低报价不是中标的唯一标准）。</w:t>
      </w:r>
    </w:p>
    <w:p>
      <w:pPr>
        <w:pStyle w:val="4"/>
        <w:spacing w:before="78" w:after="78"/>
        <w:rPr>
          <w:rFonts w:hint="eastAsia" w:ascii="宋体" w:hAnsi="宋体"/>
          <w:color w:val="auto"/>
          <w:highlight w:val="none"/>
          <w:lang w:val="en-US" w:eastAsia="zh-CN"/>
        </w:rPr>
      </w:pPr>
      <w:bookmarkStart w:id="58" w:name="_Toc30213"/>
      <w:r>
        <w:rPr>
          <w:rFonts w:hint="eastAsia" w:ascii="宋体" w:hAnsi="宋体"/>
          <w:color w:val="auto"/>
          <w:highlight w:val="none"/>
          <w:lang w:val="en-US" w:eastAsia="zh-CN"/>
        </w:rPr>
        <w:t>二</w:t>
      </w:r>
      <w:r>
        <w:rPr>
          <w:rFonts w:hint="eastAsia"/>
          <w:color w:val="auto"/>
          <w:highlight w:val="none"/>
          <w:lang w:val="en-US" w:eastAsia="zh-CN"/>
        </w:rPr>
        <w:t>、</w:t>
      </w:r>
      <w:r>
        <w:rPr>
          <w:rFonts w:hint="eastAsia" w:ascii="宋体" w:hAnsi="宋体"/>
          <w:color w:val="auto"/>
          <w:highlight w:val="none"/>
          <w:lang w:val="en-US" w:eastAsia="zh-CN"/>
        </w:rPr>
        <w:t>资格性审查</w:t>
      </w:r>
      <w:bookmarkEnd w:id="58"/>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资格评审标准：开标结束后，采购人或者采购代理机构应当依法对投标人的资格进行审查。合格投标人不足三家的，不得评标。</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审查内容出现任何一项不符合，按无效响应处理。资格审查内容如下：</w:t>
      </w:r>
    </w:p>
    <w:tbl>
      <w:tblPr>
        <w:tblStyle w:val="23"/>
        <w:tblW w:w="9018" w:type="dxa"/>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0"/>
        <w:gridCol w:w="5723"/>
        <w:gridCol w:w="25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00" w:type="dxa"/>
            <w:noWrap w:val="0"/>
            <w:vAlign w:val="center"/>
          </w:tcPr>
          <w:p>
            <w:pPr>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序号</w:t>
            </w:r>
          </w:p>
        </w:tc>
        <w:tc>
          <w:tcPr>
            <w:tcW w:w="5723" w:type="dxa"/>
            <w:noWrap w:val="0"/>
            <w:vAlign w:val="center"/>
          </w:tcPr>
          <w:p>
            <w:pPr>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审查内容</w:t>
            </w:r>
          </w:p>
        </w:tc>
        <w:tc>
          <w:tcPr>
            <w:tcW w:w="2595" w:type="dxa"/>
            <w:noWrap w:val="0"/>
            <w:vAlign w:val="center"/>
          </w:tcPr>
          <w:p>
            <w:pPr>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审查标准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00"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5723"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法人或者其他组织的营业执照等复印件加盖投标人公章，</w:t>
            </w:r>
            <w:r>
              <w:rPr>
                <w:rFonts w:hint="eastAsia" w:ascii="宋体" w:hAnsi="宋体" w:cs="宋体"/>
                <w:color w:val="auto"/>
                <w:kern w:val="0"/>
                <w:sz w:val="21"/>
                <w:szCs w:val="21"/>
                <w:highlight w:val="none"/>
                <w:lang w:eastAsia="zh-CN"/>
              </w:rPr>
              <w:t>自然人提供本人身份证</w:t>
            </w:r>
            <w:r>
              <w:rPr>
                <w:rFonts w:hint="eastAsia" w:ascii="宋体" w:hAnsi="宋体" w:cs="宋体"/>
                <w:color w:val="auto"/>
                <w:kern w:val="0"/>
                <w:sz w:val="21"/>
                <w:szCs w:val="21"/>
                <w:highlight w:val="none"/>
              </w:rPr>
              <w:t>；</w:t>
            </w:r>
          </w:p>
        </w:tc>
        <w:tc>
          <w:tcPr>
            <w:tcW w:w="2595"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符合招标文件要求，通过。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00"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w:t>
            </w:r>
          </w:p>
        </w:tc>
        <w:tc>
          <w:tcPr>
            <w:tcW w:w="5723"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eastAsia="zh-CN"/>
              </w:rPr>
              <w:t>提供法定代表人授权委托书</w:t>
            </w:r>
            <w:r>
              <w:rPr>
                <w:rFonts w:hint="eastAsia" w:ascii="宋体" w:hAnsi="宋体" w:cs="宋体"/>
                <w:color w:val="auto"/>
                <w:kern w:val="0"/>
                <w:sz w:val="21"/>
                <w:szCs w:val="21"/>
                <w:highlight w:val="none"/>
              </w:rPr>
              <w:t>并附</w:t>
            </w:r>
            <w:r>
              <w:rPr>
                <w:rFonts w:hint="eastAsia" w:ascii="宋体" w:hAnsi="宋体" w:cs="宋体"/>
                <w:color w:val="auto"/>
                <w:kern w:val="0"/>
                <w:sz w:val="21"/>
                <w:szCs w:val="21"/>
                <w:highlight w:val="none"/>
                <w:lang w:val="en-US" w:eastAsia="zh-CN"/>
              </w:rPr>
              <w:t>法定代表人</w:t>
            </w:r>
            <w:r>
              <w:rPr>
                <w:rFonts w:hint="eastAsia" w:ascii="宋体" w:hAnsi="宋体" w:cs="宋体"/>
                <w:color w:val="auto"/>
                <w:kern w:val="0"/>
                <w:sz w:val="21"/>
                <w:szCs w:val="21"/>
                <w:highlight w:val="none"/>
              </w:rPr>
              <w:t>及授权人代表身份证复印件并依照规定格式签署和盖章，法定代表人参加投标的提供身份证复印件；</w:t>
            </w:r>
          </w:p>
        </w:tc>
        <w:tc>
          <w:tcPr>
            <w:tcW w:w="2595"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符合招标文件要求，通过。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00"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w:t>
            </w:r>
          </w:p>
        </w:tc>
        <w:tc>
          <w:tcPr>
            <w:tcW w:w="5723" w:type="dxa"/>
            <w:noWrap w:val="0"/>
            <w:vAlign w:val="center"/>
          </w:tcPr>
          <w:p>
            <w:pPr>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lang w:eastAsia="zh-CN"/>
              </w:rPr>
              <w:t>提供2022年度经审计的财务报告，或投标截止时间前6个月内任意时段的资产负债表，或投标截止时间前6个月内任意时间由基本开户银行出具的资信证明，或财政部门认可的政府采购专业担保机构出具的投标担保函。（以上四种形式的资料提供任何一种即可）</w:t>
            </w:r>
          </w:p>
        </w:tc>
        <w:tc>
          <w:tcPr>
            <w:tcW w:w="2595"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符合招标文件要求，通过。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0"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4</w:t>
            </w:r>
          </w:p>
        </w:tc>
        <w:tc>
          <w:tcPr>
            <w:tcW w:w="5723"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eastAsia="zh-CN"/>
              </w:rPr>
              <w:t>提供自投标截止时间前6个月内已缴纳任意时段完税凭证或税务机关开具的完税证明（任意税种）；依法免税的应提供相关文件证明</w:t>
            </w:r>
            <w:r>
              <w:rPr>
                <w:rFonts w:hint="eastAsia" w:ascii="宋体" w:hAnsi="宋体" w:cs="宋体"/>
                <w:color w:val="auto"/>
                <w:kern w:val="0"/>
                <w:sz w:val="21"/>
                <w:szCs w:val="21"/>
                <w:highlight w:val="none"/>
              </w:rPr>
              <w:t>；</w:t>
            </w:r>
          </w:p>
        </w:tc>
        <w:tc>
          <w:tcPr>
            <w:tcW w:w="2595"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符合招标文件要求，通过。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700"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5</w:t>
            </w:r>
          </w:p>
        </w:tc>
        <w:tc>
          <w:tcPr>
            <w:tcW w:w="5723" w:type="dxa"/>
            <w:noWrap w:val="0"/>
            <w:vAlign w:val="center"/>
          </w:tcPr>
          <w:p>
            <w:pPr>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lang w:eastAsia="zh-CN"/>
              </w:rPr>
              <w:t>提供自投标截止时间前6个月内已缴存的任意时段的社会保障资金缴存单据或社保机构开具的社会保险参保缴费情况证明；依法不需要缴纳社会保障资金的应提供相关文件证明；</w:t>
            </w:r>
          </w:p>
        </w:tc>
        <w:tc>
          <w:tcPr>
            <w:tcW w:w="2595"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符合招标文件要求，通过。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00"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6</w:t>
            </w:r>
          </w:p>
        </w:tc>
        <w:tc>
          <w:tcPr>
            <w:tcW w:w="5723"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具备履行合同所必需的设备和专业技术能力的书面声明，格式自拟；</w:t>
            </w:r>
          </w:p>
        </w:tc>
        <w:tc>
          <w:tcPr>
            <w:tcW w:w="2595"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符合招标文件要求，通过。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00"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7</w:t>
            </w:r>
          </w:p>
        </w:tc>
        <w:tc>
          <w:tcPr>
            <w:tcW w:w="5723"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参加政府采购活动前3年内在经营活动中没有重大违法记录的书面声明，格式自拟；</w:t>
            </w:r>
          </w:p>
        </w:tc>
        <w:tc>
          <w:tcPr>
            <w:tcW w:w="2595"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符合招标文件要求，通过。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00"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8</w:t>
            </w:r>
          </w:p>
        </w:tc>
        <w:tc>
          <w:tcPr>
            <w:tcW w:w="5723"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信用查询</w:t>
            </w:r>
          </w:p>
        </w:tc>
        <w:tc>
          <w:tcPr>
            <w:tcW w:w="2595" w:type="dxa"/>
            <w:noWrap w:val="0"/>
            <w:vAlign w:val="center"/>
          </w:tcPr>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符合招标文件要求，通过。</w:t>
            </w:r>
          </w:p>
        </w:tc>
      </w:tr>
    </w:tbl>
    <w:p>
      <w:pPr>
        <w:pStyle w:val="4"/>
        <w:spacing w:before="78" w:after="78"/>
        <w:rPr>
          <w:rFonts w:hint="eastAsia" w:ascii="宋体" w:hAnsi="宋体"/>
          <w:color w:val="auto"/>
          <w:highlight w:val="none"/>
          <w:lang w:val="en-US" w:eastAsia="zh-CN"/>
        </w:rPr>
      </w:pPr>
      <w:bookmarkStart w:id="59" w:name="_Toc52064327"/>
      <w:bookmarkStart w:id="60" w:name="_Toc52064870"/>
      <w:bookmarkStart w:id="61" w:name="_Toc48301729"/>
      <w:bookmarkStart w:id="62" w:name="_Toc25772"/>
      <w:r>
        <w:rPr>
          <w:rFonts w:hint="eastAsia" w:ascii="宋体" w:hAnsi="宋体"/>
          <w:color w:val="auto"/>
          <w:highlight w:val="none"/>
          <w:lang w:val="en-US" w:eastAsia="zh-CN"/>
        </w:rPr>
        <w:t>三</w:t>
      </w:r>
      <w:r>
        <w:rPr>
          <w:rFonts w:hint="eastAsia"/>
          <w:color w:val="auto"/>
          <w:highlight w:val="none"/>
          <w:lang w:val="en-US" w:eastAsia="zh-CN"/>
        </w:rPr>
        <w:t>、</w:t>
      </w:r>
      <w:r>
        <w:rPr>
          <w:rFonts w:hint="eastAsia" w:ascii="宋体" w:hAnsi="宋体"/>
          <w:color w:val="auto"/>
          <w:highlight w:val="none"/>
          <w:lang w:val="en-US" w:eastAsia="zh-CN"/>
        </w:rPr>
        <w:t>评标</w:t>
      </w:r>
      <w:bookmarkEnd w:id="59"/>
      <w:bookmarkEnd w:id="60"/>
      <w:bookmarkEnd w:id="61"/>
      <w:bookmarkEnd w:id="62"/>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（一）采购代理机构负责组织评标工作，并履行下列职责：</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1、核对评审专家身份和采购人对采购人代表授权函，对评审专家在政府采购活动重的职责履行情况予以记录，并及时将有关违法违规行为向财政部门报告；</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2、宣布评标纪律；</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3、公布投标人名单，告知评审专家应当回避的情形；</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4、组织评审委员会推选评标组长；</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5、在评标期间采取必要的通讯管理措施，保证评标活动不受外界干扰；</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6、根据评标委员会的要求介绍政府采购相关法规和招标文件规定及要求；</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7、维护评标秩序，监督评标委员会依照招标文件规定的评标程序、方法和标准进行独立评审，及时制止和纠正采购人代表、评审专家的倾向性言论或者违法违规行为；</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8、核对评标结果；</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9、处理与评标有关的其他事项。</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（二）评标委员会由采购人代表和评审专家组成，于开标之前抽取。</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（三）评标委员会负责具体评标事务，并独立履行下列职责：</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1、通过符合性审查，审查、评价投标文件是否符合招标文件要求的完整性、签署和盖章，以及是否满足商务、技术实质性要求。</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w:t>
      </w:r>
      <w:r>
        <w:rPr>
          <w:rFonts w:hint="eastAsia" w:ascii="宋体" w:hAnsi="宋体"/>
          <w:color w:val="auto"/>
          <w:sz w:val="21"/>
          <w:szCs w:val="21"/>
          <w:highlight w:val="none"/>
          <w:lang w:val="en-US" w:eastAsia="zh-CN"/>
        </w:rPr>
        <w:t>评标委员会应当对符合资格的投标人的投标文件进行符合性审查，以确定其是否满足招标文件的实质性要求。</w:t>
      </w:r>
      <w:r>
        <w:rPr>
          <w:rFonts w:hint="eastAsia" w:ascii="宋体" w:hAnsi="宋体"/>
          <w:color w:val="auto"/>
          <w:sz w:val="21"/>
          <w:szCs w:val="21"/>
          <w:highlight w:val="none"/>
        </w:rPr>
        <w:t>审查内容出现任何一项不符合，按无效响应处理。符合性审查内容如下：</w:t>
      </w:r>
    </w:p>
    <w:tbl>
      <w:tblPr>
        <w:tblStyle w:val="23"/>
        <w:tblW w:w="950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670"/>
        <w:gridCol w:w="30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7" w:type="dxa"/>
            <w:noWrap w:val="0"/>
            <w:vAlign w:val="center"/>
          </w:tcPr>
          <w:p>
            <w:pPr>
              <w:spacing w:line="360" w:lineRule="auto"/>
              <w:jc w:val="left"/>
              <w:rPr>
                <w:rFonts w:hint="eastAsia" w:ascii="宋体" w:hAnsi="宋体"/>
                <w:color w:val="auto"/>
                <w:sz w:val="21"/>
                <w:szCs w:val="21"/>
                <w:highlight w:val="none"/>
              </w:rPr>
            </w:pPr>
            <w:r>
              <w:rPr>
                <w:rFonts w:hint="eastAsia" w:ascii="宋体" w:hAnsi="宋体"/>
                <w:color w:val="auto"/>
                <w:sz w:val="21"/>
                <w:szCs w:val="21"/>
                <w:highlight w:val="none"/>
              </w:rPr>
              <w:t>序号</w:t>
            </w:r>
          </w:p>
        </w:tc>
        <w:tc>
          <w:tcPr>
            <w:tcW w:w="5670" w:type="dxa"/>
            <w:noWrap w:val="0"/>
            <w:vAlign w:val="center"/>
          </w:tcPr>
          <w:p>
            <w:pPr>
              <w:spacing w:line="360" w:lineRule="auto"/>
              <w:jc w:val="left"/>
              <w:rPr>
                <w:rFonts w:hint="eastAsia" w:ascii="宋体" w:hAnsi="宋体"/>
                <w:color w:val="auto"/>
                <w:sz w:val="21"/>
                <w:szCs w:val="21"/>
                <w:highlight w:val="none"/>
              </w:rPr>
            </w:pPr>
            <w:r>
              <w:rPr>
                <w:rFonts w:hint="eastAsia" w:ascii="宋体" w:hAnsi="宋体"/>
                <w:color w:val="auto"/>
                <w:sz w:val="21"/>
                <w:szCs w:val="21"/>
                <w:highlight w:val="none"/>
              </w:rPr>
              <w:t>审查内容</w:t>
            </w:r>
          </w:p>
        </w:tc>
        <w:tc>
          <w:tcPr>
            <w:tcW w:w="3017" w:type="dxa"/>
            <w:noWrap w:val="0"/>
            <w:vAlign w:val="center"/>
          </w:tcPr>
          <w:p>
            <w:pPr>
              <w:spacing w:line="360" w:lineRule="auto"/>
              <w:jc w:val="left"/>
              <w:rPr>
                <w:rFonts w:hint="eastAsia" w:ascii="宋体" w:hAnsi="宋体"/>
                <w:color w:val="auto"/>
                <w:sz w:val="21"/>
                <w:szCs w:val="21"/>
                <w:highlight w:val="none"/>
              </w:rPr>
            </w:pPr>
            <w:r>
              <w:rPr>
                <w:rFonts w:hint="eastAsia" w:ascii="宋体" w:hAnsi="宋体"/>
                <w:color w:val="auto"/>
                <w:sz w:val="21"/>
                <w:szCs w:val="21"/>
                <w:highlight w:val="none"/>
              </w:rPr>
              <w:t>审查标准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7" w:type="dxa"/>
            <w:noWrap w:val="0"/>
            <w:vAlign w:val="center"/>
          </w:tcPr>
          <w:p>
            <w:pPr>
              <w:spacing w:line="360" w:lineRule="auto"/>
              <w:jc w:val="center"/>
              <w:rPr>
                <w:rFonts w:hint="eastAsia" w:ascii="宋体" w:hAnsi="宋体"/>
                <w:color w:val="auto"/>
                <w:sz w:val="21"/>
                <w:szCs w:val="21"/>
                <w:highlight w:val="none"/>
              </w:rPr>
            </w:pPr>
            <w:r>
              <w:rPr>
                <w:rFonts w:hint="eastAsia" w:ascii="宋体" w:hAnsi="宋体"/>
                <w:color w:val="auto"/>
                <w:sz w:val="21"/>
                <w:szCs w:val="21"/>
                <w:highlight w:val="none"/>
              </w:rPr>
              <w:t>1</w:t>
            </w:r>
          </w:p>
        </w:tc>
        <w:tc>
          <w:tcPr>
            <w:tcW w:w="56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color w:val="auto"/>
                <w:sz w:val="21"/>
                <w:szCs w:val="21"/>
                <w:highlight w:val="none"/>
              </w:rPr>
            </w:pPr>
            <w:r>
              <w:rPr>
                <w:rFonts w:hint="eastAsia" w:ascii="宋体" w:hAnsi="宋体"/>
                <w:color w:val="auto"/>
                <w:sz w:val="21"/>
                <w:szCs w:val="21"/>
                <w:highlight w:val="none"/>
                <w:lang w:val="en-US" w:eastAsia="zh-CN"/>
              </w:rPr>
              <w:t>是否</w:t>
            </w:r>
            <w:r>
              <w:rPr>
                <w:rFonts w:hint="eastAsia" w:ascii="宋体" w:hAnsi="宋体"/>
                <w:color w:val="auto"/>
                <w:sz w:val="21"/>
                <w:szCs w:val="21"/>
                <w:highlight w:val="none"/>
              </w:rPr>
              <w:t>按照招标文件要求和格式编制投标文件，数量符合。</w:t>
            </w:r>
          </w:p>
        </w:tc>
        <w:tc>
          <w:tcPr>
            <w:tcW w:w="30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color w:val="auto"/>
                <w:sz w:val="21"/>
                <w:szCs w:val="21"/>
                <w:highlight w:val="none"/>
              </w:rPr>
            </w:pPr>
            <w:r>
              <w:rPr>
                <w:rFonts w:hint="eastAsia" w:ascii="宋体" w:hAnsi="宋体"/>
                <w:color w:val="auto"/>
                <w:sz w:val="21"/>
                <w:szCs w:val="21"/>
                <w:highlight w:val="none"/>
              </w:rPr>
              <w:t>符合招标文件要求，通过。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7" w:type="dxa"/>
            <w:noWrap w:val="0"/>
            <w:vAlign w:val="center"/>
          </w:tcPr>
          <w:p>
            <w:pPr>
              <w:spacing w:line="360" w:lineRule="auto"/>
              <w:jc w:val="center"/>
              <w:rPr>
                <w:rFonts w:hint="eastAsia" w:ascii="宋体" w:hAnsi="宋体"/>
                <w:color w:val="auto"/>
                <w:sz w:val="21"/>
                <w:szCs w:val="21"/>
                <w:highlight w:val="none"/>
              </w:rPr>
            </w:pPr>
            <w:r>
              <w:rPr>
                <w:rFonts w:hint="eastAsia" w:ascii="宋体" w:hAnsi="宋体"/>
                <w:color w:val="auto"/>
                <w:sz w:val="21"/>
                <w:szCs w:val="21"/>
                <w:highlight w:val="none"/>
              </w:rPr>
              <w:t>2</w:t>
            </w:r>
          </w:p>
        </w:tc>
        <w:tc>
          <w:tcPr>
            <w:tcW w:w="56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color w:val="auto"/>
                <w:sz w:val="21"/>
                <w:szCs w:val="21"/>
                <w:highlight w:val="none"/>
              </w:rPr>
            </w:pPr>
            <w:r>
              <w:rPr>
                <w:rFonts w:hint="eastAsia" w:ascii="宋体" w:hAnsi="宋体"/>
                <w:color w:val="auto"/>
                <w:sz w:val="21"/>
                <w:szCs w:val="21"/>
                <w:highlight w:val="none"/>
              </w:rPr>
              <w:t>投标文件的签署、加盖印章是否合格、有效。</w:t>
            </w:r>
          </w:p>
        </w:tc>
        <w:tc>
          <w:tcPr>
            <w:tcW w:w="30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color w:val="auto"/>
                <w:sz w:val="21"/>
                <w:szCs w:val="21"/>
                <w:highlight w:val="none"/>
              </w:rPr>
            </w:pPr>
            <w:r>
              <w:rPr>
                <w:rFonts w:hint="eastAsia" w:ascii="宋体" w:hAnsi="宋体"/>
                <w:color w:val="auto"/>
                <w:sz w:val="21"/>
                <w:szCs w:val="21"/>
                <w:highlight w:val="none"/>
              </w:rPr>
              <w:t>符合招标文件要求，通过。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7" w:type="dxa"/>
            <w:noWrap w:val="0"/>
            <w:vAlign w:val="center"/>
          </w:tcPr>
          <w:p>
            <w:pPr>
              <w:spacing w:line="360" w:lineRule="auto"/>
              <w:jc w:val="center"/>
              <w:rPr>
                <w:rFonts w:hint="eastAsia" w:ascii="宋体" w:hAnsi="宋体"/>
                <w:color w:val="auto"/>
                <w:sz w:val="21"/>
                <w:szCs w:val="21"/>
                <w:highlight w:val="none"/>
              </w:rPr>
            </w:pPr>
            <w:r>
              <w:rPr>
                <w:rFonts w:hint="eastAsia" w:ascii="宋体" w:hAnsi="宋体"/>
                <w:color w:val="auto"/>
                <w:sz w:val="21"/>
                <w:szCs w:val="21"/>
                <w:highlight w:val="none"/>
              </w:rPr>
              <w:t>3</w:t>
            </w:r>
          </w:p>
        </w:tc>
        <w:tc>
          <w:tcPr>
            <w:tcW w:w="56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color w:val="auto"/>
                <w:sz w:val="21"/>
                <w:szCs w:val="21"/>
                <w:highlight w:val="none"/>
              </w:rPr>
            </w:pPr>
            <w:r>
              <w:rPr>
                <w:rFonts w:hint="eastAsia" w:ascii="宋体" w:hAnsi="宋体"/>
                <w:color w:val="auto"/>
                <w:sz w:val="21"/>
                <w:szCs w:val="21"/>
                <w:highlight w:val="none"/>
              </w:rPr>
              <w:t>投标有效期</w:t>
            </w:r>
            <w:r>
              <w:rPr>
                <w:rFonts w:hint="eastAsia" w:ascii="宋体" w:hAnsi="宋体"/>
                <w:color w:val="auto"/>
                <w:sz w:val="21"/>
                <w:szCs w:val="21"/>
                <w:highlight w:val="none"/>
                <w:lang w:val="en-US" w:eastAsia="zh-CN"/>
              </w:rPr>
              <w:t>是否</w:t>
            </w:r>
            <w:r>
              <w:rPr>
                <w:rFonts w:hint="eastAsia" w:ascii="宋体" w:hAnsi="宋体"/>
                <w:color w:val="auto"/>
                <w:sz w:val="21"/>
                <w:szCs w:val="21"/>
                <w:highlight w:val="none"/>
              </w:rPr>
              <w:t>符合招标文件要求。</w:t>
            </w:r>
          </w:p>
        </w:tc>
        <w:tc>
          <w:tcPr>
            <w:tcW w:w="30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color w:val="auto"/>
                <w:sz w:val="21"/>
                <w:szCs w:val="21"/>
                <w:highlight w:val="none"/>
              </w:rPr>
            </w:pPr>
            <w:r>
              <w:rPr>
                <w:rFonts w:hint="eastAsia" w:ascii="宋体" w:hAnsi="宋体"/>
                <w:color w:val="auto"/>
                <w:sz w:val="21"/>
                <w:szCs w:val="21"/>
                <w:highlight w:val="none"/>
              </w:rPr>
              <w:t>符合招标文件要求，通过。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7" w:type="dxa"/>
            <w:noWrap w:val="0"/>
            <w:vAlign w:val="center"/>
          </w:tcPr>
          <w:p>
            <w:pPr>
              <w:spacing w:line="360" w:lineRule="auto"/>
              <w:jc w:val="center"/>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val="en-US" w:eastAsia="zh-CN"/>
              </w:rPr>
              <w:t>4</w:t>
            </w:r>
          </w:p>
        </w:tc>
        <w:tc>
          <w:tcPr>
            <w:tcW w:w="56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投标报价是否超过</w:t>
            </w:r>
            <w:r>
              <w:rPr>
                <w:rFonts w:hint="eastAsia" w:ascii="宋体" w:hAnsi="宋体"/>
                <w:color w:val="auto"/>
                <w:sz w:val="21"/>
                <w:szCs w:val="21"/>
                <w:highlight w:val="none"/>
                <w:lang w:eastAsia="zh-CN"/>
              </w:rPr>
              <w:t>最高限价</w:t>
            </w:r>
          </w:p>
        </w:tc>
        <w:tc>
          <w:tcPr>
            <w:tcW w:w="30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color w:val="auto"/>
                <w:sz w:val="21"/>
                <w:szCs w:val="21"/>
                <w:highlight w:val="none"/>
              </w:rPr>
            </w:pPr>
            <w:r>
              <w:rPr>
                <w:rFonts w:hint="eastAsia" w:ascii="宋体" w:hAnsi="宋体"/>
                <w:color w:val="auto"/>
                <w:sz w:val="21"/>
                <w:szCs w:val="21"/>
                <w:highlight w:val="none"/>
              </w:rPr>
              <w:t>符合招标文件要求，通过。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7" w:type="dxa"/>
            <w:noWrap w:val="0"/>
            <w:vAlign w:val="center"/>
          </w:tcPr>
          <w:p>
            <w:pPr>
              <w:spacing w:line="360" w:lineRule="auto"/>
              <w:jc w:val="center"/>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val="en-US" w:eastAsia="zh-CN"/>
              </w:rPr>
              <w:t>5</w:t>
            </w:r>
          </w:p>
        </w:tc>
        <w:tc>
          <w:tcPr>
            <w:tcW w:w="56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color w:val="auto"/>
                <w:sz w:val="21"/>
                <w:szCs w:val="21"/>
                <w:highlight w:val="none"/>
              </w:rPr>
            </w:pPr>
            <w:r>
              <w:rPr>
                <w:rFonts w:hint="eastAsia" w:ascii="宋体" w:hAnsi="宋体"/>
                <w:color w:val="auto"/>
                <w:sz w:val="21"/>
                <w:szCs w:val="21"/>
                <w:highlight w:val="none"/>
              </w:rPr>
              <w:t>投标没有出现招标文件规定的其它无效响应情形。</w:t>
            </w:r>
          </w:p>
        </w:tc>
        <w:tc>
          <w:tcPr>
            <w:tcW w:w="30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color w:val="auto"/>
                <w:sz w:val="21"/>
                <w:szCs w:val="21"/>
                <w:highlight w:val="none"/>
              </w:rPr>
            </w:pPr>
            <w:r>
              <w:rPr>
                <w:rFonts w:hint="eastAsia" w:ascii="宋体" w:hAnsi="宋体"/>
                <w:color w:val="auto"/>
                <w:sz w:val="21"/>
                <w:szCs w:val="21"/>
                <w:highlight w:val="none"/>
              </w:rPr>
              <w:t>符合招标文件要求，通过。</w:t>
            </w:r>
          </w:p>
        </w:tc>
      </w:tr>
    </w:tbl>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3、要求投标人对投标文件有关事项作出澄清或者说明；</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4、对投标文件进行对比和评价；</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5、确定中标候选人名单，以及根据采购人委托直接确定中标人；</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6、向采购代理机构或者有关部门报告评标中发现的违法行为。</w:t>
      </w:r>
    </w:p>
    <w:p>
      <w:pPr>
        <w:spacing w:line="360" w:lineRule="auto"/>
        <w:ind w:firstLine="420" w:firstLineChars="200"/>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7、对于投标文件中含义不明确、同类问题表述不一致或者有明显文字和计算错误的内容，评标委员会应当以书面形式要求投标人作出必要的澄清、说明或者补正。</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 xml:space="preserve">（四）评标委员会及其成员不得有下列行为： </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 xml:space="preserve">1、确定参与评标至评标结束前私自接触投标人； </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 xml:space="preserve">2、接受投标人提出的与投标文件不一致的澄清或者说明，本办法第五十一条规定的情形除外； </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 xml:space="preserve">3、违反评标纪律发表倾向性意见或者征询采购人的倾向性意见； </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 xml:space="preserve">4、对需要专业判断的主观评审因素协商评分； </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 xml:space="preserve">5、在评标过程中擅离职守，影响评标程序正常进行的； </w:t>
      </w:r>
    </w:p>
    <w:p>
      <w:pPr>
        <w:spacing w:line="360" w:lineRule="auto"/>
        <w:ind w:firstLine="420" w:firstLineChars="200"/>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 xml:space="preserve">6、记录、复制或者带走任何评标资料； </w:t>
      </w:r>
    </w:p>
    <w:p>
      <w:pPr>
        <w:spacing w:line="360" w:lineRule="auto"/>
        <w:ind w:firstLine="420" w:firstLineChars="200"/>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 xml:space="preserve">7、其他不遵守评标纪律的行为。 </w:t>
      </w:r>
    </w:p>
    <w:p>
      <w:pPr>
        <w:spacing w:line="360" w:lineRule="auto"/>
        <w:ind w:firstLine="420" w:firstLineChars="200"/>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8、评标委员会成员有前款第一至五项行为之一的，其评审意见无效，并不得获取评审劳务报酬和报销异地评审差旅费。</w:t>
      </w:r>
    </w:p>
    <w:p>
      <w:pPr>
        <w:spacing w:line="360" w:lineRule="auto"/>
        <w:ind w:firstLine="420" w:firstLineChars="200"/>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（四）评标委员会应当按照招标文件中规定的评标方法和标准，对符合性审查合格的投标文件进行商务和技术评估，综合比较与评价。</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1、本项目评标采用综合评分法。</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2、综合评审因素及分值：</w:t>
      </w:r>
    </w:p>
    <w:tbl>
      <w:tblPr>
        <w:tblStyle w:val="23"/>
        <w:tblW w:w="9495"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788"/>
        <w:gridCol w:w="1492"/>
        <w:gridCol w:w="930"/>
        <w:gridCol w:w="5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8" w:hRule="atLeast"/>
          <w:tblHeader/>
        </w:trPr>
        <w:tc>
          <w:tcPr>
            <w:tcW w:w="6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Cs w:val="21"/>
                <w:highlight w:val="none"/>
                <w:lang w:val="en-US" w:eastAsia="zh-CN"/>
              </w:rPr>
            </w:pPr>
            <w:r>
              <w:rPr>
                <w:rFonts w:hint="eastAsia" w:ascii="宋体" w:hAnsi="宋体" w:cs="宋体"/>
                <w:b/>
                <w:color w:val="auto"/>
                <w:szCs w:val="21"/>
                <w:highlight w:val="none"/>
                <w:lang w:val="en-US" w:eastAsia="zh-CN"/>
              </w:rPr>
              <w:t>评审因素</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总分</w:t>
            </w:r>
          </w:p>
        </w:tc>
        <w:tc>
          <w:tcPr>
            <w:tcW w:w="14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Cs w:val="21"/>
                <w:highlight w:val="none"/>
                <w:lang w:val="en-US" w:eastAsia="zh-CN"/>
              </w:rPr>
            </w:pPr>
            <w:r>
              <w:rPr>
                <w:rFonts w:hint="eastAsia" w:ascii="宋体" w:hAnsi="宋体" w:cs="宋体"/>
                <w:b/>
                <w:color w:val="auto"/>
                <w:szCs w:val="21"/>
                <w:highlight w:val="none"/>
              </w:rPr>
              <w:t>评审</w:t>
            </w:r>
            <w:r>
              <w:rPr>
                <w:rFonts w:hint="eastAsia" w:ascii="宋体" w:hAnsi="宋体" w:cs="宋体"/>
                <w:b/>
                <w:color w:val="auto"/>
                <w:szCs w:val="21"/>
                <w:highlight w:val="none"/>
                <w:lang w:val="en-US" w:eastAsia="zh-CN"/>
              </w:rPr>
              <w:t>项</w:t>
            </w: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最高</w:t>
            </w:r>
          </w:p>
          <w:p>
            <w:pPr>
              <w:jc w:val="center"/>
              <w:rPr>
                <w:rFonts w:ascii="宋体" w:hAnsi="宋体" w:cs="宋体"/>
                <w:b/>
                <w:color w:val="auto"/>
                <w:szCs w:val="21"/>
                <w:highlight w:val="none"/>
              </w:rPr>
            </w:pPr>
            <w:r>
              <w:rPr>
                <w:rFonts w:hint="eastAsia" w:ascii="宋体" w:hAnsi="宋体" w:cs="宋体"/>
                <w:b/>
                <w:color w:val="auto"/>
                <w:szCs w:val="21"/>
                <w:highlight w:val="none"/>
              </w:rPr>
              <w:t>得分</w:t>
            </w:r>
          </w:p>
        </w:tc>
        <w:tc>
          <w:tcPr>
            <w:tcW w:w="56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2" w:hRule="atLeast"/>
        </w:trPr>
        <w:tc>
          <w:tcPr>
            <w:tcW w:w="652"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价格</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0分</w:t>
            </w:r>
          </w:p>
        </w:tc>
        <w:tc>
          <w:tcPr>
            <w:tcW w:w="14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0分）</w:t>
            </w: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0</w:t>
            </w:r>
            <w:r>
              <w:rPr>
                <w:rFonts w:hint="eastAsia" w:ascii="宋体" w:hAnsi="宋体" w:eastAsia="宋体" w:cs="宋体"/>
                <w:color w:val="auto"/>
                <w:sz w:val="21"/>
                <w:szCs w:val="21"/>
                <w:highlight w:val="none"/>
                <w:lang w:val="zh-CN"/>
              </w:rPr>
              <w:t>分</w:t>
            </w:r>
          </w:p>
        </w:tc>
        <w:tc>
          <w:tcPr>
            <w:tcW w:w="56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val="0"/>
              <w:spacing w:line="400" w:lineRule="exact"/>
              <w:ind w:firstLine="315" w:firstLineChars="15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采用低价优先法计算，即满足招标文件要求且投标价格最低的投标报价为评标基准价，其价格分为满分。 投标报价得分＝（评标基准价/投标报价）*</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 xml:space="preserve">0 </w:t>
            </w:r>
          </w:p>
          <w:p>
            <w:pPr>
              <w:keepNext w:val="0"/>
              <w:keepLines w:val="0"/>
              <w:pageBreakBefore w:val="0"/>
              <w:widowControl w:val="0"/>
              <w:kinsoku/>
              <w:wordWrap/>
              <w:overflowPunct/>
              <w:topLinePunct w:val="0"/>
              <w:bidi w:val="0"/>
              <w:adjustRightInd/>
              <w:snapToGrid w:val="0"/>
              <w:spacing w:line="400" w:lineRule="exact"/>
              <w:ind w:firstLine="315" w:firstLineChars="1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备注：当评标委员会认为某个投标人的报价明显低于其他通过符合性审查投标人的报价，有可能影响设备质量和不能诚信履约的，应要求该投标人在评标现场合理的时间内提供书面说明，必要时提交相关证明材料；投标人不能证明其报价合理的，评标委员会将其作为无效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652" w:type="dxa"/>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w:t>
            </w:r>
          </w:p>
        </w:tc>
        <w:tc>
          <w:tcPr>
            <w:tcW w:w="788" w:type="dxa"/>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58</w:t>
            </w:r>
            <w:r>
              <w:rPr>
                <w:rFonts w:hint="eastAsia" w:ascii="宋体" w:hAnsi="宋体" w:eastAsia="宋体" w:cs="宋体"/>
                <w:color w:val="auto"/>
                <w:sz w:val="21"/>
                <w:szCs w:val="21"/>
                <w:highlight w:val="none"/>
              </w:rPr>
              <w:t>分</w:t>
            </w:r>
          </w:p>
        </w:tc>
        <w:tc>
          <w:tcPr>
            <w:tcW w:w="1492" w:type="dxa"/>
            <w:tcBorders>
              <w:top w:val="single" w:color="auto" w:sz="4" w:space="0"/>
              <w:left w:val="single" w:color="auto" w:sz="4" w:space="0"/>
              <w:right w:val="single" w:color="auto" w:sz="4" w:space="0"/>
            </w:tcBorders>
            <w:vAlign w:val="center"/>
          </w:tcPr>
          <w:p>
            <w:pPr>
              <w:autoSpaceDE w:val="0"/>
              <w:autoSpaceDN w:val="0"/>
              <w:adjustRightInd w:val="0"/>
              <w:spacing w:line="320" w:lineRule="exact"/>
              <w:ind w:firstLine="105" w:firstLineChars="5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技术</w:t>
            </w:r>
            <w:r>
              <w:rPr>
                <w:rFonts w:hint="eastAsia" w:ascii="宋体" w:hAnsi="宋体" w:eastAsia="宋体" w:cs="宋体"/>
                <w:color w:val="auto"/>
                <w:sz w:val="21"/>
                <w:szCs w:val="21"/>
                <w:highlight w:val="none"/>
                <w:lang w:val="en-US" w:eastAsia="zh-CN"/>
              </w:rPr>
              <w:t>性能</w:t>
            </w:r>
            <w:r>
              <w:rPr>
                <w:rFonts w:hint="eastAsia" w:ascii="宋体" w:hAnsi="宋体" w:eastAsia="宋体" w:cs="宋体"/>
                <w:color w:val="auto"/>
                <w:sz w:val="21"/>
                <w:szCs w:val="21"/>
                <w:highlight w:val="none"/>
              </w:rPr>
              <w:t>指标（</w:t>
            </w:r>
            <w:r>
              <w:rPr>
                <w:rFonts w:hint="eastAsia" w:ascii="宋体" w:hAnsi="宋体" w:cs="宋体"/>
                <w:color w:val="auto"/>
                <w:sz w:val="21"/>
                <w:szCs w:val="21"/>
                <w:highlight w:val="none"/>
                <w:lang w:val="en-US" w:eastAsia="zh-CN"/>
              </w:rPr>
              <w:t>30</w:t>
            </w:r>
            <w:r>
              <w:rPr>
                <w:rFonts w:hint="eastAsia" w:ascii="宋体" w:hAnsi="宋体" w:eastAsia="宋体" w:cs="宋体"/>
                <w:color w:val="auto"/>
                <w:sz w:val="21"/>
                <w:szCs w:val="21"/>
                <w:highlight w:val="none"/>
                <w:lang w:val="zh-CN"/>
              </w:rPr>
              <w:t>分</w:t>
            </w:r>
            <w:r>
              <w:rPr>
                <w:rFonts w:hint="eastAsia" w:ascii="宋体" w:hAnsi="宋体" w:eastAsia="宋体" w:cs="宋体"/>
                <w:color w:val="auto"/>
                <w:sz w:val="21"/>
                <w:szCs w:val="21"/>
                <w:highlight w:val="none"/>
              </w:rPr>
              <w:t>）</w:t>
            </w:r>
          </w:p>
        </w:tc>
        <w:tc>
          <w:tcPr>
            <w:tcW w:w="930" w:type="dxa"/>
            <w:tcBorders>
              <w:top w:val="single" w:color="auto" w:sz="4" w:space="0"/>
              <w:left w:val="single" w:color="auto" w:sz="4" w:space="0"/>
              <w:right w:val="single" w:color="auto" w:sz="4" w:space="0"/>
            </w:tcBorders>
            <w:vAlign w:val="center"/>
          </w:tcPr>
          <w:p>
            <w:pPr>
              <w:autoSpaceDE w:val="0"/>
              <w:autoSpaceDN w:val="0"/>
              <w:adjustRightInd w:val="0"/>
              <w:spacing w:line="320" w:lineRule="exact"/>
              <w:ind w:firstLine="105" w:firstLineChars="50"/>
              <w:jc w:val="center"/>
              <w:rPr>
                <w:rFonts w:hint="eastAsia" w:ascii="宋体" w:hAnsi="宋体" w:eastAsia="宋体" w:cs="宋体"/>
                <w:color w:val="auto"/>
                <w:kern w:val="2"/>
                <w:sz w:val="21"/>
                <w:szCs w:val="21"/>
                <w:highlight w:val="none"/>
                <w:lang w:val="zh-CN" w:eastAsia="zh-CN" w:bidi="ar-SA"/>
              </w:rPr>
            </w:pPr>
            <w:r>
              <w:rPr>
                <w:rFonts w:hint="eastAsia" w:ascii="宋体" w:hAnsi="宋体" w:eastAsia="宋体" w:cs="宋体"/>
                <w:color w:val="auto"/>
                <w:sz w:val="21"/>
                <w:szCs w:val="21"/>
                <w:highlight w:val="none"/>
              </w:rPr>
              <w:t>3</w:t>
            </w:r>
            <w:r>
              <w:rPr>
                <w:rFonts w:hint="eastAsia" w:ascii="宋体" w:hAnsi="宋体" w:cs="宋体"/>
                <w:color w:val="auto"/>
                <w:sz w:val="21"/>
                <w:szCs w:val="21"/>
                <w:highlight w:val="none"/>
                <w:lang w:val="en-US" w:eastAsia="zh-CN"/>
              </w:rPr>
              <w:t>0</w:t>
            </w:r>
            <w:r>
              <w:rPr>
                <w:rFonts w:hint="eastAsia" w:ascii="宋体" w:hAnsi="宋体" w:eastAsia="宋体" w:cs="宋体"/>
                <w:color w:val="auto"/>
                <w:sz w:val="21"/>
                <w:szCs w:val="21"/>
                <w:highlight w:val="none"/>
                <w:lang w:val="zh-CN"/>
              </w:rPr>
              <w:t>分</w:t>
            </w:r>
          </w:p>
        </w:tc>
        <w:tc>
          <w:tcPr>
            <w:tcW w:w="5633"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val="0"/>
              <w:spacing w:line="400" w:lineRule="exact"/>
              <w:ind w:firstLine="315" w:firstLineChars="15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综合考虑产品配置、对招标文件中“</w:t>
            </w:r>
            <w:r>
              <w:rPr>
                <w:rFonts w:hint="eastAsia" w:ascii="宋体" w:hAnsi="宋体" w:cs="宋体"/>
                <w:color w:val="auto"/>
                <w:sz w:val="21"/>
                <w:szCs w:val="21"/>
                <w:highlight w:val="none"/>
                <w:lang w:val="en-US" w:eastAsia="zh-CN"/>
              </w:rPr>
              <w:t>采购需求</w:t>
            </w:r>
            <w:r>
              <w:rPr>
                <w:rFonts w:hint="eastAsia" w:ascii="宋体" w:hAnsi="宋体" w:eastAsia="宋体" w:cs="宋体"/>
                <w:color w:val="auto"/>
                <w:sz w:val="21"/>
                <w:szCs w:val="21"/>
                <w:highlight w:val="none"/>
                <w:lang w:val="en-US" w:eastAsia="zh-CN"/>
              </w:rPr>
              <w:t xml:space="preserve">”的响应程度、投标货物的先进性、投标货物的可靠性、性能指标等。 </w:t>
            </w:r>
          </w:p>
          <w:p>
            <w:pPr>
              <w:keepNext w:val="0"/>
              <w:keepLines w:val="0"/>
              <w:pageBreakBefore w:val="0"/>
              <w:widowControl w:val="0"/>
              <w:kinsoku/>
              <w:wordWrap/>
              <w:overflowPunct/>
              <w:topLinePunct w:val="0"/>
              <w:bidi w:val="0"/>
              <w:adjustRightInd/>
              <w:snapToGrid w:val="0"/>
              <w:spacing w:line="400" w:lineRule="exact"/>
              <w:ind w:firstLine="315" w:firstLineChars="15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1.本项起评分为2</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分，技术指标完全满足招标要求得2</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分，根据技术要求提供证明材料，未提供项不计分。</w:t>
            </w:r>
          </w:p>
          <w:p>
            <w:pPr>
              <w:keepNext w:val="0"/>
              <w:keepLines w:val="0"/>
              <w:pageBreakBefore w:val="0"/>
              <w:widowControl w:val="0"/>
              <w:kinsoku/>
              <w:wordWrap/>
              <w:overflowPunct/>
              <w:topLinePunct w:val="0"/>
              <w:bidi w:val="0"/>
              <w:adjustRightInd/>
              <w:snapToGrid w:val="0"/>
              <w:spacing w:line="400" w:lineRule="exact"/>
              <w:ind w:firstLine="315" w:firstLineChars="15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2.技术指标每负偏离一项扣1分，扣完为止。</w:t>
            </w:r>
          </w:p>
          <w:p>
            <w:pPr>
              <w:keepNext w:val="0"/>
              <w:keepLines w:val="0"/>
              <w:pageBreakBefore w:val="0"/>
              <w:widowControl w:val="0"/>
              <w:kinsoku/>
              <w:wordWrap/>
              <w:overflowPunct/>
              <w:topLinePunct w:val="0"/>
              <w:bidi w:val="0"/>
              <w:adjustRightInd/>
              <w:snapToGrid w:val="0"/>
              <w:spacing w:line="400" w:lineRule="exact"/>
              <w:ind w:firstLine="315" w:firstLineChars="150"/>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.在所有技术指标满足招标文件要求时，如有优于招标要求指标每优于一项加</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分，本项最高可加</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分。</w:t>
            </w:r>
          </w:p>
          <w:p>
            <w:pPr>
              <w:keepNext w:val="0"/>
              <w:keepLines w:val="0"/>
              <w:pageBreakBefore w:val="0"/>
              <w:widowControl w:val="0"/>
              <w:kinsoku/>
              <w:wordWrap/>
              <w:overflowPunct/>
              <w:topLinePunct w:val="0"/>
              <w:bidi w:val="0"/>
              <w:adjustRightInd/>
              <w:snapToGrid w:val="0"/>
              <w:spacing w:line="400" w:lineRule="exact"/>
              <w:ind w:firstLine="316" w:firstLineChars="15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优于招标文件要求的指标需提供相关证明材料，佐证材料包括但不限于技术说明、检测报告、产品彩页、功能截图等。否则不予得分。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0" w:hRule="atLeast"/>
        </w:trPr>
        <w:tc>
          <w:tcPr>
            <w:tcW w:w="652"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788"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1492"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总体方案</w:t>
            </w:r>
          </w:p>
          <w:p>
            <w:pPr>
              <w:jc w:val="center"/>
              <w:rPr>
                <w:rFonts w:hint="eastAsia" w:ascii="宋体" w:hAnsi="宋体" w:eastAsia="宋体" w:cs="宋体"/>
                <w:color w:val="auto"/>
                <w:sz w:val="21"/>
                <w:szCs w:val="21"/>
                <w:highlight w:val="none"/>
                <w:lang w:eastAsia="zh-CN"/>
              </w:rPr>
            </w:pPr>
            <w:r>
              <w:rPr>
                <w:rFonts w:hint="eastAsia" w:ascii="宋体" w:hAnsi="宋体" w:cs="宋体"/>
                <w:color w:val="auto"/>
                <w:szCs w:val="21"/>
                <w:highlight w:val="none"/>
              </w:rPr>
              <w:t>（2</w:t>
            </w:r>
            <w:r>
              <w:rPr>
                <w:rFonts w:ascii="宋体" w:hAnsi="宋体" w:cs="宋体"/>
                <w:color w:val="auto"/>
                <w:szCs w:val="21"/>
                <w:highlight w:val="none"/>
              </w:rPr>
              <w:t>5</w:t>
            </w:r>
            <w:r>
              <w:rPr>
                <w:rFonts w:hint="eastAsia" w:ascii="宋体" w:hAnsi="宋体" w:cs="宋体"/>
                <w:color w:val="auto"/>
                <w:szCs w:val="21"/>
                <w:highlight w:val="none"/>
              </w:rPr>
              <w:t>分）</w:t>
            </w:r>
          </w:p>
        </w:tc>
        <w:tc>
          <w:tcPr>
            <w:tcW w:w="930" w:type="dxa"/>
            <w:tcBorders>
              <w:top w:val="single" w:color="auto" w:sz="4" w:space="0"/>
              <w:left w:val="single" w:color="auto" w:sz="4" w:space="0"/>
              <w:right w:val="single" w:color="auto" w:sz="4" w:space="0"/>
            </w:tcBorders>
            <w:vAlign w:val="center"/>
          </w:tcPr>
          <w:p>
            <w:pPr>
              <w:spacing w:line="300" w:lineRule="exact"/>
              <w:jc w:val="center"/>
              <w:rPr>
                <w:rFonts w:hint="eastAsia" w:ascii="宋体" w:hAnsi="宋体" w:eastAsia="宋体" w:cs="宋体"/>
                <w:color w:val="auto"/>
                <w:sz w:val="21"/>
                <w:szCs w:val="21"/>
                <w:highlight w:val="none"/>
              </w:rPr>
            </w:pPr>
            <w:r>
              <w:rPr>
                <w:rFonts w:hint="eastAsia" w:ascii="宋体" w:hAnsi="宋体" w:cs="宋体"/>
                <w:color w:val="auto"/>
                <w:szCs w:val="21"/>
                <w:highlight w:val="none"/>
              </w:rPr>
              <w:t>10分</w:t>
            </w:r>
          </w:p>
        </w:tc>
        <w:tc>
          <w:tcPr>
            <w:tcW w:w="5633"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20" w:lineRule="atLeast"/>
              <w:ind w:firstLine="210" w:firstLineChars="100"/>
              <w:textAlignment w:val="auto"/>
              <w:rPr>
                <w:rFonts w:hint="eastAsia" w:ascii="宋体" w:hAnsi="宋体" w:cs="宋体"/>
                <w:color w:val="auto"/>
                <w:szCs w:val="21"/>
                <w:highlight w:val="none"/>
              </w:rPr>
            </w:pPr>
            <w:r>
              <w:rPr>
                <w:rFonts w:hint="eastAsia" w:ascii="宋体" w:hAnsi="宋体" w:cs="宋体"/>
                <w:color w:val="auto"/>
                <w:szCs w:val="21"/>
                <w:highlight w:val="none"/>
              </w:rPr>
              <w:t>提供针对本项目的总体实施方案，方案包含但不限于产品选型配置、产品来源渠道合法的证明文件</w:t>
            </w:r>
            <w:r>
              <w:rPr>
                <w:rFonts w:hint="eastAsia" w:ascii="宋体" w:hAnsi="宋体" w:eastAsia="宋体" w:cs="宋体"/>
                <w:color w:val="auto"/>
                <w:sz w:val="21"/>
                <w:szCs w:val="21"/>
                <w:highlight w:val="none"/>
                <w:lang w:val="en-US" w:eastAsia="zh-CN"/>
              </w:rPr>
              <w:t>（包括但不限于销售协议、代理协议、原厂授权等）</w:t>
            </w:r>
            <w:r>
              <w:rPr>
                <w:rFonts w:hint="eastAsia" w:ascii="宋体" w:hAnsi="宋体" w:cs="宋体"/>
                <w:color w:val="auto"/>
                <w:szCs w:val="21"/>
                <w:highlight w:val="none"/>
              </w:rPr>
              <w:t>、整体性能优化设计、进度计划（设备供货、安装调试、软件安装升级等）、拟投入人员配备、特殊情况预防措施、可行性服务方式等。</w:t>
            </w:r>
          </w:p>
          <w:p>
            <w:pPr>
              <w:keepNext w:val="0"/>
              <w:keepLines w:val="0"/>
              <w:widowControl/>
              <w:numPr>
                <w:ilvl w:val="0"/>
                <w:numId w:val="2"/>
              </w:numPr>
              <w:suppressLineNumbers w:val="0"/>
              <w:jc w:val="left"/>
              <w:textAlignment w:val="center"/>
              <w:rPr>
                <w:rFonts w:hint="eastAsia" w:ascii="宋体" w:hAnsi="宋体" w:eastAsia="宋体" w:cs="宋体"/>
                <w:color w:val="auto"/>
                <w:sz w:val="21"/>
                <w:szCs w:val="21"/>
                <w:highlight w:val="none"/>
                <w:lang w:val="en-US" w:eastAsia="zh-CN"/>
              </w:rPr>
            </w:pPr>
            <w:r>
              <w:rPr>
                <w:rFonts w:hint="eastAsia" w:ascii="宋体" w:hAnsi="宋体" w:cs="宋体"/>
                <w:i w:val="0"/>
                <w:iCs w:val="0"/>
                <w:color w:val="000000"/>
                <w:kern w:val="0"/>
                <w:sz w:val="21"/>
                <w:szCs w:val="21"/>
                <w:highlight w:val="none"/>
                <w:u w:val="none"/>
                <w:lang w:val="en-US" w:eastAsia="zh-CN" w:bidi="ar"/>
              </w:rPr>
              <w:t>实施</w:t>
            </w:r>
            <w:r>
              <w:rPr>
                <w:rFonts w:hint="eastAsia" w:ascii="宋体" w:hAnsi="宋体" w:eastAsia="宋体" w:cs="宋体"/>
                <w:i w:val="0"/>
                <w:iCs w:val="0"/>
                <w:color w:val="000000"/>
                <w:kern w:val="0"/>
                <w:sz w:val="21"/>
                <w:szCs w:val="21"/>
                <w:highlight w:val="none"/>
                <w:u w:val="none"/>
                <w:lang w:val="en-US" w:eastAsia="zh-CN" w:bidi="ar"/>
              </w:rPr>
              <w:t>方案符合本次建设需要</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t>具有可落地性、可扩展性，得</w:t>
            </w:r>
            <w:r>
              <w:rPr>
                <w:rFonts w:hint="eastAsia" w:ascii="宋体" w:hAnsi="宋体" w:cs="宋体"/>
                <w:i w:val="0"/>
                <w:iCs w:val="0"/>
                <w:color w:val="000000"/>
                <w:kern w:val="0"/>
                <w:sz w:val="21"/>
                <w:szCs w:val="21"/>
                <w:highlight w:val="none"/>
                <w:u w:val="none"/>
                <w:lang w:val="en-US" w:eastAsia="zh-CN" w:bidi="ar"/>
              </w:rPr>
              <w:t>7-10</w:t>
            </w:r>
            <w:r>
              <w:rPr>
                <w:rFonts w:hint="eastAsia" w:ascii="宋体" w:hAnsi="宋体" w:eastAsia="宋体" w:cs="宋体"/>
                <w:i w:val="0"/>
                <w:iCs w:val="0"/>
                <w:color w:val="000000"/>
                <w:kern w:val="0"/>
                <w:sz w:val="21"/>
                <w:szCs w:val="21"/>
                <w:highlight w:val="none"/>
                <w:u w:val="none"/>
                <w:lang w:val="en-US" w:eastAsia="zh-CN" w:bidi="ar"/>
              </w:rPr>
              <w:t>分</w:t>
            </w:r>
            <w:r>
              <w:rPr>
                <w:rFonts w:hint="eastAsia" w:ascii="宋体" w:hAnsi="宋体" w:cs="宋体"/>
                <w:i w:val="0"/>
                <w:iCs w:val="0"/>
                <w:color w:val="000000"/>
                <w:kern w:val="0"/>
                <w:sz w:val="21"/>
                <w:szCs w:val="21"/>
                <w:highlight w:val="none"/>
                <w:u w:val="none"/>
                <w:lang w:val="en-US" w:eastAsia="zh-CN" w:bidi="ar"/>
              </w:rPr>
              <w:t>；</w:t>
            </w:r>
          </w:p>
          <w:p>
            <w:pPr>
              <w:keepNext w:val="0"/>
              <w:keepLines w:val="0"/>
              <w:widowControl/>
              <w:numPr>
                <w:ilvl w:val="0"/>
                <w:numId w:val="2"/>
              </w:numPr>
              <w:suppressLineNumbers w:val="0"/>
              <w:jc w:val="left"/>
              <w:textAlignment w:val="center"/>
              <w:rPr>
                <w:rFonts w:hint="eastAsia" w:ascii="宋体" w:hAnsi="宋体" w:eastAsia="宋体" w:cs="宋体"/>
                <w:color w:val="auto"/>
                <w:sz w:val="21"/>
                <w:szCs w:val="21"/>
                <w:highlight w:val="none"/>
                <w:lang w:val="en-US" w:eastAsia="zh-CN"/>
              </w:rPr>
            </w:pPr>
            <w:r>
              <w:rPr>
                <w:rFonts w:hint="eastAsia" w:ascii="宋体" w:hAnsi="宋体" w:cs="宋体"/>
                <w:i w:val="0"/>
                <w:iCs w:val="0"/>
                <w:color w:val="000000"/>
                <w:kern w:val="0"/>
                <w:sz w:val="21"/>
                <w:szCs w:val="21"/>
                <w:highlight w:val="none"/>
                <w:u w:val="none"/>
                <w:lang w:val="en-US" w:eastAsia="zh-CN" w:bidi="ar"/>
              </w:rPr>
              <w:t>实施</w:t>
            </w:r>
            <w:r>
              <w:rPr>
                <w:rFonts w:hint="eastAsia" w:ascii="宋体" w:hAnsi="宋体" w:eastAsia="宋体" w:cs="宋体"/>
                <w:i w:val="0"/>
                <w:iCs w:val="0"/>
                <w:color w:val="000000"/>
                <w:kern w:val="0"/>
                <w:sz w:val="21"/>
                <w:szCs w:val="21"/>
                <w:highlight w:val="none"/>
                <w:u w:val="none"/>
                <w:lang w:val="en-US" w:eastAsia="zh-CN" w:bidi="ar"/>
              </w:rPr>
              <w:t>方案基本合理，</w:t>
            </w:r>
            <w:r>
              <w:rPr>
                <w:rFonts w:hint="eastAsia" w:ascii="宋体" w:hAnsi="宋体" w:cs="宋体"/>
                <w:i w:val="0"/>
                <w:iCs w:val="0"/>
                <w:color w:val="000000"/>
                <w:kern w:val="0"/>
                <w:sz w:val="21"/>
                <w:szCs w:val="21"/>
                <w:highlight w:val="none"/>
                <w:u w:val="none"/>
                <w:lang w:val="en-US" w:eastAsia="zh-CN" w:bidi="ar"/>
              </w:rPr>
              <w:t>与项目采购需求基本一致</w:t>
            </w:r>
            <w:r>
              <w:rPr>
                <w:rFonts w:hint="eastAsia" w:ascii="宋体" w:hAnsi="宋体" w:eastAsia="宋体" w:cs="宋体"/>
                <w:i w:val="0"/>
                <w:iCs w:val="0"/>
                <w:color w:val="000000"/>
                <w:kern w:val="0"/>
                <w:sz w:val="21"/>
                <w:szCs w:val="21"/>
                <w:highlight w:val="none"/>
                <w:u w:val="none"/>
                <w:lang w:val="en-US" w:eastAsia="zh-CN" w:bidi="ar"/>
              </w:rPr>
              <w:t>，</w:t>
            </w:r>
            <w:r>
              <w:rPr>
                <w:rFonts w:hint="eastAsia" w:ascii="宋体" w:hAnsi="宋体" w:cs="宋体"/>
                <w:i w:val="0"/>
                <w:iCs w:val="0"/>
                <w:color w:val="000000"/>
                <w:kern w:val="0"/>
                <w:sz w:val="21"/>
                <w:szCs w:val="21"/>
                <w:highlight w:val="none"/>
                <w:u w:val="none"/>
                <w:lang w:val="en-US" w:eastAsia="zh-CN" w:bidi="ar"/>
              </w:rPr>
              <w:t>3-7</w:t>
            </w:r>
            <w:r>
              <w:rPr>
                <w:rFonts w:hint="eastAsia" w:ascii="宋体" w:hAnsi="宋体" w:eastAsia="宋体" w:cs="宋体"/>
                <w:i w:val="0"/>
                <w:iCs w:val="0"/>
                <w:color w:val="000000"/>
                <w:kern w:val="0"/>
                <w:sz w:val="21"/>
                <w:szCs w:val="21"/>
                <w:highlight w:val="none"/>
                <w:u w:val="none"/>
                <w:lang w:val="en-US" w:eastAsia="zh-CN" w:bidi="ar"/>
              </w:rPr>
              <w:t>分</w:t>
            </w:r>
            <w:r>
              <w:rPr>
                <w:rFonts w:hint="eastAsia" w:ascii="宋体" w:hAnsi="宋体" w:cs="宋体"/>
                <w:i w:val="0"/>
                <w:iCs w:val="0"/>
                <w:color w:val="000000"/>
                <w:kern w:val="0"/>
                <w:sz w:val="21"/>
                <w:szCs w:val="21"/>
                <w:highlight w:val="none"/>
                <w:u w:val="none"/>
                <w:lang w:val="en-US" w:eastAsia="zh-CN" w:bidi="ar"/>
              </w:rPr>
              <w:t>（不含7分）</w:t>
            </w:r>
            <w:r>
              <w:rPr>
                <w:rFonts w:hint="eastAsia" w:ascii="宋体" w:hAnsi="宋体" w:eastAsia="宋体" w:cs="宋体"/>
                <w:i w:val="0"/>
                <w:iCs w:val="0"/>
                <w:color w:val="000000"/>
                <w:kern w:val="0"/>
                <w:sz w:val="21"/>
                <w:szCs w:val="21"/>
                <w:highlight w:val="none"/>
                <w:u w:val="none"/>
                <w:lang w:val="en-US" w:eastAsia="zh-CN" w:bidi="ar"/>
              </w:rPr>
              <w:t>；</w:t>
            </w:r>
          </w:p>
          <w:p>
            <w:pPr>
              <w:keepNext w:val="0"/>
              <w:keepLines w:val="0"/>
              <w:pageBreakBefore w:val="0"/>
              <w:widowControl w:val="0"/>
              <w:kinsoku/>
              <w:wordWrap/>
              <w:overflowPunct/>
              <w:topLinePunct w:val="0"/>
              <w:autoSpaceDE w:val="0"/>
              <w:autoSpaceDN w:val="0"/>
              <w:bidi w:val="0"/>
              <w:adjustRightInd w:val="0"/>
              <w:snapToGrid/>
              <w:spacing w:line="320" w:lineRule="atLeast"/>
              <w:textAlignment w:val="auto"/>
              <w:rPr>
                <w:rFonts w:hint="eastAsia" w:ascii="宋体" w:hAnsi="宋体" w:eastAsia="宋体" w:cs="宋体"/>
                <w:color w:val="auto"/>
                <w:sz w:val="21"/>
                <w:szCs w:val="21"/>
                <w:highlight w:val="none"/>
                <w:lang w:val="en-US" w:eastAsia="zh-CN"/>
              </w:rPr>
            </w:pPr>
            <w:r>
              <w:rPr>
                <w:rFonts w:hint="eastAsia" w:ascii="宋体" w:hAnsi="宋体" w:cs="宋体"/>
                <w:i w:val="0"/>
                <w:iCs w:val="0"/>
                <w:color w:val="000000"/>
                <w:kern w:val="0"/>
                <w:sz w:val="21"/>
                <w:szCs w:val="21"/>
                <w:highlight w:val="none"/>
                <w:u w:val="none"/>
                <w:lang w:val="en-US" w:eastAsia="zh-CN" w:bidi="ar"/>
              </w:rPr>
              <w:t>3、实施</w:t>
            </w:r>
            <w:r>
              <w:rPr>
                <w:rFonts w:hint="eastAsia" w:ascii="宋体" w:hAnsi="宋体" w:eastAsia="宋体" w:cs="宋体"/>
                <w:i w:val="0"/>
                <w:iCs w:val="0"/>
                <w:color w:val="000000"/>
                <w:kern w:val="0"/>
                <w:sz w:val="21"/>
                <w:szCs w:val="21"/>
                <w:highlight w:val="none"/>
                <w:u w:val="none"/>
                <w:lang w:val="en-US" w:eastAsia="zh-CN" w:bidi="ar"/>
              </w:rPr>
              <w:t>方案有疏漏、可行性欠佳，得</w:t>
            </w:r>
            <w:r>
              <w:rPr>
                <w:rFonts w:hint="eastAsia" w:ascii="宋体" w:hAnsi="宋体" w:cs="宋体"/>
                <w:i w:val="0"/>
                <w:iCs w:val="0"/>
                <w:color w:val="000000"/>
                <w:kern w:val="0"/>
                <w:sz w:val="21"/>
                <w:szCs w:val="21"/>
                <w:highlight w:val="none"/>
                <w:u w:val="none"/>
                <w:lang w:val="en-US" w:eastAsia="zh-CN" w:bidi="ar"/>
              </w:rPr>
              <w:t>0-3</w:t>
            </w:r>
            <w:r>
              <w:rPr>
                <w:rFonts w:hint="eastAsia" w:ascii="宋体" w:hAnsi="宋体" w:eastAsia="宋体" w:cs="宋体"/>
                <w:i w:val="0"/>
                <w:iCs w:val="0"/>
                <w:color w:val="000000"/>
                <w:kern w:val="0"/>
                <w:sz w:val="21"/>
                <w:szCs w:val="21"/>
                <w:highlight w:val="none"/>
                <w:u w:val="none"/>
                <w:lang w:val="en-US" w:eastAsia="zh-CN" w:bidi="ar"/>
              </w:rPr>
              <w:t>分</w:t>
            </w:r>
            <w:r>
              <w:rPr>
                <w:rFonts w:hint="eastAsia" w:ascii="宋体" w:hAnsi="宋体" w:cs="宋体"/>
                <w:i w:val="0"/>
                <w:iCs w:val="0"/>
                <w:color w:val="000000"/>
                <w:kern w:val="0"/>
                <w:sz w:val="21"/>
                <w:szCs w:val="21"/>
                <w:highlight w:val="none"/>
                <w:u w:val="none"/>
                <w:lang w:val="en-US" w:eastAsia="zh-CN" w:bidi="ar"/>
              </w:rPr>
              <w:t>（不含3分）</w:t>
            </w:r>
            <w:r>
              <w:rPr>
                <w:rFonts w:hint="eastAsia" w:ascii="宋体" w:hAnsi="宋体" w:eastAsia="宋体" w:cs="宋体"/>
                <w:i w:val="0"/>
                <w:iCs w:val="0"/>
                <w:color w:val="000000"/>
                <w:kern w:val="0"/>
                <w:sz w:val="21"/>
                <w:szCs w:val="21"/>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0" w:hRule="atLeast"/>
        </w:trPr>
        <w:tc>
          <w:tcPr>
            <w:tcW w:w="652"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788"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1492"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930" w:type="dxa"/>
            <w:tcBorders>
              <w:top w:val="single" w:color="auto" w:sz="4" w:space="0"/>
              <w:left w:val="single" w:color="auto" w:sz="4" w:space="0"/>
              <w:right w:val="single" w:color="auto" w:sz="4" w:space="0"/>
            </w:tcBorders>
            <w:vAlign w:val="center"/>
          </w:tcPr>
          <w:p>
            <w:pPr>
              <w:spacing w:line="300" w:lineRule="exact"/>
              <w:jc w:val="center"/>
              <w:rPr>
                <w:rFonts w:hint="eastAsia" w:ascii="宋体" w:hAnsi="宋体" w:eastAsia="宋体" w:cs="宋体"/>
                <w:color w:val="auto"/>
                <w:sz w:val="21"/>
                <w:szCs w:val="21"/>
                <w:highlight w:val="none"/>
                <w:lang w:val="en-US" w:eastAsia="zh-CN"/>
              </w:rPr>
            </w:pPr>
            <w:r>
              <w:rPr>
                <w:rFonts w:hint="eastAsia" w:ascii="宋体" w:hAnsi="宋体" w:cs="宋体"/>
                <w:color w:val="auto"/>
                <w:szCs w:val="21"/>
                <w:highlight w:val="none"/>
              </w:rPr>
              <w:t>10分</w:t>
            </w:r>
          </w:p>
        </w:tc>
        <w:tc>
          <w:tcPr>
            <w:tcW w:w="5633"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20" w:lineRule="atLeast"/>
              <w:ind w:firstLine="210" w:firstLineChars="100"/>
              <w:textAlignment w:val="auto"/>
              <w:rPr>
                <w:rFonts w:hint="eastAsia" w:ascii="宋体" w:hAnsi="宋体" w:cs="宋体"/>
                <w:color w:val="auto"/>
                <w:szCs w:val="21"/>
                <w:highlight w:val="none"/>
              </w:rPr>
            </w:pPr>
            <w:r>
              <w:rPr>
                <w:rFonts w:hint="eastAsia" w:ascii="宋体" w:hAnsi="宋体" w:cs="宋体"/>
                <w:color w:val="auto"/>
                <w:szCs w:val="21"/>
                <w:highlight w:val="none"/>
              </w:rPr>
              <w:t>投标人应充分了解医院现有设备运行情况，并提供针对本项目的扩容方案，方案包含但不限于保证与原有虚拟化资源池、动态安全防护等产品的兼容及可扩展性的保证措施等。</w:t>
            </w:r>
          </w:p>
          <w:p>
            <w:pPr>
              <w:keepNext w:val="0"/>
              <w:keepLines w:val="0"/>
              <w:widowControl/>
              <w:numPr>
                <w:ilvl w:val="0"/>
                <w:numId w:val="3"/>
              </w:numPr>
              <w:suppressLineNumbers w:val="0"/>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i w:val="0"/>
                <w:iCs w:val="0"/>
                <w:color w:val="000000"/>
                <w:kern w:val="0"/>
                <w:sz w:val="21"/>
                <w:szCs w:val="21"/>
                <w:highlight w:val="none"/>
                <w:u w:val="none"/>
                <w:lang w:val="en-US" w:eastAsia="zh-CN" w:bidi="ar"/>
              </w:rPr>
              <w:t>方案符合本次建设需要</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t>具有可落地性、可扩展性，得</w:t>
            </w:r>
            <w:r>
              <w:rPr>
                <w:rFonts w:hint="eastAsia" w:ascii="宋体" w:hAnsi="宋体" w:cs="宋体"/>
                <w:i w:val="0"/>
                <w:iCs w:val="0"/>
                <w:color w:val="000000"/>
                <w:kern w:val="0"/>
                <w:sz w:val="21"/>
                <w:szCs w:val="21"/>
                <w:highlight w:val="none"/>
                <w:u w:val="none"/>
                <w:lang w:val="en-US" w:eastAsia="zh-CN" w:bidi="ar"/>
              </w:rPr>
              <w:t>7-10</w:t>
            </w:r>
            <w:r>
              <w:rPr>
                <w:rFonts w:hint="eastAsia" w:ascii="宋体" w:hAnsi="宋体" w:eastAsia="宋体" w:cs="宋体"/>
                <w:i w:val="0"/>
                <w:iCs w:val="0"/>
                <w:color w:val="000000"/>
                <w:kern w:val="0"/>
                <w:sz w:val="21"/>
                <w:szCs w:val="21"/>
                <w:highlight w:val="none"/>
                <w:u w:val="none"/>
                <w:lang w:val="en-US" w:eastAsia="zh-CN" w:bidi="ar"/>
              </w:rPr>
              <w:t>分</w:t>
            </w:r>
            <w:r>
              <w:rPr>
                <w:rFonts w:hint="eastAsia" w:ascii="宋体" w:hAnsi="宋体" w:cs="宋体"/>
                <w:i w:val="0"/>
                <w:iCs w:val="0"/>
                <w:color w:val="000000"/>
                <w:kern w:val="0"/>
                <w:sz w:val="21"/>
                <w:szCs w:val="21"/>
                <w:highlight w:val="none"/>
                <w:u w:val="none"/>
                <w:lang w:val="en-US" w:eastAsia="zh-CN" w:bidi="ar"/>
              </w:rPr>
              <w:t>；</w:t>
            </w:r>
          </w:p>
          <w:p>
            <w:pPr>
              <w:keepNext w:val="0"/>
              <w:keepLines w:val="0"/>
              <w:widowControl/>
              <w:numPr>
                <w:ilvl w:val="0"/>
                <w:numId w:val="3"/>
              </w:numPr>
              <w:suppressLineNumbers w:val="0"/>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i w:val="0"/>
                <w:iCs w:val="0"/>
                <w:color w:val="000000"/>
                <w:kern w:val="0"/>
                <w:sz w:val="21"/>
                <w:szCs w:val="21"/>
                <w:highlight w:val="none"/>
                <w:u w:val="none"/>
                <w:lang w:val="en-US" w:eastAsia="zh-CN" w:bidi="ar"/>
              </w:rPr>
              <w:t>方案基本合理，</w:t>
            </w:r>
            <w:r>
              <w:rPr>
                <w:rFonts w:hint="eastAsia" w:ascii="宋体" w:hAnsi="宋体" w:cs="宋体"/>
                <w:i w:val="0"/>
                <w:iCs w:val="0"/>
                <w:color w:val="000000"/>
                <w:kern w:val="0"/>
                <w:sz w:val="21"/>
                <w:szCs w:val="21"/>
                <w:highlight w:val="none"/>
                <w:u w:val="none"/>
                <w:lang w:val="en-US" w:eastAsia="zh-CN" w:bidi="ar"/>
              </w:rPr>
              <w:t>与项目采购需求基本一致</w:t>
            </w:r>
            <w:r>
              <w:rPr>
                <w:rFonts w:hint="eastAsia" w:ascii="宋体" w:hAnsi="宋体" w:eastAsia="宋体" w:cs="宋体"/>
                <w:i w:val="0"/>
                <w:iCs w:val="0"/>
                <w:color w:val="000000"/>
                <w:kern w:val="0"/>
                <w:sz w:val="21"/>
                <w:szCs w:val="21"/>
                <w:highlight w:val="none"/>
                <w:u w:val="none"/>
                <w:lang w:val="en-US" w:eastAsia="zh-CN" w:bidi="ar"/>
              </w:rPr>
              <w:t>，</w:t>
            </w:r>
            <w:r>
              <w:rPr>
                <w:rFonts w:hint="eastAsia" w:ascii="宋体" w:hAnsi="宋体" w:cs="宋体"/>
                <w:i w:val="0"/>
                <w:iCs w:val="0"/>
                <w:color w:val="000000"/>
                <w:kern w:val="0"/>
                <w:sz w:val="21"/>
                <w:szCs w:val="21"/>
                <w:highlight w:val="none"/>
                <w:u w:val="none"/>
                <w:lang w:val="en-US" w:eastAsia="zh-CN" w:bidi="ar"/>
              </w:rPr>
              <w:t>3-7</w:t>
            </w:r>
            <w:r>
              <w:rPr>
                <w:rFonts w:hint="eastAsia" w:ascii="宋体" w:hAnsi="宋体" w:eastAsia="宋体" w:cs="宋体"/>
                <w:i w:val="0"/>
                <w:iCs w:val="0"/>
                <w:color w:val="000000"/>
                <w:kern w:val="0"/>
                <w:sz w:val="21"/>
                <w:szCs w:val="21"/>
                <w:highlight w:val="none"/>
                <w:u w:val="none"/>
                <w:lang w:val="en-US" w:eastAsia="zh-CN" w:bidi="ar"/>
              </w:rPr>
              <w:t>分</w:t>
            </w:r>
            <w:r>
              <w:rPr>
                <w:rFonts w:hint="eastAsia" w:ascii="宋体" w:hAnsi="宋体" w:cs="宋体"/>
                <w:i w:val="0"/>
                <w:iCs w:val="0"/>
                <w:color w:val="000000"/>
                <w:kern w:val="0"/>
                <w:sz w:val="21"/>
                <w:szCs w:val="21"/>
                <w:highlight w:val="none"/>
                <w:u w:val="none"/>
                <w:lang w:val="en-US" w:eastAsia="zh-CN" w:bidi="ar"/>
              </w:rPr>
              <w:t>（不含7分）</w:t>
            </w:r>
            <w:r>
              <w:rPr>
                <w:rFonts w:hint="eastAsia" w:ascii="宋体" w:hAnsi="宋体" w:eastAsia="宋体" w:cs="宋体"/>
                <w:i w:val="0"/>
                <w:iCs w:val="0"/>
                <w:color w:val="000000"/>
                <w:kern w:val="0"/>
                <w:sz w:val="21"/>
                <w:szCs w:val="21"/>
                <w:highlight w:val="none"/>
                <w:u w:val="none"/>
                <w:lang w:val="en-US" w:eastAsia="zh-CN" w:bidi="ar"/>
              </w:rPr>
              <w:t>；</w:t>
            </w:r>
          </w:p>
          <w:p>
            <w:pPr>
              <w:keepNext w:val="0"/>
              <w:keepLines w:val="0"/>
              <w:pageBreakBefore w:val="0"/>
              <w:widowControl w:val="0"/>
              <w:kinsoku/>
              <w:wordWrap/>
              <w:overflowPunct/>
              <w:topLinePunct w:val="0"/>
              <w:autoSpaceDE w:val="0"/>
              <w:autoSpaceDN w:val="0"/>
              <w:bidi w:val="0"/>
              <w:adjustRightInd w:val="0"/>
              <w:snapToGrid/>
              <w:spacing w:line="320" w:lineRule="atLeast"/>
              <w:textAlignment w:val="auto"/>
              <w:rPr>
                <w:rFonts w:hint="eastAsia" w:ascii="宋体" w:hAnsi="宋体" w:eastAsia="宋体" w:cs="宋体"/>
                <w:color w:val="auto"/>
                <w:sz w:val="21"/>
                <w:szCs w:val="21"/>
                <w:highlight w:val="none"/>
                <w:lang w:val="en-US" w:eastAsia="zh-CN"/>
              </w:rPr>
            </w:pPr>
            <w:r>
              <w:rPr>
                <w:rFonts w:hint="eastAsia" w:ascii="宋体" w:hAnsi="宋体" w:cs="宋体"/>
                <w:i w:val="0"/>
                <w:iCs w:val="0"/>
                <w:color w:val="000000"/>
                <w:kern w:val="0"/>
                <w:sz w:val="21"/>
                <w:szCs w:val="21"/>
                <w:highlight w:val="none"/>
                <w:u w:val="none"/>
                <w:lang w:val="en-US" w:eastAsia="zh-CN" w:bidi="ar"/>
              </w:rPr>
              <w:t>3、</w:t>
            </w:r>
            <w:r>
              <w:rPr>
                <w:rFonts w:hint="eastAsia" w:ascii="宋体" w:hAnsi="宋体" w:eastAsia="宋体" w:cs="宋体"/>
                <w:i w:val="0"/>
                <w:iCs w:val="0"/>
                <w:color w:val="000000"/>
                <w:kern w:val="0"/>
                <w:sz w:val="21"/>
                <w:szCs w:val="21"/>
                <w:highlight w:val="none"/>
                <w:u w:val="none"/>
                <w:lang w:val="en-US" w:eastAsia="zh-CN" w:bidi="ar"/>
              </w:rPr>
              <w:t>方案有疏漏、可行性欠佳，得</w:t>
            </w:r>
            <w:r>
              <w:rPr>
                <w:rFonts w:hint="eastAsia" w:ascii="宋体" w:hAnsi="宋体" w:cs="宋体"/>
                <w:i w:val="0"/>
                <w:iCs w:val="0"/>
                <w:color w:val="000000"/>
                <w:kern w:val="0"/>
                <w:sz w:val="21"/>
                <w:szCs w:val="21"/>
                <w:highlight w:val="none"/>
                <w:u w:val="none"/>
                <w:lang w:val="en-US" w:eastAsia="zh-CN" w:bidi="ar"/>
              </w:rPr>
              <w:t>0-3</w:t>
            </w:r>
            <w:r>
              <w:rPr>
                <w:rFonts w:hint="eastAsia" w:ascii="宋体" w:hAnsi="宋体" w:eastAsia="宋体" w:cs="宋体"/>
                <w:i w:val="0"/>
                <w:iCs w:val="0"/>
                <w:color w:val="000000"/>
                <w:kern w:val="0"/>
                <w:sz w:val="21"/>
                <w:szCs w:val="21"/>
                <w:highlight w:val="none"/>
                <w:u w:val="none"/>
                <w:lang w:val="en-US" w:eastAsia="zh-CN" w:bidi="ar"/>
              </w:rPr>
              <w:t>分</w:t>
            </w:r>
            <w:r>
              <w:rPr>
                <w:rFonts w:hint="eastAsia" w:ascii="宋体" w:hAnsi="宋体" w:cs="宋体"/>
                <w:i w:val="0"/>
                <w:iCs w:val="0"/>
                <w:color w:val="000000"/>
                <w:kern w:val="0"/>
                <w:sz w:val="21"/>
                <w:szCs w:val="21"/>
                <w:highlight w:val="none"/>
                <w:u w:val="none"/>
                <w:lang w:val="en-US" w:eastAsia="zh-CN" w:bidi="ar"/>
              </w:rPr>
              <w:t>（不含3分）</w:t>
            </w:r>
            <w:r>
              <w:rPr>
                <w:rFonts w:hint="eastAsia" w:ascii="宋体" w:hAnsi="宋体" w:eastAsia="宋体" w:cs="宋体"/>
                <w:i w:val="0"/>
                <w:iCs w:val="0"/>
                <w:color w:val="000000"/>
                <w:kern w:val="0"/>
                <w:sz w:val="21"/>
                <w:szCs w:val="21"/>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7" w:hRule="atLeast"/>
        </w:trPr>
        <w:tc>
          <w:tcPr>
            <w:tcW w:w="652"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788"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1492"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930" w:type="dxa"/>
            <w:tcBorders>
              <w:top w:val="single" w:color="auto" w:sz="4" w:space="0"/>
              <w:left w:val="single" w:color="auto" w:sz="4" w:space="0"/>
              <w:right w:val="single" w:color="auto" w:sz="4" w:space="0"/>
            </w:tcBorders>
            <w:vAlign w:val="center"/>
          </w:tcPr>
          <w:p>
            <w:pPr>
              <w:spacing w:line="300" w:lineRule="exact"/>
              <w:jc w:val="center"/>
              <w:rPr>
                <w:rFonts w:hint="eastAsia" w:ascii="宋体" w:hAnsi="宋体" w:eastAsia="宋体" w:cs="宋体"/>
                <w:color w:val="auto"/>
                <w:sz w:val="21"/>
                <w:szCs w:val="21"/>
                <w:highlight w:val="none"/>
                <w:lang w:val="en-US" w:eastAsia="zh-CN"/>
              </w:rPr>
            </w:pPr>
            <w:r>
              <w:rPr>
                <w:rFonts w:ascii="宋体" w:hAnsi="宋体" w:cs="宋体"/>
                <w:color w:val="auto"/>
                <w:szCs w:val="21"/>
                <w:highlight w:val="none"/>
              </w:rPr>
              <w:t>3</w:t>
            </w:r>
            <w:r>
              <w:rPr>
                <w:rFonts w:hint="eastAsia" w:ascii="宋体" w:hAnsi="宋体" w:cs="宋体"/>
                <w:color w:val="auto"/>
                <w:szCs w:val="21"/>
                <w:highlight w:val="none"/>
              </w:rPr>
              <w:t>分</w:t>
            </w:r>
          </w:p>
        </w:tc>
        <w:tc>
          <w:tcPr>
            <w:tcW w:w="5633"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20" w:lineRule="atLeast"/>
              <w:ind w:firstLine="210" w:firstLineChars="100"/>
              <w:textAlignment w:val="auto"/>
              <w:rPr>
                <w:rFonts w:hint="eastAsia" w:ascii="宋体" w:hAnsi="宋体" w:eastAsia="宋体" w:cs="宋体"/>
                <w:color w:val="auto"/>
                <w:sz w:val="21"/>
                <w:szCs w:val="21"/>
                <w:highlight w:val="none"/>
                <w:lang w:val="en-US" w:eastAsia="zh-CN"/>
              </w:rPr>
            </w:pPr>
            <w:r>
              <w:rPr>
                <w:rFonts w:hint="eastAsia" w:ascii="宋体" w:hAnsi="宋体" w:cs="仿宋"/>
                <w:color w:val="auto"/>
                <w:szCs w:val="21"/>
                <w:highlight w:val="none"/>
              </w:rPr>
              <w:t>提供数据库维护的具体内容及方案。包括信息安全管理、项目管理流程、服务质量、应急情况应对措施、合理化建议。</w:t>
            </w:r>
            <w:r>
              <w:rPr>
                <w:rFonts w:hint="eastAsia" w:ascii="宋体" w:hAnsi="宋体" w:cs="宋体"/>
                <w:color w:val="auto"/>
                <w:szCs w:val="21"/>
                <w:highlight w:val="none"/>
              </w:rPr>
              <w:t>根据投标文件的响应情况</w:t>
            </w:r>
            <w:r>
              <w:rPr>
                <w:rFonts w:hint="eastAsia" w:ascii="宋体" w:hAnsi="宋体" w:cs="仿宋"/>
                <w:color w:val="auto"/>
                <w:szCs w:val="21"/>
                <w:highlight w:val="none"/>
              </w:rPr>
              <w:t>进行综合评</w:t>
            </w:r>
            <w:r>
              <w:rPr>
                <w:rFonts w:hint="eastAsia" w:ascii="宋体" w:hAnsi="宋体" w:cs="仿宋"/>
                <w:color w:val="auto"/>
                <w:szCs w:val="21"/>
                <w:highlight w:val="none"/>
                <w:lang w:val="en-US" w:eastAsia="zh-CN"/>
              </w:rPr>
              <w:t>价0-3分</w:t>
            </w:r>
            <w:r>
              <w:rPr>
                <w:rFonts w:hint="eastAsia" w:ascii="宋体" w:hAnsi="宋体" w:eastAsia="宋体" w:cs="宋体"/>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trPr>
        <w:tc>
          <w:tcPr>
            <w:tcW w:w="652"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788"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1492"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930" w:type="dxa"/>
            <w:tcBorders>
              <w:top w:val="single" w:color="auto" w:sz="4" w:space="0"/>
              <w:left w:val="single" w:color="auto" w:sz="4" w:space="0"/>
              <w:right w:val="single" w:color="auto" w:sz="4" w:space="0"/>
            </w:tcBorders>
            <w:vAlign w:val="center"/>
          </w:tcPr>
          <w:p>
            <w:pPr>
              <w:spacing w:line="300" w:lineRule="exact"/>
              <w:jc w:val="center"/>
              <w:rPr>
                <w:rFonts w:hint="eastAsia" w:ascii="宋体" w:hAnsi="宋体" w:eastAsia="宋体" w:cs="宋体"/>
                <w:color w:val="auto"/>
                <w:sz w:val="21"/>
                <w:szCs w:val="21"/>
                <w:highlight w:val="none"/>
                <w:lang w:val="en-US" w:eastAsia="zh-CN"/>
              </w:rPr>
            </w:pPr>
            <w:r>
              <w:rPr>
                <w:rFonts w:hint="eastAsia" w:ascii="宋体" w:hAnsi="宋体" w:cs="宋体"/>
                <w:color w:val="auto"/>
                <w:szCs w:val="21"/>
                <w:highlight w:val="none"/>
              </w:rPr>
              <w:t>2分</w:t>
            </w:r>
          </w:p>
        </w:tc>
        <w:tc>
          <w:tcPr>
            <w:tcW w:w="5633"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20" w:lineRule="atLeast"/>
              <w:ind w:firstLine="210" w:firstLineChars="100"/>
              <w:textAlignment w:val="auto"/>
              <w:rPr>
                <w:rFonts w:hint="eastAsia" w:ascii="宋体" w:hAnsi="宋体" w:eastAsia="宋体" w:cs="宋体"/>
                <w:color w:val="auto"/>
                <w:sz w:val="21"/>
                <w:szCs w:val="21"/>
                <w:highlight w:val="none"/>
                <w:lang w:val="en-US" w:eastAsia="zh-CN"/>
              </w:rPr>
            </w:pPr>
            <w:r>
              <w:rPr>
                <w:rFonts w:hint="eastAsia" w:ascii="宋体" w:hAnsi="宋体" w:cs="仿宋"/>
                <w:color w:val="auto"/>
                <w:szCs w:val="21"/>
                <w:highlight w:val="none"/>
              </w:rPr>
              <w:t>内网云平台扩容现有的版本升级服务，有完整、可行的升级方案，</w:t>
            </w:r>
            <w:r>
              <w:rPr>
                <w:rFonts w:hint="eastAsia" w:ascii="宋体" w:hAnsi="宋体" w:cs="宋体"/>
                <w:color w:val="auto"/>
                <w:szCs w:val="21"/>
                <w:highlight w:val="none"/>
              </w:rPr>
              <w:t>根据投标文件的响应情况</w:t>
            </w:r>
            <w:r>
              <w:rPr>
                <w:rFonts w:hint="eastAsia" w:ascii="宋体" w:hAnsi="宋体" w:cs="仿宋"/>
                <w:color w:val="auto"/>
                <w:szCs w:val="21"/>
                <w:highlight w:val="none"/>
              </w:rPr>
              <w:t>进行综合评</w:t>
            </w:r>
            <w:r>
              <w:rPr>
                <w:rFonts w:hint="eastAsia" w:ascii="宋体" w:hAnsi="宋体" w:cs="仿宋"/>
                <w:color w:val="auto"/>
                <w:szCs w:val="21"/>
                <w:highlight w:val="none"/>
                <w:lang w:val="en-US" w:eastAsia="zh-CN"/>
              </w:rPr>
              <w:t>价0-2分</w:t>
            </w:r>
            <w:r>
              <w:rPr>
                <w:rFonts w:hint="eastAsia" w:ascii="宋体" w:hAnsi="宋体" w:eastAsia="宋体" w:cs="宋体"/>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trPr>
        <w:tc>
          <w:tcPr>
            <w:tcW w:w="652"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788"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1492" w:type="dxa"/>
            <w:tcBorders>
              <w:left w:val="single" w:color="auto" w:sz="4" w:space="0"/>
              <w:right w:val="single" w:color="auto" w:sz="4" w:space="0"/>
            </w:tcBorders>
            <w:vAlign w:val="center"/>
          </w:tcPr>
          <w:p>
            <w:pPr>
              <w:jc w:val="center"/>
              <w:rPr>
                <w:rFonts w:hint="eastAsia" w:ascii="宋体" w:hAnsi="宋体" w:eastAsia="宋体" w:cs="宋体"/>
                <w:szCs w:val="21"/>
                <w:lang w:bidi="ar"/>
              </w:rPr>
            </w:pPr>
            <w:r>
              <w:rPr>
                <w:rFonts w:hint="eastAsia" w:ascii="宋体" w:hAnsi="宋体" w:eastAsia="宋体" w:cs="宋体"/>
                <w:szCs w:val="21"/>
                <w:lang w:bidi="ar"/>
              </w:rPr>
              <w:t>合理化建议及风险防控</w:t>
            </w:r>
          </w:p>
          <w:p>
            <w:pPr>
              <w:autoSpaceDE w:val="0"/>
              <w:autoSpaceDN w:val="0"/>
              <w:adjustRightInd w:val="0"/>
              <w:spacing w:line="320" w:lineRule="exact"/>
              <w:ind w:firstLine="105" w:firstLineChars="50"/>
              <w:jc w:val="center"/>
              <w:rPr>
                <w:rFonts w:hint="eastAsia" w:ascii="宋体" w:hAnsi="宋体" w:eastAsia="宋体" w:cs="宋体"/>
                <w:color w:val="auto"/>
                <w:sz w:val="21"/>
                <w:szCs w:val="21"/>
                <w:highlight w:val="none"/>
              </w:rPr>
            </w:pPr>
            <w:r>
              <w:rPr>
                <w:rFonts w:hint="eastAsia" w:ascii="宋体" w:hAnsi="宋体" w:eastAsia="宋体" w:cs="宋体"/>
                <w:szCs w:val="21"/>
                <w:lang w:bidi="ar"/>
              </w:rPr>
              <w:t>（</w:t>
            </w:r>
            <w:r>
              <w:rPr>
                <w:rFonts w:hint="eastAsia" w:ascii="宋体" w:hAnsi="宋体" w:cs="宋体"/>
                <w:szCs w:val="21"/>
                <w:lang w:val="en-US" w:eastAsia="zh-CN" w:bidi="ar"/>
              </w:rPr>
              <w:t>3</w:t>
            </w:r>
            <w:r>
              <w:rPr>
                <w:rFonts w:hint="eastAsia" w:ascii="宋体" w:hAnsi="宋体" w:eastAsia="宋体" w:cs="宋体"/>
                <w:szCs w:val="21"/>
                <w:lang w:bidi="ar"/>
              </w:rPr>
              <w:t>分）</w:t>
            </w:r>
          </w:p>
        </w:tc>
        <w:tc>
          <w:tcPr>
            <w:tcW w:w="930" w:type="dxa"/>
            <w:tcBorders>
              <w:top w:val="single" w:color="auto" w:sz="4" w:space="0"/>
              <w:left w:val="single" w:color="auto" w:sz="4" w:space="0"/>
              <w:right w:val="single" w:color="auto" w:sz="4" w:space="0"/>
            </w:tcBorders>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lang w:val="en-US" w:eastAsia="zh-CN"/>
              </w:rPr>
              <w:t>3分</w:t>
            </w:r>
          </w:p>
        </w:tc>
        <w:tc>
          <w:tcPr>
            <w:tcW w:w="5633" w:type="dxa"/>
            <w:tcBorders>
              <w:top w:val="single" w:color="auto" w:sz="4" w:space="0"/>
              <w:left w:val="single" w:color="auto" w:sz="4" w:space="0"/>
              <w:right w:val="single" w:color="auto" w:sz="4" w:space="0"/>
            </w:tcBorders>
            <w:vAlign w:val="center"/>
          </w:tcPr>
          <w:p>
            <w:pPr>
              <w:rPr>
                <w:rFonts w:hint="eastAsia" w:ascii="宋体" w:hAnsi="宋体" w:cs="仿宋"/>
                <w:color w:val="auto"/>
                <w:szCs w:val="21"/>
                <w:highlight w:val="none"/>
              </w:rPr>
            </w:pPr>
            <w:r>
              <w:rPr>
                <w:rFonts w:hint="eastAsia" w:ascii="宋体" w:hAnsi="宋体" w:cs="宋体"/>
                <w:szCs w:val="21"/>
                <w:lang w:val="en-US" w:eastAsia="zh-CN" w:bidi="ar"/>
              </w:rPr>
              <w:t>对本项目的</w:t>
            </w:r>
            <w:r>
              <w:rPr>
                <w:rFonts w:hint="eastAsia" w:ascii="宋体" w:hAnsi="宋体" w:eastAsia="宋体" w:cs="宋体"/>
                <w:szCs w:val="21"/>
                <w:lang w:bidi="ar"/>
              </w:rPr>
              <w:t>风险分析、合理化建议。</w:t>
            </w:r>
            <w:r>
              <w:rPr>
                <w:rFonts w:hint="eastAsia" w:ascii="宋体" w:hAnsi="宋体" w:cs="宋体"/>
                <w:color w:val="auto"/>
                <w:szCs w:val="21"/>
                <w:highlight w:val="none"/>
              </w:rPr>
              <w:t>根据投标文件的响应情况</w:t>
            </w:r>
            <w:r>
              <w:rPr>
                <w:rFonts w:hint="eastAsia" w:ascii="宋体" w:hAnsi="宋体" w:cs="仿宋"/>
                <w:color w:val="auto"/>
                <w:szCs w:val="21"/>
                <w:highlight w:val="none"/>
              </w:rPr>
              <w:t>进行综合评</w:t>
            </w:r>
            <w:r>
              <w:rPr>
                <w:rFonts w:hint="eastAsia" w:ascii="宋体" w:hAnsi="宋体" w:cs="仿宋"/>
                <w:color w:val="auto"/>
                <w:szCs w:val="21"/>
                <w:highlight w:val="none"/>
                <w:lang w:val="en-US" w:eastAsia="zh-CN"/>
              </w:rPr>
              <w:t>价0-3分</w:t>
            </w:r>
            <w:r>
              <w:rPr>
                <w:rFonts w:hint="eastAsia" w:ascii="宋体" w:hAnsi="宋体" w:eastAsia="宋体" w:cs="宋体"/>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trPr>
        <w:tc>
          <w:tcPr>
            <w:tcW w:w="652" w:type="dxa"/>
            <w:vMerge w:val="restart"/>
            <w:tcBorders>
              <w:left w:val="single" w:color="auto" w:sz="4" w:space="0"/>
              <w:right w:val="single" w:color="auto" w:sz="4" w:space="0"/>
            </w:tcBorders>
            <w:vAlign w:val="center"/>
          </w:tcPr>
          <w:p>
            <w:pPr>
              <w:widowControl/>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商务</w:t>
            </w:r>
          </w:p>
        </w:tc>
        <w:tc>
          <w:tcPr>
            <w:tcW w:w="788" w:type="dxa"/>
            <w:vMerge w:val="restart"/>
            <w:tcBorders>
              <w:left w:val="single" w:color="auto" w:sz="4" w:space="0"/>
              <w:right w:val="single" w:color="auto" w:sz="4" w:space="0"/>
            </w:tcBorders>
            <w:vAlign w:val="center"/>
          </w:tcPr>
          <w:p>
            <w:pPr>
              <w:widowControl/>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22</w:t>
            </w:r>
            <w:r>
              <w:rPr>
                <w:rFonts w:hint="eastAsia" w:ascii="宋体" w:hAnsi="宋体" w:eastAsia="宋体" w:cs="宋体"/>
                <w:color w:val="auto"/>
                <w:sz w:val="21"/>
                <w:szCs w:val="21"/>
                <w:highlight w:val="none"/>
                <w:lang w:val="zh-CN"/>
              </w:rPr>
              <w:t>分</w:t>
            </w:r>
          </w:p>
        </w:tc>
        <w:tc>
          <w:tcPr>
            <w:tcW w:w="1492" w:type="dxa"/>
            <w:tcBorders>
              <w:top w:val="single" w:color="auto" w:sz="4" w:space="0"/>
              <w:left w:val="single" w:color="auto" w:sz="4" w:space="0"/>
              <w:bottom w:val="single" w:color="auto" w:sz="4" w:space="0"/>
              <w:right w:val="single" w:color="auto" w:sz="4" w:space="0"/>
            </w:tcBorders>
            <w:vAlign w:val="center"/>
          </w:tcPr>
          <w:p>
            <w:pPr>
              <w:ind w:firstLine="525" w:firstLineChars="250"/>
              <w:rPr>
                <w:rFonts w:ascii="宋体" w:hAnsi="宋体" w:cs="宋体"/>
                <w:color w:val="auto"/>
                <w:szCs w:val="21"/>
                <w:highlight w:val="none"/>
              </w:rPr>
            </w:pPr>
            <w:r>
              <w:rPr>
                <w:rFonts w:hint="eastAsia" w:ascii="宋体" w:hAnsi="宋体" w:cs="宋体"/>
                <w:color w:val="auto"/>
                <w:szCs w:val="21"/>
                <w:highlight w:val="none"/>
              </w:rPr>
              <w:t>业绩</w:t>
            </w:r>
          </w:p>
          <w:p>
            <w:pPr>
              <w:jc w:val="center"/>
              <w:rPr>
                <w:rFonts w:hint="eastAsia" w:ascii="宋体" w:hAnsi="宋体" w:eastAsia="宋体" w:cs="宋体"/>
                <w:color w:val="auto"/>
                <w:sz w:val="21"/>
                <w:szCs w:val="21"/>
                <w:highlight w:val="none"/>
                <w:lang w:val="zh-CN"/>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lang w:val="zh-CN"/>
              </w:rPr>
              <w:t>分</w:t>
            </w:r>
            <w:r>
              <w:rPr>
                <w:rFonts w:hint="eastAsia" w:ascii="宋体" w:hAnsi="宋体" w:cs="宋体"/>
                <w:color w:val="auto"/>
                <w:szCs w:val="21"/>
                <w:highlight w:val="none"/>
              </w:rPr>
              <w:t>）</w:t>
            </w:r>
          </w:p>
        </w:tc>
        <w:tc>
          <w:tcPr>
            <w:tcW w:w="9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lang w:val="zh-CN"/>
              </w:rPr>
              <w:t>分</w:t>
            </w:r>
          </w:p>
        </w:tc>
        <w:tc>
          <w:tcPr>
            <w:tcW w:w="56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288" w:lineRule="auto"/>
              <w:ind w:firstLine="210" w:firstLineChars="100"/>
              <w:jc w:val="left"/>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投标人或</w:t>
            </w:r>
            <w:r>
              <w:rPr>
                <w:rFonts w:hint="eastAsia" w:ascii="宋体" w:hAnsi="宋体" w:eastAsia="宋体" w:cs="宋体"/>
                <w:i w:val="0"/>
                <w:iCs w:val="0"/>
                <w:color w:val="000000"/>
                <w:kern w:val="0"/>
                <w:sz w:val="21"/>
                <w:szCs w:val="21"/>
                <w:u w:val="none"/>
                <w:lang w:val="en-US" w:eastAsia="zh-CN" w:bidi="ar"/>
              </w:rPr>
              <w:t>产品制造商</w:t>
            </w:r>
            <w:r>
              <w:rPr>
                <w:rFonts w:hint="eastAsia" w:ascii="宋体" w:hAnsi="宋体" w:cs="宋体"/>
                <w:i w:val="0"/>
                <w:iCs w:val="0"/>
                <w:color w:val="000000"/>
                <w:kern w:val="0"/>
                <w:sz w:val="21"/>
                <w:szCs w:val="21"/>
                <w:u w:val="none"/>
                <w:lang w:val="en-US" w:eastAsia="zh-CN" w:bidi="ar"/>
              </w:rPr>
              <w:t>自</w:t>
            </w:r>
            <w:r>
              <w:rPr>
                <w:rFonts w:hint="eastAsia" w:ascii="宋体" w:hAnsi="宋体" w:eastAsia="宋体" w:cs="宋体"/>
                <w:color w:val="auto"/>
                <w:sz w:val="21"/>
                <w:szCs w:val="21"/>
                <w:highlight w:val="none"/>
              </w:rPr>
              <w:t>20</w:t>
            </w:r>
            <w:r>
              <w:rPr>
                <w:rFonts w:hint="eastAsia" w:ascii="宋体" w:hAnsi="宋体" w:cs="宋体"/>
                <w:color w:val="auto"/>
                <w:sz w:val="21"/>
                <w:szCs w:val="21"/>
                <w:highlight w:val="none"/>
                <w:lang w:val="en-US" w:eastAsia="zh-CN"/>
              </w:rPr>
              <w:t>20</w:t>
            </w:r>
            <w:r>
              <w:rPr>
                <w:rFonts w:hint="eastAsia" w:ascii="宋体" w:hAnsi="宋体" w:eastAsia="宋体" w:cs="宋体"/>
                <w:color w:val="auto"/>
                <w:sz w:val="21"/>
                <w:szCs w:val="21"/>
                <w:highlight w:val="none"/>
              </w:rPr>
              <w:t>年1月1日至今</w:t>
            </w:r>
            <w:r>
              <w:rPr>
                <w:rFonts w:hint="eastAsia" w:ascii="宋体" w:hAnsi="宋体" w:eastAsia="宋体" w:cs="宋体"/>
                <w:color w:val="auto"/>
                <w:sz w:val="21"/>
                <w:szCs w:val="21"/>
                <w:highlight w:val="none"/>
                <w:lang w:val="en-US" w:eastAsia="zh-CN"/>
              </w:rPr>
              <w:t>具有类似产品业绩</w:t>
            </w:r>
            <w:r>
              <w:rPr>
                <w:rFonts w:hint="eastAsia" w:ascii="宋体" w:hAnsi="宋体" w:cs="宋体"/>
                <w:color w:val="auto"/>
                <w:sz w:val="21"/>
                <w:szCs w:val="21"/>
                <w:highlight w:val="none"/>
                <w:lang w:val="en-US" w:eastAsia="zh-CN"/>
              </w:rPr>
              <w:t>或</w:t>
            </w:r>
            <w:r>
              <w:rPr>
                <w:rFonts w:hint="eastAsia" w:ascii="宋体" w:hAnsi="宋体" w:eastAsia="宋体" w:cs="宋体"/>
                <w:i w:val="0"/>
                <w:iCs w:val="0"/>
                <w:color w:val="000000"/>
                <w:kern w:val="0"/>
                <w:sz w:val="21"/>
                <w:szCs w:val="21"/>
                <w:u w:val="none"/>
                <w:lang w:val="en-US" w:eastAsia="zh-CN" w:bidi="ar"/>
              </w:rPr>
              <w:t>建设案例，</w:t>
            </w:r>
            <w:r>
              <w:rPr>
                <w:rFonts w:hint="eastAsia" w:ascii="宋体" w:hAnsi="宋体" w:eastAsia="宋体" w:cs="宋体"/>
                <w:color w:val="auto"/>
                <w:sz w:val="21"/>
                <w:szCs w:val="21"/>
                <w:highlight w:val="none"/>
              </w:rPr>
              <w:t>提供业绩列表及对应合同（</w:t>
            </w:r>
            <w:r>
              <w:rPr>
                <w:rFonts w:hint="eastAsia" w:ascii="宋体" w:hAnsi="宋体" w:cs="宋体"/>
                <w:color w:val="auto"/>
                <w:sz w:val="21"/>
                <w:szCs w:val="21"/>
                <w:highlight w:val="none"/>
                <w:lang w:val="en-US" w:eastAsia="zh-CN"/>
              </w:rPr>
              <w:t>提供合同复印件加盖公章，</w:t>
            </w:r>
            <w:r>
              <w:rPr>
                <w:rFonts w:hint="eastAsia" w:ascii="宋体" w:hAnsi="宋体" w:eastAsia="宋体" w:cs="宋体"/>
                <w:color w:val="auto"/>
                <w:sz w:val="21"/>
                <w:szCs w:val="21"/>
                <w:highlight w:val="none"/>
              </w:rPr>
              <w:t>以合同签订日期为准），每提供1个符合要求的业绩得</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分，本项最高为</w:t>
            </w: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trPr>
        <w:tc>
          <w:tcPr>
            <w:tcW w:w="652" w:type="dxa"/>
            <w:vMerge w:val="continue"/>
            <w:tcBorders>
              <w:left w:val="single" w:color="auto" w:sz="4" w:space="0"/>
              <w:right w:val="single" w:color="auto" w:sz="4" w:space="0"/>
            </w:tcBorders>
            <w:vAlign w:val="center"/>
          </w:tcPr>
          <w:p>
            <w:pPr>
              <w:widowControl/>
              <w:jc w:val="center"/>
              <w:rPr>
                <w:rFonts w:hint="eastAsia" w:ascii="宋体" w:hAnsi="宋体" w:eastAsia="宋体" w:cs="宋体"/>
                <w:color w:val="auto"/>
                <w:sz w:val="21"/>
                <w:szCs w:val="21"/>
                <w:highlight w:val="none"/>
              </w:rPr>
            </w:pPr>
          </w:p>
        </w:tc>
        <w:tc>
          <w:tcPr>
            <w:tcW w:w="788" w:type="dxa"/>
            <w:vMerge w:val="continue"/>
            <w:tcBorders>
              <w:left w:val="single" w:color="auto" w:sz="4" w:space="0"/>
              <w:right w:val="single" w:color="auto" w:sz="4" w:space="0"/>
            </w:tcBorders>
            <w:vAlign w:val="center"/>
          </w:tcPr>
          <w:p>
            <w:pPr>
              <w:widowControl/>
              <w:jc w:val="center"/>
              <w:rPr>
                <w:rFonts w:hint="eastAsia" w:ascii="宋体" w:hAnsi="宋体" w:eastAsia="宋体" w:cs="宋体"/>
                <w:color w:val="auto"/>
                <w:sz w:val="21"/>
                <w:szCs w:val="21"/>
                <w:highlight w:val="none"/>
              </w:rPr>
            </w:pPr>
          </w:p>
        </w:tc>
        <w:tc>
          <w:tcPr>
            <w:tcW w:w="14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lang w:val="zh-CN"/>
              </w:rPr>
            </w:pPr>
            <w:r>
              <w:rPr>
                <w:rFonts w:hint="eastAsia" w:ascii="宋体" w:hAnsi="宋体" w:cs="宋体"/>
                <w:color w:val="auto"/>
                <w:szCs w:val="21"/>
                <w:highlight w:val="none"/>
                <w:lang w:val="zh-CN"/>
              </w:rPr>
              <w:t>商务条款响应</w:t>
            </w:r>
          </w:p>
          <w:p>
            <w:pPr>
              <w:pStyle w:val="28"/>
              <w:jc w:val="center"/>
              <w:rPr>
                <w:rFonts w:hint="eastAsia" w:ascii="宋体" w:hAnsi="宋体" w:eastAsia="宋体" w:cs="宋体"/>
                <w:color w:val="auto"/>
                <w:sz w:val="21"/>
                <w:szCs w:val="21"/>
                <w:highlight w:val="none"/>
                <w:lang w:val="zh-CN"/>
              </w:rPr>
            </w:pPr>
            <w:r>
              <w:rPr>
                <w:rFonts w:hint="eastAsia" w:ascii="宋体" w:hAnsi="宋体" w:cs="宋体"/>
                <w:color w:val="auto"/>
                <w:szCs w:val="21"/>
                <w:highlight w:val="none"/>
              </w:rPr>
              <w:t>（</w:t>
            </w:r>
            <w:r>
              <w:rPr>
                <w:rFonts w:ascii="宋体" w:hAnsi="宋体" w:cs="宋体"/>
                <w:color w:val="auto"/>
                <w:szCs w:val="21"/>
                <w:highlight w:val="none"/>
              </w:rPr>
              <w:t>2</w:t>
            </w:r>
            <w:r>
              <w:rPr>
                <w:rFonts w:hint="eastAsia" w:ascii="宋体" w:hAnsi="宋体" w:cs="宋体"/>
                <w:color w:val="auto"/>
                <w:szCs w:val="21"/>
                <w:highlight w:val="none"/>
                <w:lang w:val="zh-CN"/>
              </w:rPr>
              <w:t>分</w:t>
            </w:r>
            <w:r>
              <w:rPr>
                <w:rFonts w:hint="eastAsia" w:ascii="宋体" w:hAnsi="宋体" w:cs="宋体"/>
                <w:color w:val="auto"/>
                <w:szCs w:val="21"/>
                <w:highlight w:val="none"/>
              </w:rPr>
              <w:t>）</w:t>
            </w: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zh-CN"/>
              </w:rPr>
              <w:t>分</w:t>
            </w:r>
          </w:p>
        </w:tc>
        <w:tc>
          <w:tcPr>
            <w:tcW w:w="56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20" w:lineRule="atLeast"/>
              <w:ind w:firstLine="210" w:firstLineChars="1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商务条款（包括但不限于</w:t>
            </w:r>
            <w:r>
              <w:rPr>
                <w:rFonts w:hint="eastAsia" w:ascii="宋体" w:hAnsi="宋体" w:cs="宋体"/>
                <w:color w:val="auto"/>
                <w:sz w:val="21"/>
                <w:szCs w:val="21"/>
                <w:highlight w:val="none"/>
                <w:lang w:val="en-US" w:eastAsia="zh-CN"/>
              </w:rPr>
              <w:t>实施完工期</w:t>
            </w:r>
            <w:r>
              <w:rPr>
                <w:rFonts w:hint="eastAsia" w:ascii="宋体" w:hAnsi="宋体" w:eastAsia="宋体" w:cs="宋体"/>
                <w:color w:val="auto"/>
                <w:sz w:val="21"/>
                <w:szCs w:val="21"/>
                <w:highlight w:val="none"/>
              </w:rPr>
              <w:t>、质量保证期、</w:t>
            </w:r>
            <w:r>
              <w:rPr>
                <w:rFonts w:hint="eastAsia" w:ascii="宋体" w:hAnsi="宋体" w:eastAsia="宋体" w:cs="宋体"/>
                <w:color w:val="auto"/>
                <w:sz w:val="21"/>
                <w:szCs w:val="21"/>
                <w:highlight w:val="none"/>
                <w:lang w:val="en-US" w:eastAsia="zh-CN"/>
              </w:rPr>
              <w:t>付款方式、应急响应</w:t>
            </w:r>
            <w:r>
              <w:rPr>
                <w:rFonts w:hint="eastAsia" w:ascii="宋体" w:hAnsi="宋体" w:eastAsia="宋体" w:cs="宋体"/>
                <w:color w:val="auto"/>
                <w:sz w:val="21"/>
                <w:szCs w:val="21"/>
                <w:highlight w:val="none"/>
              </w:rPr>
              <w:t>等）优于招标文件要求</w:t>
            </w:r>
            <w:r>
              <w:rPr>
                <w:rFonts w:hint="eastAsia" w:ascii="宋体" w:hAnsi="宋体" w:cs="宋体"/>
                <w:color w:val="auto"/>
                <w:sz w:val="21"/>
                <w:szCs w:val="21"/>
                <w:highlight w:val="none"/>
                <w:lang w:eastAsia="zh-CN"/>
              </w:rPr>
              <w:t>，</w:t>
            </w:r>
            <w:r>
              <w:rPr>
                <w:rFonts w:hint="eastAsia" w:ascii="宋体" w:hAnsi="宋体" w:cs="宋体"/>
                <w:color w:val="auto"/>
                <w:szCs w:val="21"/>
                <w:highlight w:val="none"/>
              </w:rPr>
              <w:t>根据投标文件的响应情况</w:t>
            </w:r>
            <w:r>
              <w:rPr>
                <w:rFonts w:hint="eastAsia" w:ascii="宋体" w:hAnsi="宋体" w:cs="仿宋"/>
                <w:color w:val="auto"/>
                <w:szCs w:val="21"/>
                <w:highlight w:val="none"/>
              </w:rPr>
              <w:t>进行综合评</w:t>
            </w:r>
            <w:r>
              <w:rPr>
                <w:rFonts w:hint="eastAsia" w:ascii="宋体" w:hAnsi="宋体" w:cs="仿宋"/>
                <w:color w:val="auto"/>
                <w:szCs w:val="21"/>
                <w:highlight w:val="none"/>
                <w:lang w:val="en-US" w:eastAsia="zh-CN"/>
              </w:rPr>
              <w:t>价0-2分</w:t>
            </w:r>
            <w:r>
              <w:rPr>
                <w:rFonts w:hint="eastAsia" w:ascii="宋体" w:hAnsi="宋体" w:eastAsia="宋体" w:cs="宋体"/>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4" w:hRule="atLeast"/>
        </w:trPr>
        <w:tc>
          <w:tcPr>
            <w:tcW w:w="652"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788"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1492"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售后服务</w:t>
            </w:r>
          </w:p>
          <w:p>
            <w:pPr>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lang w:val="en-US" w:eastAsia="zh-CN"/>
              </w:rPr>
              <w:t>分）</w:t>
            </w:r>
          </w:p>
        </w:tc>
        <w:tc>
          <w:tcPr>
            <w:tcW w:w="930" w:type="dxa"/>
            <w:tcBorders>
              <w:top w:val="single" w:color="auto" w:sz="4" w:space="0"/>
              <w:left w:val="single" w:color="auto" w:sz="4" w:space="0"/>
              <w:right w:val="single" w:color="auto" w:sz="4" w:space="0"/>
            </w:tcBorders>
            <w:vAlign w:val="center"/>
          </w:tcPr>
          <w:p>
            <w:pPr>
              <w:spacing w:line="30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tc>
        <w:tc>
          <w:tcPr>
            <w:tcW w:w="5633"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20" w:lineRule="atLeast"/>
              <w:ind w:firstLine="210" w:firstLineChars="1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有完整、可行的培训方案，明确具体培训方式、培训内容、培训人员数量、效果评价等，</w:t>
            </w:r>
            <w:r>
              <w:rPr>
                <w:rFonts w:hint="eastAsia" w:ascii="宋体" w:hAnsi="宋体" w:cs="宋体"/>
                <w:color w:val="auto"/>
                <w:szCs w:val="21"/>
                <w:highlight w:val="none"/>
              </w:rPr>
              <w:t>根据投标文件的响应情况</w:t>
            </w:r>
            <w:r>
              <w:rPr>
                <w:rFonts w:hint="eastAsia" w:ascii="宋体" w:hAnsi="宋体" w:cs="仿宋"/>
                <w:color w:val="auto"/>
                <w:szCs w:val="21"/>
                <w:highlight w:val="none"/>
              </w:rPr>
              <w:t>进行综合评</w:t>
            </w:r>
            <w:r>
              <w:rPr>
                <w:rFonts w:hint="eastAsia" w:ascii="宋体" w:hAnsi="宋体" w:cs="仿宋"/>
                <w:color w:val="auto"/>
                <w:szCs w:val="21"/>
                <w:highlight w:val="none"/>
                <w:lang w:val="en-US" w:eastAsia="zh-CN"/>
              </w:rPr>
              <w:t>价0-3分</w:t>
            </w:r>
            <w:r>
              <w:rPr>
                <w:rFonts w:hint="eastAsia" w:ascii="宋体" w:hAnsi="宋体" w:eastAsia="宋体" w:cs="宋体"/>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5" w:hRule="atLeast"/>
        </w:trPr>
        <w:tc>
          <w:tcPr>
            <w:tcW w:w="652"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788"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1492" w:type="dxa"/>
            <w:vMerge w:val="continue"/>
            <w:tcBorders>
              <w:left w:val="single" w:color="auto" w:sz="4" w:space="0"/>
              <w:right w:val="single" w:color="auto" w:sz="4" w:space="0"/>
            </w:tcBorders>
            <w:vAlign w:val="center"/>
          </w:tcPr>
          <w:p>
            <w:pPr>
              <w:spacing w:line="300" w:lineRule="exact"/>
              <w:jc w:val="center"/>
              <w:rPr>
                <w:rFonts w:hint="eastAsia" w:ascii="宋体" w:hAnsi="宋体" w:cs="宋体"/>
                <w:color w:val="auto"/>
                <w:sz w:val="21"/>
                <w:szCs w:val="21"/>
                <w:highlight w:val="none"/>
                <w:lang w:val="en-US" w:eastAsia="zh-CN"/>
              </w:rPr>
            </w:pPr>
          </w:p>
        </w:tc>
        <w:tc>
          <w:tcPr>
            <w:tcW w:w="930" w:type="dxa"/>
            <w:tcBorders>
              <w:top w:val="single" w:color="auto" w:sz="4" w:space="0"/>
              <w:left w:val="single" w:color="auto" w:sz="4" w:space="0"/>
              <w:right w:val="single" w:color="auto" w:sz="4" w:space="0"/>
            </w:tcBorders>
            <w:vAlign w:val="center"/>
          </w:tcPr>
          <w:p>
            <w:pPr>
              <w:autoSpaceDE w:val="0"/>
              <w:autoSpaceDN w:val="0"/>
              <w:adjustRightInd w:val="0"/>
              <w:spacing w:line="30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分</w:t>
            </w:r>
          </w:p>
        </w:tc>
        <w:tc>
          <w:tcPr>
            <w:tcW w:w="5633"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20" w:lineRule="atLeast"/>
              <w:ind w:firstLine="210" w:firstLineChars="1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提供后期维护方案，应包含但不限于</w:t>
            </w:r>
            <w:r>
              <w:rPr>
                <w:rFonts w:hint="eastAsia" w:ascii="宋体" w:hAnsi="宋体" w:eastAsia="宋体" w:cs="宋体"/>
                <w:color w:val="auto"/>
                <w:sz w:val="21"/>
                <w:szCs w:val="21"/>
                <w:highlight w:val="none"/>
                <w:lang w:val="en-US" w:eastAsia="zh-CN"/>
              </w:rPr>
              <w:t>设备</w:t>
            </w:r>
            <w:r>
              <w:rPr>
                <w:rFonts w:hint="eastAsia" w:ascii="宋体" w:hAnsi="宋体" w:eastAsia="宋体" w:cs="宋体"/>
                <w:color w:val="auto"/>
                <w:sz w:val="21"/>
                <w:szCs w:val="21"/>
                <w:highlight w:val="none"/>
              </w:rPr>
              <w:t>日常</w:t>
            </w:r>
            <w:r>
              <w:rPr>
                <w:rFonts w:hint="eastAsia" w:ascii="宋体" w:hAnsi="宋体" w:eastAsia="宋体" w:cs="宋体"/>
                <w:color w:val="auto"/>
                <w:sz w:val="21"/>
                <w:szCs w:val="21"/>
                <w:highlight w:val="none"/>
                <w:lang w:val="en-US" w:eastAsia="zh-CN"/>
              </w:rPr>
              <w:t>巡查</w:t>
            </w:r>
            <w:r>
              <w:rPr>
                <w:rFonts w:hint="eastAsia" w:ascii="宋体" w:hAnsi="宋体" w:eastAsia="宋体" w:cs="宋体"/>
                <w:color w:val="auto"/>
                <w:sz w:val="21"/>
                <w:szCs w:val="21"/>
                <w:highlight w:val="none"/>
              </w:rPr>
              <w:t>、故障维护与故障报修等，有针对性的保养维护计划</w:t>
            </w:r>
            <w:r>
              <w:rPr>
                <w:rFonts w:hint="eastAsia" w:ascii="宋体" w:hAnsi="宋体" w:cs="宋体"/>
                <w:color w:val="auto"/>
                <w:sz w:val="21"/>
                <w:szCs w:val="21"/>
                <w:highlight w:val="none"/>
                <w:lang w:eastAsia="zh-CN"/>
              </w:rPr>
              <w:t>，</w:t>
            </w:r>
            <w:r>
              <w:rPr>
                <w:rFonts w:hint="eastAsia" w:ascii="宋体" w:hAnsi="宋体" w:cs="宋体"/>
                <w:color w:val="auto"/>
                <w:szCs w:val="21"/>
                <w:highlight w:val="none"/>
              </w:rPr>
              <w:t>根据投标文件的响应情况</w:t>
            </w:r>
            <w:r>
              <w:rPr>
                <w:rFonts w:hint="eastAsia" w:ascii="宋体" w:hAnsi="宋体" w:cs="仿宋"/>
                <w:color w:val="auto"/>
                <w:szCs w:val="21"/>
                <w:highlight w:val="none"/>
              </w:rPr>
              <w:t>进行综合评</w:t>
            </w:r>
            <w:r>
              <w:rPr>
                <w:rFonts w:hint="eastAsia" w:ascii="宋体" w:hAnsi="宋体" w:cs="仿宋"/>
                <w:color w:val="auto"/>
                <w:szCs w:val="21"/>
                <w:highlight w:val="none"/>
                <w:lang w:val="en-US" w:eastAsia="zh-CN"/>
              </w:rPr>
              <w:t>价0-4分</w:t>
            </w:r>
            <w:r>
              <w:rPr>
                <w:rFonts w:hint="eastAsia" w:ascii="宋体" w:hAnsi="宋体" w:eastAsia="宋体" w:cs="宋体"/>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trPr>
        <w:tc>
          <w:tcPr>
            <w:tcW w:w="652"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788"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1492" w:type="dxa"/>
            <w:vMerge w:val="continue"/>
            <w:tcBorders>
              <w:left w:val="single" w:color="auto" w:sz="4" w:space="0"/>
              <w:right w:val="single" w:color="auto" w:sz="4" w:space="0"/>
            </w:tcBorders>
            <w:vAlign w:val="center"/>
          </w:tcPr>
          <w:p>
            <w:pPr>
              <w:spacing w:line="300" w:lineRule="exact"/>
              <w:jc w:val="center"/>
              <w:rPr>
                <w:rFonts w:hint="eastAsia" w:ascii="宋体" w:hAnsi="宋体" w:cs="宋体"/>
                <w:color w:val="auto"/>
                <w:sz w:val="21"/>
                <w:szCs w:val="21"/>
                <w:highlight w:val="none"/>
                <w:lang w:val="en-US" w:eastAsia="zh-CN"/>
              </w:rPr>
            </w:pPr>
          </w:p>
        </w:tc>
        <w:tc>
          <w:tcPr>
            <w:tcW w:w="930" w:type="dxa"/>
            <w:tcBorders>
              <w:top w:val="single" w:color="auto" w:sz="4" w:space="0"/>
              <w:left w:val="single" w:color="auto" w:sz="4" w:space="0"/>
              <w:right w:val="single" w:color="auto" w:sz="4" w:space="0"/>
            </w:tcBorders>
            <w:vAlign w:val="center"/>
          </w:tcPr>
          <w:p>
            <w:pPr>
              <w:spacing w:line="30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tc>
        <w:tc>
          <w:tcPr>
            <w:tcW w:w="5633"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20" w:lineRule="atLeast"/>
              <w:ind w:firstLine="210" w:firstLineChars="1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投标人</w:t>
            </w:r>
            <w:r>
              <w:rPr>
                <w:rFonts w:hint="eastAsia" w:ascii="宋体" w:hAnsi="宋体" w:cs="宋体"/>
                <w:color w:val="auto"/>
                <w:sz w:val="21"/>
                <w:szCs w:val="21"/>
                <w:highlight w:val="none"/>
                <w:lang w:val="en-US" w:eastAsia="zh-CN"/>
              </w:rPr>
              <w:t>可以提供本地化服务</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提供有效证明</w:t>
            </w:r>
            <w:r>
              <w:rPr>
                <w:rFonts w:hint="eastAsia" w:ascii="宋体" w:hAnsi="宋体" w:cs="宋体"/>
                <w:color w:val="auto"/>
                <w:sz w:val="21"/>
                <w:szCs w:val="21"/>
                <w:highlight w:val="none"/>
                <w:lang w:val="en-US" w:eastAsia="zh-CN"/>
              </w:rPr>
              <w:t>材料</w:t>
            </w:r>
            <w:r>
              <w:rPr>
                <w:rFonts w:hint="eastAsia" w:ascii="宋体" w:hAnsi="宋体" w:eastAsia="宋体" w:cs="宋体"/>
                <w:color w:val="auto"/>
                <w:sz w:val="21"/>
                <w:szCs w:val="21"/>
                <w:highlight w:val="none"/>
              </w:rPr>
              <w:t>，并承诺对</w:t>
            </w:r>
            <w:r>
              <w:rPr>
                <w:rFonts w:hint="eastAsia" w:ascii="宋体" w:hAnsi="宋体" w:cs="宋体"/>
                <w:color w:val="auto"/>
                <w:sz w:val="21"/>
                <w:szCs w:val="21"/>
                <w:highlight w:val="none"/>
                <w:lang w:val="en-US" w:eastAsia="zh-CN"/>
              </w:rPr>
              <w:t>系统及设备维护</w:t>
            </w:r>
            <w:r>
              <w:rPr>
                <w:rFonts w:hint="eastAsia" w:ascii="宋体" w:hAnsi="宋体" w:eastAsia="宋体" w:cs="宋体"/>
                <w:color w:val="auto"/>
                <w:sz w:val="21"/>
                <w:szCs w:val="21"/>
                <w:highlight w:val="none"/>
              </w:rPr>
              <w:t>、备品的供应、技术咨询等提供长期、可信的服务，</w:t>
            </w:r>
            <w:r>
              <w:rPr>
                <w:rFonts w:hint="eastAsia" w:ascii="宋体" w:hAnsi="宋体" w:cs="宋体"/>
                <w:color w:val="auto"/>
                <w:szCs w:val="21"/>
                <w:highlight w:val="none"/>
              </w:rPr>
              <w:t>根据投标文件的响应情况</w:t>
            </w:r>
            <w:r>
              <w:rPr>
                <w:rFonts w:hint="eastAsia" w:ascii="宋体" w:hAnsi="宋体" w:cs="仿宋"/>
                <w:color w:val="auto"/>
                <w:szCs w:val="21"/>
                <w:highlight w:val="none"/>
              </w:rPr>
              <w:t>进行综合评</w:t>
            </w:r>
            <w:r>
              <w:rPr>
                <w:rFonts w:hint="eastAsia" w:ascii="宋体" w:hAnsi="宋体" w:cs="仿宋"/>
                <w:color w:val="auto"/>
                <w:szCs w:val="21"/>
                <w:highlight w:val="none"/>
                <w:lang w:val="en-US" w:eastAsia="zh-CN"/>
              </w:rPr>
              <w:t>价0-3分</w:t>
            </w:r>
            <w:r>
              <w:rPr>
                <w:rFonts w:hint="eastAsia" w:ascii="宋体" w:hAnsi="宋体" w:eastAsia="宋体" w:cs="宋体"/>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9" w:hRule="atLeast"/>
        </w:trPr>
        <w:tc>
          <w:tcPr>
            <w:tcW w:w="652"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788"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1492" w:type="dxa"/>
            <w:tcBorders>
              <w:left w:val="single" w:color="auto" w:sz="4" w:space="0"/>
              <w:right w:val="single" w:color="auto" w:sz="4" w:space="0"/>
            </w:tcBorders>
            <w:vAlign w:val="center"/>
          </w:tcPr>
          <w:p>
            <w:pPr>
              <w:rPr>
                <w:rFonts w:hint="eastAsia" w:ascii="宋体" w:hAnsi="宋体" w:cs="宋体"/>
                <w:color w:val="auto"/>
                <w:sz w:val="21"/>
                <w:szCs w:val="21"/>
                <w:highlight w:val="none"/>
                <w:lang w:val="en-US" w:eastAsia="zh-CN"/>
              </w:rPr>
            </w:pPr>
            <w:r>
              <w:rPr>
                <w:rFonts w:hint="eastAsia" w:ascii="宋体" w:hAnsi="宋体" w:eastAsia="宋体" w:cs="宋体"/>
                <w:szCs w:val="21"/>
                <w:lang w:bidi="ar"/>
              </w:rPr>
              <w:t>质保期外服务方案（</w:t>
            </w:r>
            <w:r>
              <w:rPr>
                <w:rFonts w:hint="eastAsia" w:ascii="宋体" w:hAnsi="宋体" w:cs="宋体"/>
                <w:szCs w:val="21"/>
                <w:lang w:val="en-US" w:eastAsia="zh-CN" w:bidi="ar"/>
              </w:rPr>
              <w:t>2</w:t>
            </w:r>
            <w:r>
              <w:rPr>
                <w:rFonts w:hint="eastAsia" w:ascii="宋体" w:hAnsi="宋体" w:eastAsia="宋体" w:cs="宋体"/>
                <w:szCs w:val="21"/>
                <w:lang w:bidi="ar"/>
              </w:rPr>
              <w:t>分）</w:t>
            </w:r>
          </w:p>
        </w:tc>
        <w:tc>
          <w:tcPr>
            <w:tcW w:w="930"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lang w:val="en-US" w:eastAsia="zh-CN"/>
              </w:rPr>
              <w:t>2分</w:t>
            </w:r>
          </w:p>
        </w:tc>
        <w:tc>
          <w:tcPr>
            <w:tcW w:w="5633" w:type="dxa"/>
            <w:tcBorders>
              <w:top w:val="single" w:color="auto" w:sz="4" w:space="0"/>
              <w:left w:val="single" w:color="auto" w:sz="4" w:space="0"/>
              <w:right w:val="single" w:color="auto" w:sz="4" w:space="0"/>
            </w:tcBorders>
            <w:vAlign w:val="center"/>
          </w:tcPr>
          <w:p>
            <w:pPr>
              <w:rPr>
                <w:rFonts w:hint="eastAsia" w:ascii="宋体" w:hAnsi="宋体" w:eastAsia="宋体" w:cs="宋体"/>
                <w:color w:val="auto"/>
                <w:kern w:val="2"/>
                <w:sz w:val="21"/>
                <w:szCs w:val="21"/>
                <w:highlight w:val="none"/>
                <w:lang w:val="en-US" w:eastAsia="zh-CN" w:bidi="ar-SA"/>
              </w:rPr>
            </w:pPr>
            <w:r>
              <w:rPr>
                <w:rFonts w:hint="eastAsia" w:ascii="宋体" w:hAnsi="宋体" w:cs="宋体"/>
                <w:szCs w:val="21"/>
                <w:lang w:val="en-US" w:eastAsia="zh-CN" w:bidi="ar"/>
              </w:rPr>
              <w:t>提供</w:t>
            </w:r>
            <w:r>
              <w:rPr>
                <w:rFonts w:hint="eastAsia" w:ascii="宋体" w:hAnsi="宋体" w:eastAsia="宋体" w:cs="宋体"/>
                <w:szCs w:val="21"/>
                <w:lang w:bidi="ar"/>
              </w:rPr>
              <w:t>质保期满后的服务措施，</w:t>
            </w:r>
            <w:r>
              <w:rPr>
                <w:rFonts w:hint="eastAsia" w:ascii="宋体" w:hAnsi="宋体" w:cs="宋体"/>
                <w:color w:val="auto"/>
                <w:szCs w:val="21"/>
                <w:highlight w:val="none"/>
              </w:rPr>
              <w:t>根据投标文件的响应情况</w:t>
            </w:r>
            <w:r>
              <w:rPr>
                <w:rFonts w:hint="eastAsia" w:ascii="宋体" w:hAnsi="宋体" w:cs="仿宋"/>
                <w:color w:val="auto"/>
                <w:szCs w:val="21"/>
                <w:highlight w:val="none"/>
              </w:rPr>
              <w:t>进行综合评</w:t>
            </w:r>
            <w:r>
              <w:rPr>
                <w:rFonts w:hint="eastAsia" w:ascii="宋体" w:hAnsi="宋体" w:cs="仿宋"/>
                <w:color w:val="auto"/>
                <w:szCs w:val="21"/>
                <w:highlight w:val="none"/>
                <w:lang w:val="en-US" w:eastAsia="zh-CN"/>
              </w:rPr>
              <w:t>价0-2分</w:t>
            </w:r>
            <w:r>
              <w:rPr>
                <w:rFonts w:hint="eastAsia" w:ascii="宋体" w:hAnsi="宋体" w:eastAsia="宋体" w:cs="宋体"/>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652"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788"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1492" w:type="dxa"/>
            <w:tcBorders>
              <w:left w:val="single" w:color="auto" w:sz="4" w:space="0"/>
              <w:right w:val="single" w:color="auto" w:sz="4" w:space="0"/>
            </w:tcBorders>
            <w:vAlign w:val="center"/>
          </w:tcPr>
          <w:p>
            <w:pPr>
              <w:spacing w:line="300" w:lineRule="exact"/>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节能、环保产品（2分）</w:t>
            </w:r>
          </w:p>
        </w:tc>
        <w:tc>
          <w:tcPr>
            <w:tcW w:w="930" w:type="dxa"/>
            <w:tcBorders>
              <w:top w:val="single" w:color="auto" w:sz="4" w:space="0"/>
              <w:left w:val="single" w:color="auto" w:sz="4" w:space="0"/>
              <w:right w:val="single" w:color="auto" w:sz="4" w:space="0"/>
            </w:tcBorders>
            <w:vAlign w:val="center"/>
          </w:tcPr>
          <w:p>
            <w:pPr>
              <w:spacing w:line="300" w:lineRule="exact"/>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2分</w:t>
            </w:r>
          </w:p>
        </w:tc>
        <w:tc>
          <w:tcPr>
            <w:tcW w:w="5633"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20" w:lineRule="atLeast"/>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投标人所投的产品中每有一项为节能产品（非强制类）经国家认证的得0.5分，每有一项为环境标志产品经国家认证的得0.5分，</w:t>
            </w:r>
            <w:r>
              <w:rPr>
                <w:rFonts w:hint="eastAsia" w:ascii="宋体" w:hAnsi="宋体" w:cs="宋体"/>
                <w:color w:val="auto"/>
                <w:kern w:val="0"/>
                <w:sz w:val="21"/>
                <w:szCs w:val="21"/>
                <w:highlight w:val="none"/>
                <w:lang w:val="en-US" w:eastAsia="zh-CN" w:bidi="ar"/>
              </w:rPr>
              <w:t>投标人响应的</w:t>
            </w:r>
            <w:r>
              <w:rPr>
                <w:rFonts w:hint="eastAsia" w:ascii="宋体" w:hAnsi="宋体" w:eastAsia="宋体" w:cs="宋体"/>
                <w:color w:val="auto"/>
                <w:kern w:val="0"/>
                <w:sz w:val="21"/>
                <w:szCs w:val="21"/>
                <w:highlight w:val="none"/>
                <w:lang w:val="en-US" w:eastAsia="zh-CN" w:bidi="ar"/>
              </w:rPr>
              <w:t xml:space="preserve">产品中每有一项产品同时为节能产品和环境标志产品得1分，最多得2分。（以经国家确定的认证机构出具的、处于有效期内的节能产品、环境标志产品认证证书为准。 </w:t>
            </w:r>
            <w:r>
              <w:rPr>
                <w:rFonts w:hint="eastAsia" w:ascii="宋体" w:hAnsi="宋体" w:cs="宋体"/>
                <w:color w:val="auto"/>
                <w:kern w:val="0"/>
                <w:sz w:val="21"/>
                <w:szCs w:val="21"/>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0" w:hRule="atLeast"/>
        </w:trPr>
        <w:tc>
          <w:tcPr>
            <w:tcW w:w="6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c>
          <w:tcPr>
            <w:tcW w:w="8843"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通过初审者为有效投标</w:t>
            </w:r>
            <w:r>
              <w:rPr>
                <w:rFonts w:hint="eastAsia" w:ascii="宋体" w:hAnsi="宋体" w:eastAsia="宋体" w:cs="宋体"/>
                <w:color w:val="auto"/>
                <w:sz w:val="21"/>
                <w:szCs w:val="21"/>
                <w:highlight w:val="none"/>
                <w:lang w:eastAsia="zh-CN"/>
              </w:rPr>
              <w:t>。</w:t>
            </w:r>
          </w:p>
          <w:p>
            <w:pPr>
              <w:autoSpaceDE w:val="0"/>
              <w:autoSpaceDN w:val="0"/>
              <w:adjustRightInd w:val="0"/>
              <w:spacing w:line="320" w:lineRule="exact"/>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计算</w:t>
            </w:r>
            <w:r>
              <w:rPr>
                <w:rFonts w:hint="eastAsia" w:ascii="宋体" w:hAnsi="宋体" w:cs="宋体"/>
                <w:color w:val="auto"/>
                <w:sz w:val="21"/>
                <w:szCs w:val="21"/>
                <w:highlight w:val="none"/>
                <w:lang w:val="en-US" w:eastAsia="zh-CN"/>
              </w:rPr>
              <w:t>价格</w:t>
            </w:r>
            <w:r>
              <w:rPr>
                <w:rFonts w:hint="eastAsia" w:ascii="宋体" w:hAnsi="宋体" w:eastAsia="宋体" w:cs="宋体"/>
                <w:color w:val="auto"/>
                <w:sz w:val="21"/>
                <w:szCs w:val="21"/>
                <w:highlight w:val="none"/>
              </w:rPr>
              <w:t>分数时四舍五入取小数点后两位</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以上评分项有缺项时，按0分计取。</w:t>
            </w:r>
          </w:p>
          <w:p>
            <w:pPr>
              <w:autoSpaceDE w:val="0"/>
              <w:autoSpaceDN w:val="0"/>
              <w:adjustRightIn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3、若出现综合得分并列时，比较价格得分此分项得分高者排序在前；若</w:t>
            </w:r>
            <w:r>
              <w:rPr>
                <w:rFonts w:hint="eastAsia" w:ascii="宋体" w:hAnsi="宋体" w:eastAsia="宋体" w:cs="宋体"/>
                <w:color w:val="auto"/>
                <w:sz w:val="21"/>
                <w:szCs w:val="21"/>
                <w:highlight w:val="none"/>
                <w:lang w:val="en-US" w:eastAsia="zh-CN"/>
              </w:rPr>
              <w:t>价格</w:t>
            </w:r>
            <w:r>
              <w:rPr>
                <w:rFonts w:hint="eastAsia" w:ascii="宋体" w:hAnsi="宋体" w:eastAsia="宋体" w:cs="宋体"/>
                <w:color w:val="auto"/>
                <w:sz w:val="21"/>
                <w:szCs w:val="21"/>
                <w:highlight w:val="none"/>
              </w:rPr>
              <w:t>得分仍相同，依次比较技术</w:t>
            </w:r>
            <w:r>
              <w:rPr>
                <w:rFonts w:hint="eastAsia" w:ascii="宋体" w:hAnsi="宋体" w:cs="宋体"/>
                <w:color w:val="auto"/>
                <w:sz w:val="21"/>
                <w:szCs w:val="21"/>
                <w:highlight w:val="none"/>
                <w:lang w:val="en-US" w:eastAsia="zh-CN"/>
              </w:rPr>
              <w:t>得分</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商务得分</w:t>
            </w:r>
            <w:r>
              <w:rPr>
                <w:rFonts w:hint="eastAsia" w:ascii="宋体" w:hAnsi="宋体" w:eastAsia="宋体" w:cs="宋体"/>
                <w:color w:val="auto"/>
                <w:sz w:val="21"/>
                <w:szCs w:val="21"/>
                <w:highlight w:val="none"/>
              </w:rPr>
              <w:t>，此分项得分高者排序在前；若得分仍相同，则由全体评委成员无记名投票，得票高者排序在前。</w:t>
            </w:r>
          </w:p>
          <w:p>
            <w:pPr>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4、评委打分超过得分界限或未按本方法赋分时，该评委的打分按废票处理。</w:t>
            </w:r>
          </w:p>
        </w:tc>
      </w:tr>
    </w:tbl>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（五）投标文件报价出现前后不一致的，除招标文件另有规定外，按照下列规定修正：</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投标文件开标一览表（报价表）内容与投标文件中相应内容不一致的，以开标一览表（报价表）为准；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、大写金额和小写金额不一致的，以大写金额为准；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w:t>
      </w:r>
      <w:r>
        <w:rPr>
          <w:rFonts w:hint="eastAsia" w:ascii="宋体" w:hAnsi="宋体"/>
          <w:color w:val="auto"/>
          <w:sz w:val="21"/>
          <w:szCs w:val="21"/>
          <w:highlight w:val="none"/>
          <w:lang w:val="en-US" w:eastAsia="zh-CN"/>
        </w:rPr>
        <w:t>单价金额小数点或者百分比有明显错位的，以开标一览表的总价为准，并修改单价</w:t>
      </w:r>
      <w:r>
        <w:rPr>
          <w:rFonts w:hint="eastAsia" w:ascii="宋体" w:hAnsi="宋体"/>
          <w:color w:val="auto"/>
          <w:sz w:val="21"/>
          <w:szCs w:val="21"/>
          <w:highlight w:val="none"/>
        </w:rPr>
        <w:t>；</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、总价金额与按单价汇总金额不一致的，以单价金额计算结果为准；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5、修正后的报价经投标人的确认后产生约束力，投标人不确认的，其投标无效；</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（六）投标文件内容不一致的，按下列方式处理：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1、对不同文字文本投标文件的解释发生异议的，以中文文本为准；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2、文字与图表不一致的，以文字为准；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3、正本与副本不一致的，以正本为准；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4、电子文件与纸质文件不一致的，以纸质文件为准；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5、投标文件的文字叙述与制造厂商的技术白皮书、检测报告不符时，以技术白皮书、检测报告为准。</w:t>
      </w:r>
    </w:p>
    <w:p>
      <w:pPr>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color w:val="auto"/>
          <w:sz w:val="21"/>
          <w:szCs w:val="21"/>
          <w:highlight w:val="none"/>
        </w:rPr>
        <w:t>（七）最低报价不作为中标的唯一条件。评标委员会认为投标人的报价明显低于其它通过符</w:t>
      </w:r>
      <w:r>
        <w:rPr>
          <w:rFonts w:hint="eastAsia" w:ascii="宋体" w:hAnsi="宋体" w:eastAsia="宋体" w:cs="Times New Roman"/>
          <w:color w:val="auto"/>
          <w:sz w:val="21"/>
          <w:szCs w:val="21"/>
          <w:highlight w:val="none"/>
        </w:rPr>
        <w:t>合性审查投标人的报价，有可能影响产品质量或者不能诚信履约的，要求投标人应当在评标现场合理的时间内提供书面说明，必要时按照评标委员会允许的时间提交相关证明材料；投标人不能证明其报价合理性和提供证明材料的，评标委员会应当将其作为无效投标处理。</w:t>
      </w:r>
    </w:p>
    <w:p>
      <w:pPr>
        <w:spacing w:line="360" w:lineRule="auto"/>
        <w:ind w:firstLine="420" w:firstLineChars="200"/>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（八）评标委员会成员对需要共同认定的事项存在争议的，应当按照少数服从多数的原则作出结论。持不同意见的评标委员会成员应当在评标报告上签署不同意见及理由，否则视为同意评标报告。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（八）政府采购政策评分标准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1小微企业的价格评分标准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1.1根据《关于进一步加大政府采购支持中小企业力度的通知》（财库〔2022〕19号）的办法，对于非专门面向中小企业的项目，对小型和微型企业产品的价格给予10%的扣除，用扣除后的价格参与评审，其评审价=投标报价*（1-10%）。</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1.2联合体共同参加非专门面向中小企业的政府采购活动，联合协议中约定，小型和微型企业的协议合同金额占到联合体协议合同金额的30%以上的，可给予联合体4%的价格扣除，用扣除后的价格参与评审，其评审价=投标报价*（1-4%）。</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1.3参加本项目的小微企业须提供《中小企业声明函》（式样见投标文件格式），未提供的不视为小微企业。本项目提供的货物不包括使用大型企业注册商标的货物，小型、微型企业提供中型企业制造的货物的，视同为中型企业。投标人须作出承诺，保证真实性，如有虚假，将依法承担相应责任。</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1.4小微企业按《政府采购促进中小企业发展管理办法》（财库〔2020〕46号）和《工业和信息化部、国家统计局、国家发展和改革委员会、财政部关于印发&lt;中小企业划型标准规定&gt;的通知》（工信部联企业【2011】300号）文件规定标准确认。</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1.5在服务采购项目中，服务的承接商应当为中小企业，不对其中涉及的货物的制造商作出要求。</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2监狱企业的价格评分标准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2.1在政府采购活动中，监狱企业视同小型、微型企业，享受预留份额、评审中价格扣除等政府采购促进中小企业发展的政府采购政策。</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2.2监狱企业参加政府采购活动时，应当提供由省级以上监狱管理局、戒毒管理局（含新疆生产建设兵团）出具的属于监狱企业的证明文件。</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2.3监狱企业按《财政部、司法部关于政府采购支持监狱企业发展有关问题的通知》（财库〔2014〕68号）文件规定标准执行。</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3残疾人福利性单位的价格评分标准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3.1在政府采购活动中，残疾人福利性单位视同小型、微型企业，享受预留份额、评审中价格扣除等政府采购促进中小企业发展的政府采购政策。</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 xml:space="preserve">3.2符合条件的残疾人福利性单位在参加政府采购活动时，应当提供本通知规定的《残疾人福利性单位声明函》（式样见投标文件格式），并对声明的真实性负责，未提供的不视为残疾人福利性单位。 </w:t>
      </w:r>
    </w:p>
    <w:p>
      <w:pPr>
        <w:spacing w:line="360" w:lineRule="auto"/>
        <w:ind w:firstLine="422" w:firstLineChars="200"/>
        <w:rPr>
          <w:rFonts w:hint="eastAsia" w:ascii="宋体" w:hAnsi="宋体"/>
          <w:b/>
          <w:bCs/>
          <w:color w:val="auto"/>
          <w:sz w:val="21"/>
          <w:szCs w:val="21"/>
          <w:highlight w:val="none"/>
        </w:rPr>
      </w:pPr>
      <w:r>
        <w:rPr>
          <w:rFonts w:hint="eastAsia" w:ascii="宋体" w:hAnsi="宋体"/>
          <w:b/>
          <w:bCs/>
          <w:color w:val="auto"/>
          <w:sz w:val="21"/>
          <w:szCs w:val="21"/>
          <w:highlight w:val="none"/>
        </w:rPr>
        <w:t>以上</w:t>
      </w:r>
      <w:r>
        <w:rPr>
          <w:rFonts w:hint="eastAsia" w:ascii="宋体" w:hAnsi="宋体"/>
          <w:b/>
          <w:bCs/>
          <w:color w:val="auto"/>
          <w:sz w:val="21"/>
          <w:szCs w:val="21"/>
          <w:highlight w:val="none"/>
          <w:lang w:val="en-US" w:eastAsia="zh-CN"/>
        </w:rPr>
        <w:t>1-3项</w:t>
      </w:r>
      <w:r>
        <w:rPr>
          <w:rFonts w:hint="eastAsia" w:ascii="宋体" w:hAnsi="宋体"/>
          <w:b/>
          <w:bCs/>
          <w:color w:val="auto"/>
          <w:sz w:val="21"/>
          <w:szCs w:val="21"/>
          <w:highlight w:val="none"/>
        </w:rPr>
        <w:t>政策同时具备的仅对其进行一次10%的价格扣除，不重复扣除。</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4节能产品、环境标志产品政策</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4.1投标</w:t>
      </w:r>
      <w:r>
        <w:rPr>
          <w:rFonts w:hint="eastAsia" w:ascii="宋体" w:hAnsi="宋体"/>
          <w:color w:val="auto"/>
          <w:sz w:val="21"/>
          <w:szCs w:val="21"/>
          <w:highlight w:val="none"/>
          <w:lang w:val="zh-CN"/>
        </w:rPr>
        <w:t>产品为节能、环保、环境标志产品清单中的产品，符合</w:t>
      </w:r>
      <w:r>
        <w:rPr>
          <w:rFonts w:hint="eastAsia" w:ascii="宋体" w:hAnsi="宋体"/>
          <w:color w:val="auto"/>
          <w:sz w:val="21"/>
          <w:szCs w:val="21"/>
          <w:highlight w:val="none"/>
        </w:rPr>
        <w:t>招标</w:t>
      </w:r>
      <w:r>
        <w:rPr>
          <w:rFonts w:hint="eastAsia" w:ascii="宋体" w:hAnsi="宋体"/>
          <w:color w:val="auto"/>
          <w:sz w:val="21"/>
          <w:szCs w:val="21"/>
          <w:highlight w:val="none"/>
          <w:lang w:val="zh-CN"/>
        </w:rPr>
        <w:t>文件要求的，可优先采购，</w:t>
      </w:r>
      <w:r>
        <w:rPr>
          <w:rFonts w:hint="eastAsia" w:ascii="宋体" w:hAnsi="宋体"/>
          <w:color w:val="auto"/>
          <w:sz w:val="21"/>
          <w:szCs w:val="21"/>
          <w:highlight w:val="none"/>
          <w:lang w:val="en-US" w:eastAsia="zh-CN"/>
        </w:rPr>
        <w:t>具体详见</w:t>
      </w:r>
      <w:r>
        <w:rPr>
          <w:rFonts w:hint="eastAsia" w:ascii="宋体" w:hAnsi="宋体"/>
          <w:color w:val="auto"/>
          <w:sz w:val="21"/>
          <w:szCs w:val="21"/>
          <w:highlight w:val="none"/>
        </w:rPr>
        <w:t>综合评审因素及分值</w:t>
      </w:r>
      <w:r>
        <w:rPr>
          <w:rFonts w:hint="eastAsia" w:ascii="宋体" w:hAnsi="宋体"/>
          <w:color w:val="auto"/>
          <w:sz w:val="21"/>
          <w:szCs w:val="21"/>
          <w:highlight w:val="none"/>
          <w:lang w:val="zh-CN"/>
        </w:rPr>
        <w:t>。</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4.2节能产品、环境标志产品根据《财政部、国家发展和改革委员会关于印发&lt;节能产品政府采购实施意见&gt;的通知》（财库【2004】185号）、《国务院办公厅关于建立政府强制采购节能产品制度的通知》（国办发〔2007〕51号）、《财政部、国家环保总局联合印发&lt;关于环境标志产品政府采购实施的意见&gt;》（财库【2006】90号）、《财政部、发展改革委、生态环境部、市场监管总局关于调整优化节能产品、环境标志产品政府采购执行机制的通知》（财库〔2019〕9号）、《关于印发节能产品政府采购品目清单的通知》（财库〔2019〕19号）、《关于印发环境标志产品政府采购品目清单的通知》（财库〔2019〕18号）的有关规定执行。</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 xml:space="preserve">4.3投标人在投标文件中对所投产品为节能、环保、环境标志产品品目清单中的产品，在投标报价时必须对此类产品单独分项报价，并提供认证机构出具的、处于有效期之内的节能产品、环境标志产品认证证书，未提供认证证书的不给予计分。 </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4.4若节能、环保、环境标志品目清单内的产品仅是构成所投产品的部件、组件或零件的，则该所投产品不享受鼓励优惠政策。</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 xml:space="preserve">4.5节能、环保、环境标志产品部分计分只对属于品目清单内的非强制类产品进行计分，强制类产品不给予计分。 </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 xml:space="preserve">4.6对于同时列入环保品目清单和节能品目清单的产品，应当优先于只列入其中一个清单的产品。 </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4.7获得上述认证的产品在</w:t>
      </w:r>
      <w:r>
        <w:rPr>
          <w:rFonts w:hint="eastAsia" w:ascii="宋体" w:hAnsi="宋体"/>
          <w:color w:val="auto"/>
          <w:sz w:val="21"/>
          <w:szCs w:val="21"/>
          <w:highlight w:val="none"/>
          <w:lang w:val="en-US" w:eastAsia="zh-CN"/>
        </w:rPr>
        <w:t>投标</w:t>
      </w:r>
      <w:r>
        <w:rPr>
          <w:rFonts w:hint="eastAsia" w:ascii="宋体" w:hAnsi="宋体"/>
          <w:color w:val="auto"/>
          <w:sz w:val="21"/>
          <w:szCs w:val="21"/>
          <w:highlight w:val="none"/>
        </w:rPr>
        <w:t>时应提供有效证明材料。</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（九）</w:t>
      </w:r>
      <w:r>
        <w:rPr>
          <w:rFonts w:hint="eastAsia" w:ascii="宋体" w:hAnsi="宋体" w:eastAsia="宋体" w:cs="Times New Roman"/>
          <w:color w:val="auto"/>
          <w:sz w:val="21"/>
          <w:szCs w:val="21"/>
          <w:highlight w:val="none"/>
          <w:lang w:val="en-US" w:eastAsia="zh-CN"/>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宋体" w:hAnsi="宋体"/>
          <w:color w:val="auto"/>
          <w:sz w:val="21"/>
          <w:szCs w:val="21"/>
          <w:highlight w:val="none"/>
        </w:rPr>
        <w:t>评标委员会评价最终得分由高至低排列名序，推荐中标候选投标人。</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（十）特殊情况的处理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1单一产品采购项目中，提供相同品牌的产品的不同投标人参加同一合同项下投标的，按以下方法处理：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1.1使用综合评分法的采购项目，提供相同品牌产品且通过资格审查、符合性审查的不同投标人参加同一合同项下投标的，按一家投标人计算，评审后得分最高的同品牌投标人获得中标人推荐资格；评审得分相同的，由采购人及评标委员会按照投标报价最低的方式确定一个投标人获得中标人推荐资格，其他同品牌投标人不作为中标候选人。</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2非单一产品采购项目中，提供相同品牌的核心产品的不同投标人参加同一合同项下投标的，按以下方法处理：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2.1使用综合评分法的采购项目，提供相同品牌核心产品且通过资格审查、符合性审查的不同投标人参加同一合同项下投标的，按一家投标人计算，评审后得分最高的同品牌投标人获得中标人推荐资格；评审得分相同的，由采购人及评标委员会按照投标报价最低的方式确定一个投标人获得中标人推荐资格，其他同品牌投标人不作为中标候选人。</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2.2</w:t>
      </w:r>
      <w:r>
        <w:rPr>
          <w:rFonts w:hint="eastAsia" w:ascii="宋体" w:hAnsi="宋体"/>
          <w:color w:val="auto"/>
          <w:sz w:val="21"/>
          <w:szCs w:val="21"/>
          <w:highlight w:val="none"/>
          <w:lang w:val="en-US" w:eastAsia="zh-CN"/>
        </w:rPr>
        <w:t>投标</w:t>
      </w:r>
      <w:r>
        <w:rPr>
          <w:rFonts w:hint="eastAsia" w:ascii="宋体" w:hAnsi="宋体"/>
          <w:color w:val="auto"/>
          <w:sz w:val="21"/>
          <w:szCs w:val="21"/>
          <w:highlight w:val="none"/>
        </w:rPr>
        <w:t>产品为两个及以上时，对两家以上</w:t>
      </w:r>
      <w:r>
        <w:rPr>
          <w:rFonts w:hint="eastAsia" w:ascii="宋体" w:hAnsi="宋体"/>
          <w:color w:val="auto"/>
          <w:sz w:val="21"/>
          <w:szCs w:val="21"/>
          <w:highlight w:val="none"/>
          <w:lang w:val="en-US" w:eastAsia="zh-CN"/>
        </w:rPr>
        <w:t>投标人</w:t>
      </w:r>
      <w:r>
        <w:rPr>
          <w:rFonts w:hint="eastAsia" w:ascii="宋体" w:hAnsi="宋体"/>
          <w:color w:val="auto"/>
          <w:sz w:val="21"/>
          <w:szCs w:val="21"/>
          <w:highlight w:val="none"/>
        </w:rPr>
        <w:t>使用相同制造商产品作为其项目包的一部分，且相同产品的价格总和均超过该项目包各自投标总价60%的，按一家投标人认定。</w:t>
      </w:r>
    </w:p>
    <w:p>
      <w:pPr>
        <w:pStyle w:val="4"/>
        <w:spacing w:before="78" w:after="78"/>
        <w:rPr>
          <w:rFonts w:hint="eastAsia" w:ascii="宋体" w:hAnsi="宋体"/>
          <w:color w:val="auto"/>
          <w:highlight w:val="none"/>
          <w:lang w:val="en-US" w:eastAsia="zh-CN"/>
        </w:rPr>
      </w:pPr>
      <w:bookmarkStart w:id="63" w:name="_Toc48301730"/>
      <w:bookmarkStart w:id="64" w:name="_Toc23246"/>
      <w:bookmarkStart w:id="65" w:name="_Toc52064871"/>
      <w:bookmarkStart w:id="66" w:name="_Toc52064328"/>
      <w:r>
        <w:rPr>
          <w:rFonts w:hint="eastAsia" w:ascii="宋体" w:hAnsi="宋体"/>
          <w:color w:val="auto"/>
          <w:highlight w:val="none"/>
          <w:lang w:val="en-US" w:eastAsia="zh-CN"/>
        </w:rPr>
        <w:t>四</w:t>
      </w:r>
      <w:r>
        <w:rPr>
          <w:rFonts w:hint="eastAsia"/>
          <w:color w:val="auto"/>
          <w:highlight w:val="none"/>
          <w:lang w:val="en-US" w:eastAsia="zh-CN"/>
        </w:rPr>
        <w:t>、</w:t>
      </w:r>
      <w:r>
        <w:rPr>
          <w:rFonts w:hint="eastAsia" w:ascii="宋体" w:hAnsi="宋体"/>
          <w:color w:val="auto"/>
          <w:highlight w:val="none"/>
          <w:lang w:val="en-US" w:eastAsia="zh-CN"/>
        </w:rPr>
        <w:t>投标无效情形</w:t>
      </w:r>
      <w:bookmarkEnd w:id="63"/>
      <w:bookmarkEnd w:id="64"/>
      <w:bookmarkEnd w:id="65"/>
      <w:bookmarkEnd w:id="66"/>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（一）投标文件未按招标文件要求签署、盖章的；</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（二）不具备招标文件中规定的资格要求的；</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（三）报价超过招标文件中规定的最高限价的；</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（四）投标文件含有采购人不能接受的附加条件的；</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（五）法律、法规和招标文件规定的其他无效情形。</w:t>
      </w:r>
      <w:bookmarkStart w:id="67" w:name="_Toc52064329"/>
      <w:bookmarkStart w:id="68" w:name="_Toc52064872"/>
    </w:p>
    <w:p>
      <w:pPr>
        <w:pStyle w:val="4"/>
        <w:spacing w:before="78" w:after="78"/>
        <w:rPr>
          <w:rFonts w:hint="eastAsia" w:ascii="宋体" w:hAnsi="宋体"/>
          <w:color w:val="auto"/>
          <w:highlight w:val="none"/>
          <w:lang w:val="en-US" w:eastAsia="zh-CN"/>
        </w:rPr>
      </w:pPr>
      <w:bookmarkStart w:id="69" w:name="_Toc9301"/>
      <w:r>
        <w:rPr>
          <w:rFonts w:hint="eastAsia" w:ascii="宋体" w:hAnsi="宋体"/>
          <w:color w:val="auto"/>
          <w:highlight w:val="none"/>
          <w:lang w:val="en-US" w:eastAsia="zh-CN"/>
        </w:rPr>
        <w:t>五</w:t>
      </w:r>
      <w:r>
        <w:rPr>
          <w:rFonts w:hint="eastAsia"/>
          <w:color w:val="auto"/>
          <w:highlight w:val="none"/>
          <w:lang w:val="en-US" w:eastAsia="zh-CN"/>
        </w:rPr>
        <w:t>、</w:t>
      </w:r>
      <w:r>
        <w:rPr>
          <w:rFonts w:hint="eastAsia" w:ascii="宋体" w:hAnsi="宋体"/>
          <w:color w:val="auto"/>
          <w:highlight w:val="none"/>
          <w:lang w:val="en-US" w:eastAsia="zh-CN"/>
        </w:rPr>
        <w:t>采购方式改变或重新招标</w:t>
      </w:r>
      <w:bookmarkEnd w:id="67"/>
      <w:bookmarkEnd w:id="68"/>
      <w:bookmarkEnd w:id="69"/>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投标截止后投标人不足3家或者通过资格审查或符合性审查的投标人不足3家的，除采购任务取消情形外，按照以下方式处理：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一</w:t>
      </w:r>
      <w:r>
        <w:rPr>
          <w:rFonts w:hint="eastAsia" w:ascii="宋体" w:hAnsi="宋体"/>
          <w:color w:val="auto"/>
          <w:sz w:val="21"/>
          <w:szCs w:val="21"/>
          <w:highlight w:val="none"/>
        </w:rPr>
        <w:t>）招标文件存在不合理条款或者招标程序不符合规定的，采购人、采购代理机构改正后依法重新招标；</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二</w:t>
      </w:r>
      <w:r>
        <w:rPr>
          <w:rFonts w:hint="eastAsia" w:ascii="宋体" w:hAnsi="宋体"/>
          <w:color w:val="auto"/>
          <w:sz w:val="21"/>
          <w:szCs w:val="21"/>
          <w:highlight w:val="none"/>
        </w:rPr>
        <w:t>）招标文件没有不合理条款、招标程序符合规定，需要采用其他采购方式采购的，采购人应当依法报财政部门批准；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三</w:t>
      </w:r>
      <w:r>
        <w:rPr>
          <w:rFonts w:hint="eastAsia" w:ascii="宋体" w:hAnsi="宋体"/>
          <w:color w:val="auto"/>
          <w:sz w:val="21"/>
          <w:szCs w:val="21"/>
          <w:highlight w:val="none"/>
        </w:rPr>
        <w:t>）招标文件内容违反法律、行政法规、强制性标准、政府采购政策，或者违反公开透明、公平竞争、公正和诚实信用原则，影响潜在投标人投标的，采购代理机构应当修改招标文件后重新招标。</w:t>
      </w:r>
      <w:bookmarkStart w:id="70" w:name="_Toc52064873"/>
      <w:bookmarkStart w:id="71" w:name="_Toc52064330"/>
      <w:bookmarkStart w:id="72" w:name="_Toc48301732"/>
    </w:p>
    <w:p>
      <w:pPr>
        <w:spacing w:line="360" w:lineRule="auto"/>
        <w:ind w:firstLine="420" w:firstLineChars="200"/>
        <w:rPr>
          <w:rFonts w:hint="eastAsia" w:ascii="宋体" w:hAnsi="宋体"/>
          <w:color w:val="auto"/>
          <w:sz w:val="21"/>
          <w:szCs w:val="21"/>
          <w:highlight w:val="none"/>
          <w:lang w:val="en-US" w:eastAsia="zh-CN"/>
        </w:rPr>
      </w:pPr>
      <w:bookmarkStart w:id="73" w:name="_Toc11628"/>
      <w:r>
        <w:rPr>
          <w:rFonts w:hint="eastAsia" w:ascii="宋体" w:hAnsi="宋体"/>
          <w:color w:val="auto"/>
          <w:sz w:val="21"/>
          <w:szCs w:val="21"/>
          <w:highlight w:val="none"/>
          <w:lang w:val="en-US" w:eastAsia="zh-CN"/>
        </w:rPr>
        <w:t>六．采购项目终止</w:t>
      </w:r>
      <w:bookmarkEnd w:id="70"/>
      <w:bookmarkEnd w:id="71"/>
      <w:bookmarkEnd w:id="72"/>
      <w:bookmarkEnd w:id="73"/>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本次采购活动中，出现下列情形之一的，将终止招标：</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（一）符合专业条件的投标人不足三家或者对招标文件作实质响应的投标人不足三家，采购人不需要采用其他采购方式采购的；</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（二）出现影响采购公正公平的违法、违规行为的；</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（三）因重大变故，采购任务取消的。</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终止招标后，采购代理机构应当在</w:t>
      </w:r>
      <w:r>
        <w:rPr>
          <w:rFonts w:hint="eastAsia" w:ascii="宋体" w:hAnsi="宋体"/>
          <w:color w:val="auto"/>
          <w:sz w:val="21"/>
          <w:szCs w:val="21"/>
          <w:highlight w:val="none"/>
          <w:lang w:val="en-US" w:eastAsia="zh-CN"/>
        </w:rPr>
        <w:t>陕西省政府采购网</w:t>
      </w:r>
      <w:r>
        <w:rPr>
          <w:rFonts w:hint="eastAsia" w:ascii="宋体" w:hAnsi="宋体"/>
          <w:color w:val="auto"/>
          <w:sz w:val="21"/>
          <w:szCs w:val="21"/>
          <w:highlight w:val="none"/>
        </w:rPr>
        <w:t>公告。</w:t>
      </w:r>
      <w:r>
        <w:rPr>
          <w:rFonts w:hint="eastAsia" w:ascii="宋体" w:hAnsi="宋体"/>
          <w:color w:val="auto"/>
          <w:sz w:val="21"/>
          <w:szCs w:val="21"/>
          <w:highlight w:val="none"/>
        </w:rPr>
        <w:br w:type="page"/>
      </w:r>
    </w:p>
    <w:p>
      <w:pPr>
        <w:numPr>
          <w:ilvl w:val="0"/>
          <w:numId w:val="4"/>
        </w:numPr>
        <w:spacing w:line="360" w:lineRule="auto"/>
        <w:jc w:val="center"/>
        <w:outlineLvl w:val="0"/>
        <w:rPr>
          <w:rFonts w:ascii="宋体" w:hAnsi="宋体"/>
          <w:b/>
          <w:color w:val="auto"/>
          <w:kern w:val="44"/>
          <w:sz w:val="32"/>
          <w:highlight w:val="none"/>
        </w:rPr>
      </w:pPr>
      <w:r>
        <w:rPr>
          <w:rFonts w:hint="eastAsia" w:ascii="宋体" w:hAnsi="宋体"/>
          <w:b/>
          <w:color w:val="auto"/>
          <w:kern w:val="44"/>
          <w:sz w:val="32"/>
          <w:highlight w:val="none"/>
          <w:lang w:val="en-US" w:eastAsia="zh-CN"/>
        </w:rPr>
        <w:t xml:space="preserve">  </w:t>
      </w:r>
      <w:bookmarkStart w:id="74" w:name="_Toc10942"/>
      <w:r>
        <w:rPr>
          <w:rFonts w:hint="eastAsia" w:ascii="宋体" w:hAnsi="宋体"/>
          <w:b/>
          <w:color w:val="auto"/>
          <w:kern w:val="44"/>
          <w:sz w:val="32"/>
          <w:highlight w:val="none"/>
        </w:rPr>
        <w:t>采购内容及要求</w:t>
      </w:r>
      <w:bookmarkEnd w:id="74"/>
    </w:p>
    <w:p>
      <w:pPr>
        <w:pStyle w:val="4"/>
        <w:numPr>
          <w:ilvl w:val="0"/>
          <w:numId w:val="5"/>
        </w:numPr>
        <w:jc w:val="left"/>
        <w:rPr>
          <w:color w:val="auto"/>
          <w:sz w:val="28"/>
          <w:szCs w:val="28"/>
          <w:highlight w:val="none"/>
        </w:rPr>
      </w:pPr>
      <w:bookmarkStart w:id="75" w:name="_Toc17616"/>
      <w:bookmarkStart w:id="76" w:name="_Toc13442"/>
      <w:bookmarkStart w:id="77" w:name="_Toc23718"/>
      <w:bookmarkStart w:id="78" w:name="_Toc18418"/>
      <w:bookmarkStart w:id="79" w:name="_Toc24974"/>
      <w:r>
        <w:rPr>
          <w:rFonts w:hint="eastAsia"/>
          <w:color w:val="auto"/>
          <w:sz w:val="28"/>
          <w:szCs w:val="28"/>
          <w:highlight w:val="none"/>
        </w:rPr>
        <w:t>概述</w:t>
      </w:r>
      <w:bookmarkEnd w:id="75"/>
      <w:bookmarkEnd w:id="76"/>
    </w:p>
    <w:p>
      <w:pPr>
        <w:spacing w:line="360" w:lineRule="auto"/>
        <w:ind w:firstLine="420" w:firstLineChars="200"/>
        <w:jc w:val="left"/>
        <w:rPr>
          <w:rFonts w:ascii="宋体" w:hAnsi="宋体" w:eastAsia="宋体"/>
          <w:color w:val="auto"/>
          <w:sz w:val="21"/>
          <w:szCs w:val="21"/>
          <w:highlight w:val="none"/>
        </w:rPr>
      </w:pPr>
      <w:r>
        <w:rPr>
          <w:rFonts w:hint="eastAsia" w:ascii="宋体" w:hAnsi="宋体" w:eastAsia="宋体"/>
          <w:color w:val="auto"/>
          <w:sz w:val="21"/>
          <w:szCs w:val="21"/>
          <w:highlight w:val="none"/>
        </w:rPr>
        <w:t>为提升我院医用智能化服务水平，加速医院信息化建设，满足医疗应用系统对基础平台承载能力及安全的要求，根据国家及市相关政策要求，结合医院业务发展实际需要，针对智慧医院系统应用所需环境进行配套扩容建设，进一步向患者提供更加高效、智慧、优质的信息化服务。</w:t>
      </w:r>
    </w:p>
    <w:p>
      <w:pPr>
        <w:spacing w:line="360" w:lineRule="auto"/>
        <w:ind w:firstLine="420" w:firstLineChars="200"/>
        <w:jc w:val="left"/>
        <w:rPr>
          <w:b/>
          <w:color w:val="auto"/>
          <w:sz w:val="21"/>
          <w:szCs w:val="21"/>
          <w:highlight w:val="none"/>
        </w:rPr>
      </w:pPr>
      <w:r>
        <w:rPr>
          <w:rFonts w:hint="eastAsia" w:ascii="宋体" w:hAnsi="宋体" w:eastAsia="宋体"/>
          <w:color w:val="auto"/>
          <w:sz w:val="21"/>
          <w:szCs w:val="21"/>
          <w:highlight w:val="none"/>
        </w:rPr>
        <w:t>对医院现有云平台进行升级扩容，搭建计算资源平台，分担现有应用资源；加固信息安全防护，加强院内网络连通的通行安全能力、根据电子病历评级所需信息化环境进行补充完善、更新医院网站系统运行环境、提高数据库运行维护能力，保证业务系统正常稳定的运行、网络设备扩容等。</w:t>
      </w:r>
    </w:p>
    <w:p>
      <w:pPr>
        <w:pStyle w:val="4"/>
        <w:numPr>
          <w:ilvl w:val="0"/>
          <w:numId w:val="5"/>
        </w:numPr>
        <w:jc w:val="left"/>
        <w:rPr>
          <w:rFonts w:hint="eastAsia"/>
          <w:color w:val="auto"/>
          <w:sz w:val="28"/>
          <w:szCs w:val="28"/>
          <w:highlight w:val="none"/>
        </w:rPr>
      </w:pPr>
      <w:bookmarkStart w:id="80" w:name="_Toc11602"/>
      <w:bookmarkStart w:id="81" w:name="_Toc2051"/>
      <w:r>
        <w:rPr>
          <w:rFonts w:hint="eastAsia"/>
          <w:color w:val="auto"/>
          <w:sz w:val="28"/>
          <w:szCs w:val="28"/>
          <w:highlight w:val="none"/>
        </w:rPr>
        <w:t>建设清单</w:t>
      </w:r>
      <w:bookmarkEnd w:id="80"/>
      <w:bookmarkEnd w:id="81"/>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107"/>
        <w:gridCol w:w="3650"/>
        <w:gridCol w:w="1888"/>
        <w:gridCol w:w="735"/>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61" w:type="dxa"/>
            <w:vAlign w:val="center"/>
          </w:tcPr>
          <w:p>
            <w:pPr>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序号</w:t>
            </w:r>
          </w:p>
        </w:tc>
        <w:tc>
          <w:tcPr>
            <w:tcW w:w="1107" w:type="dxa"/>
            <w:vAlign w:val="center"/>
          </w:tcPr>
          <w:p>
            <w:pPr>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服务名称</w:t>
            </w:r>
          </w:p>
        </w:tc>
        <w:tc>
          <w:tcPr>
            <w:tcW w:w="3650" w:type="dxa"/>
            <w:vAlign w:val="center"/>
          </w:tcPr>
          <w:p>
            <w:pPr>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功能描述</w:t>
            </w:r>
          </w:p>
        </w:tc>
        <w:tc>
          <w:tcPr>
            <w:tcW w:w="1888" w:type="dxa"/>
            <w:vAlign w:val="center"/>
          </w:tcPr>
          <w:p>
            <w:pPr>
              <w:jc w:val="center"/>
              <w:rPr>
                <w:rFonts w:ascii="宋体" w:hAnsi="宋体" w:eastAsia="宋体" w:cs="宋体"/>
                <w:b/>
                <w:bCs/>
                <w:color w:val="auto"/>
                <w:szCs w:val="21"/>
                <w:highlight w:val="none"/>
              </w:rPr>
            </w:pPr>
            <w:r>
              <w:rPr>
                <w:rFonts w:hint="eastAsia" w:ascii="宋体" w:hAnsi="宋体" w:cs="宋体"/>
                <w:b/>
                <w:bCs/>
                <w:color w:val="auto"/>
                <w:szCs w:val="21"/>
                <w:highlight w:val="none"/>
              </w:rPr>
              <w:t>产品名称</w:t>
            </w:r>
          </w:p>
        </w:tc>
        <w:tc>
          <w:tcPr>
            <w:tcW w:w="735" w:type="dxa"/>
            <w:vAlign w:val="center"/>
          </w:tcPr>
          <w:p>
            <w:pPr>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规格</w:t>
            </w:r>
          </w:p>
        </w:tc>
        <w:tc>
          <w:tcPr>
            <w:tcW w:w="660" w:type="dxa"/>
            <w:vAlign w:val="center"/>
          </w:tcPr>
          <w:p>
            <w:pPr>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restart"/>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107" w:type="dxa"/>
            <w:vMerge w:val="restart"/>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超融合平台建设</w:t>
            </w:r>
          </w:p>
        </w:tc>
        <w:tc>
          <w:tcPr>
            <w:tcW w:w="3650" w:type="dxa"/>
            <w:vMerge w:val="restart"/>
            <w:vAlign w:val="center"/>
          </w:tcPr>
          <w:p>
            <w:pPr>
              <w:spacing w:line="360" w:lineRule="exact"/>
              <w:jc w:val="left"/>
              <w:rPr>
                <w:rFonts w:ascii="宋体" w:hAnsi="宋体" w:eastAsia="宋体" w:cs="宋体"/>
                <w:color w:val="auto"/>
                <w:szCs w:val="21"/>
                <w:highlight w:val="none"/>
              </w:rPr>
            </w:pPr>
            <w:r>
              <w:rPr>
                <w:rFonts w:ascii="宋体" w:hAnsi="宋体" w:eastAsia="宋体" w:cs="宋体"/>
                <w:color w:val="auto"/>
                <w:szCs w:val="21"/>
                <w:highlight w:val="none"/>
              </w:rPr>
              <w:t>新建一套业界主流的超融合平台，将现有云平台内的部分应用系统迁移至超融合平台，一方面可分担云平台资源，降低平台故障所造成的业务中断风险，也可为其他各新型上线业务应用系统提供资源环境。</w:t>
            </w:r>
          </w:p>
        </w:tc>
        <w:tc>
          <w:tcPr>
            <w:tcW w:w="1888" w:type="dxa"/>
            <w:vAlign w:val="center"/>
          </w:tcPr>
          <w:p>
            <w:pPr>
              <w:spacing w:line="360" w:lineRule="exact"/>
              <w:jc w:val="left"/>
              <w:rPr>
                <w:rFonts w:ascii="宋体" w:hAnsi="宋体" w:eastAsia="宋体" w:cs="宋体"/>
                <w:color w:val="auto"/>
                <w:szCs w:val="21"/>
                <w:highlight w:val="none"/>
              </w:rPr>
            </w:pPr>
            <w:r>
              <w:rPr>
                <w:rFonts w:ascii="宋体" w:hAnsi="宋体" w:eastAsia="宋体" w:cs="宋体"/>
                <w:color w:val="auto"/>
                <w:szCs w:val="21"/>
                <w:highlight w:val="none"/>
              </w:rPr>
              <w:t>超融合平台</w:t>
            </w:r>
          </w:p>
        </w:tc>
        <w:tc>
          <w:tcPr>
            <w:tcW w:w="735"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套</w:t>
            </w:r>
          </w:p>
        </w:tc>
        <w:tc>
          <w:tcPr>
            <w:tcW w:w="660"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continue"/>
          </w:tcPr>
          <w:p>
            <w:pPr>
              <w:rPr>
                <w:color w:val="auto"/>
                <w:highlight w:val="none"/>
              </w:rPr>
            </w:pPr>
          </w:p>
        </w:tc>
        <w:tc>
          <w:tcPr>
            <w:tcW w:w="1107" w:type="dxa"/>
            <w:vMerge w:val="continue"/>
          </w:tcPr>
          <w:p>
            <w:pPr>
              <w:rPr>
                <w:color w:val="auto"/>
                <w:highlight w:val="none"/>
              </w:rPr>
            </w:pPr>
          </w:p>
        </w:tc>
        <w:tc>
          <w:tcPr>
            <w:tcW w:w="3650" w:type="dxa"/>
            <w:vMerge w:val="continue"/>
          </w:tcPr>
          <w:p>
            <w:pPr>
              <w:rPr>
                <w:color w:val="auto"/>
                <w:highlight w:val="none"/>
              </w:rPr>
            </w:pPr>
          </w:p>
        </w:tc>
        <w:tc>
          <w:tcPr>
            <w:tcW w:w="1888" w:type="dxa"/>
            <w:vAlign w:val="center"/>
          </w:tcPr>
          <w:p>
            <w:pPr>
              <w:spacing w:line="360" w:lineRule="exact"/>
              <w:jc w:val="left"/>
              <w:rPr>
                <w:rFonts w:ascii="宋体" w:hAnsi="宋体" w:eastAsia="宋体" w:cs="宋体"/>
                <w:color w:val="auto"/>
                <w:szCs w:val="21"/>
                <w:highlight w:val="none"/>
              </w:rPr>
            </w:pPr>
            <w:r>
              <w:rPr>
                <w:rFonts w:ascii="宋体" w:hAnsi="宋体" w:eastAsia="宋体" w:cs="宋体"/>
                <w:color w:val="auto"/>
                <w:szCs w:val="21"/>
                <w:highlight w:val="none"/>
              </w:rPr>
              <w:t>计算</w:t>
            </w:r>
            <w:r>
              <w:rPr>
                <w:rFonts w:hint="eastAsia" w:ascii="宋体" w:hAnsi="宋体" w:eastAsia="宋体" w:cs="宋体"/>
                <w:color w:val="auto"/>
                <w:szCs w:val="21"/>
                <w:highlight w:val="none"/>
              </w:rPr>
              <w:t>服务器</w:t>
            </w:r>
            <w:r>
              <w:rPr>
                <w:rFonts w:ascii="宋体" w:hAnsi="宋体" w:eastAsia="宋体" w:cs="宋体"/>
                <w:color w:val="auto"/>
                <w:szCs w:val="21"/>
                <w:highlight w:val="none"/>
              </w:rPr>
              <w:t>资源</w:t>
            </w:r>
          </w:p>
        </w:tc>
        <w:tc>
          <w:tcPr>
            <w:tcW w:w="735"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台</w:t>
            </w:r>
          </w:p>
        </w:tc>
        <w:tc>
          <w:tcPr>
            <w:tcW w:w="660"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continue"/>
          </w:tcPr>
          <w:p>
            <w:pPr>
              <w:rPr>
                <w:color w:val="auto"/>
                <w:highlight w:val="none"/>
              </w:rPr>
            </w:pPr>
          </w:p>
        </w:tc>
        <w:tc>
          <w:tcPr>
            <w:tcW w:w="1107" w:type="dxa"/>
            <w:vMerge w:val="continue"/>
          </w:tcPr>
          <w:p>
            <w:pPr>
              <w:rPr>
                <w:color w:val="auto"/>
                <w:highlight w:val="none"/>
              </w:rPr>
            </w:pPr>
          </w:p>
        </w:tc>
        <w:tc>
          <w:tcPr>
            <w:tcW w:w="3650" w:type="dxa"/>
            <w:vMerge w:val="continue"/>
          </w:tcPr>
          <w:p>
            <w:pPr>
              <w:rPr>
                <w:color w:val="auto"/>
                <w:highlight w:val="none"/>
              </w:rPr>
            </w:pPr>
          </w:p>
        </w:tc>
        <w:tc>
          <w:tcPr>
            <w:tcW w:w="1888"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7.68</w:t>
            </w:r>
            <w:r>
              <w:rPr>
                <w:rFonts w:ascii="宋体" w:hAnsi="宋体" w:eastAsia="宋体" w:cs="宋体"/>
                <w:color w:val="auto"/>
                <w:szCs w:val="21"/>
                <w:highlight w:val="none"/>
              </w:rPr>
              <w:t>T热插拔固态硬盘</w:t>
            </w:r>
          </w:p>
        </w:tc>
        <w:tc>
          <w:tcPr>
            <w:tcW w:w="735"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块</w:t>
            </w:r>
          </w:p>
        </w:tc>
        <w:tc>
          <w:tcPr>
            <w:tcW w:w="660"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continue"/>
          </w:tcPr>
          <w:p>
            <w:pPr>
              <w:rPr>
                <w:color w:val="auto"/>
                <w:highlight w:val="none"/>
              </w:rPr>
            </w:pPr>
          </w:p>
        </w:tc>
        <w:tc>
          <w:tcPr>
            <w:tcW w:w="1107" w:type="dxa"/>
            <w:vMerge w:val="continue"/>
          </w:tcPr>
          <w:p>
            <w:pPr>
              <w:rPr>
                <w:color w:val="auto"/>
                <w:highlight w:val="none"/>
              </w:rPr>
            </w:pPr>
          </w:p>
        </w:tc>
        <w:tc>
          <w:tcPr>
            <w:tcW w:w="3650" w:type="dxa"/>
            <w:vMerge w:val="continue"/>
          </w:tcPr>
          <w:p>
            <w:pPr>
              <w:rPr>
                <w:color w:val="auto"/>
                <w:highlight w:val="none"/>
              </w:rPr>
            </w:pPr>
          </w:p>
        </w:tc>
        <w:tc>
          <w:tcPr>
            <w:tcW w:w="1888" w:type="dxa"/>
            <w:vAlign w:val="center"/>
          </w:tcPr>
          <w:p>
            <w:pPr>
              <w:spacing w:line="360" w:lineRule="exact"/>
              <w:jc w:val="left"/>
              <w:rPr>
                <w:rFonts w:ascii="宋体" w:hAnsi="宋体" w:eastAsia="宋体" w:cs="宋体"/>
                <w:color w:val="auto"/>
                <w:szCs w:val="21"/>
                <w:highlight w:val="none"/>
              </w:rPr>
            </w:pPr>
            <w:r>
              <w:rPr>
                <w:rFonts w:ascii="宋体" w:hAnsi="宋体" w:eastAsia="宋体" w:cs="宋体"/>
                <w:color w:val="auto"/>
                <w:szCs w:val="21"/>
                <w:highlight w:val="none"/>
              </w:rPr>
              <w:t>服务器CPU</w:t>
            </w:r>
          </w:p>
        </w:tc>
        <w:tc>
          <w:tcPr>
            <w:tcW w:w="735"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颗</w:t>
            </w:r>
          </w:p>
        </w:tc>
        <w:tc>
          <w:tcPr>
            <w:tcW w:w="660"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continue"/>
          </w:tcPr>
          <w:p>
            <w:pPr>
              <w:rPr>
                <w:color w:val="auto"/>
                <w:highlight w:val="none"/>
              </w:rPr>
            </w:pPr>
          </w:p>
        </w:tc>
        <w:tc>
          <w:tcPr>
            <w:tcW w:w="1107" w:type="dxa"/>
            <w:vMerge w:val="continue"/>
          </w:tcPr>
          <w:p>
            <w:pPr>
              <w:rPr>
                <w:color w:val="auto"/>
                <w:highlight w:val="none"/>
              </w:rPr>
            </w:pPr>
          </w:p>
        </w:tc>
        <w:tc>
          <w:tcPr>
            <w:tcW w:w="3650" w:type="dxa"/>
            <w:vMerge w:val="continue"/>
          </w:tcPr>
          <w:p>
            <w:pPr>
              <w:rPr>
                <w:color w:val="auto"/>
                <w:highlight w:val="none"/>
              </w:rPr>
            </w:pPr>
          </w:p>
        </w:tc>
        <w:tc>
          <w:tcPr>
            <w:tcW w:w="1888" w:type="dxa"/>
            <w:vAlign w:val="center"/>
          </w:tcPr>
          <w:p>
            <w:pPr>
              <w:spacing w:line="360" w:lineRule="exact"/>
              <w:jc w:val="left"/>
              <w:rPr>
                <w:rFonts w:ascii="宋体" w:hAnsi="宋体" w:eastAsia="宋体" w:cs="宋体"/>
                <w:color w:val="auto"/>
                <w:szCs w:val="21"/>
                <w:highlight w:val="none"/>
              </w:rPr>
            </w:pPr>
            <w:r>
              <w:rPr>
                <w:rFonts w:ascii="宋体" w:hAnsi="宋体" w:eastAsia="宋体" w:cs="宋体"/>
                <w:color w:val="auto"/>
                <w:szCs w:val="21"/>
                <w:highlight w:val="none"/>
              </w:rPr>
              <w:t>超融合授权</w:t>
            </w:r>
          </w:p>
        </w:tc>
        <w:tc>
          <w:tcPr>
            <w:tcW w:w="735"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节点</w:t>
            </w:r>
          </w:p>
        </w:tc>
        <w:tc>
          <w:tcPr>
            <w:tcW w:w="660"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restart"/>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107" w:type="dxa"/>
            <w:vMerge w:val="restart"/>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内网云平台设备更新及扩容</w:t>
            </w:r>
          </w:p>
        </w:tc>
        <w:tc>
          <w:tcPr>
            <w:tcW w:w="3650" w:type="dxa"/>
            <w:vMerge w:val="restart"/>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我院原有云平台的一些早期服务器设备已逐渐走向老龄化，容易造成整体平台的使用瓶颈，拉低使用效能，现在需更换及增补高性能服务器，以保持及提升云平台的性能</w:t>
            </w:r>
          </w:p>
        </w:tc>
        <w:tc>
          <w:tcPr>
            <w:tcW w:w="1888" w:type="dxa"/>
            <w:vAlign w:val="center"/>
          </w:tcPr>
          <w:p>
            <w:pPr>
              <w:spacing w:line="360" w:lineRule="exact"/>
              <w:jc w:val="left"/>
              <w:rPr>
                <w:rFonts w:ascii="宋体" w:hAnsi="宋体" w:eastAsia="宋体" w:cs="宋体"/>
                <w:color w:val="auto"/>
                <w:szCs w:val="21"/>
                <w:highlight w:val="none"/>
              </w:rPr>
            </w:pPr>
            <w:r>
              <w:rPr>
                <w:rFonts w:ascii="宋体" w:hAnsi="宋体" w:eastAsia="宋体" w:cs="宋体"/>
                <w:color w:val="auto"/>
                <w:szCs w:val="21"/>
                <w:highlight w:val="none"/>
              </w:rPr>
              <w:t>计算</w:t>
            </w:r>
            <w:r>
              <w:rPr>
                <w:rFonts w:hint="eastAsia" w:ascii="宋体" w:hAnsi="宋体" w:eastAsia="宋体" w:cs="宋体"/>
                <w:color w:val="auto"/>
                <w:szCs w:val="21"/>
                <w:highlight w:val="none"/>
              </w:rPr>
              <w:t>服务器</w:t>
            </w:r>
            <w:r>
              <w:rPr>
                <w:rFonts w:ascii="宋体" w:hAnsi="宋体" w:eastAsia="宋体" w:cs="宋体"/>
                <w:color w:val="auto"/>
                <w:szCs w:val="21"/>
                <w:highlight w:val="none"/>
              </w:rPr>
              <w:t>资源</w:t>
            </w:r>
          </w:p>
        </w:tc>
        <w:tc>
          <w:tcPr>
            <w:tcW w:w="735"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台</w:t>
            </w:r>
          </w:p>
        </w:tc>
        <w:tc>
          <w:tcPr>
            <w:tcW w:w="660"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continue"/>
          </w:tcPr>
          <w:p>
            <w:pPr>
              <w:rPr>
                <w:color w:val="auto"/>
                <w:highlight w:val="none"/>
              </w:rPr>
            </w:pPr>
          </w:p>
        </w:tc>
        <w:tc>
          <w:tcPr>
            <w:tcW w:w="1107" w:type="dxa"/>
            <w:vMerge w:val="continue"/>
          </w:tcPr>
          <w:p>
            <w:pPr>
              <w:rPr>
                <w:color w:val="auto"/>
                <w:highlight w:val="none"/>
              </w:rPr>
            </w:pPr>
          </w:p>
        </w:tc>
        <w:tc>
          <w:tcPr>
            <w:tcW w:w="3650" w:type="dxa"/>
            <w:vMerge w:val="continue"/>
          </w:tcPr>
          <w:p>
            <w:pPr>
              <w:rPr>
                <w:color w:val="auto"/>
                <w:highlight w:val="none"/>
              </w:rPr>
            </w:pPr>
          </w:p>
        </w:tc>
        <w:tc>
          <w:tcPr>
            <w:tcW w:w="1888" w:type="dxa"/>
            <w:vAlign w:val="center"/>
          </w:tcPr>
          <w:p>
            <w:pPr>
              <w:spacing w:line="360" w:lineRule="exact"/>
              <w:jc w:val="left"/>
              <w:rPr>
                <w:rFonts w:ascii="宋体" w:hAnsi="宋体" w:eastAsia="宋体" w:cs="宋体"/>
                <w:color w:val="auto"/>
                <w:szCs w:val="21"/>
                <w:highlight w:val="none"/>
              </w:rPr>
            </w:pPr>
            <w:r>
              <w:rPr>
                <w:rFonts w:ascii="宋体" w:hAnsi="宋体" w:eastAsia="宋体" w:cs="宋体"/>
                <w:color w:val="auto"/>
                <w:szCs w:val="21"/>
                <w:highlight w:val="none"/>
              </w:rPr>
              <w:t>云平台授权</w:t>
            </w:r>
          </w:p>
        </w:tc>
        <w:tc>
          <w:tcPr>
            <w:tcW w:w="735"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个</w:t>
            </w:r>
          </w:p>
        </w:tc>
        <w:tc>
          <w:tcPr>
            <w:tcW w:w="660"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continue"/>
          </w:tcPr>
          <w:p>
            <w:pPr>
              <w:rPr>
                <w:color w:val="auto"/>
                <w:highlight w:val="none"/>
              </w:rPr>
            </w:pPr>
          </w:p>
        </w:tc>
        <w:tc>
          <w:tcPr>
            <w:tcW w:w="1107" w:type="dxa"/>
            <w:vMerge w:val="continue"/>
          </w:tcPr>
          <w:p>
            <w:pPr>
              <w:rPr>
                <w:color w:val="auto"/>
                <w:highlight w:val="none"/>
              </w:rPr>
            </w:pPr>
          </w:p>
        </w:tc>
        <w:tc>
          <w:tcPr>
            <w:tcW w:w="3650" w:type="dxa"/>
            <w:vMerge w:val="continue"/>
          </w:tcPr>
          <w:p>
            <w:pPr>
              <w:rPr>
                <w:color w:val="auto"/>
                <w:highlight w:val="none"/>
              </w:rPr>
            </w:pPr>
          </w:p>
        </w:tc>
        <w:tc>
          <w:tcPr>
            <w:tcW w:w="1888" w:type="dxa"/>
            <w:vAlign w:val="center"/>
          </w:tcPr>
          <w:p>
            <w:pPr>
              <w:spacing w:line="360" w:lineRule="exact"/>
              <w:jc w:val="left"/>
              <w:rPr>
                <w:rFonts w:ascii="宋体" w:hAnsi="宋体" w:eastAsia="宋体" w:cs="宋体"/>
                <w:color w:val="auto"/>
                <w:szCs w:val="21"/>
                <w:highlight w:val="none"/>
              </w:rPr>
            </w:pPr>
            <w:r>
              <w:rPr>
                <w:rFonts w:ascii="宋体" w:hAnsi="宋体" w:eastAsia="宋体" w:cs="宋体"/>
                <w:color w:val="auto"/>
                <w:szCs w:val="21"/>
                <w:highlight w:val="none"/>
              </w:rPr>
              <w:t>FC交换机端口激活</w:t>
            </w:r>
          </w:p>
        </w:tc>
        <w:tc>
          <w:tcPr>
            <w:tcW w:w="735"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项</w:t>
            </w:r>
          </w:p>
        </w:tc>
        <w:tc>
          <w:tcPr>
            <w:tcW w:w="660"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restart"/>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1107" w:type="dxa"/>
            <w:vMerge w:val="restart"/>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外网云平台升级</w:t>
            </w:r>
          </w:p>
        </w:tc>
        <w:tc>
          <w:tcPr>
            <w:tcW w:w="3650" w:type="dxa"/>
            <w:vMerge w:val="restart"/>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扩容现有外网云平台，保持及提升云平台的性能</w:t>
            </w:r>
          </w:p>
        </w:tc>
        <w:tc>
          <w:tcPr>
            <w:tcW w:w="1888" w:type="dxa"/>
            <w:vAlign w:val="center"/>
          </w:tcPr>
          <w:p>
            <w:pPr>
              <w:spacing w:line="360" w:lineRule="exact"/>
              <w:jc w:val="left"/>
              <w:rPr>
                <w:rFonts w:ascii="宋体" w:hAnsi="宋体" w:eastAsia="宋体" w:cs="宋体"/>
                <w:color w:val="auto"/>
                <w:szCs w:val="21"/>
                <w:highlight w:val="none"/>
              </w:rPr>
            </w:pPr>
            <w:r>
              <w:rPr>
                <w:rFonts w:ascii="宋体" w:hAnsi="宋体" w:eastAsia="宋体" w:cs="宋体"/>
                <w:color w:val="auto"/>
                <w:szCs w:val="21"/>
                <w:highlight w:val="none"/>
              </w:rPr>
              <w:t>计算</w:t>
            </w:r>
            <w:r>
              <w:rPr>
                <w:rFonts w:hint="eastAsia" w:ascii="宋体" w:hAnsi="宋体" w:eastAsia="宋体" w:cs="宋体"/>
                <w:color w:val="auto"/>
                <w:szCs w:val="21"/>
                <w:highlight w:val="none"/>
              </w:rPr>
              <w:t>服务器</w:t>
            </w:r>
            <w:r>
              <w:rPr>
                <w:rFonts w:ascii="宋体" w:hAnsi="宋体" w:eastAsia="宋体" w:cs="宋体"/>
                <w:color w:val="auto"/>
                <w:szCs w:val="21"/>
                <w:highlight w:val="none"/>
              </w:rPr>
              <w:t>资源</w:t>
            </w:r>
          </w:p>
        </w:tc>
        <w:tc>
          <w:tcPr>
            <w:tcW w:w="735"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台</w:t>
            </w:r>
          </w:p>
        </w:tc>
        <w:tc>
          <w:tcPr>
            <w:tcW w:w="660"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continue"/>
          </w:tcPr>
          <w:p>
            <w:pPr>
              <w:rPr>
                <w:color w:val="auto"/>
                <w:highlight w:val="none"/>
              </w:rPr>
            </w:pPr>
          </w:p>
        </w:tc>
        <w:tc>
          <w:tcPr>
            <w:tcW w:w="1107" w:type="dxa"/>
            <w:vMerge w:val="continue"/>
          </w:tcPr>
          <w:p>
            <w:pPr>
              <w:rPr>
                <w:color w:val="auto"/>
                <w:highlight w:val="none"/>
              </w:rPr>
            </w:pPr>
          </w:p>
        </w:tc>
        <w:tc>
          <w:tcPr>
            <w:tcW w:w="3650" w:type="dxa"/>
            <w:vMerge w:val="continue"/>
          </w:tcPr>
          <w:p>
            <w:pPr>
              <w:rPr>
                <w:color w:val="auto"/>
                <w:highlight w:val="none"/>
              </w:rPr>
            </w:pPr>
          </w:p>
        </w:tc>
        <w:tc>
          <w:tcPr>
            <w:tcW w:w="1888" w:type="dxa"/>
            <w:vAlign w:val="center"/>
          </w:tcPr>
          <w:p>
            <w:pPr>
              <w:spacing w:line="360" w:lineRule="exact"/>
              <w:jc w:val="left"/>
              <w:rPr>
                <w:rFonts w:ascii="宋体" w:hAnsi="宋体" w:eastAsia="宋体" w:cs="宋体"/>
                <w:color w:val="auto"/>
                <w:szCs w:val="21"/>
                <w:highlight w:val="none"/>
              </w:rPr>
            </w:pPr>
            <w:r>
              <w:rPr>
                <w:rFonts w:ascii="宋体" w:hAnsi="宋体" w:eastAsia="宋体" w:cs="宋体"/>
                <w:color w:val="auto"/>
                <w:szCs w:val="21"/>
                <w:highlight w:val="none"/>
              </w:rPr>
              <w:t>云平台授权</w:t>
            </w:r>
          </w:p>
        </w:tc>
        <w:tc>
          <w:tcPr>
            <w:tcW w:w="735"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个</w:t>
            </w:r>
          </w:p>
        </w:tc>
        <w:tc>
          <w:tcPr>
            <w:tcW w:w="660"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restart"/>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1107" w:type="dxa"/>
            <w:vMerge w:val="restart"/>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集成平台数据库增容</w:t>
            </w:r>
          </w:p>
        </w:tc>
        <w:tc>
          <w:tcPr>
            <w:tcW w:w="3650" w:type="dxa"/>
            <w:vMerge w:val="restart"/>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根据</w:t>
            </w:r>
            <w:r>
              <w:rPr>
                <w:rFonts w:ascii="宋体" w:hAnsi="宋体" w:eastAsia="宋体" w:cs="宋体"/>
                <w:color w:val="auto"/>
                <w:szCs w:val="21"/>
                <w:highlight w:val="none"/>
              </w:rPr>
              <w:t>电子病历要求，搭建集成平台应用环境，并配套数据库服务器，用于数据存储及流转</w:t>
            </w:r>
            <w:r>
              <w:rPr>
                <w:rFonts w:hint="eastAsia" w:ascii="宋体" w:hAnsi="宋体" w:eastAsia="宋体" w:cs="宋体"/>
                <w:color w:val="auto"/>
                <w:szCs w:val="21"/>
                <w:highlight w:val="none"/>
              </w:rPr>
              <w:t>。</w:t>
            </w:r>
          </w:p>
        </w:tc>
        <w:tc>
          <w:tcPr>
            <w:tcW w:w="1888" w:type="dxa"/>
            <w:vAlign w:val="center"/>
          </w:tcPr>
          <w:p>
            <w:pPr>
              <w:spacing w:line="360" w:lineRule="exact"/>
              <w:jc w:val="left"/>
              <w:rPr>
                <w:rFonts w:ascii="宋体" w:hAnsi="宋体" w:eastAsia="宋体" w:cs="宋体"/>
                <w:color w:val="auto"/>
                <w:szCs w:val="21"/>
                <w:highlight w:val="none"/>
              </w:rPr>
            </w:pPr>
            <w:r>
              <w:rPr>
                <w:rFonts w:ascii="宋体" w:hAnsi="宋体" w:eastAsia="宋体" w:cs="宋体"/>
                <w:color w:val="auto"/>
                <w:szCs w:val="21"/>
                <w:highlight w:val="none"/>
              </w:rPr>
              <w:t>应用服务器</w:t>
            </w:r>
          </w:p>
        </w:tc>
        <w:tc>
          <w:tcPr>
            <w:tcW w:w="735"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台</w:t>
            </w:r>
          </w:p>
        </w:tc>
        <w:tc>
          <w:tcPr>
            <w:tcW w:w="660"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continue"/>
          </w:tcPr>
          <w:p>
            <w:pPr>
              <w:rPr>
                <w:color w:val="auto"/>
                <w:highlight w:val="none"/>
              </w:rPr>
            </w:pPr>
          </w:p>
        </w:tc>
        <w:tc>
          <w:tcPr>
            <w:tcW w:w="1107" w:type="dxa"/>
            <w:vMerge w:val="continue"/>
          </w:tcPr>
          <w:p>
            <w:pPr>
              <w:rPr>
                <w:color w:val="auto"/>
                <w:highlight w:val="none"/>
              </w:rPr>
            </w:pPr>
          </w:p>
        </w:tc>
        <w:tc>
          <w:tcPr>
            <w:tcW w:w="3650" w:type="dxa"/>
            <w:vMerge w:val="continue"/>
          </w:tcPr>
          <w:p>
            <w:pPr>
              <w:rPr>
                <w:color w:val="auto"/>
                <w:highlight w:val="none"/>
              </w:rPr>
            </w:pPr>
          </w:p>
        </w:tc>
        <w:tc>
          <w:tcPr>
            <w:tcW w:w="1888" w:type="dxa"/>
            <w:vAlign w:val="center"/>
          </w:tcPr>
          <w:p>
            <w:pPr>
              <w:spacing w:line="360" w:lineRule="exact"/>
              <w:jc w:val="left"/>
              <w:rPr>
                <w:rFonts w:ascii="宋体" w:hAnsi="宋体" w:eastAsia="宋体" w:cs="宋体"/>
                <w:color w:val="auto"/>
                <w:szCs w:val="21"/>
                <w:highlight w:val="none"/>
              </w:rPr>
            </w:pPr>
            <w:r>
              <w:rPr>
                <w:rFonts w:ascii="宋体" w:hAnsi="宋体" w:eastAsia="宋体" w:cs="宋体"/>
                <w:color w:val="auto"/>
                <w:szCs w:val="21"/>
                <w:highlight w:val="none"/>
              </w:rPr>
              <w:t>光纤网卡</w:t>
            </w:r>
          </w:p>
        </w:tc>
        <w:tc>
          <w:tcPr>
            <w:tcW w:w="735"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块</w:t>
            </w:r>
          </w:p>
        </w:tc>
        <w:tc>
          <w:tcPr>
            <w:tcW w:w="660"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continue"/>
          </w:tcPr>
          <w:p>
            <w:pPr>
              <w:rPr>
                <w:color w:val="auto"/>
                <w:highlight w:val="none"/>
              </w:rPr>
            </w:pPr>
          </w:p>
        </w:tc>
        <w:tc>
          <w:tcPr>
            <w:tcW w:w="1107" w:type="dxa"/>
            <w:vMerge w:val="continue"/>
          </w:tcPr>
          <w:p>
            <w:pPr>
              <w:rPr>
                <w:color w:val="auto"/>
                <w:highlight w:val="none"/>
              </w:rPr>
            </w:pPr>
          </w:p>
        </w:tc>
        <w:tc>
          <w:tcPr>
            <w:tcW w:w="3650" w:type="dxa"/>
            <w:vMerge w:val="continue"/>
          </w:tcPr>
          <w:p>
            <w:pPr>
              <w:rPr>
                <w:color w:val="auto"/>
                <w:highlight w:val="none"/>
              </w:rPr>
            </w:pPr>
          </w:p>
        </w:tc>
        <w:tc>
          <w:tcPr>
            <w:tcW w:w="1888" w:type="dxa"/>
            <w:vAlign w:val="center"/>
          </w:tcPr>
          <w:p>
            <w:pPr>
              <w:spacing w:line="360" w:lineRule="exact"/>
              <w:jc w:val="left"/>
              <w:rPr>
                <w:rFonts w:ascii="宋体" w:hAnsi="宋体" w:eastAsia="宋体" w:cs="宋体"/>
                <w:color w:val="auto"/>
                <w:szCs w:val="21"/>
                <w:highlight w:val="none"/>
              </w:rPr>
            </w:pPr>
            <w:r>
              <w:rPr>
                <w:rFonts w:ascii="宋体" w:hAnsi="宋体" w:eastAsia="宋体" w:cs="宋体"/>
                <w:color w:val="auto"/>
                <w:szCs w:val="21"/>
                <w:highlight w:val="none"/>
              </w:rPr>
              <w:t>16G HBA卡</w:t>
            </w:r>
          </w:p>
        </w:tc>
        <w:tc>
          <w:tcPr>
            <w:tcW w:w="735"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块</w:t>
            </w:r>
          </w:p>
        </w:tc>
        <w:tc>
          <w:tcPr>
            <w:tcW w:w="660"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continue"/>
          </w:tcPr>
          <w:p>
            <w:pPr>
              <w:rPr>
                <w:color w:val="auto"/>
                <w:highlight w:val="none"/>
              </w:rPr>
            </w:pPr>
          </w:p>
        </w:tc>
        <w:tc>
          <w:tcPr>
            <w:tcW w:w="1107" w:type="dxa"/>
            <w:vMerge w:val="continue"/>
          </w:tcPr>
          <w:p>
            <w:pPr>
              <w:rPr>
                <w:color w:val="auto"/>
                <w:highlight w:val="none"/>
              </w:rPr>
            </w:pPr>
          </w:p>
        </w:tc>
        <w:tc>
          <w:tcPr>
            <w:tcW w:w="3650" w:type="dxa"/>
            <w:vMerge w:val="continue"/>
          </w:tcPr>
          <w:p>
            <w:pPr>
              <w:rPr>
                <w:color w:val="auto"/>
                <w:highlight w:val="none"/>
              </w:rPr>
            </w:pPr>
          </w:p>
        </w:tc>
        <w:tc>
          <w:tcPr>
            <w:tcW w:w="1888" w:type="dxa"/>
            <w:vAlign w:val="center"/>
          </w:tcPr>
          <w:p>
            <w:pPr>
              <w:spacing w:line="360" w:lineRule="exact"/>
              <w:jc w:val="left"/>
              <w:rPr>
                <w:rFonts w:ascii="宋体" w:hAnsi="宋体" w:eastAsia="宋体" w:cs="宋体"/>
                <w:color w:val="auto"/>
                <w:szCs w:val="21"/>
                <w:highlight w:val="none"/>
              </w:rPr>
            </w:pPr>
            <w:r>
              <w:rPr>
                <w:rFonts w:ascii="宋体" w:hAnsi="宋体" w:eastAsia="宋体" w:cs="宋体"/>
                <w:color w:val="auto"/>
                <w:szCs w:val="21"/>
                <w:highlight w:val="none"/>
              </w:rPr>
              <w:t>2.4T存储专用系统硬盘</w:t>
            </w:r>
          </w:p>
        </w:tc>
        <w:tc>
          <w:tcPr>
            <w:tcW w:w="735"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块</w:t>
            </w:r>
          </w:p>
        </w:tc>
        <w:tc>
          <w:tcPr>
            <w:tcW w:w="660"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continue"/>
          </w:tcPr>
          <w:p>
            <w:pPr>
              <w:rPr>
                <w:color w:val="auto"/>
                <w:highlight w:val="none"/>
              </w:rPr>
            </w:pPr>
          </w:p>
        </w:tc>
        <w:tc>
          <w:tcPr>
            <w:tcW w:w="1107" w:type="dxa"/>
            <w:vMerge w:val="continue"/>
          </w:tcPr>
          <w:p>
            <w:pPr>
              <w:rPr>
                <w:color w:val="auto"/>
                <w:highlight w:val="none"/>
              </w:rPr>
            </w:pPr>
          </w:p>
        </w:tc>
        <w:tc>
          <w:tcPr>
            <w:tcW w:w="3650" w:type="dxa"/>
            <w:vMerge w:val="continue"/>
          </w:tcPr>
          <w:p>
            <w:pPr>
              <w:rPr>
                <w:color w:val="auto"/>
                <w:highlight w:val="none"/>
              </w:rPr>
            </w:pPr>
          </w:p>
        </w:tc>
        <w:tc>
          <w:tcPr>
            <w:tcW w:w="1888"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双机软件</w:t>
            </w:r>
          </w:p>
        </w:tc>
        <w:tc>
          <w:tcPr>
            <w:tcW w:w="735"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套</w:t>
            </w:r>
          </w:p>
        </w:tc>
        <w:tc>
          <w:tcPr>
            <w:tcW w:w="660"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1107"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官网服务器更新</w:t>
            </w:r>
          </w:p>
        </w:tc>
        <w:tc>
          <w:tcPr>
            <w:tcW w:w="3650"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对官网旧服务器进行整体更换，重新部署官网程序，增强官网使用稳定性。</w:t>
            </w:r>
          </w:p>
        </w:tc>
        <w:tc>
          <w:tcPr>
            <w:tcW w:w="1888" w:type="dxa"/>
            <w:vAlign w:val="center"/>
          </w:tcPr>
          <w:p>
            <w:pPr>
              <w:spacing w:line="360" w:lineRule="exact"/>
              <w:jc w:val="left"/>
              <w:rPr>
                <w:rFonts w:ascii="宋体" w:hAnsi="宋体" w:eastAsia="宋体" w:cs="宋体"/>
                <w:color w:val="auto"/>
                <w:szCs w:val="21"/>
                <w:highlight w:val="none"/>
              </w:rPr>
            </w:pPr>
            <w:r>
              <w:rPr>
                <w:rFonts w:ascii="宋体" w:hAnsi="宋体" w:eastAsia="宋体" w:cs="宋体"/>
                <w:color w:val="auto"/>
                <w:szCs w:val="21"/>
                <w:highlight w:val="none"/>
              </w:rPr>
              <w:t>官网应用服务器</w:t>
            </w:r>
          </w:p>
        </w:tc>
        <w:tc>
          <w:tcPr>
            <w:tcW w:w="735"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台</w:t>
            </w:r>
          </w:p>
        </w:tc>
        <w:tc>
          <w:tcPr>
            <w:tcW w:w="660"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restart"/>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6</w:t>
            </w:r>
          </w:p>
        </w:tc>
        <w:tc>
          <w:tcPr>
            <w:tcW w:w="1107" w:type="dxa"/>
            <w:vMerge w:val="restart"/>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信息配套</w:t>
            </w:r>
          </w:p>
        </w:tc>
        <w:tc>
          <w:tcPr>
            <w:tcW w:w="3650" w:type="dxa"/>
            <w:vMerge w:val="restart"/>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用于超融合、分布式存储等平台系统，万兆数据转换，数据库维护等。</w:t>
            </w:r>
          </w:p>
        </w:tc>
        <w:tc>
          <w:tcPr>
            <w:tcW w:w="1888"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核心交换机</w:t>
            </w:r>
          </w:p>
        </w:tc>
        <w:tc>
          <w:tcPr>
            <w:tcW w:w="735"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台</w:t>
            </w:r>
          </w:p>
        </w:tc>
        <w:tc>
          <w:tcPr>
            <w:tcW w:w="660"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continue"/>
          </w:tcPr>
          <w:p>
            <w:pPr>
              <w:rPr>
                <w:color w:val="auto"/>
                <w:highlight w:val="none"/>
              </w:rPr>
            </w:pPr>
          </w:p>
        </w:tc>
        <w:tc>
          <w:tcPr>
            <w:tcW w:w="1107" w:type="dxa"/>
            <w:vMerge w:val="continue"/>
          </w:tcPr>
          <w:p>
            <w:pPr>
              <w:rPr>
                <w:color w:val="auto"/>
                <w:highlight w:val="none"/>
              </w:rPr>
            </w:pPr>
          </w:p>
        </w:tc>
        <w:tc>
          <w:tcPr>
            <w:tcW w:w="3650" w:type="dxa"/>
            <w:vMerge w:val="continue"/>
          </w:tcPr>
          <w:p>
            <w:pPr>
              <w:rPr>
                <w:color w:val="auto"/>
                <w:highlight w:val="none"/>
              </w:rPr>
            </w:pPr>
          </w:p>
        </w:tc>
        <w:tc>
          <w:tcPr>
            <w:tcW w:w="1888"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汇聚交换机</w:t>
            </w:r>
          </w:p>
        </w:tc>
        <w:tc>
          <w:tcPr>
            <w:tcW w:w="735"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台</w:t>
            </w:r>
          </w:p>
        </w:tc>
        <w:tc>
          <w:tcPr>
            <w:tcW w:w="660"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continue"/>
          </w:tcPr>
          <w:p>
            <w:pPr>
              <w:rPr>
                <w:color w:val="auto"/>
                <w:highlight w:val="none"/>
              </w:rPr>
            </w:pPr>
          </w:p>
        </w:tc>
        <w:tc>
          <w:tcPr>
            <w:tcW w:w="1107" w:type="dxa"/>
            <w:vMerge w:val="continue"/>
          </w:tcPr>
          <w:p>
            <w:pPr>
              <w:rPr>
                <w:color w:val="auto"/>
                <w:highlight w:val="none"/>
              </w:rPr>
            </w:pPr>
          </w:p>
        </w:tc>
        <w:tc>
          <w:tcPr>
            <w:tcW w:w="3650" w:type="dxa"/>
            <w:vMerge w:val="continue"/>
          </w:tcPr>
          <w:p>
            <w:pPr>
              <w:rPr>
                <w:color w:val="auto"/>
                <w:highlight w:val="none"/>
              </w:rPr>
            </w:pPr>
          </w:p>
        </w:tc>
        <w:tc>
          <w:tcPr>
            <w:tcW w:w="1888"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接入交换机</w:t>
            </w:r>
          </w:p>
        </w:tc>
        <w:tc>
          <w:tcPr>
            <w:tcW w:w="735"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台</w:t>
            </w:r>
          </w:p>
        </w:tc>
        <w:tc>
          <w:tcPr>
            <w:tcW w:w="660"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continue"/>
          </w:tcPr>
          <w:p>
            <w:pPr>
              <w:rPr>
                <w:color w:val="auto"/>
                <w:highlight w:val="none"/>
              </w:rPr>
            </w:pPr>
          </w:p>
        </w:tc>
        <w:tc>
          <w:tcPr>
            <w:tcW w:w="1107" w:type="dxa"/>
            <w:vMerge w:val="continue"/>
          </w:tcPr>
          <w:p>
            <w:pPr>
              <w:rPr>
                <w:color w:val="auto"/>
                <w:highlight w:val="none"/>
              </w:rPr>
            </w:pPr>
          </w:p>
        </w:tc>
        <w:tc>
          <w:tcPr>
            <w:tcW w:w="3650" w:type="dxa"/>
            <w:vMerge w:val="continue"/>
          </w:tcPr>
          <w:p>
            <w:pPr>
              <w:rPr>
                <w:color w:val="auto"/>
                <w:highlight w:val="none"/>
              </w:rPr>
            </w:pPr>
          </w:p>
        </w:tc>
        <w:tc>
          <w:tcPr>
            <w:tcW w:w="1888"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存储硬盘框</w:t>
            </w:r>
          </w:p>
        </w:tc>
        <w:tc>
          <w:tcPr>
            <w:tcW w:w="735"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台</w:t>
            </w:r>
          </w:p>
        </w:tc>
        <w:tc>
          <w:tcPr>
            <w:tcW w:w="660"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continue"/>
          </w:tcPr>
          <w:p>
            <w:pPr>
              <w:rPr>
                <w:color w:val="auto"/>
                <w:highlight w:val="none"/>
              </w:rPr>
            </w:pPr>
          </w:p>
        </w:tc>
        <w:tc>
          <w:tcPr>
            <w:tcW w:w="1107" w:type="dxa"/>
            <w:vMerge w:val="continue"/>
          </w:tcPr>
          <w:p>
            <w:pPr>
              <w:rPr>
                <w:color w:val="auto"/>
                <w:highlight w:val="none"/>
              </w:rPr>
            </w:pPr>
          </w:p>
        </w:tc>
        <w:tc>
          <w:tcPr>
            <w:tcW w:w="3650" w:type="dxa"/>
            <w:vMerge w:val="continue"/>
          </w:tcPr>
          <w:p>
            <w:pPr>
              <w:rPr>
                <w:color w:val="auto"/>
                <w:highlight w:val="none"/>
              </w:rPr>
            </w:pPr>
          </w:p>
        </w:tc>
        <w:tc>
          <w:tcPr>
            <w:tcW w:w="1888"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 xml:space="preserve">存储硬盘 </w:t>
            </w:r>
            <w:r>
              <w:rPr>
                <w:rFonts w:ascii="宋体" w:hAnsi="宋体" w:eastAsia="宋体" w:cs="宋体"/>
                <w:color w:val="auto"/>
                <w:szCs w:val="21"/>
                <w:highlight w:val="none"/>
              </w:rPr>
              <w:t>10T</w:t>
            </w:r>
          </w:p>
        </w:tc>
        <w:tc>
          <w:tcPr>
            <w:tcW w:w="735"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块</w:t>
            </w:r>
          </w:p>
        </w:tc>
        <w:tc>
          <w:tcPr>
            <w:tcW w:w="660"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continue"/>
          </w:tcPr>
          <w:p>
            <w:pPr>
              <w:rPr>
                <w:color w:val="auto"/>
                <w:highlight w:val="none"/>
              </w:rPr>
            </w:pPr>
          </w:p>
        </w:tc>
        <w:tc>
          <w:tcPr>
            <w:tcW w:w="1107" w:type="dxa"/>
            <w:vMerge w:val="continue"/>
          </w:tcPr>
          <w:p>
            <w:pPr>
              <w:rPr>
                <w:color w:val="auto"/>
                <w:highlight w:val="none"/>
              </w:rPr>
            </w:pPr>
          </w:p>
        </w:tc>
        <w:tc>
          <w:tcPr>
            <w:tcW w:w="3650" w:type="dxa"/>
            <w:vMerge w:val="continue"/>
          </w:tcPr>
          <w:p>
            <w:pPr>
              <w:rPr>
                <w:color w:val="auto"/>
                <w:highlight w:val="none"/>
              </w:rPr>
            </w:pPr>
          </w:p>
        </w:tc>
        <w:tc>
          <w:tcPr>
            <w:tcW w:w="1888"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UPS不间断电源</w:t>
            </w:r>
          </w:p>
        </w:tc>
        <w:tc>
          <w:tcPr>
            <w:tcW w:w="735"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套</w:t>
            </w:r>
          </w:p>
        </w:tc>
        <w:tc>
          <w:tcPr>
            <w:tcW w:w="660"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continue"/>
          </w:tcPr>
          <w:p>
            <w:pPr>
              <w:rPr>
                <w:color w:val="auto"/>
                <w:highlight w:val="none"/>
              </w:rPr>
            </w:pPr>
          </w:p>
        </w:tc>
        <w:tc>
          <w:tcPr>
            <w:tcW w:w="1107" w:type="dxa"/>
            <w:vMerge w:val="continue"/>
          </w:tcPr>
          <w:p>
            <w:pPr>
              <w:rPr>
                <w:color w:val="auto"/>
                <w:highlight w:val="none"/>
              </w:rPr>
            </w:pPr>
          </w:p>
        </w:tc>
        <w:tc>
          <w:tcPr>
            <w:tcW w:w="3650" w:type="dxa"/>
            <w:vMerge w:val="continue"/>
          </w:tcPr>
          <w:p>
            <w:pPr>
              <w:rPr>
                <w:color w:val="auto"/>
                <w:highlight w:val="none"/>
              </w:rPr>
            </w:pPr>
          </w:p>
        </w:tc>
        <w:tc>
          <w:tcPr>
            <w:tcW w:w="1888"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数据库维护</w:t>
            </w:r>
          </w:p>
        </w:tc>
        <w:tc>
          <w:tcPr>
            <w:tcW w:w="735"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年</w:t>
            </w:r>
          </w:p>
        </w:tc>
        <w:tc>
          <w:tcPr>
            <w:tcW w:w="660"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restart"/>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7</w:t>
            </w:r>
          </w:p>
        </w:tc>
        <w:tc>
          <w:tcPr>
            <w:tcW w:w="1107" w:type="dxa"/>
            <w:vMerge w:val="restart"/>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安全加固</w:t>
            </w:r>
          </w:p>
        </w:tc>
        <w:tc>
          <w:tcPr>
            <w:tcW w:w="3650" w:type="dxa"/>
            <w:vMerge w:val="restart"/>
            <w:vAlign w:val="center"/>
          </w:tcPr>
          <w:p>
            <w:pPr>
              <w:spacing w:line="360" w:lineRule="exact"/>
              <w:jc w:val="left"/>
              <w:rPr>
                <w:rFonts w:ascii="宋体" w:hAnsi="宋体" w:eastAsia="宋体" w:cs="宋体"/>
                <w:color w:val="auto"/>
                <w:szCs w:val="21"/>
                <w:highlight w:val="none"/>
              </w:rPr>
            </w:pPr>
            <w:r>
              <w:rPr>
                <w:rFonts w:ascii="宋体" w:hAnsi="宋体" w:eastAsia="宋体" w:cs="宋体"/>
                <w:color w:val="auto"/>
                <w:szCs w:val="21"/>
                <w:highlight w:val="none"/>
              </w:rPr>
              <w:t>对安全防护能力较弱的主要安全设备进行配套更新，并增加动态防护系统，进一步加强外网的应用访问防护能力，加强互联网连通的通行安全能力</w:t>
            </w:r>
            <w:r>
              <w:rPr>
                <w:rFonts w:hint="eastAsia" w:ascii="宋体" w:hAnsi="宋体" w:eastAsia="宋体" w:cs="宋体"/>
                <w:color w:val="auto"/>
                <w:szCs w:val="21"/>
                <w:highlight w:val="none"/>
              </w:rPr>
              <w:t>。</w:t>
            </w:r>
          </w:p>
        </w:tc>
        <w:tc>
          <w:tcPr>
            <w:tcW w:w="1888" w:type="dxa"/>
            <w:vAlign w:val="center"/>
          </w:tcPr>
          <w:p>
            <w:pPr>
              <w:spacing w:line="360" w:lineRule="exact"/>
              <w:jc w:val="left"/>
              <w:rPr>
                <w:rFonts w:ascii="宋体" w:hAnsi="宋体" w:eastAsia="宋体" w:cs="宋体"/>
                <w:color w:val="auto"/>
                <w:szCs w:val="21"/>
                <w:highlight w:val="none"/>
              </w:rPr>
            </w:pPr>
            <w:r>
              <w:rPr>
                <w:rFonts w:ascii="宋体" w:hAnsi="宋体" w:eastAsia="宋体" w:cs="宋体"/>
                <w:color w:val="auto"/>
                <w:szCs w:val="21"/>
                <w:highlight w:val="none"/>
              </w:rPr>
              <w:t>防火墙</w:t>
            </w:r>
          </w:p>
        </w:tc>
        <w:tc>
          <w:tcPr>
            <w:tcW w:w="735"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个</w:t>
            </w:r>
          </w:p>
        </w:tc>
        <w:tc>
          <w:tcPr>
            <w:tcW w:w="660"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continue"/>
          </w:tcPr>
          <w:p>
            <w:pPr>
              <w:rPr>
                <w:color w:val="auto"/>
                <w:highlight w:val="none"/>
              </w:rPr>
            </w:pPr>
          </w:p>
        </w:tc>
        <w:tc>
          <w:tcPr>
            <w:tcW w:w="1107" w:type="dxa"/>
            <w:vMerge w:val="continue"/>
          </w:tcPr>
          <w:p>
            <w:pPr>
              <w:rPr>
                <w:color w:val="auto"/>
                <w:highlight w:val="none"/>
              </w:rPr>
            </w:pPr>
          </w:p>
        </w:tc>
        <w:tc>
          <w:tcPr>
            <w:tcW w:w="3650" w:type="dxa"/>
            <w:vMerge w:val="continue"/>
          </w:tcPr>
          <w:p>
            <w:pPr>
              <w:rPr>
                <w:color w:val="auto"/>
                <w:highlight w:val="none"/>
              </w:rPr>
            </w:pPr>
          </w:p>
        </w:tc>
        <w:tc>
          <w:tcPr>
            <w:tcW w:w="1888" w:type="dxa"/>
            <w:vAlign w:val="center"/>
          </w:tcPr>
          <w:p>
            <w:pPr>
              <w:spacing w:line="360" w:lineRule="exact"/>
              <w:jc w:val="left"/>
              <w:rPr>
                <w:rFonts w:ascii="宋体" w:hAnsi="宋体" w:eastAsia="宋体" w:cs="宋体"/>
                <w:color w:val="auto"/>
                <w:szCs w:val="21"/>
                <w:highlight w:val="none"/>
              </w:rPr>
            </w:pPr>
            <w:r>
              <w:rPr>
                <w:rFonts w:ascii="宋体" w:hAnsi="宋体" w:eastAsia="宋体" w:cs="宋体"/>
                <w:color w:val="auto"/>
                <w:szCs w:val="21"/>
                <w:highlight w:val="none"/>
              </w:rPr>
              <w:t>入侵防御（IPS）</w:t>
            </w:r>
          </w:p>
        </w:tc>
        <w:tc>
          <w:tcPr>
            <w:tcW w:w="735"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个</w:t>
            </w:r>
          </w:p>
        </w:tc>
        <w:tc>
          <w:tcPr>
            <w:tcW w:w="660"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continue"/>
          </w:tcPr>
          <w:p>
            <w:pPr>
              <w:rPr>
                <w:color w:val="auto"/>
                <w:highlight w:val="none"/>
              </w:rPr>
            </w:pPr>
          </w:p>
        </w:tc>
        <w:tc>
          <w:tcPr>
            <w:tcW w:w="1107" w:type="dxa"/>
            <w:vMerge w:val="continue"/>
          </w:tcPr>
          <w:p>
            <w:pPr>
              <w:rPr>
                <w:color w:val="auto"/>
                <w:highlight w:val="none"/>
              </w:rPr>
            </w:pPr>
          </w:p>
        </w:tc>
        <w:tc>
          <w:tcPr>
            <w:tcW w:w="3650" w:type="dxa"/>
            <w:vMerge w:val="continue"/>
          </w:tcPr>
          <w:p>
            <w:pPr>
              <w:rPr>
                <w:color w:val="auto"/>
                <w:highlight w:val="none"/>
              </w:rPr>
            </w:pPr>
          </w:p>
        </w:tc>
        <w:tc>
          <w:tcPr>
            <w:tcW w:w="1888" w:type="dxa"/>
            <w:vAlign w:val="center"/>
          </w:tcPr>
          <w:p>
            <w:pPr>
              <w:spacing w:line="360" w:lineRule="exact"/>
              <w:jc w:val="left"/>
              <w:rPr>
                <w:rFonts w:ascii="宋体" w:hAnsi="宋体" w:eastAsia="宋体" w:cs="宋体"/>
                <w:color w:val="auto"/>
                <w:szCs w:val="21"/>
                <w:highlight w:val="none"/>
              </w:rPr>
            </w:pPr>
            <w:r>
              <w:rPr>
                <w:rFonts w:ascii="宋体" w:hAnsi="宋体" w:eastAsia="宋体" w:cs="宋体"/>
                <w:color w:val="auto"/>
                <w:szCs w:val="21"/>
                <w:highlight w:val="none"/>
              </w:rPr>
              <w:t>防毒墙</w:t>
            </w:r>
          </w:p>
        </w:tc>
        <w:tc>
          <w:tcPr>
            <w:tcW w:w="735"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个</w:t>
            </w:r>
          </w:p>
        </w:tc>
        <w:tc>
          <w:tcPr>
            <w:tcW w:w="660"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continue"/>
          </w:tcPr>
          <w:p>
            <w:pPr>
              <w:rPr>
                <w:color w:val="auto"/>
                <w:highlight w:val="none"/>
              </w:rPr>
            </w:pPr>
          </w:p>
        </w:tc>
        <w:tc>
          <w:tcPr>
            <w:tcW w:w="1107" w:type="dxa"/>
            <w:vMerge w:val="continue"/>
          </w:tcPr>
          <w:p>
            <w:pPr>
              <w:rPr>
                <w:color w:val="auto"/>
                <w:highlight w:val="none"/>
              </w:rPr>
            </w:pPr>
          </w:p>
        </w:tc>
        <w:tc>
          <w:tcPr>
            <w:tcW w:w="3650" w:type="dxa"/>
            <w:vMerge w:val="continue"/>
          </w:tcPr>
          <w:p>
            <w:pPr>
              <w:rPr>
                <w:color w:val="auto"/>
                <w:highlight w:val="none"/>
              </w:rPr>
            </w:pPr>
          </w:p>
        </w:tc>
        <w:tc>
          <w:tcPr>
            <w:tcW w:w="1888" w:type="dxa"/>
            <w:vAlign w:val="center"/>
          </w:tcPr>
          <w:p>
            <w:pPr>
              <w:spacing w:line="360" w:lineRule="exact"/>
              <w:jc w:val="left"/>
              <w:rPr>
                <w:rFonts w:ascii="宋体" w:hAnsi="宋体" w:eastAsia="宋体" w:cs="宋体"/>
                <w:color w:val="auto"/>
                <w:szCs w:val="21"/>
                <w:highlight w:val="none"/>
              </w:rPr>
            </w:pPr>
            <w:r>
              <w:rPr>
                <w:rFonts w:ascii="宋体" w:hAnsi="宋体" w:eastAsia="宋体" w:cs="宋体"/>
                <w:color w:val="auto"/>
                <w:szCs w:val="21"/>
                <w:highlight w:val="none"/>
              </w:rPr>
              <w:t>数据交换系统（网闸）</w:t>
            </w:r>
          </w:p>
        </w:tc>
        <w:tc>
          <w:tcPr>
            <w:tcW w:w="735"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个</w:t>
            </w:r>
          </w:p>
        </w:tc>
        <w:tc>
          <w:tcPr>
            <w:tcW w:w="660"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continue"/>
          </w:tcPr>
          <w:p>
            <w:pPr>
              <w:rPr>
                <w:color w:val="auto"/>
                <w:highlight w:val="none"/>
              </w:rPr>
            </w:pPr>
          </w:p>
        </w:tc>
        <w:tc>
          <w:tcPr>
            <w:tcW w:w="1107" w:type="dxa"/>
            <w:vMerge w:val="continue"/>
          </w:tcPr>
          <w:p>
            <w:pPr>
              <w:rPr>
                <w:color w:val="auto"/>
                <w:highlight w:val="none"/>
              </w:rPr>
            </w:pPr>
          </w:p>
        </w:tc>
        <w:tc>
          <w:tcPr>
            <w:tcW w:w="3650" w:type="dxa"/>
            <w:vMerge w:val="continue"/>
          </w:tcPr>
          <w:p>
            <w:pPr>
              <w:rPr>
                <w:color w:val="auto"/>
                <w:highlight w:val="none"/>
              </w:rPr>
            </w:pPr>
          </w:p>
        </w:tc>
        <w:tc>
          <w:tcPr>
            <w:tcW w:w="1888" w:type="dxa"/>
            <w:vAlign w:val="center"/>
          </w:tcPr>
          <w:p>
            <w:pPr>
              <w:spacing w:line="360" w:lineRule="exact"/>
              <w:jc w:val="left"/>
              <w:rPr>
                <w:rFonts w:ascii="宋体" w:hAnsi="宋体" w:eastAsia="宋体" w:cs="宋体"/>
                <w:color w:val="auto"/>
                <w:szCs w:val="21"/>
                <w:highlight w:val="none"/>
              </w:rPr>
            </w:pPr>
            <w:r>
              <w:rPr>
                <w:rFonts w:ascii="宋体" w:hAnsi="宋体" w:eastAsia="宋体" w:cs="宋体"/>
                <w:color w:val="auto"/>
                <w:szCs w:val="21"/>
                <w:highlight w:val="none"/>
              </w:rPr>
              <w:t>外网杀毒软件</w:t>
            </w:r>
          </w:p>
        </w:tc>
        <w:tc>
          <w:tcPr>
            <w:tcW w:w="735"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点</w:t>
            </w:r>
          </w:p>
        </w:tc>
        <w:tc>
          <w:tcPr>
            <w:tcW w:w="660"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continue"/>
          </w:tcPr>
          <w:p>
            <w:pPr>
              <w:rPr>
                <w:color w:val="auto"/>
                <w:highlight w:val="none"/>
              </w:rPr>
            </w:pPr>
          </w:p>
        </w:tc>
        <w:tc>
          <w:tcPr>
            <w:tcW w:w="1107" w:type="dxa"/>
            <w:vMerge w:val="continue"/>
          </w:tcPr>
          <w:p>
            <w:pPr>
              <w:rPr>
                <w:color w:val="auto"/>
                <w:highlight w:val="none"/>
              </w:rPr>
            </w:pPr>
          </w:p>
        </w:tc>
        <w:tc>
          <w:tcPr>
            <w:tcW w:w="3650" w:type="dxa"/>
            <w:vMerge w:val="continue"/>
          </w:tcPr>
          <w:p>
            <w:pPr>
              <w:rPr>
                <w:color w:val="auto"/>
                <w:highlight w:val="none"/>
              </w:rPr>
            </w:pPr>
          </w:p>
        </w:tc>
        <w:tc>
          <w:tcPr>
            <w:tcW w:w="1888" w:type="dxa"/>
            <w:vAlign w:val="center"/>
          </w:tcPr>
          <w:p>
            <w:pPr>
              <w:spacing w:line="360" w:lineRule="exact"/>
              <w:jc w:val="left"/>
              <w:rPr>
                <w:rFonts w:ascii="宋体" w:hAnsi="宋体" w:eastAsia="宋体" w:cs="宋体"/>
                <w:color w:val="auto"/>
                <w:szCs w:val="21"/>
                <w:highlight w:val="none"/>
              </w:rPr>
            </w:pPr>
            <w:r>
              <w:rPr>
                <w:rFonts w:ascii="宋体" w:hAnsi="宋体" w:eastAsia="宋体" w:cs="宋体"/>
                <w:color w:val="auto"/>
                <w:szCs w:val="21"/>
                <w:highlight w:val="none"/>
              </w:rPr>
              <w:t>上网行为管理</w:t>
            </w:r>
          </w:p>
        </w:tc>
        <w:tc>
          <w:tcPr>
            <w:tcW w:w="735"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台</w:t>
            </w:r>
          </w:p>
        </w:tc>
        <w:tc>
          <w:tcPr>
            <w:tcW w:w="660"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continue"/>
          </w:tcPr>
          <w:p>
            <w:pPr>
              <w:rPr>
                <w:color w:val="auto"/>
                <w:highlight w:val="none"/>
              </w:rPr>
            </w:pPr>
          </w:p>
        </w:tc>
        <w:tc>
          <w:tcPr>
            <w:tcW w:w="1107" w:type="dxa"/>
            <w:vMerge w:val="continue"/>
          </w:tcPr>
          <w:p>
            <w:pPr>
              <w:rPr>
                <w:color w:val="auto"/>
                <w:highlight w:val="none"/>
              </w:rPr>
            </w:pPr>
          </w:p>
        </w:tc>
        <w:tc>
          <w:tcPr>
            <w:tcW w:w="3650" w:type="dxa"/>
            <w:vMerge w:val="continue"/>
          </w:tcPr>
          <w:p>
            <w:pPr>
              <w:rPr>
                <w:color w:val="auto"/>
                <w:highlight w:val="none"/>
              </w:rPr>
            </w:pPr>
          </w:p>
        </w:tc>
        <w:tc>
          <w:tcPr>
            <w:tcW w:w="1888" w:type="dxa"/>
            <w:vAlign w:val="center"/>
          </w:tcPr>
          <w:p>
            <w:pPr>
              <w:spacing w:line="360" w:lineRule="exact"/>
              <w:jc w:val="left"/>
              <w:rPr>
                <w:rFonts w:ascii="宋体" w:hAnsi="宋体" w:eastAsia="宋体" w:cs="宋体"/>
                <w:color w:val="auto"/>
                <w:szCs w:val="21"/>
                <w:highlight w:val="none"/>
              </w:rPr>
            </w:pPr>
            <w:r>
              <w:rPr>
                <w:rFonts w:ascii="宋体" w:hAnsi="宋体" w:eastAsia="宋体" w:cs="宋体"/>
                <w:color w:val="auto"/>
                <w:szCs w:val="21"/>
                <w:highlight w:val="none"/>
              </w:rPr>
              <w:t>堡垒机授权</w:t>
            </w:r>
          </w:p>
        </w:tc>
        <w:tc>
          <w:tcPr>
            <w:tcW w:w="735"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套</w:t>
            </w:r>
          </w:p>
        </w:tc>
        <w:tc>
          <w:tcPr>
            <w:tcW w:w="660"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continue"/>
          </w:tcPr>
          <w:p>
            <w:pPr>
              <w:rPr>
                <w:color w:val="auto"/>
                <w:highlight w:val="none"/>
              </w:rPr>
            </w:pPr>
          </w:p>
        </w:tc>
        <w:tc>
          <w:tcPr>
            <w:tcW w:w="1107" w:type="dxa"/>
            <w:vMerge w:val="continue"/>
          </w:tcPr>
          <w:p>
            <w:pPr>
              <w:rPr>
                <w:color w:val="auto"/>
                <w:highlight w:val="none"/>
              </w:rPr>
            </w:pPr>
          </w:p>
        </w:tc>
        <w:tc>
          <w:tcPr>
            <w:tcW w:w="3650" w:type="dxa"/>
            <w:vMerge w:val="continue"/>
          </w:tcPr>
          <w:p>
            <w:pPr>
              <w:rPr>
                <w:color w:val="auto"/>
                <w:highlight w:val="none"/>
              </w:rPr>
            </w:pPr>
          </w:p>
        </w:tc>
        <w:tc>
          <w:tcPr>
            <w:tcW w:w="1888" w:type="dxa"/>
            <w:vAlign w:val="center"/>
          </w:tcPr>
          <w:p>
            <w:pPr>
              <w:spacing w:line="360" w:lineRule="exact"/>
              <w:jc w:val="left"/>
              <w:rPr>
                <w:rFonts w:ascii="宋体" w:hAnsi="宋体" w:eastAsia="宋体" w:cs="宋体"/>
                <w:color w:val="auto"/>
                <w:szCs w:val="21"/>
                <w:highlight w:val="none"/>
              </w:rPr>
            </w:pPr>
            <w:r>
              <w:rPr>
                <w:rFonts w:ascii="宋体" w:hAnsi="宋体" w:eastAsia="宋体" w:cs="宋体"/>
                <w:color w:val="auto"/>
                <w:szCs w:val="21"/>
                <w:highlight w:val="none"/>
              </w:rPr>
              <w:t>动态应用防护系统</w:t>
            </w:r>
          </w:p>
        </w:tc>
        <w:tc>
          <w:tcPr>
            <w:tcW w:w="735"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套</w:t>
            </w:r>
          </w:p>
        </w:tc>
        <w:tc>
          <w:tcPr>
            <w:tcW w:w="660"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continue"/>
          </w:tcPr>
          <w:p>
            <w:pPr>
              <w:rPr>
                <w:color w:val="auto"/>
                <w:highlight w:val="none"/>
              </w:rPr>
            </w:pPr>
          </w:p>
        </w:tc>
        <w:tc>
          <w:tcPr>
            <w:tcW w:w="1107" w:type="dxa"/>
            <w:vMerge w:val="continue"/>
          </w:tcPr>
          <w:p>
            <w:pPr>
              <w:rPr>
                <w:color w:val="auto"/>
                <w:highlight w:val="none"/>
              </w:rPr>
            </w:pPr>
          </w:p>
        </w:tc>
        <w:tc>
          <w:tcPr>
            <w:tcW w:w="3650" w:type="dxa"/>
            <w:vMerge w:val="continue"/>
          </w:tcPr>
          <w:p>
            <w:pPr>
              <w:rPr>
                <w:color w:val="auto"/>
                <w:highlight w:val="none"/>
              </w:rPr>
            </w:pPr>
          </w:p>
        </w:tc>
        <w:tc>
          <w:tcPr>
            <w:tcW w:w="1888" w:type="dxa"/>
            <w:vAlign w:val="center"/>
          </w:tcPr>
          <w:p>
            <w:pPr>
              <w:spacing w:line="360" w:lineRule="exact"/>
              <w:jc w:val="left"/>
              <w:rPr>
                <w:rFonts w:ascii="宋体" w:hAnsi="宋体" w:eastAsia="宋体" w:cs="宋体"/>
                <w:color w:val="auto"/>
                <w:szCs w:val="21"/>
                <w:highlight w:val="none"/>
              </w:rPr>
            </w:pPr>
            <w:r>
              <w:rPr>
                <w:rFonts w:ascii="宋体" w:hAnsi="宋体" w:eastAsia="宋体" w:cs="宋体"/>
                <w:color w:val="auto"/>
                <w:szCs w:val="21"/>
                <w:highlight w:val="none"/>
              </w:rPr>
              <w:t>配套虚拟化防护授权</w:t>
            </w:r>
          </w:p>
        </w:tc>
        <w:tc>
          <w:tcPr>
            <w:tcW w:w="735"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个</w:t>
            </w:r>
          </w:p>
        </w:tc>
        <w:tc>
          <w:tcPr>
            <w:tcW w:w="660" w:type="dxa"/>
            <w:vAlign w:val="center"/>
          </w:tcPr>
          <w:p>
            <w:pPr>
              <w:spacing w:line="360" w:lineRule="exact"/>
              <w:jc w:val="left"/>
              <w:rPr>
                <w:rFonts w:ascii="宋体" w:hAnsi="宋体" w:eastAsia="宋体" w:cs="宋体"/>
                <w:color w:val="auto"/>
                <w:szCs w:val="21"/>
                <w:highlight w:val="none"/>
              </w:rPr>
            </w:pPr>
            <w:r>
              <w:rPr>
                <w:rFonts w:hint="eastAsia" w:ascii="宋体" w:hAnsi="宋体" w:eastAsia="宋体" w:cs="宋体"/>
                <w:color w:val="auto"/>
                <w:szCs w:val="21"/>
                <w:highlight w:val="none"/>
              </w:rPr>
              <w:t>48</w:t>
            </w:r>
          </w:p>
        </w:tc>
      </w:tr>
    </w:tbl>
    <w:p>
      <w:pPr>
        <w:pStyle w:val="4"/>
        <w:numPr>
          <w:ilvl w:val="0"/>
          <w:numId w:val="5"/>
        </w:numPr>
        <w:jc w:val="left"/>
        <w:rPr>
          <w:rFonts w:hint="eastAsia"/>
          <w:color w:val="auto"/>
          <w:sz w:val="28"/>
          <w:szCs w:val="28"/>
          <w:highlight w:val="none"/>
        </w:rPr>
      </w:pPr>
      <w:bookmarkStart w:id="82" w:name="_Toc19847"/>
      <w:bookmarkStart w:id="83" w:name="_Toc4428"/>
      <w:r>
        <w:rPr>
          <w:rFonts w:hint="eastAsia"/>
          <w:color w:val="auto"/>
          <w:sz w:val="28"/>
          <w:szCs w:val="28"/>
          <w:highlight w:val="none"/>
        </w:rPr>
        <w:t>建设内容与技术规范</w:t>
      </w:r>
      <w:bookmarkEnd w:id="82"/>
      <w:bookmarkEnd w:id="83"/>
    </w:p>
    <w:p>
      <w:pPr>
        <w:pStyle w:val="5"/>
        <w:keepNext/>
        <w:keepLines/>
        <w:pageBreakBefore w:val="0"/>
        <w:widowControl w:val="0"/>
        <w:kinsoku/>
        <w:wordWrap/>
        <w:overflowPunct/>
        <w:topLinePunct w:val="0"/>
        <w:autoSpaceDE/>
        <w:autoSpaceDN/>
        <w:bidi w:val="0"/>
        <w:adjustRightInd/>
        <w:snapToGrid/>
        <w:ind w:firstLine="0"/>
        <w:jc w:val="left"/>
        <w:textAlignment w:val="auto"/>
        <w:rPr>
          <w:rFonts w:hint="eastAsia" w:ascii="宋体" w:hAnsi="宋体" w:eastAsia="宋体" w:cs="宋体"/>
          <w:color w:val="auto"/>
          <w:sz w:val="28"/>
          <w:szCs w:val="28"/>
          <w:highlight w:val="none"/>
        </w:rPr>
      </w:pPr>
      <w:bookmarkStart w:id="84" w:name="_Toc16657"/>
      <w:bookmarkStart w:id="85" w:name="_Toc19091"/>
      <w:r>
        <w:rPr>
          <w:rFonts w:hint="eastAsia" w:ascii="宋体" w:hAnsi="宋体" w:eastAsia="宋体" w:cs="宋体"/>
          <w:color w:val="auto"/>
          <w:sz w:val="28"/>
          <w:szCs w:val="28"/>
          <w:highlight w:val="none"/>
        </w:rPr>
        <w:t>3.1超融合平台</w:t>
      </w:r>
      <w:bookmarkEnd w:id="84"/>
      <w:bookmarkEnd w:id="85"/>
    </w:p>
    <w:p>
      <w:pPr>
        <w:pStyle w:val="6"/>
        <w:rPr>
          <w:color w:val="auto"/>
          <w:highlight w:val="none"/>
        </w:rPr>
      </w:pPr>
      <w:r>
        <w:rPr>
          <w:rFonts w:hint="eastAsia"/>
          <w:color w:val="auto"/>
          <w:highlight w:val="none"/>
        </w:rPr>
        <w:t>3</w:t>
      </w:r>
      <w:r>
        <w:rPr>
          <w:color w:val="auto"/>
          <w:highlight w:val="none"/>
        </w:rPr>
        <w:t>.1.1</w:t>
      </w:r>
      <w:r>
        <w:rPr>
          <w:rFonts w:hint="eastAsia"/>
          <w:color w:val="auto"/>
          <w:highlight w:val="none"/>
        </w:rPr>
        <w:t>产品数量</w:t>
      </w:r>
    </w:p>
    <w:tbl>
      <w:tblPr>
        <w:tblStyle w:val="23"/>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5103"/>
        <w:gridCol w:w="1276"/>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序号</w:t>
            </w:r>
          </w:p>
        </w:tc>
        <w:tc>
          <w:tcPr>
            <w:tcW w:w="5103"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名称</w:t>
            </w:r>
          </w:p>
        </w:tc>
        <w:tc>
          <w:tcPr>
            <w:tcW w:w="1276"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单位</w:t>
            </w:r>
          </w:p>
        </w:tc>
        <w:tc>
          <w:tcPr>
            <w:tcW w:w="1275"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5103" w:type="dxa"/>
            <w:shd w:val="clear" w:color="auto" w:fill="auto"/>
            <w:vAlign w:val="center"/>
          </w:tcPr>
          <w:p>
            <w:pPr>
              <w:widowControl/>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超融合平台</w:t>
            </w:r>
          </w:p>
        </w:tc>
        <w:tc>
          <w:tcPr>
            <w:tcW w:w="1276"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c>
          <w:tcPr>
            <w:tcW w:w="1275"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5103" w:type="dxa"/>
            <w:shd w:val="clear" w:color="auto" w:fill="auto"/>
            <w:vAlign w:val="center"/>
          </w:tcPr>
          <w:p>
            <w:pPr>
              <w:widowControl/>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计算资源</w:t>
            </w:r>
          </w:p>
        </w:tc>
        <w:tc>
          <w:tcPr>
            <w:tcW w:w="1276"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1275" w:type="dxa"/>
            <w:shd w:val="clear" w:color="auto" w:fill="auto"/>
            <w:vAlign w:val="center"/>
          </w:tcPr>
          <w:p>
            <w:pPr>
              <w:widowControl/>
              <w:jc w:val="center"/>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5103" w:type="dxa"/>
            <w:shd w:val="clear" w:color="auto" w:fill="auto"/>
            <w:vAlign w:val="center"/>
          </w:tcPr>
          <w:p>
            <w:pPr>
              <w:widowControl/>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7.68T热插拔固态硬盘</w:t>
            </w:r>
          </w:p>
        </w:tc>
        <w:tc>
          <w:tcPr>
            <w:tcW w:w="1276"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块</w:t>
            </w:r>
          </w:p>
        </w:tc>
        <w:tc>
          <w:tcPr>
            <w:tcW w:w="1275"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5103" w:type="dxa"/>
            <w:shd w:val="clear" w:color="auto" w:fill="auto"/>
            <w:vAlign w:val="center"/>
          </w:tcPr>
          <w:p>
            <w:pPr>
              <w:widowControl/>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服务器CPU</w:t>
            </w:r>
          </w:p>
        </w:tc>
        <w:tc>
          <w:tcPr>
            <w:tcW w:w="1276"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颗</w:t>
            </w:r>
          </w:p>
        </w:tc>
        <w:tc>
          <w:tcPr>
            <w:tcW w:w="1275"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5103" w:type="dxa"/>
            <w:shd w:val="clear" w:color="auto" w:fill="auto"/>
            <w:vAlign w:val="center"/>
          </w:tcPr>
          <w:p>
            <w:pPr>
              <w:widowControl/>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超融合授权</w:t>
            </w:r>
          </w:p>
        </w:tc>
        <w:tc>
          <w:tcPr>
            <w:tcW w:w="1276"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节点</w:t>
            </w:r>
          </w:p>
        </w:tc>
        <w:tc>
          <w:tcPr>
            <w:tcW w:w="1275"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r>
    </w:tbl>
    <w:p>
      <w:pPr>
        <w:pStyle w:val="6"/>
        <w:rPr>
          <w:color w:val="auto"/>
          <w:highlight w:val="none"/>
        </w:rPr>
      </w:pPr>
      <w:r>
        <w:rPr>
          <w:rFonts w:hint="eastAsia"/>
          <w:color w:val="auto"/>
          <w:highlight w:val="none"/>
        </w:rPr>
        <w:t>3</w:t>
      </w:r>
      <w:r>
        <w:rPr>
          <w:color w:val="auto"/>
          <w:highlight w:val="none"/>
        </w:rPr>
        <w:t>.1.2</w:t>
      </w:r>
      <w:r>
        <w:rPr>
          <w:rFonts w:hint="eastAsia"/>
          <w:color w:val="auto"/>
          <w:highlight w:val="none"/>
        </w:rPr>
        <w:t>技术要求</w:t>
      </w:r>
    </w:p>
    <w:p>
      <w:pPr>
        <w:pStyle w:val="32"/>
        <w:numPr>
          <w:ilvl w:val="0"/>
          <w:numId w:val="6"/>
        </w:numPr>
        <w:spacing w:line="360" w:lineRule="auto"/>
        <w:ind w:firstLineChars="0"/>
        <w:rPr>
          <w:rFonts w:ascii="宋体" w:hAnsi="宋体" w:eastAsia="宋体"/>
          <w:b/>
          <w:color w:val="auto"/>
          <w:sz w:val="24"/>
          <w:szCs w:val="24"/>
          <w:highlight w:val="none"/>
        </w:rPr>
      </w:pPr>
      <w:bookmarkStart w:id="86" w:name="_Hlk150766601"/>
      <w:r>
        <w:rPr>
          <w:rFonts w:hint="eastAsia" w:ascii="宋体" w:hAnsi="宋体" w:eastAsia="宋体"/>
          <w:b/>
          <w:color w:val="auto"/>
          <w:sz w:val="24"/>
          <w:szCs w:val="24"/>
          <w:highlight w:val="none"/>
        </w:rPr>
        <w:t>超融合平台</w:t>
      </w:r>
    </w:p>
    <w:p>
      <w:pPr>
        <w:pStyle w:val="32"/>
        <w:spacing w:line="360" w:lineRule="auto"/>
        <w:ind w:left="720" w:firstLine="0" w:firstLineChars="0"/>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基本要求：</w:t>
      </w:r>
    </w:p>
    <w:p>
      <w:pPr>
        <w:pStyle w:val="32"/>
        <w:spacing w:line="360" w:lineRule="auto"/>
        <w:ind w:firstLine="480"/>
        <w:rPr>
          <w:rFonts w:ascii="宋体" w:hAnsi="宋体" w:eastAsia="宋体"/>
          <w:color w:val="auto"/>
          <w:sz w:val="21"/>
          <w:szCs w:val="21"/>
          <w:highlight w:val="none"/>
        </w:rPr>
      </w:pPr>
      <w:r>
        <w:rPr>
          <w:rFonts w:hint="eastAsia" w:ascii="宋体" w:hAnsi="宋体" w:eastAsia="宋体"/>
          <w:color w:val="auto"/>
          <w:sz w:val="21"/>
          <w:szCs w:val="21"/>
          <w:highlight w:val="none"/>
        </w:rPr>
        <w:t>为了保证良好的兼容性，投标方所提供的软件产品、硬件产品必须为同一品牌。</w:t>
      </w:r>
    </w:p>
    <w:p>
      <w:pPr>
        <w:pStyle w:val="32"/>
        <w:spacing w:line="360" w:lineRule="auto"/>
        <w:ind w:firstLine="480"/>
        <w:rPr>
          <w:rFonts w:ascii="宋体" w:hAnsi="宋体" w:eastAsia="宋体"/>
          <w:color w:val="auto"/>
          <w:sz w:val="21"/>
          <w:szCs w:val="21"/>
          <w:highlight w:val="none"/>
        </w:rPr>
      </w:pPr>
      <w:r>
        <w:rPr>
          <w:rFonts w:hint="eastAsia" w:ascii="宋体" w:hAnsi="宋体" w:eastAsia="宋体"/>
          <w:color w:val="auto"/>
          <w:sz w:val="21"/>
          <w:szCs w:val="21"/>
          <w:highlight w:val="none"/>
        </w:rPr>
        <w:t>超融合管理平台支持一体机的交付方式或纯软件交付方式。</w:t>
      </w:r>
    </w:p>
    <w:p>
      <w:pPr>
        <w:pStyle w:val="32"/>
        <w:spacing w:line="360" w:lineRule="auto"/>
        <w:ind w:firstLine="480"/>
        <w:rPr>
          <w:rFonts w:ascii="宋体" w:hAnsi="宋体" w:eastAsia="宋体"/>
          <w:color w:val="auto"/>
          <w:sz w:val="21"/>
          <w:szCs w:val="21"/>
          <w:highlight w:val="none"/>
        </w:rPr>
      </w:pPr>
      <w:r>
        <w:rPr>
          <w:rFonts w:hint="eastAsia" w:ascii="宋体" w:hAnsi="宋体" w:eastAsia="宋体"/>
          <w:color w:val="auto"/>
          <w:sz w:val="21"/>
          <w:szCs w:val="21"/>
          <w:highlight w:val="none"/>
        </w:rPr>
        <w:t>超融合管理平台支持更换服务器硬件无需更换软件，软件授权不锁定硬件，软件授权可转移，提供更高的灵活性和性价比。</w:t>
      </w:r>
    </w:p>
    <w:p>
      <w:pPr>
        <w:pStyle w:val="32"/>
        <w:spacing w:line="360" w:lineRule="auto"/>
        <w:ind w:firstLine="48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支持市场主流X86服务器部署，且可以在同一平台进行管理。</w:t>
      </w:r>
    </w:p>
    <w:p>
      <w:pPr>
        <w:pStyle w:val="32"/>
        <w:spacing w:line="360" w:lineRule="auto"/>
        <w:ind w:firstLine="48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具备项目（租户）管理功能，支持通过项目对资源进行隔离，包括虚拟机、存储等，按项目分配不同权限用户，用户可拥有所属虚拟机资源，用户登录到云平台后仅可以看到所分配的资源。</w:t>
      </w:r>
    </w:p>
    <w:p>
      <w:pPr>
        <w:pStyle w:val="32"/>
        <w:spacing w:line="360" w:lineRule="auto"/>
        <w:ind w:firstLine="48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具备伸缩组功能，可对一组业务虚拟机或有弹性资源需求的虚拟机设置伸缩组，可根据设定的CPU阈值对伸缩组中虚拟机进行动态的增加和减少。</w:t>
      </w:r>
    </w:p>
    <w:p>
      <w:pPr>
        <w:pStyle w:val="32"/>
        <w:spacing w:line="360" w:lineRule="auto"/>
        <w:ind w:firstLine="48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具备延伸集群功能，可实现站点级容灾保护，配置延伸集群后，单一站点故障后，延伸站点可实现立即接管，数据无丢失，且延伸站点可继续提供集群高可用，延伸站点可继续允许1-2节点故障。</w:t>
      </w:r>
    </w:p>
    <w:p>
      <w:pPr>
        <w:pStyle w:val="32"/>
        <w:spacing w:line="360" w:lineRule="auto"/>
        <w:ind w:firstLine="48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具备告警信息可以通过邮件和微信方式发送，并可以在管理平台记录发送历史，为后期审计提供依据。</w:t>
      </w:r>
    </w:p>
    <w:p>
      <w:pPr>
        <w:pStyle w:val="32"/>
        <w:spacing w:line="360" w:lineRule="auto"/>
        <w:ind w:firstLine="48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具备性能分析面板，可定制多块性能分析面板，可将同一监控指标的多个不同对象在同一面板中集中展示，直观展示在同一时间点多个监控对象的状态。</w:t>
      </w:r>
    </w:p>
    <w:p>
      <w:pPr>
        <w:pStyle w:val="32"/>
        <w:spacing w:line="360" w:lineRule="auto"/>
        <w:ind w:firstLine="48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具备多种身份认证方式，至少支持账户密码、企业微信、OTP、Ukey方式进行登录认证，可进行双因子认证登录设置，保证云平台安全。</w:t>
      </w:r>
    </w:p>
    <w:p>
      <w:pPr>
        <w:pStyle w:val="32"/>
        <w:spacing w:line="360" w:lineRule="auto"/>
        <w:ind w:firstLine="48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具备热力图功能，直观展示存储池/硬盘数据空间分布和数据访问热度，提供最近一小时的热度展示。其中存储池级别的热力图支持按照节点和硬盘类型维度分别展示。该功能为判断缓存盘和容量盘的配比是否合理，是否需要扩容提供有力的依据。</w:t>
      </w:r>
    </w:p>
    <w:p>
      <w:pPr>
        <w:pStyle w:val="32"/>
        <w:spacing w:line="360" w:lineRule="auto"/>
        <w:ind w:firstLine="48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具备审计日志功能，可记录平台所有操作行为日志，并支持汇总导出，也支持将安全日志发送到独立部署的综合审计系统。</w:t>
      </w:r>
    </w:p>
    <w:bookmarkEnd w:id="86"/>
    <w:p>
      <w:pPr>
        <w:pStyle w:val="32"/>
        <w:numPr>
          <w:ilvl w:val="0"/>
          <w:numId w:val="6"/>
        </w:numPr>
        <w:spacing w:line="360" w:lineRule="auto"/>
        <w:ind w:firstLineChars="0"/>
        <w:rPr>
          <w:rFonts w:ascii="宋体" w:hAnsi="宋体" w:eastAsia="宋体"/>
          <w:b/>
          <w:color w:val="auto"/>
          <w:sz w:val="24"/>
          <w:szCs w:val="24"/>
          <w:highlight w:val="none"/>
        </w:rPr>
      </w:pPr>
      <w:r>
        <w:rPr>
          <w:rFonts w:hint="eastAsia" w:ascii="宋体" w:hAnsi="宋体" w:eastAsia="宋体"/>
          <w:b/>
          <w:color w:val="auto"/>
          <w:sz w:val="24"/>
          <w:szCs w:val="24"/>
          <w:highlight w:val="none"/>
        </w:rPr>
        <w:t>计算资源</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规格：4U机架式服务器，标准机箱；</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处理器：≥四个Intel至强可扩展处理器 主频≥2.3GHz ≥16核，L3缓存≥22MB，可选最大可支持至28核处理器；</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内存：≥</w:t>
      </w:r>
      <w:r>
        <w:rPr>
          <w:rFonts w:ascii="宋体" w:hAnsi="宋体" w:eastAsia="宋体"/>
          <w:color w:val="auto"/>
          <w:sz w:val="21"/>
          <w:szCs w:val="21"/>
          <w:highlight w:val="none"/>
        </w:rPr>
        <w:t>48</w:t>
      </w:r>
      <w:r>
        <w:rPr>
          <w:rFonts w:hint="eastAsia" w:ascii="宋体" w:hAnsi="宋体" w:eastAsia="宋体"/>
          <w:color w:val="auto"/>
          <w:sz w:val="21"/>
          <w:szCs w:val="21"/>
          <w:highlight w:val="none"/>
        </w:rPr>
        <w:t>根32GB DDR4，支持≥3TB内存扩展或支持48根内存插槽，支持单条64GB)；</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系统盘：配置≥2块400GB SAS SSD(独立阵列，配置RAID1）；</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数据盘：配置≥4块3.2TB Mainstream NVMe 热插拔 SSD（企业级）；配置≥4块</w:t>
      </w:r>
      <w:r>
        <w:rPr>
          <w:rFonts w:ascii="宋体" w:hAnsi="宋体" w:eastAsia="宋体"/>
          <w:color w:val="auto"/>
          <w:sz w:val="21"/>
          <w:szCs w:val="21"/>
          <w:highlight w:val="none"/>
        </w:rPr>
        <w:t>7.68TB SSD数据中心企业级固态硬盘</w:t>
      </w:r>
      <w:r>
        <w:rPr>
          <w:rFonts w:hint="eastAsia" w:ascii="宋体" w:hAnsi="宋体" w:eastAsia="宋体"/>
          <w:color w:val="auto"/>
          <w:sz w:val="21"/>
          <w:szCs w:val="21"/>
          <w:highlight w:val="none"/>
        </w:rPr>
        <w:t>；</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硬盘扩展：热插拔硬盘插槽,支持≥16个2.5英寸硬盘扩展；硬盘背板需支持直连NVMe PCIe SSD硬盘，并配置NVMe交换机适配器；</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阵列卡：配置≥1块独立12Gb阵列卡，配</w:t>
      </w:r>
      <w:r>
        <w:rPr>
          <w:rFonts w:ascii="宋体" w:hAnsi="宋体" w:eastAsia="宋体"/>
          <w:color w:val="auto"/>
          <w:sz w:val="21"/>
          <w:szCs w:val="21"/>
          <w:highlight w:val="none"/>
        </w:rPr>
        <w:t>4</w:t>
      </w:r>
      <w:r>
        <w:rPr>
          <w:rFonts w:hint="eastAsia" w:ascii="宋体" w:hAnsi="宋体" w:eastAsia="宋体"/>
          <w:color w:val="auto"/>
          <w:sz w:val="21"/>
          <w:szCs w:val="21"/>
          <w:highlight w:val="none"/>
        </w:rPr>
        <w:t>GB缓存，支持0/1/10/5/50/6/60 RAID级别，带电池保护，支持8GB闪存；</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网卡：配置≥</w:t>
      </w:r>
      <w:r>
        <w:rPr>
          <w:rFonts w:ascii="宋体" w:hAnsi="宋体" w:eastAsia="宋体"/>
          <w:color w:val="auto"/>
          <w:sz w:val="21"/>
          <w:szCs w:val="21"/>
          <w:highlight w:val="none"/>
        </w:rPr>
        <w:t>4</w:t>
      </w:r>
      <w:r>
        <w:rPr>
          <w:rFonts w:hint="eastAsia" w:ascii="宋体" w:hAnsi="宋体" w:eastAsia="宋体"/>
          <w:color w:val="auto"/>
          <w:sz w:val="21"/>
          <w:szCs w:val="21"/>
          <w:highlight w:val="none"/>
        </w:rPr>
        <w:t>块双口万兆光纤网卡（含模块），≥标配4个千兆以太网控制器，≥1个专用的管理端口；</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电源：实配电源输出功率≥1100W 电源，≥1+1热插拔冗余电源。服务器管理软件：提供硬件集中式资源管理系统，可简化基础结构管理、加快响应和提高硬件系统可用性，可自动发现、清点、跟踪、监控和配置服务器、网络和存储硬件，提供如下功能： </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1）硬件管理：可免代理进行硬件管理，可自动发现可管理的设备（包括服务器、网络和存储硬件）。</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2）硬件监控：可集中查看从受管设备生成的所有事件和警报，事件或警报将传递到集中管理平台，显示在事件或警报日志中，可从仪表板和状态栏中查看所有事件和警报的摘要，同时可查看特定设备的警报和事件详细信息。</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3）操作系统批量部署：可管理操作系统映像的存储库以及可同时将操作系统映像部署到≥20 台受管服务器。</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4）配置管理：可使用一致的配置快速配置和预先配置所有服务器。 </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5）固件合规性和更新：可集中将固件合规性策略分配给受管设备。</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6）用户管理：支持集中认证服务器管理用户帐户和认证用户凭证。</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7）主流管理平台集成：提供Microsoft Systems Center 和Vmware vCenter 集成的插件模块（须提供插件下载网址）。</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8）移动APP 管理功能：提供支持Android 和 iOS 的移动APP，通过APP 可以集中监控查看设备的状态、审计日志和报警信息。（须提供移动APP 下载网址）。</w:t>
      </w:r>
    </w:p>
    <w:p>
      <w:pPr>
        <w:spacing w:line="360" w:lineRule="auto"/>
        <w:ind w:left="479" w:leftChars="228"/>
        <w:rPr>
          <w:rFonts w:ascii="宋体" w:hAnsi="宋体" w:eastAsia="宋体"/>
          <w:color w:val="auto"/>
          <w:sz w:val="21"/>
          <w:szCs w:val="21"/>
          <w:highlight w:val="none"/>
        </w:rPr>
      </w:pPr>
      <w:r>
        <w:rPr>
          <w:rFonts w:hint="eastAsia" w:ascii="宋体" w:hAnsi="宋体" w:eastAsia="宋体"/>
          <w:color w:val="auto"/>
          <w:sz w:val="21"/>
          <w:szCs w:val="21"/>
          <w:highlight w:val="none"/>
        </w:rPr>
        <w:t>服务要求：3 年7x24小时保修服务，全国部分城市宕机4 小时上门服务。可靠性：提供平均无故障时间不低于150000小时产品检验合格证书。</w:t>
      </w:r>
    </w:p>
    <w:p>
      <w:pPr>
        <w:pStyle w:val="32"/>
        <w:numPr>
          <w:ilvl w:val="0"/>
          <w:numId w:val="6"/>
        </w:numPr>
        <w:spacing w:line="360" w:lineRule="auto"/>
        <w:ind w:firstLineChars="0"/>
        <w:rPr>
          <w:rFonts w:ascii="宋体" w:hAnsi="宋体" w:eastAsia="宋体"/>
          <w:b/>
          <w:color w:val="auto"/>
          <w:sz w:val="24"/>
          <w:szCs w:val="24"/>
          <w:highlight w:val="none"/>
        </w:rPr>
      </w:pPr>
      <w:r>
        <w:rPr>
          <w:rFonts w:hint="eastAsia" w:ascii="宋体" w:hAnsi="宋体" w:eastAsia="宋体"/>
          <w:b/>
          <w:color w:val="auto"/>
          <w:sz w:val="24"/>
          <w:szCs w:val="24"/>
          <w:highlight w:val="none"/>
        </w:rPr>
        <w:t>固态硬盘</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≥7.68TB 热插拔 SSD（企业级）</w:t>
      </w:r>
    </w:p>
    <w:p>
      <w:pPr>
        <w:pStyle w:val="32"/>
        <w:numPr>
          <w:ilvl w:val="0"/>
          <w:numId w:val="6"/>
        </w:numPr>
        <w:spacing w:line="360" w:lineRule="auto"/>
        <w:ind w:firstLineChars="0"/>
        <w:rPr>
          <w:rFonts w:ascii="宋体" w:hAnsi="宋体" w:eastAsia="宋体"/>
          <w:b/>
          <w:color w:val="auto"/>
          <w:sz w:val="24"/>
          <w:szCs w:val="24"/>
          <w:highlight w:val="none"/>
        </w:rPr>
      </w:pPr>
      <w:r>
        <w:rPr>
          <w:rFonts w:hint="eastAsia" w:ascii="宋体" w:hAnsi="宋体" w:eastAsia="宋体"/>
          <w:b/>
          <w:color w:val="auto"/>
          <w:sz w:val="24"/>
          <w:szCs w:val="24"/>
          <w:highlight w:val="none"/>
        </w:rPr>
        <w:t>服务器C</w:t>
      </w:r>
      <w:r>
        <w:rPr>
          <w:rFonts w:ascii="宋体" w:hAnsi="宋体" w:eastAsia="宋体"/>
          <w:b/>
          <w:color w:val="auto"/>
          <w:sz w:val="24"/>
          <w:szCs w:val="24"/>
          <w:highlight w:val="none"/>
        </w:rPr>
        <w:t>PU</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w:t>
      </w:r>
      <w:r>
        <w:rPr>
          <w:rFonts w:ascii="宋体" w:hAnsi="宋体" w:eastAsia="宋体"/>
          <w:color w:val="auto"/>
          <w:sz w:val="21"/>
          <w:szCs w:val="21"/>
          <w:highlight w:val="none"/>
        </w:rPr>
        <w:t xml:space="preserve">Intel Xeon 处理器 E7-4850 v4 16C型， 2.1GHz,  </w:t>
      </w:r>
    </w:p>
    <w:p>
      <w:pPr>
        <w:pStyle w:val="32"/>
        <w:numPr>
          <w:ilvl w:val="0"/>
          <w:numId w:val="6"/>
        </w:numPr>
        <w:spacing w:line="360" w:lineRule="auto"/>
        <w:ind w:firstLineChars="0"/>
        <w:rPr>
          <w:rFonts w:ascii="宋体" w:hAnsi="宋体" w:eastAsia="宋体"/>
          <w:b/>
          <w:color w:val="auto"/>
          <w:sz w:val="24"/>
          <w:szCs w:val="24"/>
          <w:highlight w:val="none"/>
        </w:rPr>
      </w:pPr>
      <w:r>
        <w:rPr>
          <w:rFonts w:hint="eastAsia" w:ascii="宋体" w:hAnsi="宋体" w:eastAsia="宋体"/>
          <w:b/>
          <w:color w:val="auto"/>
          <w:sz w:val="24"/>
          <w:szCs w:val="24"/>
          <w:highlight w:val="none"/>
        </w:rPr>
        <w:t>超融合授权</w:t>
      </w:r>
    </w:p>
    <w:p>
      <w:pPr>
        <w:spacing w:line="360" w:lineRule="auto"/>
        <w:ind w:firstLine="422" w:firstLineChars="200"/>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产品要求：</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计算虚拟化、网络虚拟化和存储虚拟化模块均提供本项目所需所有CPU授权许可或服务器数量授权许可；提供管理平台授权许可。</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具备虚拟机高可用特性，虚拟机在节点宕机情况下可以自动在其它正常服务器节点实现启动；具备资源动态负载均衡策略，虚拟机可以自动在集群内根据节点CPU、内存等负载情况进行迁移，以平衡资源。</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具备精细化快照策略设置，可设置按月、周、天、小时为周期运行策略，可设置按保留时间或保留数量的保存策略，可将配置好的快照策略批量到虚拟机。</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具备对虚拟硬件进行动态调整，可调整开机状态虚拟机的CPU、内存、硬盘、网卡资源，可在开机状态删除虚拟机硬盘、网卡资源，无需停机或重启即可实现虚拟资源的调整生效。</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具备USB设备跨主机映射，无需安装客户端插件或代理即可识别USB设备，即使出现虚拟机迁移也可实现USB设备远程跨主机访问。</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具备vGPU功能，通过将物理GPU切分成多个vGPU分配给多个虚拟机使用，多个虚拟机可以共享物理GPU资源。</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具备虚拟机锁定功能，可以将重要虚拟机设置密码锁定，只有解锁后才可对虚拟机进行配置操作。</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具备数据多副本技术，支持硬盘、节点、站点级别可用域，数据副本按可用域自动存储，具备1-6副本，最大满足5节点或设备故障。</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至少具备即时置零、延迟置零、精简置备等三种置配方式；在卷级别至少4种压缩方式可选，且支持在线压缩功能，具备不同压缩比，以节省存储空间。</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具备网络安全组功能，安全组类型具备ipv4、ipv6、mac、vlan，可设置虚拟机的入方向、出方向安全访问控制功能，可基于IP、MAC、端口号、协议、优先级等设置访问规则。</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具备设置虚拟机网络QoS策略，包括限制平均上传/下载的带宽，避免由于单个虚拟机的网络流量过大影响其他业务虚拟机。</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支持虚拟机无代理备份功能，提供至少150个虚拟机的备份功能授权，支持至少80T的备份数据容量的许可。</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※需提供本次项目原厂工程师实施证明。</w:t>
      </w:r>
    </w:p>
    <w:p>
      <w:pPr>
        <w:pStyle w:val="5"/>
        <w:keepNext/>
        <w:keepLines/>
        <w:pageBreakBefore w:val="0"/>
        <w:widowControl w:val="0"/>
        <w:kinsoku/>
        <w:wordWrap/>
        <w:overflowPunct/>
        <w:topLinePunct w:val="0"/>
        <w:autoSpaceDE/>
        <w:autoSpaceDN/>
        <w:bidi w:val="0"/>
        <w:adjustRightInd/>
        <w:snapToGrid/>
        <w:ind w:firstLine="0"/>
        <w:jc w:val="left"/>
        <w:textAlignment w:val="auto"/>
        <w:rPr>
          <w:rFonts w:hint="eastAsia" w:ascii="宋体" w:hAnsi="宋体" w:eastAsia="宋体" w:cs="宋体"/>
          <w:color w:val="auto"/>
          <w:sz w:val="28"/>
          <w:szCs w:val="28"/>
          <w:highlight w:val="none"/>
        </w:rPr>
      </w:pPr>
      <w:bookmarkStart w:id="87" w:name="_Toc44340028"/>
      <w:bookmarkStart w:id="88" w:name="_Toc16923"/>
      <w:bookmarkStart w:id="89" w:name="_Toc44339570"/>
      <w:bookmarkStart w:id="90" w:name="_Toc404"/>
      <w:r>
        <w:rPr>
          <w:rFonts w:hint="eastAsia" w:ascii="宋体" w:hAnsi="宋体" w:eastAsia="宋体" w:cs="宋体"/>
          <w:color w:val="auto"/>
          <w:sz w:val="28"/>
          <w:szCs w:val="28"/>
          <w:highlight w:val="none"/>
        </w:rPr>
        <w:t>3.2内网云扩容</w:t>
      </w:r>
      <w:bookmarkEnd w:id="87"/>
      <w:bookmarkEnd w:id="88"/>
      <w:bookmarkEnd w:id="89"/>
      <w:bookmarkEnd w:id="90"/>
    </w:p>
    <w:p>
      <w:pPr>
        <w:pStyle w:val="6"/>
        <w:rPr>
          <w:color w:val="auto"/>
          <w:highlight w:val="none"/>
        </w:rPr>
      </w:pPr>
      <w:bookmarkStart w:id="91" w:name="_Toc44339571"/>
      <w:bookmarkStart w:id="92" w:name="_Toc44340029"/>
      <w:r>
        <w:rPr>
          <w:rFonts w:hint="eastAsia"/>
          <w:color w:val="auto"/>
          <w:highlight w:val="none"/>
        </w:rPr>
        <w:t>3</w:t>
      </w:r>
      <w:r>
        <w:rPr>
          <w:color w:val="auto"/>
          <w:highlight w:val="none"/>
        </w:rPr>
        <w:t>.2.1</w:t>
      </w:r>
      <w:r>
        <w:rPr>
          <w:rFonts w:hint="eastAsia"/>
          <w:color w:val="auto"/>
          <w:highlight w:val="none"/>
        </w:rPr>
        <w:t>产品数量</w:t>
      </w:r>
      <w:bookmarkEnd w:id="91"/>
      <w:bookmarkEnd w:id="92"/>
    </w:p>
    <w:tbl>
      <w:tblPr>
        <w:tblStyle w:val="23"/>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5103"/>
        <w:gridCol w:w="113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序号</w:t>
            </w:r>
          </w:p>
        </w:tc>
        <w:tc>
          <w:tcPr>
            <w:tcW w:w="5103"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名称</w:t>
            </w:r>
          </w:p>
        </w:tc>
        <w:tc>
          <w:tcPr>
            <w:tcW w:w="1134"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单位</w:t>
            </w:r>
          </w:p>
        </w:tc>
        <w:tc>
          <w:tcPr>
            <w:tcW w:w="1275"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5103" w:type="dxa"/>
            <w:shd w:val="clear" w:color="auto" w:fill="auto"/>
            <w:vAlign w:val="center"/>
          </w:tcPr>
          <w:p>
            <w:pPr>
              <w:widowControl/>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计算资源</w:t>
            </w:r>
          </w:p>
        </w:tc>
        <w:tc>
          <w:tcPr>
            <w:tcW w:w="1134"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c>
          <w:tcPr>
            <w:tcW w:w="1275" w:type="dxa"/>
            <w:shd w:val="clear" w:color="auto" w:fill="auto"/>
            <w:vAlign w:val="center"/>
          </w:tcPr>
          <w:p>
            <w:pPr>
              <w:widowControl/>
              <w:jc w:val="center"/>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5103" w:type="dxa"/>
            <w:shd w:val="clear" w:color="auto" w:fill="auto"/>
            <w:vAlign w:val="center"/>
          </w:tcPr>
          <w:p>
            <w:pPr>
              <w:widowControl/>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云平台授权</w:t>
            </w:r>
          </w:p>
        </w:tc>
        <w:tc>
          <w:tcPr>
            <w:tcW w:w="1134"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个</w:t>
            </w:r>
          </w:p>
        </w:tc>
        <w:tc>
          <w:tcPr>
            <w:tcW w:w="1275" w:type="dxa"/>
            <w:shd w:val="clear" w:color="auto" w:fill="auto"/>
            <w:vAlign w:val="center"/>
          </w:tcPr>
          <w:p>
            <w:pPr>
              <w:widowControl/>
              <w:jc w:val="center"/>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5103" w:type="dxa"/>
            <w:shd w:val="clear" w:color="auto" w:fill="auto"/>
            <w:vAlign w:val="center"/>
          </w:tcPr>
          <w:p>
            <w:pPr>
              <w:widowControl/>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FC交换机端口激活</w:t>
            </w:r>
          </w:p>
        </w:tc>
        <w:tc>
          <w:tcPr>
            <w:tcW w:w="1134"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项</w:t>
            </w:r>
          </w:p>
        </w:tc>
        <w:tc>
          <w:tcPr>
            <w:tcW w:w="1275"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r>
    </w:tbl>
    <w:p>
      <w:pPr>
        <w:rPr>
          <w:color w:val="auto"/>
          <w:highlight w:val="none"/>
        </w:rPr>
      </w:pPr>
    </w:p>
    <w:p>
      <w:pPr>
        <w:pStyle w:val="6"/>
        <w:rPr>
          <w:color w:val="auto"/>
          <w:highlight w:val="none"/>
        </w:rPr>
      </w:pPr>
      <w:bookmarkStart w:id="93" w:name="_Toc44339572"/>
      <w:bookmarkStart w:id="94" w:name="_Toc44340030"/>
      <w:r>
        <w:rPr>
          <w:rFonts w:hint="eastAsia"/>
          <w:color w:val="auto"/>
          <w:highlight w:val="none"/>
        </w:rPr>
        <w:t>3</w:t>
      </w:r>
      <w:r>
        <w:rPr>
          <w:color w:val="auto"/>
          <w:highlight w:val="none"/>
        </w:rPr>
        <w:t>.2.2</w:t>
      </w:r>
      <w:r>
        <w:rPr>
          <w:rFonts w:hint="eastAsia"/>
          <w:color w:val="auto"/>
          <w:highlight w:val="none"/>
        </w:rPr>
        <w:t>技术要求</w:t>
      </w:r>
      <w:bookmarkEnd w:id="93"/>
      <w:bookmarkEnd w:id="94"/>
    </w:p>
    <w:p>
      <w:pPr>
        <w:pStyle w:val="32"/>
        <w:numPr>
          <w:ilvl w:val="0"/>
          <w:numId w:val="7"/>
        </w:numPr>
        <w:spacing w:line="360" w:lineRule="auto"/>
        <w:ind w:firstLineChars="0"/>
        <w:rPr>
          <w:rFonts w:ascii="宋体" w:hAnsi="宋体" w:eastAsia="宋体"/>
          <w:b/>
          <w:color w:val="auto"/>
          <w:sz w:val="24"/>
          <w:szCs w:val="24"/>
          <w:highlight w:val="none"/>
        </w:rPr>
      </w:pPr>
      <w:r>
        <w:rPr>
          <w:rFonts w:hint="eastAsia" w:ascii="宋体" w:hAnsi="宋体" w:eastAsia="宋体"/>
          <w:b/>
          <w:color w:val="auto"/>
          <w:sz w:val="24"/>
          <w:szCs w:val="24"/>
          <w:highlight w:val="none"/>
        </w:rPr>
        <w:t>计算资源</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规格：4U机架式服务器，标准机箱；</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处理器：≥四个Intel至强可扩展处理器 主频≥2.3GHz ≥16核，L3缓存≥22MB，可选最大可支持至28核处理器；</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内存：≥</w:t>
      </w:r>
      <w:r>
        <w:rPr>
          <w:rFonts w:ascii="宋体" w:hAnsi="宋体" w:eastAsia="宋体"/>
          <w:color w:val="auto"/>
          <w:sz w:val="21"/>
          <w:szCs w:val="21"/>
          <w:highlight w:val="none"/>
        </w:rPr>
        <w:t>48</w:t>
      </w:r>
      <w:r>
        <w:rPr>
          <w:rFonts w:hint="eastAsia" w:ascii="宋体" w:hAnsi="宋体" w:eastAsia="宋体"/>
          <w:color w:val="auto"/>
          <w:sz w:val="21"/>
          <w:szCs w:val="21"/>
          <w:highlight w:val="none"/>
        </w:rPr>
        <w:t>根32GB DDR4，支持≥3TB内存扩展或支持48根内存插槽，支持单条64GB)；</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系统盘：配置≥2块400GB SAS SSD(独立阵列，配置RAID1）；</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数据盘：配置≥4块3.2TB Mainstream NVMe 热插拔 SSD（企业级）；配置≥4块</w:t>
      </w:r>
      <w:r>
        <w:rPr>
          <w:rFonts w:ascii="宋体" w:hAnsi="宋体" w:eastAsia="宋体"/>
          <w:color w:val="auto"/>
          <w:sz w:val="21"/>
          <w:szCs w:val="21"/>
          <w:highlight w:val="none"/>
        </w:rPr>
        <w:t>7.68TB SSD数据中心企业级固态硬盘</w:t>
      </w:r>
      <w:r>
        <w:rPr>
          <w:rFonts w:hint="eastAsia" w:ascii="宋体" w:hAnsi="宋体" w:eastAsia="宋体"/>
          <w:color w:val="auto"/>
          <w:sz w:val="21"/>
          <w:szCs w:val="21"/>
          <w:highlight w:val="none"/>
        </w:rPr>
        <w:t>；</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硬盘扩展：热插拔硬盘插槽,支持≥16个2.5英寸硬盘扩展；硬盘背板需支持直连NVMe PCIe SSD硬盘，并配置NVMe交换机适配器；</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阵列卡：配置≥1块独立12Gb阵列卡，配</w:t>
      </w:r>
      <w:r>
        <w:rPr>
          <w:rFonts w:ascii="宋体" w:hAnsi="宋体" w:eastAsia="宋体"/>
          <w:color w:val="auto"/>
          <w:sz w:val="21"/>
          <w:szCs w:val="21"/>
          <w:highlight w:val="none"/>
        </w:rPr>
        <w:t>4</w:t>
      </w:r>
      <w:r>
        <w:rPr>
          <w:rFonts w:hint="eastAsia" w:ascii="宋体" w:hAnsi="宋体" w:eastAsia="宋体"/>
          <w:color w:val="auto"/>
          <w:sz w:val="21"/>
          <w:szCs w:val="21"/>
          <w:highlight w:val="none"/>
        </w:rPr>
        <w:t>GB缓存，支持0/1/10/5/50/6/60 RAID级别，带电池保护，支持8GB闪存；</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网卡：配置≥</w:t>
      </w:r>
      <w:r>
        <w:rPr>
          <w:rFonts w:ascii="宋体" w:hAnsi="宋体" w:eastAsia="宋体"/>
          <w:color w:val="auto"/>
          <w:sz w:val="21"/>
          <w:szCs w:val="21"/>
          <w:highlight w:val="none"/>
        </w:rPr>
        <w:t>4</w:t>
      </w:r>
      <w:r>
        <w:rPr>
          <w:rFonts w:hint="eastAsia" w:ascii="宋体" w:hAnsi="宋体" w:eastAsia="宋体"/>
          <w:color w:val="auto"/>
          <w:sz w:val="21"/>
          <w:szCs w:val="21"/>
          <w:highlight w:val="none"/>
        </w:rPr>
        <w:t>块双口万兆光纤网卡（含模块），≥标配4个千兆以太网控制器，≥1个专用的管理端口；</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电源：实配电源输出功率≥1100W 电源，≥1+1热插拔冗余电源。服务器管理软件：提供硬件集中式资源管理系统，可简化基础结构管理、加快响应和提高硬件系统可用性，可自动发现、清点、跟踪、监控和配置服务器、网络和存储硬件，提供如下功能： </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1）硬件管理：可免代理进行硬件管理，可自动发现可管理的设备（包括服务器、网络和存储硬件）。</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2）硬件监控：可集中查看从受管设备生成的所有事件和警报，事件或警报将传递到集中管理平台，显示在事件或警报日志中，可从仪表板和状态栏中查看所有事件和警报的摘要，同时可查看特定设备的警报和事件详细信息。</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3）操作系统批量部署：可管理操作系统映像的存储库以及可同时将操作系统映像部署到≥20 台受管服务器。</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4）配置管理：可使用一致的配置快速配置和预先配置所有服务器。 </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5）固件合规性和更新：可集中将固件合规性策略分配给受管设备。</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6）用户管理：支持集中认证服务器管理用户帐户和认证用户凭证。</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7）主流管理平台集成：提供Microsoft Systems Center 和Vmware vCenter 集成的插件模块（须提供插件下载网址）。</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8）移动APP 管理功能：提供支持Android 和 iOS 的移动APP，通过APP 可以集中监控查看设备的状态、审计日志和报警信息。（须提供移动APP 下载网址）。</w:t>
      </w:r>
    </w:p>
    <w:p>
      <w:pPr>
        <w:spacing w:line="360" w:lineRule="auto"/>
        <w:ind w:left="479" w:leftChars="228"/>
        <w:rPr>
          <w:rFonts w:ascii="宋体" w:hAnsi="宋体" w:eastAsia="宋体"/>
          <w:color w:val="auto"/>
          <w:sz w:val="21"/>
          <w:szCs w:val="21"/>
          <w:highlight w:val="none"/>
        </w:rPr>
      </w:pPr>
      <w:r>
        <w:rPr>
          <w:rFonts w:hint="eastAsia" w:ascii="宋体" w:hAnsi="宋体" w:eastAsia="宋体"/>
          <w:color w:val="auto"/>
          <w:sz w:val="21"/>
          <w:szCs w:val="21"/>
          <w:highlight w:val="none"/>
        </w:rPr>
        <w:t>服务要求：3 年7x24小时保修服务，全国部分城市宕机4 小时上门服务。可靠性：提供平均无故障时间不低于150000小时产品检验合格证书。</w:t>
      </w:r>
    </w:p>
    <w:p>
      <w:pPr>
        <w:pStyle w:val="32"/>
        <w:numPr>
          <w:ilvl w:val="0"/>
          <w:numId w:val="7"/>
        </w:numPr>
        <w:spacing w:line="360" w:lineRule="auto"/>
        <w:ind w:firstLineChars="0"/>
        <w:rPr>
          <w:rFonts w:ascii="宋体" w:hAnsi="宋体" w:eastAsia="宋体"/>
          <w:b/>
          <w:color w:val="auto"/>
          <w:sz w:val="24"/>
          <w:szCs w:val="24"/>
          <w:highlight w:val="none"/>
        </w:rPr>
      </w:pPr>
      <w:r>
        <w:rPr>
          <w:rFonts w:hint="eastAsia" w:ascii="宋体" w:hAnsi="宋体" w:eastAsia="宋体"/>
          <w:b/>
          <w:color w:val="auto"/>
          <w:sz w:val="24"/>
          <w:szCs w:val="24"/>
          <w:highlight w:val="none"/>
        </w:rPr>
        <w:t>云平台授权</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虚拟化软件非OEM或贴牌产品，禁止借用第三方软件的整合，以保证功能的可靠性和安全性（提供软件著作权证书并加盖制造商公章作为证明材料）</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兼容性要求：虚拟机支持市场上主流的国内外操作系统，包括Windows、RedHat、CentOS、Ubuntu、SUSE、Fedora、FreeBSD、统信、银河麒麟、中标麒麟、普华、深度、一铭、凝思等。</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虚拟机可以实现物理机的全部功能，如具有自己的资源（内存、CPU、网卡、存储），可以指定单独的IP地址、MAC地址等。</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平台应提供虚拟交换机的图形化展示，集中化展示虚拟交换机端口使用情况，通过点击虚拟交换机端口，可以快速查看端口详细信息和端口流量实时监控，提供可视化的监控界面降低运维难度，快速掌握网络流量情况。</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虚拟化管理平台内置在线p2v、v2v迁移工具，支持对医院现有平台的迁移功能，提升被迁移业务平台的普适性、降低业务上云的难度，降低运维工作量。（要求提供CNAS认可的检测机构出具的检测报告及检测结果截图页加盖制造商公章作为证明材料）</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平台支持集群动态资源调度功能，可基于主机的算力（CPU利用率、内存利用率）、存储（磁盘I/O、磁盘容量利用率、磁盘请求）、网络（网络流量）等资源对虚拟机进行动态资源调度，实现自动化的计算、存储、网络等资源分配和负载均衡功能，使虚拟机获得良好的性能资源，避免将虚拟机放置或迁移到已经网络饱和的主机上，确保云环境的服务水平，为业务系统提供健康可用的资源环境。（提供功能截图证明并加盖制造商公章作为证明材料）</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平台提供统一的虚拟化管理界面和单独的计算节点管理界面，在虚拟化管理界面故障时，可以通过计算节点管理界面对所在宿主机和虚拟机进行管理运维，提供虚拟机启动、配置、关闭、重启、休眠、删除等生命周期管理，提供虚拟机及主机性能监控、告警管理等，保障业务稳定运行。（提供功能截图证明并加盖制造商公章作为证明材料）</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支持当虚拟机的CPU、内存利用率超过设置的阈值时，在虚拟机操作系统本身支持资源热添加的前提下，系统将自动为该虚拟机增加相应的CPU和内存资源，无需人工干预。（提供功能截图证明并加盖制造商公章作为证明材料）</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支持监控虚拟机应用进程的运行状态，在虚拟机应用进程故障时，重启应用或重启虚拟机，最小化业务宕机时间，支持Tomcat、IIS、HTTP Server、SharePoint等应用。（提供功能截图证明并加盖制造商公章作为证明材料）</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提供虚拟机回收站功能，防止因虚拟机误删除导致数据丢失，支持设置回收站文件保存周期，超期的文件将被自动删除，支持批量销毁或还原虚拟机。</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支持批量修改虚拟机的配置参数，包括：CPU调度优先级、CPU个数、内存优先级、内存大小、I/O优先级、启动优先级、是否自动迁移、tools自动升级等。</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本次扩容，需同时完成现有云平台的版本升级服务。</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要求与用户现有虚拟化资源池融合构建统一融合计算资源池，业务虚拟机可以自动在线迁移。（提供原厂证明并同时提供本次项目原厂工程师实施证明）。</w:t>
      </w:r>
    </w:p>
    <w:p>
      <w:pPr>
        <w:pStyle w:val="32"/>
        <w:numPr>
          <w:ilvl w:val="0"/>
          <w:numId w:val="7"/>
        </w:numPr>
        <w:spacing w:line="360" w:lineRule="auto"/>
        <w:ind w:firstLineChars="0"/>
        <w:rPr>
          <w:rFonts w:ascii="宋体" w:hAnsi="宋体" w:eastAsia="宋体"/>
          <w:b/>
          <w:color w:val="auto"/>
          <w:sz w:val="24"/>
          <w:szCs w:val="24"/>
          <w:highlight w:val="none"/>
        </w:rPr>
      </w:pPr>
      <w:r>
        <w:rPr>
          <w:rFonts w:hint="eastAsia" w:ascii="宋体" w:hAnsi="宋体" w:eastAsia="宋体"/>
          <w:b/>
          <w:color w:val="auto"/>
          <w:sz w:val="24"/>
          <w:szCs w:val="24"/>
          <w:highlight w:val="none"/>
        </w:rPr>
        <w:t>FC交换机端口激活</w:t>
      </w:r>
    </w:p>
    <w:p>
      <w:pPr>
        <w:pStyle w:val="54"/>
        <w:spacing w:line="360" w:lineRule="auto"/>
        <w:ind w:firstLine="480"/>
        <w:rPr>
          <w:rFonts w:ascii="宋体" w:hAnsi="宋体"/>
          <w:color w:val="auto"/>
          <w:sz w:val="21"/>
          <w:szCs w:val="21"/>
          <w:highlight w:val="none"/>
        </w:rPr>
      </w:pPr>
      <w:r>
        <w:rPr>
          <w:rFonts w:hint="eastAsia" w:ascii="宋体" w:hAnsi="宋体" w:cs="宋体"/>
          <w:color w:val="auto"/>
          <w:sz w:val="21"/>
          <w:szCs w:val="21"/>
          <w:highlight w:val="none"/>
        </w:rPr>
        <w:t>对原有存储交换机端口新增扩容激活≥16个16GB FC端口授权，含≥16个16GB多模光模块，并含所需多模光纤跳线等附件；负责3年的维保工作。</w:t>
      </w:r>
    </w:p>
    <w:p>
      <w:pPr>
        <w:pStyle w:val="5"/>
        <w:keepNext/>
        <w:keepLines/>
        <w:pageBreakBefore w:val="0"/>
        <w:widowControl w:val="0"/>
        <w:kinsoku/>
        <w:wordWrap/>
        <w:overflowPunct/>
        <w:topLinePunct w:val="0"/>
        <w:autoSpaceDE/>
        <w:autoSpaceDN/>
        <w:bidi w:val="0"/>
        <w:adjustRightInd/>
        <w:snapToGrid/>
        <w:ind w:firstLine="0"/>
        <w:jc w:val="left"/>
        <w:textAlignment w:val="auto"/>
        <w:rPr>
          <w:rFonts w:hint="eastAsia" w:ascii="宋体" w:hAnsi="宋体" w:eastAsia="宋体" w:cs="宋体"/>
          <w:color w:val="auto"/>
          <w:sz w:val="28"/>
          <w:szCs w:val="28"/>
          <w:highlight w:val="none"/>
        </w:rPr>
      </w:pPr>
      <w:bookmarkStart w:id="95" w:name="_Toc19796"/>
      <w:bookmarkStart w:id="96" w:name="_Toc25503"/>
      <w:r>
        <w:rPr>
          <w:rFonts w:hint="eastAsia" w:ascii="宋体" w:hAnsi="宋体" w:eastAsia="宋体" w:cs="宋体"/>
          <w:color w:val="auto"/>
          <w:sz w:val="28"/>
          <w:szCs w:val="28"/>
          <w:highlight w:val="none"/>
        </w:rPr>
        <w:t>3.3外网云扩容</w:t>
      </w:r>
      <w:bookmarkEnd w:id="95"/>
      <w:bookmarkEnd w:id="96"/>
    </w:p>
    <w:p>
      <w:pPr>
        <w:pStyle w:val="6"/>
        <w:rPr>
          <w:color w:val="auto"/>
          <w:highlight w:val="none"/>
        </w:rPr>
      </w:pPr>
      <w:r>
        <w:rPr>
          <w:rFonts w:hint="eastAsia"/>
          <w:color w:val="auto"/>
          <w:highlight w:val="none"/>
        </w:rPr>
        <w:t>3</w:t>
      </w:r>
      <w:r>
        <w:rPr>
          <w:color w:val="auto"/>
          <w:highlight w:val="none"/>
        </w:rPr>
        <w:t>.3.1</w:t>
      </w:r>
      <w:r>
        <w:rPr>
          <w:rFonts w:hint="eastAsia"/>
          <w:color w:val="auto"/>
          <w:highlight w:val="none"/>
        </w:rPr>
        <w:t>产品数量</w:t>
      </w:r>
    </w:p>
    <w:tbl>
      <w:tblPr>
        <w:tblStyle w:val="23"/>
        <w:tblW w:w="8359" w:type="dxa"/>
        <w:tblInd w:w="0" w:type="dxa"/>
        <w:tblLayout w:type="autofit"/>
        <w:tblCellMar>
          <w:top w:w="0" w:type="dxa"/>
          <w:left w:w="108" w:type="dxa"/>
          <w:bottom w:w="0" w:type="dxa"/>
          <w:right w:w="108" w:type="dxa"/>
        </w:tblCellMar>
      </w:tblPr>
      <w:tblGrid>
        <w:gridCol w:w="803"/>
        <w:gridCol w:w="5288"/>
        <w:gridCol w:w="1134"/>
        <w:gridCol w:w="1134"/>
      </w:tblGrid>
      <w:tr>
        <w:tblPrEx>
          <w:tblCellMar>
            <w:top w:w="0" w:type="dxa"/>
            <w:left w:w="108" w:type="dxa"/>
            <w:bottom w:w="0" w:type="dxa"/>
            <w:right w:w="108" w:type="dxa"/>
          </w:tblCellMar>
        </w:tblPrEx>
        <w:trPr>
          <w:trHeight w:val="454" w:hRule="atLeast"/>
        </w:trPr>
        <w:tc>
          <w:tcPr>
            <w:tcW w:w="8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序号</w:t>
            </w:r>
          </w:p>
        </w:tc>
        <w:tc>
          <w:tcPr>
            <w:tcW w:w="52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单位</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数量</w:t>
            </w:r>
          </w:p>
        </w:tc>
      </w:tr>
      <w:tr>
        <w:tblPrEx>
          <w:tblCellMar>
            <w:top w:w="0" w:type="dxa"/>
            <w:left w:w="108" w:type="dxa"/>
            <w:bottom w:w="0" w:type="dxa"/>
            <w:right w:w="108" w:type="dxa"/>
          </w:tblCellMar>
        </w:tblPrEx>
        <w:trPr>
          <w:trHeight w:val="454" w:hRule="atLeast"/>
        </w:trPr>
        <w:tc>
          <w:tcPr>
            <w:tcW w:w="8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5288"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计算资源</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5</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r>
      <w:tr>
        <w:tblPrEx>
          <w:tblCellMar>
            <w:top w:w="0" w:type="dxa"/>
            <w:left w:w="108" w:type="dxa"/>
            <w:bottom w:w="0" w:type="dxa"/>
            <w:right w:w="108" w:type="dxa"/>
          </w:tblCellMar>
        </w:tblPrEx>
        <w:trPr>
          <w:trHeight w:val="454" w:hRule="atLeast"/>
        </w:trPr>
        <w:tc>
          <w:tcPr>
            <w:tcW w:w="8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528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云平台授权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20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个</w:t>
            </w:r>
          </w:p>
        </w:tc>
      </w:tr>
    </w:tbl>
    <w:p>
      <w:pPr>
        <w:pStyle w:val="6"/>
        <w:rPr>
          <w:color w:val="auto"/>
          <w:highlight w:val="none"/>
        </w:rPr>
      </w:pPr>
      <w:r>
        <w:rPr>
          <w:rFonts w:hint="eastAsia"/>
          <w:color w:val="auto"/>
          <w:highlight w:val="none"/>
        </w:rPr>
        <w:t>3</w:t>
      </w:r>
      <w:r>
        <w:rPr>
          <w:color w:val="auto"/>
          <w:highlight w:val="none"/>
        </w:rPr>
        <w:t>.3.2</w:t>
      </w:r>
      <w:r>
        <w:rPr>
          <w:rFonts w:hint="eastAsia"/>
          <w:color w:val="auto"/>
          <w:highlight w:val="none"/>
        </w:rPr>
        <w:t>技术要求</w:t>
      </w:r>
    </w:p>
    <w:p>
      <w:pPr>
        <w:spacing w:line="360" w:lineRule="auto"/>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（1）计算资源</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规格：4U机架式服务器，标准机箱；</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处理器：≥四个Intel至强可扩展处理器 主频≥2.3GHz ≥16核，L3缓存≥22MB，可选最大可支持至28核处理器；</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内存：≥</w:t>
      </w:r>
      <w:r>
        <w:rPr>
          <w:rFonts w:ascii="宋体" w:hAnsi="宋体" w:eastAsia="宋体"/>
          <w:color w:val="auto"/>
          <w:sz w:val="21"/>
          <w:szCs w:val="21"/>
          <w:highlight w:val="none"/>
        </w:rPr>
        <w:t>48</w:t>
      </w:r>
      <w:r>
        <w:rPr>
          <w:rFonts w:hint="eastAsia" w:ascii="宋体" w:hAnsi="宋体" w:eastAsia="宋体"/>
          <w:color w:val="auto"/>
          <w:sz w:val="21"/>
          <w:szCs w:val="21"/>
          <w:highlight w:val="none"/>
        </w:rPr>
        <w:t>根32GB DDR4，支持≥3TB内存扩展或支持48根内存插槽，支持单条64GB)；</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系统盘：配置≥2块400GB SAS SSD(独立阵列，配置RAID1）；</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数据盘：配置≥4块3.2TB Mainstream NVMe 热插拔 SSD（企业级）；配置≥4块</w:t>
      </w:r>
      <w:r>
        <w:rPr>
          <w:rFonts w:ascii="宋体" w:hAnsi="宋体" w:eastAsia="宋体"/>
          <w:color w:val="auto"/>
          <w:sz w:val="21"/>
          <w:szCs w:val="21"/>
          <w:highlight w:val="none"/>
        </w:rPr>
        <w:t>7.68TB SSD数据中心企业级固态硬盘</w:t>
      </w:r>
      <w:r>
        <w:rPr>
          <w:rFonts w:hint="eastAsia" w:ascii="宋体" w:hAnsi="宋体" w:eastAsia="宋体"/>
          <w:color w:val="auto"/>
          <w:sz w:val="21"/>
          <w:szCs w:val="21"/>
          <w:highlight w:val="none"/>
        </w:rPr>
        <w:t>；</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硬盘扩展：热插拔硬盘插槽,支持≥16个2.5英寸硬盘扩展；硬盘背板需支持直连NVMe PCIe SSD硬盘，并配置NVMe交换机适配器；</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阵列卡：配置≥1块独立12Gb阵列卡，配</w:t>
      </w:r>
      <w:r>
        <w:rPr>
          <w:rFonts w:ascii="宋体" w:hAnsi="宋体" w:eastAsia="宋体"/>
          <w:color w:val="auto"/>
          <w:sz w:val="21"/>
          <w:szCs w:val="21"/>
          <w:highlight w:val="none"/>
        </w:rPr>
        <w:t>4</w:t>
      </w:r>
      <w:r>
        <w:rPr>
          <w:rFonts w:hint="eastAsia" w:ascii="宋体" w:hAnsi="宋体" w:eastAsia="宋体"/>
          <w:color w:val="auto"/>
          <w:sz w:val="21"/>
          <w:szCs w:val="21"/>
          <w:highlight w:val="none"/>
        </w:rPr>
        <w:t>GB缓存，支持0/1/10/5/50/6/60 RAID级别，带电池保护，支持8GB闪存；</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网卡：配置≥</w:t>
      </w:r>
      <w:r>
        <w:rPr>
          <w:rFonts w:ascii="宋体" w:hAnsi="宋体" w:eastAsia="宋体"/>
          <w:color w:val="auto"/>
          <w:sz w:val="21"/>
          <w:szCs w:val="21"/>
          <w:highlight w:val="none"/>
        </w:rPr>
        <w:t>4</w:t>
      </w:r>
      <w:r>
        <w:rPr>
          <w:rFonts w:hint="eastAsia" w:ascii="宋体" w:hAnsi="宋体" w:eastAsia="宋体"/>
          <w:color w:val="auto"/>
          <w:sz w:val="21"/>
          <w:szCs w:val="21"/>
          <w:highlight w:val="none"/>
        </w:rPr>
        <w:t>块双口万兆光纤网卡（含模块），≥标配4个千兆以太网控制器，≥1个专用的管理端口；</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电源：实配电源输出功率≥1100W 电源，≥1+1热插拔冗余电源。服务器管理软件：提供硬件集中式资源管理系统，可简化基础结构管理、加快响应和提高硬件系统可用性，可自动发现、清点、跟踪、监控和配置服务器、网络和存储硬件，提供如下功能： </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1）硬件管理：可免代理进行硬件管理，可自动发现可管理的设备（包括服务器、网络和存储硬件）。</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2）硬件监控：可集中查看从受管设备生成的所有事件和警报，事件或警报将传递到集中管理平台，显示在事件或警报日志中，可从仪表板和状态栏中查看所有事件和警报的摘要，同时可查看特定设备的警报和事件详细信息。</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3）操作系统批量部署：可管理操作系统映像的存储库以及可同时将操作系统映像部署到≥20 台受管服务器。</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4）配置管理：可使用一致的配置快速配置和预先配置所有服务器。 </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5）固件合规性和更新：可集中将固件合规性策略分配给受管设备。</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6）用户管理：支持集中认证服务器管理用户帐户和认证用户凭证。</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7）主流管理平台集成：提供Microsoft Systems Center 和Vmware vCenter 集成的插件模块（须提供插件下载网址）。</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8）移动APP 管理功能：提供支持Android 和 iOS 的移动APP，通过APP 可以集中监控查看设备的状态、审计日志和报警信息。（须提供移动APP 下载网址）。</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服务要求：3 年7x24小时保修服务，全国部分城市宕机4 小时上门服务。可靠性：提供平均无故障时间不低于150000小时产品检验合格证书。</w:t>
      </w:r>
    </w:p>
    <w:p>
      <w:pPr>
        <w:spacing w:line="360" w:lineRule="auto"/>
        <w:ind w:firstLine="482" w:firstLineChars="200"/>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（2）云平台授权</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虚拟化软件非OEM或贴牌产品，禁止借用第三方软件的整合，以保证功能的可靠性和安全性（提供软件著作权证书并加盖制造商公章作为证明材料）</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兼容性要求：虚拟机支持市场上主流的国内外操作系统，包括Windows、RedHat、CentOS、Ubuntu、SUSE、Fedora、FreeBSD、统信、银河麒麟、中标麒麟、普华、深度、一铭、凝思等。</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虚拟机可以实现物理机的全部功能，如具有自己的资源（内存、CPU、网卡、存储），可以指定单独的IP地址、MAC地址等。</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平台应提供虚拟交换机的图形化展示，集中化展示虚拟交换机端口使用情况，通过点击虚拟交换机端口，可以快速查看端口详细信息和端口流量实时监控，提供可视化的监控界面降低运维难度，快速掌握网络流量情况。</w:t>
      </w:r>
    </w:p>
    <w:p>
      <w:pPr>
        <w:spacing w:line="360" w:lineRule="auto"/>
        <w:ind w:firstLine="420" w:firstLineChars="200"/>
        <w:rPr>
          <w:rFonts w:ascii="宋体" w:hAnsi="宋体" w:eastAsia="宋体"/>
          <w:b/>
          <w:bCs/>
          <w:color w:val="auto"/>
          <w:sz w:val="21"/>
          <w:szCs w:val="21"/>
          <w:highlight w:val="none"/>
        </w:rPr>
      </w:pPr>
      <w:r>
        <w:rPr>
          <w:rFonts w:hint="eastAsia" w:ascii="宋体" w:hAnsi="宋体" w:eastAsia="宋体"/>
          <w:color w:val="auto"/>
          <w:sz w:val="21"/>
          <w:szCs w:val="21"/>
          <w:highlight w:val="none"/>
        </w:rPr>
        <w:t>虚拟化管理平台内置在线p2v、v2v迁移工具，支持对医院现有平台的迁移功能，提升被迁移业务平台的普适性、降低业务上云的难度，降低运维工作量。</w:t>
      </w:r>
      <w:r>
        <w:rPr>
          <w:rFonts w:hint="eastAsia" w:ascii="宋体" w:hAnsi="宋体" w:eastAsia="宋体"/>
          <w:b/>
          <w:bCs/>
          <w:color w:val="auto"/>
          <w:sz w:val="21"/>
          <w:szCs w:val="21"/>
          <w:highlight w:val="none"/>
        </w:rPr>
        <w:t>（要求提供CNAS认可的检测机构出具的检测报告及检测结果截图页加盖制造商公章作为证明材料）</w:t>
      </w:r>
    </w:p>
    <w:p>
      <w:pPr>
        <w:spacing w:line="360" w:lineRule="auto"/>
        <w:ind w:firstLine="420" w:firstLineChars="200"/>
        <w:rPr>
          <w:rFonts w:ascii="宋体" w:hAnsi="宋体" w:eastAsia="宋体"/>
          <w:b/>
          <w:bCs/>
          <w:color w:val="auto"/>
          <w:sz w:val="21"/>
          <w:szCs w:val="21"/>
          <w:highlight w:val="none"/>
        </w:rPr>
      </w:pPr>
      <w:r>
        <w:rPr>
          <w:rFonts w:hint="eastAsia" w:ascii="宋体" w:hAnsi="宋体" w:eastAsia="宋体"/>
          <w:color w:val="auto"/>
          <w:sz w:val="21"/>
          <w:szCs w:val="21"/>
          <w:highlight w:val="none"/>
        </w:rPr>
        <w:t>平台支持集群动态资源调度功能，可基于主机的算力（CPU利用率、内存利用率）、存储（磁盘I/O、磁盘容量利用率、磁盘请求）、网络（网络流量）等资源对虚拟机进行动态资源调度，实现自动化的计算、存储、网络等资源分配和负载均衡功能，使虚拟机获得良好的性能资源，避免将虚拟机放置或迁移到已经网络饱和的主机上，确保云环境的服务水平，为业务系统提供健康可用的资源环境。</w:t>
      </w:r>
      <w:r>
        <w:rPr>
          <w:rFonts w:hint="eastAsia" w:ascii="宋体" w:hAnsi="宋体" w:eastAsia="宋体"/>
          <w:b/>
          <w:bCs/>
          <w:color w:val="auto"/>
          <w:sz w:val="21"/>
          <w:szCs w:val="21"/>
          <w:highlight w:val="none"/>
        </w:rPr>
        <w:t>（提供功能截图证明并加盖制造商公章作为证明材料）</w:t>
      </w:r>
    </w:p>
    <w:p>
      <w:pPr>
        <w:spacing w:line="360" w:lineRule="auto"/>
        <w:ind w:firstLine="420" w:firstLineChars="200"/>
        <w:rPr>
          <w:rFonts w:ascii="宋体" w:hAnsi="宋体" w:eastAsia="宋体"/>
          <w:b/>
          <w:bCs/>
          <w:color w:val="auto"/>
          <w:sz w:val="21"/>
          <w:szCs w:val="21"/>
          <w:highlight w:val="none"/>
        </w:rPr>
      </w:pPr>
      <w:r>
        <w:rPr>
          <w:rFonts w:hint="eastAsia" w:ascii="宋体" w:hAnsi="宋体" w:eastAsia="宋体"/>
          <w:color w:val="auto"/>
          <w:sz w:val="21"/>
          <w:szCs w:val="21"/>
          <w:highlight w:val="none"/>
        </w:rPr>
        <w:t>平台提供统一的虚拟化管理界面和单独的计算节点管理界面，在虚拟化管理界面故障时，可以通过计算节点管理界面对所在宿主机和虚拟机进行管理运维，提供虚拟机启动、配置、关闭、重启、休眠、删除等生命周期管理，提供虚拟机及主机性能监控、告警管理等，保障业务稳定运行。</w:t>
      </w:r>
      <w:r>
        <w:rPr>
          <w:rFonts w:hint="eastAsia" w:ascii="宋体" w:hAnsi="宋体" w:eastAsia="宋体"/>
          <w:b/>
          <w:bCs/>
          <w:color w:val="auto"/>
          <w:sz w:val="21"/>
          <w:szCs w:val="21"/>
          <w:highlight w:val="none"/>
        </w:rPr>
        <w:t>（提供功能截图证明并加盖制造商公章作为证明材料）</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支持当虚拟机的CPU、内存利用率超过设置的阈值时，在虚拟机操作系统本身支持资源热添加的前提下，系统将自动为该虚拟机增加相应的CPU和内存资源，无需人工干预。</w:t>
      </w:r>
      <w:r>
        <w:rPr>
          <w:rFonts w:hint="eastAsia" w:ascii="宋体" w:hAnsi="宋体" w:eastAsia="宋体"/>
          <w:b/>
          <w:bCs/>
          <w:color w:val="auto"/>
          <w:sz w:val="21"/>
          <w:szCs w:val="21"/>
          <w:highlight w:val="none"/>
        </w:rPr>
        <w:t>（提供功能截图证明并加盖制造商公章作为证明材料）</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支持监控虚拟机应用进程的运行状态，在虚拟机应用进程故障时，重启应用或重启虚拟机，最小化业务宕机时间，支持Tomcat、IIS、HTTP Server、SharePoint等应用。</w:t>
      </w:r>
      <w:r>
        <w:rPr>
          <w:rFonts w:hint="eastAsia" w:ascii="宋体" w:hAnsi="宋体" w:eastAsia="宋体"/>
          <w:b/>
          <w:bCs/>
          <w:color w:val="auto"/>
          <w:sz w:val="21"/>
          <w:szCs w:val="21"/>
          <w:highlight w:val="none"/>
        </w:rPr>
        <w:t>（提供功能截图证明并加盖制造商公章作为证明材料）</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提供虚拟机回收站功能，防止因虚拟机误删除导致数据丢失，支持设置回收站文件保存周期，超期的文件将被自动删除，支持批量销毁或还原虚拟机。</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支持批量修改虚拟机的配置参数，包括：CPU调度优先级、CPU个数、内存优先级、内存大小、I/O优先级、启动优先级、是否自动迁移、tools自动升级等。</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本次扩容，需同时完成现有云平台的版本升级服务。</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要求与用户现有虚拟化资源池融合构建统一融合计算资源池，业务虚拟机可以自动在线迁移。</w:t>
      </w:r>
      <w:r>
        <w:rPr>
          <w:rFonts w:hint="eastAsia" w:ascii="宋体" w:hAnsi="宋体" w:eastAsia="宋体"/>
          <w:b/>
          <w:bCs/>
          <w:color w:val="auto"/>
          <w:sz w:val="21"/>
          <w:szCs w:val="21"/>
          <w:highlight w:val="none"/>
        </w:rPr>
        <w:t>（提供原厂证明并同时提供本次项目原厂工程师实施证明）。</w:t>
      </w:r>
    </w:p>
    <w:p>
      <w:pPr>
        <w:pStyle w:val="5"/>
        <w:keepNext/>
        <w:keepLines/>
        <w:pageBreakBefore w:val="0"/>
        <w:widowControl w:val="0"/>
        <w:kinsoku/>
        <w:wordWrap/>
        <w:overflowPunct/>
        <w:topLinePunct w:val="0"/>
        <w:autoSpaceDE/>
        <w:autoSpaceDN/>
        <w:bidi w:val="0"/>
        <w:adjustRightInd/>
        <w:snapToGrid/>
        <w:ind w:firstLine="0"/>
        <w:jc w:val="left"/>
        <w:textAlignment w:val="auto"/>
        <w:rPr>
          <w:rFonts w:hint="eastAsia" w:ascii="宋体" w:hAnsi="宋体" w:eastAsia="宋体" w:cs="宋体"/>
          <w:color w:val="auto"/>
          <w:sz w:val="28"/>
          <w:szCs w:val="28"/>
          <w:highlight w:val="none"/>
        </w:rPr>
      </w:pPr>
      <w:bookmarkStart w:id="97" w:name="_Toc44340031"/>
      <w:bookmarkStart w:id="98" w:name="_Toc44339573"/>
      <w:bookmarkStart w:id="99" w:name="_Toc26176"/>
      <w:bookmarkStart w:id="100" w:name="_Toc20507"/>
      <w:r>
        <w:rPr>
          <w:rFonts w:hint="eastAsia" w:ascii="宋体" w:hAnsi="宋体" w:eastAsia="宋体" w:cs="宋体"/>
          <w:color w:val="auto"/>
          <w:sz w:val="28"/>
          <w:szCs w:val="28"/>
          <w:highlight w:val="none"/>
        </w:rPr>
        <w:t>3.</w:t>
      </w:r>
      <w:bookmarkEnd w:id="97"/>
      <w:bookmarkEnd w:id="98"/>
      <w:r>
        <w:rPr>
          <w:rFonts w:hint="eastAsia" w:ascii="宋体" w:hAnsi="宋体" w:eastAsia="宋体" w:cs="宋体"/>
          <w:color w:val="auto"/>
          <w:sz w:val="28"/>
          <w:szCs w:val="28"/>
          <w:highlight w:val="none"/>
        </w:rPr>
        <w:t>4新集成平台部署</w:t>
      </w:r>
      <w:bookmarkEnd w:id="99"/>
      <w:bookmarkEnd w:id="100"/>
    </w:p>
    <w:p>
      <w:pPr>
        <w:pStyle w:val="6"/>
        <w:rPr>
          <w:color w:val="auto"/>
          <w:highlight w:val="none"/>
        </w:rPr>
      </w:pPr>
      <w:bookmarkStart w:id="101" w:name="_Toc44339574"/>
      <w:bookmarkStart w:id="102" w:name="_Toc44340032"/>
      <w:r>
        <w:rPr>
          <w:rFonts w:hint="eastAsia"/>
          <w:color w:val="auto"/>
          <w:highlight w:val="none"/>
        </w:rPr>
        <w:t>3.4</w:t>
      </w:r>
      <w:r>
        <w:rPr>
          <w:color w:val="auto"/>
          <w:highlight w:val="none"/>
        </w:rPr>
        <w:t>.1</w:t>
      </w:r>
      <w:bookmarkEnd w:id="101"/>
      <w:bookmarkEnd w:id="102"/>
      <w:r>
        <w:rPr>
          <w:rFonts w:hint="eastAsia"/>
          <w:color w:val="auto"/>
          <w:highlight w:val="none"/>
        </w:rPr>
        <w:t>产品数量</w:t>
      </w:r>
    </w:p>
    <w:tbl>
      <w:tblPr>
        <w:tblStyle w:val="23"/>
        <w:tblW w:w="7938"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3969"/>
        <w:gridCol w:w="1417"/>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993" w:type="dxa"/>
            <w:shd w:val="clear" w:color="auto" w:fill="auto"/>
            <w:noWrap/>
            <w:vAlign w:val="center"/>
          </w:tcPr>
          <w:p>
            <w:pPr>
              <w:widowControl/>
              <w:jc w:val="center"/>
              <w:rPr>
                <w:rFonts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序号</w:t>
            </w:r>
          </w:p>
        </w:tc>
        <w:tc>
          <w:tcPr>
            <w:tcW w:w="3969" w:type="dxa"/>
            <w:shd w:val="clear" w:color="auto" w:fill="auto"/>
            <w:noWrap/>
            <w:vAlign w:val="center"/>
          </w:tcPr>
          <w:p>
            <w:pPr>
              <w:widowControl/>
              <w:jc w:val="center"/>
              <w:rPr>
                <w:rFonts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名称</w:t>
            </w:r>
          </w:p>
        </w:tc>
        <w:tc>
          <w:tcPr>
            <w:tcW w:w="1417" w:type="dxa"/>
            <w:shd w:val="clear" w:color="auto" w:fill="auto"/>
            <w:noWrap/>
            <w:vAlign w:val="center"/>
          </w:tcPr>
          <w:p>
            <w:pPr>
              <w:widowControl/>
              <w:jc w:val="center"/>
              <w:rPr>
                <w:rFonts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数量</w:t>
            </w:r>
          </w:p>
        </w:tc>
        <w:tc>
          <w:tcPr>
            <w:tcW w:w="1559" w:type="dxa"/>
            <w:shd w:val="clear" w:color="auto" w:fill="auto"/>
            <w:noWrap/>
            <w:vAlign w:val="center"/>
          </w:tcPr>
          <w:p>
            <w:pPr>
              <w:widowControl/>
              <w:jc w:val="center"/>
              <w:rPr>
                <w:rFonts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shd w:val="clear" w:color="auto" w:fill="auto"/>
            <w:noWrap/>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3969" w:type="dxa"/>
            <w:shd w:val="clear" w:color="auto" w:fill="auto"/>
            <w:noWrap/>
            <w:vAlign w:val="center"/>
          </w:tcPr>
          <w:p>
            <w:pPr>
              <w:widowControl/>
              <w:jc w:val="left"/>
              <w:rPr>
                <w:rFonts w:ascii="宋体" w:hAnsi="宋体" w:eastAsia="宋体" w:cs="宋体"/>
                <w:color w:val="auto"/>
                <w:kern w:val="0"/>
                <w:sz w:val="21"/>
                <w:szCs w:val="21"/>
                <w:highlight w:val="none"/>
              </w:rPr>
            </w:pPr>
            <w:r>
              <w:rPr>
                <w:rFonts w:hint="eastAsia" w:ascii="宋体" w:hAnsi="宋体" w:eastAsia="宋体"/>
                <w:color w:val="auto"/>
                <w:sz w:val="21"/>
                <w:szCs w:val="21"/>
                <w:highlight w:val="none"/>
              </w:rPr>
              <w:t>应用服务器</w:t>
            </w:r>
          </w:p>
        </w:tc>
        <w:tc>
          <w:tcPr>
            <w:tcW w:w="1417" w:type="dxa"/>
            <w:shd w:val="clear" w:color="auto" w:fill="auto"/>
            <w:noWrap/>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olor w:val="auto"/>
                <w:sz w:val="21"/>
                <w:szCs w:val="21"/>
                <w:highlight w:val="none"/>
              </w:rPr>
              <w:t>4</w:t>
            </w:r>
          </w:p>
        </w:tc>
        <w:tc>
          <w:tcPr>
            <w:tcW w:w="1559" w:type="dxa"/>
            <w:shd w:val="clear" w:color="auto" w:fill="auto"/>
            <w:noWrap/>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shd w:val="clear" w:color="auto" w:fill="auto"/>
            <w:noWrap/>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3969" w:type="dxa"/>
            <w:shd w:val="clear" w:color="auto" w:fill="auto"/>
            <w:noWrap/>
            <w:vAlign w:val="center"/>
          </w:tcPr>
          <w:p>
            <w:pPr>
              <w:widowControl/>
              <w:jc w:val="left"/>
              <w:rPr>
                <w:rFonts w:ascii="宋体" w:hAnsi="宋体" w:eastAsia="宋体" w:cs="宋体"/>
                <w:color w:val="auto"/>
                <w:kern w:val="0"/>
                <w:sz w:val="21"/>
                <w:szCs w:val="21"/>
                <w:highlight w:val="none"/>
              </w:rPr>
            </w:pPr>
            <w:r>
              <w:rPr>
                <w:rFonts w:hint="eastAsia" w:ascii="宋体" w:hAnsi="宋体" w:eastAsia="宋体"/>
                <w:color w:val="auto"/>
                <w:sz w:val="21"/>
                <w:szCs w:val="21"/>
                <w:highlight w:val="none"/>
              </w:rPr>
              <w:t>光纤网卡</w:t>
            </w:r>
          </w:p>
        </w:tc>
        <w:tc>
          <w:tcPr>
            <w:tcW w:w="1417" w:type="dxa"/>
            <w:shd w:val="clear" w:color="auto" w:fill="auto"/>
            <w:noWrap/>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olor w:val="auto"/>
                <w:sz w:val="21"/>
                <w:szCs w:val="21"/>
                <w:highlight w:val="none"/>
              </w:rPr>
              <w:t>6</w:t>
            </w:r>
          </w:p>
        </w:tc>
        <w:tc>
          <w:tcPr>
            <w:tcW w:w="1559" w:type="dxa"/>
            <w:shd w:val="clear" w:color="auto" w:fill="auto"/>
            <w:noWrap/>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shd w:val="clear" w:color="auto" w:fill="auto"/>
            <w:noWrap/>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3969" w:type="dxa"/>
            <w:shd w:val="clear" w:color="auto" w:fill="auto"/>
            <w:noWrap/>
            <w:vAlign w:val="center"/>
          </w:tcPr>
          <w:p>
            <w:pPr>
              <w:widowControl/>
              <w:jc w:val="left"/>
              <w:rPr>
                <w:rFonts w:ascii="宋体" w:hAnsi="宋体" w:eastAsia="宋体" w:cs="宋体"/>
                <w:color w:val="auto"/>
                <w:kern w:val="0"/>
                <w:sz w:val="21"/>
                <w:szCs w:val="21"/>
                <w:highlight w:val="none"/>
              </w:rPr>
            </w:pPr>
            <w:r>
              <w:rPr>
                <w:rFonts w:hint="eastAsia" w:ascii="宋体" w:hAnsi="宋体" w:eastAsia="宋体"/>
                <w:color w:val="auto"/>
                <w:sz w:val="21"/>
                <w:szCs w:val="21"/>
                <w:highlight w:val="none"/>
              </w:rPr>
              <w:t>16G HBA卡</w:t>
            </w:r>
          </w:p>
        </w:tc>
        <w:tc>
          <w:tcPr>
            <w:tcW w:w="1417" w:type="dxa"/>
            <w:shd w:val="clear" w:color="auto" w:fill="auto"/>
            <w:noWrap/>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olor w:val="auto"/>
                <w:sz w:val="21"/>
                <w:szCs w:val="21"/>
                <w:highlight w:val="none"/>
              </w:rPr>
              <w:t>2</w:t>
            </w:r>
          </w:p>
        </w:tc>
        <w:tc>
          <w:tcPr>
            <w:tcW w:w="1559" w:type="dxa"/>
            <w:shd w:val="clear" w:color="auto" w:fill="auto"/>
            <w:noWrap/>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shd w:val="clear" w:color="auto" w:fill="auto"/>
            <w:noWrap/>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3969" w:type="dxa"/>
            <w:shd w:val="clear" w:color="auto" w:fill="auto"/>
            <w:noWrap/>
            <w:vAlign w:val="center"/>
          </w:tcPr>
          <w:p>
            <w:pPr>
              <w:widowControl/>
              <w:jc w:val="left"/>
              <w:rPr>
                <w:rFonts w:ascii="宋体" w:hAnsi="宋体" w:eastAsia="宋体" w:cs="宋体"/>
                <w:color w:val="auto"/>
                <w:kern w:val="0"/>
                <w:sz w:val="21"/>
                <w:szCs w:val="21"/>
                <w:highlight w:val="none"/>
              </w:rPr>
            </w:pPr>
            <w:r>
              <w:rPr>
                <w:rFonts w:hint="eastAsia" w:ascii="宋体" w:hAnsi="宋体" w:eastAsia="宋体"/>
                <w:color w:val="auto"/>
                <w:sz w:val="21"/>
                <w:szCs w:val="21"/>
                <w:highlight w:val="none"/>
              </w:rPr>
              <w:t>2.4T存储专用系统硬盘</w:t>
            </w:r>
          </w:p>
        </w:tc>
        <w:tc>
          <w:tcPr>
            <w:tcW w:w="1417" w:type="dxa"/>
            <w:shd w:val="clear" w:color="auto" w:fill="auto"/>
            <w:noWrap/>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olor w:val="auto"/>
                <w:sz w:val="21"/>
                <w:szCs w:val="21"/>
                <w:highlight w:val="none"/>
              </w:rPr>
              <w:t>10</w:t>
            </w:r>
          </w:p>
        </w:tc>
        <w:tc>
          <w:tcPr>
            <w:tcW w:w="1559" w:type="dxa"/>
            <w:shd w:val="clear" w:color="auto" w:fill="auto"/>
            <w:noWrap/>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shd w:val="clear" w:color="auto" w:fill="auto"/>
            <w:noWrap/>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3969" w:type="dxa"/>
            <w:shd w:val="clear" w:color="auto" w:fill="auto"/>
            <w:noWrap/>
            <w:vAlign w:val="center"/>
          </w:tcPr>
          <w:p>
            <w:pPr>
              <w:widowControl/>
              <w:jc w:val="left"/>
              <w:rPr>
                <w:rFonts w:ascii="宋体" w:hAnsi="宋体" w:eastAsia="宋体" w:cs="宋体"/>
                <w:color w:val="auto"/>
                <w:kern w:val="0"/>
                <w:sz w:val="21"/>
                <w:szCs w:val="21"/>
                <w:highlight w:val="none"/>
              </w:rPr>
            </w:pPr>
            <w:r>
              <w:rPr>
                <w:rFonts w:hint="eastAsia" w:ascii="宋体" w:hAnsi="宋体" w:eastAsia="宋体"/>
                <w:color w:val="auto"/>
                <w:sz w:val="21"/>
                <w:szCs w:val="21"/>
                <w:highlight w:val="none"/>
              </w:rPr>
              <w:t>双机软件</w:t>
            </w:r>
          </w:p>
        </w:tc>
        <w:tc>
          <w:tcPr>
            <w:tcW w:w="1417" w:type="dxa"/>
            <w:shd w:val="clear" w:color="auto" w:fill="auto"/>
            <w:noWrap/>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olor w:val="auto"/>
                <w:sz w:val="21"/>
                <w:szCs w:val="21"/>
                <w:highlight w:val="none"/>
              </w:rPr>
              <w:t>1</w:t>
            </w:r>
          </w:p>
        </w:tc>
        <w:tc>
          <w:tcPr>
            <w:tcW w:w="1559" w:type="dxa"/>
            <w:shd w:val="clear" w:color="auto" w:fill="auto"/>
            <w:noWrap/>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r>
    </w:tbl>
    <w:p>
      <w:pPr>
        <w:pStyle w:val="6"/>
        <w:rPr>
          <w:color w:val="auto"/>
          <w:highlight w:val="none"/>
        </w:rPr>
      </w:pPr>
      <w:bookmarkStart w:id="103" w:name="_Toc44340034"/>
      <w:bookmarkStart w:id="104" w:name="_Toc44339576"/>
      <w:r>
        <w:rPr>
          <w:rFonts w:hint="eastAsia"/>
          <w:color w:val="auto"/>
          <w:highlight w:val="none"/>
        </w:rPr>
        <w:t>3.4</w:t>
      </w:r>
      <w:r>
        <w:rPr>
          <w:color w:val="auto"/>
          <w:highlight w:val="none"/>
        </w:rPr>
        <w:t>.2</w:t>
      </w:r>
      <w:r>
        <w:rPr>
          <w:rFonts w:hint="eastAsia"/>
          <w:color w:val="auto"/>
          <w:highlight w:val="none"/>
        </w:rPr>
        <w:t>技术要求</w:t>
      </w:r>
      <w:bookmarkEnd w:id="103"/>
      <w:bookmarkEnd w:id="104"/>
    </w:p>
    <w:p>
      <w:pPr>
        <w:spacing w:line="360" w:lineRule="auto"/>
        <w:rPr>
          <w:color w:val="auto"/>
          <w:highlight w:val="none"/>
        </w:rPr>
      </w:pPr>
      <w:r>
        <w:rPr>
          <w:rFonts w:hint="eastAsia" w:ascii="宋体" w:hAnsi="宋体" w:eastAsia="宋体"/>
          <w:b/>
          <w:bCs/>
          <w:color w:val="auto"/>
          <w:sz w:val="24"/>
          <w:szCs w:val="24"/>
          <w:highlight w:val="none"/>
        </w:rPr>
        <w:t>（1）应用服务器</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规格：4U机架式服务器，国产品牌，国内生产和制造。 </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处理器：≥2个Intel至强可扩展处理器 主频≥2.3GHz ≥16核，L3缓存≥22MB，可选最大可支持至28核处理器。 </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内存：≥16根32GB DDR4 2933 MHz (1Rx4 1.2V) RDIMM，最大支持≥3TB内存扩展或最大支持48根内存插槽，支持单条64GB </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硬盘：配置≥4块400GB NVMe SSD硬盘， 最大支持16个2.5英寸硬盘扩展，硬盘背板需支持直连NVMe PCIe SSD硬盘，并配置NVMe交换机适配器；</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阵列卡：配置≥1块独立12Gb阵列卡，配2GB缓存，支持0/1/10/5/50/6/60 RAID级别，带电池保护，最大支持8GB闪存；</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网卡：标配≥4个千兆以太网控制器，≥1个专用的管理端口，≥2块双口万兆光纤网卡（含模块）；</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HBA：≥1块双口16GB FC HBA卡（含模块）；</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电源：实配电源输出功率≥1100W电源，1+1热插拔冗余电源。</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服务要求：3 年7x24 小时保修服务，全国部分城市宕机4 小时上门服务。</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可靠性：提供平均无故障时间不低于150000小时产品检验合格证书。</w:t>
      </w:r>
    </w:p>
    <w:p>
      <w:pPr>
        <w:spacing w:line="360" w:lineRule="auto"/>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（2）光纤网卡</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w:t>
      </w:r>
      <w:r>
        <w:rPr>
          <w:rFonts w:ascii="宋体" w:hAnsi="宋体" w:eastAsia="宋体"/>
          <w:color w:val="auto"/>
          <w:sz w:val="21"/>
          <w:szCs w:val="21"/>
          <w:highlight w:val="none"/>
        </w:rPr>
        <w:t>10Gb SFP+双端口万兆网卡，配置2个SFP+万兆多模光模块</w:t>
      </w:r>
      <w:r>
        <w:rPr>
          <w:rFonts w:hint="eastAsia" w:ascii="宋体" w:hAnsi="宋体" w:eastAsia="宋体"/>
          <w:color w:val="auto"/>
          <w:sz w:val="21"/>
          <w:szCs w:val="21"/>
          <w:highlight w:val="none"/>
        </w:rPr>
        <w:t>。</w:t>
      </w:r>
    </w:p>
    <w:p>
      <w:pPr>
        <w:spacing w:line="360" w:lineRule="auto"/>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（3）1</w:t>
      </w:r>
      <w:r>
        <w:rPr>
          <w:rFonts w:ascii="宋体" w:hAnsi="宋体" w:eastAsia="宋体"/>
          <w:b/>
          <w:bCs/>
          <w:color w:val="auto"/>
          <w:sz w:val="24"/>
          <w:szCs w:val="24"/>
          <w:highlight w:val="none"/>
        </w:rPr>
        <w:t>6G HBA</w:t>
      </w:r>
      <w:r>
        <w:rPr>
          <w:rFonts w:hint="eastAsia" w:ascii="宋体" w:hAnsi="宋体" w:eastAsia="宋体"/>
          <w:b/>
          <w:bCs/>
          <w:color w:val="auto"/>
          <w:sz w:val="24"/>
          <w:szCs w:val="24"/>
          <w:highlight w:val="none"/>
        </w:rPr>
        <w:t>卡</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w:t>
      </w:r>
      <w:r>
        <w:rPr>
          <w:rFonts w:ascii="宋体" w:hAnsi="宋体" w:eastAsia="宋体"/>
          <w:color w:val="auto"/>
          <w:sz w:val="21"/>
          <w:szCs w:val="21"/>
          <w:highlight w:val="none"/>
        </w:rPr>
        <w:t>双端口16GB FC HBA卡</w:t>
      </w:r>
      <w:r>
        <w:rPr>
          <w:rFonts w:hint="eastAsia" w:ascii="宋体" w:hAnsi="宋体" w:eastAsia="宋体"/>
          <w:color w:val="auto"/>
          <w:sz w:val="21"/>
          <w:szCs w:val="21"/>
          <w:highlight w:val="none"/>
        </w:rPr>
        <w:t>。</w:t>
      </w:r>
    </w:p>
    <w:p>
      <w:pPr>
        <w:spacing w:line="360" w:lineRule="auto"/>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（4）</w:t>
      </w:r>
      <w:r>
        <w:rPr>
          <w:rFonts w:ascii="宋体" w:hAnsi="宋体" w:eastAsia="宋体"/>
          <w:b/>
          <w:bCs/>
          <w:color w:val="auto"/>
          <w:sz w:val="24"/>
          <w:szCs w:val="24"/>
          <w:highlight w:val="none"/>
        </w:rPr>
        <w:t>2.4T存储专用系统硬盘</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w:t>
      </w:r>
      <w:r>
        <w:rPr>
          <w:rFonts w:ascii="宋体" w:hAnsi="宋体" w:eastAsia="宋体"/>
          <w:color w:val="auto"/>
          <w:sz w:val="21"/>
          <w:szCs w:val="21"/>
          <w:highlight w:val="none"/>
        </w:rPr>
        <w:t>2.4TB 10K SAS 热插拔硬盘，需保证适用于原存储系统</w:t>
      </w:r>
      <w:r>
        <w:rPr>
          <w:rFonts w:hint="eastAsia" w:ascii="宋体" w:hAnsi="宋体" w:eastAsia="宋体"/>
          <w:color w:val="auto"/>
          <w:sz w:val="21"/>
          <w:szCs w:val="21"/>
          <w:highlight w:val="none"/>
        </w:rPr>
        <w:t>。</w:t>
      </w:r>
    </w:p>
    <w:p>
      <w:pPr>
        <w:spacing w:line="360" w:lineRule="auto"/>
        <w:rPr>
          <w:rFonts w:ascii="宋体" w:hAnsi="宋体" w:eastAsia="宋体"/>
          <w:color w:val="auto"/>
          <w:sz w:val="24"/>
          <w:szCs w:val="24"/>
          <w:highlight w:val="none"/>
        </w:rPr>
      </w:pPr>
      <w:r>
        <w:rPr>
          <w:rFonts w:hint="eastAsia" w:ascii="宋体" w:hAnsi="宋体" w:eastAsia="宋体"/>
          <w:b/>
          <w:bCs/>
          <w:color w:val="auto"/>
          <w:sz w:val="24"/>
          <w:szCs w:val="24"/>
          <w:highlight w:val="none"/>
        </w:rPr>
        <w:t>（5）双机软件</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系统平台支持：Windows Server 2008/2012，RedHat Enterprise Linux 6/7，SUSE Linux Enterprise Server 11/12，CentOS 6/7</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应用支持：数据库：PostgreSQL、Oracle、MSSQL、Sybase、DB2、Mysql、MongoDB、达梦、人大金仓等；邮件服务器：CoreMail、Sendmail、Postfix、Domino等；Web服务器：IIS、Tomcat、Apache等；文件服务器：Samba、FTP、NFS等；中间件应用：WebLogic、WebSphere等；用户自开发应用</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集群结构：数据镜像模式</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虚拟化支持：支持VMware，MS Hyper-V、KVM、XEN等虚拟化平台</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授权方式：支持集中授权管理方式，可按需扩展节点授权</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语言：中英文双语的配置管理界面和配置手册</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网络通信</w:t>
      </w: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支持：IPV4/IPV6网络通信协议，支持替换IP和虚拟MAC地址以适应复杂网络环境应用，支持网络探测功能，可动态探测网络通信稳定性，根据预设阈值进行切换，支持自动发送免费ARP数据包，支持指定IP发送ARP数据包，支持业务网卡指定活动IP发送数据包</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管理便捷性：无需域环境，支持中/英文向导式操作界面，安装配置过程简单，一键分离集群保护，一键关机功能，支持GUI跨平台、远程、统一集中管理环境中所有集群</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报警方式：支持在线日志、邮件、SNMP等多样化事件通知/告警机制</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灵活、扩展性：应用资源动态扩展，动态增减、动态起停、动态切换、动态监控用户应用</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高可用:支持冗余心跳:网络冗余心跳</w:t>
      </w:r>
    </w:p>
    <w:p>
      <w:pPr>
        <w:spacing w:line="360" w:lineRule="auto"/>
        <w:ind w:firstLine="420" w:firstLineChars="200"/>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rPr>
        <w:t>单机模式:支持单机应用监控模式,支持单机启动应用模式</w:t>
      </w:r>
      <w:r>
        <w:rPr>
          <w:rFonts w:hint="eastAsia" w:ascii="宋体" w:hAnsi="宋体" w:eastAsia="宋体"/>
          <w:color w:val="auto"/>
          <w:sz w:val="21"/>
          <w:szCs w:val="21"/>
          <w:highlight w:val="none"/>
          <w:lang w:eastAsia="zh-CN"/>
        </w:rPr>
        <w:t>；</w:t>
      </w:r>
    </w:p>
    <w:p>
      <w:pPr>
        <w:spacing w:line="360" w:lineRule="auto"/>
        <w:ind w:firstLine="420" w:firstLineChars="200"/>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rPr>
        <w:t>第三方IP仲裁:支持第三方IP仲裁功能</w:t>
      </w:r>
      <w:r>
        <w:rPr>
          <w:rFonts w:hint="eastAsia" w:ascii="宋体" w:hAnsi="宋体" w:eastAsia="宋体"/>
          <w:color w:val="auto"/>
          <w:sz w:val="21"/>
          <w:szCs w:val="21"/>
          <w:highlight w:val="none"/>
          <w:lang w:eastAsia="zh-CN"/>
        </w:rPr>
        <w:t>；</w:t>
      </w:r>
    </w:p>
    <w:p>
      <w:pPr>
        <w:spacing w:line="360" w:lineRule="auto"/>
        <w:ind w:firstLine="420" w:firstLineChars="200"/>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rPr>
        <w:t>并发启停:</w:t>
      </w: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支持NT服务资源并发启动/停止，提升切换效率</w:t>
      </w:r>
      <w:r>
        <w:rPr>
          <w:rFonts w:hint="eastAsia" w:ascii="宋体" w:hAnsi="宋体" w:eastAsia="宋体"/>
          <w:color w:val="auto"/>
          <w:sz w:val="21"/>
          <w:szCs w:val="21"/>
          <w:highlight w:val="none"/>
          <w:lang w:eastAsia="zh-CN"/>
        </w:rPr>
        <w:t>；</w:t>
      </w:r>
    </w:p>
    <w:p>
      <w:pPr>
        <w:spacing w:line="360" w:lineRule="auto"/>
        <w:ind w:firstLine="420" w:firstLineChars="200"/>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rPr>
        <w:t>资源监控:支持CPU、内存、磁盘、IOPS等资源智能监控和预警、智能切换</w:t>
      </w:r>
      <w:r>
        <w:rPr>
          <w:rFonts w:hint="eastAsia" w:ascii="宋体" w:hAnsi="宋体" w:eastAsia="宋体"/>
          <w:color w:val="auto"/>
          <w:sz w:val="21"/>
          <w:szCs w:val="21"/>
          <w:highlight w:val="none"/>
          <w:lang w:eastAsia="zh-CN"/>
        </w:rPr>
        <w:t>；</w:t>
      </w:r>
    </w:p>
    <w:p>
      <w:pPr>
        <w:spacing w:line="360" w:lineRule="auto"/>
        <w:ind w:firstLine="420" w:firstLineChars="200"/>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rPr>
        <w:t>深层次监控:支持TCP、UDP端口监控,支持自定义应用程序相同进程名监控</w:t>
      </w:r>
      <w:r>
        <w:rPr>
          <w:rFonts w:hint="eastAsia" w:ascii="宋体" w:hAnsi="宋体" w:eastAsia="宋体"/>
          <w:color w:val="auto"/>
          <w:sz w:val="21"/>
          <w:szCs w:val="21"/>
          <w:highlight w:val="none"/>
          <w:lang w:eastAsia="zh-CN"/>
        </w:rPr>
        <w:t>；</w:t>
      </w:r>
    </w:p>
    <w:p>
      <w:pPr>
        <w:spacing w:line="360" w:lineRule="auto"/>
        <w:ind w:firstLine="420" w:firstLineChars="200"/>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rPr>
        <w:t>系统时间同步:支持集群主机系统时间同步功能</w:t>
      </w:r>
      <w:r>
        <w:rPr>
          <w:rFonts w:hint="eastAsia" w:ascii="宋体" w:hAnsi="宋体" w:eastAsia="宋体"/>
          <w:color w:val="auto"/>
          <w:sz w:val="21"/>
          <w:szCs w:val="21"/>
          <w:highlight w:val="none"/>
          <w:lang w:eastAsia="zh-CN"/>
        </w:rPr>
        <w:t>；</w:t>
      </w:r>
    </w:p>
    <w:p>
      <w:pPr>
        <w:spacing w:line="360" w:lineRule="auto"/>
        <w:ind w:firstLine="420" w:firstLineChars="200"/>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rPr>
        <w:t>应用系统在线升级:支持应用系统在线升级功能</w:t>
      </w:r>
      <w:r>
        <w:rPr>
          <w:rFonts w:hint="eastAsia" w:ascii="宋体" w:hAnsi="宋体" w:eastAsia="宋体"/>
          <w:color w:val="auto"/>
          <w:sz w:val="21"/>
          <w:szCs w:val="21"/>
          <w:highlight w:val="none"/>
          <w:lang w:eastAsia="zh-CN"/>
        </w:rPr>
        <w:t>；</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数据镜像:</w:t>
      </w:r>
    </w:p>
    <w:p>
      <w:pPr>
        <w:spacing w:line="360" w:lineRule="auto"/>
        <w:ind w:firstLine="420" w:firstLineChars="200"/>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rPr>
        <w:t>选择性按需复制:可按需选择实际需要复制的目录和文件，不需要复制的无用数据可排除掉，提高复制效率和减少网络带宽占用</w:t>
      </w:r>
      <w:r>
        <w:rPr>
          <w:rFonts w:hint="eastAsia" w:ascii="宋体" w:hAnsi="宋体" w:eastAsia="宋体"/>
          <w:color w:val="auto"/>
          <w:sz w:val="21"/>
          <w:szCs w:val="21"/>
          <w:highlight w:val="none"/>
          <w:lang w:eastAsia="zh-CN"/>
        </w:rPr>
        <w:t>；</w:t>
      </w:r>
    </w:p>
    <w:p>
      <w:pPr>
        <w:spacing w:line="360" w:lineRule="auto"/>
        <w:ind w:firstLine="420" w:firstLineChars="200"/>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rPr>
        <w:t>字节级实时复制:采用字节级复制粒度进行实时复制，只复制变化的有效数据字节，复制效率高</w:t>
      </w:r>
      <w:r>
        <w:rPr>
          <w:rFonts w:hint="eastAsia" w:ascii="宋体" w:hAnsi="宋体" w:eastAsia="宋体"/>
          <w:color w:val="auto"/>
          <w:sz w:val="21"/>
          <w:szCs w:val="21"/>
          <w:highlight w:val="none"/>
          <w:lang w:eastAsia="zh-CN"/>
        </w:rPr>
        <w:t>；</w:t>
      </w:r>
    </w:p>
    <w:p>
      <w:pPr>
        <w:spacing w:line="360" w:lineRule="auto"/>
        <w:ind w:firstLine="420" w:firstLineChars="200"/>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rPr>
        <w:t>数据链路冗余:支持数据复制链路冗余传输</w:t>
      </w:r>
      <w:r>
        <w:rPr>
          <w:rFonts w:hint="eastAsia" w:ascii="宋体" w:hAnsi="宋体" w:eastAsia="宋体"/>
          <w:color w:val="auto"/>
          <w:sz w:val="21"/>
          <w:szCs w:val="21"/>
          <w:highlight w:val="none"/>
          <w:lang w:eastAsia="zh-CN"/>
        </w:rPr>
        <w:t>；</w:t>
      </w:r>
    </w:p>
    <w:p>
      <w:pPr>
        <w:spacing w:line="360" w:lineRule="auto"/>
        <w:ind w:firstLine="420" w:firstLineChars="200"/>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rPr>
        <w:t>备机锁功能:支持备机数据锁功能，保护数据不受第三方改动</w:t>
      </w:r>
      <w:r>
        <w:rPr>
          <w:rFonts w:hint="eastAsia" w:ascii="宋体" w:hAnsi="宋体" w:eastAsia="宋体"/>
          <w:color w:val="auto"/>
          <w:sz w:val="21"/>
          <w:szCs w:val="21"/>
          <w:highlight w:val="none"/>
          <w:lang w:eastAsia="zh-CN"/>
        </w:rPr>
        <w:t>；</w:t>
      </w:r>
    </w:p>
    <w:p>
      <w:pPr>
        <w:spacing w:line="360" w:lineRule="auto"/>
        <w:ind w:firstLine="420" w:firstLineChars="200"/>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rPr>
        <w:t>数据校验:支持文件属性、校验和、智能校验、数据差异校验等多种高效的数据校验模式</w:t>
      </w:r>
      <w:r>
        <w:rPr>
          <w:rFonts w:hint="eastAsia" w:ascii="宋体" w:hAnsi="宋体" w:eastAsia="宋体"/>
          <w:color w:val="auto"/>
          <w:sz w:val="21"/>
          <w:szCs w:val="21"/>
          <w:highlight w:val="none"/>
          <w:lang w:eastAsia="zh-CN"/>
        </w:rPr>
        <w:t>；</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快照功能:灵活支持计划快照功能，规避数据逻辑错误和误删除，集成快照恢复向导</w:t>
      </w:r>
    </w:p>
    <w:p>
      <w:pPr>
        <w:spacing w:line="360" w:lineRule="auto"/>
        <w:ind w:firstLine="422" w:firstLineChars="200"/>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需提供该软件国内软件著作权文件。</w:t>
      </w:r>
    </w:p>
    <w:p>
      <w:pPr>
        <w:pStyle w:val="5"/>
        <w:keepNext/>
        <w:keepLines/>
        <w:pageBreakBefore w:val="0"/>
        <w:widowControl w:val="0"/>
        <w:kinsoku/>
        <w:wordWrap/>
        <w:overflowPunct/>
        <w:topLinePunct w:val="0"/>
        <w:autoSpaceDE/>
        <w:autoSpaceDN/>
        <w:bidi w:val="0"/>
        <w:adjustRightInd/>
        <w:snapToGrid/>
        <w:ind w:firstLine="0"/>
        <w:jc w:val="left"/>
        <w:textAlignment w:val="auto"/>
        <w:rPr>
          <w:rFonts w:hint="eastAsia" w:ascii="宋体" w:hAnsi="宋体" w:eastAsia="宋体" w:cs="宋体"/>
          <w:color w:val="auto"/>
          <w:sz w:val="28"/>
          <w:szCs w:val="28"/>
          <w:highlight w:val="none"/>
        </w:rPr>
      </w:pPr>
      <w:bookmarkStart w:id="105" w:name="_Toc6849"/>
      <w:bookmarkStart w:id="106" w:name="_Toc31652"/>
      <w:r>
        <w:rPr>
          <w:rFonts w:hint="eastAsia" w:ascii="宋体" w:hAnsi="宋体" w:eastAsia="宋体" w:cs="宋体"/>
          <w:color w:val="auto"/>
          <w:sz w:val="28"/>
          <w:szCs w:val="28"/>
          <w:highlight w:val="none"/>
        </w:rPr>
        <w:t>3.5官网服务器更新</w:t>
      </w:r>
      <w:bookmarkEnd w:id="105"/>
      <w:bookmarkEnd w:id="106"/>
    </w:p>
    <w:p>
      <w:pPr>
        <w:pStyle w:val="6"/>
        <w:rPr>
          <w:color w:val="auto"/>
          <w:highlight w:val="none"/>
        </w:rPr>
      </w:pPr>
      <w:r>
        <w:rPr>
          <w:rFonts w:hint="eastAsia"/>
          <w:color w:val="auto"/>
          <w:highlight w:val="none"/>
        </w:rPr>
        <w:t>3</w:t>
      </w:r>
      <w:r>
        <w:rPr>
          <w:color w:val="auto"/>
          <w:highlight w:val="none"/>
        </w:rPr>
        <w:t>.</w:t>
      </w:r>
      <w:r>
        <w:rPr>
          <w:rFonts w:hint="eastAsia"/>
          <w:color w:val="auto"/>
          <w:highlight w:val="none"/>
        </w:rPr>
        <w:t>5</w:t>
      </w:r>
      <w:r>
        <w:rPr>
          <w:color w:val="auto"/>
          <w:highlight w:val="none"/>
        </w:rPr>
        <w:t>.1</w:t>
      </w:r>
      <w:r>
        <w:rPr>
          <w:rFonts w:hint="eastAsia"/>
          <w:color w:val="auto"/>
          <w:highlight w:val="none"/>
        </w:rPr>
        <w:t>产品数量</w:t>
      </w:r>
    </w:p>
    <w:tbl>
      <w:tblPr>
        <w:tblStyle w:val="23"/>
        <w:tblW w:w="8217" w:type="dxa"/>
        <w:tblInd w:w="0" w:type="dxa"/>
        <w:tblLayout w:type="autofit"/>
        <w:tblCellMar>
          <w:top w:w="0" w:type="dxa"/>
          <w:left w:w="108" w:type="dxa"/>
          <w:bottom w:w="0" w:type="dxa"/>
          <w:right w:w="108" w:type="dxa"/>
        </w:tblCellMar>
      </w:tblPr>
      <w:tblGrid>
        <w:gridCol w:w="1271"/>
        <w:gridCol w:w="4394"/>
        <w:gridCol w:w="1276"/>
        <w:gridCol w:w="1276"/>
      </w:tblGrid>
      <w:tr>
        <w:tblPrEx>
          <w:tblCellMar>
            <w:top w:w="0" w:type="dxa"/>
            <w:left w:w="108" w:type="dxa"/>
            <w:bottom w:w="0" w:type="dxa"/>
            <w:right w:w="108" w:type="dxa"/>
          </w:tblCellMar>
        </w:tblPrEx>
        <w:trPr>
          <w:trHeight w:val="454" w:hRule="atLeast"/>
        </w:trPr>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序号</w:t>
            </w:r>
          </w:p>
        </w:tc>
        <w:tc>
          <w:tcPr>
            <w:tcW w:w="4394"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名称</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数量</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单位</w:t>
            </w:r>
          </w:p>
        </w:tc>
      </w:tr>
      <w:tr>
        <w:tblPrEx>
          <w:tblCellMar>
            <w:top w:w="0" w:type="dxa"/>
            <w:left w:w="108" w:type="dxa"/>
            <w:bottom w:w="0" w:type="dxa"/>
            <w:right w:w="108" w:type="dxa"/>
          </w:tblCellMar>
        </w:tblPrEx>
        <w:trPr>
          <w:trHeight w:val="454" w:hRule="atLeast"/>
        </w:trPr>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4394"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官网应用服务器</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r>
    </w:tbl>
    <w:p>
      <w:pPr>
        <w:pStyle w:val="6"/>
        <w:rPr>
          <w:color w:val="auto"/>
          <w:highlight w:val="none"/>
        </w:rPr>
      </w:pPr>
      <w:r>
        <w:rPr>
          <w:rFonts w:hint="eastAsia"/>
          <w:color w:val="auto"/>
          <w:highlight w:val="none"/>
        </w:rPr>
        <w:t>3.5</w:t>
      </w:r>
      <w:r>
        <w:rPr>
          <w:color w:val="auto"/>
          <w:highlight w:val="none"/>
        </w:rPr>
        <w:t>.2</w:t>
      </w:r>
      <w:r>
        <w:rPr>
          <w:rFonts w:hint="eastAsia"/>
          <w:color w:val="auto"/>
          <w:highlight w:val="none"/>
        </w:rPr>
        <w:t>技术要求</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规格：2U机架式服务器，国产品牌，国内生产和制造；</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处理器：本次配置≥1颗Intel Xeon Silver 4208 8C 85W 2.1GHz 处理器，可选最大可支持至2颗26核处理器；</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内存：配置≥4*32GB TruDDR4 2933MHz内存，最大支持16根内存插槽；</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硬盘：配置≥4块600GB 10K SAS 2.5” SAS 热插拔硬盘；最大支持16个SFF或者14个LFF热插拔硬盘扩展，支持前置直连四个U.2 NVMe SSD硬盘。支持内置两个M.2 且支持RAID 0/1提供ANYBAY技术可切换SAS/SATA/U.2硬盘不用更换背板；</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RAID功能：配置≥1块独立8端口12Gbps SAS/SATA阵列卡,1GB缓存，支持RAID0,1，5,10；</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网卡和HBA卡：主板集成2端口千兆网卡（可通过LOM插槽支持扩展至4个千兆网口，不占用PCI插槽），1个独享的管理端口；</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配件：免工具滑动导轨套件；</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电源：电源输出功率≥750W 热插拔电源模块，单电源，支持1+1冗余；</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冷却系统：最大4个冗余（N+1）热插拔系统风扇，风扇具有优化控制系统控制散热风扇转速，降低噪音， 提高散热效率；</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I/O扩展：最大支持≥6个PCIe 3.0插槽，配置前置USB口用以连接手机管理服务器（可提供移动应用中的与操作面板类似的功能），配置≥2个后置USB 3.0接口；</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服务要求：提供原厂3年7x24 售后支持服务，提供原厂基础安装服务；可靠性：</w:t>
      </w:r>
      <w:r>
        <w:rPr>
          <w:rFonts w:hint="eastAsia" w:ascii="宋体" w:hAnsi="宋体" w:eastAsia="宋体"/>
          <w:b/>
          <w:bCs/>
          <w:color w:val="auto"/>
          <w:sz w:val="21"/>
          <w:szCs w:val="21"/>
          <w:highlight w:val="none"/>
        </w:rPr>
        <w:t>提供样品平均无故障时间不低于150000小时产品检验合格证书。</w:t>
      </w:r>
    </w:p>
    <w:p>
      <w:pPr>
        <w:pStyle w:val="5"/>
        <w:keepNext/>
        <w:keepLines/>
        <w:pageBreakBefore w:val="0"/>
        <w:widowControl w:val="0"/>
        <w:kinsoku/>
        <w:wordWrap/>
        <w:overflowPunct/>
        <w:topLinePunct w:val="0"/>
        <w:autoSpaceDE/>
        <w:autoSpaceDN/>
        <w:bidi w:val="0"/>
        <w:adjustRightInd/>
        <w:snapToGrid/>
        <w:ind w:firstLine="0"/>
        <w:jc w:val="left"/>
        <w:textAlignment w:val="auto"/>
        <w:rPr>
          <w:rFonts w:hint="eastAsia" w:ascii="宋体" w:hAnsi="宋体" w:eastAsia="宋体" w:cs="宋体"/>
          <w:color w:val="auto"/>
          <w:sz w:val="28"/>
          <w:szCs w:val="28"/>
          <w:highlight w:val="none"/>
        </w:rPr>
      </w:pPr>
      <w:bookmarkStart w:id="107" w:name="_Toc23794"/>
      <w:bookmarkStart w:id="108" w:name="_Toc16622"/>
      <w:r>
        <w:rPr>
          <w:rFonts w:hint="eastAsia" w:ascii="宋体" w:hAnsi="宋体" w:eastAsia="宋体" w:cs="宋体"/>
          <w:color w:val="auto"/>
          <w:sz w:val="28"/>
          <w:szCs w:val="28"/>
          <w:highlight w:val="none"/>
        </w:rPr>
        <w:t>3.6信息配套</w:t>
      </w:r>
      <w:bookmarkEnd w:id="107"/>
      <w:bookmarkEnd w:id="108"/>
    </w:p>
    <w:p>
      <w:pPr>
        <w:pStyle w:val="6"/>
        <w:rPr>
          <w:color w:val="auto"/>
          <w:highlight w:val="none"/>
        </w:rPr>
      </w:pPr>
      <w:r>
        <w:rPr>
          <w:rFonts w:hint="eastAsia"/>
          <w:color w:val="auto"/>
          <w:highlight w:val="none"/>
        </w:rPr>
        <w:t>3.6</w:t>
      </w:r>
      <w:r>
        <w:rPr>
          <w:color w:val="auto"/>
          <w:highlight w:val="none"/>
        </w:rPr>
        <w:t>.1</w:t>
      </w:r>
      <w:r>
        <w:rPr>
          <w:rFonts w:hint="eastAsia"/>
          <w:color w:val="auto"/>
          <w:highlight w:val="none"/>
        </w:rPr>
        <w:t>产品数量</w:t>
      </w:r>
    </w:p>
    <w:tbl>
      <w:tblPr>
        <w:tblStyle w:val="23"/>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5245"/>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序号</w:t>
            </w:r>
          </w:p>
        </w:tc>
        <w:tc>
          <w:tcPr>
            <w:tcW w:w="5245" w:type="dxa"/>
            <w:shd w:val="clear" w:color="auto" w:fill="auto"/>
            <w:vAlign w:val="center"/>
          </w:tcPr>
          <w:p>
            <w:pPr>
              <w:widowControl/>
              <w:rPr>
                <w:rFonts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名称</w:t>
            </w:r>
          </w:p>
        </w:tc>
        <w:tc>
          <w:tcPr>
            <w:tcW w:w="1134"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数量</w:t>
            </w:r>
          </w:p>
        </w:tc>
        <w:tc>
          <w:tcPr>
            <w:tcW w:w="1134"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5245" w:type="dxa"/>
            <w:shd w:val="clear" w:color="auto" w:fill="auto"/>
            <w:vAlign w:val="center"/>
          </w:tcPr>
          <w:p>
            <w:pPr>
              <w:widowControl/>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核心交换机</w:t>
            </w:r>
          </w:p>
        </w:tc>
        <w:tc>
          <w:tcPr>
            <w:tcW w:w="1134"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134"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5245" w:type="dxa"/>
            <w:shd w:val="clear" w:color="auto" w:fill="auto"/>
            <w:vAlign w:val="center"/>
          </w:tcPr>
          <w:p>
            <w:pPr>
              <w:widowControl/>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汇聚交换机</w:t>
            </w:r>
          </w:p>
        </w:tc>
        <w:tc>
          <w:tcPr>
            <w:tcW w:w="1134"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134"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5245" w:type="dxa"/>
            <w:shd w:val="clear" w:color="auto" w:fill="auto"/>
            <w:vAlign w:val="center"/>
          </w:tcPr>
          <w:p>
            <w:pPr>
              <w:widowControl/>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接入交换机</w:t>
            </w:r>
          </w:p>
        </w:tc>
        <w:tc>
          <w:tcPr>
            <w:tcW w:w="1134"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1134"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shd w:val="clear" w:color="auto" w:fill="auto"/>
            <w:vAlign w:val="center"/>
          </w:tcPr>
          <w:p>
            <w:pPr>
              <w:widowControl/>
              <w:jc w:val="center"/>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4</w:t>
            </w:r>
          </w:p>
        </w:tc>
        <w:tc>
          <w:tcPr>
            <w:tcW w:w="5245" w:type="dxa"/>
            <w:shd w:val="clear" w:color="auto" w:fill="auto"/>
            <w:vAlign w:val="center"/>
          </w:tcPr>
          <w:p>
            <w:pPr>
              <w:widowControl/>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存储硬盘框</w:t>
            </w:r>
          </w:p>
        </w:tc>
        <w:tc>
          <w:tcPr>
            <w:tcW w:w="1134" w:type="dxa"/>
            <w:shd w:val="clear" w:color="auto" w:fill="auto"/>
            <w:vAlign w:val="center"/>
          </w:tcPr>
          <w:p>
            <w:pPr>
              <w:widowControl/>
              <w:jc w:val="center"/>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1</w:t>
            </w:r>
          </w:p>
        </w:tc>
        <w:tc>
          <w:tcPr>
            <w:tcW w:w="1134"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shd w:val="clear" w:color="auto" w:fill="auto"/>
            <w:vAlign w:val="center"/>
          </w:tcPr>
          <w:p>
            <w:pPr>
              <w:widowControl/>
              <w:jc w:val="center"/>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5</w:t>
            </w:r>
          </w:p>
        </w:tc>
        <w:tc>
          <w:tcPr>
            <w:tcW w:w="5245" w:type="dxa"/>
            <w:shd w:val="clear" w:color="auto" w:fill="auto"/>
            <w:vAlign w:val="center"/>
          </w:tcPr>
          <w:p>
            <w:pPr>
              <w:widowControl/>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存储硬盘 </w:t>
            </w:r>
            <w:r>
              <w:rPr>
                <w:rFonts w:ascii="宋体" w:hAnsi="宋体" w:eastAsia="宋体" w:cs="宋体"/>
                <w:color w:val="auto"/>
                <w:kern w:val="0"/>
                <w:sz w:val="21"/>
                <w:szCs w:val="21"/>
                <w:highlight w:val="none"/>
              </w:rPr>
              <w:t>10T</w:t>
            </w:r>
          </w:p>
        </w:tc>
        <w:tc>
          <w:tcPr>
            <w:tcW w:w="1134" w:type="dxa"/>
            <w:shd w:val="clear" w:color="auto" w:fill="auto"/>
            <w:vAlign w:val="center"/>
          </w:tcPr>
          <w:p>
            <w:pPr>
              <w:widowControl/>
              <w:jc w:val="center"/>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2</w:t>
            </w:r>
          </w:p>
        </w:tc>
        <w:tc>
          <w:tcPr>
            <w:tcW w:w="1134"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shd w:val="clear" w:color="auto" w:fill="auto"/>
            <w:vAlign w:val="center"/>
          </w:tcPr>
          <w:p>
            <w:pPr>
              <w:widowControl/>
              <w:jc w:val="center"/>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6</w:t>
            </w:r>
          </w:p>
        </w:tc>
        <w:tc>
          <w:tcPr>
            <w:tcW w:w="5245" w:type="dxa"/>
            <w:shd w:val="clear" w:color="auto" w:fill="auto"/>
            <w:vAlign w:val="center"/>
          </w:tcPr>
          <w:p>
            <w:pPr>
              <w:widowControl/>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UPS不间断电源</w:t>
            </w:r>
          </w:p>
        </w:tc>
        <w:tc>
          <w:tcPr>
            <w:tcW w:w="1134"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134"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w:t>
            </w:r>
          </w:p>
        </w:tc>
        <w:tc>
          <w:tcPr>
            <w:tcW w:w="5245" w:type="dxa"/>
            <w:shd w:val="clear" w:color="auto" w:fill="auto"/>
            <w:vAlign w:val="center"/>
          </w:tcPr>
          <w:p>
            <w:pPr>
              <w:widowControl/>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数据库维护</w:t>
            </w:r>
          </w:p>
        </w:tc>
        <w:tc>
          <w:tcPr>
            <w:tcW w:w="1134" w:type="dxa"/>
            <w:shd w:val="clear" w:color="auto" w:fill="auto"/>
            <w:vAlign w:val="center"/>
          </w:tcPr>
          <w:p>
            <w:pPr>
              <w:widowControl/>
              <w:jc w:val="center"/>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3</w:t>
            </w:r>
          </w:p>
        </w:tc>
        <w:tc>
          <w:tcPr>
            <w:tcW w:w="1134"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年</w:t>
            </w:r>
          </w:p>
        </w:tc>
      </w:tr>
    </w:tbl>
    <w:p>
      <w:pPr>
        <w:pStyle w:val="6"/>
        <w:rPr>
          <w:color w:val="auto"/>
          <w:highlight w:val="none"/>
        </w:rPr>
      </w:pPr>
      <w:r>
        <w:rPr>
          <w:rFonts w:hint="eastAsia"/>
          <w:color w:val="auto"/>
          <w:highlight w:val="none"/>
        </w:rPr>
        <w:t>3.6</w:t>
      </w:r>
      <w:r>
        <w:rPr>
          <w:color w:val="auto"/>
          <w:highlight w:val="none"/>
        </w:rPr>
        <w:t>.2</w:t>
      </w:r>
      <w:r>
        <w:rPr>
          <w:rFonts w:hint="eastAsia"/>
          <w:color w:val="auto"/>
          <w:highlight w:val="none"/>
        </w:rPr>
        <w:t>技术要求</w:t>
      </w:r>
    </w:p>
    <w:p>
      <w:pPr>
        <w:spacing w:line="360" w:lineRule="auto"/>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（1）核心交换机</w:t>
      </w:r>
    </w:p>
    <w:p>
      <w:pPr>
        <w:spacing w:line="360" w:lineRule="auto"/>
        <w:ind w:firstLine="420" w:firstLineChars="20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交换容量≥ 384Tbps（以官网最小值为准）；</w:t>
      </w:r>
    </w:p>
    <w:p>
      <w:pPr>
        <w:spacing w:line="360" w:lineRule="auto"/>
        <w:ind w:firstLine="420" w:firstLineChars="20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包转发率≥ 72000Mpps（以官网最小值为准）；</w:t>
      </w:r>
    </w:p>
    <w:p>
      <w:pPr>
        <w:spacing w:line="360" w:lineRule="auto"/>
        <w:ind w:firstLine="420" w:firstLineChars="20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正交CLOS架构，双主控；（要求提供官网彩页并加盖公章作为证明材料）</w:t>
      </w:r>
    </w:p>
    <w:p>
      <w:pPr>
        <w:spacing w:line="360" w:lineRule="auto"/>
        <w:ind w:firstLine="420" w:firstLineChars="20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业务板槽位数≥</w:t>
      </w:r>
      <w:r>
        <w:rPr>
          <w:rFonts w:ascii="宋体" w:hAnsi="宋体" w:eastAsia="宋体" w:cs="仿宋"/>
          <w:color w:val="auto"/>
          <w:sz w:val="21"/>
          <w:szCs w:val="21"/>
          <w:highlight w:val="none"/>
        </w:rPr>
        <w:t>6，</w:t>
      </w:r>
      <w:r>
        <w:rPr>
          <w:rFonts w:hint="eastAsia" w:ascii="宋体" w:hAnsi="宋体" w:eastAsia="宋体" w:cs="仿宋"/>
          <w:color w:val="auto"/>
          <w:sz w:val="21"/>
          <w:szCs w:val="21"/>
          <w:highlight w:val="none"/>
        </w:rPr>
        <w:t>交换网板槽位数≥5（其中独立交换网模块槽位数≥3）；（提供不限于官网彩页或检测报告等证明材料）</w:t>
      </w:r>
    </w:p>
    <w:p>
      <w:pPr>
        <w:spacing w:line="360" w:lineRule="auto"/>
        <w:ind w:firstLine="420" w:firstLineChars="20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提供≥1块48端口千兆以太网电接口模块，≥1块48端口万兆以太网光接口模块（提供≥</w:t>
      </w:r>
      <w:r>
        <w:rPr>
          <w:rFonts w:ascii="宋体" w:hAnsi="宋体" w:eastAsia="宋体" w:cs="仿宋"/>
          <w:color w:val="auto"/>
          <w:sz w:val="21"/>
          <w:szCs w:val="21"/>
          <w:highlight w:val="none"/>
        </w:rPr>
        <w:t>24</w:t>
      </w:r>
      <w:r>
        <w:rPr>
          <w:rFonts w:hint="eastAsia" w:ascii="宋体" w:hAnsi="宋体" w:eastAsia="宋体" w:cs="仿宋"/>
          <w:color w:val="auto"/>
          <w:sz w:val="21"/>
          <w:szCs w:val="21"/>
          <w:highlight w:val="none"/>
        </w:rPr>
        <w:t>个万兆多模光模块、≥</w:t>
      </w:r>
      <w:r>
        <w:rPr>
          <w:rFonts w:ascii="宋体" w:hAnsi="宋体" w:eastAsia="宋体" w:cs="仿宋"/>
          <w:color w:val="auto"/>
          <w:sz w:val="21"/>
          <w:szCs w:val="21"/>
          <w:highlight w:val="none"/>
        </w:rPr>
        <w:t>24</w:t>
      </w:r>
      <w:r>
        <w:rPr>
          <w:rFonts w:hint="eastAsia" w:ascii="宋体" w:hAnsi="宋体" w:eastAsia="宋体" w:cs="仿宋"/>
          <w:color w:val="auto"/>
          <w:sz w:val="21"/>
          <w:szCs w:val="21"/>
          <w:highlight w:val="none"/>
        </w:rPr>
        <w:t>个万兆单模光模块）；</w:t>
      </w:r>
    </w:p>
    <w:p>
      <w:pPr>
        <w:pStyle w:val="22"/>
        <w:ind w:firstLine="480"/>
        <w:rPr>
          <w:rFonts w:hint="eastAsia"/>
          <w:color w:val="auto"/>
          <w:sz w:val="21"/>
          <w:szCs w:val="21"/>
          <w:highlight w:val="none"/>
        </w:rPr>
      </w:pPr>
      <w:r>
        <w:rPr>
          <w:rFonts w:hint="eastAsia"/>
          <w:color w:val="auto"/>
          <w:sz w:val="21"/>
          <w:szCs w:val="21"/>
          <w:highlight w:val="none"/>
        </w:rPr>
        <w:t>支持上网</w:t>
      </w:r>
      <w:r>
        <w:rPr>
          <w:color w:val="auto"/>
          <w:sz w:val="21"/>
          <w:szCs w:val="21"/>
          <w:highlight w:val="none"/>
        </w:rPr>
        <w:t>行为管理、流量控制等应用硬件插卡（</w:t>
      </w:r>
      <w:r>
        <w:rPr>
          <w:rFonts w:hint="eastAsia" w:ascii="宋体" w:hAnsi="宋体" w:eastAsia="宋体" w:cs="仿宋"/>
          <w:color w:val="auto"/>
          <w:sz w:val="21"/>
          <w:szCs w:val="21"/>
          <w:highlight w:val="none"/>
        </w:rPr>
        <w:t>提供不限于官网彩页或检测报告等证明材料</w:t>
      </w:r>
      <w:r>
        <w:rPr>
          <w:color w:val="auto"/>
          <w:sz w:val="21"/>
          <w:szCs w:val="21"/>
          <w:highlight w:val="none"/>
        </w:rPr>
        <w:t>）</w:t>
      </w:r>
    </w:p>
    <w:p>
      <w:pPr>
        <w:spacing w:line="360" w:lineRule="auto"/>
        <w:ind w:firstLine="420" w:firstLineChars="20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支持VxLAN 网关，支持基于IPv4/IPv6的VxLAN二三层互通；</w:t>
      </w:r>
    </w:p>
    <w:p>
      <w:pPr>
        <w:spacing w:line="360" w:lineRule="auto"/>
        <w:ind w:firstLine="420" w:firstLineChars="20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支持静态路由、RIP、OSPF、IS-IS、BGP4等、支持等价路由、策略路由、路由策略；</w:t>
      </w:r>
    </w:p>
    <w:p>
      <w:pPr>
        <w:spacing w:line="360" w:lineRule="auto"/>
        <w:ind w:firstLine="420" w:firstLineChars="200"/>
        <w:rPr>
          <w:rFonts w:ascii="宋体"/>
          <w:color w:val="auto"/>
          <w:sz w:val="21"/>
          <w:szCs w:val="21"/>
          <w:highlight w:val="none"/>
        </w:rPr>
      </w:pPr>
      <w:r>
        <w:rPr>
          <w:rFonts w:hint="eastAsia" w:ascii="宋体" w:hAnsi="宋体" w:eastAsia="宋体" w:cs="仿宋"/>
          <w:color w:val="auto"/>
          <w:sz w:val="21"/>
          <w:szCs w:val="21"/>
          <w:highlight w:val="none"/>
        </w:rPr>
        <w:t>支持融合无线控制器功能，无需额外配置单独硬件，在交换机上实现对AP 的接入控制和管理，有线无线用户的统一认证管理；</w:t>
      </w:r>
      <w:r>
        <w:rPr>
          <w:rFonts w:hint="eastAsia" w:ascii="宋体"/>
          <w:color w:val="auto"/>
          <w:sz w:val="21"/>
          <w:szCs w:val="21"/>
          <w:highlight w:val="none"/>
        </w:rPr>
        <w:t>（提供不限于官网彩页或检测报告等证明材料）</w:t>
      </w:r>
    </w:p>
    <w:p>
      <w:pPr>
        <w:spacing w:line="360" w:lineRule="auto"/>
        <w:ind w:firstLine="420" w:firstLineChars="200"/>
        <w:rPr>
          <w:rFonts w:hint="eastAsia" w:ascii="宋体" w:hAnsi="宋体" w:eastAsia="宋体" w:cs="仿宋"/>
          <w:color w:val="auto"/>
          <w:sz w:val="21"/>
          <w:szCs w:val="21"/>
          <w:highlight w:val="none"/>
        </w:rPr>
      </w:pPr>
      <w:r>
        <w:rPr>
          <w:rFonts w:hint="eastAsia" w:ascii="宋体" w:hAnsi="宋体" w:eastAsia="宋体" w:cs="仿宋"/>
          <w:color w:val="auto"/>
          <w:sz w:val="21"/>
          <w:szCs w:val="21"/>
          <w:highlight w:val="none"/>
        </w:rPr>
        <w:t>内置智能管理功能，支持通过图形化界面设备配置及命令一键下发和版本智能升级（提供不限于官网彩页或检测报告等证明材料）</w:t>
      </w:r>
    </w:p>
    <w:p>
      <w:pPr>
        <w:spacing w:line="360" w:lineRule="auto"/>
        <w:ind w:firstLine="420" w:firstLineChars="20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支持4框虚拟化技术；</w:t>
      </w:r>
    </w:p>
    <w:p>
      <w:pPr>
        <w:spacing w:line="360" w:lineRule="auto"/>
        <w:ind w:firstLine="420" w:firstLineChars="20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支持流量可视化功能；</w:t>
      </w:r>
    </w:p>
    <w:p>
      <w:pPr>
        <w:spacing w:line="360" w:lineRule="auto"/>
        <w:ind w:firstLine="420" w:firstLineChars="20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提供冗余电源，≥4个1200</w:t>
      </w:r>
      <w:r>
        <w:rPr>
          <w:rFonts w:ascii="宋体" w:hAnsi="宋体" w:eastAsia="宋体" w:cs="仿宋"/>
          <w:color w:val="auto"/>
          <w:sz w:val="21"/>
          <w:szCs w:val="21"/>
          <w:highlight w:val="none"/>
        </w:rPr>
        <w:t>W</w:t>
      </w:r>
      <w:r>
        <w:rPr>
          <w:rFonts w:hint="eastAsia" w:ascii="宋体" w:hAnsi="宋体" w:eastAsia="宋体" w:cs="仿宋"/>
          <w:color w:val="auto"/>
          <w:sz w:val="21"/>
          <w:szCs w:val="21"/>
          <w:highlight w:val="none"/>
        </w:rPr>
        <w:t>交流电源模块；</w:t>
      </w:r>
    </w:p>
    <w:p>
      <w:pPr>
        <w:spacing w:line="360" w:lineRule="auto"/>
        <w:ind w:firstLine="420" w:firstLineChars="20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提供冗余风扇，拔出一块风扇，系统温度保持正常。</w:t>
      </w:r>
    </w:p>
    <w:p>
      <w:pPr>
        <w:spacing w:line="360" w:lineRule="auto"/>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（2）汇聚交换机</w:t>
      </w:r>
    </w:p>
    <w:p>
      <w:pPr>
        <w:spacing w:line="360" w:lineRule="auto"/>
        <w:ind w:firstLine="420" w:firstLineChars="20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高度1U，固定接口交换机</w:t>
      </w:r>
    </w:p>
    <w:p>
      <w:pPr>
        <w:spacing w:line="360" w:lineRule="auto"/>
        <w:ind w:firstLine="420" w:firstLineChars="20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交换容量≥2.56Tbps（以官网最小值为准）</w:t>
      </w:r>
    </w:p>
    <w:p>
      <w:pPr>
        <w:spacing w:line="360" w:lineRule="auto"/>
        <w:ind w:firstLine="420" w:firstLineChars="20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包转发率≥1080Mpps（以官网最小值为准）</w:t>
      </w:r>
    </w:p>
    <w:p>
      <w:pPr>
        <w:spacing w:line="360" w:lineRule="auto"/>
        <w:ind w:firstLine="420" w:firstLineChars="20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实配10 GE 光接口≥48个（提供≥</w:t>
      </w:r>
      <w:r>
        <w:rPr>
          <w:rFonts w:ascii="宋体" w:hAnsi="宋体" w:eastAsia="宋体" w:cs="仿宋"/>
          <w:color w:val="auto"/>
          <w:sz w:val="21"/>
          <w:szCs w:val="21"/>
          <w:highlight w:val="none"/>
        </w:rPr>
        <w:t>24</w:t>
      </w:r>
      <w:r>
        <w:rPr>
          <w:rFonts w:hint="eastAsia" w:ascii="宋体" w:hAnsi="宋体" w:eastAsia="宋体" w:cs="仿宋"/>
          <w:color w:val="auto"/>
          <w:sz w:val="21"/>
          <w:szCs w:val="21"/>
          <w:highlight w:val="none"/>
        </w:rPr>
        <w:t>个万兆多模光模块），40 GE光接口≥2个，扩展插槽≥2个，要求设备支持防火墙插卡支持IPv4静态路由、RIP、OSPF、ISIS、BGP</w:t>
      </w:r>
    </w:p>
    <w:p>
      <w:pPr>
        <w:spacing w:line="360" w:lineRule="auto"/>
        <w:ind w:firstLine="420" w:firstLineChars="20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支持CPU保护功能</w:t>
      </w:r>
    </w:p>
    <w:p>
      <w:pPr>
        <w:spacing w:line="360" w:lineRule="auto"/>
        <w:ind w:firstLine="420" w:firstLineChars="20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支持基于端口的VLAN，支持基于协议的VLAN；支持基于MAC的VLAN</w:t>
      </w:r>
    </w:p>
    <w:p>
      <w:pPr>
        <w:spacing w:line="360" w:lineRule="auto"/>
        <w:ind w:firstLine="420" w:firstLineChars="20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冗余电源、风扇。</w:t>
      </w:r>
    </w:p>
    <w:p>
      <w:pPr>
        <w:spacing w:line="360" w:lineRule="auto"/>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（3）接入交换机</w:t>
      </w:r>
    </w:p>
    <w:p>
      <w:pPr>
        <w:spacing w:line="360" w:lineRule="auto"/>
        <w:ind w:firstLine="420" w:firstLineChars="20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高度1U，固定接口交换机</w:t>
      </w:r>
    </w:p>
    <w:p>
      <w:pPr>
        <w:spacing w:line="360" w:lineRule="auto"/>
        <w:ind w:firstLine="420" w:firstLineChars="20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交换容量≥</w:t>
      </w:r>
      <w:r>
        <w:rPr>
          <w:rFonts w:ascii="宋体" w:hAnsi="宋体" w:eastAsia="宋体" w:cs="仿宋"/>
          <w:color w:val="auto"/>
          <w:sz w:val="21"/>
          <w:szCs w:val="21"/>
          <w:highlight w:val="none"/>
        </w:rPr>
        <w:t>1.28Tbps</w:t>
      </w:r>
      <w:r>
        <w:rPr>
          <w:rFonts w:hint="eastAsia" w:ascii="宋体" w:hAnsi="宋体" w:eastAsia="宋体" w:cs="仿宋"/>
          <w:color w:val="auto"/>
          <w:sz w:val="21"/>
          <w:szCs w:val="21"/>
          <w:highlight w:val="none"/>
        </w:rPr>
        <w:t>（以官网最小值为准）</w:t>
      </w:r>
    </w:p>
    <w:p>
      <w:pPr>
        <w:spacing w:line="360" w:lineRule="auto"/>
        <w:ind w:firstLine="420" w:firstLineChars="20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包转发率≥</w:t>
      </w:r>
      <w:r>
        <w:rPr>
          <w:rFonts w:ascii="宋体" w:hAnsi="宋体" w:eastAsia="宋体" w:cs="仿宋"/>
          <w:color w:val="auto"/>
          <w:sz w:val="21"/>
          <w:szCs w:val="21"/>
          <w:highlight w:val="none"/>
        </w:rPr>
        <w:t>252Mpps</w:t>
      </w:r>
      <w:r>
        <w:rPr>
          <w:rFonts w:hint="eastAsia" w:ascii="宋体" w:hAnsi="宋体" w:eastAsia="宋体" w:cs="仿宋"/>
          <w:color w:val="auto"/>
          <w:sz w:val="21"/>
          <w:szCs w:val="21"/>
          <w:highlight w:val="none"/>
        </w:rPr>
        <w:t>（以官网最小值为准）</w:t>
      </w:r>
    </w:p>
    <w:p>
      <w:pPr>
        <w:spacing w:line="360" w:lineRule="auto"/>
        <w:ind w:firstLine="420" w:firstLineChars="20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提供≥48个1000BASE-T口，≥4个10GE光接口（提供≥4个万兆单模光模块），≥2个40GE 光接口</w:t>
      </w:r>
    </w:p>
    <w:p>
      <w:pPr>
        <w:spacing w:line="360" w:lineRule="auto"/>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（4）存储硬盘框</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SAS硬盘框（4U，交流\240V高压直流，3.5英寸，级联模块，24盘位</w:t>
      </w:r>
      <w:r>
        <w:rPr>
          <w:rFonts w:hint="eastAsia" w:ascii="宋体" w:hAnsi="宋体" w:eastAsia="宋体"/>
          <w:color w:val="auto"/>
          <w:sz w:val="21"/>
          <w:szCs w:val="21"/>
          <w:highlight w:val="none"/>
        </w:rPr>
        <w:t>）</w:t>
      </w:r>
    </w:p>
    <w:p>
      <w:pPr>
        <w:spacing w:line="360" w:lineRule="auto"/>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（5）存储硬盘</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w:t>
      </w:r>
      <w:r>
        <w:rPr>
          <w:rFonts w:ascii="宋体" w:hAnsi="宋体" w:eastAsia="宋体"/>
          <w:color w:val="auto"/>
          <w:sz w:val="21"/>
          <w:szCs w:val="21"/>
          <w:highlight w:val="none"/>
        </w:rPr>
        <w:t>10TB 7.2K RPM NL SAS硬盘单元（3.5")</w:t>
      </w:r>
    </w:p>
    <w:p>
      <w:pPr>
        <w:spacing w:line="360" w:lineRule="auto"/>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w:t>
      </w:r>
      <w:r>
        <w:rPr>
          <w:rFonts w:ascii="宋体" w:hAnsi="宋体" w:eastAsia="宋体"/>
          <w:b/>
          <w:bCs/>
          <w:color w:val="auto"/>
          <w:sz w:val="24"/>
          <w:szCs w:val="24"/>
          <w:highlight w:val="none"/>
        </w:rPr>
        <w:t>6</w:t>
      </w:r>
      <w:r>
        <w:rPr>
          <w:rFonts w:hint="eastAsia" w:ascii="宋体" w:hAnsi="宋体" w:eastAsia="宋体"/>
          <w:b/>
          <w:bCs/>
          <w:color w:val="auto"/>
          <w:sz w:val="24"/>
          <w:szCs w:val="24"/>
          <w:highlight w:val="none"/>
        </w:rPr>
        <w:t>）U</w:t>
      </w:r>
      <w:r>
        <w:rPr>
          <w:rFonts w:ascii="宋体" w:hAnsi="宋体" w:eastAsia="宋体"/>
          <w:b/>
          <w:bCs/>
          <w:color w:val="auto"/>
          <w:sz w:val="24"/>
          <w:szCs w:val="24"/>
          <w:highlight w:val="none"/>
        </w:rPr>
        <w:t>PS</w:t>
      </w:r>
      <w:r>
        <w:rPr>
          <w:rFonts w:hint="eastAsia" w:ascii="宋体" w:hAnsi="宋体" w:eastAsia="宋体"/>
          <w:b/>
          <w:bCs/>
          <w:color w:val="auto"/>
          <w:sz w:val="24"/>
          <w:szCs w:val="24"/>
          <w:highlight w:val="none"/>
        </w:rPr>
        <w:t>不间断电源</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要求UPS为三进三出模块化UPS，支持三进单出和单进单出制式</w:t>
      </w:r>
      <w:r>
        <w:rPr>
          <w:rFonts w:hint="eastAsia" w:ascii="宋体" w:hAnsi="宋体" w:eastAsia="宋体"/>
          <w:color w:val="auto"/>
          <w:sz w:val="21"/>
          <w:szCs w:val="21"/>
          <w:highlight w:val="none"/>
        </w:rPr>
        <w:t>，</w:t>
      </w:r>
      <w:r>
        <w:rPr>
          <w:rFonts w:ascii="宋体" w:hAnsi="宋体" w:eastAsia="宋体"/>
          <w:color w:val="auto"/>
          <w:sz w:val="21"/>
          <w:szCs w:val="21"/>
          <w:highlight w:val="none"/>
        </w:rPr>
        <w:t>模块化机柜满配容量应不小于</w:t>
      </w:r>
      <w:r>
        <w:rPr>
          <w:rFonts w:hint="eastAsia" w:ascii="宋体" w:hAnsi="宋体" w:eastAsia="宋体"/>
          <w:color w:val="auto"/>
          <w:sz w:val="21"/>
          <w:szCs w:val="21"/>
          <w:highlight w:val="none"/>
        </w:rPr>
        <w:t>6</w:t>
      </w:r>
      <w:r>
        <w:rPr>
          <w:rFonts w:ascii="宋体" w:hAnsi="宋体" w:eastAsia="宋体"/>
          <w:color w:val="auto"/>
          <w:sz w:val="21"/>
          <w:szCs w:val="21"/>
          <w:highlight w:val="none"/>
        </w:rPr>
        <w:t>0kVA；功率模块容量要求应</w:t>
      </w:r>
      <w:r>
        <w:rPr>
          <w:rFonts w:hint="eastAsia" w:ascii="宋体" w:hAnsi="宋体" w:eastAsia="宋体"/>
          <w:color w:val="auto"/>
          <w:sz w:val="21"/>
          <w:szCs w:val="21"/>
          <w:highlight w:val="none"/>
        </w:rPr>
        <w:t>不</w:t>
      </w:r>
      <w:r>
        <w:rPr>
          <w:rFonts w:ascii="宋体" w:hAnsi="宋体" w:eastAsia="宋体"/>
          <w:color w:val="auto"/>
          <w:sz w:val="21"/>
          <w:szCs w:val="21"/>
          <w:highlight w:val="none"/>
        </w:rPr>
        <w:t>低于1</w:t>
      </w:r>
      <w:r>
        <w:rPr>
          <w:rFonts w:hint="eastAsia" w:ascii="宋体" w:hAnsi="宋体" w:eastAsia="宋体"/>
          <w:color w:val="auto"/>
          <w:sz w:val="21"/>
          <w:szCs w:val="21"/>
          <w:highlight w:val="none"/>
        </w:rPr>
        <w:t>0</w:t>
      </w:r>
      <w:r>
        <w:rPr>
          <w:rFonts w:ascii="宋体" w:hAnsi="宋体" w:eastAsia="宋体"/>
          <w:color w:val="auto"/>
          <w:sz w:val="21"/>
          <w:szCs w:val="21"/>
          <w:highlight w:val="none"/>
        </w:rPr>
        <w:t>kVA；本次</w:t>
      </w:r>
      <w:r>
        <w:rPr>
          <w:rFonts w:hint="eastAsia" w:ascii="宋体" w:hAnsi="宋体" w:eastAsia="宋体"/>
          <w:color w:val="auto"/>
          <w:sz w:val="21"/>
          <w:szCs w:val="21"/>
          <w:highlight w:val="none"/>
        </w:rPr>
        <w:t>UPS实际</w:t>
      </w:r>
      <w:r>
        <w:rPr>
          <w:rFonts w:ascii="宋体" w:hAnsi="宋体" w:eastAsia="宋体"/>
          <w:color w:val="auto"/>
          <w:sz w:val="21"/>
          <w:szCs w:val="21"/>
          <w:highlight w:val="none"/>
        </w:rPr>
        <w:t>配置</w:t>
      </w:r>
      <w:r>
        <w:rPr>
          <w:rFonts w:hint="eastAsia" w:ascii="宋体" w:hAnsi="宋体" w:eastAsia="宋体"/>
          <w:color w:val="auto"/>
          <w:sz w:val="21"/>
          <w:szCs w:val="21"/>
          <w:highlight w:val="none"/>
        </w:rPr>
        <w:t>6</w:t>
      </w:r>
      <w:r>
        <w:rPr>
          <w:rFonts w:ascii="宋体" w:hAnsi="宋体" w:eastAsia="宋体"/>
          <w:color w:val="auto"/>
          <w:sz w:val="21"/>
          <w:szCs w:val="21"/>
          <w:highlight w:val="none"/>
        </w:rPr>
        <w:t>0kVA</w:t>
      </w:r>
      <w:r>
        <w:rPr>
          <w:rFonts w:hint="eastAsia" w:ascii="宋体" w:hAnsi="宋体" w:eastAsia="宋体"/>
          <w:color w:val="auto"/>
          <w:sz w:val="21"/>
          <w:szCs w:val="21"/>
          <w:highlight w:val="none"/>
        </w:rPr>
        <w:t>。</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UPS应是智能容错模块化机架式UPS电源，模块化设计，实现模块化冗余，支持内置于标准服务器机柜安装，或单独落地安装</w:t>
      </w:r>
      <w:r>
        <w:rPr>
          <w:rFonts w:hint="eastAsia" w:ascii="宋体" w:hAnsi="宋体" w:eastAsia="宋体"/>
          <w:color w:val="auto"/>
          <w:sz w:val="21"/>
          <w:szCs w:val="21"/>
          <w:highlight w:val="none"/>
        </w:rPr>
        <w:t>。</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UPS系统采用分散非主从控制方式，每个功率模块采用独立的双</w:t>
      </w:r>
      <w:r>
        <w:rPr>
          <w:rFonts w:ascii="宋体" w:hAnsi="宋体" w:eastAsia="宋体"/>
          <w:color w:val="auto"/>
          <w:sz w:val="21"/>
          <w:szCs w:val="21"/>
          <w:highlight w:val="none"/>
        </w:rPr>
        <w:t>DSP控制技术，单个模块可独立运行，不依赖集中控制器控制，具备不转旁路热插拔功能，使整个系统独立性增强，互不干扰。</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为保证U</w:t>
      </w:r>
      <w:r>
        <w:rPr>
          <w:rFonts w:ascii="宋体" w:hAnsi="宋体" w:eastAsia="宋体"/>
          <w:color w:val="auto"/>
          <w:sz w:val="21"/>
          <w:szCs w:val="21"/>
          <w:highlight w:val="none"/>
        </w:rPr>
        <w:t>PS</w:t>
      </w:r>
      <w:r>
        <w:rPr>
          <w:rFonts w:hint="eastAsia" w:ascii="宋体" w:hAnsi="宋体" w:eastAsia="宋体"/>
          <w:color w:val="auto"/>
          <w:sz w:val="21"/>
          <w:szCs w:val="21"/>
          <w:highlight w:val="none"/>
        </w:rPr>
        <w:t>产品的高效节能、绿色环保，功率模块效率≥96%（50%负载），以第三方权威机构检测报告为准并加盖公章。</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为避免分散旁路造成旁路环流问题而引发故障，整机采用集中旁路设计。</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模块化U</w:t>
      </w:r>
      <w:r>
        <w:rPr>
          <w:rFonts w:ascii="宋体" w:hAnsi="宋体" w:eastAsia="宋体"/>
          <w:color w:val="auto"/>
          <w:sz w:val="21"/>
          <w:szCs w:val="21"/>
          <w:highlight w:val="none"/>
        </w:rPr>
        <w:t>PS</w:t>
      </w:r>
      <w:r>
        <w:rPr>
          <w:rFonts w:hint="eastAsia" w:ascii="宋体" w:hAnsi="宋体" w:eastAsia="宋体"/>
          <w:color w:val="auto"/>
          <w:sz w:val="21"/>
          <w:szCs w:val="21"/>
          <w:highlight w:val="none"/>
        </w:rPr>
        <w:t>的所有模块包括旁路单元、控制单元、功率单元、充电单元等均须支持在线热插拔，达到所有模块全冗余方式，提升系统高可靠性及高可用性。</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为便于操作和维护，系统显示须采用7英寸及以上LCD大屏幕触摸屏+LED+按键方式。</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系统应采用分散充电设计，每个功率模块应具有独立的充电功能，避免充电器单点故障，提高系统的可靠性；充电功率可进行1～20%的设置。</w:t>
      </w:r>
      <w:r>
        <w:rPr>
          <w:rFonts w:ascii="宋体" w:hAnsi="宋体" w:eastAsia="宋体"/>
          <w:color w:val="auto"/>
          <w:sz w:val="21"/>
          <w:szCs w:val="21"/>
          <w:highlight w:val="none"/>
        </w:rPr>
        <w:t xml:space="preserve"> </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输出电流不均衡度≤0.5%（50%负载）</w:t>
      </w:r>
      <w:r>
        <w:rPr>
          <w:rFonts w:ascii="宋体" w:hAnsi="宋体" w:eastAsia="宋体"/>
          <w:color w:val="auto"/>
          <w:sz w:val="21"/>
          <w:szCs w:val="21"/>
          <w:highlight w:val="none"/>
        </w:rPr>
        <w:t>。</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UPS输出功率因数必须为1（1kVA=1kW），以便与负载完美匹配。</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系统须满足下述过载能力： 125%额定阻性负载＞10分钟后转旁路输出。</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电池组节数可进行±16</w:t>
      </w:r>
      <w:r>
        <w:rPr>
          <w:rFonts w:ascii="宋体" w:hAnsi="宋体" w:eastAsia="宋体"/>
          <w:color w:val="auto"/>
          <w:sz w:val="21"/>
          <w:szCs w:val="21"/>
          <w:highlight w:val="none"/>
        </w:rPr>
        <w:t>～</w:t>
      </w:r>
      <w:r>
        <w:rPr>
          <w:rFonts w:hint="eastAsia" w:ascii="宋体" w:hAnsi="宋体" w:eastAsia="宋体"/>
          <w:color w:val="auto"/>
          <w:sz w:val="21"/>
          <w:szCs w:val="21"/>
          <w:highlight w:val="none"/>
        </w:rPr>
        <w:t>±22节设置，便于未来遭遇个别电池故障需要维护、更换时, 可灵活调节电池节数的需要。</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UPS系统需具有黑匣子功能，全面监控功率模块关键部分参数，实现故障可控可管 ：记录和预警关键部位器件的数据，可设置风扇更换时间到期提示功能，每个模块提供不少于</w:t>
      </w:r>
      <w:r>
        <w:rPr>
          <w:rFonts w:ascii="宋体" w:hAnsi="宋体" w:eastAsia="宋体"/>
          <w:color w:val="auto"/>
          <w:sz w:val="21"/>
          <w:szCs w:val="21"/>
          <w:highlight w:val="none"/>
        </w:rPr>
        <w:t>8</w:t>
      </w:r>
      <w:r>
        <w:rPr>
          <w:rFonts w:hint="eastAsia" w:ascii="宋体" w:hAnsi="宋体" w:eastAsia="宋体"/>
          <w:color w:val="auto"/>
          <w:sz w:val="21"/>
          <w:szCs w:val="21"/>
          <w:highlight w:val="none"/>
        </w:rPr>
        <w:t>个温度监控点，包含</w:t>
      </w:r>
      <w:r>
        <w:rPr>
          <w:rFonts w:ascii="宋体" w:hAnsi="宋体" w:eastAsia="宋体"/>
          <w:color w:val="auto"/>
          <w:sz w:val="21"/>
          <w:szCs w:val="21"/>
          <w:highlight w:val="none"/>
        </w:rPr>
        <w:t>IGBT</w:t>
      </w:r>
      <w:r>
        <w:rPr>
          <w:rFonts w:hint="eastAsia" w:ascii="宋体" w:hAnsi="宋体" w:eastAsia="宋体"/>
          <w:color w:val="auto"/>
          <w:sz w:val="21"/>
          <w:szCs w:val="21"/>
          <w:highlight w:val="none"/>
        </w:rPr>
        <w:t>温度、进风口温度、出风口温度或SCR温度。有故障发生时，能够自动记录该时刻前后一段时间的整流\逆变的波形数据，并可以导出至电脑端生成波形图。</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功率模块采用人性化的编号方法和编号装置，UPS系统可智能识别，无需通过拨码或软件设置。</w:t>
      </w:r>
      <w:r>
        <w:rPr>
          <w:rFonts w:ascii="宋体" w:hAnsi="宋体" w:eastAsia="宋体"/>
          <w:color w:val="auto"/>
          <w:sz w:val="21"/>
          <w:szCs w:val="21"/>
          <w:highlight w:val="none"/>
        </w:rPr>
        <w:t xml:space="preserve"> </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具备智能休眠模式，当模块的负载率小于休眠负载级别时，控制器根据当前负载量来决定进入休眠模式的模块数量，并在根据所设置的轮休时间来进行休眠轮换，以节省能耗真正实现绿色节能，同时提高系统综合使用寿命。</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具备自主老化模式即可进行系统满载测试，省去租用超大负载箱、负载箱工程施工等工作量。</w:t>
      </w:r>
    </w:p>
    <w:p>
      <w:pPr>
        <w:spacing w:line="360" w:lineRule="auto"/>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蓄电池技术要求：</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蓄电池要求满足UPS后备运行不小于1小时， 蓄电池采用≥2组12V100AH、每组≥32节，为了施工安装及后期维护方便，要求蓄电池与UPS统一品牌，并提供投标蓄电池产品的 “泰尔产品认证证书”复印件并</w:t>
      </w:r>
      <w:r>
        <w:rPr>
          <w:rFonts w:ascii="宋体" w:hAnsi="宋体" w:eastAsia="宋体"/>
          <w:color w:val="auto"/>
          <w:sz w:val="21"/>
          <w:szCs w:val="21"/>
          <w:highlight w:val="none"/>
        </w:rPr>
        <w:t xml:space="preserve">加盖公章。 </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每组蓄电池必须配备1个直流开关、规格不低于160A/3P，并配置总直流开关、规格不低于200A/3P。</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蓄电池外观应无变形、无漏液、裂纹及污迹；标识应清晰；正负端子有明显标志，便于连接。</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采用板栅和合金设计，有效抵抗极板腐蚀；卓越的大电流放电特性，可靠的快速充电性能，优越的深度放电恢复能力，确保电池的使用寿命。</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蓄电池密封反应效率：密封反应效率＞</w:t>
      </w:r>
      <w:r>
        <w:rPr>
          <w:rFonts w:ascii="宋体" w:hAnsi="宋体" w:eastAsia="宋体"/>
          <w:color w:val="auto"/>
          <w:sz w:val="21"/>
          <w:szCs w:val="21"/>
          <w:highlight w:val="none"/>
        </w:rPr>
        <w:t>97%，需</w:t>
      </w:r>
      <w:r>
        <w:rPr>
          <w:rFonts w:hint="eastAsia" w:ascii="宋体" w:hAnsi="宋体" w:eastAsia="宋体"/>
          <w:color w:val="auto"/>
          <w:sz w:val="21"/>
          <w:szCs w:val="21"/>
          <w:highlight w:val="none"/>
        </w:rPr>
        <w:t>提供泰尔检测报告并</w:t>
      </w:r>
      <w:r>
        <w:rPr>
          <w:rFonts w:ascii="宋体" w:hAnsi="宋体" w:eastAsia="宋体"/>
          <w:color w:val="auto"/>
          <w:sz w:val="21"/>
          <w:szCs w:val="21"/>
          <w:highlight w:val="none"/>
        </w:rPr>
        <w:t>加盖公章。</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免维护的专业设计，采用高可靠的专业阀控密封式设计，确保电池不漏（渗）液、无酸雾、不腐蚀，并在充电时产生的气体基本被吸收还原成电解液，在使用时无需加水、补液和测量电解液比重。</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安全阀应具有自动开启和自动关闭的功能，其开阀压力应在</w:t>
      </w:r>
      <w:r>
        <w:rPr>
          <w:rFonts w:ascii="宋体" w:hAnsi="宋体" w:eastAsia="宋体"/>
          <w:color w:val="auto"/>
          <w:sz w:val="21"/>
          <w:szCs w:val="21"/>
          <w:highlight w:val="none"/>
        </w:rPr>
        <w:t xml:space="preserve"> 10kPa～35kPa 范围内，闭阀压力应在3kPa～30kPa 范围内，需</w:t>
      </w:r>
      <w:r>
        <w:rPr>
          <w:rFonts w:hint="eastAsia" w:ascii="宋体" w:hAnsi="宋体" w:eastAsia="宋体"/>
          <w:color w:val="auto"/>
          <w:sz w:val="21"/>
          <w:szCs w:val="21"/>
          <w:highlight w:val="none"/>
        </w:rPr>
        <w:t>提供泰尔检测报告并</w:t>
      </w:r>
      <w:r>
        <w:rPr>
          <w:rFonts w:ascii="宋体" w:hAnsi="宋体" w:eastAsia="宋体"/>
          <w:color w:val="auto"/>
          <w:sz w:val="21"/>
          <w:szCs w:val="21"/>
          <w:highlight w:val="none"/>
        </w:rPr>
        <w:t>加盖公章。</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极宽的工作温度范围，电池可以在-20℃～+50℃甚至更宽范围的温度条件下工作，电池的内阻比常规电池小，在-20℃～+50℃的温度范围内进行大电流放电，其输出功率比同规格的传统式开口电池高。</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良好的批量一致性，领先的设计技术和绝佳</w:t>
      </w:r>
      <w:r>
        <w:rPr>
          <w:rFonts w:ascii="宋体" w:hAnsi="宋体" w:eastAsia="宋体"/>
          <w:color w:val="auto"/>
          <w:sz w:val="21"/>
          <w:szCs w:val="21"/>
          <w:highlight w:val="none"/>
        </w:rPr>
        <w:t>的气密性、电压、容量和安全性能检验，保证了大批量生产的电池具有良好的一致性，特别适合于需要多节电池串联使用的场合。</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蓄电池应能承受</w:t>
      </w:r>
      <w:r>
        <w:rPr>
          <w:rFonts w:ascii="宋体" w:hAnsi="宋体" w:eastAsia="宋体"/>
          <w:color w:val="auto"/>
          <w:sz w:val="21"/>
          <w:szCs w:val="21"/>
          <w:highlight w:val="none"/>
        </w:rPr>
        <w:t>50kpa的正压或负压而不开裂、不开胶，压力释放后壳体无残余变形。</w:t>
      </w:r>
    </w:p>
    <w:p>
      <w:pPr>
        <w:spacing w:line="360" w:lineRule="auto"/>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（7）数据库维护</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数据库规划：根据用户目前现状，在充分保护用户已有投资的情况下，对现有系统做全面、整体的规划，提高系统的安全性和可用性，制定出符合实际的数据库实施及运行维护方案，保证用户业务系统正常稳定的运行。</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数据库架构及参数标准化改造：根据官方最佳实践指导及监管要求，进行数据库架构及参数标准化改造，保证院内数据库系统正常，高效稳定的运行。</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数据库漏洞，B</w:t>
      </w:r>
      <w:r>
        <w:rPr>
          <w:rFonts w:ascii="宋体" w:hAnsi="宋体" w:eastAsia="宋体"/>
          <w:color w:val="auto"/>
          <w:sz w:val="21"/>
          <w:szCs w:val="21"/>
          <w:highlight w:val="none"/>
        </w:rPr>
        <w:t xml:space="preserve">UG </w:t>
      </w:r>
      <w:r>
        <w:rPr>
          <w:rFonts w:hint="eastAsia" w:ascii="宋体" w:hAnsi="宋体" w:eastAsia="宋体"/>
          <w:color w:val="auto"/>
          <w:sz w:val="21"/>
          <w:szCs w:val="21"/>
          <w:highlight w:val="none"/>
        </w:rPr>
        <w:t>补丁升级服务：当确认用户需要对数据库进行补丁，升级时，中标方将无偿提供原厂补丁及技术实施服务，解决当前数据库系统存在的错误告警、bug等。</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数据库版本升级服务：目前，随着应用系统优化和系统规模的扩大，中标方根据甲方需求，提供安全、可靠和可行的原厂小版本数据库升级服务。</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定期数据库优化服务：根据采购人实际情况对数据库服务器可能存在的性能问题进行全面的分析、评估和调整，以确定在系统软件层面上存在的主要性能瓶颈和隐患，在性能诊断基础上，对数据库进行性能调优，以提高应用系统的整体性能，优化完成后及时进行跟踪验证，每年的优化频率由甲方根据数据库的运行情况提出，每次的优化效果需得到甲方认可。</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日常维保巡检服务：日常数据库维保由具备OCM认证的工程师完成（服务商中标后实施工程师须得到甲方认可）；针对业务数据库每周1次远程巡检服务；每月</w:t>
      </w:r>
      <w:r>
        <w:rPr>
          <w:rFonts w:ascii="宋体" w:hAnsi="宋体" w:eastAsia="宋体"/>
          <w:color w:val="auto"/>
          <w:sz w:val="21"/>
          <w:szCs w:val="21"/>
          <w:highlight w:val="none"/>
        </w:rPr>
        <w:t>2</w:t>
      </w:r>
      <w:r>
        <w:rPr>
          <w:rFonts w:hint="eastAsia" w:ascii="宋体" w:hAnsi="宋体" w:eastAsia="宋体"/>
          <w:color w:val="auto"/>
          <w:sz w:val="21"/>
          <w:szCs w:val="21"/>
          <w:highlight w:val="none"/>
        </w:rPr>
        <w:t>次现场巡检服务，进行现场指导、解答技术问题；对数据库的运行状态及环境进行检测，解决故障隐患。巡检完毕应出具详细的巡检报告，巡检中除例行巡检外，应检查系统漏洞、隐患及缺陷并予以改正，检查其他可能导致系统正常运行的问题并提出改正指施，必要时协助用户完成。</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故障按照影响程度不同而分为重大故障、紧急故障和一般故障，对于数据库软件出现故障时都应按照相应等级进行响应；重大故障指软件出现报错，日常业务受到影响情况。对于重大故障，一线技术人员在故障发生后的5分钟内向用户报告，并通知二线技术人员立即赶赴事故现场响应，半小时内定位故障，</w:t>
      </w:r>
      <w:r>
        <w:rPr>
          <w:rFonts w:ascii="宋体" w:hAnsi="宋体" w:eastAsia="宋体"/>
          <w:color w:val="auto"/>
          <w:sz w:val="21"/>
          <w:szCs w:val="21"/>
          <w:highlight w:val="none"/>
        </w:rPr>
        <w:t>2</w:t>
      </w:r>
      <w:r>
        <w:rPr>
          <w:rFonts w:hint="eastAsia" w:ascii="宋体" w:hAnsi="宋体" w:eastAsia="宋体"/>
          <w:color w:val="auto"/>
          <w:sz w:val="21"/>
          <w:szCs w:val="21"/>
          <w:highlight w:val="none"/>
        </w:rPr>
        <w:t xml:space="preserve"> 小时内排除故障；紧急故障指软件出现告警，业务可以正常运行，但是性能下降的情况。对于紧急故障，一线技术人员在故障发生后的30 分钟内向用户报告，并立即响应，</w:t>
      </w:r>
      <w:r>
        <w:rPr>
          <w:rFonts w:ascii="宋体" w:hAnsi="宋体" w:eastAsia="宋体"/>
          <w:color w:val="auto"/>
          <w:sz w:val="21"/>
          <w:szCs w:val="21"/>
          <w:highlight w:val="none"/>
        </w:rPr>
        <w:t>1</w:t>
      </w:r>
      <w:r>
        <w:rPr>
          <w:rFonts w:hint="eastAsia" w:ascii="宋体" w:hAnsi="宋体" w:eastAsia="宋体"/>
          <w:color w:val="auto"/>
          <w:sz w:val="21"/>
          <w:szCs w:val="21"/>
          <w:highlight w:val="none"/>
        </w:rPr>
        <w:t xml:space="preserve"> 小时内定位故障，</w:t>
      </w:r>
      <w:r>
        <w:rPr>
          <w:rFonts w:ascii="宋体" w:hAnsi="宋体" w:eastAsia="宋体"/>
          <w:color w:val="auto"/>
          <w:sz w:val="21"/>
          <w:szCs w:val="21"/>
          <w:highlight w:val="none"/>
        </w:rPr>
        <w:t>4</w:t>
      </w:r>
      <w:r>
        <w:rPr>
          <w:rFonts w:hint="eastAsia" w:ascii="宋体" w:hAnsi="宋体" w:eastAsia="宋体"/>
          <w:color w:val="auto"/>
          <w:sz w:val="21"/>
          <w:szCs w:val="21"/>
          <w:highlight w:val="none"/>
        </w:rPr>
        <w:t>小时内排除故障；一般性故障指除重大故障和紧急故障之外的其他故障。对于一般故障，一线技术人员在故障发生后的1 小时内向用户报告，并立即响应，4 小时内定位故障，8小时内解决故障</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数据迁移服务：目前，随着应用系统优化和系统规模的扩大，数据迁移变得越来越复杂，中标方需提供安全、可靠和可行的同版本数据迁移服务。</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数据备份服务：根据所制订的备份策略，提供现场备份指导，并定期检查备份的完整性及可用性。</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备份恢复演练：搭建RMAN备份恢复测试环境，根据生产需求，保证数据库数据的安全，并能在最短时间内恢复故障数据。</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数据库灾备恢复演练服务；配合甲方每年进行灾备切换演练，同时协助甲方每年进行数据恢复演练，演练和恢复的时间与次数遵照甲方安排。</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7</w:t>
      </w:r>
      <w:r>
        <w:rPr>
          <w:rFonts w:ascii="宋体" w:hAnsi="宋体" w:eastAsia="宋体"/>
          <w:color w:val="auto"/>
          <w:sz w:val="21"/>
          <w:szCs w:val="21"/>
          <w:highlight w:val="none"/>
        </w:rPr>
        <w:t>*24</w:t>
      </w:r>
      <w:r>
        <w:rPr>
          <w:rFonts w:hint="eastAsia" w:ascii="宋体" w:hAnsi="宋体" w:eastAsia="宋体"/>
          <w:color w:val="auto"/>
          <w:sz w:val="21"/>
          <w:szCs w:val="21"/>
          <w:highlight w:val="none"/>
        </w:rPr>
        <w:t>小时数据库热线支持服务：为保证对服务需求的响应时间，服务商一年365 天全天候安排至少2-3名资深DBA工程师7 x 24 小时电话值班，解决用户数据库技术问题。特殊时期的现场支持服务：根据实际情况，如新系统上线，系统迁移，重大事件，操作系统变更等，由具有O</w:t>
      </w:r>
      <w:r>
        <w:rPr>
          <w:rFonts w:ascii="宋体" w:hAnsi="宋体" w:eastAsia="宋体"/>
          <w:color w:val="auto"/>
          <w:sz w:val="21"/>
          <w:szCs w:val="21"/>
          <w:highlight w:val="none"/>
        </w:rPr>
        <w:t xml:space="preserve">CM </w:t>
      </w:r>
      <w:r>
        <w:rPr>
          <w:rFonts w:hint="eastAsia" w:ascii="宋体" w:hAnsi="宋体" w:eastAsia="宋体"/>
          <w:color w:val="auto"/>
          <w:sz w:val="21"/>
          <w:szCs w:val="21"/>
          <w:highlight w:val="none"/>
        </w:rPr>
        <w:t>认证的DBA工程师提供专门的事前隐患检查和现场保障支持服务，以保证数据库在重要时期内不出现严重的故障，全年现场保障的时间完全遵守甲方时间安排。</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高可用验收方案：新增存储、服务器等硬件设备，进行数据规划时，可提供完善的存储验收方案及数据库高可用验收方案。</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数据库咨询与方案建议：结合实际生产情况，提供数据库项目规划、技术支持、风险预警、工程实施、产品咨询等方案。</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数据库培训：每年根据甲方的培训需求，为用户提供全套O</w:t>
      </w:r>
      <w:r>
        <w:rPr>
          <w:rFonts w:ascii="宋体" w:hAnsi="宋体" w:eastAsia="宋体"/>
          <w:color w:val="auto"/>
          <w:sz w:val="21"/>
          <w:szCs w:val="21"/>
          <w:highlight w:val="none"/>
        </w:rPr>
        <w:t xml:space="preserve">RACLE </w:t>
      </w:r>
      <w:r>
        <w:rPr>
          <w:rFonts w:hint="eastAsia" w:ascii="宋体" w:hAnsi="宋体" w:eastAsia="宋体"/>
          <w:color w:val="auto"/>
          <w:sz w:val="21"/>
          <w:szCs w:val="21"/>
          <w:highlight w:val="none"/>
        </w:rPr>
        <w:t>数据库体系化培训课程（现场或网课），共享技术知识积累资料。</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服务响应：对需要支持人员到达现场的情况，后台支持人员必须在1小时内到达。工程师到达现场后，要及时解决问题（在4 小时内），对于一些重大故障，如由于中标人能力有限不能在采购人要求的时间内修复故障时，采购人有权请其它专业服务公司进行紧急处理，所发生费用由中标人承担。</w:t>
      </w:r>
    </w:p>
    <w:p>
      <w:pPr>
        <w:pStyle w:val="5"/>
        <w:keepNext/>
        <w:keepLines/>
        <w:pageBreakBefore w:val="0"/>
        <w:widowControl w:val="0"/>
        <w:kinsoku/>
        <w:wordWrap/>
        <w:overflowPunct/>
        <w:topLinePunct w:val="0"/>
        <w:autoSpaceDE/>
        <w:autoSpaceDN/>
        <w:bidi w:val="0"/>
        <w:adjustRightInd/>
        <w:snapToGrid/>
        <w:ind w:firstLine="0"/>
        <w:jc w:val="left"/>
        <w:textAlignment w:val="auto"/>
        <w:rPr>
          <w:rFonts w:hint="eastAsia" w:ascii="宋体" w:hAnsi="宋体" w:eastAsia="宋体" w:cs="宋体"/>
          <w:color w:val="auto"/>
          <w:sz w:val="28"/>
          <w:szCs w:val="28"/>
          <w:highlight w:val="none"/>
        </w:rPr>
      </w:pPr>
      <w:bookmarkStart w:id="109" w:name="_Toc22714"/>
      <w:bookmarkStart w:id="110" w:name="_Toc20173"/>
      <w:r>
        <w:rPr>
          <w:rFonts w:hint="eastAsia" w:ascii="宋体" w:hAnsi="宋体" w:eastAsia="宋体" w:cs="宋体"/>
          <w:color w:val="auto"/>
          <w:sz w:val="28"/>
          <w:szCs w:val="28"/>
          <w:highlight w:val="none"/>
        </w:rPr>
        <w:t>3.7安全设备加固</w:t>
      </w:r>
      <w:bookmarkEnd w:id="109"/>
      <w:bookmarkEnd w:id="110"/>
    </w:p>
    <w:p>
      <w:pPr>
        <w:pStyle w:val="6"/>
        <w:rPr>
          <w:color w:val="auto"/>
          <w:highlight w:val="none"/>
        </w:rPr>
      </w:pPr>
      <w:r>
        <w:rPr>
          <w:rFonts w:hint="eastAsia"/>
          <w:color w:val="auto"/>
          <w:highlight w:val="none"/>
        </w:rPr>
        <w:t>3.7.1产品数量</w:t>
      </w:r>
    </w:p>
    <w:tbl>
      <w:tblPr>
        <w:tblStyle w:val="23"/>
        <w:tblW w:w="8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5103"/>
        <w:gridCol w:w="993"/>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序号</w:t>
            </w:r>
          </w:p>
        </w:tc>
        <w:tc>
          <w:tcPr>
            <w:tcW w:w="5103"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名称</w:t>
            </w:r>
          </w:p>
        </w:tc>
        <w:tc>
          <w:tcPr>
            <w:tcW w:w="993" w:type="dxa"/>
            <w:vAlign w:val="center"/>
          </w:tcPr>
          <w:p>
            <w:pPr>
              <w:widowControl/>
              <w:jc w:val="center"/>
              <w:rPr>
                <w:rFonts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数量</w:t>
            </w:r>
          </w:p>
        </w:tc>
        <w:tc>
          <w:tcPr>
            <w:tcW w:w="993"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5103" w:type="dxa"/>
            <w:shd w:val="clear" w:color="auto" w:fill="auto"/>
            <w:vAlign w:val="center"/>
          </w:tcPr>
          <w:p>
            <w:pPr>
              <w:widowControl/>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防火墙</w:t>
            </w:r>
          </w:p>
        </w:tc>
        <w:tc>
          <w:tcPr>
            <w:tcW w:w="993" w:type="dxa"/>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993"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5103" w:type="dxa"/>
            <w:shd w:val="clear" w:color="auto" w:fill="auto"/>
            <w:vAlign w:val="center"/>
          </w:tcPr>
          <w:p>
            <w:pPr>
              <w:widowControl/>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入侵防御（IPS）</w:t>
            </w:r>
          </w:p>
        </w:tc>
        <w:tc>
          <w:tcPr>
            <w:tcW w:w="993" w:type="dxa"/>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993"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5103" w:type="dxa"/>
            <w:shd w:val="clear" w:color="auto" w:fill="auto"/>
            <w:vAlign w:val="center"/>
          </w:tcPr>
          <w:p>
            <w:pPr>
              <w:widowControl/>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防毒墙</w:t>
            </w:r>
          </w:p>
        </w:tc>
        <w:tc>
          <w:tcPr>
            <w:tcW w:w="993" w:type="dxa"/>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993"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shd w:val="clear" w:color="auto" w:fill="auto"/>
            <w:vAlign w:val="center"/>
          </w:tcPr>
          <w:p>
            <w:pPr>
              <w:widowControl/>
              <w:jc w:val="center"/>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4</w:t>
            </w:r>
          </w:p>
        </w:tc>
        <w:tc>
          <w:tcPr>
            <w:tcW w:w="5103" w:type="dxa"/>
            <w:shd w:val="clear" w:color="auto" w:fill="auto"/>
            <w:vAlign w:val="center"/>
          </w:tcPr>
          <w:p>
            <w:pPr>
              <w:widowControl/>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数据交换系统（网闸）</w:t>
            </w:r>
          </w:p>
        </w:tc>
        <w:tc>
          <w:tcPr>
            <w:tcW w:w="993" w:type="dxa"/>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993"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shd w:val="clear" w:color="auto" w:fill="auto"/>
            <w:vAlign w:val="center"/>
          </w:tcPr>
          <w:p>
            <w:pPr>
              <w:widowControl/>
              <w:jc w:val="center"/>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5</w:t>
            </w:r>
          </w:p>
        </w:tc>
        <w:tc>
          <w:tcPr>
            <w:tcW w:w="5103" w:type="dxa"/>
            <w:shd w:val="clear" w:color="auto" w:fill="auto"/>
            <w:vAlign w:val="center"/>
          </w:tcPr>
          <w:p>
            <w:pPr>
              <w:widowControl/>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外网杀毒软件</w:t>
            </w:r>
          </w:p>
        </w:tc>
        <w:tc>
          <w:tcPr>
            <w:tcW w:w="993" w:type="dxa"/>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700</w:t>
            </w:r>
          </w:p>
        </w:tc>
        <w:tc>
          <w:tcPr>
            <w:tcW w:w="993"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shd w:val="clear" w:color="auto" w:fill="auto"/>
            <w:vAlign w:val="center"/>
          </w:tcPr>
          <w:p>
            <w:pPr>
              <w:widowControl/>
              <w:jc w:val="center"/>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6</w:t>
            </w:r>
          </w:p>
        </w:tc>
        <w:tc>
          <w:tcPr>
            <w:tcW w:w="5103" w:type="dxa"/>
            <w:shd w:val="clear" w:color="auto" w:fill="auto"/>
            <w:vAlign w:val="center"/>
          </w:tcPr>
          <w:p>
            <w:pPr>
              <w:widowControl/>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上网行为管理</w:t>
            </w:r>
          </w:p>
        </w:tc>
        <w:tc>
          <w:tcPr>
            <w:tcW w:w="993" w:type="dxa"/>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993"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w:t>
            </w:r>
          </w:p>
        </w:tc>
        <w:tc>
          <w:tcPr>
            <w:tcW w:w="5103" w:type="dxa"/>
            <w:shd w:val="clear" w:color="auto" w:fill="auto"/>
            <w:vAlign w:val="center"/>
          </w:tcPr>
          <w:p>
            <w:pPr>
              <w:widowControl/>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堡垒机授权</w:t>
            </w:r>
          </w:p>
        </w:tc>
        <w:tc>
          <w:tcPr>
            <w:tcW w:w="993" w:type="dxa"/>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22</w:t>
            </w:r>
            <w:r>
              <w:rPr>
                <w:rFonts w:ascii="宋体" w:hAnsi="宋体" w:eastAsia="宋体" w:cs="宋体"/>
                <w:color w:val="auto"/>
                <w:kern w:val="0"/>
                <w:sz w:val="21"/>
                <w:szCs w:val="21"/>
                <w:highlight w:val="none"/>
              </w:rPr>
              <w:t>0</w:t>
            </w:r>
          </w:p>
        </w:tc>
        <w:tc>
          <w:tcPr>
            <w:tcW w:w="993"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w:t>
            </w:r>
          </w:p>
        </w:tc>
        <w:tc>
          <w:tcPr>
            <w:tcW w:w="5103" w:type="dxa"/>
            <w:shd w:val="clear" w:color="auto" w:fill="auto"/>
            <w:vAlign w:val="center"/>
          </w:tcPr>
          <w:p>
            <w:pPr>
              <w:widowControl/>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动态应用防护系统</w:t>
            </w:r>
          </w:p>
        </w:tc>
        <w:tc>
          <w:tcPr>
            <w:tcW w:w="993" w:type="dxa"/>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993"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w:t>
            </w:r>
          </w:p>
        </w:tc>
        <w:tc>
          <w:tcPr>
            <w:tcW w:w="5103" w:type="dxa"/>
            <w:shd w:val="clear" w:color="auto" w:fill="auto"/>
            <w:vAlign w:val="center"/>
          </w:tcPr>
          <w:p>
            <w:pPr>
              <w:widowControl/>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虚拟化防护</w:t>
            </w:r>
          </w:p>
        </w:tc>
        <w:tc>
          <w:tcPr>
            <w:tcW w:w="993" w:type="dxa"/>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48</w:t>
            </w:r>
          </w:p>
        </w:tc>
        <w:tc>
          <w:tcPr>
            <w:tcW w:w="993" w:type="dxa"/>
            <w:shd w:val="clear" w:color="auto" w:fill="auto"/>
            <w:vAlign w:val="center"/>
          </w:tcPr>
          <w:p>
            <w:pPr>
              <w:widowControl/>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个</w:t>
            </w:r>
          </w:p>
        </w:tc>
      </w:tr>
    </w:tbl>
    <w:p>
      <w:pPr>
        <w:rPr>
          <w:color w:val="auto"/>
          <w:highlight w:val="none"/>
        </w:rPr>
      </w:pPr>
    </w:p>
    <w:p>
      <w:pPr>
        <w:pStyle w:val="6"/>
        <w:rPr>
          <w:color w:val="auto"/>
          <w:highlight w:val="none"/>
        </w:rPr>
      </w:pPr>
      <w:r>
        <w:rPr>
          <w:rFonts w:hint="eastAsia"/>
          <w:color w:val="auto"/>
          <w:highlight w:val="none"/>
        </w:rPr>
        <w:t>3.7.2技术要求</w:t>
      </w:r>
    </w:p>
    <w:p>
      <w:pPr>
        <w:spacing w:line="360" w:lineRule="auto"/>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（一）分院安全加固</w:t>
      </w:r>
    </w:p>
    <w:p>
      <w:pPr>
        <w:spacing w:line="360" w:lineRule="auto"/>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（1）分院防火墙</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2U,内存≥16G，机械硬盘≥1T，≥6个千兆电口，≥4个千兆光口, ≥2个万兆光口，冗余电源, ≥1个扩展槽位,防火墙吞吐≥20G，并发连接≥500万，每秒新建连接≥16万，应用层吞吐量≥16G，含3年硬件质保、软件版本升级和技术支持服务。</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产品由专用的硬件平台、安全操作系统及功能软件构成。设备采用自主知识产权的专用安全操作系统，采用多核多平台并行处理机制；</w:t>
      </w:r>
      <w:r>
        <w:rPr>
          <w:rFonts w:ascii="宋体" w:hAnsi="宋体" w:eastAsia="宋体"/>
          <w:color w:val="auto"/>
          <w:sz w:val="21"/>
          <w:szCs w:val="21"/>
          <w:highlight w:val="none"/>
        </w:rPr>
        <w:t xml:space="preserve"> </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支持路由、交换、虚拟线、Listening、混合工作模式；</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支持策略路由，支持根据入接口、源/目的IP地址、协议、用户、应用、选路算法、探测等多种条件设置策略路由；</w:t>
      </w:r>
      <w:r>
        <w:rPr>
          <w:rFonts w:ascii="宋体" w:hAnsi="宋体" w:eastAsia="宋体"/>
          <w:color w:val="auto"/>
          <w:sz w:val="21"/>
          <w:szCs w:val="21"/>
          <w:highlight w:val="none"/>
        </w:rPr>
        <w:t xml:space="preserve"> </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支持手动和LACP链路聚合，可根据源/目的MAC、源/目的IP、源/目的端口、五元组、端口轮询等条件提供不少于10种链路负载算法。</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支持多种地址转换，支持源/目的NAT、双向NAT、NoNAT转换方式；支持源IP转换同一性；</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支持域名控制，支持对多级域名进行控制，域名对象支持通配符；</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支持针对IP、ICMP、TCP、UDP、DNS、HTTP、HTTPS、SIP、NTP等协议进行DDOS防护；</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内置数据过滤功能，支持HTTP、FTP、POP3、SMTP等协议；</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支持资产上报等多种资产信息获取方式，支持基于访问流量自动识别发现资产；</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支持对资产进行统计、展示和管理；</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支持对网络资产进行一键检查，获取网络中资产信息、分析资产安全状态，一键完成风险资产安全防护；</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支持将未命中安全防护模块的域名、IP、MD5值上传至云服务器进行检测，如果云服务器命中，将结果保存到本地缓存；</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支持配置文件本地备份和回滚；</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支持软件版本本地备份；</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支持在WEB界面进行网络诊断；</w:t>
      </w:r>
    </w:p>
    <w:p>
      <w:pPr>
        <w:spacing w:line="360" w:lineRule="auto"/>
        <w:rPr>
          <w:rFonts w:ascii="宋体" w:hAnsi="宋体" w:eastAsia="宋体"/>
          <w:color w:val="auto"/>
          <w:sz w:val="24"/>
          <w:szCs w:val="24"/>
          <w:highlight w:val="none"/>
        </w:rPr>
      </w:pPr>
      <w:r>
        <w:rPr>
          <w:rFonts w:hint="eastAsia" w:ascii="宋体" w:hAnsi="宋体" w:eastAsia="宋体"/>
          <w:b/>
          <w:bCs/>
          <w:color w:val="auto"/>
          <w:sz w:val="24"/>
          <w:szCs w:val="24"/>
          <w:highlight w:val="none"/>
        </w:rPr>
        <w:t>（2）分院入侵防御</w:t>
      </w:r>
    </w:p>
    <w:p>
      <w:pPr>
        <w:spacing w:line="360" w:lineRule="auto"/>
        <w:ind w:firstLine="420" w:firstLineChars="20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2U,内存</w:t>
      </w:r>
      <w:r>
        <w:rPr>
          <w:rFonts w:hint="eastAsia" w:ascii="宋体" w:hAnsi="宋体" w:eastAsia="宋体"/>
          <w:color w:val="auto"/>
          <w:sz w:val="21"/>
          <w:szCs w:val="21"/>
          <w:highlight w:val="none"/>
        </w:rPr>
        <w:t>≥</w:t>
      </w:r>
      <w:r>
        <w:rPr>
          <w:rFonts w:hint="eastAsia" w:ascii="宋体" w:hAnsi="宋体" w:eastAsia="宋体" w:cs="仿宋"/>
          <w:color w:val="auto"/>
          <w:sz w:val="21"/>
          <w:szCs w:val="21"/>
          <w:highlight w:val="none"/>
        </w:rPr>
        <w:t>64G,机械硬盘</w:t>
      </w:r>
      <w:r>
        <w:rPr>
          <w:rFonts w:hint="eastAsia" w:ascii="宋体" w:hAnsi="宋体" w:eastAsia="宋体"/>
          <w:color w:val="auto"/>
          <w:sz w:val="21"/>
          <w:szCs w:val="21"/>
          <w:highlight w:val="none"/>
        </w:rPr>
        <w:t>≥</w:t>
      </w:r>
      <w:r>
        <w:rPr>
          <w:rFonts w:hint="eastAsia" w:ascii="宋体" w:hAnsi="宋体" w:eastAsia="宋体" w:cs="仿宋"/>
          <w:color w:val="auto"/>
          <w:sz w:val="21"/>
          <w:szCs w:val="21"/>
          <w:highlight w:val="none"/>
        </w:rPr>
        <w:t>1TB,</w:t>
      </w:r>
      <w:r>
        <w:rPr>
          <w:rFonts w:hint="eastAsia" w:ascii="宋体" w:hAnsi="宋体" w:eastAsia="宋体"/>
          <w:color w:val="auto"/>
          <w:sz w:val="21"/>
          <w:szCs w:val="21"/>
          <w:highlight w:val="none"/>
        </w:rPr>
        <w:t xml:space="preserve"> ≥</w:t>
      </w:r>
      <w:r>
        <w:rPr>
          <w:rFonts w:hint="eastAsia" w:ascii="宋体" w:hAnsi="宋体" w:eastAsia="宋体" w:cs="仿宋"/>
          <w:color w:val="auto"/>
          <w:sz w:val="21"/>
          <w:szCs w:val="21"/>
          <w:highlight w:val="none"/>
        </w:rPr>
        <w:t>6个千兆电口（含1个HA口和1个管理口），</w:t>
      </w:r>
      <w:r>
        <w:rPr>
          <w:rFonts w:hint="eastAsia" w:ascii="宋体" w:hAnsi="宋体" w:eastAsia="宋体"/>
          <w:color w:val="auto"/>
          <w:sz w:val="21"/>
          <w:szCs w:val="21"/>
          <w:highlight w:val="none"/>
        </w:rPr>
        <w:t>≥</w:t>
      </w:r>
      <w:r>
        <w:rPr>
          <w:rFonts w:hint="eastAsia" w:ascii="宋体" w:hAnsi="宋体" w:eastAsia="宋体" w:cs="仿宋"/>
          <w:color w:val="auto"/>
          <w:sz w:val="21"/>
          <w:szCs w:val="21"/>
          <w:highlight w:val="none"/>
        </w:rPr>
        <w:t>4个千兆光口，</w:t>
      </w:r>
      <w:r>
        <w:rPr>
          <w:rFonts w:hint="eastAsia" w:ascii="宋体" w:hAnsi="宋体" w:eastAsia="宋体"/>
          <w:color w:val="auto"/>
          <w:sz w:val="21"/>
          <w:szCs w:val="21"/>
          <w:highlight w:val="none"/>
        </w:rPr>
        <w:t>≥</w:t>
      </w:r>
      <w:r>
        <w:rPr>
          <w:rFonts w:hint="eastAsia" w:ascii="宋体" w:hAnsi="宋体" w:eastAsia="宋体" w:cs="仿宋"/>
          <w:color w:val="auto"/>
          <w:sz w:val="21"/>
          <w:szCs w:val="21"/>
          <w:highlight w:val="none"/>
        </w:rPr>
        <w:t>2个万兆光口，</w:t>
      </w:r>
      <w:r>
        <w:rPr>
          <w:rFonts w:hint="eastAsia" w:ascii="宋体" w:hAnsi="宋体" w:eastAsia="宋体"/>
          <w:color w:val="auto"/>
          <w:sz w:val="21"/>
          <w:szCs w:val="21"/>
          <w:highlight w:val="none"/>
        </w:rPr>
        <w:t>≥</w:t>
      </w:r>
      <w:r>
        <w:rPr>
          <w:rFonts w:hint="eastAsia" w:ascii="宋体" w:hAnsi="宋体" w:eastAsia="宋体" w:cs="仿宋"/>
          <w:color w:val="auto"/>
          <w:sz w:val="21"/>
          <w:szCs w:val="21"/>
          <w:highlight w:val="none"/>
        </w:rPr>
        <w:t>1个CONSOLE口,冗余电源,</w:t>
      </w:r>
      <w:r>
        <w:rPr>
          <w:rFonts w:hint="eastAsia" w:ascii="宋体" w:hAnsi="宋体" w:eastAsia="宋体"/>
          <w:color w:val="auto"/>
          <w:sz w:val="21"/>
          <w:szCs w:val="21"/>
          <w:highlight w:val="none"/>
        </w:rPr>
        <w:t xml:space="preserve"> ≥</w:t>
      </w:r>
      <w:r>
        <w:rPr>
          <w:rFonts w:hint="eastAsia" w:ascii="宋体" w:hAnsi="宋体" w:eastAsia="宋体" w:cs="仿宋"/>
          <w:color w:val="auto"/>
          <w:sz w:val="21"/>
          <w:szCs w:val="21"/>
          <w:highlight w:val="none"/>
        </w:rPr>
        <w:t>5个扩展槽位,整机吞吐率：</w:t>
      </w:r>
      <w:r>
        <w:rPr>
          <w:rFonts w:hint="eastAsia" w:ascii="宋体" w:hAnsi="宋体" w:eastAsia="宋体"/>
          <w:color w:val="auto"/>
          <w:sz w:val="21"/>
          <w:szCs w:val="21"/>
          <w:highlight w:val="none"/>
        </w:rPr>
        <w:t>≥</w:t>
      </w:r>
      <w:r>
        <w:rPr>
          <w:rFonts w:hint="eastAsia" w:ascii="宋体" w:hAnsi="宋体" w:eastAsia="宋体" w:cs="仿宋"/>
          <w:color w:val="auto"/>
          <w:sz w:val="21"/>
          <w:szCs w:val="21"/>
          <w:highlight w:val="none"/>
        </w:rPr>
        <w:t>20Gbps，最大并发连接数：</w:t>
      </w:r>
      <w:r>
        <w:rPr>
          <w:rFonts w:hint="eastAsia" w:ascii="宋体" w:hAnsi="宋体" w:eastAsia="宋体"/>
          <w:color w:val="auto"/>
          <w:sz w:val="21"/>
          <w:szCs w:val="21"/>
          <w:highlight w:val="none"/>
        </w:rPr>
        <w:t>≥</w:t>
      </w:r>
      <w:r>
        <w:rPr>
          <w:rFonts w:hint="eastAsia" w:ascii="宋体" w:hAnsi="宋体" w:eastAsia="宋体" w:cs="仿宋"/>
          <w:color w:val="auto"/>
          <w:sz w:val="21"/>
          <w:szCs w:val="21"/>
          <w:highlight w:val="none"/>
        </w:rPr>
        <w:t>1000万，IPS吞吐率：</w:t>
      </w:r>
      <w:r>
        <w:rPr>
          <w:rFonts w:hint="eastAsia" w:ascii="宋体" w:hAnsi="宋体" w:eastAsia="宋体"/>
          <w:color w:val="auto"/>
          <w:sz w:val="21"/>
          <w:szCs w:val="21"/>
          <w:highlight w:val="none"/>
        </w:rPr>
        <w:t>≥</w:t>
      </w:r>
      <w:r>
        <w:rPr>
          <w:rFonts w:hint="eastAsia" w:ascii="宋体" w:hAnsi="宋体" w:eastAsia="宋体" w:cs="仿宋"/>
          <w:color w:val="auto"/>
          <w:sz w:val="21"/>
          <w:szCs w:val="21"/>
          <w:highlight w:val="none"/>
        </w:rPr>
        <w:t>10Gbps；含3年攻击检测规则库、应用识别库、地理信息库升级许可；3年僵尸主机规则库升级许可；含3年硬件质保、软件版本升级和技术支持服务。</w:t>
      </w:r>
    </w:p>
    <w:p>
      <w:pPr>
        <w:spacing w:line="360" w:lineRule="auto"/>
        <w:ind w:firstLine="420" w:firstLineChars="20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支持路由、交换、虚拟线、聚合、监听以及混合部署等多种接入模式。</w:t>
      </w:r>
    </w:p>
    <w:p>
      <w:pPr>
        <w:spacing w:line="360" w:lineRule="auto"/>
        <w:ind w:firstLine="420" w:firstLineChars="200"/>
        <w:rPr>
          <w:rFonts w:ascii="宋体" w:hAnsi="宋体" w:eastAsia="宋体" w:cs="仿宋"/>
          <w:color w:val="auto"/>
          <w:sz w:val="21"/>
          <w:szCs w:val="21"/>
          <w:highlight w:val="none"/>
        </w:rPr>
      </w:pPr>
      <w:bookmarkStart w:id="111" w:name="_Hlk40199865"/>
      <w:r>
        <w:rPr>
          <w:rFonts w:ascii="宋体" w:hAnsi="宋体" w:eastAsia="宋体" w:cs="仿宋"/>
          <w:color w:val="auto"/>
          <w:sz w:val="21"/>
          <w:szCs w:val="21"/>
          <w:highlight w:val="none"/>
        </w:rPr>
        <w:t>支持独立的攻击检测引擎，涵盖</w:t>
      </w:r>
      <w:r>
        <w:rPr>
          <w:rFonts w:hint="eastAsia" w:ascii="宋体" w:hAnsi="宋体" w:eastAsia="宋体"/>
          <w:color w:val="auto"/>
          <w:sz w:val="21"/>
          <w:szCs w:val="21"/>
          <w:highlight w:val="none"/>
        </w:rPr>
        <w:t>≥</w:t>
      </w:r>
      <w:r>
        <w:rPr>
          <w:rFonts w:ascii="宋体" w:hAnsi="宋体" w:eastAsia="宋体" w:cs="仿宋"/>
          <w:color w:val="auto"/>
          <w:sz w:val="21"/>
          <w:szCs w:val="21"/>
          <w:highlight w:val="none"/>
        </w:rPr>
        <w:t>12000种以上的攻击检测规则库。</w:t>
      </w:r>
      <w:bookmarkEnd w:id="111"/>
      <w:r>
        <w:rPr>
          <w:rFonts w:ascii="宋体" w:hAnsi="宋体" w:eastAsia="宋体" w:cs="仿宋"/>
          <w:color w:val="auto"/>
          <w:sz w:val="21"/>
          <w:szCs w:val="21"/>
          <w:highlight w:val="none"/>
        </w:rPr>
        <w:t>规则库支持按照攻击类型、操作系统、风险等级、应用类型、流行程度等方式进行分类。</w:t>
      </w:r>
    </w:p>
    <w:p>
      <w:pPr>
        <w:spacing w:line="360" w:lineRule="auto"/>
        <w:ind w:firstLine="420" w:firstLineChars="200"/>
        <w:rPr>
          <w:rFonts w:ascii="宋体" w:hAnsi="宋体" w:eastAsia="宋体" w:cs="仿宋"/>
          <w:color w:val="auto"/>
          <w:sz w:val="21"/>
          <w:szCs w:val="21"/>
          <w:highlight w:val="none"/>
        </w:rPr>
      </w:pPr>
      <w:bookmarkStart w:id="112" w:name="_Hlk40199921"/>
      <w:bookmarkStart w:id="113" w:name="_Hlk41988829"/>
      <w:r>
        <w:rPr>
          <w:rFonts w:ascii="宋体" w:hAnsi="宋体" w:eastAsia="宋体" w:cs="仿宋"/>
          <w:color w:val="auto"/>
          <w:sz w:val="21"/>
          <w:szCs w:val="21"/>
          <w:highlight w:val="none"/>
        </w:rPr>
        <w:t>支持对多种应用类型进行攻击检测</w:t>
      </w:r>
      <w:r>
        <w:rPr>
          <w:rFonts w:hint="eastAsia" w:ascii="宋体" w:hAnsi="宋体" w:eastAsia="宋体" w:cs="仿宋"/>
          <w:color w:val="auto"/>
          <w:sz w:val="21"/>
          <w:szCs w:val="21"/>
          <w:highlight w:val="none"/>
        </w:rPr>
        <w:t>防御</w:t>
      </w:r>
      <w:r>
        <w:rPr>
          <w:rFonts w:ascii="宋体" w:hAnsi="宋体" w:eastAsia="宋体" w:cs="仿宋"/>
          <w:color w:val="auto"/>
          <w:sz w:val="21"/>
          <w:szCs w:val="21"/>
          <w:highlight w:val="none"/>
        </w:rPr>
        <w:t>，包括WEB应用、文件传输、邮件、数据库、远程访问、远程过程调用、工控、路由、基础服务、加密等多种业务。</w:t>
      </w:r>
      <w:bookmarkEnd w:id="112"/>
      <w:r>
        <w:rPr>
          <w:rFonts w:ascii="宋体" w:hAnsi="宋体" w:eastAsia="宋体" w:cs="仿宋"/>
          <w:color w:val="auto"/>
          <w:sz w:val="21"/>
          <w:szCs w:val="21"/>
          <w:highlight w:val="none"/>
        </w:rPr>
        <w:t>并对规则可设置相应警告、阻断动作。</w:t>
      </w:r>
      <w:bookmarkEnd w:id="113"/>
    </w:p>
    <w:p>
      <w:pPr>
        <w:spacing w:line="360" w:lineRule="auto"/>
        <w:ind w:firstLine="420" w:firstLineChars="200"/>
        <w:rPr>
          <w:rFonts w:ascii="宋体" w:hAnsi="宋体" w:eastAsia="宋体" w:cs="仿宋"/>
          <w:color w:val="auto"/>
          <w:sz w:val="21"/>
          <w:szCs w:val="21"/>
          <w:highlight w:val="none"/>
        </w:rPr>
      </w:pPr>
      <w:r>
        <w:rPr>
          <w:rFonts w:ascii="宋体" w:hAnsi="宋体" w:eastAsia="宋体" w:cs="仿宋"/>
          <w:color w:val="auto"/>
          <w:sz w:val="21"/>
          <w:szCs w:val="21"/>
          <w:highlight w:val="none"/>
        </w:rPr>
        <w:t>支持统计攻击事件次数；</w:t>
      </w:r>
    </w:p>
    <w:p>
      <w:pPr>
        <w:spacing w:line="360" w:lineRule="auto"/>
        <w:ind w:firstLine="420" w:firstLineChars="200"/>
        <w:rPr>
          <w:rFonts w:ascii="宋体" w:hAnsi="宋体" w:eastAsia="宋体" w:cs="仿宋"/>
          <w:color w:val="auto"/>
          <w:sz w:val="21"/>
          <w:szCs w:val="21"/>
          <w:highlight w:val="none"/>
        </w:rPr>
      </w:pPr>
      <w:r>
        <w:rPr>
          <w:rFonts w:ascii="宋体" w:hAnsi="宋体" w:eastAsia="宋体" w:cs="仿宋"/>
          <w:color w:val="auto"/>
          <w:sz w:val="21"/>
          <w:szCs w:val="21"/>
          <w:highlight w:val="none"/>
        </w:rPr>
        <w:t>支持DNS投毒检测</w:t>
      </w:r>
      <w:r>
        <w:rPr>
          <w:rFonts w:hint="eastAsia" w:ascii="宋体" w:hAnsi="宋体" w:eastAsia="宋体" w:cs="仿宋"/>
          <w:color w:val="auto"/>
          <w:sz w:val="21"/>
          <w:szCs w:val="21"/>
          <w:highlight w:val="none"/>
        </w:rPr>
        <w:t>；</w:t>
      </w:r>
    </w:p>
    <w:p>
      <w:pPr>
        <w:spacing w:line="360" w:lineRule="auto"/>
        <w:ind w:firstLine="420" w:firstLineChars="200"/>
        <w:rPr>
          <w:rFonts w:ascii="宋体" w:hAnsi="宋体" w:eastAsia="宋体" w:cs="仿宋"/>
          <w:color w:val="auto"/>
          <w:sz w:val="21"/>
          <w:szCs w:val="21"/>
          <w:highlight w:val="none"/>
        </w:rPr>
      </w:pPr>
      <w:r>
        <w:rPr>
          <w:rFonts w:ascii="宋体" w:hAnsi="宋体" w:eastAsia="宋体" w:cs="仿宋"/>
          <w:color w:val="auto"/>
          <w:sz w:val="21"/>
          <w:szCs w:val="21"/>
          <w:highlight w:val="none"/>
        </w:rPr>
        <w:t>支持通过手动导入PCAP包的方式回放攻击包，可展现回放状态，检测结果可在安全日志中查看。</w:t>
      </w:r>
    </w:p>
    <w:p>
      <w:pPr>
        <w:spacing w:line="360" w:lineRule="auto"/>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（二）数据中心安全加固</w:t>
      </w:r>
    </w:p>
    <w:p>
      <w:pPr>
        <w:spacing w:line="360" w:lineRule="auto"/>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w:t>
      </w:r>
      <w:r>
        <w:rPr>
          <w:rFonts w:ascii="宋体" w:hAnsi="宋体" w:eastAsia="宋体"/>
          <w:b/>
          <w:bCs/>
          <w:color w:val="auto"/>
          <w:sz w:val="24"/>
          <w:szCs w:val="24"/>
          <w:highlight w:val="none"/>
        </w:rPr>
        <w:t>1</w:t>
      </w:r>
      <w:r>
        <w:rPr>
          <w:rFonts w:hint="eastAsia" w:ascii="宋体" w:hAnsi="宋体" w:eastAsia="宋体"/>
          <w:b/>
          <w:bCs/>
          <w:color w:val="auto"/>
          <w:sz w:val="24"/>
          <w:szCs w:val="24"/>
          <w:highlight w:val="none"/>
        </w:rPr>
        <w:t>）银医防火墙</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性能参数：网络层吞吐量≥20G，应用层吞吐量≥10G，防病毒吞吐量：1.5G，最大并发连接数≥210万，每秒新建连接数≥12万，IPSec VPN 最大接入数≥2000，IPSec VPN吞吐量≥850M。</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硬件参数：标准机架2U设备，硬盘容量≥128G SSD+480G SSD，千兆电口≥16个，千兆光口SFP≥2个，万兆光口SFP≥4个，电源：冗余电源。</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产品支持路由、透明、交换以及混合模式接入，满足复杂应用环境的接入需求，支持旁路模式。</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支持源 NAT、目的 NAT、静态 NAT，支持一对一、一对多和多对多等形式的 NAT。</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产品支持链路聚合功能，将多个物理线路组合成性能较高的逻辑链路接口，提高链接带宽和链路的可靠性。</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产品支持用户账户的保护功能。</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产品支持策略生命周期管理功能。</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支持IPSec VPN功能。</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包含规则库升级3年、产品质保3年、软件升级3年。</w:t>
      </w:r>
    </w:p>
    <w:p>
      <w:pPr>
        <w:spacing w:line="360" w:lineRule="auto"/>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w:t>
      </w:r>
      <w:r>
        <w:rPr>
          <w:rFonts w:ascii="宋体" w:hAnsi="宋体" w:eastAsia="宋体"/>
          <w:b/>
          <w:bCs/>
          <w:color w:val="auto"/>
          <w:sz w:val="24"/>
          <w:szCs w:val="24"/>
          <w:highlight w:val="none"/>
        </w:rPr>
        <w:t>2</w:t>
      </w:r>
      <w:r>
        <w:rPr>
          <w:rFonts w:hint="eastAsia" w:ascii="宋体" w:hAnsi="宋体" w:eastAsia="宋体"/>
          <w:b/>
          <w:bCs/>
          <w:color w:val="auto"/>
          <w:sz w:val="24"/>
          <w:szCs w:val="24"/>
          <w:highlight w:val="none"/>
        </w:rPr>
        <w:t>）银医入侵防御</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性能参数：网络层吞吐量≥20Gbps；入侵防御专用吞吐量≥1.5Gbps；最大并发连接数：≥220万；每秒新建连接数≥14万；</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硬件参数：接口：千兆电口≥6个，万兆光口≥2个。</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支持路由部署、旁路镜像、透明部署、虚拟网线部署等多种部署方式，适应复杂使用环境的接入要求。</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支持连接会话展示；</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支持IP地址扫描和端口扫描防护；</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支持安全设备的集中管理、更新，安全日志实时上报与展示等功能。</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支持对服务器和客户端的漏洞攻击防护；</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支持针对SMTP、POP3、IMAP邮件协议的内容检测；</w:t>
      </w:r>
      <w:r>
        <w:rPr>
          <w:rFonts w:ascii="宋体" w:hAnsi="宋体" w:eastAsia="宋体"/>
          <w:color w:val="auto"/>
          <w:sz w:val="21"/>
          <w:szCs w:val="21"/>
          <w:highlight w:val="none"/>
        </w:rPr>
        <w:t xml:space="preserve"> </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包含规则库升级3年、产品质保3年、软件升级3年。</w:t>
      </w:r>
    </w:p>
    <w:p>
      <w:pPr>
        <w:spacing w:line="360" w:lineRule="auto"/>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w:t>
      </w:r>
      <w:r>
        <w:rPr>
          <w:rFonts w:ascii="宋体" w:hAnsi="宋体" w:eastAsia="宋体"/>
          <w:b/>
          <w:bCs/>
          <w:color w:val="auto"/>
          <w:sz w:val="24"/>
          <w:szCs w:val="24"/>
          <w:highlight w:val="none"/>
        </w:rPr>
        <w:t>3</w:t>
      </w:r>
      <w:r>
        <w:rPr>
          <w:rFonts w:hint="eastAsia" w:ascii="宋体" w:hAnsi="宋体" w:eastAsia="宋体"/>
          <w:b/>
          <w:bCs/>
          <w:color w:val="auto"/>
          <w:sz w:val="24"/>
          <w:szCs w:val="24"/>
          <w:highlight w:val="none"/>
        </w:rPr>
        <w:t>）</w:t>
      </w:r>
      <w:bookmarkStart w:id="114" w:name="_Hlk147931509"/>
      <w:r>
        <w:rPr>
          <w:rFonts w:hint="eastAsia" w:ascii="宋体" w:hAnsi="宋体" w:eastAsia="宋体"/>
          <w:b/>
          <w:bCs/>
          <w:color w:val="auto"/>
          <w:sz w:val="24"/>
          <w:szCs w:val="24"/>
          <w:highlight w:val="none"/>
        </w:rPr>
        <w:t>防毒墙</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设备必须为专业的防病毒网关产品，非防火墙/下一代防火墙、UTM、IPS等具有防病毒功能模块的产品。</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支持双库双引擎，可选择使用不同的扫描引擎和不同的病毒特征库；</w:t>
      </w:r>
      <w:r>
        <w:rPr>
          <w:rFonts w:ascii="宋体" w:hAnsi="宋体" w:eastAsia="宋体"/>
          <w:color w:val="auto"/>
          <w:sz w:val="21"/>
          <w:szCs w:val="21"/>
          <w:highlight w:val="none"/>
        </w:rPr>
        <w:t xml:space="preserve"> </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能够防御病毒、木马、蠕虫、间谍软件等恶意软件，且支持对压缩数据、加壳病毒的检测与处理；</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支持对常用应用协议进行病毒检测与过滤；</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病毒引擎具备自动化的数据解压缩能力，无需手动配置，具备</w:t>
      </w:r>
      <w:r>
        <w:rPr>
          <w:rFonts w:ascii="宋体" w:hAnsi="宋体" w:eastAsia="宋体"/>
          <w:color w:val="auto"/>
          <w:sz w:val="21"/>
          <w:szCs w:val="21"/>
          <w:highlight w:val="none"/>
        </w:rPr>
        <w:t>64</w:t>
      </w:r>
      <w:r>
        <w:rPr>
          <w:rFonts w:hint="eastAsia" w:ascii="宋体" w:hAnsi="宋体" w:eastAsia="宋体"/>
          <w:color w:val="auto"/>
          <w:sz w:val="21"/>
          <w:szCs w:val="21"/>
          <w:highlight w:val="none"/>
        </w:rPr>
        <w:t>层的数据解压缩病毒检测能力；</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要求流行病毒检测率不低于</w:t>
      </w:r>
      <w:r>
        <w:rPr>
          <w:rFonts w:ascii="宋体" w:hAnsi="宋体" w:eastAsia="宋体"/>
          <w:color w:val="auto"/>
          <w:sz w:val="21"/>
          <w:szCs w:val="21"/>
          <w:highlight w:val="none"/>
        </w:rPr>
        <w:t>95%</w:t>
      </w:r>
      <w:r>
        <w:rPr>
          <w:rFonts w:hint="eastAsia" w:ascii="宋体" w:hAnsi="宋体" w:eastAsia="宋体"/>
          <w:color w:val="auto"/>
          <w:sz w:val="21"/>
          <w:szCs w:val="21"/>
          <w:highlight w:val="none"/>
        </w:rPr>
        <w:t>；</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可本地化完成病毒地检测过滤与处理，无需发送到云端检测；</w:t>
      </w:r>
      <w:r>
        <w:rPr>
          <w:rFonts w:ascii="宋体" w:hAnsi="宋体" w:eastAsia="宋体"/>
          <w:color w:val="auto"/>
          <w:sz w:val="21"/>
          <w:szCs w:val="21"/>
          <w:highlight w:val="none"/>
        </w:rPr>
        <w:t xml:space="preserve"> </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厂商提供专门的病毒特征库升级服务；</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可针对不同的IP地址、IP地址段设置不同的DDoS防御策略。</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支持多种接入模式；</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提供完整的病毒日志、管理日志、管理员登录日志、接口日志等；</w:t>
      </w:r>
    </w:p>
    <w:p>
      <w:pPr>
        <w:spacing w:line="360" w:lineRule="auto"/>
        <w:ind w:firstLine="420" w:firstLineChars="200"/>
        <w:rPr>
          <w:rFonts w:ascii="宋体" w:hAnsi="宋体" w:eastAsia="宋体"/>
          <w:color w:val="auto"/>
          <w:sz w:val="21"/>
          <w:szCs w:val="21"/>
          <w:highlight w:val="none"/>
        </w:rPr>
      </w:pPr>
      <w:bookmarkStart w:id="115" w:name="_Hlk121491542"/>
      <w:r>
        <w:rPr>
          <w:rFonts w:hint="eastAsia" w:ascii="宋体" w:hAnsi="宋体" w:eastAsia="宋体"/>
          <w:color w:val="auto"/>
          <w:sz w:val="21"/>
          <w:szCs w:val="21"/>
          <w:highlight w:val="none"/>
        </w:rPr>
        <w:t>支持按比例、按时间清除日志；</w:t>
      </w:r>
      <w:bookmarkEnd w:id="115"/>
    </w:p>
    <w:bookmarkEnd w:id="114"/>
    <w:p>
      <w:pPr>
        <w:spacing w:line="360" w:lineRule="auto"/>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w:t>
      </w:r>
      <w:r>
        <w:rPr>
          <w:rFonts w:ascii="宋体" w:hAnsi="宋体" w:eastAsia="宋体"/>
          <w:b/>
          <w:bCs/>
          <w:color w:val="auto"/>
          <w:sz w:val="24"/>
          <w:szCs w:val="24"/>
          <w:highlight w:val="none"/>
        </w:rPr>
        <w:t>4</w:t>
      </w:r>
      <w:r>
        <w:rPr>
          <w:rFonts w:hint="eastAsia" w:ascii="宋体" w:hAnsi="宋体" w:eastAsia="宋体"/>
          <w:b/>
          <w:bCs/>
          <w:color w:val="auto"/>
          <w:sz w:val="24"/>
          <w:szCs w:val="24"/>
          <w:highlight w:val="none"/>
        </w:rPr>
        <w:t>）数据交换系统（网闸）</w:t>
      </w:r>
    </w:p>
    <w:p>
      <w:pPr>
        <w:spacing w:line="360" w:lineRule="auto"/>
        <w:ind w:firstLine="420" w:firstLineChars="20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2U,内端机</w:t>
      </w:r>
      <w:r>
        <w:rPr>
          <w:rFonts w:hint="eastAsia" w:ascii="宋体" w:hAnsi="宋体" w:eastAsia="宋体"/>
          <w:color w:val="auto"/>
          <w:sz w:val="21"/>
          <w:szCs w:val="21"/>
          <w:highlight w:val="none"/>
        </w:rPr>
        <w:t>≥</w:t>
      </w:r>
      <w:r>
        <w:rPr>
          <w:rFonts w:hint="eastAsia" w:ascii="宋体" w:hAnsi="宋体" w:eastAsia="宋体" w:cs="仿宋"/>
          <w:color w:val="auto"/>
          <w:sz w:val="21"/>
          <w:szCs w:val="21"/>
          <w:highlight w:val="none"/>
        </w:rPr>
        <w:t>6个10/100/1000Base-T接口（含1个管理口），</w:t>
      </w:r>
      <w:r>
        <w:rPr>
          <w:rFonts w:hint="eastAsia" w:ascii="宋体" w:hAnsi="宋体" w:eastAsia="宋体"/>
          <w:color w:val="auto"/>
          <w:sz w:val="21"/>
          <w:szCs w:val="21"/>
          <w:highlight w:val="none"/>
        </w:rPr>
        <w:t>≥</w:t>
      </w:r>
      <w:r>
        <w:rPr>
          <w:rFonts w:hint="eastAsia" w:ascii="宋体" w:hAnsi="宋体" w:eastAsia="宋体" w:cs="仿宋"/>
          <w:color w:val="auto"/>
          <w:sz w:val="21"/>
          <w:szCs w:val="21"/>
          <w:highlight w:val="none"/>
        </w:rPr>
        <w:t>4个千兆光口插槽，</w:t>
      </w:r>
      <w:r>
        <w:rPr>
          <w:rFonts w:hint="eastAsia" w:ascii="宋体" w:hAnsi="宋体" w:eastAsia="宋体"/>
          <w:color w:val="auto"/>
          <w:sz w:val="21"/>
          <w:szCs w:val="21"/>
          <w:highlight w:val="none"/>
        </w:rPr>
        <w:t>≥</w:t>
      </w:r>
      <w:r>
        <w:rPr>
          <w:rFonts w:hint="eastAsia" w:ascii="宋体" w:hAnsi="宋体" w:eastAsia="宋体" w:cs="仿宋"/>
          <w:color w:val="auto"/>
          <w:sz w:val="21"/>
          <w:szCs w:val="21"/>
          <w:highlight w:val="none"/>
        </w:rPr>
        <w:t>2个万兆光口插槽，</w:t>
      </w:r>
      <w:r>
        <w:rPr>
          <w:rFonts w:hint="eastAsia" w:ascii="宋体" w:hAnsi="宋体" w:eastAsia="宋体"/>
          <w:color w:val="auto"/>
          <w:sz w:val="21"/>
          <w:szCs w:val="21"/>
          <w:highlight w:val="none"/>
        </w:rPr>
        <w:t>≥</w:t>
      </w:r>
      <w:r>
        <w:rPr>
          <w:rFonts w:hint="eastAsia" w:ascii="宋体" w:hAnsi="宋体" w:eastAsia="宋体" w:cs="仿宋"/>
          <w:color w:val="auto"/>
          <w:sz w:val="21"/>
          <w:szCs w:val="21"/>
          <w:highlight w:val="none"/>
        </w:rPr>
        <w:t>1个扩展槽位；外端机</w:t>
      </w:r>
      <w:r>
        <w:rPr>
          <w:rFonts w:hint="eastAsia" w:ascii="宋体" w:hAnsi="宋体" w:eastAsia="宋体"/>
          <w:color w:val="auto"/>
          <w:sz w:val="21"/>
          <w:szCs w:val="21"/>
          <w:highlight w:val="none"/>
        </w:rPr>
        <w:t>≥</w:t>
      </w:r>
      <w:r>
        <w:rPr>
          <w:rFonts w:hint="eastAsia" w:ascii="宋体" w:hAnsi="宋体" w:eastAsia="宋体" w:cs="仿宋"/>
          <w:color w:val="auto"/>
          <w:sz w:val="21"/>
          <w:szCs w:val="21"/>
          <w:highlight w:val="none"/>
        </w:rPr>
        <w:t>6个10/100/1000Base-T接口（含1个HA口），</w:t>
      </w:r>
      <w:r>
        <w:rPr>
          <w:rFonts w:hint="eastAsia" w:ascii="宋体" w:hAnsi="宋体" w:eastAsia="宋体"/>
          <w:color w:val="auto"/>
          <w:sz w:val="21"/>
          <w:szCs w:val="21"/>
          <w:highlight w:val="none"/>
        </w:rPr>
        <w:t>≥</w:t>
      </w:r>
      <w:r>
        <w:rPr>
          <w:rFonts w:hint="eastAsia" w:ascii="宋体" w:hAnsi="宋体" w:eastAsia="宋体" w:cs="仿宋"/>
          <w:color w:val="auto"/>
          <w:sz w:val="21"/>
          <w:szCs w:val="21"/>
          <w:highlight w:val="none"/>
        </w:rPr>
        <w:t>4个千兆光口插槽，</w:t>
      </w:r>
      <w:r>
        <w:rPr>
          <w:rFonts w:hint="eastAsia" w:ascii="宋体" w:hAnsi="宋体" w:eastAsia="宋体"/>
          <w:color w:val="auto"/>
          <w:sz w:val="21"/>
          <w:szCs w:val="21"/>
          <w:highlight w:val="none"/>
        </w:rPr>
        <w:t>≥</w:t>
      </w:r>
      <w:r>
        <w:rPr>
          <w:rFonts w:hint="eastAsia" w:ascii="宋体" w:hAnsi="宋体" w:eastAsia="宋体" w:cs="仿宋"/>
          <w:color w:val="auto"/>
          <w:sz w:val="21"/>
          <w:szCs w:val="21"/>
          <w:highlight w:val="none"/>
        </w:rPr>
        <w:t>2个万兆光口插槽，</w:t>
      </w:r>
      <w:r>
        <w:rPr>
          <w:rFonts w:hint="eastAsia" w:ascii="宋体" w:hAnsi="宋体" w:eastAsia="宋体"/>
          <w:color w:val="auto"/>
          <w:sz w:val="21"/>
          <w:szCs w:val="21"/>
          <w:highlight w:val="none"/>
        </w:rPr>
        <w:t>≥</w:t>
      </w:r>
      <w:r>
        <w:rPr>
          <w:rFonts w:hint="eastAsia" w:ascii="宋体" w:hAnsi="宋体" w:eastAsia="宋体" w:cs="仿宋"/>
          <w:color w:val="auto"/>
          <w:sz w:val="21"/>
          <w:szCs w:val="21"/>
          <w:highlight w:val="none"/>
        </w:rPr>
        <w:t>1个扩展槽位,冗余电源,网络吞吐量</w:t>
      </w:r>
      <w:r>
        <w:rPr>
          <w:rFonts w:hint="eastAsia" w:ascii="宋体" w:hAnsi="宋体" w:eastAsia="宋体"/>
          <w:color w:val="auto"/>
          <w:sz w:val="21"/>
          <w:szCs w:val="21"/>
          <w:highlight w:val="none"/>
        </w:rPr>
        <w:t>≥</w:t>
      </w:r>
      <w:r>
        <w:rPr>
          <w:rFonts w:hint="eastAsia" w:ascii="宋体" w:hAnsi="宋体" w:eastAsia="宋体" w:cs="仿宋"/>
          <w:color w:val="auto"/>
          <w:sz w:val="21"/>
          <w:szCs w:val="21"/>
          <w:highlight w:val="none"/>
        </w:rPr>
        <w:t>7Gbps，并发连接数</w:t>
      </w:r>
      <w:r>
        <w:rPr>
          <w:rFonts w:hint="eastAsia" w:ascii="宋体" w:hAnsi="宋体" w:eastAsia="宋体"/>
          <w:color w:val="auto"/>
          <w:sz w:val="21"/>
          <w:szCs w:val="21"/>
          <w:highlight w:val="none"/>
        </w:rPr>
        <w:t>≥</w:t>
      </w:r>
      <w:r>
        <w:rPr>
          <w:rFonts w:hint="eastAsia" w:ascii="宋体" w:hAnsi="宋体" w:eastAsia="宋体" w:cs="仿宋"/>
          <w:color w:val="auto"/>
          <w:sz w:val="21"/>
          <w:szCs w:val="21"/>
          <w:highlight w:val="none"/>
        </w:rPr>
        <w:t>40万，延时1ms，内外端机各</w:t>
      </w:r>
      <w:r>
        <w:rPr>
          <w:rFonts w:hint="eastAsia" w:ascii="宋体" w:hAnsi="宋体" w:eastAsia="宋体"/>
          <w:color w:val="auto"/>
          <w:sz w:val="21"/>
          <w:szCs w:val="21"/>
          <w:highlight w:val="none"/>
        </w:rPr>
        <w:t>≥</w:t>
      </w:r>
      <w:r>
        <w:rPr>
          <w:rFonts w:hint="eastAsia" w:ascii="宋体" w:hAnsi="宋体" w:eastAsia="宋体" w:cs="仿宋"/>
          <w:color w:val="auto"/>
          <w:sz w:val="21"/>
          <w:szCs w:val="21"/>
          <w:highlight w:val="none"/>
        </w:rPr>
        <w:t>32G内存，内外端机各</w:t>
      </w:r>
      <w:r>
        <w:rPr>
          <w:rFonts w:hint="eastAsia" w:ascii="宋体" w:hAnsi="宋体" w:eastAsia="宋体"/>
          <w:color w:val="auto"/>
          <w:sz w:val="21"/>
          <w:szCs w:val="21"/>
          <w:highlight w:val="none"/>
        </w:rPr>
        <w:t>≥</w:t>
      </w:r>
      <w:r>
        <w:rPr>
          <w:rFonts w:hint="eastAsia" w:ascii="宋体" w:hAnsi="宋体" w:eastAsia="宋体" w:cs="仿宋"/>
          <w:color w:val="auto"/>
          <w:sz w:val="21"/>
          <w:szCs w:val="21"/>
          <w:highlight w:val="none"/>
        </w:rPr>
        <w:t>1T机械硬盘；含3年硬件质保、软件版本升级和技术支持服务。</w:t>
      </w:r>
    </w:p>
    <w:p>
      <w:pPr>
        <w:spacing w:line="360" w:lineRule="auto"/>
        <w:ind w:firstLine="420" w:firstLineChars="20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硬件架构由内端机、外端机、专有隔离硬件三部分组成；</w:t>
      </w:r>
    </w:p>
    <w:p>
      <w:pPr>
        <w:spacing w:line="360" w:lineRule="auto"/>
        <w:ind w:firstLine="420" w:firstLineChars="20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支持HTTP页面访问和WEB带上网功能；</w:t>
      </w:r>
    </w:p>
    <w:p>
      <w:pPr>
        <w:spacing w:line="360" w:lineRule="auto"/>
        <w:ind w:firstLine="420" w:firstLineChars="20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支持访问控制日志记录和告警功能；支持最大活动会话数统计，支持IPV</w:t>
      </w:r>
      <w:r>
        <w:rPr>
          <w:rFonts w:ascii="宋体" w:hAnsi="宋体" w:eastAsia="宋体" w:cs="仿宋"/>
          <w:color w:val="auto"/>
          <w:sz w:val="21"/>
          <w:szCs w:val="21"/>
          <w:highlight w:val="none"/>
        </w:rPr>
        <w:t>6</w:t>
      </w:r>
      <w:r>
        <w:rPr>
          <w:rFonts w:hint="eastAsia" w:ascii="宋体" w:hAnsi="宋体" w:eastAsia="宋体" w:cs="仿宋"/>
          <w:color w:val="auto"/>
          <w:sz w:val="21"/>
          <w:szCs w:val="21"/>
          <w:highlight w:val="none"/>
        </w:rPr>
        <w:t>扩展头的安全设置；</w:t>
      </w:r>
    </w:p>
    <w:p>
      <w:pPr>
        <w:spacing w:line="360" w:lineRule="auto"/>
        <w:ind w:firstLine="420" w:firstLineChars="20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提供基于FTP协议和NFS协议的文件传输功能。</w:t>
      </w:r>
    </w:p>
    <w:p>
      <w:pPr>
        <w:spacing w:line="360" w:lineRule="auto"/>
        <w:ind w:firstLine="420" w:firstLineChars="20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支持多种文件类型特征识别，支持上下行方向过滤单独控制；</w:t>
      </w:r>
    </w:p>
    <w:p>
      <w:pPr>
        <w:spacing w:line="360" w:lineRule="auto"/>
        <w:ind w:firstLine="420" w:firstLineChars="20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提供至少五种主流数据库的安全访问。</w:t>
      </w:r>
    </w:p>
    <w:p>
      <w:pPr>
        <w:spacing w:line="360" w:lineRule="auto"/>
        <w:ind w:firstLine="420" w:firstLineChars="20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提供安全的邮件访问功能。</w:t>
      </w:r>
    </w:p>
    <w:p>
      <w:pPr>
        <w:spacing w:line="360" w:lineRule="auto"/>
        <w:ind w:firstLine="420" w:firstLineChars="20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支持邮件附件等数据内容过滤。</w:t>
      </w:r>
    </w:p>
    <w:p>
      <w:pPr>
        <w:spacing w:line="360" w:lineRule="auto"/>
        <w:ind w:firstLine="420" w:firstLineChars="20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提供音视频通话访问功能。</w:t>
      </w:r>
    </w:p>
    <w:p>
      <w:pPr>
        <w:spacing w:line="360" w:lineRule="auto"/>
        <w:ind w:firstLine="420" w:firstLineChars="20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提供有客户端和无客户端两种文件同步方式；</w:t>
      </w:r>
    </w:p>
    <w:p>
      <w:pPr>
        <w:spacing w:line="360" w:lineRule="auto"/>
        <w:ind w:firstLine="420" w:firstLineChars="20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支持NFS、FTP等多种文件服务器类型，支持实时同步和周期性同步；</w:t>
      </w:r>
    </w:p>
    <w:p>
      <w:pPr>
        <w:spacing w:line="360" w:lineRule="auto"/>
        <w:ind w:firstLine="420" w:firstLineChars="20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支持文件同步重名策略处理，可选覆盖、不同步、重命名三种处理方式；</w:t>
      </w:r>
    </w:p>
    <w:p>
      <w:pPr>
        <w:spacing w:line="360" w:lineRule="auto"/>
        <w:ind w:firstLine="420" w:firstLineChars="200"/>
        <w:rPr>
          <w:rFonts w:ascii="宋体" w:hAnsi="宋体" w:eastAsia="宋体" w:cs="仿宋"/>
          <w:color w:val="auto"/>
          <w:sz w:val="21"/>
          <w:szCs w:val="21"/>
          <w:highlight w:val="none"/>
        </w:rPr>
      </w:pPr>
      <w:r>
        <w:rPr>
          <w:rFonts w:hint="eastAsia" w:ascii="宋体" w:hAnsi="宋体" w:eastAsia="宋体" w:cs="仿宋"/>
          <w:color w:val="auto"/>
          <w:sz w:val="21"/>
          <w:szCs w:val="21"/>
          <w:highlight w:val="none"/>
        </w:rPr>
        <w:t>支持日志审计功能。</w:t>
      </w:r>
    </w:p>
    <w:p>
      <w:pPr>
        <w:spacing w:line="360" w:lineRule="auto"/>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w:t>
      </w:r>
      <w:r>
        <w:rPr>
          <w:rFonts w:ascii="宋体" w:hAnsi="宋体" w:eastAsia="宋体"/>
          <w:b/>
          <w:bCs/>
          <w:color w:val="auto"/>
          <w:sz w:val="24"/>
          <w:szCs w:val="24"/>
          <w:highlight w:val="none"/>
        </w:rPr>
        <w:t>5</w:t>
      </w:r>
      <w:r>
        <w:rPr>
          <w:rFonts w:hint="eastAsia" w:ascii="宋体" w:hAnsi="宋体" w:eastAsia="宋体"/>
          <w:b/>
          <w:bCs/>
          <w:color w:val="auto"/>
          <w:sz w:val="24"/>
          <w:szCs w:val="24"/>
          <w:highlight w:val="none"/>
        </w:rPr>
        <w:t>）外网杀毒软件</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提供防病毒系统授权和3年软件版本及特征库免费升级服务，License授权可同时支持普通PC操作系统和服务器Server操作系统（含Linux及Linux Server系统）。</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产品支持各类Windows 32/64位操作系统(Windows 7、Windows 8、Windows 10、Windows Server 2008、Windows Server 2012、Windows Server 2016、Windows Server 2019</w:t>
      </w:r>
      <w:r>
        <w:rPr>
          <w:rFonts w:hint="eastAsia" w:ascii="宋体" w:hAnsi="宋体" w:eastAsia="宋体"/>
          <w:color w:val="auto"/>
          <w:sz w:val="21"/>
          <w:szCs w:val="21"/>
          <w:highlight w:val="none"/>
        </w:rPr>
        <w:t>、WindowsServer</w:t>
      </w:r>
      <w:r>
        <w:rPr>
          <w:rFonts w:ascii="宋体" w:hAnsi="宋体" w:eastAsia="宋体"/>
          <w:color w:val="auto"/>
          <w:sz w:val="21"/>
          <w:szCs w:val="21"/>
          <w:highlight w:val="none"/>
        </w:rPr>
        <w:t xml:space="preserve"> 2022等），支持苹果Mac OS系统、支持各类32/64 Linux系统（Red Hat、SUSE、CentOS、Ubuntu、Debian等）</w:t>
      </w:r>
      <w:r>
        <w:rPr>
          <w:rFonts w:hint="eastAsia" w:ascii="宋体" w:hAnsi="宋体" w:eastAsia="宋体"/>
          <w:color w:val="auto"/>
          <w:sz w:val="21"/>
          <w:szCs w:val="21"/>
          <w:highlight w:val="none"/>
        </w:rPr>
        <w:t>。</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支持文件、邮件和Web等反病毒功能模块。</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具备本地主动防御技术，当恶意行为对系统文件、注册表等破坏或修改后，可回滚病毒在操作系统上执行的恶意操作，通过主动防御技术发现未知勒索病毒进行即刻拦截，同时能够立即还原被勒索病毒加密的文件。</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支持使用受信任的系统证书，通过证书提高系统安全性，支持个人及企业信任证书、受信任根证书颁发机构、智能卡受信任的根、受信任的设备、第三方根证书颁发机构等多种选择。</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支持网络数据包规则的防火墙功能，通过建立防火墙策略规则对特定端口选定数据协议发送和接收网络流量，支持根据应用程序建立网络访问规则，对特定应用程序的网络活动评估和限制，阻止不合法的应用程序网络连接。</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支持移动存储介质控制，如控制U盘、移动硬盘、手机等设备接入终端，避免移动介质传播病毒的风险，支持外接设备认证功能，即特定的U盘可以使用其他则不可以。</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丰富的报表功能，包括：保护状态、感染最严重的情况、客户端被网络攻击的情况、终端产品版本和病毒库版本等。</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实现统一平台、统一管理和统一流程，原厂商须具备虚拟化系统安全解决方案，且集中管控中心能够管理包括物理（Windows、Linux、Mac OS等操作系统）、移动（Android、IOS等操作系统）和虚拟化（VMware、Citrix、Hyper-V）在内的所有安全产品，并集中定制物理、移动系统和虚拟化系统的策略配置和报告输出。</w:t>
      </w:r>
    </w:p>
    <w:p>
      <w:pPr>
        <w:pStyle w:val="22"/>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Times New Roman"/>
          <w:b/>
          <w:bCs/>
          <w:color w:val="auto"/>
          <w:kern w:val="2"/>
          <w:sz w:val="21"/>
          <w:szCs w:val="21"/>
          <w:highlight w:val="none"/>
          <w:lang w:val="en-US" w:eastAsia="zh-CN" w:bidi="ar-SA"/>
        </w:rPr>
      </w:pPr>
      <w:r>
        <w:rPr>
          <w:rFonts w:hint="eastAsia" w:ascii="宋体" w:hAnsi="宋体" w:eastAsia="宋体" w:cs="Times New Roman"/>
          <w:b/>
          <w:bCs/>
          <w:color w:val="auto"/>
          <w:kern w:val="2"/>
          <w:sz w:val="21"/>
          <w:szCs w:val="21"/>
          <w:highlight w:val="none"/>
          <w:lang w:val="en-US" w:eastAsia="zh-CN" w:bidi="ar-SA"/>
        </w:rPr>
        <w:t>与医院现有的防病毒系统进行统一管控，需截图为证明。</w:t>
      </w:r>
    </w:p>
    <w:p>
      <w:pPr>
        <w:spacing w:line="360" w:lineRule="auto"/>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w:t>
      </w:r>
      <w:r>
        <w:rPr>
          <w:rFonts w:ascii="宋体" w:hAnsi="宋体" w:eastAsia="宋体"/>
          <w:b/>
          <w:bCs/>
          <w:color w:val="auto"/>
          <w:sz w:val="24"/>
          <w:szCs w:val="24"/>
          <w:highlight w:val="none"/>
        </w:rPr>
        <w:t>6</w:t>
      </w:r>
      <w:r>
        <w:rPr>
          <w:rFonts w:hint="eastAsia" w:ascii="宋体" w:hAnsi="宋体" w:eastAsia="宋体"/>
          <w:b/>
          <w:bCs/>
          <w:color w:val="auto"/>
          <w:sz w:val="24"/>
          <w:szCs w:val="24"/>
          <w:highlight w:val="none"/>
        </w:rPr>
        <w:t>）上网行为管理</w:t>
      </w:r>
    </w:p>
    <w:p>
      <w:pPr>
        <w:spacing w:line="360" w:lineRule="auto"/>
        <w:ind w:firstLine="420" w:firstLineChars="200"/>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rPr>
        <w:t>性能参数：网络吞吐量≥18G、带宽性能≥2.5Gbps，每秒新建数≥4万、最大并发连接数≥180万，支持用户数≥2.5万；硬件参数：标准机架2U设备，硬盘容量≥128G SSD+960G SSD，内存≥16G,电源：冗余电源，千兆电口≥6个，万兆光口≥2个。</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支持网关模式、路由模式、网桥模式、网桥模式（多路桥接模式）和旁路模式等多种模式的网络部署方式，支持电口bypass。</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产品识别并过滤SSL加密的钓鱼网站、非法网站等</w:t>
      </w:r>
      <w:r>
        <w:rPr>
          <w:rFonts w:hint="eastAsia" w:ascii="宋体" w:hAnsi="宋体" w:eastAsia="宋体"/>
          <w:color w:val="auto"/>
          <w:sz w:val="21"/>
          <w:szCs w:val="21"/>
          <w:highlight w:val="none"/>
        </w:rPr>
        <w:t>；</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产品够实时看到各级流控通道的状态；</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支持查询和导出用户/用户组的文件审计、邮件收发、访问网站、发帖/微博、搜索关键字等详细用户行为的报表</w:t>
      </w:r>
      <w:r>
        <w:rPr>
          <w:rFonts w:hint="eastAsia" w:ascii="宋体" w:hAnsi="宋体" w:eastAsia="宋体"/>
          <w:color w:val="auto"/>
          <w:sz w:val="21"/>
          <w:szCs w:val="21"/>
          <w:highlight w:val="none"/>
        </w:rPr>
        <w:t>；</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设备支持设置四类管理员，分别为系统管理员、安全管理员、审计管理员，以及多种权限的超级管理员；</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支持基于上网人员</w:t>
      </w:r>
      <w:r>
        <w:rPr>
          <w:rFonts w:ascii="宋体" w:hAnsi="宋体" w:eastAsia="宋体"/>
          <w:color w:val="auto"/>
          <w:sz w:val="21"/>
          <w:szCs w:val="21"/>
          <w:highlight w:val="none"/>
        </w:rPr>
        <w:t>上网策略，并且可以根据上网策略对象设置上网权限的自动过期功能</w:t>
      </w:r>
      <w:r>
        <w:rPr>
          <w:rFonts w:hint="eastAsia" w:ascii="宋体" w:hAnsi="宋体" w:eastAsia="宋体"/>
          <w:color w:val="auto"/>
          <w:sz w:val="21"/>
          <w:szCs w:val="21"/>
          <w:highlight w:val="none"/>
        </w:rPr>
        <w:t>；</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支持多种协议对接认证。</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产品识别并过滤SSL加密的钓鱼网站、非法网站等。</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产品可实时看到各级流控通道的状态。</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服务：三年规则库升级、软件升级以及硬件质保。</w:t>
      </w:r>
    </w:p>
    <w:p>
      <w:pPr>
        <w:spacing w:line="360" w:lineRule="auto"/>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w:t>
      </w:r>
      <w:r>
        <w:rPr>
          <w:rFonts w:ascii="宋体" w:hAnsi="宋体" w:eastAsia="宋体"/>
          <w:b/>
          <w:bCs/>
          <w:color w:val="auto"/>
          <w:sz w:val="24"/>
          <w:szCs w:val="24"/>
          <w:highlight w:val="none"/>
        </w:rPr>
        <w:t>7</w:t>
      </w:r>
      <w:r>
        <w:rPr>
          <w:rFonts w:hint="eastAsia" w:ascii="宋体" w:hAnsi="宋体" w:eastAsia="宋体"/>
          <w:b/>
          <w:bCs/>
          <w:color w:val="auto"/>
          <w:sz w:val="24"/>
          <w:szCs w:val="24"/>
          <w:highlight w:val="none"/>
        </w:rPr>
        <w:t>）堡垒机授权</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现有堡垒机（启明星辰）增加</w:t>
      </w:r>
      <w:r>
        <w:rPr>
          <w:rFonts w:ascii="宋体" w:hAnsi="宋体" w:eastAsia="宋体"/>
          <w:color w:val="auto"/>
          <w:sz w:val="21"/>
          <w:szCs w:val="21"/>
          <w:highlight w:val="none"/>
        </w:rPr>
        <w:t>2</w:t>
      </w:r>
      <w:r>
        <w:rPr>
          <w:rFonts w:hint="eastAsia" w:ascii="宋体" w:hAnsi="宋体" w:eastAsia="宋体"/>
          <w:color w:val="auto"/>
          <w:sz w:val="21"/>
          <w:szCs w:val="21"/>
          <w:highlight w:val="none"/>
        </w:rPr>
        <w:t>2</w:t>
      </w:r>
      <w:r>
        <w:rPr>
          <w:rFonts w:ascii="宋体" w:hAnsi="宋体" w:eastAsia="宋体"/>
          <w:color w:val="auto"/>
          <w:sz w:val="21"/>
          <w:szCs w:val="21"/>
          <w:highlight w:val="none"/>
        </w:rPr>
        <w:t>0个被管资源数。</w:t>
      </w:r>
    </w:p>
    <w:p>
      <w:pPr>
        <w:numPr>
          <w:ilvl w:val="0"/>
          <w:numId w:val="8"/>
        </w:numPr>
        <w:spacing w:line="360" w:lineRule="auto"/>
        <w:rPr>
          <w:rFonts w:ascii="宋体" w:hAnsi="宋体" w:eastAsia="宋体"/>
          <w:b/>
          <w:color w:val="auto"/>
          <w:sz w:val="24"/>
          <w:szCs w:val="24"/>
          <w:highlight w:val="none"/>
        </w:rPr>
      </w:pPr>
      <w:r>
        <w:rPr>
          <w:rFonts w:hint="eastAsia" w:ascii="宋体" w:hAnsi="宋体" w:eastAsia="宋体"/>
          <w:b/>
          <w:color w:val="auto"/>
          <w:sz w:val="24"/>
          <w:szCs w:val="24"/>
          <w:highlight w:val="none"/>
        </w:rPr>
        <w:t>动态应用防护系统</w:t>
      </w:r>
    </w:p>
    <w:p>
      <w:pPr>
        <w:spacing w:line="360" w:lineRule="auto"/>
        <w:rPr>
          <w:rFonts w:ascii="宋体" w:hAnsi="宋体" w:eastAsia="宋体"/>
          <w:b/>
          <w:color w:val="auto"/>
          <w:sz w:val="24"/>
          <w:szCs w:val="24"/>
          <w:highlight w:val="none"/>
        </w:rPr>
      </w:pPr>
      <w:r>
        <w:rPr>
          <w:rFonts w:ascii="宋体" w:hAnsi="宋体" w:eastAsia="宋体"/>
          <w:b/>
          <w:color w:val="auto"/>
          <w:sz w:val="24"/>
          <w:szCs w:val="24"/>
          <w:highlight w:val="none"/>
        </w:rPr>
        <w:t>功能要求</w:t>
      </w:r>
      <w:r>
        <w:rPr>
          <w:rFonts w:hint="eastAsia" w:ascii="宋体" w:hAnsi="宋体" w:eastAsia="宋体"/>
          <w:b/>
          <w:color w:val="auto"/>
          <w:sz w:val="24"/>
          <w:szCs w:val="24"/>
          <w:highlight w:val="none"/>
        </w:rPr>
        <w:t>：</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系统要求部署在本地虚拟化环境中，防护功能在本地实现，产生的相关攻击事件保留在本地</w:t>
      </w:r>
      <w:r>
        <w:rPr>
          <w:rFonts w:hint="eastAsia" w:ascii="宋体" w:hAnsi="宋体" w:eastAsia="宋体"/>
          <w:color w:val="auto"/>
          <w:sz w:val="21"/>
          <w:szCs w:val="21"/>
          <w:highlight w:val="none"/>
        </w:rPr>
        <w:t>，</w:t>
      </w:r>
      <w:r>
        <w:rPr>
          <w:rFonts w:ascii="宋体" w:hAnsi="宋体" w:eastAsia="宋体"/>
          <w:color w:val="auto"/>
          <w:sz w:val="21"/>
          <w:szCs w:val="21"/>
          <w:highlight w:val="none"/>
        </w:rPr>
        <w:t>要求防护系统自身有针对攻击行为的判断能力，不需要借助第三方系统的数据或日志；防护系统自身有针对攻击行为的检测和阻断能力，不需要借助其他系统；防护功能静默执行，终端用户访问无感知；防护系统对攻击行为具有实时检测和实时拦截能力</w:t>
      </w:r>
      <w:r>
        <w:rPr>
          <w:rFonts w:hint="eastAsia" w:ascii="宋体" w:hAnsi="宋体" w:eastAsia="宋体"/>
          <w:color w:val="auto"/>
          <w:sz w:val="21"/>
          <w:szCs w:val="21"/>
          <w:highlight w:val="none"/>
        </w:rPr>
        <w:t>。</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要求产品可与医院现有部署的动态安全系统，可以实现统一配置、统一管理。（提供证明）</w:t>
      </w:r>
    </w:p>
    <w:p>
      <w:pPr>
        <w:spacing w:line="360" w:lineRule="auto"/>
        <w:rPr>
          <w:rFonts w:ascii="宋体" w:hAnsi="宋体" w:eastAsia="宋体"/>
          <w:color w:val="auto"/>
          <w:sz w:val="21"/>
          <w:szCs w:val="21"/>
          <w:highlight w:val="none"/>
        </w:rPr>
      </w:pPr>
      <w:r>
        <w:rPr>
          <w:rFonts w:ascii="宋体" w:hAnsi="宋体" w:eastAsia="宋体"/>
          <w:color w:val="auto"/>
          <w:sz w:val="21"/>
          <w:szCs w:val="21"/>
          <w:highlight w:val="none"/>
        </w:rPr>
        <w:t>应用协议支持</w:t>
      </w:r>
      <w:r>
        <w:rPr>
          <w:rFonts w:hint="eastAsia" w:ascii="宋体" w:hAnsi="宋体" w:eastAsia="宋体"/>
          <w:color w:val="auto"/>
          <w:sz w:val="21"/>
          <w:szCs w:val="21"/>
          <w:highlight w:val="none"/>
        </w:rPr>
        <w:t>：</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支持HTTP 0.9/1.0/1.1协议检查与防护。</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支持SSL 3.0/TLS 1.0/TLS1.1/TLS1.2加解密。</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支持基于HTML 4/HTML4.01的网页应用。</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支持基于HTML5的网页及移动浏览器应用。</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支</w:t>
      </w:r>
      <w:r>
        <w:rPr>
          <w:rFonts w:ascii="宋体" w:hAnsi="宋体" w:eastAsia="宋体"/>
          <w:color w:val="auto"/>
          <w:sz w:val="21"/>
          <w:szCs w:val="21"/>
          <w:highlight w:val="none"/>
        </w:rPr>
        <w:t>持JavaScript引擎兼容ECMAScript 5/ ECMAScript 6的浏览器</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攻击防护功能</w:t>
      </w:r>
      <w:r>
        <w:rPr>
          <w:rFonts w:hint="eastAsia" w:ascii="宋体" w:hAnsi="宋体" w:eastAsia="宋体"/>
          <w:color w:val="auto"/>
          <w:sz w:val="21"/>
          <w:szCs w:val="21"/>
          <w:highlight w:val="none"/>
        </w:rPr>
        <w:t>：</w:t>
      </w:r>
      <w:r>
        <w:rPr>
          <w:rFonts w:ascii="宋体" w:hAnsi="宋体" w:eastAsia="宋体"/>
          <w:color w:val="auto"/>
          <w:sz w:val="21"/>
          <w:szCs w:val="21"/>
          <w:highlight w:val="none"/>
        </w:rPr>
        <w:t>对可攻击点进行动态隐藏，自动化工具无法获得攻击入口。(提供技术证明截图)</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不需要攻击特征或规则，即可有效封堵自动化未知漏洞攻击。</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可防止攻击者对WEB应用进行撞库、暴力密码猜测、字典攻击等恶意行为。</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针对攻击者使用多源低频的攻击手段进行有效防护，防止攻击者不断更换IP或降低单一IP访问频度来绕过防护策略。</w:t>
      </w:r>
    </w:p>
    <w:p>
      <w:pPr>
        <w:spacing w:line="360" w:lineRule="auto"/>
        <w:rPr>
          <w:rFonts w:ascii="宋体" w:hAnsi="宋体" w:eastAsia="宋体"/>
          <w:color w:val="auto"/>
          <w:sz w:val="21"/>
          <w:szCs w:val="21"/>
          <w:highlight w:val="none"/>
        </w:rPr>
      </w:pPr>
      <w:r>
        <w:rPr>
          <w:rFonts w:ascii="宋体" w:hAnsi="宋体" w:eastAsia="宋体"/>
          <w:color w:val="auto"/>
          <w:sz w:val="21"/>
          <w:szCs w:val="21"/>
          <w:highlight w:val="none"/>
        </w:rPr>
        <w:t>可以防止应用外挂或工具模拟人工对系统发起访问请求。</w:t>
      </w:r>
    </w:p>
    <w:p>
      <w:pPr>
        <w:spacing w:line="360" w:lineRule="auto"/>
        <w:rPr>
          <w:rFonts w:ascii="宋体" w:hAnsi="宋体" w:eastAsia="宋体"/>
          <w:color w:val="auto"/>
          <w:sz w:val="21"/>
          <w:szCs w:val="21"/>
          <w:highlight w:val="none"/>
        </w:rPr>
      </w:pPr>
      <w:r>
        <w:rPr>
          <w:rFonts w:ascii="宋体" w:hAnsi="宋体" w:eastAsia="宋体"/>
          <w:color w:val="auto"/>
          <w:sz w:val="21"/>
          <w:szCs w:val="21"/>
          <w:highlight w:val="none"/>
        </w:rPr>
        <w:t>不需要配置IP黑白名单，即可防止攻击者通过爬虫或工具，爬取敏感信息。</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可以拦截（阻止）通过自动化工具发出大量高度占用服务器资源的恶意请求。（高级DoS/DDoS）</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动态防护功能</w:t>
      </w:r>
      <w:r>
        <w:rPr>
          <w:rFonts w:ascii="宋体" w:hAnsi="宋体" w:eastAsia="宋体"/>
          <w:color w:val="auto"/>
          <w:sz w:val="21"/>
          <w:szCs w:val="21"/>
          <w:highlight w:val="none"/>
        </w:rPr>
        <w:tab/>
      </w:r>
      <w:r>
        <w:rPr>
          <w:rFonts w:ascii="宋体" w:hAnsi="宋体" w:eastAsia="宋体"/>
          <w:color w:val="auto"/>
          <w:sz w:val="21"/>
          <w:szCs w:val="21"/>
          <w:highlight w:val="none"/>
        </w:rPr>
        <w:t>支持网页代码封装：(a) 对网页中做动态封装，每次封装的结果均不相同，让攻击者无法直接通过查看网页源代码内容。 (b)系统必须自动识别需要封装的内容，不需要用户手动指定要封装的对象。</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提供客户端环境验证：采用动态检查代码检查客户端环境，且每次均随机选取检测项目与数量。</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支持客户端提交请求内容混淆：(a)使用动态的混淆算法与密钥对终端用户请求的内容进行保护。(b)对于受保护的请求内容，必须对请求的整体内容进行保护。(c)管理员不需要手动配置策略指定需要保护的参数。</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提供网页令牌：(a)通过对当前访问页面内的合法请求授予在一定时间内有效的一次性令牌。(b) 管理员不需要手动配置策略指定需要保护的参数。</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对于无效的请求，可重定向到指定的入口或直接拒绝该请求。</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可对下列HTTP方法进行过滤：COPY、DELETE、GET、HEAD、LOCK、MKCOL、MOVE、OPTIONS、PATCH、POST、PROPFIND、PROPPATCH、PUT、TRACE、UNLOCK。</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可对任意的HTTP请求协议标题长度进行限制，以阻挡异常或攻击请求。</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可对URL中的关键字进行过滤，以阻挡对后台系统或敏感网址的访问。</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可对URL中的后缀名进行过滤，以防止对敏感文件类型的访问。</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可对服务器响应的内容进行关键字过滤，防止敏感数据外泄。</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HTTP标头安全配置项</w:t>
      </w:r>
      <w:r>
        <w:rPr>
          <w:rFonts w:ascii="宋体" w:hAnsi="宋体" w:eastAsia="宋体"/>
          <w:color w:val="auto"/>
          <w:sz w:val="21"/>
          <w:szCs w:val="21"/>
          <w:highlight w:val="none"/>
        </w:rPr>
        <w:tab/>
      </w:r>
      <w:r>
        <w:rPr>
          <w:rFonts w:ascii="宋体" w:hAnsi="宋体" w:eastAsia="宋体"/>
          <w:color w:val="auto"/>
          <w:sz w:val="21"/>
          <w:szCs w:val="21"/>
          <w:highlight w:val="none"/>
        </w:rPr>
        <w:t>X-Frame-Options：可配置为SAMEORIGIN、ALLOW-FROM或DENY，用于防止网页内容被嵌套到别的网站及点击劫持。</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X-Content-Type-Options：可用于关闭IE的文档类型自动判断功能，以防止类型嗅探攻击。</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X-XSS-Protection：开启浏览器对反射型XSS的防护功能。</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Accept-Encoding：用于修改浏览器支持的编码类型。</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Host：用于重写请求对象的主机名。</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X-Real-IP：用于记录直接连接的来源客户端IP地址。</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X-Forwarded-For：用于记录中间代理及客户端的来源地址。</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防护对象设置</w:t>
      </w:r>
      <w:r>
        <w:rPr>
          <w:rFonts w:hint="eastAsia" w:ascii="宋体" w:hAnsi="宋体" w:eastAsia="宋体"/>
          <w:color w:val="auto"/>
          <w:sz w:val="21"/>
          <w:szCs w:val="21"/>
          <w:highlight w:val="none"/>
        </w:rPr>
        <w:t>：</w:t>
      </w:r>
      <w:r>
        <w:rPr>
          <w:rFonts w:ascii="宋体" w:hAnsi="宋体" w:eastAsia="宋体"/>
          <w:color w:val="auto"/>
          <w:sz w:val="21"/>
          <w:szCs w:val="21"/>
          <w:highlight w:val="none"/>
        </w:rPr>
        <w:t>支持请求白名单，对指定的请求网址不检查动态令牌。</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支持响应白名单，对指定请求地址的响应内容不进行动态封装。</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IP白名单，对于指定的来源IP地址进行透传，不进行任何保护；</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IP黑名单，对于制定的来源IP地址进行防护，其他的IP地址不进行任何防护。</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日志功能要求</w:t>
      </w:r>
      <w:r>
        <w:rPr>
          <w:rFonts w:hint="eastAsia" w:ascii="宋体" w:hAnsi="宋体" w:eastAsia="宋体"/>
          <w:color w:val="auto"/>
          <w:sz w:val="21"/>
          <w:szCs w:val="21"/>
          <w:highlight w:val="none"/>
        </w:rPr>
        <w:t>：</w:t>
      </w:r>
      <w:r>
        <w:rPr>
          <w:rFonts w:ascii="宋体" w:hAnsi="宋体" w:eastAsia="宋体"/>
          <w:color w:val="auto"/>
          <w:sz w:val="21"/>
          <w:szCs w:val="21"/>
          <w:highlight w:val="none"/>
        </w:rPr>
        <w:t>至少要有防护日志、操作审计日志和系统日志。日志记录至少包含时间、访问网址、来源IP地址、过滤规则及规则细节等。日志可通过TCP或UDP协议，输出到指定的Syslog服务器。可自动对日志进行归档及磁盘空间管理。</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报表功能要求</w:t>
      </w:r>
      <w:r>
        <w:rPr>
          <w:rFonts w:hint="eastAsia" w:ascii="宋体" w:hAnsi="宋体" w:eastAsia="宋体"/>
          <w:color w:val="auto"/>
          <w:sz w:val="21"/>
          <w:szCs w:val="21"/>
          <w:highlight w:val="none"/>
        </w:rPr>
        <w:t>：</w:t>
      </w:r>
      <w:r>
        <w:rPr>
          <w:rFonts w:ascii="宋体" w:hAnsi="宋体" w:eastAsia="宋体"/>
          <w:color w:val="auto"/>
          <w:sz w:val="21"/>
          <w:szCs w:val="21"/>
          <w:highlight w:val="none"/>
        </w:rPr>
        <w:t>提供统计数据和统计图表，其中包括总请求数、已防护数、异常请求数、已阻止攻击数，异常请求时间图表。总请求及异常请求分析报表，异常请求分析报表需包含请求URL 校验失败、表单数据解密失败、cookie校验失败、cookie盗用、爬虫、注入攻击及终端异常行为等事件的统计分析。</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提供正常来源IP、攻击来源IP、正常访问路径、被攻击路径TOP5、UserAgent、状态码、浏览器等信息的排名。</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对攻击行为提供详细的信息并提供筛选过滤功能，过滤条件包括：时间、状态、自动化工具、注入攻击类型、源IP、路径、URL异常类型、cookie异常类型等。</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提供CPU使用率、内存用量、磁盘用量、上行流量及下行流量等监控报表。</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管理模块要求</w:t>
      </w:r>
      <w:r>
        <w:rPr>
          <w:rFonts w:ascii="宋体" w:hAnsi="宋体" w:eastAsia="宋体"/>
          <w:color w:val="auto"/>
          <w:sz w:val="21"/>
          <w:szCs w:val="21"/>
          <w:highlight w:val="none"/>
        </w:rPr>
        <w:tab/>
      </w:r>
      <w:r>
        <w:rPr>
          <w:rFonts w:ascii="宋体" w:hAnsi="宋体" w:eastAsia="宋体"/>
          <w:color w:val="auto"/>
          <w:sz w:val="21"/>
          <w:szCs w:val="21"/>
          <w:highlight w:val="none"/>
        </w:rPr>
        <w:t>保护设置，对要防护的后台服务器进行配置，包括后台服务器地址、端口、防护等级、白名单、配置文件导入导出等内容。</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系统升级，上传系统升级包，对系统进行更新。</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操作日志，操作日志可以查看整个集群里的所有操作记录，包括操作发起的时间、操作者用户名、源IP地址、接受操作的模块、操作名称、操作结果、以及详细的操作描述等信息。</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高级设置，对系统进行高级配置，包括归档日志磁盘占用最大空间、大数据分析磁盘占用最大空间、Syslog输出、日志输入格式、NTP服务器等内容。</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用户管理，对系统用户进行管理，包括新建、编辑、删除、修改密码等操作。</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性能要求</w:t>
      </w:r>
      <w:r>
        <w:rPr>
          <w:rFonts w:hint="eastAsia" w:ascii="宋体" w:hAnsi="宋体" w:eastAsia="宋体"/>
          <w:color w:val="auto"/>
          <w:sz w:val="21"/>
          <w:szCs w:val="21"/>
          <w:highlight w:val="none"/>
        </w:rPr>
        <w:t>：</w:t>
      </w:r>
      <w:r>
        <w:rPr>
          <w:rFonts w:ascii="宋体" w:hAnsi="宋体" w:eastAsia="宋体"/>
          <w:color w:val="auto"/>
          <w:sz w:val="21"/>
          <w:szCs w:val="21"/>
          <w:highlight w:val="none"/>
        </w:rPr>
        <w:t>网络最大吞吐量，千兆环境&gt;1Gbps；万兆环境&gt;5Gbps；</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TCP并发会话数，千兆环境：&gt; 250万；万兆环境：&gt; 450万；</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HTTP新建连接数，千兆环境：&gt; 5000连接/秒；万兆环境：&gt; 18000连接/秒；</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产品部署要求</w:t>
      </w:r>
      <w:r>
        <w:rPr>
          <w:rFonts w:hint="eastAsia" w:ascii="宋体" w:hAnsi="宋体" w:eastAsia="宋体"/>
          <w:color w:val="auto"/>
          <w:sz w:val="21"/>
          <w:szCs w:val="21"/>
          <w:highlight w:val="none"/>
        </w:rPr>
        <w:t>：</w:t>
      </w:r>
      <w:r>
        <w:rPr>
          <w:rFonts w:ascii="宋体" w:hAnsi="宋体" w:eastAsia="宋体"/>
          <w:color w:val="auto"/>
          <w:sz w:val="21"/>
          <w:szCs w:val="21"/>
          <w:highlight w:val="none"/>
        </w:rPr>
        <w:t>方案采用非植入式部署方式，不需要在应用服务器和用户的客户端安装客户端软件；不需要应用系统进行任何的代码二次开发，不需要应用服务器做配置变更，部署对应用无感知；部署架构采用反向代理模式，可有效过滤与防护进出应用服务器的流量。根据数据流量大小，产品可支持单网卡、双网卡、三网卡入网模式；</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产品提供多种不同的保护模式，可以根据不同的防护阶段开启不同的防护模式，防护模式至少应包括：透明模式、监听模式和拦截模式。</w:t>
      </w:r>
    </w:p>
    <w:p>
      <w:pPr>
        <w:pStyle w:val="32"/>
        <w:spacing w:line="360" w:lineRule="auto"/>
        <w:ind w:firstLine="0" w:firstLineChars="0"/>
        <w:rPr>
          <w:rFonts w:ascii="宋体" w:hAnsi="宋体" w:eastAsia="宋体"/>
          <w:b/>
          <w:color w:val="auto"/>
          <w:sz w:val="24"/>
          <w:szCs w:val="24"/>
          <w:highlight w:val="none"/>
        </w:rPr>
      </w:pPr>
      <w:r>
        <w:rPr>
          <w:rFonts w:hint="eastAsia" w:ascii="宋体" w:hAnsi="宋体" w:eastAsia="宋体"/>
          <w:b/>
          <w:color w:val="auto"/>
          <w:sz w:val="24"/>
          <w:szCs w:val="24"/>
          <w:highlight w:val="none"/>
        </w:rPr>
        <w:t>（9）虚拟化防护</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提供虚拟化平台CPU宿主机安全防护授权，含3年软件版本及特征库免费升级服务</w:t>
      </w:r>
      <w:r>
        <w:rPr>
          <w:rFonts w:hint="eastAsia" w:ascii="宋体" w:hAnsi="宋体" w:eastAsia="宋体"/>
          <w:color w:val="auto"/>
          <w:sz w:val="21"/>
          <w:szCs w:val="21"/>
          <w:highlight w:val="none"/>
        </w:rPr>
        <w:t>。</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支持与VMware vShield或NSX集成，提供实时的无代理反恶意程序保护，无需在虚拟机上安装任何安全代理客户端软件，通过专属安全虚拟</w:t>
      </w:r>
      <w:r>
        <w:rPr>
          <w:rFonts w:hint="eastAsia" w:ascii="宋体" w:hAnsi="宋体" w:eastAsia="宋体"/>
          <w:color w:val="auto"/>
          <w:sz w:val="21"/>
          <w:szCs w:val="21"/>
          <w:highlight w:val="none"/>
        </w:rPr>
        <w:t>应用</w:t>
      </w:r>
      <w:r>
        <w:rPr>
          <w:rFonts w:ascii="宋体" w:hAnsi="宋体" w:eastAsia="宋体"/>
          <w:color w:val="auto"/>
          <w:sz w:val="21"/>
          <w:szCs w:val="21"/>
          <w:highlight w:val="none"/>
        </w:rPr>
        <w:t>SVA与VMware接口集成进行无代理的安全防护模式，和传统防病毒客户端模式相比，专属安全虚拟应用SVA的无代理防护模式能减少对整个虚拟化资源池硬件资源的消耗。</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产品可提供无需NSX组件的轻代理客户端安全防护模式，通过轻代理和安全虚拟应用SVA联动进行安全防护，轻代理客户端无需更新病毒数据库，将病毒扫描开销负载到安全虚拟应用SVA上完成扫描恶意程序，避免虚拟化环境病毒扫描风暴更新风暴等问题。</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轻代理模式支持VMware、Citrix、Microsoft Hyper-v、华为、KVM等虚拟化系统</w:t>
      </w:r>
      <w:r>
        <w:rPr>
          <w:rFonts w:hint="eastAsia" w:ascii="宋体" w:hAnsi="宋体" w:eastAsia="宋体"/>
          <w:color w:val="auto"/>
          <w:sz w:val="21"/>
          <w:szCs w:val="21"/>
          <w:highlight w:val="none"/>
        </w:rPr>
        <w:t>，</w:t>
      </w:r>
      <w:r>
        <w:rPr>
          <w:rFonts w:ascii="宋体" w:hAnsi="宋体" w:eastAsia="宋体"/>
          <w:color w:val="auto"/>
          <w:sz w:val="21"/>
          <w:szCs w:val="21"/>
          <w:highlight w:val="none"/>
        </w:rPr>
        <w:t>提供官网支持列表截图和网页连接。</w:t>
      </w:r>
    </w:p>
    <w:p>
      <w:pPr>
        <w:spacing w:line="360" w:lineRule="auto"/>
        <w:ind w:firstLine="420" w:firstLineChars="200"/>
        <w:rPr>
          <w:rFonts w:hint="eastAsia" w:ascii="宋体" w:hAnsi="宋体" w:eastAsia="宋体"/>
          <w:color w:val="auto"/>
          <w:sz w:val="21"/>
          <w:szCs w:val="21"/>
          <w:highlight w:val="none"/>
        </w:rPr>
      </w:pPr>
      <w:r>
        <w:rPr>
          <w:rFonts w:ascii="宋体" w:hAnsi="宋体" w:eastAsia="宋体"/>
          <w:color w:val="auto"/>
          <w:sz w:val="21"/>
          <w:szCs w:val="21"/>
          <w:highlight w:val="none"/>
        </w:rPr>
        <w:t>支持各类Windows 32/64位操作系统(Windows 7、Windows 8、Windows 10、Windows Server 2003、Windows Server 2008、Windows Server 2012、Windows Server 2016、Windows Server 2019等），支持各类32/64 Linux系统（Red Hat、SUSE、CentOS、Ubuntu、Debian等）。</w:t>
      </w:r>
    </w:p>
    <w:p>
      <w:pPr>
        <w:pStyle w:val="22"/>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eastAsia="宋体" w:cs="Times New Roman"/>
          <w:b/>
          <w:bCs/>
          <w:color w:val="auto"/>
          <w:kern w:val="2"/>
          <w:sz w:val="21"/>
          <w:szCs w:val="21"/>
          <w:highlight w:val="none"/>
          <w:lang w:val="en-US" w:eastAsia="zh-CN" w:bidi="ar-SA"/>
        </w:rPr>
      </w:pPr>
      <w:r>
        <w:rPr>
          <w:rFonts w:hint="eastAsia" w:ascii="宋体" w:hAnsi="宋体" w:eastAsia="宋体" w:cs="Times New Roman"/>
          <w:b/>
          <w:bCs/>
          <w:color w:val="auto"/>
          <w:kern w:val="2"/>
          <w:sz w:val="21"/>
          <w:szCs w:val="21"/>
          <w:highlight w:val="none"/>
          <w:lang w:val="en-US" w:eastAsia="zh-CN" w:bidi="ar-SA"/>
        </w:rPr>
        <w:t>与医院原有的防病毒系统进行统一管控，需截图为证明。</w:t>
      </w:r>
    </w:p>
    <w:p>
      <w:pPr>
        <w:pStyle w:val="4"/>
        <w:numPr>
          <w:ilvl w:val="0"/>
          <w:numId w:val="5"/>
        </w:numPr>
        <w:jc w:val="left"/>
        <w:rPr>
          <w:color w:val="auto"/>
          <w:sz w:val="28"/>
          <w:szCs w:val="28"/>
          <w:highlight w:val="none"/>
        </w:rPr>
      </w:pPr>
      <w:bookmarkStart w:id="116" w:name="_Toc2394"/>
      <w:bookmarkStart w:id="117" w:name="_Toc23633"/>
      <w:r>
        <w:rPr>
          <w:rFonts w:hint="eastAsia"/>
          <w:color w:val="auto"/>
          <w:sz w:val="28"/>
          <w:szCs w:val="28"/>
          <w:highlight w:val="none"/>
        </w:rPr>
        <w:t>安全服务要求</w:t>
      </w:r>
      <w:bookmarkEnd w:id="116"/>
      <w:bookmarkEnd w:id="117"/>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1）中标商需配合医院完成三级等保测评。</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2）所有来院人员和接触此项目人员需签订保密协议，包括但不限于商务代表、驻场工程师、实施工程师、开发工程师，中标商公司其他人员。</w:t>
      </w:r>
    </w:p>
    <w:p>
      <w:pPr>
        <w:pStyle w:val="4"/>
        <w:numPr>
          <w:ilvl w:val="0"/>
          <w:numId w:val="5"/>
        </w:numPr>
        <w:jc w:val="left"/>
        <w:rPr>
          <w:rFonts w:hint="eastAsia"/>
          <w:color w:val="auto"/>
          <w:sz w:val="28"/>
          <w:szCs w:val="28"/>
          <w:highlight w:val="none"/>
        </w:rPr>
      </w:pPr>
      <w:bookmarkStart w:id="118" w:name="_Toc29957"/>
      <w:bookmarkStart w:id="119" w:name="_Toc29388"/>
      <w:r>
        <w:rPr>
          <w:rFonts w:hint="eastAsia"/>
          <w:color w:val="auto"/>
          <w:sz w:val="28"/>
          <w:szCs w:val="28"/>
          <w:highlight w:val="none"/>
        </w:rPr>
        <w:t>其他服务要求</w:t>
      </w:r>
      <w:bookmarkEnd w:id="118"/>
      <w:bookmarkEnd w:id="119"/>
    </w:p>
    <w:p>
      <w:pPr>
        <w:spacing w:line="360" w:lineRule="auto"/>
        <w:ind w:firstLine="420" w:firstLineChars="200"/>
        <w:rPr>
          <w:rFonts w:ascii="宋体" w:hAnsi="宋体" w:eastAsia="宋体"/>
          <w:color w:val="auto"/>
          <w:sz w:val="21"/>
          <w:szCs w:val="21"/>
          <w:highlight w:val="none"/>
          <w:lang w:val="zh-CN"/>
        </w:rPr>
      </w:pPr>
      <w:r>
        <w:rPr>
          <w:rFonts w:hint="eastAsia" w:ascii="宋体" w:hAnsi="宋体" w:eastAsia="宋体"/>
          <w:color w:val="auto"/>
          <w:sz w:val="21"/>
          <w:szCs w:val="21"/>
          <w:highlight w:val="none"/>
          <w:lang w:val="zh-CN"/>
        </w:rPr>
        <w:t>1)为医院提供信息化发展规划的合理建议；</w:t>
      </w:r>
    </w:p>
    <w:p>
      <w:pPr>
        <w:spacing w:line="360" w:lineRule="auto"/>
        <w:ind w:firstLine="420" w:firstLineChars="200"/>
        <w:rPr>
          <w:rFonts w:ascii="宋体" w:hAnsi="宋体" w:eastAsia="宋体"/>
          <w:color w:val="auto"/>
          <w:sz w:val="21"/>
          <w:szCs w:val="21"/>
          <w:highlight w:val="none"/>
          <w:lang w:val="zh-CN"/>
        </w:rPr>
      </w:pPr>
      <w:r>
        <w:rPr>
          <w:rFonts w:hint="eastAsia" w:ascii="宋体" w:hAnsi="宋体" w:eastAsia="宋体"/>
          <w:color w:val="auto"/>
          <w:sz w:val="21"/>
          <w:szCs w:val="21"/>
          <w:highlight w:val="none"/>
          <w:lang w:val="zh-CN"/>
        </w:rPr>
        <w:t>2)为医院提供信息化方案设计技术支持；</w:t>
      </w:r>
    </w:p>
    <w:p>
      <w:pPr>
        <w:spacing w:line="360" w:lineRule="auto"/>
        <w:ind w:firstLine="420" w:firstLineChars="200"/>
        <w:rPr>
          <w:rFonts w:ascii="宋体" w:hAnsi="宋体" w:eastAsia="宋体"/>
          <w:color w:val="auto"/>
          <w:sz w:val="21"/>
          <w:szCs w:val="21"/>
          <w:highlight w:val="none"/>
          <w:lang w:val="zh-CN"/>
        </w:rPr>
      </w:pPr>
      <w:r>
        <w:rPr>
          <w:rFonts w:hint="eastAsia" w:ascii="宋体" w:hAnsi="宋体" w:eastAsia="宋体"/>
          <w:color w:val="auto"/>
          <w:sz w:val="21"/>
          <w:szCs w:val="21"/>
          <w:highlight w:val="none"/>
          <w:lang w:val="zh-CN"/>
        </w:rPr>
        <w:t>3)为医院提供</w:t>
      </w:r>
      <w:r>
        <w:rPr>
          <w:rFonts w:hint="eastAsia" w:ascii="宋体" w:hAnsi="宋体" w:eastAsia="宋体"/>
          <w:color w:val="auto"/>
          <w:sz w:val="21"/>
          <w:szCs w:val="21"/>
          <w:highlight w:val="none"/>
        </w:rPr>
        <w:t>网络、存储、硬件</w:t>
      </w:r>
      <w:r>
        <w:rPr>
          <w:rFonts w:hint="eastAsia" w:ascii="宋体" w:hAnsi="宋体" w:eastAsia="宋体"/>
          <w:color w:val="auto"/>
          <w:sz w:val="21"/>
          <w:szCs w:val="21"/>
          <w:highlight w:val="none"/>
          <w:lang w:val="zh-CN"/>
        </w:rPr>
        <w:t>技术咨询服务；</w:t>
      </w:r>
    </w:p>
    <w:p>
      <w:pPr>
        <w:spacing w:line="360" w:lineRule="auto"/>
        <w:ind w:firstLine="420" w:firstLineChars="200"/>
        <w:rPr>
          <w:rFonts w:ascii="宋体" w:hAnsi="宋体" w:eastAsia="宋体"/>
          <w:color w:val="auto"/>
          <w:sz w:val="21"/>
          <w:szCs w:val="21"/>
          <w:highlight w:val="none"/>
          <w:lang w:val="zh-CN"/>
        </w:rPr>
      </w:pPr>
      <w:r>
        <w:rPr>
          <w:rFonts w:hint="eastAsia" w:ascii="宋体" w:hAnsi="宋体" w:eastAsia="宋体"/>
          <w:color w:val="auto"/>
          <w:sz w:val="21"/>
          <w:szCs w:val="21"/>
          <w:highlight w:val="none"/>
          <w:lang w:val="zh-CN"/>
        </w:rPr>
        <w:t>4)为医院提供信息化技术支持培训；</w:t>
      </w:r>
    </w:p>
    <w:p>
      <w:pPr>
        <w:spacing w:line="360" w:lineRule="auto"/>
        <w:ind w:firstLine="420" w:firstLineChars="200"/>
        <w:rPr>
          <w:rFonts w:ascii="宋体" w:hAnsi="宋体" w:eastAsia="宋体"/>
          <w:color w:val="auto"/>
          <w:sz w:val="21"/>
          <w:szCs w:val="21"/>
          <w:highlight w:val="none"/>
          <w:lang w:val="zh-CN"/>
        </w:rPr>
      </w:pPr>
      <w:r>
        <w:rPr>
          <w:rFonts w:hint="eastAsia" w:ascii="宋体" w:hAnsi="宋体" w:eastAsia="宋体"/>
          <w:color w:val="auto"/>
          <w:sz w:val="21"/>
          <w:szCs w:val="21"/>
          <w:highlight w:val="none"/>
          <w:lang w:val="zh-CN"/>
        </w:rPr>
        <w:t>5)为医院提供上述</w:t>
      </w:r>
      <w:r>
        <w:rPr>
          <w:rFonts w:hint="eastAsia" w:ascii="宋体" w:hAnsi="宋体" w:eastAsia="宋体"/>
          <w:color w:val="auto"/>
          <w:sz w:val="21"/>
          <w:szCs w:val="21"/>
          <w:highlight w:val="none"/>
        </w:rPr>
        <w:t>网络、服务器、存储等硬件</w:t>
      </w:r>
      <w:r>
        <w:rPr>
          <w:rFonts w:hint="eastAsia" w:ascii="宋体" w:hAnsi="宋体" w:eastAsia="宋体"/>
          <w:color w:val="auto"/>
          <w:sz w:val="21"/>
          <w:szCs w:val="21"/>
          <w:highlight w:val="none"/>
          <w:lang w:val="zh-CN"/>
        </w:rPr>
        <w:t>故障排查及处理；</w:t>
      </w:r>
    </w:p>
    <w:p>
      <w:pPr>
        <w:spacing w:line="360" w:lineRule="auto"/>
        <w:ind w:firstLine="420" w:firstLineChars="200"/>
        <w:rPr>
          <w:rFonts w:ascii="宋体" w:hAnsi="宋体" w:eastAsia="宋体"/>
          <w:color w:val="auto"/>
          <w:sz w:val="21"/>
          <w:szCs w:val="21"/>
          <w:highlight w:val="none"/>
          <w:lang w:val="zh-CN"/>
        </w:rPr>
      </w:pPr>
      <w:r>
        <w:rPr>
          <w:rFonts w:hint="eastAsia" w:ascii="宋体" w:hAnsi="宋体" w:eastAsia="宋体"/>
          <w:color w:val="auto"/>
          <w:sz w:val="21"/>
          <w:szCs w:val="21"/>
          <w:highlight w:val="none"/>
          <w:lang w:val="zh-CN"/>
        </w:rPr>
        <w:t>6)为医院</w:t>
      </w:r>
      <w:r>
        <w:rPr>
          <w:rFonts w:hint="eastAsia" w:ascii="宋体" w:hAnsi="宋体" w:eastAsia="宋体"/>
          <w:color w:val="auto"/>
          <w:sz w:val="21"/>
          <w:szCs w:val="21"/>
          <w:highlight w:val="none"/>
        </w:rPr>
        <w:t>提供</w:t>
      </w:r>
      <w:r>
        <w:rPr>
          <w:rFonts w:hint="eastAsia" w:ascii="宋体" w:hAnsi="宋体" w:eastAsia="宋体"/>
          <w:color w:val="auto"/>
          <w:sz w:val="21"/>
          <w:szCs w:val="21"/>
          <w:highlight w:val="none"/>
          <w:lang w:val="zh-CN"/>
        </w:rPr>
        <w:t>上述所涉及到的所有模块日常基础运行、维护，包括日常电话处理、使用问题解答与处理，</w:t>
      </w:r>
      <w:r>
        <w:rPr>
          <w:rFonts w:hint="eastAsia" w:ascii="宋体" w:hAnsi="宋体" w:eastAsia="宋体"/>
          <w:color w:val="auto"/>
          <w:sz w:val="21"/>
          <w:szCs w:val="21"/>
          <w:highlight w:val="none"/>
        </w:rPr>
        <w:t>根据医院需求提供上门服务</w:t>
      </w:r>
      <w:r>
        <w:rPr>
          <w:rFonts w:hint="eastAsia" w:ascii="宋体" w:hAnsi="宋体" w:eastAsia="宋体"/>
          <w:color w:val="auto"/>
          <w:sz w:val="21"/>
          <w:szCs w:val="21"/>
          <w:highlight w:val="none"/>
          <w:lang w:val="zh-CN"/>
        </w:rPr>
        <w:t>；</w:t>
      </w:r>
    </w:p>
    <w:p>
      <w:pPr>
        <w:spacing w:line="360" w:lineRule="auto"/>
        <w:ind w:firstLine="420" w:firstLineChars="200"/>
        <w:rPr>
          <w:rFonts w:ascii="宋体" w:hAnsi="宋体" w:eastAsia="宋体"/>
          <w:color w:val="auto"/>
          <w:sz w:val="21"/>
          <w:szCs w:val="21"/>
          <w:highlight w:val="none"/>
          <w:lang w:val="zh-CN"/>
        </w:rPr>
      </w:pPr>
      <w:r>
        <w:rPr>
          <w:rFonts w:hint="eastAsia" w:ascii="宋体" w:hAnsi="宋体" w:eastAsia="宋体"/>
          <w:color w:val="auto"/>
          <w:sz w:val="21"/>
          <w:szCs w:val="21"/>
          <w:highlight w:val="none"/>
          <w:lang w:val="zh-CN"/>
        </w:rPr>
        <w:t>7)为医院提供整体的巡检及评估，</w:t>
      </w:r>
      <w:r>
        <w:rPr>
          <w:rFonts w:hint="eastAsia" w:ascii="宋体" w:hAnsi="宋体" w:eastAsia="宋体"/>
          <w:color w:val="auto"/>
          <w:sz w:val="21"/>
          <w:szCs w:val="21"/>
          <w:highlight w:val="none"/>
        </w:rPr>
        <w:t>每季度进行一次</w:t>
      </w:r>
      <w:r>
        <w:rPr>
          <w:rFonts w:hint="eastAsia" w:ascii="宋体" w:hAnsi="宋体" w:eastAsia="宋体"/>
          <w:color w:val="auto"/>
          <w:sz w:val="21"/>
          <w:szCs w:val="21"/>
          <w:highlight w:val="none"/>
          <w:lang w:val="zh-CN"/>
        </w:rPr>
        <w:t>；</w:t>
      </w:r>
    </w:p>
    <w:p>
      <w:pPr>
        <w:spacing w:line="360" w:lineRule="auto"/>
        <w:ind w:firstLine="420" w:firstLineChars="200"/>
        <w:rPr>
          <w:rFonts w:ascii="宋体" w:hAnsi="宋体" w:eastAsia="宋体"/>
          <w:color w:val="auto"/>
          <w:sz w:val="21"/>
          <w:szCs w:val="21"/>
          <w:highlight w:val="none"/>
          <w:lang w:val="zh-CN"/>
        </w:rPr>
      </w:pPr>
      <w:r>
        <w:rPr>
          <w:rFonts w:hint="eastAsia" w:ascii="宋体" w:hAnsi="宋体" w:eastAsia="宋体"/>
          <w:color w:val="auto"/>
          <w:sz w:val="21"/>
          <w:szCs w:val="21"/>
          <w:highlight w:val="none"/>
          <w:lang w:val="zh-CN"/>
        </w:rPr>
        <w:t>8)协助医院应对临时性的、紧急性的与信息化相关的业务；</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lang w:val="zh-CN"/>
        </w:rPr>
        <w:t>9)为医院提供数据库的定期巡检、故障处理、性能优化、故障追溯等相关业务</w:t>
      </w:r>
      <w:r>
        <w:rPr>
          <w:rFonts w:hint="eastAsia" w:ascii="宋体" w:hAnsi="宋体" w:eastAsia="宋体"/>
          <w:color w:val="auto"/>
          <w:sz w:val="21"/>
          <w:szCs w:val="21"/>
          <w:highlight w:val="none"/>
        </w:rPr>
        <w:t>。</w:t>
      </w:r>
    </w:p>
    <w:p>
      <w:pPr>
        <w:spacing w:line="360" w:lineRule="auto"/>
        <w:ind w:firstLine="420" w:firstLineChars="200"/>
        <w:rPr>
          <w:rFonts w:hint="eastAsia" w:ascii="宋体" w:hAnsi="宋体" w:eastAsia="宋体"/>
          <w:color w:val="auto"/>
          <w:sz w:val="21"/>
          <w:szCs w:val="21"/>
          <w:highlight w:val="none"/>
        </w:rPr>
      </w:pPr>
      <w:r>
        <w:rPr>
          <w:rFonts w:hint="eastAsia" w:ascii="宋体" w:hAnsi="宋体" w:eastAsia="宋体"/>
          <w:color w:val="auto"/>
          <w:sz w:val="21"/>
          <w:szCs w:val="21"/>
          <w:highlight w:val="none"/>
        </w:rPr>
        <w:t>10）</w:t>
      </w:r>
      <w:r>
        <w:rPr>
          <w:rFonts w:hint="eastAsia" w:ascii="宋体" w:hAnsi="宋体" w:eastAsia="宋体"/>
          <w:color w:val="auto"/>
          <w:sz w:val="21"/>
          <w:szCs w:val="21"/>
          <w:highlight w:val="none"/>
          <w:lang w:val="zh-CN"/>
        </w:rPr>
        <w:t>故障出现必须以最快时间排查，并在排查后向医院出具相关报告；</w:t>
      </w:r>
      <w:r>
        <w:rPr>
          <w:rFonts w:hint="eastAsia" w:ascii="宋体" w:hAnsi="宋体" w:eastAsia="宋体"/>
          <w:color w:val="auto"/>
          <w:sz w:val="21"/>
          <w:szCs w:val="21"/>
          <w:highlight w:val="none"/>
        </w:rPr>
        <w:t>一般问题2小时以内，严重问题4小时以内，特别严重8小时以内。</w:t>
      </w:r>
    </w:p>
    <w:p>
      <w:pPr>
        <w:rPr>
          <w:rFonts w:hint="eastAsia"/>
          <w:color w:val="auto"/>
          <w:highlight w:val="none"/>
        </w:rPr>
      </w:pPr>
      <w:r>
        <w:rPr>
          <w:rFonts w:hint="eastAsia" w:ascii="宋体" w:hAnsi="宋体" w:eastAsia="宋体"/>
          <w:color w:val="auto"/>
          <w:sz w:val="21"/>
          <w:szCs w:val="21"/>
          <w:highlight w:val="none"/>
        </w:rPr>
        <w:br w:type="page"/>
      </w:r>
    </w:p>
    <w:p>
      <w:pPr>
        <w:numPr>
          <w:ilvl w:val="0"/>
          <w:numId w:val="0"/>
        </w:numPr>
        <w:spacing w:line="360" w:lineRule="auto"/>
        <w:jc w:val="center"/>
        <w:outlineLvl w:val="0"/>
        <w:rPr>
          <w:rFonts w:hint="eastAsia" w:ascii="宋体" w:hAnsi="宋体"/>
          <w:b/>
          <w:color w:val="auto"/>
          <w:kern w:val="44"/>
          <w:sz w:val="32"/>
          <w:highlight w:val="none"/>
          <w:lang w:val="en-US" w:eastAsia="zh-CN"/>
        </w:rPr>
      </w:pPr>
      <w:bookmarkStart w:id="120" w:name="_Toc11070"/>
      <w:r>
        <w:rPr>
          <w:rFonts w:hint="eastAsia" w:ascii="宋体" w:hAnsi="宋体"/>
          <w:b/>
          <w:color w:val="auto"/>
          <w:kern w:val="44"/>
          <w:sz w:val="32"/>
          <w:highlight w:val="none"/>
          <w:lang w:val="en-US" w:eastAsia="zh-CN"/>
        </w:rPr>
        <w:t>第五章  合同条款</w:t>
      </w:r>
      <w:bookmarkEnd w:id="77"/>
      <w:bookmarkEnd w:id="78"/>
      <w:bookmarkEnd w:id="79"/>
      <w:bookmarkEnd w:id="120"/>
    </w:p>
    <w:p>
      <w:pPr>
        <w:spacing w:line="360" w:lineRule="auto"/>
        <w:jc w:val="center"/>
        <w:rPr>
          <w:rFonts w:hint="eastAsia" w:ascii="宋体" w:hAnsi="宋体" w:eastAsia="宋体" w:cs="宋体"/>
          <w:b/>
          <w:color w:val="auto"/>
          <w:sz w:val="32"/>
          <w:szCs w:val="32"/>
          <w:highlight w:val="none"/>
        </w:rPr>
      </w:pPr>
      <w:bookmarkStart w:id="121" w:name="_Toc12512"/>
      <w:bookmarkStart w:id="122" w:name="_Toc9262"/>
      <w:bookmarkStart w:id="123" w:name="_Toc3077"/>
      <w:r>
        <w:rPr>
          <w:rFonts w:hint="eastAsia" w:ascii="宋体" w:hAnsi="宋体" w:eastAsia="宋体" w:cs="宋体"/>
          <w:b/>
          <w:color w:val="auto"/>
          <w:sz w:val="32"/>
          <w:szCs w:val="32"/>
          <w:highlight w:val="none"/>
          <w:lang w:eastAsia="zh-CN"/>
        </w:rPr>
        <w:t>（</w:t>
      </w:r>
      <w:r>
        <w:rPr>
          <w:rFonts w:hint="eastAsia" w:ascii="宋体" w:hAnsi="宋体" w:eastAsia="宋体" w:cs="宋体"/>
          <w:b/>
          <w:color w:val="auto"/>
          <w:sz w:val="32"/>
          <w:szCs w:val="32"/>
          <w:highlight w:val="none"/>
          <w:lang w:val="en-US" w:eastAsia="zh-CN"/>
        </w:rPr>
        <w:t>一</w:t>
      </w:r>
      <w:r>
        <w:rPr>
          <w:rFonts w:hint="eastAsia" w:ascii="宋体" w:hAnsi="宋体" w:eastAsia="宋体" w:cs="宋体"/>
          <w:b/>
          <w:color w:val="auto"/>
          <w:sz w:val="32"/>
          <w:szCs w:val="32"/>
          <w:highlight w:val="none"/>
          <w:lang w:eastAsia="zh-CN"/>
        </w:rPr>
        <w:t>）</w:t>
      </w:r>
      <w:r>
        <w:rPr>
          <w:rFonts w:hint="eastAsia" w:ascii="宋体" w:hAnsi="宋体" w:eastAsia="宋体" w:cs="宋体"/>
          <w:b/>
          <w:color w:val="auto"/>
          <w:sz w:val="32"/>
          <w:szCs w:val="32"/>
          <w:highlight w:val="none"/>
        </w:rPr>
        <w:t>合同通用条款</w:t>
      </w:r>
    </w:p>
    <w:p>
      <w:pPr>
        <w:jc w:val="center"/>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1.定义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本合同下列术语应解释为: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1）“合同”系指买卖双方签署的、合同格式中载明的买卖双方所达成的协议,包括所有的附件、附录和上述文件所提到的构成合同的所有文件。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2）“合同价”系指根据本合同规定，</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在正确地完全履行合同义务后</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应支付给</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的价格。</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3）“货物”系指</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根据合同规定，须向</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提供的一切材料、设备、机械、仪表、备件、工具和其它材料。</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4）“服务”系指根据合同规定，</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承担与供货有关的服务。如运输、保险以及其它的伴随服务；例如安装、调试、提供技术援助、培训和合同中规定的</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应承担的其它义务。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5）“合同条款”系指本合同条款。</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”系指在合同专用条款中指明的购买货物和服务的单位。</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”系指签署本合同，提供本合同项下货物和服务的单位。</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8）“项目现场”系指本合同(包括附件)指明的最终交货及安装、培训、使用地点。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9）“天”指日历天数。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2.技术规格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交付的货物的技术规格及型号应与本合同所指明的技术规格及型号(包括合同附件)相一致。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 除技术规格另有规定外,计量单位应该使用公制。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3.专利权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应保证</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在使用该货物或其任何一部分时免受第三方提出侵犯其专利权</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商标权或工业设计权的起诉。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rPr>
        <w:t>4.</w:t>
      </w:r>
      <w:r>
        <w:rPr>
          <w:rFonts w:hint="eastAsia" w:ascii="宋体" w:hAnsi="宋体" w:cs="宋体"/>
          <w:b/>
          <w:color w:val="auto"/>
          <w:sz w:val="21"/>
          <w:szCs w:val="21"/>
          <w:highlight w:val="none"/>
          <w:lang w:eastAsia="zh-CN"/>
        </w:rPr>
        <w:t>服务地点</w:t>
      </w:r>
      <w:r>
        <w:rPr>
          <w:rFonts w:hint="eastAsia" w:ascii="宋体" w:hAnsi="宋体" w:eastAsia="宋体" w:cs="宋体"/>
          <w:b/>
          <w:color w:val="auto"/>
          <w:sz w:val="21"/>
          <w:szCs w:val="21"/>
          <w:highlight w:val="none"/>
        </w:rPr>
        <w:t>和</w:t>
      </w:r>
      <w:r>
        <w:rPr>
          <w:rFonts w:hint="eastAsia" w:ascii="宋体" w:hAnsi="宋体" w:cs="宋体"/>
          <w:b/>
          <w:color w:val="auto"/>
          <w:sz w:val="21"/>
          <w:szCs w:val="21"/>
          <w:highlight w:val="none"/>
          <w:lang w:eastAsia="zh-CN"/>
        </w:rPr>
        <w:t>项目完工期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 xml:space="preserve">   </w:t>
      </w:r>
      <w:r>
        <w:rPr>
          <w:rFonts w:hint="eastAsia" w:ascii="宋体" w:hAnsi="宋体" w:eastAsia="宋体" w:cs="宋体"/>
          <w:color w:val="auto"/>
          <w:sz w:val="21"/>
          <w:szCs w:val="21"/>
          <w:highlight w:val="none"/>
        </w:rPr>
        <w:t>见合同专用条款。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5.包装要求和装运条件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5.1除合同另有规定外，</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提供的全部货物，均应按标准保护措施进行包装。这类包装应适应于远距离运输、防潮、防震、防锈和防野蛮装卸，以确保货物安全无损运抵项目现场。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5.2每一个包装箱内应附一份详细装箱单和质量合格证。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5.3</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负责安排货物到达</w:t>
      </w:r>
      <w:r>
        <w:rPr>
          <w:rFonts w:hint="eastAsia" w:ascii="宋体" w:hAnsi="宋体" w:cs="宋体"/>
          <w:color w:val="auto"/>
          <w:sz w:val="21"/>
          <w:szCs w:val="21"/>
          <w:highlight w:val="none"/>
          <w:lang w:eastAsia="zh-CN"/>
        </w:rPr>
        <w:t>服务地点</w:t>
      </w:r>
      <w:r>
        <w:rPr>
          <w:rFonts w:hint="eastAsia" w:ascii="宋体" w:hAnsi="宋体" w:eastAsia="宋体" w:cs="宋体"/>
          <w:color w:val="auto"/>
          <w:sz w:val="21"/>
          <w:szCs w:val="21"/>
          <w:highlight w:val="none"/>
        </w:rPr>
        <w:t>的一切运输，并承担运输费用。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5.4</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装运的货物不应超过合同规定的数量或重量。否则，</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应对因超数量或重量而产生的一切后果负责。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6.保险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6.1保险范围应包括</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装运的全部货物；由</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办理货物在运抵目的港/项目现场途中的保险,保险应以人民币按照发票金额的110%办理“一切险”。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7.付款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7.1本合同以人民币付款。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7.2</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应按照双方签订的合同规定交货,货物由</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验收合格并出具验收书后办理结算。货物发票交</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7.3付款计划见合同附件。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8.伴随服务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8.1</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应随同每套货物提供相应的每一套设备和仪器的中文的技术文件。例如：产品目录、图纸、操作手册、使用说明、维护手册或服务指南等。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8.2对于合同附件中有要求的货物，</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还应提供下列服务：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1）货物的现场安装、调试和启动监督；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2）提供货物组装和维修所需的工具，提供货物调试所需的试剂、耗材等</w:t>
      </w:r>
    </w:p>
    <w:p>
      <w:pPr>
        <w:keepNext w:val="0"/>
        <w:keepLines w:val="0"/>
        <w:pageBreakBefore w:val="0"/>
        <w:widowControl w:val="0"/>
        <w:kinsoku/>
        <w:wordWrap/>
        <w:overflowPunct/>
        <w:topLinePunct w:val="0"/>
        <w:autoSpaceDE/>
        <w:autoSpaceDN/>
        <w:bidi w:val="0"/>
        <w:adjustRightInd/>
        <w:snapToGrid/>
        <w:spacing w:line="360" w:lineRule="auto"/>
        <w:ind w:left="1" w:firstLine="417" w:firstLineChars="199"/>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3）在双方商定的一定期限内对所供货物实施运行监督、维修，但前提条件是该服务并不能免除</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在质量保证期应承担的义务。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4）在厂家或在项目现场就货物的安装、启动、运营、维护对</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人员进行培训。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8.3伴随服务的费用已含在合同价中，不单独进行支付。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9.质量保证及索赔</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9.1</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应保证所供货物是全新的、未使用过的，并完全符合合同规定的质量、规格、技术指标(包括合同附件)等要求。</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应保证其货物在正确安装、正常使用和保养条件下，在其使用寿命内应具有满意的性能。在货物最终验收后的质量保证期内，</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应对由于设计、工艺或材料的缺陷而产生的故障负责。质保期满后如出现此类问题亦应负责。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9.2在质量保证期内，如果货物的质量、规格、技术指标等与合同有任何一项不符，</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应尽快以书面形式向</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提出索赔。同时应向政府采购管理部门报告。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9.3</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在收到</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的通知后，应及时免费维修或更换有缺陷的货物或部件，并相应延长保修期限。具体响应时限见专用合同条款。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9.4如果</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在收到通知后，没有在上述专用合同条款中规定的时限内及时弥补缺陷，</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可采取必要的补救措施，但其风险和费用将由</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承担，</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根据合同规定对</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行使的其它权力不受影响。</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亦可从货款和</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履约保证金中扣回索赔金额。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10.检验和验收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10.1在交货前，制造商应对货物的质量、规格、数量等进行准确而全面的检验，并出具合格证。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10.2货物到货后，由采购单位根据合同规定的技术、服务、安全标准要求进行验收，并出具验收书。验收书应当包括每一项技术、服务、安全标准的履约情况。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1"/>
          <w:szCs w:val="21"/>
          <w:highlight w:val="none"/>
        </w:rPr>
      </w:pPr>
      <w:r>
        <w:rPr>
          <w:rFonts w:hint="eastAsia" w:ascii="宋体" w:hAnsi="宋体" w:cs="宋体"/>
          <w:b/>
          <w:color w:val="auto"/>
          <w:sz w:val="21"/>
          <w:szCs w:val="21"/>
          <w:highlight w:val="none"/>
          <w:lang w:val="en-US" w:eastAsia="zh-CN"/>
        </w:rPr>
        <w:t>11.</w:t>
      </w:r>
      <w:r>
        <w:rPr>
          <w:rFonts w:hint="eastAsia" w:ascii="宋体" w:hAnsi="宋体" w:eastAsia="宋体" w:cs="宋体"/>
          <w:b/>
          <w:color w:val="auto"/>
          <w:sz w:val="21"/>
          <w:szCs w:val="21"/>
          <w:highlight w:val="none"/>
        </w:rPr>
        <w:t>违约责任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11.1</w:t>
      </w:r>
      <w:r>
        <w:rPr>
          <w:rFonts w:hint="eastAsia" w:ascii="宋体" w:hAnsi="宋体" w:eastAsia="宋体" w:cs="宋体"/>
          <w:color w:val="auto"/>
          <w:sz w:val="21"/>
          <w:szCs w:val="21"/>
          <w:highlight w:val="none"/>
        </w:rPr>
        <w:t>当</w:t>
      </w:r>
      <w:r>
        <w:rPr>
          <w:rFonts w:hint="eastAsia" w:ascii="宋体" w:hAnsi="宋体" w:cs="宋体"/>
          <w:color w:val="auto"/>
          <w:sz w:val="21"/>
          <w:szCs w:val="21"/>
          <w:highlight w:val="none"/>
          <w:lang w:val="en-US" w:eastAsia="zh-CN"/>
        </w:rPr>
        <w:t>乙方</w:t>
      </w:r>
      <w:r>
        <w:rPr>
          <w:rFonts w:hint="eastAsia" w:ascii="宋体" w:hAnsi="宋体" w:eastAsia="宋体" w:cs="宋体"/>
          <w:color w:val="auto"/>
          <w:sz w:val="21"/>
          <w:szCs w:val="21"/>
          <w:highlight w:val="none"/>
        </w:rPr>
        <w:t>未按本合同规定的期限为</w:t>
      </w:r>
      <w:r>
        <w:rPr>
          <w:rFonts w:hint="eastAsia" w:ascii="宋体" w:hAnsi="宋体" w:cs="宋体"/>
          <w:color w:val="auto"/>
          <w:sz w:val="21"/>
          <w:szCs w:val="21"/>
          <w:highlight w:val="none"/>
          <w:lang w:val="en-US" w:eastAsia="zh-CN"/>
        </w:rPr>
        <w:t>甲方</w:t>
      </w:r>
      <w:r>
        <w:rPr>
          <w:rFonts w:hint="eastAsia" w:ascii="宋体" w:hAnsi="宋体" w:eastAsia="宋体" w:cs="宋体"/>
          <w:color w:val="auto"/>
          <w:sz w:val="21"/>
          <w:szCs w:val="21"/>
          <w:highlight w:val="none"/>
        </w:rPr>
        <w:t>完成开发、实施工作，</w:t>
      </w:r>
      <w:r>
        <w:rPr>
          <w:rFonts w:hint="eastAsia" w:ascii="宋体" w:hAnsi="宋体" w:cs="宋体"/>
          <w:color w:val="auto"/>
          <w:sz w:val="21"/>
          <w:szCs w:val="21"/>
          <w:highlight w:val="none"/>
          <w:lang w:val="en-US" w:eastAsia="zh-CN"/>
        </w:rPr>
        <w:t>甲方</w:t>
      </w:r>
      <w:r>
        <w:rPr>
          <w:rFonts w:hint="eastAsia" w:ascii="宋体" w:hAnsi="宋体" w:eastAsia="宋体" w:cs="宋体"/>
          <w:color w:val="auto"/>
          <w:sz w:val="21"/>
          <w:szCs w:val="21"/>
          <w:highlight w:val="none"/>
        </w:rPr>
        <w:t>应书面要求</w:t>
      </w:r>
      <w:r>
        <w:rPr>
          <w:rFonts w:hint="eastAsia" w:ascii="宋体" w:hAnsi="宋体" w:cs="宋体"/>
          <w:color w:val="auto"/>
          <w:sz w:val="21"/>
          <w:szCs w:val="21"/>
          <w:highlight w:val="none"/>
          <w:lang w:val="en-US" w:eastAsia="zh-CN"/>
        </w:rPr>
        <w:t>乙方</w:t>
      </w:r>
      <w:r>
        <w:rPr>
          <w:rFonts w:hint="eastAsia" w:ascii="宋体" w:hAnsi="宋体" w:eastAsia="宋体" w:cs="宋体"/>
          <w:color w:val="auto"/>
          <w:sz w:val="21"/>
          <w:szCs w:val="21"/>
          <w:highlight w:val="none"/>
        </w:rPr>
        <w:t>进行整改，若</w:t>
      </w:r>
      <w:r>
        <w:rPr>
          <w:rFonts w:hint="eastAsia" w:ascii="宋体" w:hAnsi="宋体" w:cs="宋体"/>
          <w:color w:val="auto"/>
          <w:sz w:val="21"/>
          <w:szCs w:val="21"/>
          <w:highlight w:val="none"/>
          <w:lang w:val="en-US" w:eastAsia="zh-CN"/>
        </w:rPr>
        <w:t>乙方</w:t>
      </w:r>
      <w:r>
        <w:rPr>
          <w:rFonts w:hint="eastAsia" w:ascii="宋体" w:hAnsi="宋体" w:eastAsia="宋体" w:cs="宋体"/>
          <w:color w:val="auto"/>
          <w:sz w:val="21"/>
          <w:szCs w:val="21"/>
          <w:highlight w:val="none"/>
        </w:rPr>
        <w:t>不予整改，</w:t>
      </w:r>
      <w:r>
        <w:rPr>
          <w:rFonts w:hint="eastAsia" w:ascii="宋体" w:hAnsi="宋体" w:cs="宋体"/>
          <w:color w:val="auto"/>
          <w:sz w:val="21"/>
          <w:szCs w:val="21"/>
          <w:highlight w:val="none"/>
          <w:lang w:val="en-US" w:eastAsia="zh-CN"/>
        </w:rPr>
        <w:t>甲方</w:t>
      </w:r>
      <w:r>
        <w:rPr>
          <w:rFonts w:hint="eastAsia" w:ascii="宋体" w:hAnsi="宋体" w:eastAsia="宋体" w:cs="宋体"/>
          <w:color w:val="auto"/>
          <w:sz w:val="21"/>
          <w:szCs w:val="21"/>
          <w:highlight w:val="none"/>
        </w:rPr>
        <w:t>有权要求</w:t>
      </w:r>
      <w:r>
        <w:rPr>
          <w:rFonts w:hint="eastAsia" w:ascii="宋体" w:hAnsi="宋体" w:cs="宋体"/>
          <w:color w:val="auto"/>
          <w:sz w:val="21"/>
          <w:szCs w:val="21"/>
          <w:highlight w:val="none"/>
          <w:lang w:val="en-US" w:eastAsia="zh-CN"/>
        </w:rPr>
        <w:t>乙方</w:t>
      </w:r>
      <w:r>
        <w:rPr>
          <w:rFonts w:hint="eastAsia" w:ascii="宋体" w:hAnsi="宋体" w:eastAsia="宋体" w:cs="宋体"/>
          <w:color w:val="auto"/>
          <w:sz w:val="21"/>
          <w:szCs w:val="21"/>
          <w:highlight w:val="none"/>
        </w:rPr>
        <w:t>承担违约金，违约金按超过通知要求时间的逾期时间计算，每日为逾期未完成部分对应合同金额的万分之五，违</w:t>
      </w:r>
      <w:r>
        <w:rPr>
          <w:rFonts w:hint="eastAsia" w:ascii="宋体" w:hAnsi="宋体" w:cs="宋体"/>
          <w:color w:val="auto"/>
          <w:sz w:val="21"/>
          <w:szCs w:val="21"/>
          <w:highlight w:val="none"/>
          <w:lang w:val="en-US" w:eastAsia="zh-CN"/>
        </w:rPr>
        <w:t>约</w:t>
      </w:r>
      <w:r>
        <w:rPr>
          <w:rFonts w:hint="eastAsia" w:ascii="宋体" w:hAnsi="宋体" w:eastAsia="宋体" w:cs="宋体"/>
          <w:color w:val="auto"/>
          <w:sz w:val="21"/>
          <w:szCs w:val="21"/>
          <w:highlight w:val="none"/>
        </w:rPr>
        <w:t>金不超过合同金额5%。</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11.2</w:t>
      </w:r>
      <w:r>
        <w:rPr>
          <w:rFonts w:hint="eastAsia" w:ascii="宋体" w:hAnsi="宋体" w:eastAsia="宋体" w:cs="宋体"/>
          <w:color w:val="auto"/>
          <w:sz w:val="21"/>
          <w:szCs w:val="21"/>
          <w:highlight w:val="none"/>
        </w:rPr>
        <w:t>如果非</w:t>
      </w:r>
      <w:r>
        <w:rPr>
          <w:rFonts w:hint="eastAsia" w:ascii="宋体" w:hAnsi="宋体" w:cs="宋体"/>
          <w:color w:val="auto"/>
          <w:sz w:val="21"/>
          <w:szCs w:val="21"/>
          <w:highlight w:val="none"/>
          <w:lang w:val="en-US" w:eastAsia="zh-CN"/>
        </w:rPr>
        <w:t>乙方</w:t>
      </w:r>
      <w:r>
        <w:rPr>
          <w:rFonts w:hint="eastAsia" w:ascii="宋体" w:hAnsi="宋体" w:eastAsia="宋体" w:cs="宋体"/>
          <w:color w:val="auto"/>
          <w:sz w:val="21"/>
          <w:szCs w:val="21"/>
          <w:highlight w:val="none"/>
        </w:rPr>
        <w:t>原因造成</w:t>
      </w:r>
      <w:r>
        <w:rPr>
          <w:rFonts w:hint="eastAsia" w:ascii="宋体" w:hAnsi="宋体" w:cs="宋体"/>
          <w:color w:val="auto"/>
          <w:sz w:val="21"/>
          <w:szCs w:val="21"/>
          <w:highlight w:val="none"/>
          <w:lang w:val="en-US" w:eastAsia="zh-CN"/>
        </w:rPr>
        <w:t>乙方</w:t>
      </w:r>
      <w:r>
        <w:rPr>
          <w:rFonts w:hint="eastAsia" w:ascii="宋体" w:hAnsi="宋体" w:eastAsia="宋体" w:cs="宋体"/>
          <w:color w:val="auto"/>
          <w:sz w:val="21"/>
          <w:szCs w:val="21"/>
          <w:highlight w:val="none"/>
        </w:rPr>
        <w:t>未按期完成工作的，</w:t>
      </w:r>
      <w:r>
        <w:rPr>
          <w:rFonts w:hint="eastAsia" w:ascii="宋体" w:hAnsi="宋体" w:cs="宋体"/>
          <w:color w:val="auto"/>
          <w:sz w:val="21"/>
          <w:szCs w:val="21"/>
          <w:highlight w:val="none"/>
          <w:lang w:val="en-US" w:eastAsia="zh-CN"/>
        </w:rPr>
        <w:t>乙方</w:t>
      </w:r>
      <w:r>
        <w:rPr>
          <w:rFonts w:hint="eastAsia" w:ascii="宋体" w:hAnsi="宋体" w:eastAsia="宋体" w:cs="宋体"/>
          <w:color w:val="auto"/>
          <w:sz w:val="21"/>
          <w:szCs w:val="21"/>
          <w:highlight w:val="none"/>
        </w:rPr>
        <w:t>取得</w:t>
      </w:r>
      <w:r>
        <w:rPr>
          <w:rFonts w:hint="eastAsia" w:ascii="宋体" w:hAnsi="宋体" w:cs="宋体"/>
          <w:color w:val="auto"/>
          <w:sz w:val="21"/>
          <w:szCs w:val="21"/>
          <w:highlight w:val="none"/>
          <w:lang w:val="en-US" w:eastAsia="zh-CN"/>
        </w:rPr>
        <w:t>甲方</w:t>
      </w:r>
      <w:r>
        <w:rPr>
          <w:rFonts w:hint="eastAsia" w:ascii="宋体" w:hAnsi="宋体" w:eastAsia="宋体" w:cs="宋体"/>
          <w:color w:val="auto"/>
          <w:sz w:val="21"/>
          <w:szCs w:val="21"/>
          <w:highlight w:val="none"/>
        </w:rPr>
        <w:t>书面确认，则</w:t>
      </w:r>
      <w:r>
        <w:rPr>
          <w:rFonts w:hint="eastAsia" w:ascii="宋体" w:hAnsi="宋体" w:cs="宋体"/>
          <w:color w:val="auto"/>
          <w:sz w:val="21"/>
          <w:szCs w:val="21"/>
          <w:highlight w:val="none"/>
          <w:lang w:val="en-US" w:eastAsia="zh-CN"/>
        </w:rPr>
        <w:t>乙方</w:t>
      </w:r>
      <w:r>
        <w:rPr>
          <w:rFonts w:hint="eastAsia" w:ascii="宋体" w:hAnsi="宋体" w:eastAsia="宋体" w:cs="宋体"/>
          <w:color w:val="auto"/>
          <w:sz w:val="21"/>
          <w:szCs w:val="21"/>
          <w:highlight w:val="none"/>
        </w:rPr>
        <w:t>不承担由此产生的逾期未完成工作的责任。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color w:val="auto"/>
          <w:sz w:val="21"/>
          <w:szCs w:val="21"/>
          <w:highlight w:val="none"/>
          <w:lang w:val="en-US" w:eastAsia="zh-CN"/>
        </w:rPr>
      </w:pPr>
      <w:r>
        <w:rPr>
          <w:rFonts w:hint="eastAsia" w:ascii="宋体" w:hAnsi="宋体" w:cs="宋体"/>
          <w:b/>
          <w:color w:val="auto"/>
          <w:sz w:val="21"/>
          <w:szCs w:val="21"/>
          <w:highlight w:val="none"/>
          <w:lang w:val="en-US" w:eastAsia="zh-CN"/>
        </w:rPr>
        <w:t>12.解决争议的方法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12.1乙方</w:t>
      </w:r>
      <w:r>
        <w:rPr>
          <w:rFonts w:hint="eastAsia" w:ascii="宋体" w:hAnsi="宋体" w:eastAsia="宋体" w:cs="宋体"/>
          <w:color w:val="auto"/>
          <w:sz w:val="21"/>
          <w:szCs w:val="21"/>
          <w:highlight w:val="none"/>
        </w:rPr>
        <w:t>提供的服务如侵犯了第三方合法权益而引发的任何纠纷或诉讼，均由</w:t>
      </w:r>
      <w:r>
        <w:rPr>
          <w:rFonts w:hint="eastAsia" w:ascii="宋体" w:hAnsi="宋体" w:cs="宋体"/>
          <w:color w:val="auto"/>
          <w:sz w:val="21"/>
          <w:szCs w:val="21"/>
          <w:highlight w:val="none"/>
          <w:lang w:val="en-US" w:eastAsia="zh-CN"/>
        </w:rPr>
        <w:t>乙方</w:t>
      </w:r>
      <w:r>
        <w:rPr>
          <w:rFonts w:hint="eastAsia" w:ascii="宋体" w:hAnsi="宋体" w:eastAsia="宋体" w:cs="宋体"/>
          <w:color w:val="auto"/>
          <w:sz w:val="21"/>
          <w:szCs w:val="21"/>
          <w:highlight w:val="none"/>
        </w:rPr>
        <w:t>负责交涉并承担全部责任。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12.2</w:t>
      </w:r>
      <w:r>
        <w:rPr>
          <w:rFonts w:hint="eastAsia" w:ascii="宋体" w:hAnsi="宋体" w:eastAsia="宋体" w:cs="宋体"/>
          <w:color w:val="auto"/>
          <w:sz w:val="21"/>
          <w:szCs w:val="21"/>
          <w:highlight w:val="none"/>
        </w:rPr>
        <w:t>凡因本合同引起的或与本合同有关的争议，双方应友好协商解决。协商不成时，双方均同意采用以下第</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种</w:t>
      </w:r>
      <w:r>
        <w:rPr>
          <w:rFonts w:hint="eastAsia" w:ascii="宋体" w:hAnsi="宋体" w:eastAsia="宋体" w:cs="宋体"/>
          <w:color w:val="auto"/>
          <w:sz w:val="21"/>
          <w:szCs w:val="21"/>
          <w:highlight w:val="none"/>
        </w:rPr>
        <w:t>争议解</w:t>
      </w:r>
      <w:r>
        <w:rPr>
          <w:rFonts w:hint="eastAsia" w:ascii="宋体" w:hAnsi="宋体" w:cs="宋体"/>
          <w:color w:val="auto"/>
          <w:sz w:val="21"/>
          <w:szCs w:val="21"/>
          <w:highlight w:val="none"/>
          <w:lang w:val="en-US" w:eastAsia="zh-CN"/>
        </w:rPr>
        <w:t>决方式</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1)甲、双</w:t>
      </w:r>
      <w:r>
        <w:rPr>
          <w:rFonts w:hint="eastAsia" w:ascii="宋体" w:hAnsi="宋体" w:cs="宋体"/>
          <w:color w:val="auto"/>
          <w:sz w:val="21"/>
          <w:szCs w:val="21"/>
          <w:highlight w:val="none"/>
          <w:lang w:val="en-US" w:eastAsia="zh-CN"/>
        </w:rPr>
        <w:t>方均</w:t>
      </w:r>
      <w:r>
        <w:rPr>
          <w:rFonts w:hint="eastAsia" w:ascii="宋体" w:hAnsi="宋体" w:eastAsia="宋体" w:cs="宋体"/>
          <w:color w:val="auto"/>
          <w:sz w:val="21"/>
          <w:szCs w:val="21"/>
          <w:highlight w:val="none"/>
        </w:rPr>
        <w:t>同</w:t>
      </w:r>
      <w:r>
        <w:rPr>
          <w:rFonts w:hint="eastAsia" w:ascii="宋体" w:hAnsi="宋体" w:cs="宋体"/>
          <w:color w:val="auto"/>
          <w:sz w:val="21"/>
          <w:szCs w:val="21"/>
          <w:highlight w:val="none"/>
          <w:lang w:val="en-US" w:eastAsia="zh-CN"/>
        </w:rPr>
        <w:t>意向</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渭</w:t>
      </w:r>
      <w:r>
        <w:rPr>
          <w:rFonts w:hint="eastAsia" w:ascii="宋体" w:hAnsi="宋体" w:eastAsia="宋体" w:cs="宋体"/>
          <w:color w:val="auto"/>
          <w:sz w:val="21"/>
          <w:szCs w:val="21"/>
          <w:highlight w:val="none"/>
        </w:rPr>
        <w:t>城区人民法院)</w:t>
      </w:r>
      <w:r>
        <w:rPr>
          <w:rFonts w:hint="eastAsia" w:ascii="宋体" w:hAnsi="宋体" w:cs="宋体"/>
          <w:color w:val="auto"/>
          <w:sz w:val="21"/>
          <w:szCs w:val="21"/>
          <w:highlight w:val="none"/>
          <w:lang w:val="en-US" w:eastAsia="zh-CN"/>
        </w:rPr>
        <w:t>提</w:t>
      </w:r>
      <w:r>
        <w:rPr>
          <w:rFonts w:hint="eastAsia" w:ascii="宋体" w:hAnsi="宋体" w:eastAsia="宋体" w:cs="宋体"/>
          <w:color w:val="auto"/>
          <w:sz w:val="21"/>
          <w:szCs w:val="21"/>
          <w:highlight w:val="none"/>
        </w:rPr>
        <w:t>起</w:t>
      </w:r>
      <w:r>
        <w:rPr>
          <w:rFonts w:hint="eastAsia" w:ascii="宋体" w:hAnsi="宋体" w:cs="宋体"/>
          <w:color w:val="auto"/>
          <w:sz w:val="21"/>
          <w:szCs w:val="21"/>
          <w:highlight w:val="none"/>
          <w:lang w:val="en-US" w:eastAsia="zh-CN"/>
        </w:rPr>
        <w:t>诉讼</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2)甲乙双方均同意</w:t>
      </w:r>
      <w:r>
        <w:rPr>
          <w:rFonts w:hint="eastAsia" w:ascii="宋体" w:hAnsi="宋体" w:cs="宋体"/>
          <w:color w:val="auto"/>
          <w:sz w:val="21"/>
          <w:szCs w:val="21"/>
          <w:highlight w:val="none"/>
          <w:lang w:val="en-US" w:eastAsia="zh-CN"/>
        </w:rPr>
        <w:t>向</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仲裁</w:t>
      </w:r>
      <w:r>
        <w:rPr>
          <w:rFonts w:hint="eastAsia" w:ascii="宋体" w:hAnsi="宋体" w:eastAsia="宋体" w:cs="宋体"/>
          <w:color w:val="auto"/>
          <w:sz w:val="21"/>
          <w:szCs w:val="21"/>
          <w:highlight w:val="none"/>
        </w:rPr>
        <w:t>委员</w:t>
      </w:r>
      <w:r>
        <w:rPr>
          <w:rFonts w:hint="eastAsia" w:ascii="宋体" w:hAnsi="宋体" w:cs="宋体"/>
          <w:color w:val="auto"/>
          <w:sz w:val="21"/>
          <w:szCs w:val="21"/>
          <w:highlight w:val="none"/>
          <w:lang w:val="en-US" w:eastAsia="zh-CN"/>
        </w:rPr>
        <w:t>会）提起仲裁</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13.适用法律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13.1本合同应按照中华人民共和国的现行法律进行解释。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14.合同生效及其它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14.1本合同在买卖双方签字、盖章之后生效。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14.2本合同正本一式二份，副本一式四份，均以中文书写</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双方各</w:t>
      </w:r>
      <w:r>
        <w:rPr>
          <w:rFonts w:hint="eastAsia" w:ascii="宋体" w:hAnsi="宋体" w:eastAsia="宋体" w:cs="宋体"/>
          <w:color w:val="auto"/>
          <w:sz w:val="21"/>
          <w:szCs w:val="21"/>
          <w:highlight w:val="none"/>
        </w:rPr>
        <w:t>执正本一份、副本二份。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15.合同修改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15.1本合同在执行过程中，如提出修改，由买、卖双方签署书面修改协议，并成为本合同不可分割的一部分。除此之外，本合同的条件不得有任何变化或修改。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16.合同附件</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16.1本合同所有附件是本合同不可分割的部分,与主合同具有同等法律效力。</w:t>
      </w:r>
    </w:p>
    <w:p>
      <w:pPr>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36"/>
          <w:highlight w:val="none"/>
        </w:rPr>
        <w:br w:type="page"/>
      </w:r>
      <w:r>
        <w:rPr>
          <w:rFonts w:hint="eastAsia" w:ascii="宋体" w:hAnsi="宋体" w:cs="宋体"/>
          <w:b/>
          <w:color w:val="auto"/>
          <w:sz w:val="32"/>
          <w:szCs w:val="32"/>
          <w:highlight w:val="none"/>
          <w:lang w:eastAsia="zh-CN"/>
        </w:rPr>
        <w:t>（</w:t>
      </w:r>
      <w:r>
        <w:rPr>
          <w:rFonts w:hint="eastAsia" w:ascii="宋体" w:hAnsi="宋体" w:cs="宋体"/>
          <w:b/>
          <w:color w:val="auto"/>
          <w:sz w:val="32"/>
          <w:szCs w:val="32"/>
          <w:highlight w:val="none"/>
          <w:lang w:val="en-US" w:eastAsia="zh-CN"/>
        </w:rPr>
        <w:t>二</w:t>
      </w:r>
      <w:r>
        <w:rPr>
          <w:rFonts w:hint="eastAsia" w:ascii="宋体" w:hAnsi="宋体" w:cs="宋体"/>
          <w:b/>
          <w:color w:val="auto"/>
          <w:sz w:val="32"/>
          <w:szCs w:val="32"/>
          <w:highlight w:val="none"/>
          <w:lang w:eastAsia="zh-CN"/>
        </w:rPr>
        <w:t>）</w:t>
      </w:r>
      <w:r>
        <w:rPr>
          <w:rFonts w:hint="eastAsia" w:ascii="宋体" w:hAnsi="宋体" w:eastAsia="宋体" w:cs="宋体"/>
          <w:b/>
          <w:color w:val="auto"/>
          <w:sz w:val="32"/>
          <w:szCs w:val="32"/>
          <w:highlight w:val="none"/>
          <w:lang w:eastAsia="zh-CN"/>
        </w:rPr>
        <w:t>合同专用条款</w:t>
      </w:r>
    </w:p>
    <w:p>
      <w:pPr>
        <w:rPr>
          <w:rFonts w:hint="eastAsia" w:ascii="仿宋" w:hAnsi="仿宋" w:eastAsia="仿宋" w:cs="仿宋"/>
          <w:color w:val="auto"/>
          <w:highlight w:val="none"/>
        </w:rPr>
      </w:pPr>
    </w:p>
    <w:p>
      <w:pPr>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本表是对《合同通用条款》的具体补充和修改，如有矛盾，应以本表为准。</w:t>
      </w:r>
    </w:p>
    <w:tbl>
      <w:tblPr>
        <w:tblStyle w:val="23"/>
        <w:tblW w:w="84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21"/>
        <w:gridCol w:w="74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021"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条款号</w:t>
            </w:r>
          </w:p>
        </w:tc>
        <w:tc>
          <w:tcPr>
            <w:tcW w:w="7467" w:type="dxa"/>
            <w:noWrap w:val="0"/>
            <w:vAlign w:val="center"/>
          </w:tcPr>
          <w:p>
            <w:pPr>
              <w:spacing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61" w:hRule="atLeast"/>
        </w:trPr>
        <w:tc>
          <w:tcPr>
            <w:tcW w:w="1021"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7467" w:type="dxa"/>
            <w:noWrap w:val="0"/>
            <w:vAlign w:val="center"/>
          </w:tcPr>
          <w:p>
            <w:pPr>
              <w:spacing w:after="50" w:line="360" w:lineRule="auto"/>
              <w:jc w:val="left"/>
              <w:rPr>
                <w:rFonts w:hint="eastAsia" w:ascii="宋体" w:hAnsi="宋体" w:eastAsia="宋体" w:cs="宋体"/>
                <w:snapToGrid w:val="0"/>
                <w:color w:val="auto"/>
                <w:sz w:val="21"/>
                <w:szCs w:val="21"/>
                <w:highlight w:val="none"/>
                <w:lang w:bidi="he-IL"/>
              </w:rPr>
            </w:pP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名称：</w:t>
            </w:r>
            <w:r>
              <w:rPr>
                <w:rFonts w:hint="eastAsia" w:ascii="宋体" w:hAnsi="宋体" w:eastAsia="宋体" w:cs="宋体"/>
                <w:snapToGrid w:val="0"/>
                <w:color w:val="auto"/>
                <w:sz w:val="21"/>
                <w:szCs w:val="21"/>
                <w:highlight w:val="none"/>
                <w:lang w:bidi="he-IL"/>
              </w:rPr>
              <w:t>咸阳市中心医院</w:t>
            </w:r>
          </w:p>
          <w:p>
            <w:pPr>
              <w:spacing w:line="36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地址：咸阳市人民东路78号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21" w:hRule="atLeast"/>
        </w:trPr>
        <w:tc>
          <w:tcPr>
            <w:tcW w:w="1021"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7467" w:type="dxa"/>
            <w:noWrap w:val="0"/>
            <w:vAlign w:val="center"/>
          </w:tcPr>
          <w:p>
            <w:pPr>
              <w:spacing w:after="50" w:line="360" w:lineRule="auto"/>
              <w:jc w:val="left"/>
              <w:rPr>
                <w:rFonts w:hint="eastAsia" w:ascii="宋体" w:hAnsi="宋体" w:eastAsia="宋体" w:cs="宋体"/>
                <w:snapToGrid w:val="0"/>
                <w:color w:val="auto"/>
                <w:sz w:val="21"/>
                <w:szCs w:val="21"/>
                <w:highlight w:val="none"/>
                <w:lang w:bidi="he-IL"/>
              </w:rPr>
            </w:pPr>
            <w:r>
              <w:rPr>
                <w:rFonts w:hint="eastAsia" w:ascii="宋体" w:hAnsi="宋体" w:cs="宋体"/>
                <w:color w:val="auto"/>
                <w:sz w:val="21"/>
                <w:szCs w:val="21"/>
                <w:highlight w:val="none"/>
                <w:lang w:eastAsia="zh-CN"/>
              </w:rPr>
              <w:t>服务地点</w:t>
            </w:r>
            <w:r>
              <w:rPr>
                <w:rFonts w:hint="eastAsia" w:ascii="宋体" w:hAnsi="宋体" w:eastAsia="宋体" w:cs="宋体"/>
                <w:color w:val="auto"/>
                <w:sz w:val="21"/>
                <w:szCs w:val="21"/>
                <w:highlight w:val="none"/>
              </w:rPr>
              <w:t>：</w:t>
            </w:r>
            <w:r>
              <w:rPr>
                <w:rFonts w:hint="eastAsia" w:ascii="宋体" w:hAnsi="宋体" w:eastAsia="宋体" w:cs="宋体"/>
                <w:snapToGrid w:val="0"/>
                <w:color w:val="auto"/>
                <w:sz w:val="21"/>
                <w:szCs w:val="21"/>
                <w:highlight w:val="none"/>
                <w:lang w:bidi="he-IL"/>
              </w:rPr>
              <w:t>咸阳市中心医院指定地点</w:t>
            </w:r>
          </w:p>
          <w:p>
            <w:pPr>
              <w:pStyle w:val="2"/>
              <w:rPr>
                <w:rFonts w:hint="default" w:eastAsia="宋体"/>
                <w:lang w:val="en-US" w:eastAsia="zh-CN"/>
              </w:rPr>
            </w:pPr>
            <w:r>
              <w:rPr>
                <w:rFonts w:hint="eastAsia" w:ascii="宋体" w:hAnsi="宋体" w:cs="宋体"/>
                <w:snapToGrid w:val="0"/>
                <w:color w:val="auto"/>
                <w:sz w:val="21"/>
                <w:szCs w:val="21"/>
                <w:highlight w:val="none"/>
                <w:lang w:val="en-US" w:eastAsia="zh-CN" w:bidi="he-IL"/>
              </w:rPr>
              <w:t>项目完工期：180日历天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021"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7.3</w:t>
            </w:r>
          </w:p>
        </w:tc>
        <w:tc>
          <w:tcPr>
            <w:tcW w:w="7467" w:type="dxa"/>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付款方法和条件为：</w:t>
            </w:r>
          </w:p>
          <w:p>
            <w:pPr>
              <w:keepNext w:val="0"/>
              <w:keepLines w:val="0"/>
              <w:pageBreakBefore w:val="0"/>
              <w:widowControl w:val="0"/>
              <w:suppressAutoHyphens/>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napToGrid w:val="0"/>
                <w:color w:val="auto"/>
                <w:sz w:val="21"/>
                <w:szCs w:val="21"/>
                <w:highlight w:val="none"/>
              </w:rPr>
            </w:pPr>
            <w:r>
              <w:rPr>
                <w:rFonts w:hint="eastAsia" w:ascii="宋体" w:hAnsi="宋体" w:cs="宋体"/>
                <w:snapToGrid w:val="0"/>
                <w:color w:val="auto"/>
                <w:sz w:val="21"/>
                <w:szCs w:val="21"/>
                <w:highlight w:val="none"/>
                <w:lang w:val="en-US" w:eastAsia="zh-CN"/>
              </w:rPr>
              <w:t>合同生效后支付合同款的60%，设备入场通过医院考核后支付合同款的35%，终验通过医院考核后支付合同款的5%。</w:t>
            </w:r>
          </w:p>
          <w:p>
            <w:pPr>
              <w:keepNext w:val="0"/>
              <w:keepLines w:val="0"/>
              <w:pageBreakBefore w:val="0"/>
              <w:widowControl w:val="0"/>
              <w:suppressAutoHyphens/>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napToGrid w:val="0"/>
                <w:color w:val="auto"/>
                <w:sz w:val="21"/>
                <w:szCs w:val="21"/>
                <w:highlight w:val="none"/>
              </w:rPr>
            </w:pPr>
            <w:r>
              <w:rPr>
                <w:rFonts w:hint="eastAsia" w:ascii="宋体" w:hAnsi="宋体" w:cs="宋体"/>
                <w:snapToGrid w:val="0"/>
                <w:color w:val="auto"/>
                <w:sz w:val="21"/>
                <w:szCs w:val="21"/>
                <w:highlight w:val="none"/>
                <w:lang w:val="en-US" w:eastAsia="zh-CN"/>
              </w:rPr>
              <w:t>2</w:t>
            </w:r>
            <w:r>
              <w:rPr>
                <w:rFonts w:hint="eastAsia" w:ascii="宋体" w:hAnsi="宋体" w:cs="宋体"/>
                <w:snapToGrid w:val="0"/>
                <w:color w:val="auto"/>
                <w:sz w:val="21"/>
                <w:szCs w:val="21"/>
                <w:highlight w:val="none"/>
                <w:lang w:eastAsia="zh-CN"/>
              </w:rPr>
              <w:t>）</w:t>
            </w:r>
            <w:r>
              <w:rPr>
                <w:rFonts w:hint="eastAsia" w:ascii="宋体" w:hAnsi="宋体" w:eastAsia="宋体" w:cs="宋体"/>
                <w:snapToGrid w:val="0"/>
                <w:color w:val="auto"/>
                <w:sz w:val="21"/>
                <w:szCs w:val="21"/>
                <w:highlight w:val="none"/>
              </w:rPr>
              <w:t xml:space="preserve">支付方式：银行转帐。 </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sz w:val="21"/>
                <w:szCs w:val="21"/>
                <w:highlight w:val="none"/>
              </w:rPr>
            </w:pPr>
            <w:r>
              <w:rPr>
                <w:rFonts w:hint="eastAsia" w:ascii="宋体" w:hAnsi="宋体" w:cs="宋体"/>
                <w:snapToGrid w:val="0"/>
                <w:color w:val="auto"/>
                <w:sz w:val="21"/>
                <w:szCs w:val="21"/>
                <w:highlight w:val="none"/>
                <w:lang w:val="en-US" w:eastAsia="zh-CN"/>
              </w:rPr>
              <w:t>3</w:t>
            </w:r>
            <w:r>
              <w:rPr>
                <w:rFonts w:hint="eastAsia" w:ascii="宋体" w:hAnsi="宋体" w:cs="宋体"/>
                <w:snapToGrid w:val="0"/>
                <w:color w:val="auto"/>
                <w:sz w:val="21"/>
                <w:szCs w:val="21"/>
                <w:highlight w:val="none"/>
                <w:lang w:eastAsia="zh-CN"/>
              </w:rPr>
              <w:t>）</w:t>
            </w:r>
            <w:r>
              <w:rPr>
                <w:rFonts w:hint="eastAsia" w:ascii="宋体" w:hAnsi="宋体" w:eastAsia="宋体" w:cs="宋体"/>
                <w:snapToGrid w:val="0"/>
                <w:color w:val="auto"/>
                <w:sz w:val="21"/>
                <w:szCs w:val="21"/>
                <w:highlight w:val="none"/>
              </w:rPr>
              <w:t>结算方式：</w:t>
            </w:r>
            <w:r>
              <w:rPr>
                <w:rFonts w:hint="eastAsia" w:ascii="宋体" w:hAnsi="宋体" w:cs="宋体"/>
                <w:snapToGrid w:val="0"/>
                <w:color w:val="auto"/>
                <w:sz w:val="21"/>
                <w:szCs w:val="21"/>
                <w:highlight w:val="none"/>
                <w:lang w:eastAsia="zh-CN"/>
              </w:rPr>
              <w:t>乙方</w:t>
            </w:r>
            <w:r>
              <w:rPr>
                <w:rFonts w:hint="eastAsia" w:ascii="宋体" w:hAnsi="宋体" w:eastAsia="宋体" w:cs="宋体"/>
                <w:snapToGrid w:val="0"/>
                <w:color w:val="auto"/>
                <w:sz w:val="21"/>
                <w:szCs w:val="21"/>
                <w:highlight w:val="none"/>
              </w:rPr>
              <w:t>持验收单、全额发票、中标通知书、供货合同以及合同约定的其它相关重要单据，与</w:t>
            </w:r>
            <w:r>
              <w:rPr>
                <w:rFonts w:hint="eastAsia" w:ascii="宋体" w:hAnsi="宋体" w:cs="宋体"/>
                <w:snapToGrid w:val="0"/>
                <w:color w:val="auto"/>
                <w:sz w:val="21"/>
                <w:szCs w:val="21"/>
                <w:highlight w:val="none"/>
                <w:lang w:eastAsia="zh-CN"/>
              </w:rPr>
              <w:t>甲方</w:t>
            </w:r>
            <w:r>
              <w:rPr>
                <w:rFonts w:hint="eastAsia" w:ascii="宋体" w:hAnsi="宋体" w:eastAsia="宋体" w:cs="宋体"/>
                <w:snapToGrid w:val="0"/>
                <w:color w:val="auto"/>
                <w:sz w:val="21"/>
                <w:szCs w:val="21"/>
                <w:highlight w:val="none"/>
              </w:rPr>
              <w:t>结算。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021"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9.1</w:t>
            </w:r>
          </w:p>
        </w:tc>
        <w:tc>
          <w:tcPr>
            <w:tcW w:w="7467" w:type="dxa"/>
            <w:noWrap w:val="0"/>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质保期：</w:t>
            </w:r>
            <w:r>
              <w:rPr>
                <w:rFonts w:hint="eastAsia" w:ascii="宋体" w:hAnsi="宋体" w:cs="宋体"/>
                <w:color w:val="auto"/>
                <w:kern w:val="2"/>
                <w:sz w:val="21"/>
                <w:szCs w:val="21"/>
                <w:highlight w:val="none"/>
                <w:lang w:val="en-US" w:eastAsia="zh-CN" w:bidi="ar-SA"/>
              </w:rPr>
              <w:t>3</w:t>
            </w:r>
            <w:r>
              <w:rPr>
                <w:rFonts w:hint="eastAsia" w:ascii="宋体" w:hAnsi="宋体" w:eastAsia="宋体" w:cs="宋体"/>
                <w:color w:val="auto"/>
                <w:kern w:val="2"/>
                <w:sz w:val="21"/>
                <w:szCs w:val="21"/>
                <w:highlight w:val="none"/>
                <w:lang w:val="en-US" w:eastAsia="zh-CN" w:bidi="ar-SA"/>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021"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9.3</w:t>
            </w:r>
          </w:p>
        </w:tc>
        <w:tc>
          <w:tcPr>
            <w:tcW w:w="7467" w:type="dxa"/>
            <w:noWrap w:val="0"/>
            <w:vAlign w:val="center"/>
          </w:tcPr>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售后要求：在西安或咸阳地区有售后服务点，</w:t>
            </w:r>
            <w:r>
              <w:rPr>
                <w:rFonts w:hint="eastAsia" w:ascii="宋体" w:hAnsi="宋体" w:cs="宋体"/>
                <w:color w:val="auto"/>
                <w:sz w:val="21"/>
                <w:szCs w:val="21"/>
                <w:highlight w:val="none"/>
                <w:lang w:val="en-US" w:eastAsia="zh-CN"/>
              </w:rPr>
              <w:t>软件故障出现必须以最快时间排查，并在排查后向医院出具相关报告；一般问题</w:t>
            </w:r>
            <w:r>
              <w:rPr>
                <w:rFonts w:hint="eastAsia" w:ascii="宋体" w:hAnsi="宋体" w:eastAsia="宋体" w:cs="宋体"/>
                <w:color w:val="auto"/>
                <w:sz w:val="21"/>
                <w:szCs w:val="21"/>
                <w:highlight w:val="none"/>
              </w:rPr>
              <w:t>2小时</w:t>
            </w:r>
            <w:r>
              <w:rPr>
                <w:rFonts w:hint="eastAsia" w:ascii="宋体" w:hAnsi="宋体" w:cs="宋体"/>
                <w:color w:val="auto"/>
                <w:sz w:val="21"/>
                <w:szCs w:val="21"/>
                <w:highlight w:val="none"/>
                <w:lang w:val="en-US" w:eastAsia="zh-CN"/>
              </w:rPr>
              <w:t>以内，严重问题4小时以内，特别严重8小时以内</w:t>
            </w:r>
            <w:r>
              <w:rPr>
                <w:rFonts w:hint="eastAsia" w:ascii="宋体" w:hAnsi="宋体" w:eastAsia="宋体" w:cs="宋体"/>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8" w:hRule="atLeast"/>
        </w:trPr>
        <w:tc>
          <w:tcPr>
            <w:tcW w:w="1021" w:type="dxa"/>
            <w:tcBorders>
              <w:top w:val="single" w:color="auto" w:sz="4" w:space="0"/>
            </w:tcBorders>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10.2</w:t>
            </w:r>
          </w:p>
        </w:tc>
        <w:tc>
          <w:tcPr>
            <w:tcW w:w="7467" w:type="dxa"/>
            <w:tcBorders>
              <w:top w:val="single" w:color="auto" w:sz="4" w:space="0"/>
            </w:tcBorders>
            <w:noWrap w:val="0"/>
            <w:vAlign w:val="center"/>
          </w:tcPr>
          <w:p>
            <w:pPr>
              <w:spacing w:line="360" w:lineRule="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验收方式及验收依据：</w:t>
            </w:r>
            <w:r>
              <w:rPr>
                <w:rFonts w:hint="eastAsia" w:ascii="宋体" w:hAnsi="宋体" w:cs="宋体"/>
                <w:color w:val="auto"/>
                <w:sz w:val="21"/>
                <w:szCs w:val="21"/>
                <w:highlight w:val="none"/>
                <w:lang w:val="en-US" w:eastAsia="zh-CN"/>
              </w:rPr>
              <w:t>项目实施工作完成</w:t>
            </w:r>
            <w:r>
              <w:rPr>
                <w:rFonts w:hint="eastAsia" w:ascii="宋体" w:hAnsi="宋体" w:eastAsia="宋体" w:cs="宋体"/>
                <w:color w:val="auto"/>
                <w:sz w:val="21"/>
                <w:szCs w:val="21"/>
                <w:highlight w:val="none"/>
              </w:rPr>
              <w:t>后，由采购单位负责组织验收或者邀请有关专家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根据合同要求</w:t>
            </w:r>
            <w:r>
              <w:rPr>
                <w:rFonts w:hint="eastAsia" w:ascii="宋体" w:hAnsi="宋体" w:cs="宋体"/>
                <w:color w:val="auto"/>
                <w:sz w:val="21"/>
                <w:szCs w:val="21"/>
                <w:highlight w:val="none"/>
                <w:lang w:eastAsia="zh-CN"/>
              </w:rPr>
              <w:t>、</w:t>
            </w:r>
            <w:r>
              <w:rPr>
                <w:rFonts w:hint="eastAsia"/>
                <w:lang w:val="en-US" w:eastAsia="zh-CN"/>
              </w:rPr>
              <w:t>招投标文件、澄清、及国家相应的标准、规范等为依据</w:t>
            </w:r>
            <w:r>
              <w:rPr>
                <w:rFonts w:hint="eastAsia" w:ascii="宋体" w:hAnsi="宋体" w:eastAsia="宋体" w:cs="宋体"/>
                <w:color w:val="auto"/>
                <w:sz w:val="21"/>
                <w:szCs w:val="21"/>
                <w:highlight w:val="none"/>
              </w:rPr>
              <w:t>进行验收。验收合格须交接项目实施的全部资料，并填写</w:t>
            </w:r>
            <w:r>
              <w:rPr>
                <w:rFonts w:hint="eastAsia" w:ascii="宋体" w:hAnsi="宋体" w:eastAsia="宋体" w:cs="宋体"/>
                <w:color w:val="auto"/>
                <w:sz w:val="21"/>
                <w:szCs w:val="21"/>
                <w:highlight w:val="none"/>
                <w:lang w:val="en-US" w:eastAsia="zh-CN"/>
              </w:rPr>
              <w:t>政府采购项目</w:t>
            </w:r>
            <w:r>
              <w:rPr>
                <w:rFonts w:hint="eastAsia" w:ascii="宋体" w:hAnsi="宋体" w:eastAsia="宋体" w:cs="宋体"/>
                <w:color w:val="auto"/>
                <w:sz w:val="21"/>
                <w:szCs w:val="21"/>
                <w:highlight w:val="none"/>
              </w:rPr>
              <w:t>验收报告单。</w:t>
            </w:r>
          </w:p>
        </w:tc>
      </w:tr>
    </w:tbl>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b/>
          <w:color w:val="auto"/>
          <w:sz w:val="36"/>
          <w:szCs w:val="36"/>
          <w:highlight w:val="none"/>
        </w:rPr>
      </w:pPr>
    </w:p>
    <w:p>
      <w:pPr>
        <w:pStyle w:val="2"/>
        <w:rPr>
          <w:rFonts w:hint="eastAsia" w:ascii="仿宋" w:hAnsi="仿宋" w:eastAsia="仿宋" w:cs="仿宋"/>
          <w:b/>
          <w:color w:val="auto"/>
          <w:sz w:val="36"/>
          <w:szCs w:val="36"/>
          <w:highlight w:val="none"/>
        </w:rPr>
      </w:pPr>
    </w:p>
    <w:p>
      <w:pPr>
        <w:rPr>
          <w:rFonts w:hint="eastAsia" w:ascii="仿宋" w:hAnsi="仿宋" w:eastAsia="仿宋" w:cs="仿宋"/>
          <w:b/>
          <w:color w:val="auto"/>
          <w:sz w:val="36"/>
          <w:szCs w:val="36"/>
          <w:highlight w:val="none"/>
        </w:rPr>
      </w:pPr>
    </w:p>
    <w:p>
      <w:pPr>
        <w:pStyle w:val="2"/>
        <w:rPr>
          <w:rFonts w:hint="eastAsia" w:ascii="仿宋" w:hAnsi="仿宋" w:eastAsia="仿宋" w:cs="仿宋"/>
          <w:b/>
          <w:color w:val="auto"/>
          <w:sz w:val="36"/>
          <w:szCs w:val="36"/>
          <w:highlight w:val="none"/>
        </w:rPr>
      </w:pPr>
    </w:p>
    <w:p>
      <w:pPr>
        <w:rPr>
          <w:rFonts w:hint="eastAsia"/>
          <w:color w:val="auto"/>
          <w:highlight w:val="none"/>
        </w:rPr>
      </w:pPr>
    </w:p>
    <w:p>
      <w:pPr>
        <w:rPr>
          <w:rFonts w:hint="eastAsia"/>
          <w:color w:val="auto"/>
          <w:highlight w:val="none"/>
        </w:rPr>
      </w:pPr>
    </w:p>
    <w:p>
      <w:pPr>
        <w:rPr>
          <w:rFonts w:hint="eastAsia" w:ascii="宋体" w:hAnsi="宋体" w:eastAsia="宋体" w:cs="宋体"/>
          <w:b/>
          <w:color w:val="auto"/>
          <w:sz w:val="32"/>
          <w:szCs w:val="32"/>
          <w:highlight w:val="none"/>
          <w:lang w:eastAsia="zh-CN"/>
        </w:rPr>
      </w:pPr>
      <w:r>
        <w:rPr>
          <w:rFonts w:hint="eastAsia" w:ascii="宋体" w:hAnsi="宋体" w:eastAsia="宋体" w:cs="宋体"/>
          <w:b/>
          <w:color w:val="auto"/>
          <w:sz w:val="32"/>
          <w:szCs w:val="32"/>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b/>
          <w:color w:val="auto"/>
          <w:sz w:val="44"/>
          <w:szCs w:val="44"/>
          <w:highlight w:val="none"/>
        </w:rPr>
      </w:pPr>
      <w:r>
        <w:rPr>
          <w:rFonts w:hint="eastAsia" w:ascii="宋体" w:hAnsi="宋体" w:eastAsia="宋体" w:cs="宋体"/>
          <w:b/>
          <w:color w:val="auto"/>
          <w:sz w:val="32"/>
          <w:szCs w:val="32"/>
          <w:highlight w:val="none"/>
          <w:lang w:eastAsia="zh-CN"/>
        </w:rPr>
        <w:t>（</w:t>
      </w:r>
      <w:r>
        <w:rPr>
          <w:rFonts w:hint="eastAsia" w:ascii="宋体" w:hAnsi="宋体" w:eastAsia="宋体" w:cs="宋体"/>
          <w:b/>
          <w:color w:val="auto"/>
          <w:sz w:val="32"/>
          <w:szCs w:val="32"/>
          <w:highlight w:val="none"/>
          <w:lang w:val="en-US" w:eastAsia="zh-CN"/>
        </w:rPr>
        <w:t>三</w:t>
      </w:r>
      <w:r>
        <w:rPr>
          <w:rFonts w:hint="eastAsia" w:ascii="宋体" w:hAnsi="宋体" w:eastAsia="宋体" w:cs="宋体"/>
          <w:b/>
          <w:color w:val="auto"/>
          <w:sz w:val="32"/>
          <w:szCs w:val="32"/>
          <w:highlight w:val="none"/>
          <w:lang w:eastAsia="zh-CN"/>
        </w:rPr>
        <w:t>）合同</w:t>
      </w:r>
      <w:r>
        <w:rPr>
          <w:rFonts w:hint="eastAsia" w:ascii="宋体" w:hAnsi="宋体" w:eastAsia="宋体" w:cs="宋体"/>
          <w:b/>
          <w:color w:val="auto"/>
          <w:sz w:val="32"/>
          <w:szCs w:val="32"/>
          <w:highlight w:val="none"/>
          <w:lang w:val="en-US" w:eastAsia="zh-CN"/>
        </w:rPr>
        <w:t>协议书</w:t>
      </w:r>
      <w:r>
        <w:rPr>
          <w:rFonts w:hint="eastAsia" w:ascii="宋体" w:hAnsi="宋体" w:eastAsia="宋体" w:cs="宋体"/>
          <w:b/>
          <w:color w:val="auto"/>
          <w:sz w:val="32"/>
          <w:szCs w:val="32"/>
          <w:highlight w:val="none"/>
          <w:lang w:eastAsia="zh-CN"/>
        </w:rPr>
        <w:t>格式</w:t>
      </w:r>
    </w:p>
    <w:p>
      <w:pPr>
        <w:keepNext w:val="0"/>
        <w:keepLines w:val="0"/>
        <w:pageBreakBefore w:val="0"/>
        <w:widowControl w:val="0"/>
        <w:kinsoku/>
        <w:wordWrap/>
        <w:overflowPunct/>
        <w:topLinePunct w:val="0"/>
        <w:autoSpaceDE/>
        <w:autoSpaceDN/>
        <w:bidi w:val="0"/>
        <w:adjustRightInd/>
        <w:snapToGrid/>
        <w:spacing w:after="156" w:afterLines="50" w:line="360" w:lineRule="auto"/>
        <w:ind w:firstLine="420" w:firstLineChars="200"/>
        <w:jc w:val="left"/>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after="156" w:afterLines="50"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本合同</w:t>
      </w:r>
      <w:r>
        <w:rPr>
          <w:rFonts w:hint="eastAsia" w:ascii="宋体" w:hAnsi="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none"/>
          <w:lang w:val="en-US" w:eastAsia="zh-CN"/>
        </w:rPr>
        <w:t>（合同名称）</w:t>
      </w:r>
      <w:r>
        <w:rPr>
          <w:rFonts w:hint="eastAsia" w:ascii="宋体" w:hAnsi="宋体" w:eastAsia="宋体" w:cs="宋体"/>
          <w:color w:val="auto"/>
          <w:sz w:val="21"/>
          <w:szCs w:val="21"/>
          <w:highlight w:val="none"/>
        </w:rPr>
        <w:t>于</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日由</w:t>
      </w:r>
      <w:r>
        <w:rPr>
          <w:rFonts w:hint="eastAsia" w:ascii="宋体" w:hAnsi="宋体" w:eastAsia="宋体" w:cs="宋体"/>
          <w:color w:val="auto"/>
          <w:sz w:val="21"/>
          <w:szCs w:val="21"/>
          <w:highlight w:val="none"/>
          <w:u w:val="single"/>
        </w:rPr>
        <w:t>（</w:t>
      </w:r>
      <w:r>
        <w:rPr>
          <w:rFonts w:hint="eastAsia" w:ascii="宋体" w:hAnsi="宋体" w:cs="宋体"/>
          <w:color w:val="auto"/>
          <w:sz w:val="21"/>
          <w:szCs w:val="21"/>
          <w:highlight w:val="none"/>
          <w:u w:val="single"/>
          <w:lang w:eastAsia="zh-CN"/>
        </w:rPr>
        <w:t>甲方</w:t>
      </w:r>
      <w:r>
        <w:rPr>
          <w:rFonts w:hint="eastAsia" w:ascii="宋体" w:hAnsi="宋体" w:eastAsia="宋体" w:cs="宋体"/>
          <w:color w:val="auto"/>
          <w:sz w:val="21"/>
          <w:szCs w:val="21"/>
          <w:highlight w:val="none"/>
          <w:u w:val="single"/>
        </w:rPr>
        <w:t>名称）</w:t>
      </w:r>
      <w:r>
        <w:rPr>
          <w:rFonts w:hint="eastAsia" w:ascii="宋体" w:hAnsi="宋体" w:eastAsia="宋体" w:cs="宋体"/>
          <w:color w:val="auto"/>
          <w:sz w:val="21"/>
          <w:szCs w:val="21"/>
          <w:highlight w:val="none"/>
        </w:rPr>
        <w:t>（以下简称“</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”）和</w:t>
      </w:r>
      <w:r>
        <w:rPr>
          <w:rFonts w:hint="eastAsia" w:ascii="宋体" w:hAnsi="宋体" w:eastAsia="宋体" w:cs="宋体"/>
          <w:color w:val="auto"/>
          <w:sz w:val="21"/>
          <w:szCs w:val="21"/>
          <w:highlight w:val="none"/>
          <w:u w:val="single"/>
        </w:rPr>
        <w:t>（</w:t>
      </w:r>
      <w:r>
        <w:rPr>
          <w:rFonts w:hint="eastAsia" w:ascii="宋体" w:hAnsi="宋体" w:cs="宋体"/>
          <w:color w:val="auto"/>
          <w:sz w:val="21"/>
          <w:szCs w:val="21"/>
          <w:highlight w:val="none"/>
          <w:u w:val="single"/>
          <w:lang w:eastAsia="zh-CN"/>
        </w:rPr>
        <w:t>乙方</w:t>
      </w:r>
      <w:r>
        <w:rPr>
          <w:rFonts w:hint="eastAsia" w:ascii="宋体" w:hAnsi="宋体" w:eastAsia="宋体" w:cs="宋体"/>
          <w:color w:val="auto"/>
          <w:sz w:val="21"/>
          <w:szCs w:val="21"/>
          <w:highlight w:val="none"/>
          <w:u w:val="single"/>
        </w:rPr>
        <w:t>名称）</w:t>
      </w:r>
      <w:r>
        <w:rPr>
          <w:rFonts w:hint="eastAsia" w:ascii="宋体" w:hAnsi="宋体" w:eastAsia="宋体" w:cs="宋体"/>
          <w:color w:val="auto"/>
          <w:sz w:val="21"/>
          <w:szCs w:val="21"/>
          <w:highlight w:val="none"/>
        </w:rPr>
        <w:t>（以下简称“</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”）按下述条款和条件签署。</w:t>
      </w:r>
    </w:p>
    <w:p>
      <w:pPr>
        <w:keepNext w:val="0"/>
        <w:keepLines w:val="0"/>
        <w:pageBreakBefore w:val="0"/>
        <w:widowControl w:val="0"/>
        <w:numPr>
          <w:ilvl w:val="2"/>
          <w:numId w:val="9"/>
        </w:numPr>
        <w:tabs>
          <w:tab w:val="left" w:pos="720"/>
          <w:tab w:val="clear" w:pos="1200"/>
        </w:tabs>
        <w:kinsoku/>
        <w:wordWrap/>
        <w:overflowPunct/>
        <w:topLinePunct w:val="0"/>
        <w:autoSpaceDE/>
        <w:autoSpaceDN/>
        <w:bidi w:val="0"/>
        <w:adjustRightInd/>
        <w:snapToGrid/>
        <w:spacing w:after="156" w:afterLines="50" w:line="360" w:lineRule="auto"/>
        <w:ind w:left="7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本合同中的词语和术语的含义与合同条款中定义的相同。</w:t>
      </w:r>
    </w:p>
    <w:p>
      <w:pPr>
        <w:keepNext w:val="0"/>
        <w:keepLines w:val="0"/>
        <w:pageBreakBefore w:val="0"/>
        <w:widowControl w:val="0"/>
        <w:numPr>
          <w:ilvl w:val="2"/>
          <w:numId w:val="9"/>
        </w:numPr>
        <w:tabs>
          <w:tab w:val="left" w:pos="720"/>
          <w:tab w:val="clear" w:pos="1200"/>
        </w:tabs>
        <w:kinsoku/>
        <w:wordWrap/>
        <w:overflowPunct/>
        <w:topLinePunct w:val="0"/>
        <w:autoSpaceDE/>
        <w:autoSpaceDN/>
        <w:bidi w:val="0"/>
        <w:adjustRightInd/>
        <w:snapToGrid/>
        <w:spacing w:after="156" w:afterLines="50" w:line="360" w:lineRule="auto"/>
        <w:ind w:left="7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下列文件是本合同的组成部分，并与本合同一起阅读和解释：</w:t>
      </w:r>
    </w:p>
    <w:p>
      <w:pPr>
        <w:keepNext w:val="0"/>
        <w:keepLines w:val="0"/>
        <w:pageBreakBefore w:val="0"/>
        <w:widowControl w:val="0"/>
        <w:numPr>
          <w:ilvl w:val="0"/>
          <w:numId w:val="10"/>
        </w:numPr>
        <w:tabs>
          <w:tab w:val="left" w:pos="1080"/>
        </w:tabs>
        <w:kinsoku/>
        <w:wordWrap/>
        <w:overflowPunct/>
        <w:topLinePunct w:val="0"/>
        <w:autoSpaceDE/>
        <w:autoSpaceDN/>
        <w:bidi w:val="0"/>
        <w:adjustRightInd/>
        <w:snapToGrid/>
        <w:spacing w:after="156" w:afterLines="50" w:line="360" w:lineRule="auto"/>
        <w:ind w:left="1080" w:hanging="36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合同附件，如：</w:t>
      </w:r>
    </w:p>
    <w:p>
      <w:pPr>
        <w:keepNext w:val="0"/>
        <w:keepLines w:val="0"/>
        <w:pageBreakBefore w:val="0"/>
        <w:widowControl w:val="0"/>
        <w:numPr>
          <w:ilvl w:val="1"/>
          <w:numId w:val="11"/>
        </w:numPr>
        <w:kinsoku/>
        <w:wordWrap/>
        <w:overflowPunct/>
        <w:topLinePunct w:val="0"/>
        <w:autoSpaceDE/>
        <w:autoSpaceDN/>
        <w:bidi w:val="0"/>
        <w:adjustRightInd/>
        <w:snapToGrid/>
        <w:spacing w:after="156" w:after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供货内容及价格</w:t>
      </w:r>
    </w:p>
    <w:p>
      <w:pPr>
        <w:keepNext w:val="0"/>
        <w:keepLines w:val="0"/>
        <w:pageBreakBefore w:val="0"/>
        <w:widowControl w:val="0"/>
        <w:numPr>
          <w:ilvl w:val="1"/>
          <w:numId w:val="11"/>
        </w:numPr>
        <w:kinsoku/>
        <w:wordWrap/>
        <w:overflowPunct/>
        <w:topLinePunct w:val="0"/>
        <w:autoSpaceDE/>
        <w:autoSpaceDN/>
        <w:bidi w:val="0"/>
        <w:adjustRightInd/>
        <w:snapToGrid/>
        <w:spacing w:after="156" w:after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技术规格</w:t>
      </w:r>
    </w:p>
    <w:p>
      <w:pPr>
        <w:keepNext w:val="0"/>
        <w:keepLines w:val="0"/>
        <w:pageBreakBefore w:val="0"/>
        <w:widowControl w:val="0"/>
        <w:numPr>
          <w:ilvl w:val="1"/>
          <w:numId w:val="11"/>
        </w:numPr>
        <w:kinsoku/>
        <w:wordWrap/>
        <w:overflowPunct/>
        <w:topLinePunct w:val="0"/>
        <w:autoSpaceDE/>
        <w:autoSpaceDN/>
        <w:bidi w:val="0"/>
        <w:adjustRightInd/>
        <w:snapToGrid/>
        <w:spacing w:after="156" w:after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交货清单</w:t>
      </w:r>
    </w:p>
    <w:p>
      <w:pPr>
        <w:keepNext w:val="0"/>
        <w:keepLines w:val="0"/>
        <w:pageBreakBefore w:val="0"/>
        <w:widowControl w:val="0"/>
        <w:numPr>
          <w:ilvl w:val="1"/>
          <w:numId w:val="11"/>
        </w:numPr>
        <w:kinsoku/>
        <w:wordWrap/>
        <w:overflowPunct/>
        <w:topLinePunct w:val="0"/>
        <w:autoSpaceDE/>
        <w:autoSpaceDN/>
        <w:bidi w:val="0"/>
        <w:adjustRightInd/>
        <w:snapToGrid/>
        <w:spacing w:after="156" w:afterLines="50"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交货批次及时间的详细说明</w:t>
      </w:r>
    </w:p>
    <w:p>
      <w:pPr>
        <w:keepNext w:val="0"/>
        <w:keepLines w:val="0"/>
        <w:pageBreakBefore w:val="0"/>
        <w:widowControl w:val="0"/>
        <w:numPr>
          <w:ilvl w:val="0"/>
          <w:numId w:val="10"/>
        </w:numPr>
        <w:tabs>
          <w:tab w:val="left" w:pos="1080"/>
        </w:tabs>
        <w:kinsoku/>
        <w:wordWrap/>
        <w:overflowPunct/>
        <w:topLinePunct w:val="0"/>
        <w:autoSpaceDE/>
        <w:autoSpaceDN/>
        <w:bidi w:val="0"/>
        <w:adjustRightInd/>
        <w:snapToGrid/>
        <w:spacing w:after="156" w:afterLines="50" w:line="360" w:lineRule="auto"/>
        <w:ind w:left="1077" w:hanging="357"/>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合同专用条款</w:t>
      </w:r>
    </w:p>
    <w:p>
      <w:pPr>
        <w:keepNext w:val="0"/>
        <w:keepLines w:val="0"/>
        <w:pageBreakBefore w:val="0"/>
        <w:widowControl w:val="0"/>
        <w:numPr>
          <w:ilvl w:val="0"/>
          <w:numId w:val="10"/>
        </w:numPr>
        <w:tabs>
          <w:tab w:val="left" w:pos="1080"/>
        </w:tabs>
        <w:kinsoku/>
        <w:wordWrap/>
        <w:overflowPunct/>
        <w:topLinePunct w:val="0"/>
        <w:autoSpaceDE/>
        <w:autoSpaceDN/>
        <w:bidi w:val="0"/>
        <w:adjustRightInd/>
        <w:snapToGrid/>
        <w:spacing w:after="156" w:afterLines="50" w:line="360" w:lineRule="auto"/>
        <w:ind w:left="1077" w:hanging="357"/>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合同通用条款</w:t>
      </w:r>
    </w:p>
    <w:p>
      <w:pPr>
        <w:keepNext w:val="0"/>
        <w:keepLines w:val="0"/>
        <w:pageBreakBefore w:val="0"/>
        <w:widowControl w:val="0"/>
        <w:numPr>
          <w:ilvl w:val="0"/>
          <w:numId w:val="10"/>
        </w:numPr>
        <w:tabs>
          <w:tab w:val="left" w:pos="1080"/>
        </w:tabs>
        <w:kinsoku/>
        <w:wordWrap/>
        <w:overflowPunct/>
        <w:topLinePunct w:val="0"/>
        <w:autoSpaceDE/>
        <w:autoSpaceDN/>
        <w:bidi w:val="0"/>
        <w:adjustRightInd/>
        <w:snapToGrid/>
        <w:spacing w:after="156" w:afterLines="50" w:line="360" w:lineRule="auto"/>
        <w:ind w:left="1077" w:hanging="357"/>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中标通知书</w:t>
      </w:r>
    </w:p>
    <w:p>
      <w:pPr>
        <w:keepNext w:val="0"/>
        <w:keepLines w:val="0"/>
        <w:pageBreakBefore w:val="0"/>
        <w:widowControl w:val="0"/>
        <w:numPr>
          <w:ilvl w:val="0"/>
          <w:numId w:val="10"/>
        </w:numPr>
        <w:tabs>
          <w:tab w:val="left" w:pos="1080"/>
        </w:tabs>
        <w:kinsoku/>
        <w:wordWrap/>
        <w:overflowPunct/>
        <w:topLinePunct w:val="0"/>
        <w:autoSpaceDE/>
        <w:autoSpaceDN/>
        <w:bidi w:val="0"/>
        <w:adjustRightInd/>
        <w:snapToGrid/>
        <w:spacing w:after="156" w:afterLines="50" w:line="360" w:lineRule="auto"/>
        <w:ind w:left="1080" w:hanging="36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w:t>
      </w:r>
    </w:p>
    <w:p>
      <w:pPr>
        <w:keepNext w:val="0"/>
        <w:keepLines w:val="0"/>
        <w:pageBreakBefore w:val="0"/>
        <w:widowControl w:val="0"/>
        <w:numPr>
          <w:ilvl w:val="0"/>
          <w:numId w:val="10"/>
        </w:numPr>
        <w:tabs>
          <w:tab w:val="left" w:pos="1080"/>
        </w:tabs>
        <w:kinsoku/>
        <w:wordWrap/>
        <w:overflowPunct/>
        <w:topLinePunct w:val="0"/>
        <w:autoSpaceDE/>
        <w:autoSpaceDN/>
        <w:bidi w:val="0"/>
        <w:adjustRightInd/>
        <w:snapToGrid/>
        <w:spacing w:after="156" w:afterLines="50" w:line="360" w:lineRule="auto"/>
        <w:ind w:left="1080" w:hanging="36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招标文件</w:t>
      </w:r>
    </w:p>
    <w:p>
      <w:pPr>
        <w:keepNext w:val="0"/>
        <w:keepLines w:val="0"/>
        <w:pageBreakBefore w:val="0"/>
        <w:widowControl w:val="0"/>
        <w:kinsoku/>
        <w:wordWrap/>
        <w:overflowPunct/>
        <w:topLinePunct w:val="0"/>
        <w:autoSpaceDE/>
        <w:autoSpaceDN/>
        <w:bidi w:val="0"/>
        <w:adjustRightInd/>
        <w:snapToGrid/>
        <w:spacing w:after="156" w:afterLines="50" w:line="360" w:lineRule="auto"/>
        <w:ind w:left="7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上述文件如有冲突，以排列序号小的优先。</w:t>
      </w:r>
    </w:p>
    <w:p>
      <w:pPr>
        <w:keepNext w:val="0"/>
        <w:keepLines w:val="0"/>
        <w:pageBreakBefore w:val="0"/>
        <w:widowControl w:val="0"/>
        <w:numPr>
          <w:ilvl w:val="2"/>
          <w:numId w:val="9"/>
        </w:numPr>
        <w:tabs>
          <w:tab w:val="left" w:pos="720"/>
          <w:tab w:val="clear" w:pos="1200"/>
        </w:tabs>
        <w:kinsoku/>
        <w:wordWrap/>
        <w:overflowPunct/>
        <w:topLinePunct w:val="0"/>
        <w:autoSpaceDE/>
        <w:autoSpaceDN/>
        <w:bidi w:val="0"/>
        <w:adjustRightInd/>
        <w:snapToGrid/>
        <w:spacing w:after="156" w:afterLines="50" w:line="360" w:lineRule="auto"/>
        <w:ind w:left="720"/>
        <w:jc w:val="left"/>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在此保证全部按照合同的规定向</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提供货物和服务，并修补缺陷，</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将按照本合同价款向</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进行支付。</w:t>
      </w:r>
    </w:p>
    <w:p>
      <w:pPr>
        <w:keepNext w:val="0"/>
        <w:keepLines w:val="0"/>
        <w:pageBreakBefore w:val="0"/>
        <w:widowControl w:val="0"/>
        <w:numPr>
          <w:ilvl w:val="2"/>
          <w:numId w:val="9"/>
        </w:numPr>
        <w:tabs>
          <w:tab w:val="left" w:pos="720"/>
          <w:tab w:val="clear" w:pos="1200"/>
        </w:tabs>
        <w:kinsoku/>
        <w:wordWrap/>
        <w:overflowPunct/>
        <w:topLinePunct w:val="0"/>
        <w:autoSpaceDE/>
        <w:autoSpaceDN/>
        <w:bidi w:val="0"/>
        <w:adjustRightInd/>
        <w:snapToGrid/>
        <w:spacing w:after="156" w:afterLines="50" w:line="360" w:lineRule="auto"/>
        <w:ind w:left="7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本合同正本一式二份，副本一式四份，均以中文书写，在双方代表签字盖章后生效。</w:t>
      </w:r>
    </w:p>
    <w:tbl>
      <w:tblPr>
        <w:tblStyle w:val="23"/>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rPr>
          <w:trHeight w:val="3727" w:hRule="atLeast"/>
        </w:trPr>
        <w:tc>
          <w:tcPr>
            <w:tcW w:w="4261" w:type="dxa"/>
            <w:noWrap w:val="0"/>
            <w:vAlign w:val="top"/>
          </w:tcPr>
          <w:p>
            <w:pPr>
              <w:spacing w:after="156" w:afterLines="50" w:line="360" w:lineRule="auto"/>
              <w:rPr>
                <w:rFonts w:hint="eastAsia" w:ascii="宋体" w:hAnsi="宋体" w:eastAsia="宋体" w:cs="宋体"/>
                <w:color w:val="auto"/>
                <w:sz w:val="21"/>
                <w:szCs w:val="21"/>
                <w:highlight w:val="none"/>
                <w:u w:val="single"/>
              </w:rPr>
            </w:pP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名称</w:t>
            </w:r>
            <w:r>
              <w:rPr>
                <w:rFonts w:hint="eastAsia" w:ascii="宋体" w:hAnsi="宋体" w:eastAsia="宋体" w:cs="宋体"/>
                <w:color w:val="auto"/>
                <w:sz w:val="21"/>
                <w:szCs w:val="21"/>
                <w:highlight w:val="none"/>
                <w:u w:val="single"/>
              </w:rPr>
              <w:t xml:space="preserve">                         </w:t>
            </w:r>
          </w:p>
          <w:p>
            <w:pPr>
              <w:spacing w:after="156" w:afterLines="50" w:line="360" w:lineRule="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甲方地址</w:t>
            </w:r>
            <w:r>
              <w:rPr>
                <w:rFonts w:hint="eastAsia" w:ascii="宋体" w:hAnsi="宋体" w:eastAsia="宋体" w:cs="宋体"/>
                <w:color w:val="auto"/>
                <w:sz w:val="21"/>
                <w:szCs w:val="21"/>
                <w:highlight w:val="none"/>
                <w:u w:val="single"/>
              </w:rPr>
              <w:t xml:space="preserve">                         </w:t>
            </w:r>
          </w:p>
          <w:p>
            <w:pPr>
              <w:spacing w:after="156" w:afterLines="50"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邮政编码</w:t>
            </w:r>
            <w:r>
              <w:rPr>
                <w:rFonts w:hint="eastAsia" w:ascii="宋体" w:hAnsi="宋体" w:eastAsia="宋体" w:cs="宋体"/>
                <w:color w:val="auto"/>
                <w:sz w:val="21"/>
                <w:szCs w:val="21"/>
                <w:highlight w:val="none"/>
                <w:u w:val="single"/>
              </w:rPr>
              <w:t xml:space="preserve">                         </w:t>
            </w:r>
          </w:p>
          <w:p>
            <w:pPr>
              <w:spacing w:after="156" w:afterLines="50"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开户银行</w:t>
            </w:r>
            <w:r>
              <w:rPr>
                <w:rFonts w:hint="eastAsia" w:ascii="宋体" w:hAnsi="宋体" w:eastAsia="宋体" w:cs="宋体"/>
                <w:color w:val="auto"/>
                <w:sz w:val="21"/>
                <w:szCs w:val="21"/>
                <w:highlight w:val="none"/>
                <w:u w:val="single"/>
              </w:rPr>
              <w:t xml:space="preserve">                         </w:t>
            </w:r>
          </w:p>
          <w:p>
            <w:pPr>
              <w:spacing w:after="156" w:afterLines="50"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银行账号</w:t>
            </w:r>
            <w:r>
              <w:rPr>
                <w:rFonts w:hint="eastAsia" w:ascii="宋体" w:hAnsi="宋体" w:eastAsia="宋体" w:cs="宋体"/>
                <w:color w:val="auto"/>
                <w:sz w:val="21"/>
                <w:szCs w:val="21"/>
                <w:highlight w:val="none"/>
                <w:u w:val="single"/>
              </w:rPr>
              <w:t xml:space="preserve">                         </w:t>
            </w:r>
          </w:p>
          <w:p>
            <w:pPr>
              <w:spacing w:after="156" w:afterLines="50"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lang w:val="en-US" w:eastAsia="zh-CN"/>
              </w:rPr>
              <w:t>联系电话</w:t>
            </w:r>
            <w:r>
              <w:rPr>
                <w:rFonts w:hint="eastAsia" w:ascii="宋体" w:hAnsi="宋体" w:eastAsia="宋体" w:cs="宋体"/>
                <w:color w:val="auto"/>
                <w:sz w:val="21"/>
                <w:szCs w:val="21"/>
                <w:highlight w:val="none"/>
                <w:u w:val="single"/>
              </w:rPr>
              <w:t xml:space="preserve">                     </w:t>
            </w:r>
          </w:p>
          <w:p>
            <w:pPr>
              <w:spacing w:after="156" w:afterLines="50"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代表姓名</w:t>
            </w:r>
            <w:r>
              <w:rPr>
                <w:rFonts w:hint="eastAsia" w:ascii="宋体" w:hAnsi="宋体" w:eastAsia="宋体" w:cs="宋体"/>
                <w:color w:val="auto"/>
                <w:sz w:val="21"/>
                <w:szCs w:val="21"/>
                <w:highlight w:val="none"/>
                <w:u w:val="single"/>
              </w:rPr>
              <w:t xml:space="preserve">                     </w:t>
            </w:r>
          </w:p>
          <w:p>
            <w:pPr>
              <w:spacing w:after="156" w:afterLines="50" w:line="360" w:lineRule="auto"/>
              <w:rPr>
                <w:rFonts w:hint="eastAsia" w:ascii="宋体" w:hAnsi="宋体" w:eastAsia="宋体" w:cs="宋体"/>
                <w:color w:val="auto"/>
                <w:sz w:val="21"/>
                <w:szCs w:val="21"/>
                <w:highlight w:val="none"/>
                <w:u w:val="single"/>
              </w:rPr>
            </w:pP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代表签字</w:t>
            </w:r>
            <w:r>
              <w:rPr>
                <w:rFonts w:hint="eastAsia" w:ascii="宋体" w:hAnsi="宋体" w:eastAsia="宋体" w:cs="宋体"/>
                <w:color w:val="auto"/>
                <w:sz w:val="21"/>
                <w:szCs w:val="21"/>
                <w:highlight w:val="none"/>
                <w:u w:val="single"/>
              </w:rPr>
              <w:t xml:space="preserve">                     </w:t>
            </w:r>
          </w:p>
          <w:p>
            <w:pPr>
              <w:spacing w:after="156" w:afterLines="5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签字日期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spacing w:after="156" w:afterLines="50"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 xml:space="preserve">公章（或合同章） </w:t>
            </w:r>
            <w:r>
              <w:rPr>
                <w:rFonts w:hint="eastAsia" w:ascii="宋体" w:hAnsi="宋体" w:eastAsia="宋体" w:cs="宋体"/>
                <w:color w:val="auto"/>
                <w:sz w:val="21"/>
                <w:szCs w:val="21"/>
                <w:highlight w:val="none"/>
                <w:u w:val="single"/>
              </w:rPr>
              <w:t xml:space="preserve">            </w:t>
            </w:r>
          </w:p>
        </w:tc>
        <w:tc>
          <w:tcPr>
            <w:tcW w:w="4261" w:type="dxa"/>
            <w:noWrap w:val="0"/>
            <w:vAlign w:val="top"/>
          </w:tcPr>
          <w:p>
            <w:pPr>
              <w:spacing w:after="156" w:afterLines="50" w:line="360" w:lineRule="auto"/>
              <w:rPr>
                <w:rFonts w:hint="eastAsia" w:ascii="宋体" w:hAnsi="宋体" w:eastAsia="宋体" w:cs="宋体"/>
                <w:color w:val="auto"/>
                <w:sz w:val="21"/>
                <w:szCs w:val="21"/>
                <w:highlight w:val="none"/>
                <w:u w:val="single"/>
              </w:rPr>
            </w:pP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名称</w:t>
            </w:r>
            <w:r>
              <w:rPr>
                <w:rFonts w:hint="eastAsia" w:ascii="宋体" w:hAnsi="宋体" w:eastAsia="宋体" w:cs="宋体"/>
                <w:color w:val="auto"/>
                <w:sz w:val="21"/>
                <w:szCs w:val="21"/>
                <w:highlight w:val="none"/>
                <w:u w:val="single"/>
              </w:rPr>
              <w:t xml:space="preserve">                         </w:t>
            </w:r>
          </w:p>
          <w:p>
            <w:pPr>
              <w:spacing w:after="156" w:afterLines="50"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乙方地址</w:t>
            </w:r>
            <w:r>
              <w:rPr>
                <w:rFonts w:hint="eastAsia" w:ascii="宋体" w:hAnsi="宋体" w:eastAsia="宋体" w:cs="宋体"/>
                <w:color w:val="auto"/>
                <w:sz w:val="21"/>
                <w:szCs w:val="21"/>
                <w:highlight w:val="none"/>
                <w:u w:val="single"/>
              </w:rPr>
              <w:t xml:space="preserve">                         </w:t>
            </w:r>
          </w:p>
          <w:p>
            <w:pPr>
              <w:spacing w:after="156" w:afterLines="50" w:line="360" w:lineRule="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邮政编码</w:t>
            </w:r>
            <w:r>
              <w:rPr>
                <w:rFonts w:hint="eastAsia" w:ascii="宋体" w:hAnsi="宋体" w:eastAsia="宋体" w:cs="宋体"/>
                <w:color w:val="auto"/>
                <w:sz w:val="21"/>
                <w:szCs w:val="21"/>
                <w:highlight w:val="none"/>
                <w:u w:val="single"/>
              </w:rPr>
              <w:t xml:space="preserve">                         </w:t>
            </w:r>
          </w:p>
          <w:p>
            <w:pPr>
              <w:spacing w:after="156" w:afterLines="50"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开户银行</w:t>
            </w:r>
            <w:r>
              <w:rPr>
                <w:rFonts w:hint="eastAsia" w:ascii="宋体" w:hAnsi="宋体" w:eastAsia="宋体" w:cs="宋体"/>
                <w:color w:val="auto"/>
                <w:sz w:val="21"/>
                <w:szCs w:val="21"/>
                <w:highlight w:val="none"/>
                <w:u w:val="single"/>
              </w:rPr>
              <w:t xml:space="preserve">                         </w:t>
            </w:r>
          </w:p>
          <w:p>
            <w:pPr>
              <w:spacing w:after="156" w:afterLines="50"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银行账号</w:t>
            </w:r>
            <w:r>
              <w:rPr>
                <w:rFonts w:hint="eastAsia" w:ascii="宋体" w:hAnsi="宋体" w:eastAsia="宋体" w:cs="宋体"/>
                <w:color w:val="auto"/>
                <w:sz w:val="21"/>
                <w:szCs w:val="21"/>
                <w:highlight w:val="none"/>
                <w:u w:val="single"/>
              </w:rPr>
              <w:t xml:space="preserve">                         </w:t>
            </w:r>
          </w:p>
          <w:p>
            <w:pPr>
              <w:spacing w:after="156" w:afterLines="50"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乙方</w:t>
            </w:r>
            <w:r>
              <w:rPr>
                <w:rFonts w:hint="eastAsia" w:ascii="宋体" w:hAnsi="宋体" w:eastAsia="宋体" w:cs="宋体"/>
                <w:color w:val="auto"/>
                <w:sz w:val="21"/>
                <w:szCs w:val="21"/>
                <w:highlight w:val="none"/>
                <w:lang w:val="en-US" w:eastAsia="zh-CN"/>
              </w:rPr>
              <w:t>联系电话</w:t>
            </w:r>
            <w:r>
              <w:rPr>
                <w:rFonts w:hint="eastAsia" w:ascii="宋体" w:hAnsi="宋体" w:eastAsia="宋体" w:cs="宋体"/>
                <w:color w:val="auto"/>
                <w:sz w:val="21"/>
                <w:szCs w:val="21"/>
                <w:highlight w:val="none"/>
                <w:u w:val="single"/>
              </w:rPr>
              <w:t xml:space="preserve">                     </w:t>
            </w:r>
          </w:p>
          <w:p>
            <w:pPr>
              <w:spacing w:after="156" w:afterLines="50"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代表姓名</w:t>
            </w:r>
            <w:r>
              <w:rPr>
                <w:rFonts w:hint="eastAsia" w:ascii="宋体" w:hAnsi="宋体" w:eastAsia="宋体" w:cs="宋体"/>
                <w:color w:val="auto"/>
                <w:sz w:val="21"/>
                <w:szCs w:val="21"/>
                <w:highlight w:val="none"/>
                <w:u w:val="single"/>
              </w:rPr>
              <w:t xml:space="preserve">                     </w:t>
            </w:r>
          </w:p>
          <w:p>
            <w:pPr>
              <w:spacing w:after="156" w:afterLines="50" w:line="360" w:lineRule="auto"/>
              <w:rPr>
                <w:rFonts w:hint="eastAsia" w:ascii="宋体" w:hAnsi="宋体" w:eastAsia="宋体" w:cs="宋体"/>
                <w:color w:val="auto"/>
                <w:sz w:val="21"/>
                <w:szCs w:val="21"/>
                <w:highlight w:val="none"/>
                <w:u w:val="single"/>
              </w:rPr>
            </w:pP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代表签字</w:t>
            </w:r>
            <w:r>
              <w:rPr>
                <w:rFonts w:hint="eastAsia" w:ascii="宋体" w:hAnsi="宋体" w:eastAsia="宋体" w:cs="宋体"/>
                <w:color w:val="auto"/>
                <w:sz w:val="21"/>
                <w:szCs w:val="21"/>
                <w:highlight w:val="none"/>
                <w:u w:val="single"/>
              </w:rPr>
              <w:t xml:space="preserve">                     </w:t>
            </w:r>
          </w:p>
          <w:p>
            <w:pPr>
              <w:spacing w:after="156" w:afterLines="5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签字日期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spacing w:after="156" w:afterLines="50"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 xml:space="preserve">公章（或合同章） </w:t>
            </w:r>
            <w:r>
              <w:rPr>
                <w:rFonts w:hint="eastAsia" w:ascii="宋体" w:hAnsi="宋体" w:eastAsia="宋体" w:cs="宋体"/>
                <w:color w:val="auto"/>
                <w:sz w:val="21"/>
                <w:szCs w:val="21"/>
                <w:highlight w:val="none"/>
                <w:u w:val="single"/>
              </w:rPr>
              <w:t xml:space="preserve">            </w:t>
            </w:r>
          </w:p>
        </w:tc>
      </w:tr>
    </w:tbl>
    <w:p>
      <w:pPr>
        <w:rPr>
          <w:color w:val="auto"/>
          <w:highlight w:val="none"/>
        </w:rPr>
      </w:pPr>
    </w:p>
    <w:p>
      <w:pPr>
        <w:spacing w:line="720" w:lineRule="auto"/>
        <w:jc w:val="center"/>
        <w:rPr>
          <w:rFonts w:eastAsia="方正小标宋简体"/>
          <w:color w:val="auto"/>
          <w:sz w:val="44"/>
          <w:szCs w:val="44"/>
          <w:highlight w:val="none"/>
          <w:u w:val="single"/>
        </w:rPr>
      </w:pPr>
    </w:p>
    <w:p>
      <w:pPr>
        <w:rPr>
          <w:rFonts w:hint="eastAsia" w:ascii="宋体" w:hAnsi="宋体"/>
          <w:color w:val="auto"/>
          <w:sz w:val="32"/>
          <w:highlight w:val="none"/>
        </w:rPr>
      </w:pPr>
      <w:r>
        <w:rPr>
          <w:rFonts w:hint="eastAsia" w:ascii="宋体" w:hAnsi="宋体"/>
          <w:color w:val="auto"/>
          <w:sz w:val="32"/>
          <w:highlight w:val="none"/>
        </w:rPr>
        <w:br w:type="page"/>
      </w:r>
    </w:p>
    <w:p>
      <w:pPr>
        <w:pStyle w:val="3"/>
        <w:spacing w:line="360" w:lineRule="auto"/>
        <w:ind w:left="0" w:firstLine="0"/>
        <w:jc w:val="center"/>
        <w:rPr>
          <w:rFonts w:ascii="宋体" w:hAnsi="宋体"/>
          <w:color w:val="auto"/>
          <w:sz w:val="32"/>
          <w:highlight w:val="none"/>
        </w:rPr>
      </w:pPr>
      <w:bookmarkStart w:id="124" w:name="_Toc5284"/>
      <w:r>
        <w:rPr>
          <w:rFonts w:hint="eastAsia" w:ascii="宋体" w:hAnsi="宋体"/>
          <w:color w:val="auto"/>
          <w:sz w:val="32"/>
          <w:highlight w:val="none"/>
        </w:rPr>
        <w:t>第六章</w:t>
      </w:r>
      <w:r>
        <w:rPr>
          <w:rFonts w:hint="eastAsia" w:ascii="宋体" w:hAnsi="宋体"/>
          <w:color w:val="auto"/>
          <w:sz w:val="32"/>
          <w:highlight w:val="none"/>
          <w:lang w:val="en-US" w:eastAsia="zh-CN"/>
        </w:rPr>
        <w:t xml:space="preserve"> </w:t>
      </w:r>
      <w:r>
        <w:rPr>
          <w:rFonts w:hint="eastAsia" w:ascii="宋体" w:hAnsi="宋体"/>
          <w:color w:val="auto"/>
          <w:sz w:val="32"/>
          <w:highlight w:val="none"/>
        </w:rPr>
        <w:t xml:space="preserve"> 投标文件格式</w:t>
      </w:r>
      <w:bookmarkEnd w:id="121"/>
      <w:bookmarkEnd w:id="122"/>
      <w:bookmarkEnd w:id="123"/>
      <w:bookmarkEnd w:id="124"/>
    </w:p>
    <w:p>
      <w:pPr>
        <w:rPr>
          <w:rFonts w:ascii="黑体" w:eastAsia="黑体"/>
          <w:color w:val="auto"/>
          <w:sz w:val="32"/>
          <w:szCs w:val="32"/>
          <w:highlight w:val="none"/>
        </w:rPr>
      </w:pPr>
      <w:r>
        <w:rPr>
          <w:rFonts w:hint="eastAsia" w:ascii="黑体" w:eastAsia="黑体"/>
          <w:color w:val="auto"/>
          <w:sz w:val="32"/>
          <w:szCs w:val="32"/>
          <w:highlight w:val="none"/>
        </w:rPr>
        <w:br w:type="page"/>
      </w:r>
    </w:p>
    <w:p>
      <w:pPr>
        <w:bidi w:val="0"/>
        <w:jc w:val="right"/>
        <w:rPr>
          <w:b/>
          <w:bCs/>
          <w:color w:val="auto"/>
          <w:sz w:val="32"/>
          <w:szCs w:val="40"/>
          <w:highlight w:val="none"/>
        </w:rPr>
      </w:pPr>
      <w:r>
        <w:rPr>
          <w:rFonts w:hint="eastAsia"/>
          <w:b/>
          <w:bCs/>
          <w:color w:val="auto"/>
          <w:sz w:val="32"/>
          <w:szCs w:val="40"/>
          <w:highlight w:val="none"/>
        </w:rPr>
        <w:t xml:space="preserve"> </w:t>
      </w:r>
      <w:bookmarkStart w:id="125" w:name="_Toc13061"/>
      <w:bookmarkStart w:id="126" w:name="_Toc671"/>
      <w:bookmarkStart w:id="127" w:name="_Toc18416"/>
      <w:bookmarkStart w:id="128" w:name="_Toc9676"/>
      <w:r>
        <w:rPr>
          <w:rFonts w:hint="eastAsia"/>
          <w:b/>
          <w:bCs/>
          <w:color w:val="auto"/>
          <w:sz w:val="32"/>
          <w:szCs w:val="40"/>
          <w:highlight w:val="none"/>
        </w:rPr>
        <w:t>正本/副本</w:t>
      </w:r>
      <w:bookmarkEnd w:id="125"/>
      <w:bookmarkEnd w:id="126"/>
      <w:bookmarkEnd w:id="127"/>
      <w:bookmarkEnd w:id="128"/>
    </w:p>
    <w:p>
      <w:pPr>
        <w:spacing w:line="500" w:lineRule="exact"/>
        <w:rPr>
          <w:rFonts w:hint="eastAsia" w:ascii="宋体" w:hAnsi="宋体" w:eastAsia="宋体" w:cs="宋体"/>
          <w:b/>
          <w:color w:val="auto"/>
          <w:sz w:val="32"/>
          <w:szCs w:val="32"/>
          <w:highlight w:val="none"/>
          <w:u w:val="single"/>
          <w:lang w:val="en-US" w:eastAsia="zh-CN"/>
        </w:rPr>
      </w:pPr>
      <w:bookmarkStart w:id="129" w:name="_Toc3861"/>
      <w:r>
        <w:rPr>
          <w:rFonts w:hint="eastAsia" w:ascii="宋体" w:hAnsi="宋体" w:cs="宋体"/>
          <w:b/>
          <w:color w:val="auto"/>
          <w:sz w:val="32"/>
          <w:szCs w:val="32"/>
          <w:highlight w:val="none"/>
        </w:rPr>
        <w:t>项目编号：</w:t>
      </w:r>
      <w:r>
        <w:rPr>
          <w:rFonts w:hint="eastAsia" w:ascii="宋体" w:hAnsi="宋体" w:cs="宋体"/>
          <w:b/>
          <w:color w:val="auto"/>
          <w:sz w:val="32"/>
          <w:szCs w:val="32"/>
          <w:highlight w:val="none"/>
          <w:lang w:eastAsia="zh-CN"/>
        </w:rPr>
        <w:t>E-234132XA011/04</w:t>
      </w:r>
    </w:p>
    <w:p>
      <w:pPr>
        <w:spacing w:before="156" w:beforeLines="50" w:after="156" w:afterLines="50" w:line="360" w:lineRule="auto"/>
        <w:rPr>
          <w:b/>
          <w:bCs/>
          <w:color w:val="auto"/>
          <w:sz w:val="54"/>
          <w:szCs w:val="54"/>
          <w:highlight w:val="none"/>
        </w:rPr>
      </w:pPr>
    </w:p>
    <w:p>
      <w:pPr>
        <w:pStyle w:val="28"/>
        <w:spacing w:before="156" w:beforeLines="50"/>
        <w:jc w:val="both"/>
        <w:rPr>
          <w:rFonts w:ascii="宋体" w:hAnsi="宋体"/>
          <w:b/>
          <w:color w:val="auto"/>
          <w:sz w:val="48"/>
          <w:szCs w:val="48"/>
          <w:highlight w:val="none"/>
        </w:rPr>
      </w:pPr>
    </w:p>
    <w:p>
      <w:pPr>
        <w:pStyle w:val="28"/>
        <w:keepNext w:val="0"/>
        <w:keepLines w:val="0"/>
        <w:pageBreakBefore w:val="0"/>
        <w:widowControl w:val="0"/>
        <w:kinsoku/>
        <w:wordWrap/>
        <w:overflowPunct/>
        <w:topLinePunct w:val="0"/>
        <w:autoSpaceDE/>
        <w:autoSpaceDN/>
        <w:bidi w:val="0"/>
        <w:adjustRightInd/>
        <w:snapToGrid/>
        <w:spacing w:before="156" w:beforeLines="50" w:line="720" w:lineRule="auto"/>
        <w:jc w:val="center"/>
        <w:textAlignment w:val="auto"/>
        <w:rPr>
          <w:rFonts w:hint="eastAsia" w:ascii="宋体" w:hAnsi="宋体" w:eastAsia="宋体"/>
          <w:b/>
          <w:color w:val="auto"/>
          <w:sz w:val="48"/>
          <w:szCs w:val="48"/>
          <w:highlight w:val="none"/>
          <w:lang w:eastAsia="zh-CN"/>
        </w:rPr>
      </w:pPr>
      <w:r>
        <w:rPr>
          <w:rFonts w:hint="eastAsia" w:ascii="宋体" w:hAnsi="宋体"/>
          <w:b/>
          <w:color w:val="auto"/>
          <w:sz w:val="48"/>
          <w:szCs w:val="48"/>
          <w:highlight w:val="none"/>
          <w:lang w:eastAsia="zh-CN"/>
        </w:rPr>
        <w:t>咸阳市中心医院智慧医院建设提升、智慧医疗管理系统建设及环境扩容服务</w:t>
      </w:r>
    </w:p>
    <w:p>
      <w:pPr>
        <w:spacing w:before="156" w:beforeLines="50" w:after="156" w:afterLines="50"/>
        <w:ind w:right="-334" w:rightChars="-159"/>
        <w:jc w:val="center"/>
        <w:rPr>
          <w:rFonts w:hint="eastAsia" w:ascii="宋体" w:hAnsi="宋体" w:eastAsia="宋体" w:cs="Times New Roman"/>
          <w:b/>
          <w:color w:val="auto"/>
          <w:kern w:val="2"/>
          <w:sz w:val="32"/>
          <w:szCs w:val="32"/>
          <w:highlight w:val="none"/>
          <w:lang w:val="en-US" w:eastAsia="zh-CN" w:bidi="ar-SA"/>
        </w:rPr>
      </w:pPr>
      <w:r>
        <w:rPr>
          <w:rFonts w:hint="eastAsia" w:ascii="宋体" w:hAnsi="宋体" w:eastAsia="宋体" w:cs="Times New Roman"/>
          <w:b/>
          <w:color w:val="auto"/>
          <w:kern w:val="2"/>
          <w:sz w:val="32"/>
          <w:szCs w:val="32"/>
          <w:highlight w:val="none"/>
          <w:lang w:val="en-US" w:eastAsia="zh-CN" w:bidi="ar-SA"/>
        </w:rPr>
        <w:t>（</w:t>
      </w:r>
      <w:r>
        <w:rPr>
          <w:rFonts w:hint="eastAsia" w:ascii="宋体" w:hAnsi="宋体" w:cs="Times New Roman"/>
          <w:b/>
          <w:color w:val="auto"/>
          <w:kern w:val="2"/>
          <w:sz w:val="32"/>
          <w:szCs w:val="32"/>
          <w:highlight w:val="none"/>
          <w:lang w:val="en-US" w:eastAsia="zh-CN" w:bidi="ar-SA"/>
        </w:rPr>
        <w:t>04包：智慧医疗管理系统建设及环境扩容服务项目</w:t>
      </w:r>
      <w:r>
        <w:rPr>
          <w:rFonts w:hint="eastAsia" w:ascii="宋体" w:hAnsi="宋体" w:eastAsia="宋体" w:cs="Times New Roman"/>
          <w:b/>
          <w:color w:val="auto"/>
          <w:kern w:val="2"/>
          <w:sz w:val="32"/>
          <w:szCs w:val="32"/>
          <w:highlight w:val="none"/>
          <w:lang w:val="en-US" w:eastAsia="zh-CN" w:bidi="ar-SA"/>
        </w:rPr>
        <w:t>）</w:t>
      </w:r>
    </w:p>
    <w:p>
      <w:pPr>
        <w:bidi w:val="0"/>
        <w:rPr>
          <w:color w:val="auto"/>
          <w:highlight w:val="none"/>
        </w:rPr>
      </w:pPr>
    </w:p>
    <w:p>
      <w:pPr>
        <w:rPr>
          <w:color w:val="auto"/>
          <w:highlight w:val="none"/>
        </w:rPr>
      </w:pPr>
    </w:p>
    <w:p>
      <w:pPr>
        <w:bidi w:val="0"/>
        <w:jc w:val="center"/>
        <w:rPr>
          <w:rFonts w:hint="eastAsia" w:eastAsia="宋体"/>
          <w:b/>
          <w:bCs/>
          <w:color w:val="auto"/>
          <w:sz w:val="72"/>
          <w:szCs w:val="144"/>
          <w:highlight w:val="none"/>
          <w:lang w:eastAsia="zh-CN"/>
        </w:rPr>
      </w:pPr>
      <w:bookmarkStart w:id="130" w:name="_Toc16940"/>
      <w:bookmarkStart w:id="131" w:name="_Toc7769"/>
      <w:bookmarkStart w:id="132" w:name="_Toc6340"/>
      <w:bookmarkStart w:id="133" w:name="_Toc32072"/>
    </w:p>
    <w:p>
      <w:pPr>
        <w:bidi w:val="0"/>
        <w:jc w:val="center"/>
        <w:rPr>
          <w:rFonts w:hint="eastAsia" w:eastAsia="宋体"/>
          <w:b/>
          <w:bCs/>
          <w:color w:val="auto"/>
          <w:sz w:val="72"/>
          <w:szCs w:val="144"/>
          <w:highlight w:val="none"/>
          <w:lang w:eastAsia="zh-CN"/>
        </w:rPr>
      </w:pPr>
      <w:r>
        <w:rPr>
          <w:rFonts w:hint="eastAsia" w:eastAsia="宋体"/>
          <w:b/>
          <w:bCs/>
          <w:color w:val="auto"/>
          <w:sz w:val="72"/>
          <w:szCs w:val="144"/>
          <w:highlight w:val="none"/>
          <w:lang w:eastAsia="zh-CN"/>
        </w:rPr>
        <w:t>投标文件</w:t>
      </w:r>
      <w:bookmarkEnd w:id="130"/>
      <w:bookmarkEnd w:id="131"/>
      <w:bookmarkEnd w:id="132"/>
      <w:bookmarkEnd w:id="133"/>
    </w:p>
    <w:p>
      <w:pPr>
        <w:bidi w:val="0"/>
        <w:rPr>
          <w:rFonts w:hint="eastAsia"/>
          <w:color w:val="auto"/>
          <w:highlight w:val="none"/>
          <w:lang w:eastAsia="zh-CN"/>
        </w:rPr>
      </w:pPr>
    </w:p>
    <w:p>
      <w:pPr>
        <w:bidi w:val="0"/>
        <w:rPr>
          <w:color w:val="auto"/>
          <w:highlight w:val="none"/>
        </w:rPr>
      </w:pPr>
    </w:p>
    <w:p>
      <w:pPr>
        <w:bidi w:val="0"/>
        <w:rPr>
          <w:color w:val="auto"/>
          <w:highlight w:val="none"/>
        </w:rPr>
      </w:pPr>
    </w:p>
    <w:p>
      <w:pPr>
        <w:pStyle w:val="28"/>
        <w:rPr>
          <w:color w:val="auto"/>
          <w:highlight w:val="none"/>
        </w:rPr>
      </w:pPr>
    </w:p>
    <w:p>
      <w:pPr>
        <w:pStyle w:val="18"/>
        <w:rPr>
          <w:color w:val="auto"/>
          <w:highlight w:val="none"/>
        </w:rPr>
      </w:pPr>
    </w:p>
    <w:p>
      <w:pPr>
        <w:pStyle w:val="28"/>
        <w:rPr>
          <w:color w:val="auto"/>
          <w:highlight w:val="none"/>
        </w:rPr>
      </w:pPr>
    </w:p>
    <w:p>
      <w:pPr>
        <w:pStyle w:val="18"/>
        <w:rPr>
          <w:color w:val="auto"/>
          <w:highlight w:val="none"/>
        </w:rPr>
      </w:pPr>
    </w:p>
    <w:p>
      <w:pPr>
        <w:pStyle w:val="28"/>
        <w:rPr>
          <w:color w:val="auto"/>
          <w:highlight w:val="none"/>
        </w:rPr>
      </w:pPr>
    </w:p>
    <w:p>
      <w:pPr>
        <w:keepNext w:val="0"/>
        <w:keepLines w:val="0"/>
        <w:pageBreakBefore w:val="0"/>
        <w:widowControl w:val="0"/>
        <w:kinsoku/>
        <w:wordWrap/>
        <w:overflowPunct/>
        <w:topLinePunct w:val="0"/>
        <w:autoSpaceDE/>
        <w:autoSpaceDN/>
        <w:bidi w:val="0"/>
        <w:adjustRightInd/>
        <w:snapToGrid/>
        <w:spacing w:line="720" w:lineRule="auto"/>
        <w:ind w:firstLine="840" w:firstLineChars="300"/>
        <w:textAlignment w:val="auto"/>
        <w:rPr>
          <w:color w:val="auto"/>
          <w:sz w:val="28"/>
          <w:szCs w:val="36"/>
          <w:highlight w:val="none"/>
        </w:rPr>
      </w:pPr>
      <w:bookmarkStart w:id="134" w:name="_Toc4654"/>
      <w:bookmarkStart w:id="135" w:name="_Toc1651"/>
      <w:bookmarkStart w:id="136" w:name="_Toc25430"/>
      <w:bookmarkStart w:id="137" w:name="_Toc21867"/>
      <w:r>
        <w:rPr>
          <w:rFonts w:hint="eastAsia"/>
          <w:color w:val="auto"/>
          <w:sz w:val="28"/>
          <w:szCs w:val="36"/>
          <w:highlight w:val="none"/>
        </w:rPr>
        <w:t>投标人：</w:t>
      </w:r>
      <w:r>
        <w:rPr>
          <w:rFonts w:hint="eastAsia"/>
          <w:color w:val="auto"/>
          <w:sz w:val="28"/>
          <w:szCs w:val="36"/>
          <w:highlight w:val="none"/>
          <w:u w:val="single"/>
        </w:rPr>
        <w:t xml:space="preserve">       </w:t>
      </w:r>
      <w:r>
        <w:rPr>
          <w:rFonts w:hint="eastAsia"/>
          <w:color w:val="auto"/>
          <w:sz w:val="28"/>
          <w:szCs w:val="36"/>
          <w:highlight w:val="none"/>
          <w:u w:val="single"/>
          <w:lang w:val="en-US" w:eastAsia="zh-CN"/>
        </w:rPr>
        <w:t xml:space="preserve">           </w:t>
      </w:r>
      <w:r>
        <w:rPr>
          <w:rFonts w:hint="eastAsia"/>
          <w:color w:val="auto"/>
          <w:sz w:val="28"/>
          <w:szCs w:val="36"/>
          <w:highlight w:val="none"/>
          <w:u w:val="single"/>
        </w:rPr>
        <w:t xml:space="preserve">           </w:t>
      </w:r>
      <w:r>
        <w:rPr>
          <w:rFonts w:hint="eastAsia"/>
          <w:color w:val="auto"/>
          <w:sz w:val="28"/>
          <w:szCs w:val="36"/>
          <w:highlight w:val="none"/>
        </w:rPr>
        <w:t>（盖单位章）</w:t>
      </w:r>
      <w:bookmarkEnd w:id="134"/>
      <w:bookmarkEnd w:id="135"/>
      <w:bookmarkEnd w:id="136"/>
      <w:bookmarkEnd w:id="137"/>
    </w:p>
    <w:p>
      <w:pPr>
        <w:keepNext w:val="0"/>
        <w:keepLines w:val="0"/>
        <w:pageBreakBefore w:val="0"/>
        <w:widowControl w:val="0"/>
        <w:kinsoku/>
        <w:wordWrap/>
        <w:overflowPunct/>
        <w:topLinePunct w:val="0"/>
        <w:autoSpaceDE/>
        <w:autoSpaceDN/>
        <w:bidi w:val="0"/>
        <w:adjustRightInd/>
        <w:snapToGrid/>
        <w:spacing w:line="720" w:lineRule="auto"/>
        <w:ind w:firstLine="840" w:firstLineChars="300"/>
        <w:textAlignment w:val="auto"/>
        <w:rPr>
          <w:color w:val="auto"/>
          <w:sz w:val="28"/>
          <w:szCs w:val="36"/>
          <w:highlight w:val="none"/>
        </w:rPr>
      </w:pPr>
      <w:bookmarkStart w:id="138" w:name="_Toc30120"/>
      <w:bookmarkStart w:id="139" w:name="_Toc11572"/>
      <w:bookmarkStart w:id="140" w:name="_Toc29662"/>
      <w:bookmarkStart w:id="141" w:name="_Toc20382"/>
      <w:r>
        <w:rPr>
          <w:rFonts w:hint="eastAsia"/>
          <w:color w:val="auto"/>
          <w:sz w:val="28"/>
          <w:szCs w:val="36"/>
          <w:highlight w:val="none"/>
          <w:lang w:eastAsia="zh-CN"/>
        </w:rPr>
        <w:t>法定代表人（负责人）</w:t>
      </w:r>
      <w:r>
        <w:rPr>
          <w:rFonts w:hint="eastAsia"/>
          <w:color w:val="auto"/>
          <w:sz w:val="28"/>
          <w:szCs w:val="36"/>
          <w:highlight w:val="none"/>
        </w:rPr>
        <w:t>或其委托代理人：</w:t>
      </w:r>
      <w:r>
        <w:rPr>
          <w:rFonts w:hint="eastAsia"/>
          <w:color w:val="auto"/>
          <w:sz w:val="28"/>
          <w:szCs w:val="36"/>
          <w:highlight w:val="none"/>
          <w:u w:val="single"/>
        </w:rPr>
        <w:t xml:space="preserve">        </w:t>
      </w:r>
      <w:r>
        <w:rPr>
          <w:rFonts w:hint="eastAsia"/>
          <w:color w:val="auto"/>
          <w:sz w:val="28"/>
          <w:szCs w:val="36"/>
          <w:highlight w:val="none"/>
        </w:rPr>
        <w:t>（签字或盖章）</w:t>
      </w:r>
      <w:bookmarkEnd w:id="138"/>
      <w:bookmarkEnd w:id="139"/>
      <w:bookmarkEnd w:id="140"/>
      <w:bookmarkEnd w:id="141"/>
    </w:p>
    <w:p>
      <w:pPr>
        <w:keepNext w:val="0"/>
        <w:keepLines w:val="0"/>
        <w:pageBreakBefore w:val="0"/>
        <w:widowControl w:val="0"/>
        <w:kinsoku/>
        <w:wordWrap/>
        <w:overflowPunct/>
        <w:topLinePunct w:val="0"/>
        <w:autoSpaceDE/>
        <w:autoSpaceDN/>
        <w:bidi w:val="0"/>
        <w:adjustRightInd/>
        <w:snapToGrid/>
        <w:spacing w:line="720" w:lineRule="auto"/>
        <w:textAlignment w:val="auto"/>
        <w:rPr>
          <w:color w:val="auto"/>
          <w:sz w:val="28"/>
          <w:szCs w:val="36"/>
          <w:highlight w:val="none"/>
        </w:rPr>
      </w:pPr>
      <w:r>
        <w:rPr>
          <w:rFonts w:hint="eastAsia"/>
          <w:color w:val="auto"/>
          <w:sz w:val="28"/>
          <w:szCs w:val="36"/>
          <w:highlight w:val="none"/>
        </w:rPr>
        <w:t xml:space="preserve">        </w:t>
      </w:r>
      <w:bookmarkStart w:id="142" w:name="_Toc21046"/>
      <w:bookmarkStart w:id="143" w:name="_Toc28149"/>
      <w:bookmarkStart w:id="144" w:name="_Toc1653"/>
      <w:bookmarkStart w:id="145" w:name="_Toc8928"/>
      <w:r>
        <w:rPr>
          <w:rFonts w:hint="eastAsia"/>
          <w:color w:val="auto"/>
          <w:sz w:val="28"/>
          <w:szCs w:val="36"/>
          <w:highlight w:val="none"/>
          <w:lang w:val="en-US" w:eastAsia="zh-CN"/>
        </w:rPr>
        <w:t xml:space="preserve">                 </w:t>
      </w:r>
      <w:r>
        <w:rPr>
          <w:rFonts w:hint="eastAsia"/>
          <w:color w:val="auto"/>
          <w:sz w:val="28"/>
          <w:szCs w:val="36"/>
          <w:highlight w:val="none"/>
        </w:rPr>
        <w:t>年      月     日</w:t>
      </w:r>
      <w:bookmarkEnd w:id="142"/>
      <w:bookmarkEnd w:id="143"/>
      <w:bookmarkEnd w:id="144"/>
      <w:bookmarkEnd w:id="145"/>
    </w:p>
    <w:p>
      <w:pPr>
        <w:rPr>
          <w:rFonts w:ascii="宋体" w:hAnsi="宋体" w:cs="黑体"/>
          <w:b/>
          <w:color w:val="auto"/>
          <w:kern w:val="0"/>
          <w:sz w:val="30"/>
          <w:szCs w:val="30"/>
          <w:highlight w:val="none"/>
        </w:rPr>
      </w:pPr>
      <w:r>
        <w:rPr>
          <w:rFonts w:hint="eastAsia" w:ascii="宋体" w:hAnsi="宋体" w:cs="黑体"/>
          <w:b/>
          <w:color w:val="auto"/>
          <w:kern w:val="0"/>
          <w:sz w:val="30"/>
          <w:szCs w:val="30"/>
          <w:highlight w:val="none"/>
        </w:rPr>
        <w:br w:type="page"/>
      </w:r>
    </w:p>
    <w:p>
      <w:pPr>
        <w:spacing w:line="360" w:lineRule="auto"/>
        <w:jc w:val="center"/>
        <w:rPr>
          <w:rFonts w:ascii="宋体" w:hAnsi="宋体" w:cs="宋体"/>
          <w:b/>
          <w:color w:val="auto"/>
          <w:sz w:val="32"/>
          <w:szCs w:val="32"/>
          <w:highlight w:val="none"/>
        </w:rPr>
      </w:pPr>
    </w:p>
    <w:p>
      <w:pPr>
        <w:bidi w:val="0"/>
        <w:jc w:val="center"/>
        <w:rPr>
          <w:b/>
          <w:bCs/>
          <w:color w:val="auto"/>
          <w:sz w:val="36"/>
          <w:szCs w:val="44"/>
          <w:highlight w:val="none"/>
        </w:rPr>
      </w:pPr>
      <w:bookmarkStart w:id="146" w:name="_Toc16689"/>
      <w:bookmarkStart w:id="147" w:name="_Toc14847"/>
      <w:bookmarkStart w:id="148" w:name="_Toc12773"/>
      <w:bookmarkStart w:id="149" w:name="_Toc22039"/>
      <w:r>
        <w:rPr>
          <w:rFonts w:hint="eastAsia"/>
          <w:b/>
          <w:bCs/>
          <w:color w:val="auto"/>
          <w:sz w:val="36"/>
          <w:szCs w:val="44"/>
          <w:highlight w:val="none"/>
        </w:rPr>
        <w:t>目  录</w:t>
      </w:r>
      <w:bookmarkEnd w:id="146"/>
      <w:bookmarkEnd w:id="147"/>
      <w:bookmarkEnd w:id="148"/>
      <w:bookmarkEnd w:id="149"/>
    </w:p>
    <w:p>
      <w:pPr>
        <w:spacing w:line="360" w:lineRule="auto"/>
        <w:ind w:firstLine="480" w:firstLineChars="200"/>
        <w:jc w:val="left"/>
        <w:rPr>
          <w:rFonts w:ascii="宋体" w:hAnsi="宋体" w:cs="宋体"/>
          <w:bCs/>
          <w:color w:val="auto"/>
          <w:sz w:val="24"/>
          <w:highlight w:val="none"/>
        </w:rPr>
      </w:pPr>
    </w:p>
    <w:p>
      <w:pPr>
        <w:bidi w:val="0"/>
        <w:rPr>
          <w:color w:val="auto"/>
          <w:highlight w:val="none"/>
        </w:rPr>
      </w:pPr>
    </w:p>
    <w:p>
      <w:pPr>
        <w:spacing w:before="156" w:beforeLines="50" w:after="156" w:afterLines="50" w:line="360" w:lineRule="auto"/>
        <w:jc w:val="center"/>
        <w:rPr>
          <w:color w:val="auto"/>
          <w:sz w:val="32"/>
          <w:szCs w:val="32"/>
          <w:highlight w:val="none"/>
        </w:rPr>
      </w:pPr>
      <w:r>
        <w:rPr>
          <w:rFonts w:hint="eastAsia"/>
          <w:color w:val="auto"/>
          <w:sz w:val="32"/>
          <w:szCs w:val="32"/>
          <w:highlight w:val="none"/>
        </w:rPr>
        <w:br w:type="page"/>
      </w:r>
    </w:p>
    <w:p>
      <w:pPr>
        <w:pStyle w:val="4"/>
        <w:bidi w:val="0"/>
        <w:rPr>
          <w:color w:val="auto"/>
          <w:sz w:val="32"/>
          <w:szCs w:val="32"/>
          <w:highlight w:val="none"/>
        </w:rPr>
      </w:pPr>
      <w:bookmarkStart w:id="150" w:name="_Toc11617"/>
      <w:bookmarkStart w:id="151" w:name="_Toc11321"/>
      <w:bookmarkStart w:id="152" w:name="_Toc24858"/>
      <w:bookmarkStart w:id="153" w:name="_Toc15981"/>
      <w:r>
        <w:rPr>
          <w:rFonts w:hint="eastAsia"/>
          <w:color w:val="auto"/>
          <w:sz w:val="32"/>
          <w:szCs w:val="32"/>
          <w:highlight w:val="none"/>
        </w:rPr>
        <w:t>一、投标函</w:t>
      </w:r>
      <w:bookmarkEnd w:id="129"/>
      <w:bookmarkEnd w:id="150"/>
      <w:bookmarkEnd w:id="151"/>
      <w:bookmarkEnd w:id="152"/>
      <w:bookmarkEnd w:id="153"/>
    </w:p>
    <w:p>
      <w:pPr>
        <w:spacing w:line="360" w:lineRule="auto"/>
        <w:rPr>
          <w:rFonts w:ascii="宋体" w:hAnsi="宋体"/>
          <w:color w:val="auto"/>
          <w:szCs w:val="21"/>
          <w:highlight w:val="none"/>
        </w:rPr>
      </w:pPr>
      <w:bookmarkStart w:id="154" w:name="_Toc5912"/>
      <w:bookmarkStart w:id="155" w:name="_Toc21293"/>
      <w:bookmarkStart w:id="156" w:name="_Toc24001"/>
      <w:bookmarkStart w:id="157" w:name="_Toc28486"/>
      <w:r>
        <w:rPr>
          <w:rFonts w:hint="eastAsia" w:ascii="宋体" w:hAnsi="宋体"/>
          <w:color w:val="auto"/>
          <w:szCs w:val="21"/>
          <w:highlight w:val="none"/>
        </w:rPr>
        <w:t>致：</w:t>
      </w:r>
      <w:r>
        <w:rPr>
          <w:rFonts w:hint="eastAsia" w:ascii="宋体" w:hAnsi="宋体"/>
          <w:color w:val="auto"/>
          <w:szCs w:val="21"/>
          <w:highlight w:val="none"/>
          <w:u w:val="single"/>
        </w:rPr>
        <w:t>咸阳市中心医院</w:t>
      </w:r>
    </w:p>
    <w:p>
      <w:pPr>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我单位收到贵单位</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rPr>
        <w:t xml:space="preserve"> （</w:t>
      </w:r>
      <w:r>
        <w:rPr>
          <w:rFonts w:hint="eastAsia" w:ascii="宋体" w:hAnsi="宋体"/>
          <w:color w:val="auto"/>
          <w:szCs w:val="21"/>
          <w:highlight w:val="none"/>
        </w:rPr>
        <w:t>项目名称</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标包名称</w:t>
      </w:r>
      <w:r>
        <w:rPr>
          <w:rFonts w:hint="eastAsia" w:ascii="宋体" w:hAnsi="宋体"/>
          <w:color w:val="auto"/>
          <w:szCs w:val="21"/>
          <w:highlight w:val="none"/>
        </w:rPr>
        <w:t>）</w:t>
      </w:r>
      <w:r>
        <w:rPr>
          <w:rFonts w:hint="eastAsia" w:ascii="宋体" w:hAnsi="宋体" w:cs="宋体"/>
          <w:color w:val="auto"/>
          <w:szCs w:val="21"/>
          <w:highlight w:val="none"/>
        </w:rPr>
        <w:t>的招标文件，经详细研究，我们决定参加本次招标活动并投标。为此，我方郑重声明以下内容，并承担法律责任。</w:t>
      </w:r>
    </w:p>
    <w:p>
      <w:pPr>
        <w:numPr>
          <w:ilvl w:val="0"/>
          <w:numId w:val="12"/>
        </w:num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按照招标文件中规定提供招标货物和技术服务，投标总报价为（大写）</w:t>
      </w:r>
      <w:r>
        <w:rPr>
          <w:rFonts w:hint="eastAsia" w:ascii="宋体" w:hAnsi="宋体" w:cs="宋体"/>
          <w:color w:val="auto"/>
          <w:spacing w:val="40"/>
          <w:szCs w:val="21"/>
          <w:highlight w:val="none"/>
          <w:u w:val="single"/>
        </w:rPr>
        <w:t xml:space="preserve">      </w:t>
      </w:r>
      <w:r>
        <w:rPr>
          <w:rFonts w:hint="eastAsia" w:ascii="宋体" w:hAnsi="宋体" w:cs="宋体"/>
          <w:color w:val="auto"/>
          <w:szCs w:val="21"/>
          <w:highlight w:val="none"/>
        </w:rPr>
        <w:t>（小写：¥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w:t>
      </w:r>
      <w:r>
        <w:rPr>
          <w:rFonts w:hint="eastAsia" w:ascii="宋体" w:hAnsi="宋体" w:cs="宋体"/>
          <w:color w:val="auto"/>
          <w:szCs w:val="21"/>
          <w:highlight w:val="none"/>
          <w:lang w:eastAsia="zh-CN"/>
        </w:rPr>
        <w:t>项目完工期</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日历天。</w:t>
      </w:r>
    </w:p>
    <w:p>
      <w:pPr>
        <w:numPr>
          <w:ilvl w:val="0"/>
          <w:numId w:val="12"/>
        </w:num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我方同意所递交的投标文件的有效期为</w:t>
      </w:r>
      <w:r>
        <w:rPr>
          <w:rFonts w:hint="eastAsia" w:ascii="宋体" w:hAnsi="宋体" w:cs="宋体"/>
          <w:color w:val="auto"/>
          <w:spacing w:val="6"/>
          <w:kern w:val="0"/>
          <w:szCs w:val="21"/>
          <w:highlight w:val="none"/>
          <w:u w:val="single"/>
        </w:rPr>
        <w:t>90天（从提交投标文件的截止之日起算）</w:t>
      </w:r>
      <w:r>
        <w:rPr>
          <w:rFonts w:hint="eastAsia" w:ascii="宋体" w:hAnsi="宋体" w:cs="宋体"/>
          <w:color w:val="auto"/>
          <w:szCs w:val="21"/>
          <w:highlight w:val="none"/>
        </w:rPr>
        <w:t>，并承诺在投标有效期内不修改、撤销投标文件。</w:t>
      </w:r>
    </w:p>
    <w:p>
      <w:pPr>
        <w:numPr>
          <w:ilvl w:val="0"/>
          <w:numId w:val="12"/>
        </w:num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本投标人同意遵照招标文件的全部内容，承担招标文件中规定的全部责任和义务，且响应招标文件中的付款方式。</w:t>
      </w:r>
    </w:p>
    <w:p>
      <w:pPr>
        <w:numPr>
          <w:ilvl w:val="0"/>
          <w:numId w:val="12"/>
        </w:num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我方已仔细阅读了招标文件，包括修改文件（如果有的话）以及全部参考资料和附件，完全理解并同意放弃对这方面有不明及误解的权利。</w:t>
      </w:r>
    </w:p>
    <w:p>
      <w:pPr>
        <w:numPr>
          <w:ilvl w:val="0"/>
          <w:numId w:val="12"/>
        </w:num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如我方中标：</w:t>
      </w:r>
    </w:p>
    <w:p>
      <w:pPr>
        <w:pStyle w:val="28"/>
        <w:numPr>
          <w:ilvl w:val="0"/>
          <w:numId w:val="13"/>
        </w:numPr>
        <w:spacing w:line="360" w:lineRule="auto"/>
        <w:ind w:firstLine="420" w:firstLineChars="200"/>
        <w:rPr>
          <w:color w:val="auto"/>
          <w:szCs w:val="21"/>
          <w:highlight w:val="none"/>
        </w:rPr>
      </w:pPr>
      <w:r>
        <w:rPr>
          <w:rFonts w:hint="eastAsia"/>
          <w:color w:val="auto"/>
          <w:szCs w:val="21"/>
          <w:highlight w:val="none"/>
        </w:rPr>
        <w:t>我方收到中标通知书后，在中标通知书规定的期限内与你方签订合同。</w:t>
      </w:r>
    </w:p>
    <w:p>
      <w:pPr>
        <w:pStyle w:val="28"/>
        <w:numPr>
          <w:ilvl w:val="0"/>
          <w:numId w:val="13"/>
        </w:numPr>
        <w:spacing w:line="360" w:lineRule="auto"/>
        <w:ind w:firstLine="420" w:firstLineChars="200"/>
        <w:rPr>
          <w:color w:val="auto"/>
          <w:szCs w:val="21"/>
          <w:highlight w:val="none"/>
        </w:rPr>
      </w:pPr>
      <w:r>
        <w:rPr>
          <w:rFonts w:hint="eastAsia"/>
          <w:color w:val="auto"/>
          <w:szCs w:val="21"/>
          <w:highlight w:val="none"/>
        </w:rPr>
        <w:t>随同本投标函递交的投标函附录属于合同文件的组成部分。</w:t>
      </w:r>
    </w:p>
    <w:p>
      <w:pPr>
        <w:pStyle w:val="28"/>
        <w:numPr>
          <w:ilvl w:val="0"/>
          <w:numId w:val="13"/>
        </w:numPr>
        <w:spacing w:line="360" w:lineRule="auto"/>
        <w:ind w:firstLine="420" w:firstLineChars="200"/>
        <w:rPr>
          <w:color w:val="auto"/>
          <w:szCs w:val="21"/>
          <w:highlight w:val="none"/>
        </w:rPr>
      </w:pPr>
      <w:r>
        <w:rPr>
          <w:rFonts w:hint="eastAsia"/>
          <w:color w:val="auto"/>
          <w:szCs w:val="21"/>
          <w:highlight w:val="none"/>
        </w:rPr>
        <w:t>我方承诺在合同约定的期限内。每拖延一天，按合同约定处罚。</w:t>
      </w:r>
    </w:p>
    <w:p>
      <w:pPr>
        <w:pStyle w:val="28"/>
        <w:numPr>
          <w:ilvl w:val="0"/>
          <w:numId w:val="13"/>
        </w:numPr>
        <w:spacing w:line="360" w:lineRule="auto"/>
        <w:ind w:firstLine="420" w:firstLineChars="200"/>
        <w:rPr>
          <w:color w:val="auto"/>
          <w:szCs w:val="21"/>
          <w:highlight w:val="none"/>
        </w:rPr>
      </w:pPr>
      <w:r>
        <w:rPr>
          <w:rFonts w:hint="eastAsia"/>
          <w:color w:val="auto"/>
          <w:szCs w:val="21"/>
          <w:highlight w:val="none"/>
        </w:rPr>
        <w:t>我方保证供应货物质量达到投标质量等级，否则，按合同约定处罚。</w:t>
      </w:r>
    </w:p>
    <w:p>
      <w:pPr>
        <w:numPr>
          <w:ilvl w:val="0"/>
          <w:numId w:val="12"/>
        </w:num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我方在此声明，所递交的投标文件及有交资料内容完整、真实和准确。</w:t>
      </w:r>
    </w:p>
    <w:p>
      <w:pPr>
        <w:numPr>
          <w:ilvl w:val="0"/>
          <w:numId w:val="12"/>
        </w:num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我方保证上述投标报价不低于货物成本价。</w:t>
      </w:r>
    </w:p>
    <w:p>
      <w:pPr>
        <w:numPr>
          <w:ilvl w:val="0"/>
          <w:numId w:val="12"/>
        </w:numPr>
        <w:spacing w:line="360" w:lineRule="auto"/>
        <w:ind w:firstLine="420" w:firstLineChars="200"/>
        <w:jc w:val="left"/>
        <w:rPr>
          <w:color w:val="auto"/>
          <w:szCs w:val="21"/>
          <w:highlight w:val="none"/>
        </w:rPr>
      </w:pPr>
      <w:r>
        <w:rPr>
          <w:rFonts w:hint="eastAsia" w:ascii="宋体" w:hAnsi="宋体" w:cs="宋体"/>
          <w:color w:val="auto"/>
          <w:szCs w:val="21"/>
          <w:highlight w:val="none"/>
        </w:rPr>
        <w:t>我方同意向贵方提供可能要求的与其招标有关的一切数据或资料，完全理解最低投标报价不作为中标的唯一条件，且尊重评标委员会的评标结论和定标结果。</w:t>
      </w:r>
    </w:p>
    <w:p>
      <w:pPr>
        <w:numPr>
          <w:ilvl w:val="0"/>
          <w:numId w:val="12"/>
        </w:num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如因我方原因放弃中标，我方承诺，将承担因下个中标候选人中标给发包人带来的经济损失。  </w:t>
      </w:r>
    </w:p>
    <w:p>
      <w:pPr>
        <w:spacing w:line="460" w:lineRule="exact"/>
        <w:ind w:firstLine="525" w:firstLineChars="250"/>
        <w:rPr>
          <w:rFonts w:ascii="宋体"/>
          <w:color w:val="auto"/>
          <w:szCs w:val="21"/>
          <w:highlight w:val="none"/>
        </w:rPr>
      </w:pPr>
    </w:p>
    <w:p>
      <w:pPr>
        <w:spacing w:line="360" w:lineRule="auto"/>
        <w:ind w:firstLine="525" w:firstLineChars="250"/>
        <w:rPr>
          <w:rFonts w:ascii="宋体"/>
          <w:color w:val="auto"/>
          <w:szCs w:val="21"/>
          <w:highlight w:val="none"/>
          <w:u w:val="single"/>
        </w:rPr>
      </w:pPr>
      <w:r>
        <w:rPr>
          <w:rFonts w:hint="eastAsia" w:ascii="宋体" w:hAnsi="宋体"/>
          <w:color w:val="auto"/>
          <w:szCs w:val="21"/>
          <w:highlight w:val="none"/>
        </w:rPr>
        <w:t>投标人名称：</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（盖单位章）</w:t>
      </w:r>
    </w:p>
    <w:p>
      <w:pPr>
        <w:spacing w:line="360" w:lineRule="auto"/>
        <w:ind w:firstLine="525" w:firstLineChars="250"/>
        <w:rPr>
          <w:rFonts w:ascii="宋体"/>
          <w:color w:val="auto"/>
          <w:szCs w:val="21"/>
          <w:highlight w:val="none"/>
        </w:rPr>
      </w:pPr>
      <w:r>
        <w:rPr>
          <w:rFonts w:hint="eastAsia" w:ascii="宋体" w:hAnsi="宋体"/>
          <w:color w:val="auto"/>
          <w:szCs w:val="21"/>
          <w:highlight w:val="none"/>
          <w:lang w:eastAsia="zh-CN"/>
        </w:rPr>
        <w:t>法定代表人（负责人）</w:t>
      </w:r>
      <w:r>
        <w:rPr>
          <w:rFonts w:hint="eastAsia" w:ascii="宋体" w:hAnsi="宋体"/>
          <w:color w:val="auto"/>
          <w:szCs w:val="21"/>
          <w:highlight w:val="none"/>
        </w:rPr>
        <w:t>或其委托代理人：</w:t>
      </w:r>
      <w:r>
        <w:rPr>
          <w:rFonts w:ascii="宋体" w:hAnsi="宋体"/>
          <w:color w:val="auto"/>
          <w:szCs w:val="21"/>
          <w:highlight w:val="none"/>
          <w:u w:val="single"/>
        </w:rPr>
        <w:t xml:space="preserve">           </w:t>
      </w:r>
      <w:r>
        <w:rPr>
          <w:rFonts w:hint="eastAsia" w:ascii="宋体" w:hAnsi="宋体"/>
          <w:color w:val="auto"/>
          <w:szCs w:val="21"/>
          <w:highlight w:val="none"/>
        </w:rPr>
        <w:t>（签字或盖章）</w:t>
      </w:r>
      <w:r>
        <w:rPr>
          <w:rFonts w:ascii="宋体" w:hAnsi="宋体"/>
          <w:color w:val="auto"/>
          <w:szCs w:val="21"/>
          <w:highlight w:val="none"/>
        </w:rPr>
        <w:t xml:space="preserve"> </w:t>
      </w:r>
    </w:p>
    <w:p>
      <w:pPr>
        <w:spacing w:line="360" w:lineRule="auto"/>
        <w:ind w:firstLine="525" w:firstLineChars="250"/>
        <w:rPr>
          <w:rFonts w:ascii="宋体" w:hAnsi="宋体"/>
          <w:color w:val="auto"/>
          <w:szCs w:val="21"/>
          <w:highlight w:val="none"/>
          <w:u w:val="single"/>
        </w:rPr>
      </w:pPr>
      <w:r>
        <w:rPr>
          <w:rFonts w:hint="eastAsia" w:ascii="宋体" w:hAnsi="宋体"/>
          <w:color w:val="auto"/>
          <w:szCs w:val="21"/>
          <w:highlight w:val="none"/>
        </w:rPr>
        <w:t>地址：</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邮编：</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电话：</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rPr>
        <w:t xml:space="preserve"> </w:t>
      </w:r>
      <w:r>
        <w:rPr>
          <w:rFonts w:hint="eastAsia" w:ascii="宋体" w:hAnsi="宋体"/>
          <w:color w:val="auto"/>
          <w:szCs w:val="21"/>
          <w:highlight w:val="none"/>
        </w:rPr>
        <w:t>传真：</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p>
    <w:p>
      <w:pPr>
        <w:pStyle w:val="28"/>
        <w:spacing w:line="360" w:lineRule="auto"/>
        <w:jc w:val="center"/>
        <w:rPr>
          <w:rFonts w:hint="eastAsia" w:ascii="宋体" w:hAnsi="宋体"/>
          <w:color w:val="auto"/>
          <w:szCs w:val="21"/>
          <w:highlight w:val="none"/>
        </w:rPr>
      </w:pP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rPr>
          <w:rFonts w:hint="eastAsia" w:ascii="宋体" w:hAnsi="宋体"/>
          <w:color w:val="auto"/>
          <w:szCs w:val="21"/>
          <w:highlight w:val="none"/>
        </w:rPr>
      </w:pPr>
      <w:r>
        <w:rPr>
          <w:rFonts w:hint="eastAsia" w:ascii="宋体" w:hAnsi="宋体"/>
          <w:color w:val="auto"/>
          <w:szCs w:val="21"/>
          <w:highlight w:val="none"/>
        </w:rPr>
        <w:br w:type="page"/>
      </w:r>
    </w:p>
    <w:p>
      <w:pPr>
        <w:pStyle w:val="4"/>
        <w:bidi w:val="0"/>
        <w:rPr>
          <w:rFonts w:hint="default" w:ascii="宋体" w:hAnsi="宋体" w:eastAsia="宋体" w:cs="Times New Roman"/>
          <w:color w:val="auto"/>
          <w:sz w:val="32"/>
          <w:szCs w:val="32"/>
          <w:highlight w:val="none"/>
          <w:lang w:val="en-US" w:eastAsia="zh-CN"/>
        </w:rPr>
      </w:pPr>
      <w:r>
        <w:rPr>
          <w:rFonts w:hint="eastAsia" w:ascii="宋体" w:hAnsi="宋体" w:eastAsia="宋体" w:cs="Times New Roman"/>
          <w:color w:val="auto"/>
          <w:sz w:val="32"/>
          <w:szCs w:val="32"/>
          <w:highlight w:val="none"/>
        </w:rPr>
        <w:t>二、</w:t>
      </w:r>
      <w:r>
        <w:rPr>
          <w:rFonts w:hint="eastAsia" w:ascii="宋体" w:hAnsi="宋体" w:eastAsia="宋体" w:cs="Times New Roman"/>
          <w:color w:val="auto"/>
          <w:sz w:val="32"/>
          <w:szCs w:val="32"/>
          <w:highlight w:val="none"/>
          <w:lang w:val="en-US" w:eastAsia="zh-CN"/>
        </w:rPr>
        <w:t>开标一览表</w:t>
      </w:r>
    </w:p>
    <w:p>
      <w:pPr>
        <w:pStyle w:val="18"/>
        <w:ind w:left="0" w:leftChars="0" w:firstLine="0" w:firstLineChars="0"/>
        <w:rPr>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olor w:val="auto"/>
          <w:sz w:val="21"/>
          <w:szCs w:val="21"/>
          <w:highlight w:val="none"/>
          <w:u w:val="single"/>
          <w:lang w:val="en-US" w:eastAsia="zh-CN"/>
        </w:rPr>
      </w:pPr>
      <w:r>
        <w:rPr>
          <w:rFonts w:hint="eastAsia" w:ascii="宋体" w:hAnsi="宋体"/>
          <w:color w:val="auto"/>
          <w:sz w:val="21"/>
          <w:szCs w:val="21"/>
          <w:highlight w:val="none"/>
        </w:rPr>
        <w:t>项目编号：</w:t>
      </w:r>
      <w:r>
        <w:rPr>
          <w:rFonts w:hint="eastAsia" w:ascii="宋体" w:hAnsi="宋体"/>
          <w:color w:val="auto"/>
          <w:sz w:val="21"/>
          <w:szCs w:val="21"/>
          <w:highlight w:val="none"/>
          <w:u w:val="single"/>
          <w:lang w:val="en-US" w:eastAsia="zh-CN"/>
        </w:rPr>
        <w:t xml:space="preserve">                                        </w:t>
      </w:r>
    </w:p>
    <w:p>
      <w:pPr>
        <w:pStyle w:val="28"/>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eastAsia="宋体"/>
          <w:color w:val="auto"/>
          <w:sz w:val="21"/>
          <w:szCs w:val="21"/>
          <w:highlight w:val="none"/>
          <w:u w:val="single"/>
          <w:lang w:val="en-US" w:eastAsia="zh-CN"/>
        </w:rPr>
      </w:pPr>
      <w:r>
        <w:rPr>
          <w:rFonts w:hint="eastAsia" w:ascii="宋体" w:hAnsi="宋体"/>
          <w:color w:val="auto"/>
          <w:szCs w:val="21"/>
          <w:highlight w:val="none"/>
        </w:rPr>
        <w:t>项目名称</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标包名称</w:t>
      </w:r>
      <w:r>
        <w:rPr>
          <w:rFonts w:hint="eastAsia" w:ascii="宋体" w:hAnsi="宋体"/>
          <w:color w:val="auto"/>
          <w:sz w:val="21"/>
          <w:szCs w:val="21"/>
          <w:highlight w:val="none"/>
        </w:rPr>
        <w:t>：</w:t>
      </w:r>
      <w:r>
        <w:rPr>
          <w:rFonts w:hint="eastAsia" w:ascii="宋体" w:hAnsi="宋体"/>
          <w:color w:val="auto"/>
          <w:sz w:val="21"/>
          <w:szCs w:val="21"/>
          <w:highlight w:val="none"/>
          <w:u w:val="single"/>
          <w:lang w:val="en-US" w:eastAsia="zh-CN"/>
        </w:rPr>
        <w:t xml:space="preserve">                              </w:t>
      </w:r>
    </w:p>
    <w:tbl>
      <w:tblPr>
        <w:tblStyle w:val="23"/>
        <w:tblW w:w="8845" w:type="dxa"/>
        <w:jc w:val="center"/>
        <w:tblLayout w:type="fixed"/>
        <w:tblCellMar>
          <w:top w:w="0" w:type="dxa"/>
          <w:left w:w="0" w:type="dxa"/>
          <w:bottom w:w="0" w:type="dxa"/>
          <w:right w:w="0" w:type="dxa"/>
        </w:tblCellMar>
      </w:tblPr>
      <w:tblGrid>
        <w:gridCol w:w="645"/>
        <w:gridCol w:w="2663"/>
        <w:gridCol w:w="2175"/>
        <w:gridCol w:w="1423"/>
        <w:gridCol w:w="952"/>
        <w:gridCol w:w="987"/>
      </w:tblGrid>
      <w:tr>
        <w:tblPrEx>
          <w:tblCellMar>
            <w:top w:w="0" w:type="dxa"/>
            <w:left w:w="0" w:type="dxa"/>
            <w:bottom w:w="0" w:type="dxa"/>
            <w:right w:w="0" w:type="dxa"/>
          </w:tblCellMar>
        </w:tblPrEx>
        <w:trPr>
          <w:trHeight w:val="1035" w:hRule="atLeast"/>
          <w:jc w:val="center"/>
        </w:trPr>
        <w:tc>
          <w:tcPr>
            <w:tcW w:w="645" w:type="dxa"/>
            <w:tcBorders>
              <w:top w:val="single" w:color="auto" w:sz="4" w:space="0"/>
              <w:left w:val="single" w:color="auto" w:sz="4" w:space="0"/>
              <w:bottom w:val="single" w:color="auto" w:sz="8" w:space="0"/>
              <w:right w:val="single" w:color="auto" w:sz="4" w:space="0"/>
            </w:tcBorders>
            <w:noWrap w:val="0"/>
            <w:vAlign w:val="center"/>
          </w:tcPr>
          <w:p>
            <w:pPr>
              <w:tabs>
                <w:tab w:val="left" w:pos="5580"/>
              </w:tabs>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序号</w:t>
            </w:r>
          </w:p>
        </w:tc>
        <w:tc>
          <w:tcPr>
            <w:tcW w:w="2663" w:type="dxa"/>
            <w:tcBorders>
              <w:top w:val="single" w:color="auto" w:sz="4" w:space="0"/>
              <w:left w:val="single" w:color="auto" w:sz="8" w:space="0"/>
              <w:bottom w:val="single" w:color="auto" w:sz="8" w:space="0"/>
              <w:right w:val="single" w:color="auto" w:sz="4" w:space="0"/>
            </w:tcBorders>
            <w:noWrap w:val="0"/>
            <w:vAlign w:val="center"/>
          </w:tcPr>
          <w:p>
            <w:pPr>
              <w:tabs>
                <w:tab w:val="left" w:pos="5580"/>
              </w:tab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w:t>
            </w:r>
            <w:r>
              <w:rPr>
                <w:rFonts w:hint="eastAsia" w:ascii="宋体" w:hAnsi="宋体" w:cs="宋体"/>
                <w:color w:val="auto"/>
                <w:sz w:val="21"/>
                <w:szCs w:val="21"/>
                <w:highlight w:val="none"/>
                <w:lang w:val="en-US" w:eastAsia="zh-CN"/>
              </w:rPr>
              <w:t>报</w:t>
            </w:r>
            <w:r>
              <w:rPr>
                <w:rFonts w:hint="eastAsia" w:ascii="宋体" w:hAnsi="宋体" w:eastAsia="宋体" w:cs="宋体"/>
                <w:color w:val="auto"/>
                <w:sz w:val="21"/>
                <w:szCs w:val="21"/>
                <w:highlight w:val="none"/>
              </w:rPr>
              <w:t>价（单位：元）</w:t>
            </w:r>
          </w:p>
        </w:tc>
        <w:tc>
          <w:tcPr>
            <w:tcW w:w="2175" w:type="dxa"/>
            <w:tcBorders>
              <w:top w:val="single" w:color="auto" w:sz="8" w:space="0"/>
              <w:left w:val="nil"/>
              <w:bottom w:val="single" w:color="auto" w:sz="8" w:space="0"/>
              <w:right w:val="single" w:color="auto" w:sz="4" w:space="0"/>
            </w:tcBorders>
            <w:noWrap w:val="0"/>
            <w:vAlign w:val="center"/>
          </w:tcPr>
          <w:p>
            <w:pPr>
              <w:tabs>
                <w:tab w:val="left" w:pos="5580"/>
              </w:tabs>
              <w:jc w:val="center"/>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项目完工期</w:t>
            </w:r>
          </w:p>
          <w:p>
            <w:pPr>
              <w:tabs>
                <w:tab w:val="left" w:pos="5580"/>
              </w:tabs>
              <w:jc w:val="center"/>
              <w:rPr>
                <w:rFonts w:hint="eastAsia" w:ascii="宋体" w:hAnsi="宋体" w:eastAsia="宋体" w:cs="宋体"/>
                <w:color w:val="auto"/>
                <w:sz w:val="21"/>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单位：</w:t>
            </w:r>
            <w:r>
              <w:rPr>
                <w:rFonts w:hint="eastAsia" w:ascii="宋体" w:hAnsi="宋体" w:cs="宋体"/>
                <w:color w:val="auto"/>
                <w:szCs w:val="21"/>
                <w:highlight w:val="none"/>
              </w:rPr>
              <w:t>日历天</w:t>
            </w:r>
            <w:r>
              <w:rPr>
                <w:rFonts w:hint="eastAsia" w:ascii="宋体" w:hAnsi="宋体" w:cs="宋体"/>
                <w:color w:val="auto"/>
                <w:szCs w:val="21"/>
                <w:highlight w:val="none"/>
                <w:lang w:eastAsia="zh-CN"/>
              </w:rPr>
              <w:t>）</w:t>
            </w:r>
          </w:p>
        </w:tc>
        <w:tc>
          <w:tcPr>
            <w:tcW w:w="1423" w:type="dxa"/>
            <w:tcBorders>
              <w:top w:val="single" w:color="auto" w:sz="8" w:space="0"/>
              <w:left w:val="nil"/>
              <w:bottom w:val="single" w:color="auto" w:sz="8" w:space="0"/>
              <w:right w:val="single" w:color="auto" w:sz="8" w:space="0"/>
            </w:tcBorders>
            <w:noWrap w:val="0"/>
            <w:vAlign w:val="center"/>
          </w:tcPr>
          <w:p>
            <w:pPr>
              <w:tabs>
                <w:tab w:val="left" w:pos="5580"/>
              </w:tabs>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质量标准</w:t>
            </w:r>
          </w:p>
        </w:tc>
        <w:tc>
          <w:tcPr>
            <w:tcW w:w="952" w:type="dxa"/>
            <w:tcBorders>
              <w:top w:val="single" w:color="auto" w:sz="8" w:space="0"/>
              <w:left w:val="nil"/>
              <w:bottom w:val="single" w:color="auto" w:sz="8" w:space="0"/>
              <w:right w:val="single" w:color="auto" w:sz="8" w:space="0"/>
            </w:tcBorders>
            <w:noWrap w:val="0"/>
            <w:vAlign w:val="center"/>
          </w:tcPr>
          <w:p>
            <w:pPr>
              <w:tabs>
                <w:tab w:val="left" w:pos="5580"/>
              </w:tabs>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质保期（年）</w:t>
            </w:r>
          </w:p>
        </w:tc>
        <w:tc>
          <w:tcPr>
            <w:tcW w:w="987" w:type="dxa"/>
            <w:tcBorders>
              <w:top w:val="single" w:color="auto" w:sz="8" w:space="0"/>
              <w:left w:val="nil"/>
              <w:bottom w:val="single" w:color="auto" w:sz="8" w:space="0"/>
              <w:right w:val="single" w:color="auto" w:sz="8" w:space="0"/>
            </w:tcBorders>
            <w:noWrap w:val="0"/>
            <w:vAlign w:val="center"/>
          </w:tcPr>
          <w:p>
            <w:pPr>
              <w:tabs>
                <w:tab w:val="left" w:pos="5580"/>
              </w:tab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CellMar>
            <w:top w:w="0" w:type="dxa"/>
            <w:left w:w="0" w:type="dxa"/>
            <w:bottom w:w="0" w:type="dxa"/>
            <w:right w:w="0" w:type="dxa"/>
          </w:tblCellMar>
        </w:tblPrEx>
        <w:trPr>
          <w:cantSplit/>
          <w:trHeight w:val="1640" w:hRule="atLeast"/>
          <w:jc w:val="center"/>
        </w:trPr>
        <w:tc>
          <w:tcPr>
            <w:tcW w:w="645" w:type="dxa"/>
            <w:tcBorders>
              <w:top w:val="single" w:color="auto" w:sz="8" w:space="0"/>
              <w:left w:val="single" w:color="auto" w:sz="4" w:space="0"/>
              <w:bottom w:val="single" w:color="auto" w:sz="4" w:space="0"/>
              <w:right w:val="single" w:color="auto" w:sz="4" w:space="0"/>
            </w:tcBorders>
            <w:noWrap w:val="0"/>
            <w:vAlign w:val="center"/>
          </w:tcPr>
          <w:p>
            <w:pPr>
              <w:tabs>
                <w:tab w:val="left" w:pos="5580"/>
              </w:tabs>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2663" w:type="dxa"/>
            <w:tcBorders>
              <w:top w:val="single" w:color="auto" w:sz="8" w:space="0"/>
              <w:left w:val="single" w:color="auto" w:sz="8" w:space="0"/>
              <w:bottom w:val="single" w:color="auto" w:sz="4" w:space="0"/>
              <w:right w:val="single" w:color="auto" w:sz="4" w:space="0"/>
            </w:tcBorders>
            <w:noWrap w:val="0"/>
            <w:vAlign w:val="center"/>
          </w:tcPr>
          <w:p>
            <w:pPr>
              <w:tabs>
                <w:tab w:val="left" w:pos="5580"/>
              </w:tabs>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大写：</w:t>
            </w:r>
          </w:p>
          <w:p>
            <w:pPr>
              <w:tabs>
                <w:tab w:val="left" w:pos="5580"/>
              </w:tabs>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小写：</w:t>
            </w:r>
          </w:p>
        </w:tc>
        <w:tc>
          <w:tcPr>
            <w:tcW w:w="2175" w:type="dxa"/>
            <w:tcBorders>
              <w:top w:val="single" w:color="auto" w:sz="8" w:space="0"/>
              <w:left w:val="nil"/>
              <w:bottom w:val="single" w:color="auto" w:sz="4" w:space="0"/>
              <w:right w:val="single" w:color="auto" w:sz="4" w:space="0"/>
            </w:tcBorders>
            <w:noWrap w:val="0"/>
            <w:vAlign w:val="center"/>
          </w:tcPr>
          <w:p>
            <w:pPr>
              <w:tabs>
                <w:tab w:val="left" w:pos="5580"/>
              </w:tabs>
              <w:spacing w:line="360" w:lineRule="auto"/>
              <w:jc w:val="center"/>
              <w:rPr>
                <w:rFonts w:hint="eastAsia" w:ascii="宋体" w:hAnsi="宋体" w:eastAsia="宋体" w:cs="宋体"/>
                <w:color w:val="auto"/>
                <w:sz w:val="21"/>
                <w:szCs w:val="21"/>
                <w:highlight w:val="none"/>
              </w:rPr>
            </w:pPr>
          </w:p>
        </w:tc>
        <w:tc>
          <w:tcPr>
            <w:tcW w:w="1423" w:type="dxa"/>
            <w:tcBorders>
              <w:top w:val="single" w:color="auto" w:sz="8" w:space="0"/>
              <w:left w:val="nil"/>
              <w:bottom w:val="single" w:color="auto" w:sz="4" w:space="0"/>
              <w:right w:val="single" w:color="auto" w:sz="8" w:space="0"/>
            </w:tcBorders>
            <w:noWrap w:val="0"/>
            <w:vAlign w:val="center"/>
          </w:tcPr>
          <w:p>
            <w:pPr>
              <w:tabs>
                <w:tab w:val="left" w:pos="5580"/>
              </w:tabs>
              <w:spacing w:line="360" w:lineRule="auto"/>
              <w:jc w:val="center"/>
              <w:rPr>
                <w:rFonts w:hint="eastAsia" w:ascii="宋体" w:hAnsi="宋体" w:eastAsia="宋体" w:cs="宋体"/>
                <w:color w:val="auto"/>
                <w:sz w:val="21"/>
                <w:szCs w:val="21"/>
                <w:highlight w:val="none"/>
              </w:rPr>
            </w:pPr>
          </w:p>
        </w:tc>
        <w:tc>
          <w:tcPr>
            <w:tcW w:w="952" w:type="dxa"/>
            <w:tcBorders>
              <w:top w:val="single" w:color="auto" w:sz="8" w:space="0"/>
              <w:left w:val="nil"/>
              <w:bottom w:val="single" w:color="auto" w:sz="4" w:space="0"/>
              <w:right w:val="single" w:color="auto" w:sz="8" w:space="0"/>
            </w:tcBorders>
            <w:noWrap w:val="0"/>
            <w:vAlign w:val="center"/>
          </w:tcPr>
          <w:p>
            <w:pPr>
              <w:tabs>
                <w:tab w:val="left" w:pos="5580"/>
              </w:tabs>
              <w:spacing w:line="360" w:lineRule="auto"/>
              <w:jc w:val="center"/>
              <w:rPr>
                <w:rFonts w:hint="eastAsia" w:ascii="宋体" w:hAnsi="宋体" w:eastAsia="宋体" w:cs="宋体"/>
                <w:color w:val="auto"/>
                <w:sz w:val="21"/>
                <w:szCs w:val="21"/>
                <w:highlight w:val="none"/>
              </w:rPr>
            </w:pPr>
          </w:p>
        </w:tc>
        <w:tc>
          <w:tcPr>
            <w:tcW w:w="987" w:type="dxa"/>
            <w:tcBorders>
              <w:top w:val="single" w:color="auto" w:sz="8" w:space="0"/>
              <w:left w:val="nil"/>
              <w:bottom w:val="single" w:color="auto" w:sz="4" w:space="0"/>
              <w:right w:val="single" w:color="auto" w:sz="8" w:space="0"/>
            </w:tcBorders>
            <w:noWrap w:val="0"/>
            <w:vAlign w:val="center"/>
          </w:tcPr>
          <w:p>
            <w:pPr>
              <w:tabs>
                <w:tab w:val="left" w:pos="5580"/>
              </w:tabs>
              <w:spacing w:line="360" w:lineRule="auto"/>
              <w:jc w:val="center"/>
              <w:rPr>
                <w:rFonts w:hint="eastAsia" w:ascii="宋体" w:hAnsi="宋体" w:eastAsia="宋体" w:cs="宋体"/>
                <w:color w:val="auto"/>
                <w:sz w:val="21"/>
                <w:szCs w:val="21"/>
                <w:highlight w:val="none"/>
              </w:rPr>
            </w:pP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注：投标报价为完成本项目所发生的一切费用,包括但不限于设备的设计、制造、包装、仓储、运输、装卸、保管、保险费、安装费、调试费、验收合格之前及售后保修期间更换备品备件发生的费用、税金、调试配合及技术资料、技术服务等所有费用，如有遗漏，视为已包含在内。</w:t>
      </w:r>
    </w:p>
    <w:p>
      <w:pPr>
        <w:pStyle w:val="28"/>
        <w:rPr>
          <w:rFonts w:ascii="宋体" w:hAnsi="宋体" w:cs="宋体"/>
          <w:color w:val="auto"/>
          <w:kern w:val="0"/>
          <w:szCs w:val="21"/>
          <w:highlight w:val="none"/>
        </w:rPr>
      </w:pPr>
    </w:p>
    <w:p>
      <w:pPr>
        <w:keepNext w:val="0"/>
        <w:keepLines w:val="0"/>
        <w:pageBreakBefore w:val="0"/>
        <w:widowControl w:val="0"/>
        <w:kinsoku/>
        <w:wordWrap/>
        <w:overflowPunct/>
        <w:topLinePunct w:val="0"/>
        <w:bidi w:val="0"/>
        <w:snapToGrid/>
        <w:spacing w:line="480" w:lineRule="auto"/>
        <w:jc w:val="right"/>
        <w:textAlignment w:val="auto"/>
        <w:rPr>
          <w:rFonts w:hint="eastAsia" w:ascii="宋体" w:hAnsi="宋体" w:cs="宋体"/>
          <w:color w:val="auto"/>
          <w:kern w:val="0"/>
          <w:szCs w:val="21"/>
          <w:highlight w:val="none"/>
        </w:rPr>
      </w:pPr>
    </w:p>
    <w:p>
      <w:pPr>
        <w:keepNext w:val="0"/>
        <w:keepLines w:val="0"/>
        <w:pageBreakBefore w:val="0"/>
        <w:widowControl w:val="0"/>
        <w:kinsoku/>
        <w:wordWrap/>
        <w:overflowPunct/>
        <w:topLinePunct w:val="0"/>
        <w:bidi w:val="0"/>
        <w:snapToGrid/>
        <w:spacing w:line="480" w:lineRule="auto"/>
        <w:jc w:val="right"/>
        <w:textAlignment w:val="auto"/>
        <w:rPr>
          <w:rFonts w:hint="eastAsia" w:ascii="宋体" w:hAnsi="宋体" w:cs="宋体"/>
          <w:color w:val="auto"/>
          <w:kern w:val="0"/>
          <w:szCs w:val="21"/>
          <w:highlight w:val="none"/>
        </w:rPr>
      </w:pPr>
    </w:p>
    <w:p>
      <w:pPr>
        <w:keepNext w:val="0"/>
        <w:keepLines w:val="0"/>
        <w:pageBreakBefore w:val="0"/>
        <w:widowControl w:val="0"/>
        <w:kinsoku/>
        <w:wordWrap/>
        <w:overflowPunct/>
        <w:topLinePunct w:val="0"/>
        <w:bidi w:val="0"/>
        <w:snapToGrid/>
        <w:spacing w:line="480" w:lineRule="auto"/>
        <w:jc w:val="right"/>
        <w:textAlignment w:val="auto"/>
        <w:rPr>
          <w:rFonts w:hint="eastAsia" w:ascii="宋体" w:hAnsi="宋体" w:cs="宋体"/>
          <w:color w:val="auto"/>
          <w:kern w:val="0"/>
          <w:szCs w:val="21"/>
          <w:highlight w:val="none"/>
        </w:rPr>
      </w:pPr>
    </w:p>
    <w:p>
      <w:pPr>
        <w:keepNext w:val="0"/>
        <w:keepLines w:val="0"/>
        <w:pageBreakBefore w:val="0"/>
        <w:widowControl w:val="0"/>
        <w:kinsoku/>
        <w:wordWrap/>
        <w:overflowPunct/>
        <w:topLinePunct w:val="0"/>
        <w:bidi w:val="0"/>
        <w:snapToGrid/>
        <w:spacing w:line="480" w:lineRule="auto"/>
        <w:jc w:val="right"/>
        <w:textAlignment w:val="auto"/>
        <w:rPr>
          <w:rFonts w:ascii="宋体" w:hAnsi="宋体" w:cs="宋体"/>
          <w:color w:val="auto"/>
          <w:kern w:val="0"/>
          <w:szCs w:val="21"/>
          <w:highlight w:val="none"/>
        </w:rPr>
      </w:pPr>
      <w:r>
        <w:rPr>
          <w:rFonts w:hint="eastAsia" w:ascii="宋体" w:hAnsi="宋体" w:cs="宋体"/>
          <w:color w:val="auto"/>
          <w:kern w:val="0"/>
          <w:szCs w:val="21"/>
          <w:highlight w:val="none"/>
        </w:rPr>
        <w:t>投标人：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（盖单位章）</w:t>
      </w:r>
    </w:p>
    <w:p>
      <w:pPr>
        <w:keepNext w:val="0"/>
        <w:keepLines w:val="0"/>
        <w:pageBreakBefore w:val="0"/>
        <w:widowControl w:val="0"/>
        <w:kinsoku/>
        <w:wordWrap/>
        <w:overflowPunct/>
        <w:topLinePunct w:val="0"/>
        <w:autoSpaceDE w:val="0"/>
        <w:autoSpaceDN w:val="0"/>
        <w:bidi w:val="0"/>
        <w:adjustRightInd w:val="0"/>
        <w:snapToGrid/>
        <w:spacing w:line="480" w:lineRule="auto"/>
        <w:jc w:val="right"/>
        <w:textAlignment w:val="auto"/>
        <w:rPr>
          <w:rFonts w:ascii="宋体" w:hAnsi="宋体" w:cs="宋体"/>
          <w:color w:val="auto"/>
          <w:kern w:val="0"/>
          <w:szCs w:val="21"/>
          <w:highlight w:val="none"/>
        </w:rPr>
      </w:pPr>
      <w:r>
        <w:rPr>
          <w:rFonts w:hint="eastAsia" w:ascii="宋体" w:hAnsi="宋体" w:cs="宋体"/>
          <w:color w:val="auto"/>
          <w:kern w:val="0"/>
          <w:szCs w:val="21"/>
          <w:highlight w:val="none"/>
          <w:lang w:eastAsia="zh-CN"/>
        </w:rPr>
        <w:t>法定代表人（负责人）</w:t>
      </w:r>
      <w:r>
        <w:rPr>
          <w:rFonts w:hint="eastAsia" w:ascii="宋体" w:hAnsi="宋体" w:cs="宋体"/>
          <w:color w:val="auto"/>
          <w:kern w:val="0"/>
          <w:szCs w:val="21"/>
          <w:highlight w:val="none"/>
        </w:rPr>
        <w:t>或其委托代理人：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（签字或盖章）</w:t>
      </w:r>
    </w:p>
    <w:p>
      <w:pPr>
        <w:pStyle w:val="8"/>
        <w:keepNext w:val="0"/>
        <w:keepLines w:val="0"/>
        <w:pageBreakBefore w:val="0"/>
        <w:widowControl w:val="0"/>
        <w:kinsoku/>
        <w:wordWrap/>
        <w:overflowPunct/>
        <w:topLinePunct w:val="0"/>
        <w:bidi w:val="0"/>
        <w:snapToGrid/>
        <w:spacing w:line="480" w:lineRule="auto"/>
        <w:ind w:left="0" w:leftChars="0" w:firstLine="0" w:firstLineChars="0"/>
        <w:jc w:val="right"/>
        <w:textAlignment w:val="auto"/>
        <w:rPr>
          <w:rFonts w:hint="eastAsia"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rPr>
          <w:rFonts w:hint="eastAsia"/>
          <w:color w:val="auto"/>
          <w:highlight w:val="none"/>
        </w:rPr>
        <w:sectPr>
          <w:footerReference r:id="rId4" w:type="default"/>
          <w:pgSz w:w="11906" w:h="16838"/>
          <w:pgMar w:top="1247" w:right="1531" w:bottom="1247" w:left="1531" w:header="851" w:footer="992" w:gutter="0"/>
          <w:pgNumType w:fmt="decimal" w:start="1"/>
          <w:cols w:space="425" w:num="1"/>
          <w:docGrid w:type="lines" w:linePitch="312" w:charSpace="0"/>
        </w:sectPr>
      </w:pPr>
    </w:p>
    <w:p>
      <w:pPr>
        <w:pStyle w:val="4"/>
        <w:bidi w:val="0"/>
        <w:rPr>
          <w:rFonts w:hint="eastAsia" w:ascii="宋体" w:hAnsi="宋体" w:eastAsia="宋体" w:cs="Times New Roman"/>
          <w:color w:val="auto"/>
          <w:sz w:val="28"/>
          <w:szCs w:val="22"/>
          <w:highlight w:val="none"/>
        </w:rPr>
      </w:pPr>
      <w:r>
        <w:rPr>
          <w:rFonts w:hint="eastAsia" w:ascii="宋体" w:hAnsi="宋体" w:eastAsia="宋体" w:cs="Times New Roman"/>
          <w:color w:val="auto"/>
          <w:sz w:val="28"/>
          <w:szCs w:val="22"/>
          <w:highlight w:val="none"/>
          <w:lang w:val="en-US" w:eastAsia="zh-CN"/>
        </w:rPr>
        <w:t>2.1</w:t>
      </w:r>
      <w:r>
        <w:rPr>
          <w:rFonts w:hint="eastAsia" w:ascii="宋体" w:hAnsi="宋体" w:eastAsia="宋体" w:cs="Times New Roman"/>
          <w:color w:val="auto"/>
          <w:sz w:val="28"/>
          <w:szCs w:val="22"/>
          <w:highlight w:val="none"/>
        </w:rPr>
        <w:t>投标分项报价表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olor w:val="auto"/>
          <w:sz w:val="21"/>
          <w:szCs w:val="21"/>
          <w:highlight w:val="none"/>
          <w:u w:val="single"/>
          <w:lang w:val="en-US" w:eastAsia="zh-CN"/>
        </w:rPr>
      </w:pPr>
      <w:r>
        <w:rPr>
          <w:rFonts w:hint="eastAsia" w:ascii="宋体" w:hAnsi="宋体"/>
          <w:color w:val="auto"/>
          <w:sz w:val="21"/>
          <w:szCs w:val="21"/>
          <w:highlight w:val="none"/>
        </w:rPr>
        <w:t>项目编号：</w:t>
      </w:r>
      <w:r>
        <w:rPr>
          <w:rFonts w:hint="eastAsia" w:ascii="宋体" w:hAnsi="宋体"/>
          <w:color w:val="auto"/>
          <w:sz w:val="21"/>
          <w:szCs w:val="21"/>
          <w:highlight w:val="none"/>
          <w:u w:val="single"/>
          <w:lang w:val="en-US" w:eastAsia="zh-CN"/>
        </w:rPr>
        <w:t xml:space="preserve">                                        </w:t>
      </w:r>
    </w:p>
    <w:p>
      <w:pPr>
        <w:pStyle w:val="28"/>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eastAsia="宋体"/>
          <w:color w:val="auto"/>
          <w:sz w:val="21"/>
          <w:szCs w:val="21"/>
          <w:highlight w:val="none"/>
          <w:u w:val="single"/>
          <w:lang w:val="en-US" w:eastAsia="zh-CN"/>
        </w:rPr>
      </w:pPr>
      <w:r>
        <w:rPr>
          <w:rFonts w:hint="eastAsia" w:ascii="宋体" w:hAnsi="宋体"/>
          <w:color w:val="auto"/>
          <w:szCs w:val="21"/>
          <w:highlight w:val="none"/>
        </w:rPr>
        <w:t>项目名称</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标包名称</w:t>
      </w:r>
      <w:r>
        <w:rPr>
          <w:rFonts w:hint="eastAsia" w:ascii="宋体" w:hAnsi="宋体"/>
          <w:color w:val="auto"/>
          <w:sz w:val="21"/>
          <w:szCs w:val="21"/>
          <w:highlight w:val="none"/>
        </w:rPr>
        <w:t>：</w:t>
      </w:r>
      <w:r>
        <w:rPr>
          <w:rFonts w:hint="eastAsia" w:ascii="宋体" w:hAnsi="宋体"/>
          <w:color w:val="auto"/>
          <w:sz w:val="21"/>
          <w:szCs w:val="21"/>
          <w:highlight w:val="none"/>
          <w:u w:val="single"/>
          <w:lang w:val="en-US" w:eastAsia="zh-CN"/>
        </w:rPr>
        <w:t xml:space="preserve">                              </w:t>
      </w:r>
    </w:p>
    <w:tbl>
      <w:tblPr>
        <w:tblStyle w:val="23"/>
        <w:tblW w:w="13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598"/>
        <w:gridCol w:w="2235"/>
        <w:gridCol w:w="2235"/>
        <w:gridCol w:w="1122"/>
        <w:gridCol w:w="1124"/>
        <w:gridCol w:w="1310"/>
        <w:gridCol w:w="1316"/>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721" w:type="dxa"/>
            <w:noWrap w:val="0"/>
            <w:vAlign w:val="center"/>
          </w:tcPr>
          <w:p>
            <w:pPr>
              <w:pStyle w:val="53"/>
              <w:spacing w:line="240" w:lineRule="auto"/>
              <w:ind w:firstLine="0"/>
              <w:jc w:val="center"/>
              <w:rPr>
                <w:rFonts w:ascii="宋体" w:hAnsi="宋体"/>
                <w:color w:val="auto"/>
                <w:sz w:val="21"/>
                <w:szCs w:val="21"/>
                <w:highlight w:val="none"/>
              </w:rPr>
            </w:pPr>
            <w:r>
              <w:rPr>
                <w:rFonts w:hint="eastAsia" w:ascii="宋体" w:hAnsi="宋体"/>
                <w:color w:val="auto"/>
                <w:sz w:val="21"/>
                <w:szCs w:val="21"/>
                <w:highlight w:val="none"/>
              </w:rPr>
              <w:t>序号</w:t>
            </w:r>
          </w:p>
        </w:tc>
        <w:tc>
          <w:tcPr>
            <w:tcW w:w="2598" w:type="dxa"/>
            <w:noWrap w:val="0"/>
            <w:vAlign w:val="center"/>
          </w:tcPr>
          <w:p>
            <w:pPr>
              <w:adjustRightInd w:val="0"/>
              <w:snapToGrid w:val="0"/>
              <w:jc w:val="center"/>
              <w:rPr>
                <w:rFonts w:ascii="宋体" w:hAnsi="宋体"/>
                <w:color w:val="auto"/>
                <w:sz w:val="21"/>
                <w:szCs w:val="21"/>
                <w:highlight w:val="none"/>
              </w:rPr>
            </w:pPr>
            <w:r>
              <w:rPr>
                <w:rFonts w:hint="eastAsia" w:ascii="宋体" w:hAnsi="宋体"/>
                <w:color w:val="auto"/>
                <w:sz w:val="21"/>
                <w:szCs w:val="21"/>
                <w:highlight w:val="none"/>
              </w:rPr>
              <w:t>名称</w:t>
            </w:r>
          </w:p>
        </w:tc>
        <w:tc>
          <w:tcPr>
            <w:tcW w:w="2235" w:type="dxa"/>
            <w:noWrap w:val="0"/>
            <w:vAlign w:val="center"/>
          </w:tcPr>
          <w:p>
            <w:pPr>
              <w:adjustRightInd w:val="0"/>
              <w:snapToGrid w:val="0"/>
              <w:jc w:val="center"/>
              <w:rPr>
                <w:rFonts w:ascii="宋体" w:hAnsi="宋体"/>
                <w:color w:val="auto"/>
                <w:sz w:val="21"/>
                <w:szCs w:val="21"/>
                <w:highlight w:val="none"/>
              </w:rPr>
            </w:pPr>
            <w:r>
              <w:rPr>
                <w:rFonts w:hint="eastAsia" w:ascii="宋体" w:hAnsi="宋体" w:cs="宋体"/>
                <w:color w:val="auto"/>
                <w:szCs w:val="21"/>
                <w:highlight w:val="none"/>
                <w:lang w:val="zh-CN"/>
              </w:rPr>
              <w:t>生产厂家及品牌</w:t>
            </w:r>
          </w:p>
        </w:tc>
        <w:tc>
          <w:tcPr>
            <w:tcW w:w="2235" w:type="dxa"/>
            <w:noWrap w:val="0"/>
            <w:vAlign w:val="center"/>
          </w:tcPr>
          <w:p>
            <w:pPr>
              <w:adjustRightInd w:val="0"/>
              <w:snapToGrid w:val="0"/>
              <w:jc w:val="center"/>
              <w:rPr>
                <w:rFonts w:ascii="宋体" w:hAnsi="宋体"/>
                <w:color w:val="auto"/>
                <w:sz w:val="21"/>
                <w:szCs w:val="21"/>
                <w:highlight w:val="none"/>
              </w:rPr>
            </w:pPr>
            <w:r>
              <w:rPr>
                <w:rFonts w:hint="eastAsia" w:ascii="宋体" w:hAnsi="宋体" w:cs="宋体"/>
                <w:color w:val="auto"/>
                <w:szCs w:val="21"/>
                <w:highlight w:val="none"/>
                <w:lang w:val="zh-CN"/>
              </w:rPr>
              <w:t>规格型号</w:t>
            </w:r>
          </w:p>
        </w:tc>
        <w:tc>
          <w:tcPr>
            <w:tcW w:w="1122" w:type="dxa"/>
            <w:noWrap w:val="0"/>
            <w:vAlign w:val="center"/>
          </w:tcPr>
          <w:p>
            <w:pPr>
              <w:adjustRightInd w:val="0"/>
              <w:snapToGrid w:val="0"/>
              <w:jc w:val="center"/>
              <w:rPr>
                <w:rFonts w:ascii="宋体" w:hAnsi="宋体"/>
                <w:color w:val="auto"/>
                <w:sz w:val="21"/>
                <w:szCs w:val="21"/>
                <w:highlight w:val="none"/>
              </w:rPr>
            </w:pPr>
            <w:r>
              <w:rPr>
                <w:rFonts w:hint="eastAsia" w:ascii="宋体" w:hAnsi="宋体"/>
                <w:color w:val="auto"/>
                <w:sz w:val="21"/>
                <w:szCs w:val="21"/>
                <w:highlight w:val="none"/>
              </w:rPr>
              <w:t>单位</w:t>
            </w:r>
          </w:p>
        </w:tc>
        <w:tc>
          <w:tcPr>
            <w:tcW w:w="1124" w:type="dxa"/>
            <w:noWrap w:val="0"/>
            <w:vAlign w:val="center"/>
          </w:tcPr>
          <w:p>
            <w:pPr>
              <w:adjustRightInd w:val="0"/>
              <w:snapToGrid w:val="0"/>
              <w:jc w:val="center"/>
              <w:rPr>
                <w:rFonts w:ascii="宋体" w:hAnsi="宋体"/>
                <w:color w:val="auto"/>
                <w:sz w:val="21"/>
                <w:szCs w:val="21"/>
                <w:highlight w:val="none"/>
              </w:rPr>
            </w:pPr>
            <w:r>
              <w:rPr>
                <w:rFonts w:hint="eastAsia" w:ascii="宋体" w:hAnsi="宋体"/>
                <w:color w:val="auto"/>
                <w:sz w:val="21"/>
                <w:szCs w:val="21"/>
                <w:highlight w:val="none"/>
              </w:rPr>
              <w:t>数量</w:t>
            </w:r>
          </w:p>
        </w:tc>
        <w:tc>
          <w:tcPr>
            <w:tcW w:w="1310" w:type="dxa"/>
            <w:noWrap w:val="0"/>
            <w:vAlign w:val="center"/>
          </w:tcPr>
          <w:p>
            <w:pPr>
              <w:adjustRightInd w:val="0"/>
              <w:snapToGrid w:val="0"/>
              <w:jc w:val="center"/>
              <w:rPr>
                <w:rFonts w:ascii="宋体" w:hAnsi="宋体"/>
                <w:color w:val="auto"/>
                <w:sz w:val="21"/>
                <w:szCs w:val="21"/>
                <w:highlight w:val="none"/>
              </w:rPr>
            </w:pPr>
            <w:r>
              <w:rPr>
                <w:rFonts w:hint="eastAsia" w:ascii="宋体" w:hAnsi="宋体"/>
                <w:color w:val="auto"/>
                <w:sz w:val="21"/>
                <w:szCs w:val="21"/>
                <w:highlight w:val="none"/>
              </w:rPr>
              <w:t>单价</w:t>
            </w:r>
            <w:r>
              <w:rPr>
                <w:rFonts w:hint="eastAsia" w:ascii="宋体" w:hAnsi="宋体" w:cs="宋体"/>
                <w:color w:val="auto"/>
                <w:szCs w:val="21"/>
                <w:highlight w:val="none"/>
                <w:lang w:val="en-US" w:eastAsia="zh-CN"/>
              </w:rPr>
              <w:t>（元）</w:t>
            </w:r>
          </w:p>
        </w:tc>
        <w:tc>
          <w:tcPr>
            <w:tcW w:w="1316" w:type="dxa"/>
            <w:noWrap w:val="0"/>
            <w:vAlign w:val="center"/>
          </w:tcPr>
          <w:p>
            <w:pPr>
              <w:adjustRightInd w:val="0"/>
              <w:snapToGrid w:val="0"/>
              <w:jc w:val="center"/>
              <w:rPr>
                <w:rFonts w:ascii="宋体" w:hAnsi="宋体"/>
                <w:color w:val="auto"/>
                <w:sz w:val="21"/>
                <w:szCs w:val="21"/>
                <w:highlight w:val="none"/>
              </w:rPr>
            </w:pPr>
            <w:r>
              <w:rPr>
                <w:rFonts w:hint="eastAsia" w:ascii="宋体" w:hAnsi="宋体" w:cs="宋体"/>
                <w:color w:val="auto"/>
                <w:szCs w:val="21"/>
                <w:highlight w:val="none"/>
                <w:lang w:val="en-US" w:eastAsia="zh-CN"/>
              </w:rPr>
              <w:t>合计（元）</w:t>
            </w:r>
          </w:p>
        </w:tc>
        <w:tc>
          <w:tcPr>
            <w:tcW w:w="710" w:type="dxa"/>
            <w:noWrap w:val="0"/>
            <w:vAlign w:val="center"/>
          </w:tcPr>
          <w:p>
            <w:pPr>
              <w:adjustRightInd w:val="0"/>
              <w:snapToGrid w:val="0"/>
              <w:jc w:val="center"/>
              <w:rPr>
                <w:rFonts w:ascii="宋体" w:hAnsi="宋体"/>
                <w:color w:val="auto"/>
                <w:sz w:val="21"/>
                <w:szCs w:val="21"/>
                <w:highlight w:val="none"/>
              </w:rPr>
            </w:pPr>
            <w:r>
              <w:rPr>
                <w:rFonts w:hint="eastAsia" w:ascii="宋体" w:hAnsi="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721" w:type="dxa"/>
            <w:noWrap w:val="0"/>
            <w:vAlign w:val="center"/>
          </w:tcPr>
          <w:p>
            <w:pPr>
              <w:pStyle w:val="53"/>
              <w:keepNext w:val="0"/>
              <w:keepLines w:val="0"/>
              <w:pageBreakBefore w:val="0"/>
              <w:widowControl/>
              <w:kinsoku/>
              <w:wordWrap/>
              <w:overflowPunct/>
              <w:topLinePunct w:val="0"/>
              <w:autoSpaceDE/>
              <w:autoSpaceDN/>
              <w:bidi w:val="0"/>
              <w:adjustRightInd/>
              <w:spacing w:line="240" w:lineRule="auto"/>
              <w:ind w:firstLine="0"/>
              <w:jc w:val="center"/>
              <w:textAlignment w:val="auto"/>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1</w:t>
            </w:r>
          </w:p>
        </w:tc>
        <w:tc>
          <w:tcPr>
            <w:tcW w:w="259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both"/>
              <w:textAlignment w:val="auto"/>
              <w:rPr>
                <w:rFonts w:ascii="宋体" w:hAnsi="宋体"/>
                <w:color w:val="auto"/>
                <w:sz w:val="21"/>
                <w:szCs w:val="21"/>
                <w:highlight w:val="none"/>
              </w:rPr>
            </w:pPr>
          </w:p>
        </w:tc>
        <w:tc>
          <w:tcPr>
            <w:tcW w:w="2235" w:type="dxa"/>
            <w:noWrap w:val="0"/>
            <w:vAlign w:val="center"/>
          </w:tcPr>
          <w:p>
            <w:pPr>
              <w:keepNext/>
              <w:keepLines/>
              <w:snapToGrid w:val="0"/>
              <w:jc w:val="center"/>
              <w:outlineLvl w:val="0"/>
              <w:rPr>
                <w:rFonts w:ascii="宋体" w:hAnsi="宋体"/>
                <w:color w:val="auto"/>
                <w:sz w:val="21"/>
                <w:szCs w:val="21"/>
                <w:highlight w:val="none"/>
              </w:rPr>
            </w:pPr>
          </w:p>
        </w:tc>
        <w:tc>
          <w:tcPr>
            <w:tcW w:w="2235" w:type="dxa"/>
            <w:noWrap w:val="0"/>
            <w:vAlign w:val="center"/>
          </w:tcPr>
          <w:p>
            <w:pPr>
              <w:keepNext/>
              <w:keepLines/>
              <w:snapToGrid w:val="0"/>
              <w:jc w:val="center"/>
              <w:outlineLvl w:val="0"/>
              <w:rPr>
                <w:rFonts w:ascii="宋体" w:hAnsi="宋体"/>
                <w:color w:val="auto"/>
                <w:sz w:val="21"/>
                <w:szCs w:val="21"/>
                <w:highlight w:val="none"/>
              </w:rPr>
            </w:pPr>
          </w:p>
        </w:tc>
        <w:tc>
          <w:tcPr>
            <w:tcW w:w="1122" w:type="dxa"/>
            <w:noWrap w:val="0"/>
            <w:vAlign w:val="center"/>
          </w:tcPr>
          <w:p>
            <w:pPr>
              <w:keepNext/>
              <w:keepLines/>
              <w:snapToGrid w:val="0"/>
              <w:jc w:val="center"/>
              <w:outlineLvl w:val="0"/>
              <w:rPr>
                <w:rFonts w:ascii="宋体" w:hAnsi="宋体"/>
                <w:color w:val="auto"/>
                <w:sz w:val="21"/>
                <w:szCs w:val="21"/>
                <w:highlight w:val="none"/>
              </w:rPr>
            </w:pPr>
          </w:p>
        </w:tc>
        <w:tc>
          <w:tcPr>
            <w:tcW w:w="1124" w:type="dxa"/>
            <w:noWrap w:val="0"/>
            <w:vAlign w:val="center"/>
          </w:tcPr>
          <w:p>
            <w:pPr>
              <w:keepNext/>
              <w:keepLines/>
              <w:snapToGrid w:val="0"/>
              <w:jc w:val="center"/>
              <w:outlineLvl w:val="0"/>
              <w:rPr>
                <w:rFonts w:ascii="宋体" w:hAnsi="宋体"/>
                <w:color w:val="auto"/>
                <w:sz w:val="21"/>
                <w:szCs w:val="21"/>
                <w:highlight w:val="none"/>
              </w:rPr>
            </w:pPr>
          </w:p>
        </w:tc>
        <w:tc>
          <w:tcPr>
            <w:tcW w:w="1310" w:type="dxa"/>
            <w:noWrap w:val="0"/>
            <w:vAlign w:val="center"/>
          </w:tcPr>
          <w:p>
            <w:pPr>
              <w:keepNext/>
              <w:keepLines/>
              <w:snapToGrid w:val="0"/>
              <w:jc w:val="center"/>
              <w:outlineLvl w:val="0"/>
              <w:rPr>
                <w:rFonts w:ascii="宋体" w:hAnsi="宋体"/>
                <w:color w:val="auto"/>
                <w:sz w:val="21"/>
                <w:szCs w:val="21"/>
                <w:highlight w:val="none"/>
              </w:rPr>
            </w:pPr>
          </w:p>
        </w:tc>
        <w:tc>
          <w:tcPr>
            <w:tcW w:w="1316" w:type="dxa"/>
            <w:noWrap w:val="0"/>
            <w:vAlign w:val="center"/>
          </w:tcPr>
          <w:p>
            <w:pPr>
              <w:keepNext/>
              <w:keepLines/>
              <w:snapToGrid w:val="0"/>
              <w:jc w:val="center"/>
              <w:outlineLvl w:val="0"/>
              <w:rPr>
                <w:rFonts w:ascii="宋体" w:hAnsi="宋体"/>
                <w:color w:val="auto"/>
                <w:sz w:val="21"/>
                <w:szCs w:val="21"/>
                <w:highlight w:val="none"/>
              </w:rPr>
            </w:pPr>
          </w:p>
        </w:tc>
        <w:tc>
          <w:tcPr>
            <w:tcW w:w="710" w:type="dxa"/>
            <w:noWrap w:val="0"/>
            <w:vAlign w:val="center"/>
          </w:tcPr>
          <w:p>
            <w:pPr>
              <w:keepNext/>
              <w:keepLines/>
              <w:snapToGrid w:val="0"/>
              <w:jc w:val="center"/>
              <w:outlineLvl w:val="0"/>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721" w:type="dxa"/>
            <w:noWrap w:val="0"/>
            <w:vAlign w:val="center"/>
          </w:tcPr>
          <w:p>
            <w:pPr>
              <w:pStyle w:val="53"/>
              <w:keepNext w:val="0"/>
              <w:keepLines w:val="0"/>
              <w:pageBreakBefore w:val="0"/>
              <w:widowControl/>
              <w:kinsoku/>
              <w:wordWrap/>
              <w:overflowPunct/>
              <w:topLinePunct w:val="0"/>
              <w:autoSpaceDE/>
              <w:autoSpaceDN/>
              <w:bidi w:val="0"/>
              <w:adjustRightInd/>
              <w:spacing w:line="240" w:lineRule="auto"/>
              <w:ind w:firstLine="0"/>
              <w:jc w:val="center"/>
              <w:textAlignment w:val="auto"/>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2</w:t>
            </w:r>
          </w:p>
        </w:tc>
        <w:tc>
          <w:tcPr>
            <w:tcW w:w="259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both"/>
              <w:textAlignment w:val="auto"/>
              <w:rPr>
                <w:rFonts w:ascii="宋体" w:hAnsi="宋体"/>
                <w:color w:val="auto"/>
                <w:sz w:val="21"/>
                <w:szCs w:val="21"/>
                <w:highlight w:val="none"/>
              </w:rPr>
            </w:pPr>
          </w:p>
        </w:tc>
        <w:tc>
          <w:tcPr>
            <w:tcW w:w="2235" w:type="dxa"/>
            <w:noWrap w:val="0"/>
            <w:vAlign w:val="center"/>
          </w:tcPr>
          <w:p>
            <w:pPr>
              <w:keepNext/>
              <w:keepLines/>
              <w:snapToGrid w:val="0"/>
              <w:jc w:val="center"/>
              <w:outlineLvl w:val="0"/>
              <w:rPr>
                <w:rFonts w:ascii="宋体" w:hAnsi="宋体"/>
                <w:color w:val="auto"/>
                <w:sz w:val="21"/>
                <w:szCs w:val="21"/>
                <w:highlight w:val="none"/>
              </w:rPr>
            </w:pPr>
          </w:p>
        </w:tc>
        <w:tc>
          <w:tcPr>
            <w:tcW w:w="2235" w:type="dxa"/>
            <w:noWrap w:val="0"/>
            <w:vAlign w:val="center"/>
          </w:tcPr>
          <w:p>
            <w:pPr>
              <w:keepNext/>
              <w:keepLines/>
              <w:snapToGrid w:val="0"/>
              <w:jc w:val="center"/>
              <w:outlineLvl w:val="0"/>
              <w:rPr>
                <w:rFonts w:ascii="宋体" w:hAnsi="宋体"/>
                <w:color w:val="auto"/>
                <w:sz w:val="21"/>
                <w:szCs w:val="21"/>
                <w:highlight w:val="none"/>
              </w:rPr>
            </w:pPr>
          </w:p>
        </w:tc>
        <w:tc>
          <w:tcPr>
            <w:tcW w:w="1122" w:type="dxa"/>
            <w:noWrap w:val="0"/>
            <w:vAlign w:val="center"/>
          </w:tcPr>
          <w:p>
            <w:pPr>
              <w:keepNext/>
              <w:keepLines/>
              <w:snapToGrid w:val="0"/>
              <w:jc w:val="center"/>
              <w:outlineLvl w:val="0"/>
              <w:rPr>
                <w:rFonts w:ascii="宋体" w:hAnsi="宋体"/>
                <w:color w:val="auto"/>
                <w:sz w:val="21"/>
                <w:szCs w:val="21"/>
                <w:highlight w:val="none"/>
              </w:rPr>
            </w:pPr>
          </w:p>
        </w:tc>
        <w:tc>
          <w:tcPr>
            <w:tcW w:w="1124" w:type="dxa"/>
            <w:noWrap w:val="0"/>
            <w:vAlign w:val="center"/>
          </w:tcPr>
          <w:p>
            <w:pPr>
              <w:keepNext/>
              <w:keepLines/>
              <w:snapToGrid w:val="0"/>
              <w:jc w:val="center"/>
              <w:outlineLvl w:val="0"/>
              <w:rPr>
                <w:rFonts w:ascii="宋体" w:hAnsi="宋体"/>
                <w:color w:val="auto"/>
                <w:sz w:val="21"/>
                <w:szCs w:val="21"/>
                <w:highlight w:val="none"/>
              </w:rPr>
            </w:pPr>
          </w:p>
        </w:tc>
        <w:tc>
          <w:tcPr>
            <w:tcW w:w="1310" w:type="dxa"/>
            <w:noWrap w:val="0"/>
            <w:vAlign w:val="center"/>
          </w:tcPr>
          <w:p>
            <w:pPr>
              <w:keepNext/>
              <w:keepLines/>
              <w:snapToGrid w:val="0"/>
              <w:jc w:val="center"/>
              <w:outlineLvl w:val="0"/>
              <w:rPr>
                <w:rFonts w:ascii="宋体" w:hAnsi="宋体"/>
                <w:color w:val="auto"/>
                <w:sz w:val="21"/>
                <w:szCs w:val="21"/>
                <w:highlight w:val="none"/>
              </w:rPr>
            </w:pPr>
          </w:p>
        </w:tc>
        <w:tc>
          <w:tcPr>
            <w:tcW w:w="1316" w:type="dxa"/>
            <w:noWrap w:val="0"/>
            <w:vAlign w:val="center"/>
          </w:tcPr>
          <w:p>
            <w:pPr>
              <w:keepNext/>
              <w:keepLines/>
              <w:snapToGrid w:val="0"/>
              <w:jc w:val="center"/>
              <w:outlineLvl w:val="0"/>
              <w:rPr>
                <w:rFonts w:ascii="宋体" w:hAnsi="宋体"/>
                <w:color w:val="auto"/>
                <w:sz w:val="21"/>
                <w:szCs w:val="21"/>
                <w:highlight w:val="none"/>
              </w:rPr>
            </w:pPr>
          </w:p>
        </w:tc>
        <w:tc>
          <w:tcPr>
            <w:tcW w:w="710" w:type="dxa"/>
            <w:noWrap w:val="0"/>
            <w:vAlign w:val="center"/>
          </w:tcPr>
          <w:p>
            <w:pPr>
              <w:keepNext/>
              <w:keepLines/>
              <w:snapToGrid w:val="0"/>
              <w:jc w:val="center"/>
              <w:outlineLvl w:val="0"/>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721" w:type="dxa"/>
            <w:noWrap w:val="0"/>
            <w:vAlign w:val="center"/>
          </w:tcPr>
          <w:p>
            <w:pPr>
              <w:pStyle w:val="53"/>
              <w:keepNext w:val="0"/>
              <w:keepLines w:val="0"/>
              <w:pageBreakBefore w:val="0"/>
              <w:widowControl/>
              <w:kinsoku/>
              <w:wordWrap/>
              <w:overflowPunct/>
              <w:topLinePunct w:val="0"/>
              <w:autoSpaceDE/>
              <w:autoSpaceDN/>
              <w:bidi w:val="0"/>
              <w:adjustRightInd/>
              <w:spacing w:line="240" w:lineRule="auto"/>
              <w:ind w:firstLine="0"/>
              <w:jc w:val="center"/>
              <w:textAlignment w:val="auto"/>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3</w:t>
            </w:r>
          </w:p>
        </w:tc>
        <w:tc>
          <w:tcPr>
            <w:tcW w:w="259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both"/>
              <w:textAlignment w:val="auto"/>
              <w:rPr>
                <w:rFonts w:ascii="宋体" w:hAnsi="宋体"/>
                <w:color w:val="auto"/>
                <w:sz w:val="21"/>
                <w:szCs w:val="21"/>
                <w:highlight w:val="none"/>
              </w:rPr>
            </w:pPr>
          </w:p>
        </w:tc>
        <w:tc>
          <w:tcPr>
            <w:tcW w:w="2235" w:type="dxa"/>
            <w:noWrap w:val="0"/>
            <w:vAlign w:val="center"/>
          </w:tcPr>
          <w:p>
            <w:pPr>
              <w:keepNext/>
              <w:keepLines/>
              <w:snapToGrid w:val="0"/>
              <w:jc w:val="center"/>
              <w:outlineLvl w:val="0"/>
              <w:rPr>
                <w:rFonts w:ascii="宋体" w:hAnsi="宋体"/>
                <w:color w:val="auto"/>
                <w:sz w:val="21"/>
                <w:szCs w:val="21"/>
                <w:highlight w:val="none"/>
              </w:rPr>
            </w:pPr>
          </w:p>
        </w:tc>
        <w:tc>
          <w:tcPr>
            <w:tcW w:w="2235" w:type="dxa"/>
            <w:noWrap w:val="0"/>
            <w:vAlign w:val="center"/>
          </w:tcPr>
          <w:p>
            <w:pPr>
              <w:keepNext/>
              <w:keepLines/>
              <w:snapToGrid w:val="0"/>
              <w:jc w:val="center"/>
              <w:outlineLvl w:val="0"/>
              <w:rPr>
                <w:rFonts w:ascii="宋体" w:hAnsi="宋体"/>
                <w:color w:val="auto"/>
                <w:sz w:val="21"/>
                <w:szCs w:val="21"/>
                <w:highlight w:val="none"/>
              </w:rPr>
            </w:pPr>
          </w:p>
        </w:tc>
        <w:tc>
          <w:tcPr>
            <w:tcW w:w="1122" w:type="dxa"/>
            <w:noWrap w:val="0"/>
            <w:vAlign w:val="center"/>
          </w:tcPr>
          <w:p>
            <w:pPr>
              <w:keepNext/>
              <w:keepLines/>
              <w:snapToGrid w:val="0"/>
              <w:jc w:val="center"/>
              <w:outlineLvl w:val="0"/>
              <w:rPr>
                <w:rFonts w:ascii="宋体" w:hAnsi="宋体"/>
                <w:color w:val="auto"/>
                <w:sz w:val="21"/>
                <w:szCs w:val="21"/>
                <w:highlight w:val="none"/>
              </w:rPr>
            </w:pPr>
          </w:p>
        </w:tc>
        <w:tc>
          <w:tcPr>
            <w:tcW w:w="1124" w:type="dxa"/>
            <w:noWrap w:val="0"/>
            <w:vAlign w:val="center"/>
          </w:tcPr>
          <w:p>
            <w:pPr>
              <w:keepNext/>
              <w:keepLines/>
              <w:snapToGrid w:val="0"/>
              <w:jc w:val="center"/>
              <w:outlineLvl w:val="0"/>
              <w:rPr>
                <w:rFonts w:ascii="宋体" w:hAnsi="宋体"/>
                <w:color w:val="auto"/>
                <w:sz w:val="21"/>
                <w:szCs w:val="21"/>
                <w:highlight w:val="none"/>
              </w:rPr>
            </w:pPr>
          </w:p>
        </w:tc>
        <w:tc>
          <w:tcPr>
            <w:tcW w:w="1310" w:type="dxa"/>
            <w:noWrap w:val="0"/>
            <w:vAlign w:val="center"/>
          </w:tcPr>
          <w:p>
            <w:pPr>
              <w:keepNext/>
              <w:keepLines/>
              <w:snapToGrid w:val="0"/>
              <w:jc w:val="center"/>
              <w:outlineLvl w:val="0"/>
              <w:rPr>
                <w:rFonts w:ascii="宋体" w:hAnsi="宋体"/>
                <w:color w:val="auto"/>
                <w:sz w:val="21"/>
                <w:szCs w:val="21"/>
                <w:highlight w:val="none"/>
              </w:rPr>
            </w:pPr>
          </w:p>
        </w:tc>
        <w:tc>
          <w:tcPr>
            <w:tcW w:w="1316" w:type="dxa"/>
            <w:noWrap w:val="0"/>
            <w:vAlign w:val="center"/>
          </w:tcPr>
          <w:p>
            <w:pPr>
              <w:keepNext/>
              <w:keepLines/>
              <w:snapToGrid w:val="0"/>
              <w:jc w:val="center"/>
              <w:outlineLvl w:val="0"/>
              <w:rPr>
                <w:rFonts w:ascii="宋体" w:hAnsi="宋体"/>
                <w:color w:val="auto"/>
                <w:sz w:val="21"/>
                <w:szCs w:val="21"/>
                <w:highlight w:val="none"/>
              </w:rPr>
            </w:pPr>
          </w:p>
        </w:tc>
        <w:tc>
          <w:tcPr>
            <w:tcW w:w="710" w:type="dxa"/>
            <w:noWrap w:val="0"/>
            <w:vAlign w:val="center"/>
          </w:tcPr>
          <w:p>
            <w:pPr>
              <w:keepNext/>
              <w:keepLines/>
              <w:snapToGrid w:val="0"/>
              <w:jc w:val="center"/>
              <w:outlineLvl w:val="0"/>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5" w:hRule="atLeast"/>
          <w:jc w:val="center"/>
        </w:trPr>
        <w:tc>
          <w:tcPr>
            <w:tcW w:w="721" w:type="dxa"/>
            <w:noWrap w:val="0"/>
            <w:vAlign w:val="center"/>
          </w:tcPr>
          <w:p>
            <w:pPr>
              <w:pStyle w:val="53"/>
              <w:keepNext w:val="0"/>
              <w:keepLines w:val="0"/>
              <w:pageBreakBefore w:val="0"/>
              <w:widowControl/>
              <w:kinsoku/>
              <w:wordWrap/>
              <w:overflowPunct/>
              <w:topLinePunct w:val="0"/>
              <w:autoSpaceDE/>
              <w:autoSpaceDN/>
              <w:bidi w:val="0"/>
              <w:adjustRightInd/>
              <w:spacing w:line="240" w:lineRule="auto"/>
              <w:ind w:firstLine="0"/>
              <w:jc w:val="center"/>
              <w:textAlignment w:val="auto"/>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4</w:t>
            </w:r>
          </w:p>
        </w:tc>
        <w:tc>
          <w:tcPr>
            <w:tcW w:w="259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both"/>
              <w:textAlignment w:val="auto"/>
              <w:rPr>
                <w:rFonts w:ascii="宋体" w:hAnsi="宋体"/>
                <w:color w:val="auto"/>
                <w:sz w:val="21"/>
                <w:szCs w:val="21"/>
                <w:highlight w:val="none"/>
              </w:rPr>
            </w:pPr>
          </w:p>
        </w:tc>
        <w:tc>
          <w:tcPr>
            <w:tcW w:w="2235" w:type="dxa"/>
            <w:noWrap w:val="0"/>
            <w:vAlign w:val="center"/>
          </w:tcPr>
          <w:p>
            <w:pPr>
              <w:keepNext/>
              <w:keepLines/>
              <w:snapToGrid w:val="0"/>
              <w:jc w:val="center"/>
              <w:outlineLvl w:val="0"/>
              <w:rPr>
                <w:rFonts w:ascii="宋体" w:hAnsi="宋体"/>
                <w:color w:val="auto"/>
                <w:sz w:val="21"/>
                <w:szCs w:val="21"/>
                <w:highlight w:val="none"/>
              </w:rPr>
            </w:pPr>
          </w:p>
        </w:tc>
        <w:tc>
          <w:tcPr>
            <w:tcW w:w="2235" w:type="dxa"/>
            <w:noWrap w:val="0"/>
            <w:vAlign w:val="center"/>
          </w:tcPr>
          <w:p>
            <w:pPr>
              <w:keepNext/>
              <w:keepLines/>
              <w:snapToGrid w:val="0"/>
              <w:jc w:val="center"/>
              <w:outlineLvl w:val="0"/>
              <w:rPr>
                <w:rFonts w:ascii="宋体" w:hAnsi="宋体"/>
                <w:color w:val="auto"/>
                <w:sz w:val="21"/>
                <w:szCs w:val="21"/>
                <w:highlight w:val="none"/>
              </w:rPr>
            </w:pPr>
          </w:p>
        </w:tc>
        <w:tc>
          <w:tcPr>
            <w:tcW w:w="1122" w:type="dxa"/>
            <w:noWrap w:val="0"/>
            <w:vAlign w:val="center"/>
          </w:tcPr>
          <w:p>
            <w:pPr>
              <w:keepNext/>
              <w:keepLines/>
              <w:snapToGrid w:val="0"/>
              <w:jc w:val="center"/>
              <w:outlineLvl w:val="0"/>
              <w:rPr>
                <w:rFonts w:ascii="宋体" w:hAnsi="宋体"/>
                <w:color w:val="auto"/>
                <w:sz w:val="21"/>
                <w:szCs w:val="21"/>
                <w:highlight w:val="none"/>
              </w:rPr>
            </w:pPr>
          </w:p>
        </w:tc>
        <w:tc>
          <w:tcPr>
            <w:tcW w:w="1124" w:type="dxa"/>
            <w:noWrap w:val="0"/>
            <w:vAlign w:val="center"/>
          </w:tcPr>
          <w:p>
            <w:pPr>
              <w:keepNext/>
              <w:keepLines/>
              <w:snapToGrid w:val="0"/>
              <w:jc w:val="center"/>
              <w:outlineLvl w:val="0"/>
              <w:rPr>
                <w:rFonts w:ascii="宋体" w:hAnsi="宋体"/>
                <w:color w:val="auto"/>
                <w:sz w:val="21"/>
                <w:szCs w:val="21"/>
                <w:highlight w:val="none"/>
              </w:rPr>
            </w:pPr>
          </w:p>
        </w:tc>
        <w:tc>
          <w:tcPr>
            <w:tcW w:w="1310" w:type="dxa"/>
            <w:noWrap w:val="0"/>
            <w:vAlign w:val="center"/>
          </w:tcPr>
          <w:p>
            <w:pPr>
              <w:keepNext/>
              <w:keepLines/>
              <w:snapToGrid w:val="0"/>
              <w:jc w:val="center"/>
              <w:outlineLvl w:val="0"/>
              <w:rPr>
                <w:rFonts w:ascii="宋体" w:hAnsi="宋体"/>
                <w:color w:val="auto"/>
                <w:sz w:val="21"/>
                <w:szCs w:val="21"/>
                <w:highlight w:val="none"/>
              </w:rPr>
            </w:pPr>
          </w:p>
        </w:tc>
        <w:tc>
          <w:tcPr>
            <w:tcW w:w="1316" w:type="dxa"/>
            <w:noWrap w:val="0"/>
            <w:vAlign w:val="center"/>
          </w:tcPr>
          <w:p>
            <w:pPr>
              <w:keepNext/>
              <w:keepLines/>
              <w:snapToGrid w:val="0"/>
              <w:jc w:val="center"/>
              <w:outlineLvl w:val="0"/>
              <w:rPr>
                <w:rFonts w:ascii="宋体" w:hAnsi="宋体"/>
                <w:color w:val="auto"/>
                <w:sz w:val="21"/>
                <w:szCs w:val="21"/>
                <w:highlight w:val="none"/>
              </w:rPr>
            </w:pPr>
          </w:p>
        </w:tc>
        <w:tc>
          <w:tcPr>
            <w:tcW w:w="710" w:type="dxa"/>
            <w:noWrap w:val="0"/>
            <w:vAlign w:val="center"/>
          </w:tcPr>
          <w:p>
            <w:pPr>
              <w:keepNext/>
              <w:keepLines/>
              <w:snapToGrid w:val="0"/>
              <w:jc w:val="center"/>
              <w:outlineLvl w:val="0"/>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721" w:type="dxa"/>
            <w:noWrap w:val="0"/>
            <w:vAlign w:val="center"/>
          </w:tcPr>
          <w:p>
            <w:pPr>
              <w:pStyle w:val="53"/>
              <w:keepNext w:val="0"/>
              <w:keepLines w:val="0"/>
              <w:pageBreakBefore w:val="0"/>
              <w:widowControl/>
              <w:kinsoku/>
              <w:wordWrap/>
              <w:overflowPunct/>
              <w:topLinePunct w:val="0"/>
              <w:autoSpaceDE/>
              <w:autoSpaceDN/>
              <w:bidi w:val="0"/>
              <w:adjustRightInd/>
              <w:spacing w:line="240" w:lineRule="auto"/>
              <w:ind w:firstLine="0"/>
              <w:jc w:val="center"/>
              <w:textAlignment w:val="auto"/>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5</w:t>
            </w:r>
          </w:p>
        </w:tc>
        <w:tc>
          <w:tcPr>
            <w:tcW w:w="259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both"/>
              <w:textAlignment w:val="auto"/>
              <w:rPr>
                <w:rFonts w:ascii="宋体" w:hAnsi="宋体"/>
                <w:color w:val="auto"/>
                <w:sz w:val="21"/>
                <w:szCs w:val="21"/>
                <w:highlight w:val="none"/>
              </w:rPr>
            </w:pPr>
          </w:p>
        </w:tc>
        <w:tc>
          <w:tcPr>
            <w:tcW w:w="2235" w:type="dxa"/>
            <w:noWrap w:val="0"/>
            <w:vAlign w:val="center"/>
          </w:tcPr>
          <w:p>
            <w:pPr>
              <w:keepNext/>
              <w:keepLines/>
              <w:snapToGrid w:val="0"/>
              <w:jc w:val="center"/>
              <w:outlineLvl w:val="0"/>
              <w:rPr>
                <w:rFonts w:ascii="宋体" w:hAnsi="宋体"/>
                <w:color w:val="auto"/>
                <w:sz w:val="21"/>
                <w:szCs w:val="21"/>
                <w:highlight w:val="none"/>
              </w:rPr>
            </w:pPr>
          </w:p>
        </w:tc>
        <w:tc>
          <w:tcPr>
            <w:tcW w:w="2235" w:type="dxa"/>
            <w:noWrap w:val="0"/>
            <w:vAlign w:val="center"/>
          </w:tcPr>
          <w:p>
            <w:pPr>
              <w:keepNext/>
              <w:keepLines/>
              <w:snapToGrid w:val="0"/>
              <w:jc w:val="center"/>
              <w:outlineLvl w:val="0"/>
              <w:rPr>
                <w:rFonts w:ascii="宋体" w:hAnsi="宋体"/>
                <w:color w:val="auto"/>
                <w:sz w:val="21"/>
                <w:szCs w:val="21"/>
                <w:highlight w:val="none"/>
              </w:rPr>
            </w:pPr>
          </w:p>
        </w:tc>
        <w:tc>
          <w:tcPr>
            <w:tcW w:w="1122" w:type="dxa"/>
            <w:noWrap w:val="0"/>
            <w:vAlign w:val="center"/>
          </w:tcPr>
          <w:p>
            <w:pPr>
              <w:keepNext/>
              <w:keepLines/>
              <w:snapToGrid w:val="0"/>
              <w:jc w:val="center"/>
              <w:outlineLvl w:val="0"/>
              <w:rPr>
                <w:rFonts w:ascii="宋体" w:hAnsi="宋体"/>
                <w:color w:val="auto"/>
                <w:sz w:val="21"/>
                <w:szCs w:val="21"/>
                <w:highlight w:val="none"/>
              </w:rPr>
            </w:pPr>
          </w:p>
        </w:tc>
        <w:tc>
          <w:tcPr>
            <w:tcW w:w="1124" w:type="dxa"/>
            <w:noWrap w:val="0"/>
            <w:vAlign w:val="center"/>
          </w:tcPr>
          <w:p>
            <w:pPr>
              <w:keepNext/>
              <w:keepLines/>
              <w:snapToGrid w:val="0"/>
              <w:jc w:val="center"/>
              <w:outlineLvl w:val="0"/>
              <w:rPr>
                <w:rFonts w:ascii="宋体" w:hAnsi="宋体"/>
                <w:color w:val="auto"/>
                <w:sz w:val="21"/>
                <w:szCs w:val="21"/>
                <w:highlight w:val="none"/>
              </w:rPr>
            </w:pPr>
          </w:p>
        </w:tc>
        <w:tc>
          <w:tcPr>
            <w:tcW w:w="1310" w:type="dxa"/>
            <w:noWrap w:val="0"/>
            <w:vAlign w:val="center"/>
          </w:tcPr>
          <w:p>
            <w:pPr>
              <w:keepNext/>
              <w:keepLines/>
              <w:snapToGrid w:val="0"/>
              <w:jc w:val="center"/>
              <w:outlineLvl w:val="0"/>
              <w:rPr>
                <w:rFonts w:ascii="宋体" w:hAnsi="宋体"/>
                <w:color w:val="auto"/>
                <w:sz w:val="21"/>
                <w:szCs w:val="21"/>
                <w:highlight w:val="none"/>
              </w:rPr>
            </w:pPr>
          </w:p>
        </w:tc>
        <w:tc>
          <w:tcPr>
            <w:tcW w:w="1316" w:type="dxa"/>
            <w:noWrap w:val="0"/>
            <w:vAlign w:val="center"/>
          </w:tcPr>
          <w:p>
            <w:pPr>
              <w:keepNext/>
              <w:keepLines/>
              <w:snapToGrid w:val="0"/>
              <w:jc w:val="center"/>
              <w:outlineLvl w:val="0"/>
              <w:rPr>
                <w:rFonts w:ascii="宋体" w:hAnsi="宋体"/>
                <w:color w:val="auto"/>
                <w:sz w:val="21"/>
                <w:szCs w:val="21"/>
                <w:highlight w:val="none"/>
              </w:rPr>
            </w:pPr>
          </w:p>
        </w:tc>
        <w:tc>
          <w:tcPr>
            <w:tcW w:w="710" w:type="dxa"/>
            <w:noWrap w:val="0"/>
            <w:vAlign w:val="center"/>
          </w:tcPr>
          <w:p>
            <w:pPr>
              <w:keepNext/>
              <w:keepLines/>
              <w:snapToGrid w:val="0"/>
              <w:jc w:val="center"/>
              <w:outlineLvl w:val="0"/>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21" w:type="dxa"/>
            <w:noWrap w:val="0"/>
            <w:vAlign w:val="center"/>
          </w:tcPr>
          <w:p>
            <w:pPr>
              <w:pStyle w:val="53"/>
              <w:keepNext w:val="0"/>
              <w:keepLines w:val="0"/>
              <w:pageBreakBefore w:val="0"/>
              <w:widowControl/>
              <w:kinsoku/>
              <w:wordWrap/>
              <w:overflowPunct/>
              <w:topLinePunct w:val="0"/>
              <w:autoSpaceDE/>
              <w:autoSpaceDN/>
              <w:bidi w:val="0"/>
              <w:adjustRightInd/>
              <w:spacing w:line="240" w:lineRule="auto"/>
              <w:ind w:firstLine="0"/>
              <w:jc w:val="center"/>
              <w:textAlignment w:val="auto"/>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w:t>
            </w:r>
          </w:p>
        </w:tc>
        <w:tc>
          <w:tcPr>
            <w:tcW w:w="259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both"/>
              <w:textAlignment w:val="auto"/>
              <w:rPr>
                <w:rFonts w:ascii="宋体" w:hAnsi="宋体"/>
                <w:color w:val="auto"/>
                <w:sz w:val="21"/>
                <w:szCs w:val="21"/>
                <w:highlight w:val="none"/>
              </w:rPr>
            </w:pPr>
          </w:p>
        </w:tc>
        <w:tc>
          <w:tcPr>
            <w:tcW w:w="2235" w:type="dxa"/>
            <w:noWrap w:val="0"/>
            <w:vAlign w:val="center"/>
          </w:tcPr>
          <w:p>
            <w:pPr>
              <w:keepNext/>
              <w:keepLines/>
              <w:snapToGrid w:val="0"/>
              <w:jc w:val="center"/>
              <w:outlineLvl w:val="0"/>
              <w:rPr>
                <w:rFonts w:ascii="宋体" w:hAnsi="宋体"/>
                <w:color w:val="auto"/>
                <w:sz w:val="21"/>
                <w:szCs w:val="21"/>
                <w:highlight w:val="none"/>
              </w:rPr>
            </w:pPr>
          </w:p>
        </w:tc>
        <w:tc>
          <w:tcPr>
            <w:tcW w:w="2235" w:type="dxa"/>
            <w:noWrap w:val="0"/>
            <w:vAlign w:val="center"/>
          </w:tcPr>
          <w:p>
            <w:pPr>
              <w:keepNext/>
              <w:keepLines/>
              <w:snapToGrid w:val="0"/>
              <w:jc w:val="center"/>
              <w:outlineLvl w:val="0"/>
              <w:rPr>
                <w:rFonts w:ascii="宋体" w:hAnsi="宋体"/>
                <w:color w:val="auto"/>
                <w:sz w:val="21"/>
                <w:szCs w:val="21"/>
                <w:highlight w:val="none"/>
              </w:rPr>
            </w:pPr>
          </w:p>
        </w:tc>
        <w:tc>
          <w:tcPr>
            <w:tcW w:w="1122" w:type="dxa"/>
            <w:noWrap w:val="0"/>
            <w:vAlign w:val="center"/>
          </w:tcPr>
          <w:p>
            <w:pPr>
              <w:keepNext/>
              <w:keepLines/>
              <w:snapToGrid w:val="0"/>
              <w:jc w:val="center"/>
              <w:outlineLvl w:val="0"/>
              <w:rPr>
                <w:rFonts w:ascii="宋体" w:hAnsi="宋体"/>
                <w:color w:val="auto"/>
                <w:sz w:val="21"/>
                <w:szCs w:val="21"/>
                <w:highlight w:val="none"/>
              </w:rPr>
            </w:pPr>
          </w:p>
        </w:tc>
        <w:tc>
          <w:tcPr>
            <w:tcW w:w="1124" w:type="dxa"/>
            <w:noWrap w:val="0"/>
            <w:vAlign w:val="center"/>
          </w:tcPr>
          <w:p>
            <w:pPr>
              <w:keepNext/>
              <w:keepLines/>
              <w:snapToGrid w:val="0"/>
              <w:jc w:val="center"/>
              <w:outlineLvl w:val="0"/>
              <w:rPr>
                <w:rFonts w:ascii="宋体" w:hAnsi="宋体"/>
                <w:color w:val="auto"/>
                <w:sz w:val="21"/>
                <w:szCs w:val="21"/>
                <w:highlight w:val="none"/>
              </w:rPr>
            </w:pPr>
          </w:p>
        </w:tc>
        <w:tc>
          <w:tcPr>
            <w:tcW w:w="1310" w:type="dxa"/>
            <w:noWrap w:val="0"/>
            <w:vAlign w:val="center"/>
          </w:tcPr>
          <w:p>
            <w:pPr>
              <w:keepNext/>
              <w:keepLines/>
              <w:snapToGrid w:val="0"/>
              <w:jc w:val="center"/>
              <w:outlineLvl w:val="0"/>
              <w:rPr>
                <w:rFonts w:ascii="宋体" w:hAnsi="宋体"/>
                <w:color w:val="auto"/>
                <w:sz w:val="21"/>
                <w:szCs w:val="21"/>
                <w:highlight w:val="none"/>
              </w:rPr>
            </w:pPr>
          </w:p>
        </w:tc>
        <w:tc>
          <w:tcPr>
            <w:tcW w:w="1316" w:type="dxa"/>
            <w:noWrap w:val="0"/>
            <w:vAlign w:val="center"/>
          </w:tcPr>
          <w:p>
            <w:pPr>
              <w:keepNext/>
              <w:keepLines/>
              <w:snapToGrid w:val="0"/>
              <w:jc w:val="center"/>
              <w:outlineLvl w:val="0"/>
              <w:rPr>
                <w:rFonts w:ascii="宋体" w:hAnsi="宋体"/>
                <w:color w:val="auto"/>
                <w:sz w:val="21"/>
                <w:szCs w:val="21"/>
                <w:highlight w:val="none"/>
              </w:rPr>
            </w:pPr>
          </w:p>
        </w:tc>
        <w:tc>
          <w:tcPr>
            <w:tcW w:w="710" w:type="dxa"/>
            <w:noWrap w:val="0"/>
            <w:vAlign w:val="center"/>
          </w:tcPr>
          <w:p>
            <w:pPr>
              <w:keepNext/>
              <w:keepLines/>
              <w:snapToGrid w:val="0"/>
              <w:jc w:val="center"/>
              <w:outlineLvl w:val="0"/>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21" w:type="dxa"/>
            <w:noWrap w:val="0"/>
            <w:vAlign w:val="center"/>
          </w:tcPr>
          <w:p>
            <w:pPr>
              <w:pStyle w:val="53"/>
              <w:keepNext w:val="0"/>
              <w:keepLines w:val="0"/>
              <w:pageBreakBefore w:val="0"/>
              <w:widowControl/>
              <w:kinsoku/>
              <w:wordWrap/>
              <w:overflowPunct/>
              <w:topLinePunct w:val="0"/>
              <w:autoSpaceDE/>
              <w:autoSpaceDN/>
              <w:bidi w:val="0"/>
              <w:adjustRightInd/>
              <w:spacing w:line="240" w:lineRule="auto"/>
              <w:ind w:firstLine="0"/>
              <w:jc w:val="center"/>
              <w:textAlignment w:val="auto"/>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总价</w:t>
            </w:r>
          </w:p>
        </w:tc>
        <w:tc>
          <w:tcPr>
            <w:tcW w:w="259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center"/>
              <w:textAlignment w:val="auto"/>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w:t>
            </w:r>
          </w:p>
        </w:tc>
        <w:tc>
          <w:tcPr>
            <w:tcW w:w="2235" w:type="dxa"/>
            <w:noWrap w:val="0"/>
            <w:vAlign w:val="center"/>
          </w:tcPr>
          <w:p>
            <w:pPr>
              <w:keepNext/>
              <w:keepLines/>
              <w:snapToGrid w:val="0"/>
              <w:jc w:val="center"/>
              <w:outlineLvl w:val="0"/>
              <w:rPr>
                <w:rFonts w:hint="eastAsia" w:ascii="宋体" w:hAnsi="宋体" w:eastAsia="宋体"/>
                <w:color w:val="auto"/>
                <w:sz w:val="21"/>
                <w:szCs w:val="21"/>
                <w:highlight w:val="none"/>
                <w:lang w:val="en-US" w:eastAsia="zh-CN"/>
              </w:rPr>
            </w:pPr>
            <w:bookmarkStart w:id="158" w:name="_Toc6895"/>
            <w:r>
              <w:rPr>
                <w:rFonts w:hint="eastAsia" w:ascii="宋体" w:hAnsi="宋体"/>
                <w:color w:val="auto"/>
                <w:sz w:val="21"/>
                <w:szCs w:val="21"/>
                <w:highlight w:val="none"/>
                <w:lang w:val="en-US" w:eastAsia="zh-CN"/>
              </w:rPr>
              <w:t>-</w:t>
            </w:r>
            <w:bookmarkEnd w:id="158"/>
          </w:p>
        </w:tc>
        <w:tc>
          <w:tcPr>
            <w:tcW w:w="2235" w:type="dxa"/>
            <w:noWrap w:val="0"/>
            <w:vAlign w:val="center"/>
          </w:tcPr>
          <w:p>
            <w:pPr>
              <w:keepNext/>
              <w:keepLines/>
              <w:snapToGrid w:val="0"/>
              <w:jc w:val="center"/>
              <w:outlineLvl w:val="0"/>
              <w:rPr>
                <w:rFonts w:hint="eastAsia" w:ascii="宋体" w:hAnsi="宋体" w:eastAsia="宋体"/>
                <w:color w:val="auto"/>
                <w:sz w:val="21"/>
                <w:szCs w:val="21"/>
                <w:highlight w:val="none"/>
                <w:lang w:val="en-US" w:eastAsia="zh-CN"/>
              </w:rPr>
            </w:pPr>
            <w:bookmarkStart w:id="159" w:name="_Toc30477"/>
            <w:r>
              <w:rPr>
                <w:rFonts w:hint="eastAsia" w:ascii="宋体" w:hAnsi="宋体"/>
                <w:color w:val="auto"/>
                <w:sz w:val="21"/>
                <w:szCs w:val="21"/>
                <w:highlight w:val="none"/>
                <w:lang w:val="en-US" w:eastAsia="zh-CN"/>
              </w:rPr>
              <w:t>-</w:t>
            </w:r>
            <w:bookmarkEnd w:id="159"/>
          </w:p>
        </w:tc>
        <w:tc>
          <w:tcPr>
            <w:tcW w:w="1122" w:type="dxa"/>
            <w:noWrap w:val="0"/>
            <w:vAlign w:val="center"/>
          </w:tcPr>
          <w:p>
            <w:pPr>
              <w:keepNext/>
              <w:keepLines/>
              <w:snapToGrid w:val="0"/>
              <w:jc w:val="center"/>
              <w:outlineLvl w:val="0"/>
              <w:rPr>
                <w:rFonts w:hint="eastAsia" w:ascii="宋体" w:hAnsi="宋体" w:eastAsia="宋体"/>
                <w:color w:val="auto"/>
                <w:sz w:val="21"/>
                <w:szCs w:val="21"/>
                <w:highlight w:val="none"/>
                <w:lang w:val="en-US" w:eastAsia="zh-CN"/>
              </w:rPr>
            </w:pPr>
            <w:bookmarkStart w:id="160" w:name="_Toc12900"/>
            <w:r>
              <w:rPr>
                <w:rFonts w:hint="eastAsia" w:ascii="宋体" w:hAnsi="宋体"/>
                <w:color w:val="auto"/>
                <w:sz w:val="21"/>
                <w:szCs w:val="21"/>
                <w:highlight w:val="none"/>
                <w:lang w:val="en-US" w:eastAsia="zh-CN"/>
              </w:rPr>
              <w:t>-</w:t>
            </w:r>
            <w:bookmarkEnd w:id="160"/>
          </w:p>
        </w:tc>
        <w:tc>
          <w:tcPr>
            <w:tcW w:w="1124" w:type="dxa"/>
            <w:noWrap w:val="0"/>
            <w:vAlign w:val="center"/>
          </w:tcPr>
          <w:p>
            <w:pPr>
              <w:keepNext/>
              <w:keepLines/>
              <w:snapToGrid w:val="0"/>
              <w:jc w:val="center"/>
              <w:outlineLvl w:val="0"/>
              <w:rPr>
                <w:rFonts w:hint="default" w:ascii="宋体" w:hAnsi="宋体" w:eastAsia="宋体"/>
                <w:color w:val="auto"/>
                <w:sz w:val="21"/>
                <w:szCs w:val="21"/>
                <w:highlight w:val="none"/>
                <w:lang w:val="en-US" w:eastAsia="zh-CN"/>
              </w:rPr>
            </w:pPr>
            <w:bookmarkStart w:id="161" w:name="_Toc31547"/>
            <w:r>
              <w:rPr>
                <w:rFonts w:hint="eastAsia" w:ascii="宋体" w:hAnsi="宋体"/>
                <w:color w:val="auto"/>
                <w:sz w:val="21"/>
                <w:szCs w:val="21"/>
                <w:highlight w:val="none"/>
                <w:lang w:val="en-US" w:eastAsia="zh-CN"/>
              </w:rPr>
              <w:t>-</w:t>
            </w:r>
            <w:bookmarkEnd w:id="161"/>
          </w:p>
        </w:tc>
        <w:tc>
          <w:tcPr>
            <w:tcW w:w="1310" w:type="dxa"/>
            <w:noWrap w:val="0"/>
            <w:vAlign w:val="center"/>
          </w:tcPr>
          <w:p>
            <w:pPr>
              <w:keepNext/>
              <w:keepLines/>
              <w:snapToGrid w:val="0"/>
              <w:jc w:val="center"/>
              <w:outlineLvl w:val="0"/>
              <w:rPr>
                <w:rFonts w:hint="default" w:ascii="宋体" w:hAnsi="宋体" w:eastAsia="宋体"/>
                <w:color w:val="auto"/>
                <w:sz w:val="21"/>
                <w:szCs w:val="21"/>
                <w:highlight w:val="none"/>
                <w:lang w:val="en-US" w:eastAsia="zh-CN"/>
              </w:rPr>
            </w:pPr>
            <w:bookmarkStart w:id="162" w:name="_Toc12885"/>
            <w:r>
              <w:rPr>
                <w:rFonts w:hint="eastAsia" w:ascii="宋体" w:hAnsi="宋体"/>
                <w:color w:val="auto"/>
                <w:sz w:val="21"/>
                <w:szCs w:val="21"/>
                <w:highlight w:val="none"/>
                <w:lang w:val="en-US" w:eastAsia="zh-CN"/>
              </w:rPr>
              <w:t>-</w:t>
            </w:r>
            <w:bookmarkEnd w:id="162"/>
          </w:p>
        </w:tc>
        <w:tc>
          <w:tcPr>
            <w:tcW w:w="1316" w:type="dxa"/>
            <w:noWrap w:val="0"/>
            <w:vAlign w:val="center"/>
          </w:tcPr>
          <w:p>
            <w:pPr>
              <w:keepNext/>
              <w:keepLines/>
              <w:snapToGrid w:val="0"/>
              <w:jc w:val="center"/>
              <w:outlineLvl w:val="0"/>
              <w:rPr>
                <w:rFonts w:ascii="宋体" w:hAnsi="宋体"/>
                <w:color w:val="auto"/>
                <w:sz w:val="21"/>
                <w:szCs w:val="21"/>
                <w:highlight w:val="none"/>
              </w:rPr>
            </w:pPr>
          </w:p>
        </w:tc>
        <w:tc>
          <w:tcPr>
            <w:tcW w:w="710" w:type="dxa"/>
            <w:noWrap w:val="0"/>
            <w:vAlign w:val="center"/>
          </w:tcPr>
          <w:p>
            <w:pPr>
              <w:keepNext/>
              <w:keepLines/>
              <w:snapToGrid w:val="0"/>
              <w:jc w:val="center"/>
              <w:outlineLvl w:val="0"/>
              <w:rPr>
                <w:rFonts w:ascii="宋体" w:hAnsi="宋体"/>
                <w:color w:val="auto"/>
                <w:sz w:val="21"/>
                <w:szCs w:val="21"/>
                <w:highlight w:val="none"/>
              </w:rPr>
            </w:pPr>
          </w:p>
        </w:tc>
      </w:tr>
    </w:tbl>
    <w:p>
      <w:pPr>
        <w:spacing w:line="360" w:lineRule="auto"/>
        <w:rPr>
          <w:rFonts w:hint="eastAsia" w:ascii="宋体" w:hAnsi="宋体"/>
          <w:color w:val="auto"/>
          <w:sz w:val="21"/>
          <w:szCs w:val="21"/>
          <w:highlight w:val="none"/>
        </w:rPr>
      </w:pPr>
      <w:r>
        <w:rPr>
          <w:rFonts w:hint="eastAsia" w:ascii="宋体" w:hAnsi="宋体"/>
          <w:color w:val="auto"/>
          <w:sz w:val="21"/>
          <w:szCs w:val="21"/>
          <w:highlight w:val="none"/>
        </w:rPr>
        <w:t>注：</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1.投标人必须按“分项报价明细表”的格式详细报出投标产品总价的各个组成部分的报价</w:t>
      </w:r>
      <w:r>
        <w:rPr>
          <w:rFonts w:hint="eastAsia" w:ascii="宋体" w:hAnsi="宋体"/>
          <w:color w:val="auto"/>
          <w:sz w:val="21"/>
          <w:szCs w:val="21"/>
          <w:highlight w:val="none"/>
          <w:lang w:eastAsia="zh-CN"/>
        </w:rPr>
        <w:t>，</w:t>
      </w:r>
      <w:r>
        <w:rPr>
          <w:rFonts w:hint="eastAsia" w:ascii="宋体" w:hAnsi="宋体"/>
          <w:color w:val="auto"/>
          <w:sz w:val="21"/>
          <w:szCs w:val="21"/>
          <w:highlight w:val="none"/>
          <w:lang w:val="en-US" w:eastAsia="zh-CN"/>
        </w:rPr>
        <w:t>保留小数点后2位</w:t>
      </w:r>
      <w:r>
        <w:rPr>
          <w:rFonts w:hint="eastAsia" w:ascii="宋体" w:hAnsi="宋体"/>
          <w:color w:val="auto"/>
          <w:sz w:val="21"/>
          <w:szCs w:val="21"/>
          <w:highlight w:val="none"/>
        </w:rPr>
        <w:t>；</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w:t>
      </w:r>
      <w:r>
        <w:rPr>
          <w:rFonts w:hint="eastAsia" w:ascii="宋体" w:hAnsi="宋体"/>
          <w:color w:val="auto"/>
          <w:sz w:val="21"/>
          <w:szCs w:val="21"/>
          <w:highlight w:val="none"/>
          <w:lang w:val="en-US" w:eastAsia="zh-CN"/>
        </w:rPr>
        <w:t>投标</w:t>
      </w:r>
      <w:r>
        <w:rPr>
          <w:rFonts w:hint="eastAsia" w:ascii="宋体" w:hAnsi="宋体"/>
          <w:color w:val="auto"/>
          <w:sz w:val="21"/>
          <w:szCs w:val="21"/>
          <w:highlight w:val="none"/>
        </w:rPr>
        <w:t>分项报价表”各分项报价合计应当与“</w:t>
      </w:r>
      <w:r>
        <w:rPr>
          <w:rFonts w:hint="eastAsia" w:ascii="宋体" w:hAnsi="宋体"/>
          <w:color w:val="auto"/>
          <w:sz w:val="21"/>
          <w:szCs w:val="21"/>
          <w:highlight w:val="none"/>
          <w:lang w:val="en-US" w:eastAsia="zh-CN"/>
        </w:rPr>
        <w:t>开标</w:t>
      </w:r>
      <w:r>
        <w:rPr>
          <w:rFonts w:hint="eastAsia" w:ascii="宋体" w:hAnsi="宋体"/>
          <w:color w:val="auto"/>
          <w:sz w:val="21"/>
          <w:szCs w:val="21"/>
          <w:highlight w:val="none"/>
        </w:rPr>
        <w:t>一览表”</w:t>
      </w:r>
      <w:r>
        <w:rPr>
          <w:rFonts w:hint="eastAsia" w:ascii="宋体" w:hAnsi="宋体"/>
          <w:color w:val="auto"/>
          <w:sz w:val="21"/>
          <w:szCs w:val="21"/>
          <w:highlight w:val="none"/>
          <w:lang w:val="en-US" w:eastAsia="zh-CN"/>
        </w:rPr>
        <w:t>的总价相一致</w:t>
      </w:r>
      <w:r>
        <w:rPr>
          <w:rFonts w:hint="eastAsia" w:ascii="宋体" w:hAnsi="宋体"/>
          <w:color w:val="auto"/>
          <w:sz w:val="21"/>
          <w:szCs w:val="21"/>
          <w:highlight w:val="none"/>
        </w:rPr>
        <w:t>。</w:t>
      </w:r>
    </w:p>
    <w:p>
      <w:pPr>
        <w:pStyle w:val="2"/>
        <w:rPr>
          <w:rFonts w:hint="default" w:eastAsia="宋体"/>
          <w:color w:val="auto"/>
          <w:highlight w:val="none"/>
          <w:lang w:val="en-US" w:eastAsia="zh-CN"/>
        </w:rPr>
      </w:pPr>
      <w:r>
        <w:rPr>
          <w:rFonts w:hint="eastAsia" w:ascii="宋体" w:hAnsi="宋体"/>
          <w:color w:val="auto"/>
          <w:sz w:val="21"/>
          <w:szCs w:val="21"/>
          <w:highlight w:val="none"/>
          <w:lang w:val="en-US" w:eastAsia="zh-CN"/>
        </w:rPr>
        <w:t xml:space="preserve">    3.此表格不够可自行增减。</w:t>
      </w:r>
    </w:p>
    <w:p>
      <w:pPr>
        <w:widowControl/>
        <w:spacing w:line="256" w:lineRule="auto"/>
        <w:jc w:val="right"/>
        <w:rPr>
          <w:rFonts w:hint="eastAsia" w:ascii="宋体" w:hAnsi="宋体" w:cs="微软雅黑"/>
          <w:color w:val="auto"/>
          <w:sz w:val="21"/>
          <w:szCs w:val="21"/>
          <w:highlight w:val="none"/>
        </w:rPr>
      </w:pPr>
    </w:p>
    <w:p>
      <w:pPr>
        <w:keepNext w:val="0"/>
        <w:keepLines w:val="0"/>
        <w:pageBreakBefore w:val="0"/>
        <w:widowControl w:val="0"/>
        <w:kinsoku/>
        <w:wordWrap/>
        <w:overflowPunct/>
        <w:topLinePunct w:val="0"/>
        <w:bidi w:val="0"/>
        <w:snapToGrid/>
        <w:spacing w:line="480" w:lineRule="auto"/>
        <w:jc w:val="right"/>
        <w:textAlignment w:val="auto"/>
        <w:rPr>
          <w:rFonts w:ascii="宋体" w:hAnsi="宋体" w:cs="宋体"/>
          <w:color w:val="auto"/>
          <w:kern w:val="0"/>
          <w:szCs w:val="21"/>
          <w:highlight w:val="none"/>
        </w:rPr>
      </w:pPr>
      <w:r>
        <w:rPr>
          <w:rFonts w:hint="eastAsia" w:ascii="宋体" w:hAnsi="宋体" w:cs="宋体"/>
          <w:color w:val="auto"/>
          <w:kern w:val="0"/>
          <w:szCs w:val="21"/>
          <w:highlight w:val="none"/>
        </w:rPr>
        <w:t>投标人：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（盖单位章）</w:t>
      </w:r>
    </w:p>
    <w:p>
      <w:pPr>
        <w:keepNext w:val="0"/>
        <w:keepLines w:val="0"/>
        <w:pageBreakBefore w:val="0"/>
        <w:widowControl w:val="0"/>
        <w:kinsoku/>
        <w:wordWrap/>
        <w:overflowPunct/>
        <w:topLinePunct w:val="0"/>
        <w:autoSpaceDE w:val="0"/>
        <w:autoSpaceDN w:val="0"/>
        <w:bidi w:val="0"/>
        <w:adjustRightInd w:val="0"/>
        <w:snapToGrid/>
        <w:spacing w:line="480" w:lineRule="auto"/>
        <w:jc w:val="right"/>
        <w:textAlignment w:val="auto"/>
        <w:rPr>
          <w:rFonts w:ascii="宋体" w:hAnsi="宋体" w:cs="宋体"/>
          <w:color w:val="auto"/>
          <w:kern w:val="0"/>
          <w:szCs w:val="21"/>
          <w:highlight w:val="none"/>
        </w:rPr>
      </w:pPr>
      <w:r>
        <w:rPr>
          <w:rFonts w:hint="eastAsia" w:ascii="宋体" w:hAnsi="宋体" w:cs="宋体"/>
          <w:color w:val="auto"/>
          <w:kern w:val="0"/>
          <w:szCs w:val="21"/>
          <w:highlight w:val="none"/>
          <w:lang w:eastAsia="zh-CN"/>
        </w:rPr>
        <w:t>法定代表人（负责人）</w:t>
      </w:r>
      <w:r>
        <w:rPr>
          <w:rFonts w:hint="eastAsia" w:ascii="宋体" w:hAnsi="宋体" w:cs="宋体"/>
          <w:color w:val="auto"/>
          <w:kern w:val="0"/>
          <w:szCs w:val="21"/>
          <w:highlight w:val="none"/>
        </w:rPr>
        <w:t>或其委托代理人：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（签字或盖章）</w:t>
      </w:r>
    </w:p>
    <w:p>
      <w:pPr>
        <w:pStyle w:val="8"/>
        <w:keepNext w:val="0"/>
        <w:keepLines w:val="0"/>
        <w:pageBreakBefore w:val="0"/>
        <w:widowControl w:val="0"/>
        <w:kinsoku/>
        <w:wordWrap/>
        <w:overflowPunct/>
        <w:topLinePunct w:val="0"/>
        <w:bidi w:val="0"/>
        <w:snapToGrid/>
        <w:spacing w:line="480" w:lineRule="auto"/>
        <w:ind w:left="0" w:leftChars="0" w:firstLine="0" w:firstLineChars="0"/>
        <w:jc w:val="right"/>
        <w:textAlignment w:val="auto"/>
        <w:rPr>
          <w:rFonts w:hint="eastAsia" w:ascii="宋体" w:hAnsi="宋体" w:cs="宋体"/>
          <w:color w:val="auto"/>
          <w:szCs w:val="21"/>
          <w:highlight w:val="none"/>
        </w:rPr>
        <w:sectPr>
          <w:headerReference r:id="rId7" w:type="first"/>
          <w:footerReference r:id="rId10" w:type="first"/>
          <w:headerReference r:id="rId5" w:type="default"/>
          <w:footerReference r:id="rId8" w:type="default"/>
          <w:headerReference r:id="rId6" w:type="even"/>
          <w:footerReference r:id="rId9" w:type="even"/>
          <w:pgSz w:w="16841" w:h="11906" w:orient="landscape"/>
          <w:pgMar w:top="1581" w:right="1414" w:bottom="1015" w:left="1702" w:header="720" w:footer="720" w:gutter="0"/>
          <w:pgNumType w:fmt="decimal"/>
          <w:cols w:space="720" w:num="1"/>
          <w:docGrid w:linePitch="286" w:charSpace="0"/>
        </w:sect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bookmarkEnd w:id="154"/>
    <w:bookmarkEnd w:id="155"/>
    <w:bookmarkEnd w:id="156"/>
    <w:p>
      <w:pPr>
        <w:pStyle w:val="4"/>
        <w:bidi w:val="0"/>
        <w:rPr>
          <w:rFonts w:hint="default" w:ascii="宋体" w:hAnsi="宋体" w:eastAsia="宋体" w:cs="Times New Roman"/>
          <w:color w:val="auto"/>
          <w:sz w:val="28"/>
          <w:szCs w:val="22"/>
          <w:highlight w:val="none"/>
          <w:lang w:val="en-US" w:eastAsia="zh-CN"/>
        </w:rPr>
      </w:pPr>
      <w:r>
        <w:rPr>
          <w:rFonts w:hint="eastAsia" w:ascii="宋体" w:hAnsi="宋体" w:eastAsia="宋体" w:cs="Times New Roman"/>
          <w:color w:val="auto"/>
          <w:sz w:val="28"/>
          <w:szCs w:val="22"/>
          <w:highlight w:val="none"/>
          <w:lang w:val="en-US" w:eastAsia="zh-CN"/>
        </w:rPr>
        <w:t>2.2投标</w:t>
      </w:r>
      <w:r>
        <w:rPr>
          <w:rFonts w:hint="eastAsia" w:cs="Times New Roman"/>
          <w:color w:val="auto"/>
          <w:sz w:val="28"/>
          <w:szCs w:val="22"/>
          <w:highlight w:val="none"/>
          <w:lang w:val="en-US" w:eastAsia="zh-CN"/>
        </w:rPr>
        <w:t>产品</w:t>
      </w:r>
      <w:r>
        <w:rPr>
          <w:rFonts w:hint="eastAsia" w:ascii="宋体" w:hAnsi="宋体" w:eastAsia="宋体" w:cs="Times New Roman"/>
          <w:color w:val="auto"/>
          <w:sz w:val="28"/>
          <w:szCs w:val="22"/>
          <w:highlight w:val="none"/>
          <w:lang w:val="en-US" w:eastAsia="zh-CN"/>
        </w:rPr>
        <w:t>配置清单</w:t>
      </w:r>
    </w:p>
    <w:p>
      <w:pPr>
        <w:spacing w:line="480" w:lineRule="auto"/>
        <w:rPr>
          <w:rFonts w:hint="eastAsia" w:ascii="宋体" w:hAnsi="宋体"/>
          <w:b/>
          <w:color w:val="auto"/>
          <w:sz w:val="32"/>
          <w:szCs w:val="32"/>
          <w:highlight w:val="none"/>
        </w:rPr>
      </w:pPr>
    </w:p>
    <w:p>
      <w:pPr>
        <w:spacing w:line="480" w:lineRule="auto"/>
        <w:rPr>
          <w:rFonts w:hint="eastAsia" w:ascii="宋体" w:hAnsi="宋体"/>
          <w:b/>
          <w:color w:val="auto"/>
          <w:sz w:val="32"/>
          <w:szCs w:val="32"/>
          <w:highlight w:val="none"/>
        </w:rPr>
      </w:pPr>
    </w:p>
    <w:p>
      <w:pPr>
        <w:spacing w:line="480" w:lineRule="auto"/>
        <w:rPr>
          <w:rFonts w:hint="eastAsia" w:ascii="宋体" w:hAnsi="宋体"/>
          <w:b/>
          <w:color w:val="auto"/>
          <w:sz w:val="32"/>
          <w:szCs w:val="32"/>
          <w:highlight w:val="none"/>
        </w:rPr>
      </w:pPr>
    </w:p>
    <w:p>
      <w:pPr>
        <w:spacing w:line="480" w:lineRule="auto"/>
        <w:rPr>
          <w:rFonts w:hint="eastAsia" w:ascii="宋体" w:hAnsi="宋体"/>
          <w:b/>
          <w:color w:val="auto"/>
          <w:sz w:val="32"/>
          <w:szCs w:val="32"/>
          <w:highlight w:val="none"/>
        </w:rPr>
      </w:pPr>
    </w:p>
    <w:p>
      <w:pPr>
        <w:spacing w:line="480" w:lineRule="auto"/>
        <w:rPr>
          <w:rFonts w:hint="eastAsia" w:ascii="宋体" w:hAnsi="宋体"/>
          <w:b/>
          <w:color w:val="auto"/>
          <w:sz w:val="32"/>
          <w:szCs w:val="32"/>
          <w:highlight w:val="none"/>
        </w:rPr>
      </w:pPr>
    </w:p>
    <w:p>
      <w:pPr>
        <w:spacing w:line="480" w:lineRule="auto"/>
        <w:rPr>
          <w:rFonts w:hint="eastAsia" w:ascii="宋体" w:hAnsi="宋体"/>
          <w:b/>
          <w:color w:val="auto"/>
          <w:sz w:val="32"/>
          <w:szCs w:val="32"/>
          <w:highlight w:val="none"/>
        </w:rPr>
      </w:pPr>
    </w:p>
    <w:p>
      <w:pPr>
        <w:spacing w:line="480" w:lineRule="auto"/>
        <w:rPr>
          <w:rFonts w:hint="eastAsia" w:ascii="宋体" w:hAnsi="宋体"/>
          <w:b/>
          <w:color w:val="auto"/>
          <w:sz w:val="32"/>
          <w:szCs w:val="32"/>
          <w:highlight w:val="none"/>
        </w:rPr>
      </w:pPr>
    </w:p>
    <w:p>
      <w:pPr>
        <w:spacing w:line="480" w:lineRule="auto"/>
        <w:rPr>
          <w:rFonts w:hint="eastAsia" w:ascii="宋体" w:hAnsi="宋体"/>
          <w:b/>
          <w:color w:val="auto"/>
          <w:sz w:val="32"/>
          <w:szCs w:val="32"/>
          <w:highlight w:val="none"/>
        </w:rPr>
      </w:pPr>
    </w:p>
    <w:p>
      <w:pPr>
        <w:spacing w:line="480" w:lineRule="auto"/>
        <w:rPr>
          <w:rFonts w:hint="eastAsia" w:ascii="宋体" w:hAnsi="宋体"/>
          <w:b/>
          <w:color w:val="auto"/>
          <w:sz w:val="32"/>
          <w:szCs w:val="32"/>
          <w:highlight w:val="none"/>
        </w:rPr>
      </w:pPr>
    </w:p>
    <w:p>
      <w:pPr>
        <w:spacing w:line="480" w:lineRule="auto"/>
        <w:rPr>
          <w:rFonts w:hint="eastAsia" w:ascii="宋体" w:hAnsi="宋体"/>
          <w:b/>
          <w:color w:val="auto"/>
          <w:sz w:val="32"/>
          <w:szCs w:val="32"/>
          <w:highlight w:val="none"/>
        </w:rPr>
      </w:pPr>
    </w:p>
    <w:p>
      <w:pPr>
        <w:spacing w:line="480" w:lineRule="auto"/>
        <w:rPr>
          <w:rFonts w:hint="eastAsia" w:ascii="宋体" w:hAnsi="宋体"/>
          <w:b/>
          <w:color w:val="auto"/>
          <w:sz w:val="32"/>
          <w:szCs w:val="32"/>
          <w:highlight w:val="none"/>
        </w:rPr>
      </w:pPr>
    </w:p>
    <w:p>
      <w:pPr>
        <w:spacing w:line="480" w:lineRule="auto"/>
        <w:rPr>
          <w:rFonts w:hint="eastAsia" w:ascii="宋体" w:hAnsi="宋体"/>
          <w:b/>
          <w:color w:val="auto"/>
          <w:sz w:val="32"/>
          <w:szCs w:val="32"/>
          <w:highlight w:val="none"/>
        </w:rPr>
      </w:pPr>
    </w:p>
    <w:p>
      <w:pPr>
        <w:spacing w:line="480" w:lineRule="auto"/>
        <w:rPr>
          <w:rFonts w:hint="eastAsia" w:ascii="宋体" w:hAnsi="宋体"/>
          <w:b/>
          <w:color w:val="auto"/>
          <w:sz w:val="32"/>
          <w:szCs w:val="32"/>
          <w:highlight w:val="none"/>
        </w:rPr>
      </w:pPr>
    </w:p>
    <w:p>
      <w:pPr>
        <w:spacing w:line="480" w:lineRule="auto"/>
        <w:rPr>
          <w:rFonts w:hint="eastAsia" w:ascii="宋体" w:hAnsi="宋体"/>
          <w:b/>
          <w:color w:val="auto"/>
          <w:sz w:val="32"/>
          <w:szCs w:val="32"/>
          <w:highlight w:val="none"/>
        </w:rPr>
      </w:pPr>
    </w:p>
    <w:p>
      <w:pPr>
        <w:spacing w:line="480" w:lineRule="auto"/>
        <w:rPr>
          <w:rFonts w:hint="eastAsia" w:ascii="宋体" w:hAnsi="宋体"/>
          <w:b/>
          <w:color w:val="auto"/>
          <w:sz w:val="32"/>
          <w:szCs w:val="32"/>
          <w:highlight w:val="none"/>
        </w:rPr>
      </w:pPr>
    </w:p>
    <w:p>
      <w:pPr>
        <w:spacing w:line="480" w:lineRule="auto"/>
        <w:rPr>
          <w:rFonts w:hint="eastAsia" w:ascii="宋体" w:hAnsi="宋体"/>
          <w:b/>
          <w:color w:val="auto"/>
          <w:sz w:val="32"/>
          <w:szCs w:val="32"/>
          <w:highlight w:val="none"/>
        </w:rPr>
      </w:pPr>
    </w:p>
    <w:p>
      <w:pPr>
        <w:spacing w:line="480" w:lineRule="auto"/>
        <w:rPr>
          <w:rFonts w:hint="eastAsia" w:ascii="宋体" w:hAnsi="宋体"/>
          <w:b/>
          <w:color w:val="auto"/>
          <w:sz w:val="32"/>
          <w:szCs w:val="32"/>
          <w:highlight w:val="none"/>
        </w:rPr>
      </w:pPr>
    </w:p>
    <w:p>
      <w:pPr>
        <w:spacing w:line="480" w:lineRule="auto"/>
        <w:rPr>
          <w:rFonts w:hint="eastAsia" w:ascii="宋体" w:hAnsi="宋体"/>
          <w:b/>
          <w:color w:val="auto"/>
          <w:sz w:val="32"/>
          <w:szCs w:val="32"/>
          <w:highlight w:val="none"/>
        </w:rPr>
      </w:pPr>
    </w:p>
    <w:p>
      <w:pPr>
        <w:spacing w:line="480" w:lineRule="auto"/>
        <w:rPr>
          <w:rFonts w:hint="eastAsia" w:ascii="宋体" w:hAnsi="宋体"/>
          <w:b/>
          <w:color w:val="auto"/>
          <w:sz w:val="32"/>
          <w:szCs w:val="32"/>
          <w:highlight w:val="none"/>
        </w:rPr>
      </w:pPr>
    </w:p>
    <w:p>
      <w:pPr>
        <w:spacing w:line="480" w:lineRule="auto"/>
        <w:rPr>
          <w:rFonts w:hint="eastAsia" w:ascii="宋体" w:hAnsi="宋体"/>
          <w:b/>
          <w:color w:val="auto"/>
          <w:sz w:val="32"/>
          <w:szCs w:val="32"/>
          <w:highlight w:val="none"/>
        </w:rPr>
      </w:pPr>
    </w:p>
    <w:p>
      <w:pPr>
        <w:spacing w:line="480" w:lineRule="auto"/>
        <w:rPr>
          <w:rFonts w:hint="eastAsia" w:ascii="宋体" w:hAnsi="宋体"/>
          <w:b/>
          <w:color w:val="auto"/>
          <w:sz w:val="32"/>
          <w:szCs w:val="32"/>
          <w:highlight w:val="none"/>
        </w:rPr>
      </w:pPr>
    </w:p>
    <w:p>
      <w:pPr>
        <w:pStyle w:val="4"/>
        <w:bidi w:val="0"/>
        <w:rPr>
          <w:rFonts w:hint="eastAsia" w:ascii="宋体" w:hAnsi="宋体" w:eastAsia="宋体" w:cs="Times New Roman"/>
          <w:color w:val="auto"/>
          <w:sz w:val="32"/>
          <w:szCs w:val="32"/>
          <w:highlight w:val="none"/>
        </w:rPr>
      </w:pPr>
      <w:bookmarkStart w:id="163" w:name="_Toc17344"/>
      <w:bookmarkStart w:id="164" w:name="_Toc13293"/>
      <w:bookmarkStart w:id="165" w:name="_Toc23028"/>
      <w:bookmarkStart w:id="166" w:name="_Toc21788"/>
      <w:r>
        <w:rPr>
          <w:rFonts w:hint="eastAsia" w:ascii="宋体" w:hAnsi="宋体" w:eastAsia="宋体" w:cs="Times New Roman"/>
          <w:color w:val="auto"/>
          <w:sz w:val="32"/>
          <w:szCs w:val="32"/>
          <w:highlight w:val="none"/>
        </w:rPr>
        <w:t>三、投标人资格</w:t>
      </w:r>
      <w:bookmarkEnd w:id="163"/>
      <w:bookmarkEnd w:id="164"/>
      <w:bookmarkEnd w:id="165"/>
      <w:bookmarkEnd w:id="166"/>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firstLine="420" w:firstLineChars="200"/>
        <w:textAlignment w:val="auto"/>
        <w:rPr>
          <w:rFonts w:hint="eastAsia"/>
          <w:color w:val="auto"/>
          <w:sz w:val="21"/>
          <w:szCs w:val="21"/>
          <w:highlight w:val="none"/>
        </w:rPr>
      </w:pPr>
      <w:r>
        <w:rPr>
          <w:rFonts w:hint="eastAsia"/>
          <w:color w:val="auto"/>
          <w:sz w:val="21"/>
          <w:szCs w:val="21"/>
          <w:highlight w:val="none"/>
        </w:rPr>
        <w:t>1、参加政府采购活动的投标人应当具备政府采购法第二十二条第一款规定“具有独立承担民事责任的能力”的条件，并提供下列材料（加盖公章），未按要求提供或者提供的资料不全或未盖公章，视为未实质性响应招标文件要求，按相应无效处理：</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firstLine="420" w:firstLineChars="200"/>
        <w:textAlignment w:val="auto"/>
        <w:rPr>
          <w:rFonts w:hint="eastAsia"/>
          <w:color w:val="auto"/>
          <w:sz w:val="21"/>
          <w:szCs w:val="21"/>
          <w:highlight w:val="none"/>
        </w:rPr>
      </w:pPr>
      <w:r>
        <w:rPr>
          <w:rFonts w:hint="eastAsia"/>
          <w:color w:val="auto"/>
          <w:sz w:val="21"/>
          <w:szCs w:val="21"/>
          <w:highlight w:val="none"/>
        </w:rPr>
        <w:t>1）法人或者其他组织的营业执照等复印件加盖投标人公章，</w:t>
      </w:r>
      <w:r>
        <w:rPr>
          <w:rFonts w:hint="eastAsia"/>
          <w:color w:val="auto"/>
          <w:sz w:val="21"/>
          <w:szCs w:val="21"/>
          <w:highlight w:val="none"/>
          <w:lang w:eastAsia="zh-CN"/>
        </w:rPr>
        <w:t>自然人提供本人身份证</w:t>
      </w:r>
      <w:r>
        <w:rPr>
          <w:rFonts w:hint="eastAsia"/>
          <w:color w:val="auto"/>
          <w:sz w:val="21"/>
          <w:szCs w:val="21"/>
          <w:highlight w:val="none"/>
        </w:rPr>
        <w:t>；</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firstLine="420" w:firstLineChars="200"/>
        <w:textAlignment w:val="auto"/>
        <w:rPr>
          <w:rFonts w:hint="eastAsia"/>
          <w:color w:val="auto"/>
          <w:sz w:val="21"/>
          <w:szCs w:val="21"/>
          <w:highlight w:val="none"/>
        </w:rPr>
      </w:pPr>
      <w:r>
        <w:rPr>
          <w:rFonts w:hint="eastAsia"/>
          <w:color w:val="auto"/>
          <w:sz w:val="21"/>
          <w:szCs w:val="21"/>
          <w:highlight w:val="none"/>
        </w:rPr>
        <w:t>2）</w:t>
      </w:r>
      <w:r>
        <w:rPr>
          <w:rFonts w:hint="eastAsia"/>
          <w:color w:val="auto"/>
          <w:sz w:val="21"/>
          <w:szCs w:val="21"/>
          <w:highlight w:val="none"/>
          <w:lang w:eastAsia="zh-CN"/>
        </w:rPr>
        <w:t>提供法定代表人授权委托书</w:t>
      </w:r>
      <w:r>
        <w:rPr>
          <w:rFonts w:hint="eastAsia"/>
          <w:color w:val="auto"/>
          <w:sz w:val="21"/>
          <w:szCs w:val="21"/>
          <w:highlight w:val="none"/>
        </w:rPr>
        <w:t>并附</w:t>
      </w:r>
      <w:r>
        <w:rPr>
          <w:rFonts w:hint="eastAsia"/>
          <w:color w:val="auto"/>
          <w:sz w:val="21"/>
          <w:szCs w:val="21"/>
          <w:highlight w:val="none"/>
          <w:lang w:val="en-US" w:eastAsia="zh-CN"/>
        </w:rPr>
        <w:t>法定代表人</w:t>
      </w:r>
      <w:r>
        <w:rPr>
          <w:rFonts w:hint="eastAsia"/>
          <w:color w:val="auto"/>
          <w:sz w:val="21"/>
          <w:szCs w:val="21"/>
          <w:highlight w:val="none"/>
        </w:rPr>
        <w:t>及授权人代表身份证复印件并依照规定格式签署和盖章，法定代表人参加投标的提供身份证复印件；</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firstLine="420" w:firstLineChars="200"/>
        <w:textAlignment w:val="auto"/>
        <w:rPr>
          <w:rFonts w:hint="eastAsia" w:eastAsia="宋体"/>
          <w:color w:val="auto"/>
          <w:sz w:val="21"/>
          <w:szCs w:val="21"/>
          <w:highlight w:val="none"/>
          <w:lang w:eastAsia="zh-CN"/>
        </w:rPr>
      </w:pPr>
      <w:r>
        <w:rPr>
          <w:rFonts w:hint="eastAsia"/>
          <w:color w:val="auto"/>
          <w:sz w:val="21"/>
          <w:szCs w:val="21"/>
          <w:highlight w:val="none"/>
        </w:rPr>
        <w:t>3）</w:t>
      </w:r>
      <w:r>
        <w:rPr>
          <w:rFonts w:hint="eastAsia"/>
          <w:color w:val="auto"/>
          <w:sz w:val="21"/>
          <w:szCs w:val="21"/>
          <w:highlight w:val="none"/>
          <w:lang w:eastAsia="zh-CN"/>
        </w:rPr>
        <w:t>提供2022年度经审计的财务报告，或投标截止时间前6个月内任意时段的资产负债表，或投标截止时间前6个月内任意时间由基本开户银行出具的资信证明，或财政部门认可的政府采购专业担保机构出具的投标担保函。（以上四种形式的资料提供任何一种即可）</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firstLine="420" w:firstLineChars="200"/>
        <w:textAlignment w:val="auto"/>
        <w:rPr>
          <w:rFonts w:hint="eastAsia"/>
          <w:color w:val="auto"/>
          <w:sz w:val="21"/>
          <w:szCs w:val="21"/>
          <w:highlight w:val="none"/>
        </w:rPr>
      </w:pPr>
      <w:r>
        <w:rPr>
          <w:rFonts w:hint="eastAsia"/>
          <w:color w:val="auto"/>
          <w:sz w:val="21"/>
          <w:szCs w:val="21"/>
          <w:highlight w:val="none"/>
        </w:rPr>
        <w:t>4）</w:t>
      </w:r>
      <w:r>
        <w:rPr>
          <w:rFonts w:hint="eastAsia"/>
          <w:color w:val="auto"/>
          <w:sz w:val="21"/>
          <w:szCs w:val="21"/>
          <w:highlight w:val="none"/>
          <w:lang w:eastAsia="zh-CN"/>
        </w:rPr>
        <w:t>提供自投标截止时间前6个月内已缴纳任意时段完税凭证或税务机关开具的完税证明（任意税种）；依法免税的应提供相关文件证明</w:t>
      </w:r>
      <w:r>
        <w:rPr>
          <w:rFonts w:hint="eastAsia"/>
          <w:color w:val="auto"/>
          <w:sz w:val="21"/>
          <w:szCs w:val="21"/>
          <w:highlight w:val="none"/>
        </w:rPr>
        <w:t>；</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firstLine="420" w:firstLineChars="200"/>
        <w:textAlignment w:val="auto"/>
        <w:rPr>
          <w:rFonts w:hint="eastAsia"/>
          <w:color w:val="auto"/>
          <w:sz w:val="21"/>
          <w:szCs w:val="21"/>
          <w:highlight w:val="none"/>
          <w:lang w:eastAsia="zh-CN"/>
        </w:rPr>
      </w:pPr>
      <w:r>
        <w:rPr>
          <w:rFonts w:hint="eastAsia"/>
          <w:color w:val="auto"/>
          <w:sz w:val="21"/>
          <w:szCs w:val="21"/>
          <w:highlight w:val="none"/>
        </w:rPr>
        <w:t>5）</w:t>
      </w:r>
      <w:r>
        <w:rPr>
          <w:rFonts w:hint="eastAsia"/>
          <w:color w:val="auto"/>
          <w:sz w:val="21"/>
          <w:szCs w:val="21"/>
          <w:highlight w:val="none"/>
          <w:lang w:eastAsia="zh-CN"/>
        </w:rPr>
        <w:t>提供自投标截止时间前6个月内已缴存的任意时段的社会保障资金缴存单据或社保机构开具的社会保险参保缴费情况证明；依法不需要缴纳社会保障资金的应提供相关文件证明；</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firstLine="420" w:firstLineChars="200"/>
        <w:textAlignment w:val="auto"/>
        <w:rPr>
          <w:rFonts w:hint="eastAsia"/>
          <w:color w:val="auto"/>
          <w:sz w:val="21"/>
          <w:szCs w:val="21"/>
          <w:highlight w:val="none"/>
        </w:rPr>
      </w:pPr>
      <w:r>
        <w:rPr>
          <w:rFonts w:hint="eastAsia"/>
          <w:color w:val="auto"/>
          <w:sz w:val="21"/>
          <w:szCs w:val="21"/>
          <w:highlight w:val="none"/>
        </w:rPr>
        <w:t>6）具备履行合同所必需的设备和专业技术能力的书面声明，格式自拟；</w:t>
      </w:r>
    </w:p>
    <w:p>
      <w:pPr>
        <w:pStyle w:val="2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firstLine="420" w:firstLineChars="200"/>
        <w:textAlignment w:val="auto"/>
        <w:rPr>
          <w:rFonts w:hint="eastAsia"/>
          <w:color w:val="auto"/>
          <w:sz w:val="21"/>
          <w:szCs w:val="21"/>
          <w:highlight w:val="none"/>
          <w:lang w:val="en-US" w:eastAsia="zh-CN"/>
        </w:rPr>
      </w:pPr>
      <w:r>
        <w:rPr>
          <w:rFonts w:hint="eastAsia"/>
          <w:color w:val="auto"/>
          <w:sz w:val="21"/>
          <w:szCs w:val="21"/>
          <w:highlight w:val="none"/>
          <w:lang w:val="en-US" w:eastAsia="zh-CN"/>
        </w:rPr>
        <w:t>7）参加政府采购活动前3年内在经营活动中没有重大违法记录的书面声明，格式自拟。</w:t>
      </w:r>
    </w:p>
    <w:p>
      <w:pPr>
        <w:spacing w:line="480" w:lineRule="auto"/>
        <w:rPr>
          <w:rFonts w:hint="eastAsia" w:ascii="宋体" w:hAnsi="宋体"/>
          <w:b/>
          <w:color w:val="auto"/>
          <w:sz w:val="32"/>
          <w:szCs w:val="32"/>
          <w:highlight w:val="none"/>
        </w:rPr>
      </w:pPr>
    </w:p>
    <w:p>
      <w:pPr>
        <w:spacing w:line="480" w:lineRule="auto"/>
        <w:rPr>
          <w:rFonts w:ascii="宋体" w:hAnsi="宋体"/>
          <w:b/>
          <w:color w:val="auto"/>
          <w:sz w:val="32"/>
          <w:szCs w:val="32"/>
          <w:highlight w:val="none"/>
        </w:rPr>
      </w:pPr>
      <w:r>
        <w:rPr>
          <w:rFonts w:hint="eastAsia" w:ascii="宋体" w:hAnsi="宋体"/>
          <w:b/>
          <w:color w:val="auto"/>
          <w:sz w:val="32"/>
          <w:szCs w:val="32"/>
          <w:highlight w:val="none"/>
        </w:rPr>
        <w:br w:type="page"/>
      </w:r>
      <w:r>
        <w:rPr>
          <w:rFonts w:hint="eastAsia" w:ascii="宋体" w:hAnsi="宋体"/>
          <w:bCs/>
          <w:color w:val="auto"/>
          <w:szCs w:val="21"/>
          <w:highlight w:val="none"/>
        </w:rPr>
        <w:t>格式1：</w:t>
      </w:r>
    </w:p>
    <w:p>
      <w:pPr>
        <w:bidi w:val="0"/>
        <w:jc w:val="center"/>
        <w:rPr>
          <w:b/>
          <w:bCs/>
          <w:color w:val="auto"/>
          <w:sz w:val="36"/>
          <w:szCs w:val="44"/>
          <w:highlight w:val="none"/>
        </w:rPr>
      </w:pPr>
      <w:bookmarkStart w:id="167" w:name="_Toc12153"/>
      <w:bookmarkStart w:id="168" w:name="_Toc21532"/>
      <w:bookmarkStart w:id="169" w:name="_Toc8996"/>
      <w:bookmarkStart w:id="170" w:name="_Toc1013"/>
      <w:r>
        <w:rPr>
          <w:rFonts w:hint="eastAsia"/>
          <w:b/>
          <w:bCs/>
          <w:color w:val="auto"/>
          <w:sz w:val="36"/>
          <w:szCs w:val="44"/>
          <w:highlight w:val="none"/>
        </w:rPr>
        <w:t>法定代表人身份证明及法定代表人授权委托书</w:t>
      </w:r>
      <w:bookmarkEnd w:id="167"/>
      <w:bookmarkEnd w:id="168"/>
      <w:bookmarkEnd w:id="169"/>
      <w:bookmarkEnd w:id="170"/>
    </w:p>
    <w:p>
      <w:pPr>
        <w:bidi w:val="0"/>
        <w:jc w:val="center"/>
        <w:rPr>
          <w:rFonts w:hint="eastAsia"/>
          <w:b/>
          <w:bCs/>
          <w:color w:val="auto"/>
          <w:sz w:val="36"/>
          <w:szCs w:val="44"/>
          <w:highlight w:val="none"/>
          <w:lang w:val="en-US" w:eastAsia="zh-CN"/>
        </w:rPr>
      </w:pPr>
      <w:bookmarkStart w:id="171" w:name="_Toc32184"/>
      <w:bookmarkStart w:id="172" w:name="_Toc316921998"/>
      <w:bookmarkStart w:id="173" w:name="_Toc32642"/>
      <w:bookmarkStart w:id="174" w:name="_Toc17138"/>
      <w:bookmarkStart w:id="175" w:name="_Toc511920562"/>
      <w:bookmarkStart w:id="176" w:name="_Toc24002"/>
      <w:bookmarkStart w:id="177" w:name="_Toc31411"/>
      <w:r>
        <w:rPr>
          <w:rFonts w:hint="eastAsia"/>
          <w:b/>
          <w:bCs/>
          <w:color w:val="auto"/>
          <w:sz w:val="36"/>
          <w:szCs w:val="44"/>
          <w:highlight w:val="none"/>
          <w:lang w:val="en-US" w:eastAsia="zh-CN"/>
        </w:rPr>
        <w:t>（一）法定代表人身份证明</w:t>
      </w:r>
      <w:bookmarkEnd w:id="171"/>
      <w:bookmarkEnd w:id="172"/>
      <w:bookmarkEnd w:id="173"/>
      <w:bookmarkEnd w:id="174"/>
      <w:bookmarkEnd w:id="175"/>
      <w:bookmarkEnd w:id="176"/>
      <w:bookmarkEnd w:id="177"/>
    </w:p>
    <w:p>
      <w:pPr>
        <w:bidi w:val="0"/>
        <w:jc w:val="center"/>
        <w:rPr>
          <w:b/>
          <w:bCs/>
          <w:color w:val="auto"/>
          <w:sz w:val="36"/>
          <w:szCs w:val="44"/>
          <w:highlight w:val="none"/>
        </w:rPr>
      </w:pPr>
    </w:p>
    <w:p>
      <w:pPr>
        <w:spacing w:line="360" w:lineRule="auto"/>
        <w:ind w:firstLine="420" w:firstLineChars="200"/>
        <w:rPr>
          <w:rFonts w:ascii="宋体" w:hAnsi="宋体"/>
          <w:color w:val="auto"/>
          <w:szCs w:val="21"/>
          <w:highlight w:val="none"/>
        </w:rPr>
      </w:pPr>
      <w:bookmarkStart w:id="178" w:name="_Toc316921999"/>
      <w:r>
        <w:rPr>
          <w:rFonts w:hint="eastAsia" w:ascii="宋体" w:hAnsi="宋体"/>
          <w:color w:val="auto"/>
          <w:szCs w:val="21"/>
          <w:highlight w:val="none"/>
        </w:rPr>
        <w:t>投标人名称：</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单位性质：</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地址：</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成立时间：</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经营期限：</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姓名：</w:t>
      </w:r>
      <w:r>
        <w:rPr>
          <w:rFonts w:hint="eastAsia" w:ascii="宋体" w:hAnsi="宋体"/>
          <w:color w:val="auto"/>
          <w:szCs w:val="21"/>
          <w:highlight w:val="none"/>
          <w:u w:val="single"/>
        </w:rPr>
        <w:t xml:space="preserve">      </w:t>
      </w:r>
      <w:r>
        <w:rPr>
          <w:rFonts w:hint="eastAsia" w:ascii="宋体" w:hAnsi="宋体"/>
          <w:color w:val="auto"/>
          <w:szCs w:val="21"/>
          <w:highlight w:val="none"/>
        </w:rPr>
        <w:t>性别：</w:t>
      </w:r>
      <w:r>
        <w:rPr>
          <w:rFonts w:hint="eastAsia" w:ascii="宋体" w:hAnsi="宋体"/>
          <w:color w:val="auto"/>
          <w:szCs w:val="21"/>
          <w:highlight w:val="none"/>
          <w:u w:val="single"/>
        </w:rPr>
        <w:t xml:space="preserve">      </w:t>
      </w:r>
      <w:r>
        <w:rPr>
          <w:rFonts w:hint="eastAsia" w:ascii="宋体" w:hAnsi="宋体"/>
          <w:color w:val="auto"/>
          <w:szCs w:val="21"/>
          <w:highlight w:val="none"/>
        </w:rPr>
        <w:t>年龄：</w:t>
      </w:r>
      <w:r>
        <w:rPr>
          <w:rFonts w:hint="eastAsia" w:ascii="宋体" w:hAnsi="宋体"/>
          <w:color w:val="auto"/>
          <w:szCs w:val="21"/>
          <w:highlight w:val="none"/>
          <w:u w:val="single"/>
        </w:rPr>
        <w:t xml:space="preserve">      </w:t>
      </w:r>
      <w:r>
        <w:rPr>
          <w:rFonts w:hint="eastAsia" w:ascii="宋体" w:hAnsi="宋体"/>
          <w:color w:val="auto"/>
          <w:szCs w:val="21"/>
          <w:highlight w:val="none"/>
        </w:rPr>
        <w:t>职务：</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系</w:t>
      </w:r>
      <w:r>
        <w:rPr>
          <w:rFonts w:hint="eastAsia" w:ascii="宋体" w:hAnsi="宋体"/>
          <w:color w:val="auto"/>
          <w:szCs w:val="21"/>
          <w:highlight w:val="none"/>
          <w:u w:val="single"/>
        </w:rPr>
        <w:t xml:space="preserve">                                </w:t>
      </w:r>
      <w:r>
        <w:rPr>
          <w:rFonts w:hint="eastAsia" w:ascii="宋体" w:hAnsi="宋体"/>
          <w:color w:val="auto"/>
          <w:szCs w:val="21"/>
          <w:highlight w:val="none"/>
        </w:rPr>
        <w:t>（投标人名称）的法定代表人。</w:t>
      </w:r>
    </w:p>
    <w:p>
      <w:pPr>
        <w:spacing w:line="360" w:lineRule="auto"/>
        <w:ind w:firstLine="840" w:firstLineChars="400"/>
        <w:rPr>
          <w:rFonts w:ascii="宋体" w:hAnsi="宋体"/>
          <w:color w:val="auto"/>
          <w:szCs w:val="21"/>
          <w:highlight w:val="none"/>
        </w:rPr>
      </w:pPr>
      <w:r>
        <w:rPr>
          <w:rFonts w:hint="eastAsia" w:ascii="宋体" w:hAnsi="宋体"/>
          <w:color w:val="auto"/>
          <w:szCs w:val="21"/>
          <w:highlight w:val="none"/>
        </w:rPr>
        <w:t>特此证明。</w:t>
      </w:r>
    </w:p>
    <w:p>
      <w:pPr>
        <w:pStyle w:val="28"/>
        <w:rPr>
          <w:color w:val="auto"/>
          <w:szCs w:val="21"/>
          <w:highlight w:val="none"/>
        </w:rPr>
      </w:pPr>
    </w:p>
    <w:tbl>
      <w:tblPr>
        <w:tblStyle w:val="23"/>
        <w:tblW w:w="8664" w:type="dxa"/>
        <w:tblInd w:w="1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2"/>
        <w:gridCol w:w="4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3" w:hRule="atLeast"/>
        </w:trPr>
        <w:tc>
          <w:tcPr>
            <w:tcW w:w="4332" w:type="dxa"/>
          </w:tcPr>
          <w:p>
            <w:pPr>
              <w:spacing w:line="480" w:lineRule="auto"/>
              <w:jc w:val="center"/>
              <w:rPr>
                <w:rFonts w:ascii="宋体" w:hAnsi="宋体" w:cs="宋体"/>
                <w:color w:val="auto"/>
                <w:szCs w:val="21"/>
                <w:highlight w:val="none"/>
              </w:rPr>
            </w:pPr>
          </w:p>
          <w:p>
            <w:pPr>
              <w:spacing w:line="480" w:lineRule="auto"/>
              <w:jc w:val="center"/>
              <w:rPr>
                <w:rFonts w:ascii="宋体" w:hAnsi="宋体" w:cs="宋体"/>
                <w:color w:val="auto"/>
                <w:szCs w:val="21"/>
                <w:highlight w:val="none"/>
              </w:rPr>
            </w:pPr>
          </w:p>
          <w:p>
            <w:pPr>
              <w:spacing w:line="480" w:lineRule="auto"/>
              <w:jc w:val="center"/>
              <w:rPr>
                <w:rFonts w:ascii="宋体" w:hAnsi="宋体" w:cs="宋体"/>
                <w:color w:val="auto"/>
                <w:szCs w:val="21"/>
                <w:highlight w:val="none"/>
              </w:rPr>
            </w:pPr>
            <w:r>
              <w:rPr>
                <w:rFonts w:hint="eastAsia" w:ascii="宋体" w:hAnsi="宋体"/>
                <w:color w:val="auto"/>
                <w:szCs w:val="21"/>
                <w:highlight w:val="none"/>
                <w:lang w:eastAsia="zh-CN"/>
              </w:rPr>
              <w:t>法定代表人（负责人）</w:t>
            </w:r>
            <w:r>
              <w:rPr>
                <w:rFonts w:hint="eastAsia" w:ascii="宋体" w:hAnsi="宋体"/>
                <w:color w:val="auto"/>
                <w:szCs w:val="21"/>
                <w:highlight w:val="none"/>
              </w:rPr>
              <w:t>身份证人像面</w:t>
            </w:r>
          </w:p>
          <w:p>
            <w:pPr>
              <w:spacing w:line="480" w:lineRule="auto"/>
              <w:jc w:val="center"/>
              <w:rPr>
                <w:rFonts w:ascii="宋体" w:hAnsi="宋体" w:cs="宋体"/>
                <w:color w:val="auto"/>
                <w:szCs w:val="21"/>
                <w:highlight w:val="none"/>
              </w:rPr>
            </w:pPr>
          </w:p>
        </w:tc>
        <w:tc>
          <w:tcPr>
            <w:tcW w:w="4332" w:type="dxa"/>
          </w:tcPr>
          <w:p>
            <w:pPr>
              <w:spacing w:line="480" w:lineRule="auto"/>
              <w:jc w:val="center"/>
              <w:rPr>
                <w:rFonts w:ascii="宋体" w:hAnsi="宋体" w:cs="宋体"/>
                <w:color w:val="auto"/>
                <w:szCs w:val="21"/>
                <w:highlight w:val="none"/>
              </w:rPr>
            </w:pPr>
          </w:p>
          <w:p>
            <w:pPr>
              <w:spacing w:line="480" w:lineRule="auto"/>
              <w:jc w:val="center"/>
              <w:rPr>
                <w:rFonts w:ascii="宋体" w:hAnsi="宋体" w:cs="宋体"/>
                <w:color w:val="auto"/>
                <w:szCs w:val="21"/>
                <w:highlight w:val="none"/>
              </w:rPr>
            </w:pPr>
          </w:p>
          <w:p>
            <w:pPr>
              <w:spacing w:line="480" w:lineRule="auto"/>
              <w:jc w:val="center"/>
              <w:rPr>
                <w:rFonts w:ascii="宋体" w:hAnsi="宋体" w:cs="宋体"/>
                <w:color w:val="auto"/>
                <w:szCs w:val="21"/>
                <w:highlight w:val="none"/>
              </w:rPr>
            </w:pPr>
            <w:r>
              <w:rPr>
                <w:rFonts w:hint="eastAsia" w:ascii="宋体" w:hAnsi="宋体"/>
                <w:color w:val="auto"/>
                <w:szCs w:val="21"/>
                <w:highlight w:val="none"/>
                <w:lang w:eastAsia="zh-CN"/>
              </w:rPr>
              <w:t>法定代表人（负责人）</w:t>
            </w:r>
            <w:r>
              <w:rPr>
                <w:rFonts w:hint="eastAsia" w:ascii="宋体" w:hAnsi="宋体"/>
                <w:color w:val="auto"/>
                <w:szCs w:val="21"/>
                <w:highlight w:val="none"/>
              </w:rPr>
              <w:t>身份证国徽面</w:t>
            </w:r>
          </w:p>
        </w:tc>
      </w:tr>
    </w:tbl>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jc w:val="right"/>
        <w:rPr>
          <w:rFonts w:ascii="宋体" w:hAnsi="宋体"/>
          <w:color w:val="auto"/>
          <w:szCs w:val="21"/>
          <w:highlight w:val="none"/>
        </w:rPr>
      </w:pPr>
      <w:r>
        <w:rPr>
          <w:rFonts w:hint="eastAsia" w:ascii="宋体" w:hAnsi="宋体"/>
          <w:color w:val="auto"/>
          <w:szCs w:val="21"/>
          <w:highlight w:val="none"/>
        </w:rPr>
        <w:t>投标人：</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line="360" w:lineRule="auto"/>
        <w:rPr>
          <w:rFonts w:ascii="宋体" w:hAnsi="宋体"/>
          <w:color w:val="auto"/>
          <w:szCs w:val="21"/>
          <w:highlight w:val="none"/>
          <w:u w:val="single"/>
        </w:rPr>
      </w:pPr>
    </w:p>
    <w:p>
      <w:pPr>
        <w:spacing w:line="480" w:lineRule="auto"/>
        <w:jc w:val="right"/>
        <w:rPr>
          <w:rFonts w:ascii="宋体" w:hAnsi="宋体" w:cs="宋体"/>
          <w:color w:val="auto"/>
          <w:szCs w:val="21"/>
          <w:highlight w:val="none"/>
          <w:lang w:bidi="ar"/>
        </w:rPr>
      </w:pPr>
      <w:r>
        <w:rPr>
          <w:rFonts w:hint="eastAsia" w:ascii="宋体" w:hAnsi="宋体"/>
          <w:color w:val="auto"/>
          <w:szCs w:val="21"/>
          <w:highlight w:val="none"/>
        </w:rPr>
        <w:tab/>
      </w:r>
      <w:r>
        <w:rPr>
          <w:rFonts w:hint="eastAsia" w:ascii="宋体" w:hAnsi="宋体"/>
          <w:color w:val="auto"/>
          <w:szCs w:val="21"/>
          <w:highlight w:val="none"/>
        </w:rPr>
        <w:t xml:space="preserve">                          </w:t>
      </w:r>
      <w:bookmarkStart w:id="179" w:name="_Toc26969"/>
      <w:bookmarkStart w:id="180" w:name="_Toc511920563"/>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年</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月</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日</w:t>
      </w:r>
    </w:p>
    <w:p>
      <w:pPr>
        <w:rPr>
          <w:rFonts w:hint="eastAsia" w:ascii="宋体" w:hAnsi="宋体" w:cs="Times New Roman"/>
          <w:b/>
          <w:color w:val="auto"/>
          <w:sz w:val="30"/>
          <w:szCs w:val="30"/>
          <w:highlight w:val="none"/>
          <w:lang w:val="en-US" w:eastAsia="zh-CN"/>
        </w:rPr>
      </w:pPr>
      <w:bookmarkStart w:id="181" w:name="_Toc24246"/>
      <w:bookmarkStart w:id="182" w:name="_Toc20954"/>
      <w:bookmarkStart w:id="183" w:name="_Toc18754"/>
      <w:bookmarkStart w:id="184" w:name="_Toc9962"/>
      <w:r>
        <w:rPr>
          <w:rFonts w:hint="eastAsia" w:ascii="宋体" w:hAnsi="宋体" w:cs="Times New Roman"/>
          <w:b/>
          <w:color w:val="auto"/>
          <w:sz w:val="30"/>
          <w:szCs w:val="30"/>
          <w:highlight w:val="none"/>
          <w:lang w:val="en-US" w:eastAsia="zh-CN"/>
        </w:rPr>
        <w:br w:type="page"/>
      </w:r>
    </w:p>
    <w:p>
      <w:pPr>
        <w:jc w:val="center"/>
        <w:rPr>
          <w:rFonts w:hint="eastAsia" w:ascii="宋体" w:hAnsi="宋体" w:cs="Times New Roman"/>
          <w:b/>
          <w:color w:val="auto"/>
          <w:sz w:val="30"/>
          <w:szCs w:val="30"/>
          <w:highlight w:val="none"/>
          <w:lang w:val="en-US" w:eastAsia="zh-CN"/>
        </w:rPr>
      </w:pPr>
      <w:r>
        <w:rPr>
          <w:rFonts w:hint="eastAsia" w:ascii="宋体" w:hAnsi="宋体" w:cs="Times New Roman"/>
          <w:b/>
          <w:color w:val="auto"/>
          <w:sz w:val="30"/>
          <w:szCs w:val="30"/>
          <w:highlight w:val="none"/>
          <w:lang w:val="en-US" w:eastAsia="zh-CN"/>
        </w:rPr>
        <w:t>（二）法定代表人授权委托书</w:t>
      </w:r>
      <w:bookmarkEnd w:id="178"/>
      <w:bookmarkEnd w:id="179"/>
      <w:bookmarkEnd w:id="180"/>
      <w:bookmarkEnd w:id="181"/>
      <w:bookmarkEnd w:id="182"/>
      <w:bookmarkEnd w:id="183"/>
      <w:bookmarkEnd w:id="184"/>
    </w:p>
    <w:p>
      <w:pPr>
        <w:rPr>
          <w:color w:val="auto"/>
          <w:highlight w:val="none"/>
        </w:rPr>
      </w:pP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本人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r>
        <w:rPr>
          <w:rFonts w:hint="eastAsia" w:ascii="宋体" w:hAnsi="宋体" w:cs="宋体"/>
          <w:color w:val="auto"/>
          <w:szCs w:val="21"/>
          <w:highlight w:val="none"/>
          <w:lang w:eastAsia="zh-CN"/>
        </w:rPr>
        <w:t>法定代表人（负责人）</w:t>
      </w:r>
      <w:r>
        <w:rPr>
          <w:rFonts w:hint="eastAsia" w:ascii="宋体" w:hAnsi="宋体" w:cs="宋体"/>
          <w:color w:val="auto"/>
          <w:szCs w:val="21"/>
          <w:highlight w:val="none"/>
        </w:rPr>
        <w:t>姓名）系</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（投标人名称）的</w:t>
      </w:r>
      <w:r>
        <w:rPr>
          <w:rFonts w:hint="eastAsia" w:ascii="宋体" w:hAnsi="宋体" w:cs="宋体"/>
          <w:color w:val="auto"/>
          <w:szCs w:val="21"/>
          <w:highlight w:val="none"/>
          <w:lang w:eastAsia="zh-CN"/>
        </w:rPr>
        <w:t>法定代表人（负责人）</w:t>
      </w:r>
      <w:r>
        <w:rPr>
          <w:rFonts w:hint="eastAsia" w:ascii="宋体" w:hAnsi="宋体" w:cs="宋体"/>
          <w:color w:val="auto"/>
          <w:szCs w:val="21"/>
          <w:highlight w:val="none"/>
        </w:rPr>
        <w:t>，现委托</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（被授权人姓名）为我方代理人。代理人根据授权，以我方名义签署、澄清、说明、补正、递交、撤回、修改</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lang w:eastAsia="zh-CN"/>
        </w:rPr>
        <w:t>（项目名称、标包名称）</w:t>
      </w:r>
      <w:r>
        <w:rPr>
          <w:rFonts w:hint="eastAsia" w:ascii="宋体" w:hAnsi="宋体"/>
          <w:color w:val="auto"/>
          <w:szCs w:val="21"/>
          <w:highlight w:val="none"/>
        </w:rPr>
        <w:t>的投标</w:t>
      </w:r>
      <w:r>
        <w:rPr>
          <w:rFonts w:hint="eastAsia" w:ascii="宋体" w:hAnsi="宋体" w:cs="宋体"/>
          <w:color w:val="auto"/>
          <w:szCs w:val="21"/>
          <w:highlight w:val="none"/>
        </w:rPr>
        <w:t>文件，其法律后果由我方承担。</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委托期限：</w:t>
      </w:r>
      <w:r>
        <w:rPr>
          <w:rFonts w:hint="eastAsia" w:ascii="宋体" w:hAnsi="宋体" w:cs="仿宋_GB2312"/>
          <w:color w:val="auto"/>
          <w:kern w:val="0"/>
          <w:szCs w:val="21"/>
          <w:highlight w:val="none"/>
        </w:rPr>
        <w:t>90天（从提交投标文件截止日起计算）</w:t>
      </w:r>
      <w:r>
        <w:rPr>
          <w:rFonts w:hint="eastAsia" w:ascii="宋体" w:hAnsi="宋体" w:cs="宋体"/>
          <w:color w:val="auto"/>
          <w:szCs w:val="21"/>
          <w:highlight w:val="none"/>
        </w:rPr>
        <w:t>。</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代理人无转委托权。</w:t>
      </w:r>
    </w:p>
    <w:p>
      <w:pPr>
        <w:bidi w:val="0"/>
        <w:jc w:val="center"/>
        <w:rPr>
          <w:color w:val="auto"/>
          <w:highlight w:val="none"/>
        </w:rPr>
      </w:pPr>
      <w:bookmarkStart w:id="185" w:name="_Toc7109"/>
      <w:bookmarkStart w:id="186" w:name="_Toc13775"/>
      <w:bookmarkStart w:id="187" w:name="_Toc11421"/>
      <w:bookmarkStart w:id="188" w:name="_Toc19878"/>
      <w:r>
        <w:rPr>
          <w:rFonts w:hint="eastAsia"/>
          <w:color w:val="auto"/>
          <w:highlight w:val="none"/>
        </w:rPr>
        <w:t>身份证复印件粘贴处</w:t>
      </w:r>
      <w:bookmarkEnd w:id="185"/>
      <w:bookmarkEnd w:id="186"/>
      <w:bookmarkEnd w:id="187"/>
      <w:bookmarkEnd w:id="188"/>
    </w:p>
    <w:tbl>
      <w:tblPr>
        <w:tblStyle w:val="23"/>
        <w:tblW w:w="8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5"/>
        <w:gridCol w:w="4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7" w:hRule="atLeast"/>
          <w:jc w:val="center"/>
        </w:trPr>
        <w:tc>
          <w:tcPr>
            <w:tcW w:w="4405" w:type="dxa"/>
            <w:tcBorders>
              <w:top w:val="single" w:color="auto" w:sz="4" w:space="0"/>
              <w:left w:val="single" w:color="auto" w:sz="4" w:space="0"/>
              <w:bottom w:val="single" w:color="auto" w:sz="4" w:space="0"/>
              <w:right w:val="single" w:color="auto" w:sz="4" w:space="0"/>
            </w:tcBorders>
          </w:tcPr>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p>
          <w:p>
            <w:pPr>
              <w:jc w:val="center"/>
              <w:rPr>
                <w:rFonts w:ascii="宋体" w:hAnsi="宋体" w:cs="宋体"/>
                <w:color w:val="auto"/>
                <w:szCs w:val="21"/>
                <w:highlight w:val="none"/>
              </w:rPr>
            </w:pPr>
            <w:r>
              <w:rPr>
                <w:rFonts w:hint="eastAsia" w:ascii="宋体" w:hAnsi="宋体"/>
                <w:color w:val="auto"/>
                <w:szCs w:val="21"/>
                <w:highlight w:val="none"/>
                <w:lang w:eastAsia="zh-CN"/>
              </w:rPr>
              <w:t>法定代表人（负责人）</w:t>
            </w:r>
            <w:r>
              <w:rPr>
                <w:rFonts w:hint="eastAsia" w:ascii="宋体" w:hAnsi="宋体"/>
                <w:color w:val="auto"/>
                <w:szCs w:val="21"/>
                <w:highlight w:val="none"/>
              </w:rPr>
              <w:t>身份证人像面</w:t>
            </w:r>
          </w:p>
        </w:tc>
        <w:tc>
          <w:tcPr>
            <w:tcW w:w="4430" w:type="dxa"/>
            <w:tcBorders>
              <w:top w:val="single" w:color="auto" w:sz="4" w:space="0"/>
              <w:left w:val="nil"/>
              <w:bottom w:val="single" w:color="auto" w:sz="4" w:space="0"/>
              <w:right w:val="single" w:color="auto" w:sz="4" w:space="0"/>
            </w:tcBorders>
          </w:tcPr>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p>
          <w:p>
            <w:pPr>
              <w:jc w:val="center"/>
              <w:rPr>
                <w:rFonts w:ascii="宋体" w:hAnsi="宋体" w:cs="宋体"/>
                <w:color w:val="auto"/>
                <w:szCs w:val="21"/>
                <w:highlight w:val="none"/>
              </w:rPr>
            </w:pPr>
            <w:r>
              <w:rPr>
                <w:rFonts w:hint="eastAsia" w:ascii="宋体" w:hAnsi="宋体"/>
                <w:color w:val="auto"/>
                <w:szCs w:val="21"/>
                <w:highlight w:val="none"/>
                <w:lang w:eastAsia="zh-CN"/>
              </w:rPr>
              <w:t>法定代表人（负责人）</w:t>
            </w:r>
            <w:r>
              <w:rPr>
                <w:rFonts w:hint="eastAsia" w:ascii="宋体" w:hAnsi="宋体"/>
                <w:color w:val="auto"/>
                <w:szCs w:val="21"/>
                <w:highlight w:val="none"/>
              </w:rPr>
              <w:t>身份证国徽面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7" w:hRule="atLeast"/>
          <w:jc w:val="center"/>
        </w:trPr>
        <w:tc>
          <w:tcPr>
            <w:tcW w:w="4405" w:type="dxa"/>
            <w:tcBorders>
              <w:top w:val="single" w:color="auto" w:sz="4" w:space="0"/>
              <w:left w:val="single" w:color="auto" w:sz="4" w:space="0"/>
              <w:bottom w:val="single" w:color="auto" w:sz="4" w:space="0"/>
              <w:right w:val="single" w:color="auto" w:sz="4" w:space="0"/>
            </w:tcBorders>
          </w:tcPr>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p>
          <w:p>
            <w:pPr>
              <w:jc w:val="center"/>
              <w:rPr>
                <w:rFonts w:ascii="宋体" w:hAnsi="宋体" w:cs="宋体"/>
                <w:color w:val="auto"/>
                <w:szCs w:val="21"/>
                <w:highlight w:val="none"/>
              </w:rPr>
            </w:pPr>
            <w:r>
              <w:rPr>
                <w:rFonts w:hint="eastAsia" w:ascii="宋体" w:hAnsi="宋体"/>
                <w:color w:val="auto"/>
                <w:szCs w:val="21"/>
                <w:highlight w:val="none"/>
              </w:rPr>
              <w:t>授权委托人身份证人像面</w:t>
            </w:r>
          </w:p>
        </w:tc>
        <w:tc>
          <w:tcPr>
            <w:tcW w:w="4430" w:type="dxa"/>
            <w:tcBorders>
              <w:top w:val="single" w:color="auto" w:sz="4" w:space="0"/>
              <w:left w:val="nil"/>
              <w:bottom w:val="single" w:color="auto" w:sz="4" w:space="0"/>
              <w:right w:val="single" w:color="auto" w:sz="4" w:space="0"/>
            </w:tcBorders>
          </w:tcPr>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p>
          <w:p>
            <w:pPr>
              <w:jc w:val="center"/>
              <w:rPr>
                <w:rFonts w:ascii="宋体" w:hAnsi="宋体" w:cs="宋体"/>
                <w:color w:val="auto"/>
                <w:szCs w:val="21"/>
                <w:highlight w:val="none"/>
              </w:rPr>
            </w:pPr>
            <w:r>
              <w:rPr>
                <w:rFonts w:hint="eastAsia" w:ascii="宋体" w:hAnsi="宋体"/>
                <w:color w:val="auto"/>
                <w:szCs w:val="21"/>
                <w:highlight w:val="none"/>
              </w:rPr>
              <w:t>授权委托人身份证国徽面</w:t>
            </w:r>
          </w:p>
        </w:tc>
      </w:tr>
    </w:tbl>
    <w:p>
      <w:pPr>
        <w:spacing w:before="312" w:beforeLines="100" w:line="480" w:lineRule="auto"/>
        <w:ind w:firstLine="573"/>
        <w:rPr>
          <w:rFonts w:ascii="宋体" w:hAnsi="宋体" w:cs="宋体"/>
          <w:color w:val="auto"/>
          <w:szCs w:val="21"/>
          <w:highlight w:val="none"/>
        </w:rPr>
      </w:pPr>
      <w:r>
        <w:rPr>
          <w:rFonts w:hint="eastAsia" w:ascii="宋体" w:hAnsi="宋体" w:cs="宋体"/>
          <w:color w:val="auto"/>
          <w:szCs w:val="21"/>
          <w:highlight w:val="none"/>
          <w:lang w:bidi="ar"/>
        </w:rPr>
        <w:t>投标人 ：</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（盖单位章）</w:t>
      </w:r>
    </w:p>
    <w:p>
      <w:pPr>
        <w:spacing w:line="480" w:lineRule="auto"/>
        <w:ind w:firstLine="573"/>
        <w:rPr>
          <w:rFonts w:ascii="宋体" w:hAnsi="宋体" w:cs="宋体"/>
          <w:color w:val="auto"/>
          <w:szCs w:val="21"/>
          <w:highlight w:val="none"/>
        </w:rPr>
      </w:pPr>
      <w:r>
        <w:rPr>
          <w:rFonts w:hint="eastAsia" w:ascii="宋体" w:hAnsi="宋体" w:cs="宋体"/>
          <w:color w:val="auto"/>
          <w:szCs w:val="21"/>
          <w:highlight w:val="none"/>
          <w:lang w:bidi="ar"/>
        </w:rPr>
        <w:t>法定代表人</w:t>
      </w:r>
      <w:r>
        <w:rPr>
          <w:rFonts w:hint="eastAsia" w:ascii="宋体" w:hAnsi="宋体" w:cs="宋体"/>
          <w:color w:val="auto"/>
          <w:szCs w:val="21"/>
          <w:highlight w:val="none"/>
          <w:lang w:eastAsia="zh-CN" w:bidi="ar"/>
        </w:rPr>
        <w:t>（</w:t>
      </w:r>
      <w:r>
        <w:rPr>
          <w:rFonts w:hint="eastAsia" w:ascii="宋体" w:hAnsi="宋体" w:cs="宋体"/>
          <w:color w:val="auto"/>
          <w:szCs w:val="21"/>
          <w:highlight w:val="none"/>
          <w:lang w:val="en-US" w:eastAsia="zh-CN" w:bidi="ar"/>
        </w:rPr>
        <w:t>负责人</w:t>
      </w:r>
      <w:r>
        <w:rPr>
          <w:rFonts w:hint="eastAsia" w:ascii="宋体" w:hAnsi="宋体" w:cs="宋体"/>
          <w:color w:val="auto"/>
          <w:szCs w:val="21"/>
          <w:highlight w:val="none"/>
          <w:lang w:eastAsia="zh-CN" w:bidi="ar"/>
        </w:rPr>
        <w:t>）</w:t>
      </w:r>
      <w:r>
        <w:rPr>
          <w:rFonts w:hint="eastAsia" w:ascii="宋体" w:hAnsi="宋体" w:cs="宋体"/>
          <w:color w:val="auto"/>
          <w:szCs w:val="21"/>
          <w:highlight w:val="none"/>
          <w:lang w:bidi="ar"/>
        </w:rPr>
        <w:t>：</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（签字或盖章）</w:t>
      </w:r>
    </w:p>
    <w:p>
      <w:pPr>
        <w:spacing w:line="480" w:lineRule="auto"/>
        <w:ind w:firstLine="573"/>
        <w:rPr>
          <w:rFonts w:ascii="宋体" w:hAnsi="宋体" w:cs="宋体"/>
          <w:color w:val="auto"/>
          <w:szCs w:val="21"/>
          <w:highlight w:val="none"/>
        </w:rPr>
      </w:pPr>
      <w:r>
        <w:rPr>
          <w:rFonts w:hint="eastAsia" w:ascii="宋体" w:hAnsi="宋体" w:cs="宋体"/>
          <w:color w:val="auto"/>
          <w:szCs w:val="21"/>
          <w:highlight w:val="none"/>
          <w:lang w:val="en-US" w:eastAsia="zh-CN" w:bidi="ar"/>
        </w:rPr>
        <w:t>被授权人</w:t>
      </w:r>
      <w:r>
        <w:rPr>
          <w:rFonts w:hint="eastAsia" w:ascii="宋体" w:hAnsi="宋体" w:cs="宋体"/>
          <w:color w:val="auto"/>
          <w:szCs w:val="21"/>
          <w:highlight w:val="none"/>
          <w:lang w:bidi="ar"/>
        </w:rPr>
        <w:t>：</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（签字） 职务：</w:t>
      </w:r>
      <w:r>
        <w:rPr>
          <w:rFonts w:hint="eastAsia" w:ascii="宋体" w:hAnsi="宋体" w:cs="宋体"/>
          <w:color w:val="auto"/>
          <w:szCs w:val="21"/>
          <w:highlight w:val="none"/>
          <w:u w:val="single"/>
          <w:lang w:bidi="ar"/>
        </w:rPr>
        <w:t xml:space="preserve">                    </w:t>
      </w:r>
    </w:p>
    <w:p>
      <w:pPr>
        <w:widowControl/>
        <w:spacing w:line="360" w:lineRule="auto"/>
        <w:ind w:firstLine="373" w:firstLineChars="178"/>
        <w:rPr>
          <w:rFonts w:ascii="宋体" w:hAnsi="宋体" w:cs="宋体"/>
          <w:b/>
          <w:color w:val="auto"/>
          <w:szCs w:val="21"/>
          <w:highlight w:val="none"/>
        </w:rPr>
      </w:pPr>
      <w:r>
        <w:rPr>
          <w:rFonts w:hint="eastAsia" w:ascii="宋体" w:hAnsi="宋体" w:cs="宋体"/>
          <w:color w:val="auto"/>
          <w:szCs w:val="21"/>
          <w:highlight w:val="none"/>
          <w:lang w:bidi="ar"/>
        </w:rPr>
        <w:t xml:space="preserve">  授权委托日期： </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年</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月</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日</w:t>
      </w:r>
    </w:p>
    <w:p>
      <w:pPr>
        <w:rPr>
          <w:rFonts w:ascii="宋体" w:hAnsi="宋体"/>
          <w:b/>
          <w:bCs/>
          <w:color w:val="auto"/>
          <w:szCs w:val="21"/>
          <w:highlight w:val="none"/>
        </w:rPr>
      </w:pPr>
      <w:bookmarkStart w:id="189" w:name="_Toc29944"/>
      <w:bookmarkStart w:id="190" w:name="_Toc452633065"/>
    </w:p>
    <w:p>
      <w:pPr>
        <w:rPr>
          <w:rFonts w:ascii="宋体" w:hAnsi="宋体"/>
          <w:color w:val="auto"/>
          <w:sz w:val="24"/>
          <w:highlight w:val="none"/>
        </w:rPr>
      </w:pPr>
      <w:r>
        <w:rPr>
          <w:rFonts w:hint="eastAsia" w:ascii="宋体" w:hAnsi="宋体"/>
          <w:color w:val="auto"/>
          <w:szCs w:val="21"/>
          <w:highlight w:val="none"/>
        </w:rPr>
        <w:t>注：如为</w:t>
      </w:r>
      <w:r>
        <w:rPr>
          <w:rFonts w:hint="eastAsia" w:ascii="宋体" w:hAnsi="宋体"/>
          <w:color w:val="auto"/>
          <w:szCs w:val="21"/>
          <w:highlight w:val="none"/>
          <w:lang w:eastAsia="zh-CN"/>
        </w:rPr>
        <w:t>法定代表人（负责人）</w:t>
      </w:r>
      <w:r>
        <w:rPr>
          <w:rFonts w:hint="eastAsia" w:ascii="宋体" w:hAnsi="宋体"/>
          <w:color w:val="auto"/>
          <w:szCs w:val="21"/>
          <w:highlight w:val="none"/>
        </w:rPr>
        <w:t>亲自参与投标，此</w:t>
      </w:r>
      <w:r>
        <w:rPr>
          <w:rFonts w:hint="eastAsia" w:ascii="宋体" w:hAnsi="宋体"/>
          <w:color w:val="auto"/>
          <w:szCs w:val="21"/>
          <w:highlight w:val="none"/>
          <w:lang w:val="en-US" w:eastAsia="zh-CN"/>
        </w:rPr>
        <w:t>页</w:t>
      </w:r>
      <w:r>
        <w:rPr>
          <w:rFonts w:hint="eastAsia" w:ascii="宋体" w:hAnsi="宋体"/>
          <w:color w:val="auto"/>
          <w:szCs w:val="21"/>
          <w:highlight w:val="none"/>
        </w:rPr>
        <w:t>可不提供。</w:t>
      </w:r>
      <w:r>
        <w:rPr>
          <w:rFonts w:hint="eastAsia" w:ascii="宋体" w:hAnsi="宋体"/>
          <w:b/>
          <w:bCs/>
          <w:color w:val="auto"/>
          <w:szCs w:val="21"/>
          <w:highlight w:val="none"/>
        </w:rPr>
        <w:br w:type="page"/>
      </w:r>
    </w:p>
    <w:p>
      <w:pPr>
        <w:spacing w:line="480" w:lineRule="auto"/>
        <w:rPr>
          <w:rFonts w:ascii="宋体" w:hAnsi="宋体"/>
          <w:bCs/>
          <w:color w:val="auto"/>
          <w:szCs w:val="21"/>
          <w:highlight w:val="none"/>
        </w:rPr>
      </w:pPr>
      <w:bookmarkStart w:id="191" w:name="_Toc28680"/>
      <w:bookmarkStart w:id="192" w:name="_Toc310"/>
      <w:bookmarkStart w:id="193" w:name="_Toc12066"/>
      <w:bookmarkStart w:id="194" w:name="_Toc13330"/>
      <w:r>
        <w:rPr>
          <w:rFonts w:hint="eastAsia" w:ascii="宋体" w:hAnsi="宋体"/>
          <w:bCs/>
          <w:color w:val="auto"/>
          <w:szCs w:val="21"/>
          <w:highlight w:val="none"/>
        </w:rPr>
        <w:t>格式2：</w:t>
      </w:r>
      <w:bookmarkEnd w:id="191"/>
      <w:bookmarkEnd w:id="192"/>
      <w:bookmarkEnd w:id="193"/>
      <w:bookmarkEnd w:id="194"/>
    </w:p>
    <w:p>
      <w:pPr>
        <w:jc w:val="center"/>
        <w:rPr>
          <w:rFonts w:hint="eastAsia" w:ascii="宋体" w:hAnsi="宋体" w:cs="Times New Roman"/>
          <w:b/>
          <w:color w:val="auto"/>
          <w:sz w:val="30"/>
          <w:szCs w:val="30"/>
          <w:highlight w:val="none"/>
          <w:lang w:val="en-US" w:eastAsia="zh-CN"/>
        </w:rPr>
      </w:pPr>
      <w:bookmarkStart w:id="195" w:name="_Toc24551"/>
      <w:bookmarkStart w:id="196" w:name="_Toc3658"/>
      <w:bookmarkStart w:id="197" w:name="_Toc28480"/>
      <w:bookmarkStart w:id="198" w:name="_Toc20523"/>
      <w:r>
        <w:rPr>
          <w:rFonts w:hint="eastAsia" w:ascii="宋体" w:hAnsi="宋体" w:cs="Times New Roman"/>
          <w:b/>
          <w:color w:val="auto"/>
          <w:sz w:val="30"/>
          <w:szCs w:val="30"/>
          <w:highlight w:val="none"/>
          <w:lang w:val="en-US" w:eastAsia="zh-CN"/>
        </w:rPr>
        <w:t>投标人基本情况表</w:t>
      </w:r>
      <w:bookmarkEnd w:id="189"/>
      <w:bookmarkEnd w:id="190"/>
      <w:bookmarkEnd w:id="195"/>
      <w:bookmarkEnd w:id="196"/>
      <w:bookmarkEnd w:id="197"/>
      <w:bookmarkEnd w:id="198"/>
    </w:p>
    <w:tbl>
      <w:tblPr>
        <w:tblStyle w:val="23"/>
        <w:tblW w:w="830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28"/>
        <w:gridCol w:w="4260"/>
        <w:gridCol w:w="341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trPr>
        <w:tc>
          <w:tcPr>
            <w:tcW w:w="628"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7673" w:type="dxa"/>
            <w:gridSpan w:val="2"/>
            <w:vAlign w:val="center"/>
          </w:tcPr>
          <w:p>
            <w:pPr>
              <w:ind w:left="105" w:leftChars="50"/>
              <w:rPr>
                <w:rFonts w:ascii="宋体" w:hAnsi="宋体"/>
                <w:color w:val="auto"/>
                <w:szCs w:val="21"/>
                <w:highlight w:val="none"/>
              </w:rPr>
            </w:pPr>
            <w:r>
              <w:rPr>
                <w:rFonts w:hint="eastAsia" w:ascii="宋体" w:hAnsi="宋体"/>
                <w:color w:val="auto"/>
                <w:szCs w:val="21"/>
                <w:highlight w:val="none"/>
              </w:rPr>
              <w:t>企业名称：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trPr>
        <w:tc>
          <w:tcPr>
            <w:tcW w:w="628" w:type="dxa"/>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7673" w:type="dxa"/>
            <w:gridSpan w:val="2"/>
            <w:vAlign w:val="center"/>
          </w:tcPr>
          <w:p>
            <w:pPr>
              <w:ind w:left="105" w:leftChars="50"/>
              <w:rPr>
                <w:rFonts w:ascii="宋体" w:hAnsi="宋体"/>
                <w:color w:val="auto"/>
                <w:szCs w:val="21"/>
                <w:highlight w:val="none"/>
              </w:rPr>
            </w:pPr>
            <w:r>
              <w:rPr>
                <w:rFonts w:hint="eastAsia" w:ascii="宋体" w:hAnsi="宋体"/>
                <w:color w:val="auto"/>
                <w:szCs w:val="21"/>
                <w:highlight w:val="none"/>
              </w:rPr>
              <w:t>总部地址：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trPr>
        <w:tc>
          <w:tcPr>
            <w:tcW w:w="628" w:type="dxa"/>
            <w:vAlign w:val="center"/>
          </w:tcPr>
          <w:p>
            <w:pPr>
              <w:jc w:val="center"/>
              <w:rPr>
                <w:rFonts w:ascii="宋体" w:hAnsi="宋体"/>
                <w:color w:val="auto"/>
                <w:szCs w:val="21"/>
                <w:highlight w:val="none"/>
              </w:rPr>
            </w:pPr>
            <w:r>
              <w:rPr>
                <w:rFonts w:hint="eastAsia" w:ascii="宋体" w:hAnsi="宋体"/>
                <w:color w:val="auto"/>
                <w:szCs w:val="21"/>
                <w:highlight w:val="none"/>
              </w:rPr>
              <w:t>3</w:t>
            </w:r>
          </w:p>
        </w:tc>
        <w:tc>
          <w:tcPr>
            <w:tcW w:w="7673" w:type="dxa"/>
            <w:gridSpan w:val="2"/>
            <w:vAlign w:val="center"/>
          </w:tcPr>
          <w:p>
            <w:pPr>
              <w:ind w:left="105" w:leftChars="50"/>
              <w:rPr>
                <w:rFonts w:ascii="宋体" w:hAnsi="宋体"/>
                <w:color w:val="auto"/>
                <w:szCs w:val="21"/>
                <w:highlight w:val="none"/>
              </w:rPr>
            </w:pPr>
            <w:r>
              <w:rPr>
                <w:rFonts w:hint="eastAsia" w:ascii="宋体" w:hAnsi="宋体"/>
                <w:color w:val="auto"/>
                <w:szCs w:val="21"/>
                <w:highlight w:val="none"/>
              </w:rPr>
              <w:t>当地代表处地址：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trPr>
        <w:tc>
          <w:tcPr>
            <w:tcW w:w="628" w:type="dxa"/>
            <w:vAlign w:val="center"/>
          </w:tcPr>
          <w:p>
            <w:pPr>
              <w:jc w:val="center"/>
              <w:rPr>
                <w:rFonts w:ascii="宋体" w:hAnsi="宋体"/>
                <w:color w:val="auto"/>
                <w:szCs w:val="21"/>
                <w:highlight w:val="none"/>
              </w:rPr>
            </w:pPr>
            <w:r>
              <w:rPr>
                <w:rFonts w:hint="eastAsia" w:ascii="宋体" w:hAnsi="宋体"/>
                <w:color w:val="auto"/>
                <w:szCs w:val="21"/>
                <w:highlight w:val="none"/>
              </w:rPr>
              <w:t>4</w:t>
            </w:r>
          </w:p>
        </w:tc>
        <w:tc>
          <w:tcPr>
            <w:tcW w:w="4260" w:type="dxa"/>
            <w:vAlign w:val="center"/>
          </w:tcPr>
          <w:p>
            <w:pPr>
              <w:ind w:left="105" w:leftChars="50"/>
              <w:rPr>
                <w:rFonts w:ascii="宋体" w:hAnsi="宋体"/>
                <w:color w:val="auto"/>
                <w:szCs w:val="21"/>
                <w:highlight w:val="none"/>
              </w:rPr>
            </w:pPr>
            <w:r>
              <w:rPr>
                <w:rFonts w:hint="eastAsia" w:ascii="宋体" w:hAnsi="宋体"/>
                <w:color w:val="auto"/>
                <w:szCs w:val="21"/>
                <w:highlight w:val="none"/>
                <w:lang w:eastAsia="zh-CN"/>
              </w:rPr>
              <w:t>法定代表人（负责人）</w:t>
            </w:r>
            <w:r>
              <w:rPr>
                <w:rFonts w:hint="eastAsia" w:ascii="宋体" w:hAnsi="宋体"/>
                <w:color w:val="auto"/>
                <w:szCs w:val="21"/>
                <w:highlight w:val="none"/>
              </w:rPr>
              <w:t>：</w:t>
            </w:r>
          </w:p>
        </w:tc>
        <w:tc>
          <w:tcPr>
            <w:tcW w:w="3413" w:type="dxa"/>
            <w:vAlign w:val="center"/>
          </w:tcPr>
          <w:p>
            <w:pPr>
              <w:ind w:left="105" w:leftChars="50"/>
              <w:rPr>
                <w:rFonts w:ascii="宋体" w:hAnsi="宋体"/>
                <w:color w:val="auto"/>
                <w:szCs w:val="21"/>
                <w:highlight w:val="none"/>
              </w:rPr>
            </w:pPr>
            <w:r>
              <w:rPr>
                <w:rFonts w:hint="eastAsia" w:ascii="宋体" w:hAnsi="宋体"/>
                <w:color w:val="auto"/>
                <w:szCs w:val="21"/>
                <w:highlight w:val="none"/>
              </w:rPr>
              <w:t>企业性质：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trPr>
        <w:tc>
          <w:tcPr>
            <w:tcW w:w="628" w:type="dxa"/>
            <w:vAlign w:val="center"/>
          </w:tcPr>
          <w:p>
            <w:pPr>
              <w:jc w:val="center"/>
              <w:rPr>
                <w:rFonts w:ascii="宋体" w:hAnsi="宋体"/>
                <w:color w:val="auto"/>
                <w:szCs w:val="21"/>
                <w:highlight w:val="none"/>
              </w:rPr>
            </w:pPr>
            <w:r>
              <w:rPr>
                <w:rFonts w:hint="eastAsia" w:ascii="宋体" w:hAnsi="宋体"/>
                <w:color w:val="auto"/>
                <w:szCs w:val="21"/>
                <w:highlight w:val="none"/>
              </w:rPr>
              <w:t>5</w:t>
            </w:r>
          </w:p>
        </w:tc>
        <w:tc>
          <w:tcPr>
            <w:tcW w:w="4260" w:type="dxa"/>
            <w:vAlign w:val="center"/>
          </w:tcPr>
          <w:p>
            <w:pPr>
              <w:ind w:left="105" w:leftChars="50"/>
              <w:rPr>
                <w:rFonts w:ascii="宋体" w:hAnsi="宋体"/>
                <w:color w:val="auto"/>
                <w:szCs w:val="21"/>
                <w:highlight w:val="none"/>
              </w:rPr>
            </w:pPr>
            <w:r>
              <w:rPr>
                <w:rFonts w:hint="eastAsia" w:ascii="宋体" w:hAnsi="宋体"/>
                <w:color w:val="auto"/>
                <w:szCs w:val="21"/>
                <w:highlight w:val="none"/>
              </w:rPr>
              <w:t>联系人：</w:t>
            </w:r>
          </w:p>
        </w:tc>
        <w:tc>
          <w:tcPr>
            <w:tcW w:w="3413" w:type="dxa"/>
            <w:vAlign w:val="center"/>
          </w:tcPr>
          <w:p>
            <w:pPr>
              <w:ind w:left="105" w:leftChars="50"/>
              <w:rPr>
                <w:rFonts w:ascii="宋体" w:hAnsi="宋体"/>
                <w:color w:val="auto"/>
                <w:szCs w:val="21"/>
                <w:highlight w:val="none"/>
              </w:rPr>
            </w:pPr>
            <w:r>
              <w:rPr>
                <w:rFonts w:hint="eastAsia" w:ascii="宋体" w:hAnsi="宋体"/>
                <w:color w:val="auto"/>
                <w:szCs w:val="21"/>
                <w:highlight w:val="none"/>
              </w:rPr>
              <w:t>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trPr>
        <w:tc>
          <w:tcPr>
            <w:tcW w:w="628" w:type="dxa"/>
            <w:vAlign w:val="center"/>
          </w:tcPr>
          <w:p>
            <w:pPr>
              <w:jc w:val="center"/>
              <w:rPr>
                <w:rFonts w:ascii="宋体" w:hAnsi="宋体"/>
                <w:color w:val="auto"/>
                <w:szCs w:val="21"/>
                <w:highlight w:val="none"/>
              </w:rPr>
            </w:pPr>
            <w:r>
              <w:rPr>
                <w:rFonts w:hint="eastAsia" w:ascii="宋体" w:hAnsi="宋体"/>
                <w:color w:val="auto"/>
                <w:szCs w:val="21"/>
                <w:highlight w:val="none"/>
              </w:rPr>
              <w:t>6</w:t>
            </w:r>
          </w:p>
        </w:tc>
        <w:tc>
          <w:tcPr>
            <w:tcW w:w="4260" w:type="dxa"/>
            <w:vAlign w:val="center"/>
          </w:tcPr>
          <w:p>
            <w:pPr>
              <w:ind w:left="105" w:leftChars="50"/>
              <w:rPr>
                <w:rFonts w:ascii="宋体" w:hAnsi="宋体"/>
                <w:color w:val="auto"/>
                <w:szCs w:val="21"/>
                <w:highlight w:val="none"/>
              </w:rPr>
            </w:pPr>
            <w:r>
              <w:rPr>
                <w:rFonts w:hint="eastAsia" w:ascii="宋体" w:hAnsi="宋体"/>
                <w:color w:val="auto"/>
                <w:szCs w:val="21"/>
                <w:highlight w:val="none"/>
              </w:rPr>
              <w:t xml:space="preserve">注册地：       </w:t>
            </w:r>
          </w:p>
        </w:tc>
        <w:tc>
          <w:tcPr>
            <w:tcW w:w="3413" w:type="dxa"/>
            <w:vAlign w:val="center"/>
          </w:tcPr>
          <w:p>
            <w:pPr>
              <w:ind w:left="105" w:leftChars="50"/>
              <w:rPr>
                <w:rFonts w:ascii="宋体" w:hAnsi="宋体"/>
                <w:color w:val="auto"/>
                <w:szCs w:val="21"/>
                <w:highlight w:val="none"/>
              </w:rPr>
            </w:pPr>
            <w:r>
              <w:rPr>
                <w:rFonts w:hint="eastAsia" w:ascii="宋体" w:hAnsi="宋体"/>
                <w:color w:val="auto"/>
                <w:szCs w:val="21"/>
                <w:highlight w:val="none"/>
              </w:rPr>
              <w:t>注册年份：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trPr>
        <w:tc>
          <w:tcPr>
            <w:tcW w:w="628" w:type="dxa"/>
            <w:vAlign w:val="center"/>
          </w:tcPr>
          <w:p>
            <w:pPr>
              <w:jc w:val="center"/>
              <w:rPr>
                <w:rFonts w:ascii="宋体" w:hAnsi="宋体"/>
                <w:color w:val="auto"/>
                <w:szCs w:val="21"/>
                <w:highlight w:val="none"/>
              </w:rPr>
            </w:pPr>
            <w:r>
              <w:rPr>
                <w:rFonts w:hint="eastAsia" w:ascii="宋体" w:hAnsi="宋体"/>
                <w:color w:val="auto"/>
                <w:szCs w:val="21"/>
                <w:highlight w:val="none"/>
              </w:rPr>
              <w:t>7</w:t>
            </w:r>
          </w:p>
        </w:tc>
        <w:tc>
          <w:tcPr>
            <w:tcW w:w="7673" w:type="dxa"/>
            <w:gridSpan w:val="2"/>
            <w:vAlign w:val="center"/>
          </w:tcPr>
          <w:p>
            <w:pPr>
              <w:ind w:left="105" w:leftChars="50"/>
              <w:rPr>
                <w:rFonts w:ascii="宋体" w:hAnsi="宋体"/>
                <w:color w:val="auto"/>
                <w:szCs w:val="21"/>
                <w:highlight w:val="none"/>
              </w:rPr>
            </w:pPr>
            <w:r>
              <w:rPr>
                <w:rFonts w:hint="eastAsia" w:ascii="宋体" w:hAnsi="宋体"/>
                <w:color w:val="auto"/>
                <w:szCs w:val="21"/>
                <w:highlight w:val="none"/>
              </w:rPr>
              <w:t>公司</w:t>
            </w:r>
            <w:r>
              <w:rPr>
                <w:rFonts w:hint="eastAsia" w:ascii="宋体" w:hAnsi="宋体"/>
                <w:color w:val="auto"/>
                <w:szCs w:val="21"/>
                <w:highlight w:val="none"/>
                <w:u w:val="single"/>
              </w:rPr>
              <w:t xml:space="preserve">     （是否通过，何种）   </w:t>
            </w:r>
            <w:r>
              <w:rPr>
                <w:rFonts w:hint="eastAsia" w:ascii="宋体" w:hAnsi="宋体"/>
                <w:color w:val="auto"/>
                <w:szCs w:val="21"/>
                <w:highlight w:val="none"/>
              </w:rPr>
              <w:t>体系认证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23" w:hRule="atLeast"/>
        </w:trPr>
        <w:tc>
          <w:tcPr>
            <w:tcW w:w="628"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8</w:t>
            </w:r>
          </w:p>
        </w:tc>
        <w:tc>
          <w:tcPr>
            <w:tcW w:w="7673" w:type="dxa"/>
            <w:gridSpan w:val="2"/>
          </w:tcPr>
          <w:p>
            <w:pPr>
              <w:keepNext w:val="0"/>
              <w:keepLines w:val="0"/>
              <w:pageBreakBefore w:val="0"/>
              <w:widowControl w:val="0"/>
              <w:kinsoku/>
              <w:wordWrap/>
              <w:overflowPunct/>
              <w:topLinePunct w:val="0"/>
              <w:autoSpaceDE/>
              <w:autoSpaceDN/>
              <w:bidi w:val="0"/>
              <w:adjustRightInd/>
              <w:snapToGrid/>
              <w:spacing w:before="156" w:beforeLines="50"/>
              <w:ind w:left="105" w:leftChars="50"/>
              <w:textAlignment w:val="auto"/>
              <w:rPr>
                <w:rFonts w:ascii="宋体" w:hAnsi="宋体"/>
                <w:color w:val="auto"/>
                <w:szCs w:val="21"/>
                <w:highlight w:val="none"/>
              </w:rPr>
            </w:pPr>
            <w:r>
              <w:rPr>
                <w:rFonts w:hint="eastAsia" w:ascii="宋体" w:hAnsi="宋体"/>
                <w:color w:val="auto"/>
                <w:szCs w:val="21"/>
                <w:highlight w:val="none"/>
              </w:rPr>
              <w:t>主营范围：</w:t>
            </w:r>
          </w:p>
          <w:p>
            <w:pPr>
              <w:ind w:left="105" w:leftChars="50"/>
              <w:rPr>
                <w:rFonts w:ascii="宋体" w:hAnsi="宋体"/>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140" w:hRule="atLeast"/>
        </w:trPr>
        <w:tc>
          <w:tcPr>
            <w:tcW w:w="628" w:type="dxa"/>
            <w:vAlign w:val="center"/>
          </w:tcPr>
          <w:p>
            <w:pPr>
              <w:jc w:val="center"/>
              <w:rPr>
                <w:rFonts w:ascii="宋体" w:hAnsi="宋体"/>
                <w:color w:val="auto"/>
                <w:szCs w:val="21"/>
                <w:highlight w:val="none"/>
              </w:rPr>
            </w:pPr>
            <w:r>
              <w:rPr>
                <w:rFonts w:hint="eastAsia" w:ascii="宋体" w:hAnsi="宋体"/>
                <w:color w:val="auto"/>
                <w:szCs w:val="21"/>
                <w:highlight w:val="none"/>
              </w:rPr>
              <w:t>9</w:t>
            </w:r>
          </w:p>
        </w:tc>
        <w:tc>
          <w:tcPr>
            <w:tcW w:w="7673" w:type="dxa"/>
            <w:gridSpan w:val="2"/>
            <w:vAlign w:val="top"/>
          </w:tcPr>
          <w:p>
            <w:pPr>
              <w:keepNext w:val="0"/>
              <w:keepLines w:val="0"/>
              <w:pageBreakBefore w:val="0"/>
              <w:widowControl w:val="0"/>
              <w:kinsoku/>
              <w:wordWrap/>
              <w:overflowPunct/>
              <w:topLinePunct w:val="0"/>
              <w:autoSpaceDE/>
              <w:autoSpaceDN/>
              <w:bidi w:val="0"/>
              <w:adjustRightInd/>
              <w:snapToGrid/>
              <w:spacing w:before="157" w:beforeLines="50"/>
              <w:ind w:left="105" w:leftChars="50"/>
              <w:jc w:val="both"/>
              <w:textAlignment w:val="auto"/>
              <w:rPr>
                <w:rFonts w:ascii="宋体" w:hAnsi="宋体"/>
                <w:color w:val="auto"/>
                <w:szCs w:val="21"/>
                <w:highlight w:val="none"/>
              </w:rPr>
            </w:pPr>
            <w:r>
              <w:rPr>
                <w:rFonts w:hint="eastAsia" w:ascii="宋体" w:hAnsi="宋体"/>
                <w:color w:val="auto"/>
                <w:szCs w:val="21"/>
                <w:highlight w:val="none"/>
              </w:rPr>
              <w:t>其他需要说明的情况：</w:t>
            </w:r>
          </w:p>
        </w:tc>
      </w:tr>
    </w:tbl>
    <w:p>
      <w:pPr>
        <w:spacing w:line="360" w:lineRule="auto"/>
        <w:jc w:val="left"/>
        <w:rPr>
          <w:rFonts w:ascii="宋体" w:hAnsi="宋体"/>
          <w:color w:val="auto"/>
          <w:szCs w:val="21"/>
          <w:highlight w:val="none"/>
        </w:rPr>
      </w:pPr>
      <w:r>
        <w:rPr>
          <w:rFonts w:hint="eastAsia" w:ascii="宋体" w:hAnsi="宋体"/>
          <w:color w:val="auto"/>
          <w:szCs w:val="21"/>
          <w:highlight w:val="none"/>
        </w:rPr>
        <w:t>附：营业执照（或事业法人证书）复印件。</w:t>
      </w:r>
    </w:p>
    <w:p>
      <w:pPr>
        <w:pStyle w:val="28"/>
        <w:rPr>
          <w:color w:val="auto"/>
          <w:szCs w:val="21"/>
          <w:highlight w:val="none"/>
        </w:rPr>
      </w:pPr>
    </w:p>
    <w:p>
      <w:pPr>
        <w:spacing w:line="480" w:lineRule="auto"/>
        <w:ind w:firstLine="420" w:firstLineChars="200"/>
        <w:jc w:val="right"/>
        <w:rPr>
          <w:rFonts w:ascii="宋体" w:hAnsi="宋体"/>
          <w:color w:val="auto"/>
          <w:szCs w:val="21"/>
          <w:highlight w:val="none"/>
        </w:rPr>
      </w:pPr>
    </w:p>
    <w:p>
      <w:pPr>
        <w:spacing w:line="480" w:lineRule="auto"/>
        <w:ind w:firstLine="420" w:firstLineChars="200"/>
        <w:jc w:val="right"/>
        <w:rPr>
          <w:rFonts w:ascii="宋体" w:hAnsi="宋体"/>
          <w:color w:val="auto"/>
          <w:szCs w:val="21"/>
          <w:highlight w:val="none"/>
        </w:rPr>
      </w:pPr>
      <w:r>
        <w:rPr>
          <w:rFonts w:hint="eastAsia" w:ascii="宋体" w:hAnsi="宋体"/>
          <w:color w:val="auto"/>
          <w:szCs w:val="21"/>
          <w:highlight w:val="none"/>
        </w:rPr>
        <w:t xml:space="preserve">                        </w:t>
      </w:r>
      <w:bookmarkStart w:id="199" w:name="OLE_LINK19"/>
      <w:bookmarkStart w:id="200" w:name="OLE_LINK20"/>
    </w:p>
    <w:p>
      <w:pPr>
        <w:spacing w:line="480" w:lineRule="auto"/>
        <w:ind w:firstLine="420" w:firstLineChars="200"/>
        <w:jc w:val="right"/>
        <w:rPr>
          <w:rFonts w:ascii="宋体" w:hAnsi="宋体" w:cs="宋体"/>
          <w:color w:val="auto"/>
          <w:kern w:val="0"/>
          <w:szCs w:val="21"/>
          <w:highlight w:val="none"/>
        </w:rPr>
      </w:pPr>
      <w:r>
        <w:rPr>
          <w:rFonts w:hint="eastAsia" w:ascii="宋体" w:hAnsi="宋体"/>
          <w:color w:val="auto"/>
          <w:szCs w:val="21"/>
          <w:highlight w:val="none"/>
        </w:rPr>
        <w:t xml:space="preserve"> </w:t>
      </w:r>
      <w:r>
        <w:rPr>
          <w:rFonts w:hint="eastAsia" w:ascii="宋体" w:hAnsi="宋体" w:cs="宋体"/>
          <w:color w:val="auto"/>
          <w:kern w:val="0"/>
          <w:szCs w:val="21"/>
          <w:highlight w:val="none"/>
        </w:rPr>
        <w:t>投标人：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（盖单位章）</w:t>
      </w:r>
    </w:p>
    <w:p>
      <w:pPr>
        <w:autoSpaceDE w:val="0"/>
        <w:autoSpaceDN w:val="0"/>
        <w:adjustRightInd w:val="0"/>
        <w:spacing w:line="480" w:lineRule="auto"/>
        <w:jc w:val="right"/>
        <w:rPr>
          <w:rFonts w:ascii="宋体" w:hAnsi="宋体" w:cs="宋体"/>
          <w:color w:val="auto"/>
          <w:kern w:val="0"/>
          <w:szCs w:val="21"/>
          <w:highlight w:val="none"/>
        </w:rPr>
      </w:pPr>
      <w:r>
        <w:rPr>
          <w:rFonts w:hint="eastAsia" w:ascii="宋体" w:hAnsi="宋体" w:cs="宋体"/>
          <w:color w:val="auto"/>
          <w:kern w:val="0"/>
          <w:szCs w:val="21"/>
          <w:highlight w:val="none"/>
          <w:lang w:eastAsia="zh-CN"/>
        </w:rPr>
        <w:t>法定代表人（负责人）</w:t>
      </w:r>
      <w:r>
        <w:rPr>
          <w:rFonts w:hint="eastAsia" w:ascii="宋体" w:hAnsi="宋体" w:cs="宋体"/>
          <w:color w:val="auto"/>
          <w:kern w:val="0"/>
          <w:szCs w:val="21"/>
          <w:highlight w:val="none"/>
        </w:rPr>
        <w:t>或其委托代理人：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（签字或盖章）</w:t>
      </w:r>
    </w:p>
    <w:p>
      <w:pPr>
        <w:spacing w:line="480" w:lineRule="auto"/>
        <w:ind w:firstLine="4620" w:firstLineChars="2200"/>
        <w:jc w:val="right"/>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bookmarkEnd w:id="199"/>
      <w:bookmarkEnd w:id="200"/>
    </w:p>
    <w:bookmarkEnd w:id="157"/>
    <w:p>
      <w:pPr>
        <w:rPr>
          <w:rFonts w:ascii="宋体" w:hAnsi="宋体"/>
          <w:color w:val="auto"/>
          <w:sz w:val="24"/>
          <w:highlight w:val="none"/>
        </w:rPr>
      </w:pPr>
      <w:bookmarkStart w:id="201" w:name="_Toc10008"/>
      <w:bookmarkStart w:id="202" w:name="_Toc212032973"/>
      <w:bookmarkStart w:id="203" w:name="_Toc213560719"/>
      <w:bookmarkStart w:id="204" w:name="_Toc11308"/>
      <w:r>
        <w:rPr>
          <w:rFonts w:hint="eastAsia" w:ascii="宋体" w:hAnsi="宋体"/>
          <w:color w:val="auto"/>
          <w:sz w:val="24"/>
          <w:highlight w:val="none"/>
        </w:rPr>
        <w:br w:type="page"/>
      </w:r>
    </w:p>
    <w:bookmarkEnd w:id="201"/>
    <w:p>
      <w:pPr>
        <w:pStyle w:val="4"/>
        <w:bidi w:val="0"/>
        <w:ind w:left="0" w:firstLine="0"/>
        <w:rPr>
          <w:rFonts w:hint="default" w:ascii="宋体" w:hAnsi="宋体" w:eastAsia="宋体" w:cs="Times New Roman"/>
          <w:color w:val="auto"/>
          <w:sz w:val="32"/>
          <w:szCs w:val="32"/>
          <w:highlight w:val="none"/>
          <w:lang w:val="en-US" w:eastAsia="zh-CN"/>
        </w:rPr>
      </w:pPr>
      <w:bookmarkStart w:id="205" w:name="_Toc16028"/>
      <w:bookmarkStart w:id="206" w:name="_Toc13560"/>
      <w:bookmarkStart w:id="207" w:name="_Toc29667"/>
      <w:bookmarkStart w:id="208" w:name="_Toc11271"/>
      <w:r>
        <w:rPr>
          <w:rFonts w:hint="eastAsia" w:ascii="宋体" w:hAnsi="宋体" w:eastAsia="宋体" w:cs="Times New Roman"/>
          <w:color w:val="auto"/>
          <w:sz w:val="32"/>
          <w:szCs w:val="32"/>
          <w:highlight w:val="none"/>
          <w:lang w:val="en-US" w:eastAsia="zh-CN"/>
        </w:rPr>
        <w:t>四、</w:t>
      </w:r>
      <w:bookmarkEnd w:id="205"/>
      <w:bookmarkEnd w:id="206"/>
      <w:bookmarkEnd w:id="207"/>
      <w:bookmarkEnd w:id="208"/>
      <w:r>
        <w:rPr>
          <w:rFonts w:hint="eastAsia" w:ascii="宋体" w:hAnsi="宋体" w:eastAsia="宋体" w:cs="Times New Roman"/>
          <w:color w:val="auto"/>
          <w:sz w:val="32"/>
          <w:szCs w:val="32"/>
          <w:highlight w:val="none"/>
          <w:lang w:val="en-US" w:eastAsia="zh-CN"/>
        </w:rPr>
        <w:t>技术方案</w:t>
      </w:r>
    </w:p>
    <w:p>
      <w:pPr>
        <w:bidi w:val="0"/>
        <w:ind w:firstLine="2730" w:firstLineChars="1300"/>
        <w:rPr>
          <w:rFonts w:hint="eastAsia"/>
          <w:color w:val="auto"/>
          <w:highlight w:val="none"/>
        </w:rPr>
      </w:pPr>
      <w:bookmarkStart w:id="209" w:name="_Toc22775"/>
      <w:bookmarkStart w:id="210" w:name="_Toc12818"/>
      <w:bookmarkStart w:id="211" w:name="_Toc2082"/>
      <w:bookmarkStart w:id="212" w:name="_Toc1597"/>
      <w:r>
        <w:rPr>
          <w:rFonts w:hint="eastAsia"/>
          <w:color w:val="auto"/>
          <w:highlight w:val="none"/>
        </w:rPr>
        <w:t>（按评分标准编制内容，格式自拟）</w:t>
      </w:r>
      <w:bookmarkEnd w:id="209"/>
      <w:bookmarkEnd w:id="210"/>
      <w:bookmarkEnd w:id="211"/>
      <w:bookmarkEnd w:id="212"/>
    </w:p>
    <w:p>
      <w:pPr>
        <w:pStyle w:val="22"/>
        <w:spacing w:line="360" w:lineRule="auto"/>
        <w:ind w:left="0" w:leftChars="0" w:firstLine="0" w:firstLineChars="0"/>
        <w:rPr>
          <w:rFonts w:hint="eastAsia"/>
          <w:color w:val="auto"/>
          <w:highlight w:val="none"/>
          <w:lang w:val="en-US" w:eastAsia="zh-CN"/>
        </w:rPr>
      </w:pPr>
      <w:r>
        <w:rPr>
          <w:rFonts w:hint="eastAsia"/>
          <w:color w:val="auto"/>
          <w:highlight w:val="none"/>
          <w:lang w:val="en-US" w:eastAsia="zh-CN"/>
        </w:rPr>
        <w:t xml:space="preserve"> </w:t>
      </w:r>
    </w:p>
    <w:p>
      <w:pPr>
        <w:pStyle w:val="22"/>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1、技术性能指标（</w:t>
      </w:r>
      <w:r>
        <w:rPr>
          <w:rFonts w:hint="eastAsia" w:ascii="宋体" w:hAnsi="宋体" w:eastAsia="宋体" w:cs="宋体"/>
          <w:color w:val="auto"/>
          <w:highlight w:val="none"/>
        </w:rPr>
        <w:t>按评分标准附相关资料</w:t>
      </w:r>
      <w:r>
        <w:rPr>
          <w:rFonts w:hint="eastAsia" w:ascii="宋体" w:hAnsi="宋体" w:eastAsia="宋体" w:cs="宋体"/>
          <w:color w:val="auto"/>
          <w:highlight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lang w:val="en-US" w:eastAsia="zh-CN" w:bidi="ar"/>
        </w:rPr>
      </w:pPr>
      <w:r>
        <w:rPr>
          <w:rFonts w:hint="eastAsia" w:ascii="宋体" w:hAnsi="宋体" w:eastAsia="宋体" w:cs="宋体"/>
          <w:color w:val="auto"/>
          <w:szCs w:val="21"/>
          <w:highlight w:val="none"/>
          <w:lang w:val="en-US" w:eastAsia="zh-CN" w:bidi="ar"/>
        </w:rPr>
        <w:t>2、总体方案</w:t>
      </w:r>
    </w:p>
    <w:p>
      <w:pPr>
        <w:pStyle w:val="22"/>
        <w:keepNext w:val="0"/>
        <w:keepLines w:val="0"/>
        <w:pageBreakBefore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3、合理化建议及风险防控</w:t>
      </w:r>
    </w:p>
    <w:p>
      <w:pPr>
        <w:pStyle w:val="2"/>
        <w:rPr>
          <w:rFonts w:hint="default"/>
          <w:lang w:val="en-US" w:eastAsia="zh-CN"/>
        </w:rPr>
      </w:pPr>
    </w:p>
    <w:p>
      <w:pPr>
        <w:bidi w:val="0"/>
        <w:rPr>
          <w:rFonts w:hint="default"/>
          <w:color w:val="auto"/>
          <w:highlight w:val="none"/>
          <w:lang w:val="en-US" w:eastAsia="zh-CN"/>
        </w:rPr>
      </w:pPr>
    </w:p>
    <w:p>
      <w:pPr>
        <w:spacing w:before="312" w:beforeLines="100" w:after="156" w:afterLines="50" w:line="480" w:lineRule="auto"/>
        <w:ind w:firstLine="170"/>
        <w:rPr>
          <w:rFonts w:ascii="宋体" w:hAnsi="宋体" w:cs="宋体"/>
          <w:color w:val="auto"/>
          <w:spacing w:val="4"/>
          <w:szCs w:val="21"/>
          <w:highlight w:val="none"/>
        </w:rPr>
      </w:pPr>
    </w:p>
    <w:p>
      <w:pPr>
        <w:pStyle w:val="11"/>
        <w:spacing w:before="120"/>
        <w:ind w:left="2167" w:right="1470" w:hanging="697"/>
        <w:jc w:val="center"/>
        <w:rPr>
          <w:rFonts w:hint="eastAsia" w:eastAsia="宋体"/>
          <w:color w:val="auto"/>
          <w:highlight w:val="none"/>
          <w:lang w:eastAsia="zh-CN"/>
        </w:rPr>
      </w:pPr>
    </w:p>
    <w:p>
      <w:pPr>
        <w:pStyle w:val="11"/>
        <w:spacing w:before="120"/>
        <w:ind w:left="2167" w:right="1470" w:hanging="697"/>
        <w:jc w:val="center"/>
        <w:rPr>
          <w:rFonts w:hint="eastAsia" w:eastAsia="宋体"/>
          <w:color w:val="auto"/>
          <w:highlight w:val="none"/>
          <w:lang w:eastAsia="zh-CN"/>
        </w:rPr>
      </w:pPr>
    </w:p>
    <w:p>
      <w:pPr>
        <w:pStyle w:val="11"/>
        <w:spacing w:before="120"/>
        <w:ind w:left="2167" w:right="1470" w:hanging="697"/>
        <w:jc w:val="center"/>
        <w:rPr>
          <w:rFonts w:hint="eastAsia" w:eastAsia="宋体"/>
          <w:color w:val="auto"/>
          <w:highlight w:val="none"/>
          <w:lang w:eastAsia="zh-CN"/>
        </w:rPr>
      </w:pPr>
    </w:p>
    <w:p>
      <w:pPr>
        <w:pStyle w:val="11"/>
        <w:spacing w:before="120"/>
        <w:ind w:left="2167" w:right="1470" w:hanging="697"/>
        <w:jc w:val="center"/>
        <w:rPr>
          <w:rFonts w:hint="eastAsia" w:eastAsia="宋体"/>
          <w:color w:val="auto"/>
          <w:highlight w:val="none"/>
          <w:lang w:eastAsia="zh-CN"/>
        </w:rPr>
      </w:pPr>
    </w:p>
    <w:p>
      <w:pPr>
        <w:pStyle w:val="11"/>
        <w:spacing w:before="120"/>
        <w:ind w:left="2167" w:right="1470" w:hanging="697"/>
        <w:jc w:val="center"/>
        <w:rPr>
          <w:rFonts w:hint="eastAsia" w:eastAsia="宋体"/>
          <w:color w:val="auto"/>
          <w:highlight w:val="none"/>
          <w:lang w:eastAsia="zh-CN"/>
        </w:rPr>
      </w:pPr>
    </w:p>
    <w:p>
      <w:pPr>
        <w:pStyle w:val="11"/>
        <w:spacing w:before="120"/>
        <w:ind w:left="2167" w:right="1470" w:hanging="697"/>
        <w:jc w:val="center"/>
        <w:rPr>
          <w:rFonts w:hint="eastAsia" w:eastAsia="宋体"/>
          <w:color w:val="auto"/>
          <w:highlight w:val="none"/>
          <w:lang w:eastAsia="zh-CN"/>
        </w:rPr>
      </w:pPr>
    </w:p>
    <w:p>
      <w:pPr>
        <w:pStyle w:val="11"/>
        <w:spacing w:before="120"/>
        <w:ind w:left="2167" w:right="1470" w:hanging="697"/>
        <w:jc w:val="center"/>
        <w:rPr>
          <w:color w:val="auto"/>
          <w:highlight w:val="none"/>
        </w:rPr>
      </w:pPr>
    </w:p>
    <w:p>
      <w:pPr>
        <w:pStyle w:val="11"/>
        <w:spacing w:before="120"/>
        <w:ind w:left="2167" w:right="1470" w:hanging="697"/>
        <w:jc w:val="center"/>
        <w:rPr>
          <w:color w:val="auto"/>
          <w:highlight w:val="none"/>
        </w:rPr>
      </w:pPr>
    </w:p>
    <w:p>
      <w:pPr>
        <w:pStyle w:val="11"/>
        <w:spacing w:before="120"/>
        <w:ind w:left="2167" w:right="1470" w:hanging="697"/>
        <w:jc w:val="center"/>
        <w:rPr>
          <w:color w:val="auto"/>
          <w:highlight w:val="none"/>
        </w:rPr>
      </w:pPr>
    </w:p>
    <w:p>
      <w:pPr>
        <w:pStyle w:val="11"/>
        <w:spacing w:before="120"/>
        <w:ind w:left="2167" w:right="1470" w:hanging="697"/>
        <w:jc w:val="center"/>
        <w:rPr>
          <w:color w:val="auto"/>
          <w:highlight w:val="none"/>
        </w:rPr>
      </w:pPr>
    </w:p>
    <w:p>
      <w:pPr>
        <w:pStyle w:val="11"/>
        <w:spacing w:before="120"/>
        <w:ind w:left="2167" w:right="1470" w:hanging="697"/>
        <w:jc w:val="center"/>
        <w:rPr>
          <w:color w:val="auto"/>
          <w:highlight w:val="none"/>
        </w:rPr>
      </w:pPr>
    </w:p>
    <w:p>
      <w:pPr>
        <w:pStyle w:val="11"/>
        <w:spacing w:before="120"/>
        <w:ind w:left="2167" w:right="1470" w:hanging="697"/>
        <w:jc w:val="center"/>
        <w:rPr>
          <w:color w:val="auto"/>
          <w:highlight w:val="none"/>
        </w:rPr>
      </w:pPr>
    </w:p>
    <w:p>
      <w:pPr>
        <w:pStyle w:val="11"/>
        <w:spacing w:before="120"/>
        <w:ind w:left="2167" w:right="1470" w:hanging="697"/>
        <w:jc w:val="center"/>
        <w:rPr>
          <w:color w:val="auto"/>
          <w:highlight w:val="none"/>
        </w:rPr>
      </w:pPr>
    </w:p>
    <w:p>
      <w:pPr>
        <w:pStyle w:val="11"/>
        <w:spacing w:before="120"/>
        <w:ind w:left="2167" w:right="1470" w:hanging="697"/>
        <w:jc w:val="center"/>
        <w:rPr>
          <w:rFonts w:hint="eastAsia" w:eastAsia="宋体"/>
          <w:color w:val="auto"/>
          <w:highlight w:val="none"/>
          <w:lang w:eastAsia="zh-CN"/>
        </w:rPr>
      </w:pPr>
    </w:p>
    <w:p>
      <w:pPr>
        <w:pStyle w:val="11"/>
        <w:spacing w:before="120"/>
        <w:ind w:left="2167" w:right="1470" w:hanging="697"/>
        <w:jc w:val="center"/>
        <w:rPr>
          <w:rFonts w:hint="eastAsia" w:eastAsia="宋体"/>
          <w:color w:val="auto"/>
          <w:highlight w:val="none"/>
          <w:lang w:eastAsia="zh-CN"/>
        </w:rPr>
      </w:pPr>
    </w:p>
    <w:p>
      <w:pPr>
        <w:pStyle w:val="11"/>
        <w:spacing w:before="120"/>
        <w:ind w:left="2167" w:right="1470" w:hanging="697"/>
        <w:jc w:val="center"/>
        <w:rPr>
          <w:rFonts w:hint="eastAsia" w:eastAsia="宋体"/>
          <w:color w:val="auto"/>
          <w:highlight w:val="none"/>
          <w:lang w:eastAsia="zh-CN"/>
        </w:rPr>
      </w:pPr>
    </w:p>
    <w:p>
      <w:pPr>
        <w:pStyle w:val="11"/>
        <w:spacing w:before="120"/>
        <w:ind w:left="2167" w:right="1470" w:hanging="697"/>
        <w:jc w:val="center"/>
        <w:rPr>
          <w:rFonts w:hint="eastAsia" w:eastAsia="宋体"/>
          <w:color w:val="auto"/>
          <w:highlight w:val="none"/>
          <w:lang w:eastAsia="zh-CN"/>
        </w:rPr>
      </w:pPr>
    </w:p>
    <w:p>
      <w:pPr>
        <w:pStyle w:val="11"/>
        <w:spacing w:before="120"/>
        <w:ind w:left="2167" w:right="1470" w:hanging="697"/>
        <w:jc w:val="center"/>
        <w:rPr>
          <w:color w:val="auto"/>
          <w:highlight w:val="none"/>
        </w:rPr>
      </w:pPr>
    </w:p>
    <w:p>
      <w:pPr>
        <w:spacing w:before="312" w:beforeLines="100"/>
        <w:jc w:val="center"/>
        <w:rPr>
          <w:rFonts w:ascii="宋体" w:hAnsi="宋体"/>
          <w:bCs/>
          <w:color w:val="auto"/>
          <w:sz w:val="24"/>
          <w:highlight w:val="none"/>
        </w:rPr>
      </w:pPr>
      <w:r>
        <w:rPr>
          <w:rFonts w:hint="eastAsia" w:ascii="宋体" w:hAnsi="宋体"/>
          <w:b/>
          <w:color w:val="auto"/>
          <w:sz w:val="32"/>
          <w:szCs w:val="32"/>
          <w:highlight w:val="none"/>
        </w:rPr>
        <w:br w:type="page"/>
      </w:r>
    </w:p>
    <w:p>
      <w:pPr>
        <w:bidi w:val="0"/>
        <w:rPr>
          <w:color w:val="auto"/>
          <w:highlight w:val="none"/>
        </w:rPr>
      </w:pPr>
      <w:bookmarkStart w:id="213" w:name="_Toc11459"/>
      <w:bookmarkStart w:id="214" w:name="_Toc14447"/>
      <w:bookmarkStart w:id="215" w:name="_Toc10722"/>
      <w:bookmarkStart w:id="216" w:name="_Toc4938"/>
      <w:r>
        <w:rPr>
          <w:rFonts w:hint="eastAsia"/>
          <w:color w:val="auto"/>
          <w:highlight w:val="none"/>
        </w:rPr>
        <w:t>附表1：</w:t>
      </w:r>
    </w:p>
    <w:p>
      <w:pPr>
        <w:bidi w:val="0"/>
        <w:jc w:val="center"/>
        <w:rPr>
          <w:b/>
          <w:bCs/>
          <w:color w:val="auto"/>
          <w:sz w:val="28"/>
          <w:szCs w:val="36"/>
          <w:highlight w:val="none"/>
        </w:rPr>
      </w:pPr>
      <w:r>
        <w:rPr>
          <w:rFonts w:hint="eastAsia"/>
          <w:b/>
          <w:bCs/>
          <w:color w:val="auto"/>
          <w:sz w:val="28"/>
          <w:szCs w:val="36"/>
          <w:highlight w:val="none"/>
        </w:rPr>
        <w:t>技术要求偏离表</w:t>
      </w:r>
    </w:p>
    <w:tbl>
      <w:tblPr>
        <w:tblStyle w:val="23"/>
        <w:tblW w:w="9165"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205"/>
        <w:gridCol w:w="2010"/>
        <w:gridCol w:w="1425"/>
        <w:gridCol w:w="1485"/>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720" w:type="dxa"/>
            <w:vAlign w:val="center"/>
          </w:tcPr>
          <w:p>
            <w:pPr>
              <w:jc w:val="center"/>
              <w:rPr>
                <w:rFonts w:ascii="宋体" w:cs="宋体"/>
                <w:b/>
                <w:color w:val="auto"/>
                <w:szCs w:val="21"/>
                <w:highlight w:val="none"/>
              </w:rPr>
            </w:pPr>
            <w:r>
              <w:rPr>
                <w:rFonts w:hint="eastAsia" w:ascii="宋体" w:hAnsi="宋体" w:cs="宋体"/>
                <w:b/>
                <w:color w:val="auto"/>
                <w:szCs w:val="21"/>
                <w:highlight w:val="none"/>
              </w:rPr>
              <w:t>序号</w:t>
            </w:r>
          </w:p>
        </w:tc>
        <w:tc>
          <w:tcPr>
            <w:tcW w:w="2205" w:type="dxa"/>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招标文件技术要求</w:t>
            </w:r>
          </w:p>
        </w:tc>
        <w:tc>
          <w:tcPr>
            <w:tcW w:w="2010" w:type="dxa"/>
            <w:vAlign w:val="center"/>
          </w:tcPr>
          <w:p>
            <w:pPr>
              <w:jc w:val="center"/>
              <w:rPr>
                <w:rFonts w:ascii="宋体" w:cs="宋体"/>
                <w:b/>
                <w:color w:val="auto"/>
                <w:szCs w:val="21"/>
                <w:highlight w:val="none"/>
              </w:rPr>
            </w:pPr>
            <w:r>
              <w:rPr>
                <w:rFonts w:hint="eastAsia" w:ascii="宋体" w:hAnsi="宋体" w:cs="宋体"/>
                <w:b/>
                <w:color w:val="auto"/>
                <w:szCs w:val="21"/>
                <w:highlight w:val="none"/>
              </w:rPr>
              <w:t>投标响应</w:t>
            </w:r>
          </w:p>
        </w:tc>
        <w:tc>
          <w:tcPr>
            <w:tcW w:w="1425" w:type="dxa"/>
            <w:vAlign w:val="center"/>
          </w:tcPr>
          <w:p>
            <w:pPr>
              <w:jc w:val="center"/>
              <w:rPr>
                <w:rFonts w:ascii="宋体" w:cs="宋体"/>
                <w:b/>
                <w:color w:val="auto"/>
                <w:szCs w:val="21"/>
                <w:highlight w:val="none"/>
              </w:rPr>
            </w:pPr>
            <w:r>
              <w:rPr>
                <w:rFonts w:hint="eastAsia" w:ascii="宋体" w:cs="宋体"/>
                <w:b/>
                <w:color w:val="auto"/>
                <w:szCs w:val="21"/>
                <w:highlight w:val="none"/>
              </w:rPr>
              <w:t>正负偏离</w:t>
            </w:r>
          </w:p>
        </w:tc>
        <w:tc>
          <w:tcPr>
            <w:tcW w:w="1485" w:type="dxa"/>
            <w:vAlign w:val="center"/>
          </w:tcPr>
          <w:p>
            <w:pPr>
              <w:jc w:val="center"/>
              <w:rPr>
                <w:rFonts w:ascii="宋体" w:cs="宋体"/>
                <w:b/>
                <w:color w:val="auto"/>
                <w:szCs w:val="21"/>
                <w:highlight w:val="none"/>
              </w:rPr>
            </w:pPr>
            <w:r>
              <w:rPr>
                <w:rFonts w:hint="eastAsia" w:ascii="宋体" w:cs="宋体"/>
                <w:b/>
                <w:color w:val="auto"/>
                <w:szCs w:val="21"/>
                <w:highlight w:val="none"/>
              </w:rPr>
              <w:t>偏离说明</w:t>
            </w:r>
          </w:p>
        </w:tc>
        <w:tc>
          <w:tcPr>
            <w:tcW w:w="1320" w:type="dxa"/>
            <w:vAlign w:val="center"/>
          </w:tcPr>
          <w:p>
            <w:pPr>
              <w:jc w:val="center"/>
              <w:rPr>
                <w:rFonts w:hint="default" w:ascii="宋体" w:eastAsia="宋体" w:cs="宋体"/>
                <w:b/>
                <w:color w:val="auto"/>
                <w:szCs w:val="21"/>
                <w:highlight w:val="none"/>
                <w:lang w:val="en-US" w:eastAsia="zh-CN"/>
              </w:rPr>
            </w:pPr>
            <w:r>
              <w:rPr>
                <w:rFonts w:hint="eastAsia" w:ascii="宋体" w:cs="宋体"/>
                <w:b/>
                <w:color w:val="auto"/>
                <w:szCs w:val="21"/>
                <w:highlight w:val="none"/>
                <w:lang w:val="en-US" w:eastAsia="zh-CN"/>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20" w:type="dxa"/>
            <w:vAlign w:val="center"/>
          </w:tcPr>
          <w:p>
            <w:pPr>
              <w:jc w:val="center"/>
              <w:rPr>
                <w:rFonts w:ascii="宋体" w:cs="宋体"/>
                <w:color w:val="auto"/>
                <w:szCs w:val="21"/>
                <w:highlight w:val="none"/>
              </w:rPr>
            </w:pPr>
          </w:p>
        </w:tc>
        <w:tc>
          <w:tcPr>
            <w:tcW w:w="2205" w:type="dxa"/>
            <w:vAlign w:val="center"/>
          </w:tcPr>
          <w:p>
            <w:pPr>
              <w:jc w:val="center"/>
              <w:rPr>
                <w:rFonts w:ascii="宋体" w:cs="宋体"/>
                <w:color w:val="auto"/>
                <w:szCs w:val="21"/>
                <w:highlight w:val="none"/>
              </w:rPr>
            </w:pPr>
          </w:p>
        </w:tc>
        <w:tc>
          <w:tcPr>
            <w:tcW w:w="2010" w:type="dxa"/>
            <w:vAlign w:val="center"/>
          </w:tcPr>
          <w:p>
            <w:pPr>
              <w:jc w:val="center"/>
              <w:rPr>
                <w:rFonts w:ascii="宋体" w:cs="宋体"/>
                <w:color w:val="auto"/>
                <w:szCs w:val="21"/>
                <w:highlight w:val="none"/>
              </w:rPr>
            </w:pPr>
          </w:p>
        </w:tc>
        <w:tc>
          <w:tcPr>
            <w:tcW w:w="1425" w:type="dxa"/>
            <w:vAlign w:val="center"/>
          </w:tcPr>
          <w:p>
            <w:pPr>
              <w:jc w:val="center"/>
              <w:rPr>
                <w:rFonts w:ascii="宋体" w:cs="宋体"/>
                <w:color w:val="auto"/>
                <w:szCs w:val="21"/>
                <w:highlight w:val="none"/>
              </w:rPr>
            </w:pPr>
          </w:p>
        </w:tc>
        <w:tc>
          <w:tcPr>
            <w:tcW w:w="1485" w:type="dxa"/>
            <w:vAlign w:val="center"/>
          </w:tcPr>
          <w:p>
            <w:pPr>
              <w:jc w:val="center"/>
              <w:rPr>
                <w:rFonts w:ascii="宋体" w:cs="宋体"/>
                <w:color w:val="auto"/>
                <w:szCs w:val="21"/>
                <w:highlight w:val="none"/>
              </w:rPr>
            </w:pPr>
          </w:p>
        </w:tc>
        <w:tc>
          <w:tcPr>
            <w:tcW w:w="1320" w:type="dxa"/>
            <w:vAlign w:val="center"/>
          </w:tcPr>
          <w:p>
            <w:pPr>
              <w:jc w:val="center"/>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20" w:type="dxa"/>
            <w:vAlign w:val="center"/>
          </w:tcPr>
          <w:p>
            <w:pPr>
              <w:jc w:val="center"/>
              <w:rPr>
                <w:rFonts w:ascii="宋体" w:cs="宋体"/>
                <w:color w:val="auto"/>
                <w:szCs w:val="21"/>
                <w:highlight w:val="none"/>
              </w:rPr>
            </w:pPr>
          </w:p>
        </w:tc>
        <w:tc>
          <w:tcPr>
            <w:tcW w:w="2205" w:type="dxa"/>
            <w:vAlign w:val="center"/>
          </w:tcPr>
          <w:p>
            <w:pPr>
              <w:jc w:val="center"/>
              <w:rPr>
                <w:rFonts w:ascii="宋体" w:cs="宋体"/>
                <w:color w:val="auto"/>
                <w:szCs w:val="21"/>
                <w:highlight w:val="none"/>
              </w:rPr>
            </w:pPr>
          </w:p>
        </w:tc>
        <w:tc>
          <w:tcPr>
            <w:tcW w:w="2010" w:type="dxa"/>
            <w:vAlign w:val="center"/>
          </w:tcPr>
          <w:p>
            <w:pPr>
              <w:jc w:val="center"/>
              <w:rPr>
                <w:rFonts w:ascii="宋体" w:cs="宋体"/>
                <w:color w:val="auto"/>
                <w:szCs w:val="21"/>
                <w:highlight w:val="none"/>
              </w:rPr>
            </w:pPr>
          </w:p>
        </w:tc>
        <w:tc>
          <w:tcPr>
            <w:tcW w:w="1425" w:type="dxa"/>
            <w:vAlign w:val="center"/>
          </w:tcPr>
          <w:p>
            <w:pPr>
              <w:jc w:val="center"/>
              <w:rPr>
                <w:rFonts w:ascii="宋体" w:cs="宋体"/>
                <w:color w:val="auto"/>
                <w:szCs w:val="21"/>
                <w:highlight w:val="none"/>
              </w:rPr>
            </w:pPr>
          </w:p>
        </w:tc>
        <w:tc>
          <w:tcPr>
            <w:tcW w:w="1485" w:type="dxa"/>
            <w:vAlign w:val="center"/>
          </w:tcPr>
          <w:p>
            <w:pPr>
              <w:jc w:val="center"/>
              <w:rPr>
                <w:rFonts w:ascii="宋体" w:cs="宋体"/>
                <w:color w:val="auto"/>
                <w:szCs w:val="21"/>
                <w:highlight w:val="none"/>
              </w:rPr>
            </w:pPr>
          </w:p>
        </w:tc>
        <w:tc>
          <w:tcPr>
            <w:tcW w:w="1320" w:type="dxa"/>
            <w:vAlign w:val="center"/>
          </w:tcPr>
          <w:p>
            <w:pPr>
              <w:jc w:val="center"/>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20" w:type="dxa"/>
            <w:vAlign w:val="center"/>
          </w:tcPr>
          <w:p>
            <w:pPr>
              <w:jc w:val="center"/>
              <w:rPr>
                <w:rFonts w:ascii="宋体" w:cs="宋体"/>
                <w:color w:val="auto"/>
                <w:szCs w:val="21"/>
                <w:highlight w:val="none"/>
              </w:rPr>
            </w:pPr>
          </w:p>
        </w:tc>
        <w:tc>
          <w:tcPr>
            <w:tcW w:w="2205" w:type="dxa"/>
            <w:vAlign w:val="center"/>
          </w:tcPr>
          <w:p>
            <w:pPr>
              <w:jc w:val="center"/>
              <w:rPr>
                <w:rFonts w:ascii="宋体" w:cs="宋体"/>
                <w:color w:val="auto"/>
                <w:szCs w:val="21"/>
                <w:highlight w:val="none"/>
              </w:rPr>
            </w:pPr>
          </w:p>
        </w:tc>
        <w:tc>
          <w:tcPr>
            <w:tcW w:w="2010" w:type="dxa"/>
            <w:vAlign w:val="center"/>
          </w:tcPr>
          <w:p>
            <w:pPr>
              <w:jc w:val="center"/>
              <w:rPr>
                <w:rFonts w:ascii="宋体" w:cs="宋体"/>
                <w:color w:val="auto"/>
                <w:szCs w:val="21"/>
                <w:highlight w:val="none"/>
              </w:rPr>
            </w:pPr>
          </w:p>
        </w:tc>
        <w:tc>
          <w:tcPr>
            <w:tcW w:w="1425" w:type="dxa"/>
            <w:vAlign w:val="center"/>
          </w:tcPr>
          <w:p>
            <w:pPr>
              <w:jc w:val="center"/>
              <w:rPr>
                <w:rFonts w:ascii="宋体" w:cs="宋体"/>
                <w:color w:val="auto"/>
                <w:szCs w:val="21"/>
                <w:highlight w:val="none"/>
              </w:rPr>
            </w:pPr>
          </w:p>
        </w:tc>
        <w:tc>
          <w:tcPr>
            <w:tcW w:w="1485" w:type="dxa"/>
            <w:vAlign w:val="center"/>
          </w:tcPr>
          <w:p>
            <w:pPr>
              <w:jc w:val="center"/>
              <w:rPr>
                <w:rFonts w:ascii="宋体" w:cs="宋体"/>
                <w:color w:val="auto"/>
                <w:szCs w:val="21"/>
                <w:highlight w:val="none"/>
              </w:rPr>
            </w:pPr>
          </w:p>
        </w:tc>
        <w:tc>
          <w:tcPr>
            <w:tcW w:w="1320" w:type="dxa"/>
            <w:vAlign w:val="center"/>
          </w:tcPr>
          <w:p>
            <w:pPr>
              <w:jc w:val="center"/>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20" w:type="dxa"/>
            <w:vAlign w:val="center"/>
          </w:tcPr>
          <w:p>
            <w:pPr>
              <w:jc w:val="center"/>
              <w:rPr>
                <w:rFonts w:ascii="宋体" w:cs="宋体"/>
                <w:color w:val="auto"/>
                <w:szCs w:val="21"/>
                <w:highlight w:val="none"/>
              </w:rPr>
            </w:pPr>
          </w:p>
        </w:tc>
        <w:tc>
          <w:tcPr>
            <w:tcW w:w="2205" w:type="dxa"/>
            <w:vAlign w:val="center"/>
          </w:tcPr>
          <w:p>
            <w:pPr>
              <w:jc w:val="center"/>
              <w:rPr>
                <w:rFonts w:ascii="宋体" w:cs="宋体"/>
                <w:color w:val="auto"/>
                <w:szCs w:val="21"/>
                <w:highlight w:val="none"/>
              </w:rPr>
            </w:pPr>
          </w:p>
        </w:tc>
        <w:tc>
          <w:tcPr>
            <w:tcW w:w="2010" w:type="dxa"/>
            <w:vAlign w:val="center"/>
          </w:tcPr>
          <w:p>
            <w:pPr>
              <w:jc w:val="center"/>
              <w:rPr>
                <w:rFonts w:ascii="宋体" w:cs="宋体"/>
                <w:color w:val="auto"/>
                <w:szCs w:val="21"/>
                <w:highlight w:val="none"/>
              </w:rPr>
            </w:pPr>
          </w:p>
        </w:tc>
        <w:tc>
          <w:tcPr>
            <w:tcW w:w="1425" w:type="dxa"/>
            <w:vAlign w:val="center"/>
          </w:tcPr>
          <w:p>
            <w:pPr>
              <w:jc w:val="center"/>
              <w:rPr>
                <w:rFonts w:ascii="宋体" w:cs="宋体"/>
                <w:color w:val="auto"/>
                <w:szCs w:val="21"/>
                <w:highlight w:val="none"/>
              </w:rPr>
            </w:pPr>
          </w:p>
        </w:tc>
        <w:tc>
          <w:tcPr>
            <w:tcW w:w="1485" w:type="dxa"/>
            <w:vAlign w:val="center"/>
          </w:tcPr>
          <w:p>
            <w:pPr>
              <w:jc w:val="center"/>
              <w:rPr>
                <w:rFonts w:ascii="宋体" w:cs="宋体"/>
                <w:color w:val="auto"/>
                <w:szCs w:val="21"/>
                <w:highlight w:val="none"/>
              </w:rPr>
            </w:pPr>
          </w:p>
        </w:tc>
        <w:tc>
          <w:tcPr>
            <w:tcW w:w="1320" w:type="dxa"/>
            <w:vAlign w:val="center"/>
          </w:tcPr>
          <w:p>
            <w:pPr>
              <w:jc w:val="center"/>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20" w:type="dxa"/>
            <w:vAlign w:val="center"/>
          </w:tcPr>
          <w:p>
            <w:pPr>
              <w:jc w:val="center"/>
              <w:rPr>
                <w:rFonts w:ascii="宋体" w:cs="宋体"/>
                <w:color w:val="auto"/>
                <w:szCs w:val="21"/>
                <w:highlight w:val="none"/>
              </w:rPr>
            </w:pPr>
          </w:p>
        </w:tc>
        <w:tc>
          <w:tcPr>
            <w:tcW w:w="2205" w:type="dxa"/>
            <w:vAlign w:val="center"/>
          </w:tcPr>
          <w:p>
            <w:pPr>
              <w:jc w:val="center"/>
              <w:rPr>
                <w:rFonts w:ascii="宋体" w:cs="宋体"/>
                <w:color w:val="auto"/>
                <w:szCs w:val="21"/>
                <w:highlight w:val="none"/>
              </w:rPr>
            </w:pPr>
          </w:p>
        </w:tc>
        <w:tc>
          <w:tcPr>
            <w:tcW w:w="2010" w:type="dxa"/>
            <w:vAlign w:val="center"/>
          </w:tcPr>
          <w:p>
            <w:pPr>
              <w:jc w:val="center"/>
              <w:rPr>
                <w:rFonts w:ascii="宋体" w:cs="宋体"/>
                <w:color w:val="auto"/>
                <w:szCs w:val="21"/>
                <w:highlight w:val="none"/>
              </w:rPr>
            </w:pPr>
          </w:p>
        </w:tc>
        <w:tc>
          <w:tcPr>
            <w:tcW w:w="1425" w:type="dxa"/>
            <w:vAlign w:val="center"/>
          </w:tcPr>
          <w:p>
            <w:pPr>
              <w:jc w:val="center"/>
              <w:rPr>
                <w:rFonts w:ascii="宋体" w:cs="宋体"/>
                <w:color w:val="auto"/>
                <w:szCs w:val="21"/>
                <w:highlight w:val="none"/>
              </w:rPr>
            </w:pPr>
          </w:p>
        </w:tc>
        <w:tc>
          <w:tcPr>
            <w:tcW w:w="1485" w:type="dxa"/>
            <w:vAlign w:val="center"/>
          </w:tcPr>
          <w:p>
            <w:pPr>
              <w:jc w:val="center"/>
              <w:rPr>
                <w:rFonts w:ascii="宋体" w:cs="宋体"/>
                <w:color w:val="auto"/>
                <w:szCs w:val="21"/>
                <w:highlight w:val="none"/>
              </w:rPr>
            </w:pPr>
          </w:p>
        </w:tc>
        <w:tc>
          <w:tcPr>
            <w:tcW w:w="1320" w:type="dxa"/>
            <w:vAlign w:val="center"/>
          </w:tcPr>
          <w:p>
            <w:pPr>
              <w:jc w:val="center"/>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20" w:type="dxa"/>
            <w:vAlign w:val="center"/>
          </w:tcPr>
          <w:p>
            <w:pPr>
              <w:jc w:val="center"/>
              <w:rPr>
                <w:rFonts w:ascii="宋体" w:cs="宋体"/>
                <w:color w:val="auto"/>
                <w:szCs w:val="21"/>
                <w:highlight w:val="none"/>
              </w:rPr>
            </w:pPr>
          </w:p>
        </w:tc>
        <w:tc>
          <w:tcPr>
            <w:tcW w:w="2205" w:type="dxa"/>
            <w:vAlign w:val="center"/>
          </w:tcPr>
          <w:p>
            <w:pPr>
              <w:jc w:val="center"/>
              <w:rPr>
                <w:rFonts w:ascii="宋体" w:cs="宋体"/>
                <w:color w:val="auto"/>
                <w:szCs w:val="21"/>
                <w:highlight w:val="none"/>
              </w:rPr>
            </w:pPr>
          </w:p>
        </w:tc>
        <w:tc>
          <w:tcPr>
            <w:tcW w:w="2010" w:type="dxa"/>
            <w:vAlign w:val="center"/>
          </w:tcPr>
          <w:p>
            <w:pPr>
              <w:jc w:val="center"/>
              <w:rPr>
                <w:rFonts w:ascii="宋体" w:cs="宋体"/>
                <w:color w:val="auto"/>
                <w:szCs w:val="21"/>
                <w:highlight w:val="none"/>
              </w:rPr>
            </w:pPr>
          </w:p>
        </w:tc>
        <w:tc>
          <w:tcPr>
            <w:tcW w:w="1425" w:type="dxa"/>
            <w:vAlign w:val="center"/>
          </w:tcPr>
          <w:p>
            <w:pPr>
              <w:jc w:val="center"/>
              <w:rPr>
                <w:rFonts w:ascii="宋体" w:cs="宋体"/>
                <w:color w:val="auto"/>
                <w:szCs w:val="21"/>
                <w:highlight w:val="none"/>
              </w:rPr>
            </w:pPr>
          </w:p>
        </w:tc>
        <w:tc>
          <w:tcPr>
            <w:tcW w:w="1485" w:type="dxa"/>
            <w:vAlign w:val="center"/>
          </w:tcPr>
          <w:p>
            <w:pPr>
              <w:jc w:val="center"/>
              <w:rPr>
                <w:rFonts w:ascii="宋体" w:cs="宋体"/>
                <w:color w:val="auto"/>
                <w:szCs w:val="21"/>
                <w:highlight w:val="none"/>
              </w:rPr>
            </w:pPr>
          </w:p>
        </w:tc>
        <w:tc>
          <w:tcPr>
            <w:tcW w:w="1320" w:type="dxa"/>
            <w:vAlign w:val="center"/>
          </w:tcPr>
          <w:p>
            <w:pPr>
              <w:jc w:val="center"/>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720" w:type="dxa"/>
            <w:vAlign w:val="center"/>
          </w:tcPr>
          <w:p>
            <w:pPr>
              <w:jc w:val="center"/>
              <w:rPr>
                <w:rFonts w:ascii="宋体" w:cs="宋体"/>
                <w:color w:val="auto"/>
                <w:szCs w:val="21"/>
                <w:highlight w:val="none"/>
              </w:rPr>
            </w:pPr>
          </w:p>
        </w:tc>
        <w:tc>
          <w:tcPr>
            <w:tcW w:w="2205" w:type="dxa"/>
            <w:vAlign w:val="center"/>
          </w:tcPr>
          <w:p>
            <w:pPr>
              <w:jc w:val="center"/>
              <w:rPr>
                <w:rFonts w:ascii="宋体" w:cs="宋体"/>
                <w:color w:val="auto"/>
                <w:szCs w:val="21"/>
                <w:highlight w:val="none"/>
              </w:rPr>
            </w:pPr>
          </w:p>
        </w:tc>
        <w:tc>
          <w:tcPr>
            <w:tcW w:w="2010" w:type="dxa"/>
            <w:vAlign w:val="center"/>
          </w:tcPr>
          <w:p>
            <w:pPr>
              <w:jc w:val="center"/>
              <w:rPr>
                <w:rFonts w:ascii="宋体" w:cs="宋体"/>
                <w:color w:val="auto"/>
                <w:szCs w:val="21"/>
                <w:highlight w:val="none"/>
              </w:rPr>
            </w:pPr>
          </w:p>
        </w:tc>
        <w:tc>
          <w:tcPr>
            <w:tcW w:w="1425" w:type="dxa"/>
            <w:vAlign w:val="center"/>
          </w:tcPr>
          <w:p>
            <w:pPr>
              <w:jc w:val="center"/>
              <w:rPr>
                <w:rFonts w:ascii="宋体" w:cs="宋体"/>
                <w:color w:val="auto"/>
                <w:szCs w:val="21"/>
                <w:highlight w:val="none"/>
              </w:rPr>
            </w:pPr>
          </w:p>
        </w:tc>
        <w:tc>
          <w:tcPr>
            <w:tcW w:w="1485" w:type="dxa"/>
            <w:vAlign w:val="center"/>
          </w:tcPr>
          <w:p>
            <w:pPr>
              <w:jc w:val="center"/>
              <w:rPr>
                <w:rFonts w:ascii="宋体" w:cs="宋体"/>
                <w:color w:val="auto"/>
                <w:szCs w:val="21"/>
                <w:highlight w:val="none"/>
              </w:rPr>
            </w:pPr>
          </w:p>
        </w:tc>
        <w:tc>
          <w:tcPr>
            <w:tcW w:w="1320" w:type="dxa"/>
            <w:vAlign w:val="center"/>
          </w:tcPr>
          <w:p>
            <w:pPr>
              <w:jc w:val="center"/>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20" w:type="dxa"/>
            <w:vAlign w:val="center"/>
          </w:tcPr>
          <w:p>
            <w:pPr>
              <w:jc w:val="center"/>
              <w:rPr>
                <w:rFonts w:ascii="宋体" w:cs="宋体"/>
                <w:color w:val="auto"/>
                <w:szCs w:val="21"/>
                <w:highlight w:val="none"/>
              </w:rPr>
            </w:pPr>
          </w:p>
        </w:tc>
        <w:tc>
          <w:tcPr>
            <w:tcW w:w="2205" w:type="dxa"/>
            <w:vAlign w:val="center"/>
          </w:tcPr>
          <w:p>
            <w:pPr>
              <w:jc w:val="center"/>
              <w:rPr>
                <w:rFonts w:ascii="宋体" w:cs="宋体"/>
                <w:color w:val="auto"/>
                <w:szCs w:val="21"/>
                <w:highlight w:val="none"/>
              </w:rPr>
            </w:pPr>
          </w:p>
        </w:tc>
        <w:tc>
          <w:tcPr>
            <w:tcW w:w="2010" w:type="dxa"/>
            <w:vAlign w:val="center"/>
          </w:tcPr>
          <w:p>
            <w:pPr>
              <w:jc w:val="center"/>
              <w:rPr>
                <w:rFonts w:ascii="宋体" w:cs="宋体"/>
                <w:color w:val="auto"/>
                <w:szCs w:val="21"/>
                <w:highlight w:val="none"/>
              </w:rPr>
            </w:pPr>
          </w:p>
        </w:tc>
        <w:tc>
          <w:tcPr>
            <w:tcW w:w="1425" w:type="dxa"/>
            <w:vAlign w:val="center"/>
          </w:tcPr>
          <w:p>
            <w:pPr>
              <w:jc w:val="center"/>
              <w:rPr>
                <w:rFonts w:ascii="宋体" w:cs="宋体"/>
                <w:color w:val="auto"/>
                <w:szCs w:val="21"/>
                <w:highlight w:val="none"/>
              </w:rPr>
            </w:pPr>
          </w:p>
        </w:tc>
        <w:tc>
          <w:tcPr>
            <w:tcW w:w="1485" w:type="dxa"/>
            <w:vAlign w:val="center"/>
          </w:tcPr>
          <w:p>
            <w:pPr>
              <w:jc w:val="center"/>
              <w:rPr>
                <w:rFonts w:ascii="宋体" w:cs="宋体"/>
                <w:color w:val="auto"/>
                <w:szCs w:val="21"/>
                <w:highlight w:val="none"/>
              </w:rPr>
            </w:pPr>
          </w:p>
        </w:tc>
        <w:tc>
          <w:tcPr>
            <w:tcW w:w="1320" w:type="dxa"/>
            <w:vAlign w:val="center"/>
          </w:tcPr>
          <w:p>
            <w:pPr>
              <w:jc w:val="center"/>
              <w:rPr>
                <w:rFonts w:ascii="宋体" w:cs="宋体"/>
                <w:color w:val="auto"/>
                <w:szCs w:val="21"/>
                <w:highlight w:val="none"/>
              </w:rPr>
            </w:pPr>
          </w:p>
        </w:tc>
      </w:tr>
    </w:tbl>
    <w:p>
      <w:pPr>
        <w:spacing w:line="400" w:lineRule="exact"/>
        <w:ind w:firstLine="210" w:firstLineChars="100"/>
        <w:jc w:val="left"/>
        <w:rPr>
          <w:rFonts w:ascii="宋体" w:hAnsi="宋体" w:cs="宋体"/>
          <w:color w:val="auto"/>
          <w:szCs w:val="21"/>
          <w:highlight w:val="none"/>
        </w:rPr>
      </w:pPr>
      <w:r>
        <w:rPr>
          <w:rFonts w:hint="eastAsia" w:ascii="宋体" w:hAnsi="宋体" w:cs="宋体"/>
          <w:color w:val="auto"/>
          <w:szCs w:val="21"/>
          <w:highlight w:val="none"/>
        </w:rPr>
        <w:t>注：1、本表应严格按照“第四章 采购内容及要求”中采购的</w:t>
      </w:r>
      <w:r>
        <w:rPr>
          <w:rFonts w:hint="eastAsia" w:ascii="宋体" w:hAnsi="宋体" w:cs="宋体"/>
          <w:color w:val="auto"/>
          <w:szCs w:val="21"/>
          <w:highlight w:val="none"/>
          <w:lang w:val="en-US" w:eastAsia="zh-CN"/>
        </w:rPr>
        <w:t>产品</w:t>
      </w:r>
      <w:r>
        <w:rPr>
          <w:rFonts w:hint="eastAsia" w:ascii="宋体" w:hAnsi="宋体" w:cs="宋体"/>
          <w:color w:val="auto"/>
          <w:szCs w:val="21"/>
          <w:highlight w:val="none"/>
        </w:rPr>
        <w:t>内容填写；“招标文件技术要求”须按招标文件的技术参数填写；“投标响应”为投标人所提供的</w:t>
      </w:r>
      <w:r>
        <w:rPr>
          <w:rFonts w:hint="eastAsia" w:ascii="宋体" w:hAnsi="宋体" w:cs="宋体"/>
          <w:color w:val="auto"/>
          <w:szCs w:val="21"/>
          <w:highlight w:val="none"/>
          <w:lang w:val="en-US" w:eastAsia="zh-CN"/>
        </w:rPr>
        <w:t>产品</w:t>
      </w:r>
      <w:r>
        <w:rPr>
          <w:rFonts w:hint="eastAsia" w:ascii="宋体" w:hAnsi="宋体" w:cs="宋体"/>
          <w:color w:val="auto"/>
          <w:szCs w:val="21"/>
          <w:highlight w:val="none"/>
        </w:rPr>
        <w:t>内容；“正负偏离”填写：优于或低于。如偏离请在“偏离说明”中进行相应的说明，并按招标文件要求附相应的证明材料。</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若完全响应招标文件的不用</w:t>
      </w:r>
      <w:r>
        <w:rPr>
          <w:rFonts w:hint="eastAsia" w:ascii="宋体" w:hAnsi="宋体" w:cs="宋体"/>
          <w:color w:val="auto"/>
          <w:highlight w:val="none"/>
        </w:rPr>
        <w:t>不用在此表中列出，但必须提交空白表</w:t>
      </w:r>
      <w:r>
        <w:rPr>
          <w:rFonts w:hint="eastAsia" w:ascii="宋体" w:hAnsi="宋体" w:cs="宋体"/>
          <w:color w:val="auto"/>
          <w:highlight w:val="none"/>
          <w:lang w:eastAsia="zh-CN"/>
        </w:rPr>
        <w:t>，</w:t>
      </w:r>
      <w:r>
        <w:rPr>
          <w:rFonts w:hint="eastAsia" w:ascii="宋体" w:hAnsi="宋体" w:cs="宋体"/>
          <w:color w:val="auto"/>
          <w:szCs w:val="21"/>
          <w:highlight w:val="none"/>
        </w:rPr>
        <w:t>并按招标文件要求附相应的证明材料。</w:t>
      </w:r>
    </w:p>
    <w:p>
      <w:pPr>
        <w:spacing w:line="400" w:lineRule="exact"/>
        <w:ind w:firstLine="420" w:firstLineChars="200"/>
        <w:jc w:val="left"/>
        <w:rPr>
          <w:rFonts w:ascii="宋体" w:cs="宋体"/>
          <w:color w:val="auto"/>
          <w:szCs w:val="21"/>
          <w:highlight w:val="none"/>
        </w:rPr>
      </w:pPr>
      <w:r>
        <w:rPr>
          <w:rFonts w:hint="eastAsia" w:ascii="宋体" w:hAnsi="宋体" w:cs="宋体"/>
          <w:color w:val="auto"/>
          <w:szCs w:val="21"/>
          <w:highlight w:val="none"/>
        </w:rPr>
        <w:t>2、投标人必须据实填写，不得虚假响应，否则将取消其投标或中标资格，并按有关规定进行处罚。</w:t>
      </w:r>
    </w:p>
    <w:p>
      <w:pPr>
        <w:pStyle w:val="28"/>
        <w:rPr>
          <w:rFonts w:ascii="宋体" w:cs="宋体"/>
          <w:color w:val="auto"/>
          <w:szCs w:val="21"/>
          <w:highlight w:val="none"/>
        </w:rPr>
      </w:pPr>
    </w:p>
    <w:p>
      <w:pPr>
        <w:pStyle w:val="28"/>
        <w:rPr>
          <w:rFonts w:ascii="宋体" w:cs="宋体"/>
          <w:color w:val="auto"/>
          <w:szCs w:val="21"/>
          <w:highlight w:val="none"/>
        </w:rPr>
      </w:pPr>
    </w:p>
    <w:p>
      <w:pPr>
        <w:spacing w:line="480" w:lineRule="auto"/>
        <w:jc w:val="right"/>
        <w:rPr>
          <w:rFonts w:ascii="宋体" w:hAnsi="宋体" w:cs="宋体"/>
          <w:color w:val="auto"/>
          <w:szCs w:val="21"/>
          <w:highlight w:val="none"/>
        </w:rPr>
      </w:pPr>
      <w:r>
        <w:rPr>
          <w:rFonts w:hint="eastAsia" w:ascii="宋体" w:hAnsi="宋体" w:cs="宋体"/>
          <w:color w:val="auto"/>
          <w:szCs w:val="21"/>
          <w:highlight w:val="none"/>
          <w:lang w:bidi="ar"/>
        </w:rPr>
        <w:t>投标人：</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u w:val="single"/>
          <w:lang w:val="en-US" w:eastAsia="zh-CN" w:bidi="ar"/>
        </w:rPr>
        <w:t xml:space="preserve">                    </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u w:val="single"/>
          <w:lang w:val="en-US" w:eastAsia="zh-CN" w:bidi="ar"/>
        </w:rPr>
        <w:t xml:space="preserve"> </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（盖单位章）</w:t>
      </w:r>
    </w:p>
    <w:p>
      <w:pPr>
        <w:spacing w:line="480" w:lineRule="auto"/>
        <w:jc w:val="right"/>
        <w:rPr>
          <w:rFonts w:ascii="宋体" w:hAnsi="宋体" w:cs="宋体"/>
          <w:color w:val="auto"/>
          <w:szCs w:val="21"/>
          <w:highlight w:val="none"/>
        </w:rPr>
      </w:pPr>
      <w:r>
        <w:rPr>
          <w:rFonts w:hint="eastAsia" w:ascii="宋体" w:hAnsi="宋体" w:cs="宋体"/>
          <w:color w:val="auto"/>
          <w:szCs w:val="21"/>
          <w:highlight w:val="none"/>
          <w:lang w:eastAsia="zh-CN" w:bidi="ar"/>
        </w:rPr>
        <w:t>法定代表人（负责人）</w:t>
      </w:r>
      <w:r>
        <w:rPr>
          <w:rFonts w:hint="eastAsia" w:ascii="宋体" w:hAnsi="宋体" w:cs="宋体"/>
          <w:color w:val="auto"/>
          <w:szCs w:val="21"/>
          <w:highlight w:val="none"/>
          <w:lang w:bidi="ar"/>
        </w:rPr>
        <w:t>或其委托代理人：</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 xml:space="preserve">（签字或盖章） </w:t>
      </w:r>
    </w:p>
    <w:p>
      <w:pPr>
        <w:spacing w:line="480" w:lineRule="auto"/>
        <w:ind w:firstLine="4620" w:firstLineChars="2200"/>
        <w:jc w:val="right"/>
        <w:rPr>
          <w:rFonts w:ascii="宋体" w:hAnsi="宋体" w:cs="宋体"/>
          <w:color w:val="auto"/>
          <w:szCs w:val="21"/>
          <w:highlight w:val="none"/>
        </w:rPr>
      </w:pP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年</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月</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日</w:t>
      </w:r>
    </w:p>
    <w:p>
      <w:pPr>
        <w:rPr>
          <w:color w:val="auto"/>
          <w:highlight w:val="none"/>
        </w:rPr>
      </w:pPr>
      <w:r>
        <w:rPr>
          <w:rFonts w:ascii="宋体" w:hAnsi="宋体"/>
          <w:color w:val="auto"/>
          <w:sz w:val="24"/>
          <w:szCs w:val="28"/>
          <w:highlight w:val="none"/>
        </w:rPr>
        <w:br w:type="page"/>
      </w:r>
    </w:p>
    <w:p>
      <w:pPr>
        <w:pStyle w:val="4"/>
        <w:bidi w:val="0"/>
        <w:ind w:left="0" w:firstLine="0"/>
        <w:rPr>
          <w:rFonts w:hint="default" w:ascii="宋体" w:hAnsi="宋体" w:eastAsia="宋体" w:cs="Times New Roman"/>
          <w:color w:val="auto"/>
          <w:sz w:val="32"/>
          <w:szCs w:val="32"/>
          <w:highlight w:val="none"/>
          <w:lang w:val="en-US" w:eastAsia="zh-CN"/>
        </w:rPr>
      </w:pPr>
      <w:r>
        <w:rPr>
          <w:rFonts w:hint="eastAsia" w:ascii="宋体" w:hAnsi="宋体" w:eastAsia="宋体" w:cs="Times New Roman"/>
          <w:color w:val="auto"/>
          <w:sz w:val="32"/>
          <w:szCs w:val="32"/>
          <w:highlight w:val="none"/>
          <w:lang w:val="en-US" w:eastAsia="zh-CN"/>
        </w:rPr>
        <w:t>五、商务部分</w:t>
      </w:r>
    </w:p>
    <w:p>
      <w:pPr>
        <w:pStyle w:val="22"/>
        <w:ind w:left="0" w:leftChars="0" w:firstLine="0" w:firstLineChars="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1、业绩</w:t>
      </w:r>
      <w:bookmarkEnd w:id="213"/>
      <w:bookmarkEnd w:id="214"/>
      <w:bookmarkEnd w:id="215"/>
      <w:bookmarkEnd w:id="216"/>
    </w:p>
    <w:p>
      <w:pPr>
        <w:spacing w:line="360" w:lineRule="auto"/>
        <w:rPr>
          <w:rFonts w:ascii="宋体" w:hAnsi="宋体"/>
          <w:b/>
          <w:bCs/>
          <w:color w:val="auto"/>
          <w:szCs w:val="21"/>
          <w:highlight w:val="none"/>
        </w:rPr>
      </w:pPr>
      <w:bookmarkStart w:id="217" w:name="_Toc29747"/>
      <w:bookmarkStart w:id="218" w:name="_Toc7667"/>
      <w:bookmarkStart w:id="219" w:name="_Toc13987"/>
      <w:r>
        <w:rPr>
          <w:rFonts w:hint="eastAsia" w:ascii="宋体" w:hAnsi="宋体"/>
          <w:color w:val="auto"/>
          <w:szCs w:val="21"/>
          <w:highlight w:val="none"/>
        </w:rPr>
        <w:t>注：</w:t>
      </w:r>
      <w:r>
        <w:rPr>
          <w:rFonts w:hint="eastAsia" w:ascii="宋体" w:hAnsi="宋体" w:cs="宋体"/>
          <w:color w:val="auto"/>
          <w:szCs w:val="21"/>
          <w:highlight w:val="none"/>
        </w:rPr>
        <w:t>按评分标准中的要求提供证明材料</w:t>
      </w:r>
      <w:r>
        <w:rPr>
          <w:rFonts w:hint="eastAsia" w:ascii="宋体" w:hAnsi="宋体"/>
          <w:color w:val="auto"/>
          <w:szCs w:val="21"/>
          <w:highlight w:val="none"/>
        </w:rPr>
        <w:t>，否则不作为业绩进行考核。</w:t>
      </w:r>
    </w:p>
    <w:bookmarkEnd w:id="217"/>
    <w:bookmarkEnd w:id="218"/>
    <w:bookmarkEnd w:id="219"/>
    <w:tbl>
      <w:tblPr>
        <w:tblStyle w:val="23"/>
        <w:tblW w:w="8733"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1538"/>
        <w:gridCol w:w="2400"/>
        <w:gridCol w:w="1882"/>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032" w:type="dxa"/>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序号</w:t>
            </w:r>
          </w:p>
        </w:tc>
        <w:tc>
          <w:tcPr>
            <w:tcW w:w="1538" w:type="dxa"/>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项目名称</w:t>
            </w:r>
          </w:p>
        </w:tc>
        <w:tc>
          <w:tcPr>
            <w:tcW w:w="2400" w:type="dxa"/>
            <w:vAlign w:val="center"/>
          </w:tcPr>
          <w:p>
            <w:pPr>
              <w:jc w:val="center"/>
              <w:rPr>
                <w:rFonts w:hint="default"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产品名称及品牌</w:t>
            </w:r>
          </w:p>
        </w:tc>
        <w:tc>
          <w:tcPr>
            <w:tcW w:w="1882" w:type="dxa"/>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甲方名称</w:t>
            </w:r>
          </w:p>
        </w:tc>
        <w:tc>
          <w:tcPr>
            <w:tcW w:w="1881" w:type="dxa"/>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签约时间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032" w:type="dxa"/>
            <w:vAlign w:val="center"/>
          </w:tcPr>
          <w:p>
            <w:pPr>
              <w:spacing w:after="312" w:afterLines="100" w:line="400" w:lineRule="exact"/>
              <w:jc w:val="center"/>
              <w:rPr>
                <w:rFonts w:ascii="宋体" w:hAnsi="宋体" w:cs="宋体"/>
                <w:color w:val="auto"/>
                <w:szCs w:val="21"/>
                <w:highlight w:val="none"/>
              </w:rPr>
            </w:pPr>
          </w:p>
        </w:tc>
        <w:tc>
          <w:tcPr>
            <w:tcW w:w="1538" w:type="dxa"/>
            <w:vAlign w:val="center"/>
          </w:tcPr>
          <w:p>
            <w:pPr>
              <w:spacing w:after="312" w:afterLines="100" w:line="400" w:lineRule="exact"/>
              <w:jc w:val="center"/>
              <w:rPr>
                <w:rFonts w:ascii="宋体" w:hAnsi="宋体" w:cs="宋体"/>
                <w:color w:val="auto"/>
                <w:szCs w:val="21"/>
                <w:highlight w:val="none"/>
              </w:rPr>
            </w:pPr>
          </w:p>
        </w:tc>
        <w:tc>
          <w:tcPr>
            <w:tcW w:w="2400" w:type="dxa"/>
            <w:vAlign w:val="center"/>
          </w:tcPr>
          <w:p>
            <w:pPr>
              <w:spacing w:after="312" w:afterLines="100" w:line="400" w:lineRule="exact"/>
              <w:jc w:val="center"/>
              <w:rPr>
                <w:rFonts w:ascii="宋体" w:hAnsi="宋体" w:cs="宋体"/>
                <w:color w:val="auto"/>
                <w:szCs w:val="21"/>
                <w:highlight w:val="none"/>
              </w:rPr>
            </w:pPr>
          </w:p>
        </w:tc>
        <w:tc>
          <w:tcPr>
            <w:tcW w:w="1882" w:type="dxa"/>
            <w:vAlign w:val="center"/>
          </w:tcPr>
          <w:p>
            <w:pPr>
              <w:spacing w:after="312" w:afterLines="100" w:line="400" w:lineRule="exact"/>
              <w:jc w:val="center"/>
              <w:rPr>
                <w:rFonts w:ascii="宋体" w:hAnsi="宋体" w:cs="宋体"/>
                <w:color w:val="auto"/>
                <w:szCs w:val="21"/>
                <w:highlight w:val="none"/>
              </w:rPr>
            </w:pPr>
          </w:p>
        </w:tc>
        <w:tc>
          <w:tcPr>
            <w:tcW w:w="1881" w:type="dxa"/>
            <w:vAlign w:val="center"/>
          </w:tcPr>
          <w:p>
            <w:pPr>
              <w:spacing w:after="312" w:afterLines="100" w:line="4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032" w:type="dxa"/>
            <w:vAlign w:val="center"/>
          </w:tcPr>
          <w:p>
            <w:pPr>
              <w:spacing w:after="312" w:afterLines="100" w:line="400" w:lineRule="exact"/>
              <w:jc w:val="center"/>
              <w:rPr>
                <w:rFonts w:ascii="宋体" w:hAnsi="宋体" w:cs="宋体"/>
                <w:color w:val="auto"/>
                <w:szCs w:val="21"/>
                <w:highlight w:val="none"/>
              </w:rPr>
            </w:pPr>
          </w:p>
        </w:tc>
        <w:tc>
          <w:tcPr>
            <w:tcW w:w="1538" w:type="dxa"/>
            <w:vAlign w:val="center"/>
          </w:tcPr>
          <w:p>
            <w:pPr>
              <w:spacing w:after="312" w:afterLines="100" w:line="400" w:lineRule="exact"/>
              <w:jc w:val="center"/>
              <w:rPr>
                <w:rFonts w:ascii="宋体" w:hAnsi="宋体" w:cs="宋体"/>
                <w:color w:val="auto"/>
                <w:szCs w:val="21"/>
                <w:highlight w:val="none"/>
              </w:rPr>
            </w:pPr>
          </w:p>
        </w:tc>
        <w:tc>
          <w:tcPr>
            <w:tcW w:w="2400" w:type="dxa"/>
            <w:vAlign w:val="center"/>
          </w:tcPr>
          <w:p>
            <w:pPr>
              <w:spacing w:after="312" w:afterLines="100" w:line="400" w:lineRule="exact"/>
              <w:jc w:val="center"/>
              <w:rPr>
                <w:rFonts w:ascii="宋体" w:hAnsi="宋体" w:cs="宋体"/>
                <w:color w:val="auto"/>
                <w:szCs w:val="21"/>
                <w:highlight w:val="none"/>
              </w:rPr>
            </w:pPr>
          </w:p>
        </w:tc>
        <w:tc>
          <w:tcPr>
            <w:tcW w:w="1882" w:type="dxa"/>
            <w:vAlign w:val="center"/>
          </w:tcPr>
          <w:p>
            <w:pPr>
              <w:spacing w:after="312" w:afterLines="100" w:line="400" w:lineRule="exact"/>
              <w:jc w:val="center"/>
              <w:rPr>
                <w:rFonts w:ascii="宋体" w:hAnsi="宋体" w:cs="宋体"/>
                <w:color w:val="auto"/>
                <w:szCs w:val="21"/>
                <w:highlight w:val="none"/>
              </w:rPr>
            </w:pPr>
          </w:p>
        </w:tc>
        <w:tc>
          <w:tcPr>
            <w:tcW w:w="1881" w:type="dxa"/>
            <w:vAlign w:val="center"/>
          </w:tcPr>
          <w:p>
            <w:pPr>
              <w:spacing w:after="312" w:afterLines="100" w:line="4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032" w:type="dxa"/>
            <w:vAlign w:val="center"/>
          </w:tcPr>
          <w:p>
            <w:pPr>
              <w:spacing w:after="312" w:afterLines="100" w:line="400" w:lineRule="exact"/>
              <w:jc w:val="center"/>
              <w:rPr>
                <w:rFonts w:ascii="宋体" w:hAnsi="宋体" w:cs="宋体"/>
                <w:color w:val="auto"/>
                <w:szCs w:val="21"/>
                <w:highlight w:val="none"/>
              </w:rPr>
            </w:pPr>
          </w:p>
        </w:tc>
        <w:tc>
          <w:tcPr>
            <w:tcW w:w="1538" w:type="dxa"/>
            <w:vAlign w:val="center"/>
          </w:tcPr>
          <w:p>
            <w:pPr>
              <w:spacing w:after="312" w:afterLines="100" w:line="400" w:lineRule="exact"/>
              <w:jc w:val="center"/>
              <w:rPr>
                <w:rFonts w:ascii="宋体" w:hAnsi="宋体" w:cs="宋体"/>
                <w:color w:val="auto"/>
                <w:szCs w:val="21"/>
                <w:highlight w:val="none"/>
              </w:rPr>
            </w:pPr>
          </w:p>
        </w:tc>
        <w:tc>
          <w:tcPr>
            <w:tcW w:w="2400" w:type="dxa"/>
            <w:vAlign w:val="center"/>
          </w:tcPr>
          <w:p>
            <w:pPr>
              <w:spacing w:after="312" w:afterLines="100" w:line="400" w:lineRule="exact"/>
              <w:jc w:val="center"/>
              <w:rPr>
                <w:rFonts w:ascii="宋体" w:hAnsi="宋体" w:cs="宋体"/>
                <w:color w:val="auto"/>
                <w:szCs w:val="21"/>
                <w:highlight w:val="none"/>
              </w:rPr>
            </w:pPr>
          </w:p>
        </w:tc>
        <w:tc>
          <w:tcPr>
            <w:tcW w:w="1882" w:type="dxa"/>
            <w:vAlign w:val="center"/>
          </w:tcPr>
          <w:p>
            <w:pPr>
              <w:spacing w:after="312" w:afterLines="100" w:line="400" w:lineRule="exact"/>
              <w:jc w:val="center"/>
              <w:rPr>
                <w:rFonts w:ascii="宋体" w:hAnsi="宋体" w:cs="宋体"/>
                <w:color w:val="auto"/>
                <w:szCs w:val="21"/>
                <w:highlight w:val="none"/>
              </w:rPr>
            </w:pPr>
          </w:p>
        </w:tc>
        <w:tc>
          <w:tcPr>
            <w:tcW w:w="1881" w:type="dxa"/>
            <w:vAlign w:val="center"/>
          </w:tcPr>
          <w:p>
            <w:pPr>
              <w:spacing w:after="312" w:afterLines="100" w:line="4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032" w:type="dxa"/>
            <w:vAlign w:val="center"/>
          </w:tcPr>
          <w:p>
            <w:pPr>
              <w:spacing w:after="312" w:afterLines="100" w:line="400" w:lineRule="exact"/>
              <w:jc w:val="center"/>
              <w:rPr>
                <w:rFonts w:ascii="宋体" w:hAnsi="宋体" w:cs="宋体"/>
                <w:color w:val="auto"/>
                <w:szCs w:val="21"/>
                <w:highlight w:val="none"/>
              </w:rPr>
            </w:pPr>
          </w:p>
        </w:tc>
        <w:tc>
          <w:tcPr>
            <w:tcW w:w="1538" w:type="dxa"/>
            <w:vAlign w:val="center"/>
          </w:tcPr>
          <w:p>
            <w:pPr>
              <w:spacing w:after="312" w:afterLines="100" w:line="400" w:lineRule="exact"/>
              <w:jc w:val="center"/>
              <w:rPr>
                <w:rFonts w:ascii="宋体" w:hAnsi="宋体" w:cs="宋体"/>
                <w:color w:val="auto"/>
                <w:szCs w:val="21"/>
                <w:highlight w:val="none"/>
              </w:rPr>
            </w:pPr>
          </w:p>
        </w:tc>
        <w:tc>
          <w:tcPr>
            <w:tcW w:w="2400" w:type="dxa"/>
            <w:vAlign w:val="center"/>
          </w:tcPr>
          <w:p>
            <w:pPr>
              <w:spacing w:after="312" w:afterLines="100" w:line="400" w:lineRule="exact"/>
              <w:jc w:val="center"/>
              <w:rPr>
                <w:rFonts w:ascii="宋体" w:hAnsi="宋体" w:cs="宋体"/>
                <w:color w:val="auto"/>
                <w:szCs w:val="21"/>
                <w:highlight w:val="none"/>
              </w:rPr>
            </w:pPr>
          </w:p>
        </w:tc>
        <w:tc>
          <w:tcPr>
            <w:tcW w:w="1882" w:type="dxa"/>
            <w:vAlign w:val="center"/>
          </w:tcPr>
          <w:p>
            <w:pPr>
              <w:spacing w:after="312" w:afterLines="100" w:line="400" w:lineRule="exact"/>
              <w:jc w:val="center"/>
              <w:rPr>
                <w:rFonts w:ascii="宋体" w:hAnsi="宋体" w:cs="宋体"/>
                <w:color w:val="auto"/>
                <w:szCs w:val="21"/>
                <w:highlight w:val="none"/>
              </w:rPr>
            </w:pPr>
          </w:p>
        </w:tc>
        <w:tc>
          <w:tcPr>
            <w:tcW w:w="1881" w:type="dxa"/>
            <w:vAlign w:val="center"/>
          </w:tcPr>
          <w:p>
            <w:pPr>
              <w:spacing w:after="312" w:afterLines="100" w:line="4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032" w:type="dxa"/>
            <w:vAlign w:val="center"/>
          </w:tcPr>
          <w:p>
            <w:pPr>
              <w:spacing w:after="312" w:afterLines="100" w:line="400" w:lineRule="exact"/>
              <w:jc w:val="center"/>
              <w:rPr>
                <w:rFonts w:ascii="宋体" w:hAnsi="宋体" w:cs="宋体"/>
                <w:color w:val="auto"/>
                <w:szCs w:val="21"/>
                <w:highlight w:val="none"/>
              </w:rPr>
            </w:pPr>
          </w:p>
        </w:tc>
        <w:tc>
          <w:tcPr>
            <w:tcW w:w="1538" w:type="dxa"/>
            <w:vAlign w:val="center"/>
          </w:tcPr>
          <w:p>
            <w:pPr>
              <w:spacing w:after="312" w:afterLines="100" w:line="400" w:lineRule="exact"/>
              <w:jc w:val="center"/>
              <w:rPr>
                <w:rFonts w:ascii="宋体" w:hAnsi="宋体" w:cs="宋体"/>
                <w:color w:val="auto"/>
                <w:szCs w:val="21"/>
                <w:highlight w:val="none"/>
              </w:rPr>
            </w:pPr>
          </w:p>
        </w:tc>
        <w:tc>
          <w:tcPr>
            <w:tcW w:w="2400" w:type="dxa"/>
            <w:vAlign w:val="center"/>
          </w:tcPr>
          <w:p>
            <w:pPr>
              <w:spacing w:after="312" w:afterLines="100" w:line="400" w:lineRule="exact"/>
              <w:jc w:val="center"/>
              <w:rPr>
                <w:rFonts w:ascii="宋体" w:hAnsi="宋体" w:cs="宋体"/>
                <w:color w:val="auto"/>
                <w:szCs w:val="21"/>
                <w:highlight w:val="none"/>
              </w:rPr>
            </w:pPr>
          </w:p>
        </w:tc>
        <w:tc>
          <w:tcPr>
            <w:tcW w:w="1882" w:type="dxa"/>
            <w:vAlign w:val="center"/>
          </w:tcPr>
          <w:p>
            <w:pPr>
              <w:spacing w:after="312" w:afterLines="100" w:line="400" w:lineRule="exact"/>
              <w:jc w:val="center"/>
              <w:rPr>
                <w:rFonts w:ascii="宋体" w:hAnsi="宋体" w:cs="宋体"/>
                <w:color w:val="auto"/>
                <w:szCs w:val="21"/>
                <w:highlight w:val="none"/>
              </w:rPr>
            </w:pPr>
          </w:p>
        </w:tc>
        <w:tc>
          <w:tcPr>
            <w:tcW w:w="1881" w:type="dxa"/>
            <w:vAlign w:val="center"/>
          </w:tcPr>
          <w:p>
            <w:pPr>
              <w:spacing w:after="312" w:afterLines="100" w:line="4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032" w:type="dxa"/>
            <w:vAlign w:val="center"/>
          </w:tcPr>
          <w:p>
            <w:pPr>
              <w:spacing w:after="312" w:afterLines="100" w:line="400" w:lineRule="exact"/>
              <w:jc w:val="center"/>
              <w:rPr>
                <w:rFonts w:ascii="宋体" w:hAnsi="宋体" w:cs="宋体"/>
                <w:color w:val="auto"/>
                <w:szCs w:val="21"/>
                <w:highlight w:val="none"/>
              </w:rPr>
            </w:pPr>
          </w:p>
        </w:tc>
        <w:tc>
          <w:tcPr>
            <w:tcW w:w="1538" w:type="dxa"/>
            <w:vAlign w:val="center"/>
          </w:tcPr>
          <w:p>
            <w:pPr>
              <w:spacing w:after="312" w:afterLines="100" w:line="400" w:lineRule="exact"/>
              <w:jc w:val="center"/>
              <w:rPr>
                <w:rFonts w:ascii="宋体" w:hAnsi="宋体" w:cs="宋体"/>
                <w:color w:val="auto"/>
                <w:szCs w:val="21"/>
                <w:highlight w:val="none"/>
              </w:rPr>
            </w:pPr>
          </w:p>
        </w:tc>
        <w:tc>
          <w:tcPr>
            <w:tcW w:w="2400" w:type="dxa"/>
            <w:vAlign w:val="center"/>
          </w:tcPr>
          <w:p>
            <w:pPr>
              <w:spacing w:after="312" w:afterLines="100" w:line="400" w:lineRule="exact"/>
              <w:jc w:val="center"/>
              <w:rPr>
                <w:rFonts w:ascii="宋体" w:hAnsi="宋体" w:cs="宋体"/>
                <w:color w:val="auto"/>
                <w:szCs w:val="21"/>
                <w:highlight w:val="none"/>
              </w:rPr>
            </w:pPr>
          </w:p>
        </w:tc>
        <w:tc>
          <w:tcPr>
            <w:tcW w:w="1882" w:type="dxa"/>
            <w:vAlign w:val="center"/>
          </w:tcPr>
          <w:p>
            <w:pPr>
              <w:spacing w:after="312" w:afterLines="100" w:line="400" w:lineRule="exact"/>
              <w:jc w:val="center"/>
              <w:rPr>
                <w:rFonts w:ascii="宋体" w:hAnsi="宋体" w:cs="宋体"/>
                <w:color w:val="auto"/>
                <w:szCs w:val="21"/>
                <w:highlight w:val="none"/>
              </w:rPr>
            </w:pPr>
          </w:p>
        </w:tc>
        <w:tc>
          <w:tcPr>
            <w:tcW w:w="1881" w:type="dxa"/>
            <w:vAlign w:val="center"/>
          </w:tcPr>
          <w:p>
            <w:pPr>
              <w:spacing w:after="312" w:afterLines="100" w:line="4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032" w:type="dxa"/>
            <w:vAlign w:val="center"/>
          </w:tcPr>
          <w:p>
            <w:pPr>
              <w:spacing w:after="312" w:afterLines="100" w:line="400" w:lineRule="exact"/>
              <w:jc w:val="center"/>
              <w:rPr>
                <w:rFonts w:ascii="宋体" w:hAnsi="宋体" w:cs="宋体"/>
                <w:color w:val="auto"/>
                <w:szCs w:val="21"/>
                <w:highlight w:val="none"/>
              </w:rPr>
            </w:pPr>
          </w:p>
        </w:tc>
        <w:tc>
          <w:tcPr>
            <w:tcW w:w="1538" w:type="dxa"/>
            <w:vAlign w:val="center"/>
          </w:tcPr>
          <w:p>
            <w:pPr>
              <w:spacing w:after="312" w:afterLines="100" w:line="400" w:lineRule="exact"/>
              <w:jc w:val="center"/>
              <w:rPr>
                <w:rFonts w:ascii="宋体" w:hAnsi="宋体" w:cs="宋体"/>
                <w:color w:val="auto"/>
                <w:szCs w:val="21"/>
                <w:highlight w:val="none"/>
              </w:rPr>
            </w:pPr>
          </w:p>
        </w:tc>
        <w:tc>
          <w:tcPr>
            <w:tcW w:w="2400" w:type="dxa"/>
            <w:vAlign w:val="center"/>
          </w:tcPr>
          <w:p>
            <w:pPr>
              <w:spacing w:after="312" w:afterLines="100" w:line="400" w:lineRule="exact"/>
              <w:jc w:val="center"/>
              <w:rPr>
                <w:rFonts w:ascii="宋体" w:hAnsi="宋体" w:cs="宋体"/>
                <w:color w:val="auto"/>
                <w:szCs w:val="21"/>
                <w:highlight w:val="none"/>
              </w:rPr>
            </w:pPr>
          </w:p>
        </w:tc>
        <w:tc>
          <w:tcPr>
            <w:tcW w:w="1882" w:type="dxa"/>
            <w:vAlign w:val="center"/>
          </w:tcPr>
          <w:p>
            <w:pPr>
              <w:spacing w:after="312" w:afterLines="100" w:line="400" w:lineRule="exact"/>
              <w:jc w:val="center"/>
              <w:rPr>
                <w:rFonts w:ascii="宋体" w:hAnsi="宋体" w:cs="宋体"/>
                <w:color w:val="auto"/>
                <w:szCs w:val="21"/>
                <w:highlight w:val="none"/>
              </w:rPr>
            </w:pPr>
          </w:p>
        </w:tc>
        <w:tc>
          <w:tcPr>
            <w:tcW w:w="1881" w:type="dxa"/>
            <w:vAlign w:val="center"/>
          </w:tcPr>
          <w:p>
            <w:pPr>
              <w:spacing w:after="312" w:afterLines="100" w:line="4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032" w:type="dxa"/>
            <w:vAlign w:val="center"/>
          </w:tcPr>
          <w:p>
            <w:pPr>
              <w:spacing w:after="312" w:afterLines="100" w:line="400" w:lineRule="exact"/>
              <w:jc w:val="center"/>
              <w:rPr>
                <w:rFonts w:ascii="宋体" w:hAnsi="宋体" w:cs="宋体"/>
                <w:color w:val="auto"/>
                <w:szCs w:val="21"/>
                <w:highlight w:val="none"/>
              </w:rPr>
            </w:pPr>
          </w:p>
        </w:tc>
        <w:tc>
          <w:tcPr>
            <w:tcW w:w="1538" w:type="dxa"/>
            <w:vAlign w:val="center"/>
          </w:tcPr>
          <w:p>
            <w:pPr>
              <w:spacing w:after="312" w:afterLines="100" w:line="400" w:lineRule="exact"/>
              <w:jc w:val="center"/>
              <w:rPr>
                <w:rFonts w:ascii="宋体" w:hAnsi="宋体" w:cs="宋体"/>
                <w:color w:val="auto"/>
                <w:szCs w:val="21"/>
                <w:highlight w:val="none"/>
              </w:rPr>
            </w:pPr>
          </w:p>
        </w:tc>
        <w:tc>
          <w:tcPr>
            <w:tcW w:w="2400" w:type="dxa"/>
            <w:vAlign w:val="center"/>
          </w:tcPr>
          <w:p>
            <w:pPr>
              <w:spacing w:after="312" w:afterLines="100" w:line="400" w:lineRule="exact"/>
              <w:jc w:val="center"/>
              <w:rPr>
                <w:rFonts w:ascii="宋体" w:hAnsi="宋体" w:cs="宋体"/>
                <w:color w:val="auto"/>
                <w:szCs w:val="21"/>
                <w:highlight w:val="none"/>
              </w:rPr>
            </w:pPr>
          </w:p>
        </w:tc>
        <w:tc>
          <w:tcPr>
            <w:tcW w:w="1882" w:type="dxa"/>
            <w:vAlign w:val="center"/>
          </w:tcPr>
          <w:p>
            <w:pPr>
              <w:spacing w:after="312" w:afterLines="100" w:line="400" w:lineRule="exact"/>
              <w:jc w:val="center"/>
              <w:rPr>
                <w:rFonts w:ascii="宋体" w:hAnsi="宋体" w:cs="宋体"/>
                <w:color w:val="auto"/>
                <w:szCs w:val="21"/>
                <w:highlight w:val="none"/>
              </w:rPr>
            </w:pPr>
          </w:p>
        </w:tc>
        <w:tc>
          <w:tcPr>
            <w:tcW w:w="1881" w:type="dxa"/>
            <w:vAlign w:val="center"/>
          </w:tcPr>
          <w:p>
            <w:pPr>
              <w:spacing w:after="312" w:afterLines="100" w:line="4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032" w:type="dxa"/>
            <w:vAlign w:val="center"/>
          </w:tcPr>
          <w:p>
            <w:pPr>
              <w:spacing w:after="312" w:afterLines="100" w:line="400" w:lineRule="exact"/>
              <w:jc w:val="center"/>
              <w:rPr>
                <w:rFonts w:ascii="宋体" w:hAnsi="宋体" w:cs="宋体"/>
                <w:color w:val="auto"/>
                <w:szCs w:val="21"/>
                <w:highlight w:val="none"/>
              </w:rPr>
            </w:pPr>
          </w:p>
        </w:tc>
        <w:tc>
          <w:tcPr>
            <w:tcW w:w="1538" w:type="dxa"/>
            <w:vAlign w:val="center"/>
          </w:tcPr>
          <w:p>
            <w:pPr>
              <w:spacing w:after="312" w:afterLines="100" w:line="400" w:lineRule="exact"/>
              <w:jc w:val="center"/>
              <w:rPr>
                <w:rFonts w:ascii="宋体" w:hAnsi="宋体" w:cs="宋体"/>
                <w:color w:val="auto"/>
                <w:szCs w:val="21"/>
                <w:highlight w:val="none"/>
              </w:rPr>
            </w:pPr>
          </w:p>
        </w:tc>
        <w:tc>
          <w:tcPr>
            <w:tcW w:w="2400" w:type="dxa"/>
            <w:vAlign w:val="center"/>
          </w:tcPr>
          <w:p>
            <w:pPr>
              <w:spacing w:after="312" w:afterLines="100" w:line="400" w:lineRule="exact"/>
              <w:jc w:val="center"/>
              <w:rPr>
                <w:rFonts w:ascii="宋体" w:hAnsi="宋体" w:cs="宋体"/>
                <w:color w:val="auto"/>
                <w:szCs w:val="21"/>
                <w:highlight w:val="none"/>
              </w:rPr>
            </w:pPr>
          </w:p>
        </w:tc>
        <w:tc>
          <w:tcPr>
            <w:tcW w:w="1882" w:type="dxa"/>
            <w:vAlign w:val="center"/>
          </w:tcPr>
          <w:p>
            <w:pPr>
              <w:spacing w:after="312" w:afterLines="100" w:line="400" w:lineRule="exact"/>
              <w:jc w:val="center"/>
              <w:rPr>
                <w:rFonts w:ascii="宋体" w:hAnsi="宋体" w:cs="宋体"/>
                <w:color w:val="auto"/>
                <w:szCs w:val="21"/>
                <w:highlight w:val="none"/>
              </w:rPr>
            </w:pPr>
          </w:p>
        </w:tc>
        <w:tc>
          <w:tcPr>
            <w:tcW w:w="1881" w:type="dxa"/>
            <w:vAlign w:val="center"/>
          </w:tcPr>
          <w:p>
            <w:pPr>
              <w:spacing w:after="312" w:afterLines="100" w:line="400" w:lineRule="exact"/>
              <w:jc w:val="center"/>
              <w:rPr>
                <w:rFonts w:ascii="宋体" w:hAnsi="宋体" w:cs="宋体"/>
                <w:color w:val="auto"/>
                <w:szCs w:val="21"/>
                <w:highlight w:val="none"/>
              </w:rPr>
            </w:pPr>
          </w:p>
        </w:tc>
      </w:tr>
    </w:tbl>
    <w:p>
      <w:pPr>
        <w:jc w:val="center"/>
        <w:rPr>
          <w:rFonts w:ascii="宋体" w:hAnsi="宋体"/>
          <w:b/>
          <w:bCs/>
          <w:color w:val="auto"/>
          <w:kern w:val="0"/>
          <w:szCs w:val="21"/>
          <w:highlight w:val="none"/>
        </w:rPr>
      </w:pPr>
    </w:p>
    <w:p>
      <w:pPr>
        <w:jc w:val="center"/>
        <w:rPr>
          <w:rFonts w:ascii="宋体" w:hAnsi="宋体"/>
          <w:b/>
          <w:bCs/>
          <w:color w:val="auto"/>
          <w:kern w:val="0"/>
          <w:szCs w:val="21"/>
          <w:highlight w:val="none"/>
        </w:rPr>
      </w:pPr>
    </w:p>
    <w:p>
      <w:pPr>
        <w:spacing w:line="480" w:lineRule="auto"/>
        <w:jc w:val="right"/>
        <w:rPr>
          <w:rFonts w:hint="eastAsia" w:ascii="宋体" w:hAnsi="宋体" w:cs="宋体"/>
          <w:color w:val="auto"/>
          <w:kern w:val="0"/>
          <w:szCs w:val="21"/>
          <w:highlight w:val="none"/>
        </w:rPr>
      </w:pPr>
    </w:p>
    <w:p>
      <w:pPr>
        <w:spacing w:line="480" w:lineRule="auto"/>
        <w:jc w:val="right"/>
        <w:rPr>
          <w:rFonts w:ascii="宋体" w:hAnsi="宋体" w:cs="宋体"/>
          <w:color w:val="auto"/>
          <w:kern w:val="0"/>
          <w:szCs w:val="21"/>
          <w:highlight w:val="none"/>
        </w:rPr>
      </w:pPr>
      <w:r>
        <w:rPr>
          <w:rFonts w:hint="eastAsia" w:ascii="宋体" w:hAnsi="宋体" w:cs="宋体"/>
          <w:color w:val="auto"/>
          <w:kern w:val="0"/>
          <w:szCs w:val="21"/>
          <w:highlight w:val="none"/>
        </w:rPr>
        <w:t>投标人：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（盖单位章）</w:t>
      </w:r>
    </w:p>
    <w:p>
      <w:pPr>
        <w:autoSpaceDE w:val="0"/>
        <w:autoSpaceDN w:val="0"/>
        <w:adjustRightInd w:val="0"/>
        <w:spacing w:line="480" w:lineRule="auto"/>
        <w:jc w:val="right"/>
        <w:rPr>
          <w:rFonts w:ascii="宋体" w:hAnsi="宋体" w:cs="宋体"/>
          <w:color w:val="auto"/>
          <w:kern w:val="0"/>
          <w:szCs w:val="21"/>
          <w:highlight w:val="none"/>
        </w:rPr>
      </w:pPr>
      <w:r>
        <w:rPr>
          <w:rFonts w:hint="eastAsia" w:ascii="宋体" w:hAnsi="宋体" w:cs="宋体"/>
          <w:color w:val="auto"/>
          <w:kern w:val="0"/>
          <w:szCs w:val="21"/>
          <w:highlight w:val="none"/>
          <w:lang w:eastAsia="zh-CN"/>
        </w:rPr>
        <w:t>法定代表人（负责人）</w:t>
      </w:r>
      <w:r>
        <w:rPr>
          <w:rFonts w:hint="eastAsia" w:ascii="宋体" w:hAnsi="宋体" w:cs="宋体"/>
          <w:color w:val="auto"/>
          <w:kern w:val="0"/>
          <w:szCs w:val="21"/>
          <w:highlight w:val="none"/>
        </w:rPr>
        <w:t>或其委托代理人：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（签字或盖章）</w:t>
      </w:r>
    </w:p>
    <w:p>
      <w:pPr>
        <w:spacing w:line="480" w:lineRule="auto"/>
        <w:ind w:firstLine="4620" w:firstLineChars="2200"/>
        <w:jc w:val="right"/>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480" w:lineRule="auto"/>
        <w:ind w:firstLine="4620" w:firstLineChars="2200"/>
        <w:jc w:val="right"/>
        <w:rPr>
          <w:rFonts w:ascii="宋体" w:hAnsi="宋体"/>
          <w:color w:val="auto"/>
          <w:szCs w:val="21"/>
          <w:highlight w:val="none"/>
        </w:rPr>
      </w:pPr>
    </w:p>
    <w:p>
      <w:pPr>
        <w:bidi w:val="0"/>
        <w:rPr>
          <w:color w:val="auto"/>
          <w:highlight w:val="none"/>
        </w:rPr>
      </w:pPr>
      <w:r>
        <w:rPr>
          <w:rFonts w:hint="eastAsia"/>
          <w:color w:val="auto"/>
          <w:highlight w:val="none"/>
        </w:rPr>
        <w:br w:type="page"/>
      </w:r>
      <w:bookmarkStart w:id="220" w:name="_Toc24931"/>
      <w:bookmarkStart w:id="221" w:name="_Toc13337"/>
      <w:bookmarkStart w:id="222" w:name="_Toc23132"/>
    </w:p>
    <w:p>
      <w:pPr>
        <w:pStyle w:val="22"/>
        <w:ind w:left="0" w:leftChars="0" w:firstLine="0" w:firstLineChars="0"/>
        <w:rPr>
          <w:rFonts w:hint="default" w:ascii="Times New Roman" w:hAnsi="Times New Roman" w:cs="Times New Roman"/>
          <w:color w:val="auto"/>
          <w:highlight w:val="none"/>
          <w:lang w:val="en-US" w:eastAsia="zh-CN"/>
        </w:rPr>
      </w:pPr>
      <w:bookmarkStart w:id="223" w:name="_Toc9624"/>
      <w:r>
        <w:rPr>
          <w:rFonts w:hint="eastAsia" w:ascii="Times New Roman" w:hAnsi="Times New Roman" w:cs="Times New Roman"/>
          <w:color w:val="auto"/>
          <w:highlight w:val="none"/>
          <w:lang w:val="en-US" w:eastAsia="zh-CN"/>
        </w:rPr>
        <w:t>2、商务条款响应</w:t>
      </w:r>
    </w:p>
    <w:p>
      <w:pPr>
        <w:bidi w:val="0"/>
        <w:jc w:val="center"/>
        <w:rPr>
          <w:b/>
          <w:bCs/>
          <w:color w:val="auto"/>
          <w:sz w:val="28"/>
          <w:szCs w:val="36"/>
          <w:highlight w:val="none"/>
        </w:rPr>
      </w:pPr>
      <w:r>
        <w:rPr>
          <w:rFonts w:hint="eastAsia"/>
          <w:b/>
          <w:bCs/>
          <w:color w:val="auto"/>
          <w:sz w:val="28"/>
          <w:szCs w:val="36"/>
          <w:highlight w:val="none"/>
        </w:rPr>
        <w:t>商务条款偏离表</w:t>
      </w:r>
      <w:bookmarkEnd w:id="220"/>
      <w:bookmarkEnd w:id="221"/>
      <w:bookmarkEnd w:id="222"/>
      <w:bookmarkEnd w:id="223"/>
    </w:p>
    <w:tbl>
      <w:tblPr>
        <w:tblStyle w:val="23"/>
        <w:tblW w:w="9050"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4415"/>
        <w:gridCol w:w="1543"/>
        <w:gridCol w:w="2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731" w:type="dxa"/>
            <w:vAlign w:val="center"/>
          </w:tcPr>
          <w:p>
            <w:pPr>
              <w:jc w:val="center"/>
              <w:rPr>
                <w:rFonts w:ascii="宋体" w:cs="宋体"/>
                <w:b/>
                <w:color w:val="auto"/>
                <w:szCs w:val="21"/>
                <w:highlight w:val="none"/>
              </w:rPr>
            </w:pPr>
            <w:r>
              <w:rPr>
                <w:rFonts w:hint="eastAsia" w:ascii="宋体" w:hAnsi="宋体" w:cs="宋体"/>
                <w:b/>
                <w:color w:val="auto"/>
                <w:szCs w:val="21"/>
                <w:highlight w:val="none"/>
              </w:rPr>
              <w:t>序号</w:t>
            </w:r>
          </w:p>
        </w:tc>
        <w:tc>
          <w:tcPr>
            <w:tcW w:w="4415" w:type="dxa"/>
            <w:vAlign w:val="center"/>
          </w:tcPr>
          <w:p>
            <w:pPr>
              <w:jc w:val="center"/>
              <w:rPr>
                <w:rFonts w:ascii="宋体" w:cs="宋体"/>
                <w:b/>
                <w:color w:val="auto"/>
                <w:szCs w:val="21"/>
                <w:highlight w:val="none"/>
              </w:rPr>
            </w:pPr>
            <w:r>
              <w:rPr>
                <w:rFonts w:hint="eastAsia" w:ascii="宋体" w:hAnsi="宋体" w:cs="宋体"/>
                <w:b/>
                <w:color w:val="auto"/>
                <w:szCs w:val="21"/>
                <w:highlight w:val="none"/>
              </w:rPr>
              <w:t>招标文件要求的商务条款</w:t>
            </w:r>
          </w:p>
        </w:tc>
        <w:tc>
          <w:tcPr>
            <w:tcW w:w="1543" w:type="dxa"/>
            <w:vAlign w:val="center"/>
          </w:tcPr>
          <w:p>
            <w:pPr>
              <w:jc w:val="center"/>
              <w:rPr>
                <w:rFonts w:ascii="宋体" w:cs="宋体"/>
                <w:b/>
                <w:color w:val="auto"/>
                <w:szCs w:val="21"/>
                <w:highlight w:val="none"/>
              </w:rPr>
            </w:pPr>
            <w:r>
              <w:rPr>
                <w:rFonts w:hint="eastAsia" w:ascii="宋体" w:hAnsi="宋体" w:cs="宋体"/>
                <w:b/>
                <w:color w:val="auto"/>
                <w:szCs w:val="21"/>
                <w:highlight w:val="none"/>
                <w:lang w:val="en-US" w:eastAsia="zh-CN"/>
              </w:rPr>
              <w:t>是否</w:t>
            </w:r>
            <w:r>
              <w:rPr>
                <w:rFonts w:hint="eastAsia" w:ascii="宋体" w:hAnsi="宋体" w:cs="宋体"/>
                <w:b/>
                <w:color w:val="auto"/>
                <w:szCs w:val="21"/>
                <w:highlight w:val="none"/>
              </w:rPr>
              <w:t>响应</w:t>
            </w:r>
          </w:p>
        </w:tc>
        <w:tc>
          <w:tcPr>
            <w:tcW w:w="2361" w:type="dxa"/>
            <w:vAlign w:val="center"/>
          </w:tcPr>
          <w:p>
            <w:pPr>
              <w:jc w:val="center"/>
              <w:rPr>
                <w:rFonts w:hint="default" w:ascii="宋体" w:eastAsia="宋体" w:cs="宋体"/>
                <w:b/>
                <w:color w:val="auto"/>
                <w:szCs w:val="21"/>
                <w:highlight w:val="none"/>
                <w:lang w:val="en-US" w:eastAsia="zh-CN"/>
              </w:rPr>
            </w:pPr>
            <w:r>
              <w:rPr>
                <w:rFonts w:hint="eastAsia" w:ascii="宋体" w:cs="宋体"/>
                <w:b/>
                <w:color w:val="auto"/>
                <w:szCs w:val="21"/>
                <w:highlight w:val="none"/>
                <w:lang w:val="en-US" w:eastAsia="zh-CN"/>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31" w:type="dxa"/>
            <w:vAlign w:val="center"/>
          </w:tcPr>
          <w:p>
            <w:pPr>
              <w:jc w:val="center"/>
              <w:rPr>
                <w:rFonts w:hint="eastAsia" w:ascii="宋体" w:eastAsia="宋体" w:cs="宋体"/>
                <w:color w:val="auto"/>
                <w:szCs w:val="21"/>
                <w:highlight w:val="none"/>
                <w:lang w:val="en-US" w:eastAsia="zh-CN"/>
              </w:rPr>
            </w:pPr>
          </w:p>
        </w:tc>
        <w:tc>
          <w:tcPr>
            <w:tcW w:w="4415" w:type="dxa"/>
            <w:vAlign w:val="center"/>
          </w:tcPr>
          <w:p>
            <w:pPr>
              <w:spacing w:line="300" w:lineRule="auto"/>
              <w:jc w:val="left"/>
              <w:rPr>
                <w:rFonts w:ascii="宋体" w:cs="宋体"/>
                <w:color w:val="auto"/>
                <w:szCs w:val="21"/>
                <w:highlight w:val="none"/>
              </w:rPr>
            </w:pPr>
          </w:p>
        </w:tc>
        <w:tc>
          <w:tcPr>
            <w:tcW w:w="1543" w:type="dxa"/>
            <w:vAlign w:val="center"/>
          </w:tcPr>
          <w:p>
            <w:pPr>
              <w:jc w:val="center"/>
              <w:rPr>
                <w:rFonts w:ascii="宋体" w:cs="宋体"/>
                <w:color w:val="auto"/>
                <w:szCs w:val="21"/>
                <w:highlight w:val="none"/>
              </w:rPr>
            </w:pPr>
          </w:p>
        </w:tc>
        <w:tc>
          <w:tcPr>
            <w:tcW w:w="2361" w:type="dxa"/>
            <w:vAlign w:val="center"/>
          </w:tcPr>
          <w:p>
            <w:pPr>
              <w:jc w:val="center"/>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31" w:type="dxa"/>
            <w:vAlign w:val="center"/>
          </w:tcPr>
          <w:p>
            <w:pPr>
              <w:jc w:val="center"/>
              <w:rPr>
                <w:rFonts w:hint="eastAsia" w:ascii="宋体" w:eastAsia="宋体" w:cs="宋体"/>
                <w:color w:val="auto"/>
                <w:szCs w:val="21"/>
                <w:highlight w:val="none"/>
                <w:lang w:val="en-US" w:eastAsia="zh-CN"/>
              </w:rPr>
            </w:pPr>
          </w:p>
        </w:tc>
        <w:tc>
          <w:tcPr>
            <w:tcW w:w="4415" w:type="dxa"/>
            <w:vAlign w:val="center"/>
          </w:tcPr>
          <w:p>
            <w:pPr>
              <w:spacing w:line="300" w:lineRule="auto"/>
              <w:jc w:val="left"/>
              <w:rPr>
                <w:rFonts w:hint="eastAsia" w:ascii="宋体" w:eastAsia="宋体" w:cs="宋体"/>
                <w:color w:val="auto"/>
                <w:szCs w:val="21"/>
                <w:highlight w:val="none"/>
                <w:lang w:eastAsia="zh-CN"/>
              </w:rPr>
            </w:pPr>
          </w:p>
        </w:tc>
        <w:tc>
          <w:tcPr>
            <w:tcW w:w="1543" w:type="dxa"/>
            <w:vAlign w:val="center"/>
          </w:tcPr>
          <w:p>
            <w:pPr>
              <w:jc w:val="center"/>
              <w:rPr>
                <w:rFonts w:ascii="宋体" w:cs="宋体"/>
                <w:color w:val="auto"/>
                <w:szCs w:val="21"/>
                <w:highlight w:val="none"/>
              </w:rPr>
            </w:pPr>
          </w:p>
        </w:tc>
        <w:tc>
          <w:tcPr>
            <w:tcW w:w="2361" w:type="dxa"/>
            <w:vAlign w:val="center"/>
          </w:tcPr>
          <w:p>
            <w:pPr>
              <w:jc w:val="center"/>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31" w:type="dxa"/>
            <w:vAlign w:val="center"/>
          </w:tcPr>
          <w:p>
            <w:pPr>
              <w:jc w:val="center"/>
              <w:rPr>
                <w:rFonts w:hint="eastAsia" w:ascii="宋体" w:eastAsia="宋体" w:cs="宋体"/>
                <w:color w:val="auto"/>
                <w:szCs w:val="21"/>
                <w:highlight w:val="none"/>
                <w:lang w:val="en-US" w:eastAsia="zh-CN"/>
              </w:rPr>
            </w:pPr>
          </w:p>
        </w:tc>
        <w:tc>
          <w:tcPr>
            <w:tcW w:w="4415" w:type="dxa"/>
            <w:vAlign w:val="center"/>
          </w:tcPr>
          <w:p>
            <w:pPr>
              <w:spacing w:line="300" w:lineRule="auto"/>
              <w:jc w:val="left"/>
              <w:rPr>
                <w:rFonts w:ascii="宋体" w:cs="宋体"/>
                <w:color w:val="auto"/>
                <w:szCs w:val="21"/>
                <w:highlight w:val="none"/>
              </w:rPr>
            </w:pPr>
          </w:p>
        </w:tc>
        <w:tc>
          <w:tcPr>
            <w:tcW w:w="1543" w:type="dxa"/>
            <w:vAlign w:val="center"/>
          </w:tcPr>
          <w:p>
            <w:pPr>
              <w:jc w:val="center"/>
              <w:rPr>
                <w:rFonts w:ascii="宋体" w:cs="宋体"/>
                <w:color w:val="auto"/>
                <w:szCs w:val="21"/>
                <w:highlight w:val="none"/>
              </w:rPr>
            </w:pPr>
          </w:p>
        </w:tc>
        <w:tc>
          <w:tcPr>
            <w:tcW w:w="2361" w:type="dxa"/>
            <w:vAlign w:val="center"/>
          </w:tcPr>
          <w:p>
            <w:pPr>
              <w:jc w:val="center"/>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31" w:type="dxa"/>
            <w:vAlign w:val="center"/>
          </w:tcPr>
          <w:p>
            <w:pPr>
              <w:jc w:val="center"/>
              <w:rPr>
                <w:rFonts w:hint="eastAsia" w:ascii="宋体" w:eastAsia="宋体" w:cs="宋体"/>
                <w:color w:val="auto"/>
                <w:szCs w:val="21"/>
                <w:highlight w:val="none"/>
                <w:lang w:val="en-US" w:eastAsia="zh-CN"/>
              </w:rPr>
            </w:pPr>
          </w:p>
        </w:tc>
        <w:tc>
          <w:tcPr>
            <w:tcW w:w="4415" w:type="dxa"/>
            <w:vAlign w:val="center"/>
          </w:tcPr>
          <w:p>
            <w:pPr>
              <w:spacing w:line="300" w:lineRule="auto"/>
              <w:jc w:val="left"/>
              <w:rPr>
                <w:rFonts w:ascii="宋体" w:hAnsi="宋体" w:cs="宋体"/>
                <w:color w:val="auto"/>
                <w:szCs w:val="21"/>
                <w:highlight w:val="none"/>
              </w:rPr>
            </w:pPr>
          </w:p>
        </w:tc>
        <w:tc>
          <w:tcPr>
            <w:tcW w:w="1543" w:type="dxa"/>
            <w:vAlign w:val="center"/>
          </w:tcPr>
          <w:p>
            <w:pPr>
              <w:jc w:val="center"/>
              <w:rPr>
                <w:rFonts w:ascii="宋体" w:cs="宋体"/>
                <w:color w:val="auto"/>
                <w:szCs w:val="21"/>
                <w:highlight w:val="none"/>
              </w:rPr>
            </w:pPr>
          </w:p>
        </w:tc>
        <w:tc>
          <w:tcPr>
            <w:tcW w:w="2361" w:type="dxa"/>
            <w:vAlign w:val="center"/>
          </w:tcPr>
          <w:p>
            <w:pPr>
              <w:jc w:val="center"/>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31" w:type="dxa"/>
            <w:vAlign w:val="center"/>
          </w:tcPr>
          <w:p>
            <w:pPr>
              <w:jc w:val="center"/>
              <w:rPr>
                <w:rFonts w:hint="eastAsia" w:ascii="宋体" w:eastAsia="宋体" w:cs="宋体"/>
                <w:color w:val="auto"/>
                <w:szCs w:val="21"/>
                <w:highlight w:val="none"/>
                <w:lang w:val="en-US" w:eastAsia="zh-CN"/>
              </w:rPr>
            </w:pPr>
          </w:p>
        </w:tc>
        <w:tc>
          <w:tcPr>
            <w:tcW w:w="4415" w:type="dxa"/>
            <w:vAlign w:val="center"/>
          </w:tcPr>
          <w:p>
            <w:pPr>
              <w:spacing w:line="300" w:lineRule="auto"/>
              <w:jc w:val="left"/>
              <w:rPr>
                <w:rFonts w:ascii="宋体" w:cs="宋体"/>
                <w:color w:val="auto"/>
                <w:szCs w:val="21"/>
                <w:highlight w:val="none"/>
              </w:rPr>
            </w:pPr>
          </w:p>
        </w:tc>
        <w:tc>
          <w:tcPr>
            <w:tcW w:w="1543" w:type="dxa"/>
            <w:vAlign w:val="center"/>
          </w:tcPr>
          <w:p>
            <w:pPr>
              <w:jc w:val="center"/>
              <w:rPr>
                <w:rFonts w:ascii="宋体" w:cs="宋体"/>
                <w:color w:val="auto"/>
                <w:szCs w:val="21"/>
                <w:highlight w:val="none"/>
              </w:rPr>
            </w:pPr>
          </w:p>
        </w:tc>
        <w:tc>
          <w:tcPr>
            <w:tcW w:w="2361" w:type="dxa"/>
            <w:vAlign w:val="center"/>
          </w:tcPr>
          <w:p>
            <w:pPr>
              <w:jc w:val="center"/>
              <w:rPr>
                <w:rFonts w:ascii="宋体" w:cs="宋体"/>
                <w:color w:val="auto"/>
                <w:szCs w:val="21"/>
                <w:highlight w:val="none"/>
              </w:rPr>
            </w:pPr>
          </w:p>
        </w:tc>
      </w:tr>
    </w:tbl>
    <w:p>
      <w:pPr>
        <w:spacing w:line="500" w:lineRule="exact"/>
        <w:ind w:firstLine="420" w:firstLineChars="200"/>
        <w:rPr>
          <w:rFonts w:ascii="宋体" w:hAnsi="宋体" w:cs="宋体"/>
          <w:color w:val="auto"/>
          <w:highlight w:val="none"/>
        </w:rPr>
      </w:pPr>
      <w:r>
        <w:rPr>
          <w:rFonts w:hint="eastAsia" w:ascii="宋体" w:hAnsi="宋体" w:cs="宋体"/>
          <w:color w:val="auto"/>
          <w:highlight w:val="none"/>
        </w:rPr>
        <w:t>注：1.本表只填写投标文件中与招标文件有偏离（包括正偏离和负偏离）的内容，投标文件中商务响应与招标文件要求完全一致的，不用在此表中列出，但必须提交空白表。</w:t>
      </w:r>
    </w:p>
    <w:p>
      <w:pPr>
        <w:spacing w:line="500" w:lineRule="exact"/>
        <w:ind w:firstLine="420" w:firstLineChars="200"/>
        <w:rPr>
          <w:rFonts w:ascii="宋体" w:hAnsi="宋体" w:cs="宋体"/>
          <w:color w:val="auto"/>
          <w:highlight w:val="none"/>
        </w:rPr>
      </w:pPr>
      <w:r>
        <w:rPr>
          <w:rFonts w:hint="eastAsia" w:ascii="宋体" w:hAnsi="宋体" w:cs="宋体"/>
          <w:color w:val="auto"/>
          <w:highlight w:val="none"/>
        </w:rPr>
        <w:t>2.投标人必须据实填写，不得虚假响应，否则将取消其投标或中标资格，并按有关规定进处罚。</w:t>
      </w:r>
    </w:p>
    <w:p>
      <w:pPr>
        <w:spacing w:before="312" w:beforeLines="100" w:line="480" w:lineRule="auto"/>
        <w:jc w:val="right"/>
        <w:rPr>
          <w:rFonts w:ascii="宋体" w:hAnsi="宋体" w:cs="宋体"/>
          <w:color w:val="auto"/>
          <w:sz w:val="24"/>
          <w:highlight w:val="none"/>
          <w:lang w:bidi="ar"/>
        </w:rPr>
      </w:pPr>
    </w:p>
    <w:p>
      <w:pPr>
        <w:spacing w:before="312" w:beforeLines="100" w:line="480" w:lineRule="auto"/>
        <w:jc w:val="right"/>
        <w:rPr>
          <w:rFonts w:ascii="宋体" w:hAnsi="宋体" w:cs="宋体"/>
          <w:color w:val="auto"/>
          <w:sz w:val="24"/>
          <w:highlight w:val="none"/>
          <w:lang w:bidi="ar"/>
        </w:rPr>
      </w:pPr>
    </w:p>
    <w:p>
      <w:pPr>
        <w:spacing w:line="480" w:lineRule="auto"/>
        <w:jc w:val="right"/>
        <w:rPr>
          <w:rFonts w:ascii="宋体" w:hAnsi="宋体" w:cs="宋体"/>
          <w:color w:val="auto"/>
          <w:szCs w:val="21"/>
          <w:highlight w:val="none"/>
        </w:rPr>
      </w:pPr>
      <w:bookmarkStart w:id="224" w:name="_Toc767"/>
      <w:bookmarkStart w:id="225" w:name="_Toc22502"/>
      <w:bookmarkStart w:id="226" w:name="_Toc18235"/>
      <w:bookmarkStart w:id="227" w:name="_Toc8605"/>
      <w:r>
        <w:rPr>
          <w:rFonts w:hint="eastAsia" w:ascii="宋体" w:hAnsi="宋体" w:cs="宋体"/>
          <w:color w:val="auto"/>
          <w:szCs w:val="21"/>
          <w:highlight w:val="none"/>
          <w:lang w:bidi="ar"/>
        </w:rPr>
        <w:t>投标人：</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u w:val="single"/>
          <w:lang w:val="en-US" w:eastAsia="zh-CN" w:bidi="ar"/>
        </w:rPr>
        <w:t xml:space="preserve">                </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（盖单位章）</w:t>
      </w:r>
    </w:p>
    <w:p>
      <w:pPr>
        <w:spacing w:line="480" w:lineRule="auto"/>
        <w:jc w:val="right"/>
        <w:rPr>
          <w:rFonts w:ascii="宋体" w:hAnsi="宋体" w:cs="宋体"/>
          <w:color w:val="auto"/>
          <w:szCs w:val="21"/>
          <w:highlight w:val="none"/>
        </w:rPr>
      </w:pPr>
      <w:r>
        <w:rPr>
          <w:rFonts w:hint="eastAsia" w:ascii="宋体" w:hAnsi="宋体" w:cs="宋体"/>
          <w:color w:val="auto"/>
          <w:szCs w:val="21"/>
          <w:highlight w:val="none"/>
          <w:lang w:eastAsia="zh-CN" w:bidi="ar"/>
        </w:rPr>
        <w:t>法定代表人（负责人）</w:t>
      </w:r>
      <w:r>
        <w:rPr>
          <w:rFonts w:hint="eastAsia" w:ascii="宋体" w:hAnsi="宋体" w:cs="宋体"/>
          <w:color w:val="auto"/>
          <w:szCs w:val="21"/>
          <w:highlight w:val="none"/>
          <w:lang w:bidi="ar"/>
        </w:rPr>
        <w:t>或其委托代理人：</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 xml:space="preserve">（签字或盖章） </w:t>
      </w:r>
    </w:p>
    <w:p>
      <w:pPr>
        <w:spacing w:line="480" w:lineRule="auto"/>
        <w:ind w:firstLine="4620" w:firstLineChars="2200"/>
        <w:jc w:val="right"/>
        <w:rPr>
          <w:rFonts w:ascii="宋体" w:hAnsi="宋体" w:cs="宋体"/>
          <w:color w:val="auto"/>
          <w:szCs w:val="21"/>
          <w:highlight w:val="none"/>
          <w:lang w:bidi="ar"/>
        </w:rPr>
      </w:pP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年</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月</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日</w:t>
      </w:r>
    </w:p>
    <w:p>
      <w:pPr>
        <w:rPr>
          <w:rFonts w:ascii="宋体" w:hAnsi="宋体"/>
          <w:b/>
          <w:bCs/>
          <w:color w:val="auto"/>
          <w:sz w:val="32"/>
          <w:szCs w:val="32"/>
          <w:highlight w:val="none"/>
        </w:rPr>
      </w:pPr>
      <w:r>
        <w:rPr>
          <w:rFonts w:hint="eastAsia" w:ascii="宋体" w:hAnsi="宋体"/>
          <w:b/>
          <w:bCs/>
          <w:color w:val="auto"/>
          <w:sz w:val="32"/>
          <w:szCs w:val="32"/>
          <w:highlight w:val="none"/>
        </w:rPr>
        <w:br w:type="page"/>
      </w:r>
    </w:p>
    <w:bookmarkEnd w:id="202"/>
    <w:bookmarkEnd w:id="203"/>
    <w:bookmarkEnd w:id="204"/>
    <w:bookmarkEnd w:id="224"/>
    <w:bookmarkEnd w:id="225"/>
    <w:bookmarkEnd w:id="226"/>
    <w:bookmarkEnd w:id="227"/>
    <w:p>
      <w:pPr>
        <w:pStyle w:val="22"/>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color w:val="auto"/>
          <w:highlight w:val="none"/>
          <w:lang w:val="en-US" w:eastAsia="zh-CN"/>
        </w:rPr>
      </w:pPr>
      <w:bookmarkStart w:id="228" w:name="_Toc25931"/>
      <w:bookmarkStart w:id="229" w:name="_Toc30223"/>
      <w:bookmarkStart w:id="230" w:name="_Toc17200"/>
      <w:bookmarkStart w:id="231" w:name="_Toc17093"/>
      <w:r>
        <w:rPr>
          <w:rFonts w:hint="eastAsia" w:ascii="宋体" w:hAnsi="宋体" w:eastAsia="宋体" w:cs="宋体"/>
          <w:color w:val="auto"/>
          <w:highlight w:val="none"/>
          <w:lang w:val="en-US" w:eastAsia="zh-CN"/>
        </w:rPr>
        <w:t>3、售后服务（按评分标准编制内容，格式自拟）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lang w:val="en-US" w:eastAsia="zh-CN"/>
        </w:rPr>
      </w:pPr>
      <w:r>
        <w:rPr>
          <w:rFonts w:hint="eastAsia" w:ascii="宋体" w:hAnsi="宋体" w:eastAsia="宋体" w:cs="宋体"/>
          <w:lang w:val="en-US" w:eastAsia="zh-CN"/>
        </w:rPr>
        <w:t>4、</w:t>
      </w:r>
      <w:r>
        <w:rPr>
          <w:rFonts w:hint="eastAsia" w:ascii="宋体" w:hAnsi="宋体" w:eastAsia="宋体" w:cs="宋体"/>
          <w:szCs w:val="21"/>
          <w:lang w:bidi="ar"/>
        </w:rPr>
        <w:t>质保期外服务方案</w:t>
      </w:r>
      <w:r>
        <w:rPr>
          <w:rFonts w:hint="eastAsia" w:ascii="宋体" w:hAnsi="宋体" w:eastAsia="宋体" w:cs="宋体"/>
          <w:color w:val="auto"/>
          <w:highlight w:val="none"/>
          <w:lang w:val="en-US" w:eastAsia="zh-CN"/>
        </w:rPr>
        <w:t>（按评分标准编制内容，格式自拟）</w:t>
      </w:r>
    </w:p>
    <w:p>
      <w:pPr>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br w:type="page"/>
      </w:r>
    </w:p>
    <w:bookmarkEnd w:id="228"/>
    <w:bookmarkEnd w:id="229"/>
    <w:bookmarkEnd w:id="230"/>
    <w:bookmarkEnd w:id="231"/>
    <w:p>
      <w:pPr>
        <w:pStyle w:val="4"/>
        <w:bidi w:val="0"/>
        <w:ind w:left="0" w:firstLine="0"/>
        <w:rPr>
          <w:rFonts w:hint="eastAsia"/>
          <w:color w:val="auto"/>
          <w:sz w:val="32"/>
          <w:szCs w:val="32"/>
          <w:highlight w:val="none"/>
          <w:lang w:val="zh-CN" w:eastAsia="zh-CN"/>
        </w:rPr>
      </w:pPr>
      <w:r>
        <w:rPr>
          <w:rFonts w:hint="eastAsia"/>
          <w:color w:val="auto"/>
          <w:sz w:val="32"/>
          <w:szCs w:val="32"/>
          <w:highlight w:val="none"/>
          <w:lang w:val="en-US" w:eastAsia="zh-CN"/>
        </w:rPr>
        <w:t>六、</w:t>
      </w:r>
      <w:r>
        <w:rPr>
          <w:rFonts w:hint="eastAsia"/>
          <w:color w:val="auto"/>
          <w:sz w:val="32"/>
          <w:szCs w:val="32"/>
          <w:highlight w:val="none"/>
          <w:lang w:val="zh-CN" w:eastAsia="zh-CN"/>
        </w:rPr>
        <w:t>提供政府采购政策等证明材料</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（1）中小企业声明函（如适用，请提供，格式见附件1，注：</w:t>
      </w:r>
      <w:r>
        <w:rPr>
          <w:rFonts w:hint="eastAsia" w:ascii="仿宋" w:hAnsi="仿宋" w:eastAsia="仿宋" w:cs="仿宋"/>
          <w:b/>
          <w:bCs/>
          <w:sz w:val="24"/>
          <w:szCs w:val="24"/>
        </w:rPr>
        <w:t>本项目属于</w:t>
      </w:r>
      <w:r>
        <w:rPr>
          <w:rFonts w:hint="eastAsia" w:ascii="仿宋" w:hAnsi="仿宋" w:eastAsia="仿宋" w:cs="仿宋"/>
          <w:b/>
          <w:bCs/>
          <w:sz w:val="24"/>
          <w:szCs w:val="24"/>
          <w:lang w:val="en-US" w:eastAsia="zh-CN"/>
        </w:rPr>
        <w:t>服务</w:t>
      </w:r>
      <w:r>
        <w:rPr>
          <w:rFonts w:hint="eastAsia" w:ascii="仿宋" w:hAnsi="仿宋" w:eastAsia="仿宋" w:cs="仿宋"/>
          <w:b/>
          <w:bCs/>
          <w:sz w:val="24"/>
          <w:szCs w:val="24"/>
        </w:rPr>
        <w:t>类，</w:t>
      </w:r>
      <w:r>
        <w:rPr>
          <w:rFonts w:hint="eastAsia" w:ascii="仿宋" w:hAnsi="仿宋" w:eastAsia="仿宋" w:cs="仿宋"/>
          <w:b/>
          <w:bCs/>
          <w:kern w:val="0"/>
          <w:sz w:val="24"/>
          <w:szCs w:val="24"/>
        </w:rPr>
        <w:t>所属行业为软件和信息技术服务业</w:t>
      </w:r>
      <w:r>
        <w:rPr>
          <w:rFonts w:hint="eastAsia" w:ascii="仿宋" w:hAnsi="仿宋" w:eastAsia="仿宋" w:cs="仿宋"/>
          <w:sz w:val="24"/>
          <w:szCs w:val="24"/>
        </w:rPr>
        <w:t>）；</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（2）残疾人福利性单位声明函（如适用，请提供，格式见附件2）；</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（3）监狱</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戒毒</w:t>
      </w:r>
      <w:r>
        <w:rPr>
          <w:rFonts w:hint="eastAsia" w:ascii="仿宋" w:hAnsi="仿宋" w:eastAsia="仿宋" w:cs="仿宋"/>
          <w:sz w:val="24"/>
          <w:szCs w:val="24"/>
        </w:rPr>
        <w:t>企业声明函（如适用，请提供，格式见附件</w:t>
      </w:r>
      <w:r>
        <w:rPr>
          <w:rFonts w:hint="eastAsia" w:ascii="仿宋" w:hAnsi="仿宋" w:eastAsia="仿宋" w:cs="仿宋"/>
          <w:sz w:val="24"/>
          <w:szCs w:val="24"/>
          <w:lang w:val="en-US" w:eastAsia="zh-CN"/>
        </w:rPr>
        <w:t>3</w:t>
      </w:r>
      <w:r>
        <w:rPr>
          <w:rFonts w:hint="eastAsia" w:ascii="仿宋" w:hAnsi="仿宋" w:eastAsia="仿宋" w:cs="仿宋"/>
          <w:sz w:val="24"/>
          <w:szCs w:val="24"/>
        </w:rPr>
        <w:t xml:space="preserve">）；  </w:t>
      </w:r>
    </w:p>
    <w:p>
      <w:pPr>
        <w:spacing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（4）节能环保产品、环境标志产品明细表（如适用，请按招标文件中采购项目需要落实的政府采购政策第2条相关规定提供相关证明材料）</w:t>
      </w:r>
      <w:r>
        <w:rPr>
          <w:rFonts w:hint="eastAsia" w:ascii="仿宋" w:hAnsi="仿宋" w:eastAsia="仿宋" w:cs="仿宋"/>
          <w:sz w:val="24"/>
          <w:szCs w:val="24"/>
          <w:lang w:eastAsia="zh-CN"/>
        </w:rPr>
        <w:t>。</w:t>
      </w:r>
    </w:p>
    <w:p>
      <w:pPr>
        <w:rPr>
          <w:rFonts w:hint="eastAsia" w:ascii="宋体" w:hAnsi="宋体"/>
          <w:b/>
          <w:color w:val="auto"/>
          <w:sz w:val="28"/>
          <w:szCs w:val="28"/>
          <w:highlight w:val="none"/>
        </w:rPr>
      </w:pPr>
      <w:r>
        <w:rPr>
          <w:rFonts w:hint="eastAsia" w:ascii="宋体" w:hAnsi="宋体"/>
          <w:b/>
          <w:color w:val="auto"/>
          <w:sz w:val="28"/>
          <w:szCs w:val="28"/>
          <w:highlight w:val="none"/>
        </w:rPr>
        <w:br w:type="page"/>
      </w:r>
    </w:p>
    <w:p>
      <w:pPr>
        <w:pageBreakBefore/>
        <w:adjustRightInd w:val="0"/>
        <w:snapToGrid w:val="0"/>
        <w:spacing w:line="360" w:lineRule="auto"/>
        <w:jc w:val="left"/>
        <w:rPr>
          <w:rFonts w:hint="eastAsia" w:ascii="仿宋" w:hAnsi="仿宋" w:eastAsia="仿宋" w:cs="仿宋"/>
          <w:b/>
          <w:bCs/>
          <w:sz w:val="24"/>
          <w:szCs w:val="24"/>
          <w:lang w:eastAsia="zh-CN"/>
        </w:rPr>
      </w:pPr>
      <w:r>
        <w:rPr>
          <w:rFonts w:hint="eastAsia" w:ascii="仿宋" w:hAnsi="仿宋" w:eastAsia="仿宋" w:cs="仿宋"/>
          <w:b/>
          <w:bCs/>
          <w:sz w:val="24"/>
          <w:szCs w:val="24"/>
        </w:rPr>
        <w:t>附件1</w:t>
      </w:r>
      <w:r>
        <w:rPr>
          <w:rFonts w:hint="eastAsia" w:ascii="仿宋" w:hAnsi="仿宋" w:eastAsia="仿宋" w:cs="仿宋"/>
          <w:b/>
          <w:bCs/>
          <w:sz w:val="24"/>
          <w:szCs w:val="24"/>
          <w:lang w:eastAsia="zh-CN"/>
        </w:rPr>
        <w:t>：</w:t>
      </w:r>
    </w:p>
    <w:p>
      <w:pPr>
        <w:spacing w:line="360" w:lineRule="auto"/>
        <w:jc w:val="center"/>
        <w:rPr>
          <w:rFonts w:hint="eastAsia" w:ascii="宋体" w:hAnsi="宋体"/>
          <w:b/>
          <w:color w:val="auto"/>
          <w:sz w:val="28"/>
          <w:szCs w:val="28"/>
          <w:highlight w:val="none"/>
        </w:rPr>
      </w:pPr>
      <w:r>
        <w:rPr>
          <w:rFonts w:hint="eastAsia" w:ascii="宋体" w:hAnsi="宋体"/>
          <w:b/>
          <w:color w:val="auto"/>
          <w:sz w:val="28"/>
          <w:szCs w:val="28"/>
          <w:highlight w:val="none"/>
        </w:rPr>
        <w:t>中小企业声明函</w:t>
      </w:r>
      <w:r>
        <w:rPr>
          <w:rFonts w:hint="eastAsia" w:ascii="仿宋" w:hAnsi="仿宋" w:eastAsia="仿宋" w:cs="仿宋"/>
          <w:b/>
          <w:bCs/>
          <w:sz w:val="28"/>
          <w:szCs w:val="24"/>
        </w:rPr>
        <w:t>（</w:t>
      </w:r>
      <w:r>
        <w:rPr>
          <w:rFonts w:hint="eastAsia" w:ascii="仿宋" w:hAnsi="仿宋" w:eastAsia="仿宋" w:cs="仿宋"/>
          <w:b/>
          <w:bCs/>
          <w:sz w:val="28"/>
          <w:szCs w:val="24"/>
          <w:lang w:val="en-US" w:eastAsia="zh-CN"/>
        </w:rPr>
        <w:t>服务</w:t>
      </w:r>
      <w:r>
        <w:rPr>
          <w:rFonts w:hint="eastAsia" w:ascii="仿宋" w:hAnsi="仿宋" w:eastAsia="仿宋" w:cs="仿宋"/>
          <w:b/>
          <w:bCs/>
          <w:sz w:val="28"/>
          <w:szCs w:val="24"/>
        </w:rPr>
        <w:t>）</w:t>
      </w:r>
    </w:p>
    <w:p>
      <w:pPr>
        <w:jc w:val="center"/>
        <w:rPr>
          <w:rFonts w:hint="eastAsia" w:ascii="宋体" w:hAnsi="宋体" w:cs="宋体"/>
          <w:b/>
          <w:bCs/>
          <w:sz w:val="28"/>
          <w:szCs w:val="36"/>
        </w:rPr>
      </w:pPr>
      <w:r>
        <w:rPr>
          <w:rFonts w:hint="eastAsia" w:ascii="宋体" w:hAnsi="宋体" w:cs="宋体"/>
          <w:b/>
          <w:bCs/>
          <w:sz w:val="28"/>
          <w:szCs w:val="36"/>
        </w:rPr>
        <w:t>(非中小微企业不填写)</w:t>
      </w:r>
    </w:p>
    <w:p>
      <w:pPr>
        <w:pStyle w:val="2"/>
        <w:spacing w:line="360" w:lineRule="auto"/>
        <w:ind w:right="415" w:firstLine="420" w:firstLineChars="200"/>
        <w:rPr>
          <w:rFonts w:hint="eastAsia" w:ascii="宋体" w:hAnsi="宋体" w:cs="宋体"/>
          <w:color w:val="auto"/>
          <w:sz w:val="21"/>
          <w:szCs w:val="21"/>
          <w:highlight w:val="none"/>
        </w:rPr>
      </w:pPr>
    </w:p>
    <w:p>
      <w:pPr>
        <w:pStyle w:val="2"/>
        <w:spacing w:line="360" w:lineRule="auto"/>
        <w:ind w:right="415"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本公司（联合体）郑重声明，根据《政府采购促进中小企业发展管理办法》（财库﹝2020﹞46 号）的规定，本公司（联合体）参加</w:t>
      </w:r>
      <w:r>
        <w:rPr>
          <w:rFonts w:hint="eastAsia" w:ascii="宋体" w:hAnsi="宋体" w:cs="宋体"/>
          <w:color w:val="auto"/>
          <w:sz w:val="21"/>
          <w:szCs w:val="21"/>
          <w:highlight w:val="none"/>
          <w:u w:val="single"/>
        </w:rPr>
        <w:t>（单位名称）</w:t>
      </w:r>
      <w:r>
        <w:rPr>
          <w:rFonts w:hint="eastAsia" w:ascii="宋体" w:hAnsi="宋体" w:cs="宋体"/>
          <w:color w:val="auto"/>
          <w:sz w:val="21"/>
          <w:szCs w:val="21"/>
          <w:highlight w:val="none"/>
        </w:rPr>
        <w:t>的</w:t>
      </w:r>
      <w:r>
        <w:rPr>
          <w:rFonts w:hint="eastAsia" w:ascii="宋体" w:hAnsi="宋体" w:cs="宋体"/>
          <w:color w:val="auto"/>
          <w:sz w:val="21"/>
          <w:szCs w:val="21"/>
          <w:highlight w:val="none"/>
          <w:u w:val="single"/>
          <w:lang w:eastAsia="zh-CN"/>
        </w:rPr>
        <w:t>（项目名称、标包名称）</w:t>
      </w:r>
      <w:r>
        <w:rPr>
          <w:rFonts w:hint="eastAsia" w:ascii="宋体" w:hAnsi="宋体" w:cs="宋体"/>
          <w:color w:val="auto"/>
          <w:sz w:val="21"/>
          <w:szCs w:val="21"/>
          <w:highlight w:val="none"/>
        </w:rPr>
        <w:t>采购活动，提供的货物全部由符合政策要求的中小企业制造。相关企业 （含联合体中的中小企业、签订分包意向协议的中小企业</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的具体情况如下：</w:t>
      </w:r>
    </w:p>
    <w:p>
      <w:pPr>
        <w:pStyle w:val="32"/>
        <w:tabs>
          <w:tab w:val="left" w:pos="1243"/>
        </w:tabs>
        <w:spacing w:line="360" w:lineRule="auto"/>
        <w:ind w:left="420" w:leftChars="200" w:firstLine="480"/>
        <w:rPr>
          <w:rFonts w:hint="eastAsia" w:ascii="宋体" w:hAnsi="宋体" w:cs="宋体"/>
          <w:iCs/>
          <w:color w:val="auto"/>
          <w:sz w:val="21"/>
          <w:szCs w:val="21"/>
          <w:highlight w:val="none"/>
        </w:rPr>
      </w:pPr>
      <w:r>
        <w:rPr>
          <w:rFonts w:hint="eastAsia" w:ascii="宋体" w:hAnsi="宋体" w:cs="宋体"/>
          <w:iCs/>
          <w:color w:val="auto"/>
          <w:sz w:val="21"/>
          <w:szCs w:val="21"/>
          <w:highlight w:val="none"/>
        </w:rPr>
        <w:t>1、</w:t>
      </w:r>
      <w:r>
        <w:rPr>
          <w:rFonts w:hint="eastAsia" w:ascii="宋体" w:hAnsi="宋体" w:cs="宋体"/>
          <w:iCs/>
          <w:color w:val="auto"/>
          <w:sz w:val="21"/>
          <w:szCs w:val="21"/>
          <w:highlight w:val="none"/>
          <w:u w:val="single"/>
        </w:rPr>
        <w:t xml:space="preserve">（标的名称）  </w:t>
      </w:r>
      <w:r>
        <w:rPr>
          <w:rFonts w:hint="eastAsia" w:ascii="宋体" w:hAnsi="宋体" w:cs="宋体"/>
          <w:iCs/>
          <w:color w:val="auto"/>
          <w:sz w:val="21"/>
          <w:szCs w:val="21"/>
          <w:highlight w:val="none"/>
        </w:rPr>
        <w:t>，属于（</w:t>
      </w:r>
      <w:r>
        <w:rPr>
          <w:rFonts w:hint="eastAsia" w:ascii="宋体" w:hAnsi="宋体" w:cs="宋体"/>
          <w:iCs/>
          <w:color w:val="auto"/>
          <w:sz w:val="21"/>
          <w:szCs w:val="21"/>
          <w:highlight w:val="none"/>
          <w:u w:val="single"/>
        </w:rPr>
        <w:t>采购文件中明确的所属行业）</w:t>
      </w:r>
      <w:r>
        <w:rPr>
          <w:rFonts w:hint="eastAsia" w:ascii="宋体" w:hAnsi="宋体" w:cs="宋体"/>
          <w:iCs/>
          <w:color w:val="auto"/>
          <w:sz w:val="21"/>
          <w:szCs w:val="21"/>
          <w:highlight w:val="none"/>
        </w:rPr>
        <w:t>；制造商为</w:t>
      </w:r>
      <w:r>
        <w:rPr>
          <w:rFonts w:hint="eastAsia" w:ascii="宋体" w:hAnsi="宋体" w:cs="宋体"/>
          <w:iCs/>
          <w:color w:val="auto"/>
          <w:sz w:val="21"/>
          <w:szCs w:val="21"/>
          <w:highlight w:val="none"/>
          <w:u w:val="single"/>
        </w:rPr>
        <w:t>（企业名称）</w:t>
      </w:r>
      <w:r>
        <w:rPr>
          <w:rFonts w:hint="eastAsia" w:ascii="宋体" w:hAnsi="宋体" w:cs="宋体"/>
          <w:iCs/>
          <w:color w:val="auto"/>
          <w:sz w:val="21"/>
          <w:szCs w:val="21"/>
          <w:highlight w:val="none"/>
        </w:rPr>
        <w:t>，从业人员</w:t>
      </w:r>
      <w:r>
        <w:rPr>
          <w:rFonts w:hint="eastAsia" w:ascii="宋体" w:hAnsi="宋体" w:cs="宋体"/>
          <w:iCs/>
          <w:color w:val="auto"/>
          <w:sz w:val="21"/>
          <w:szCs w:val="21"/>
          <w:highlight w:val="none"/>
          <w:u w:val="single"/>
        </w:rPr>
        <w:t xml:space="preserve">   </w:t>
      </w:r>
      <w:r>
        <w:rPr>
          <w:rFonts w:hint="eastAsia" w:ascii="宋体" w:hAnsi="宋体" w:cs="宋体"/>
          <w:iCs/>
          <w:color w:val="auto"/>
          <w:sz w:val="21"/>
          <w:szCs w:val="21"/>
          <w:highlight w:val="none"/>
          <w:u w:val="single"/>
        </w:rPr>
        <w:tab/>
      </w:r>
      <w:r>
        <w:rPr>
          <w:rFonts w:hint="eastAsia" w:ascii="宋体" w:hAnsi="宋体" w:cs="宋体"/>
          <w:iCs/>
          <w:color w:val="auto"/>
          <w:sz w:val="21"/>
          <w:szCs w:val="21"/>
          <w:highlight w:val="none"/>
        </w:rPr>
        <w:t>人，营业收入为</w:t>
      </w:r>
      <w:r>
        <w:rPr>
          <w:rFonts w:hint="eastAsia" w:ascii="宋体" w:hAnsi="宋体" w:cs="宋体"/>
          <w:iCs/>
          <w:color w:val="auto"/>
          <w:sz w:val="21"/>
          <w:szCs w:val="21"/>
          <w:highlight w:val="none"/>
          <w:u w:val="single"/>
        </w:rPr>
        <w:t xml:space="preserve"> </w:t>
      </w:r>
      <w:r>
        <w:rPr>
          <w:rFonts w:hint="eastAsia" w:ascii="宋体" w:hAnsi="宋体" w:cs="宋体"/>
          <w:iCs/>
          <w:color w:val="auto"/>
          <w:sz w:val="21"/>
          <w:szCs w:val="21"/>
          <w:highlight w:val="none"/>
          <w:u w:val="single"/>
        </w:rPr>
        <w:tab/>
      </w:r>
      <w:r>
        <w:rPr>
          <w:rFonts w:hint="eastAsia" w:ascii="宋体" w:hAnsi="宋体" w:cs="宋体"/>
          <w:iCs/>
          <w:color w:val="auto"/>
          <w:sz w:val="21"/>
          <w:szCs w:val="21"/>
          <w:highlight w:val="none"/>
          <w:u w:val="single"/>
        </w:rPr>
        <w:t xml:space="preserve"> </w:t>
      </w:r>
      <w:r>
        <w:rPr>
          <w:rFonts w:hint="eastAsia" w:ascii="宋体" w:hAnsi="宋体" w:cs="宋体"/>
          <w:iCs/>
          <w:color w:val="auto"/>
          <w:sz w:val="21"/>
          <w:szCs w:val="21"/>
          <w:highlight w:val="none"/>
        </w:rPr>
        <w:t>万元，资产总额为</w:t>
      </w:r>
      <w:r>
        <w:rPr>
          <w:rFonts w:hint="eastAsia" w:ascii="宋体" w:hAnsi="宋体" w:cs="宋体"/>
          <w:iCs/>
          <w:color w:val="auto"/>
          <w:sz w:val="21"/>
          <w:szCs w:val="21"/>
          <w:highlight w:val="none"/>
          <w:u w:val="single"/>
        </w:rPr>
        <w:t xml:space="preserve"> </w:t>
      </w:r>
      <w:r>
        <w:rPr>
          <w:rFonts w:hint="eastAsia" w:ascii="宋体" w:hAnsi="宋体" w:cs="宋体"/>
          <w:iCs/>
          <w:color w:val="auto"/>
          <w:sz w:val="21"/>
          <w:szCs w:val="21"/>
          <w:highlight w:val="none"/>
          <w:u w:val="single"/>
        </w:rPr>
        <w:tab/>
      </w:r>
      <w:r>
        <w:rPr>
          <w:rFonts w:hint="eastAsia" w:ascii="宋体" w:hAnsi="宋体" w:cs="宋体"/>
          <w:iCs/>
          <w:color w:val="auto"/>
          <w:sz w:val="21"/>
          <w:szCs w:val="21"/>
          <w:highlight w:val="none"/>
          <w:u w:val="single"/>
        </w:rPr>
        <w:t xml:space="preserve">    </w:t>
      </w:r>
      <w:r>
        <w:rPr>
          <w:rFonts w:hint="eastAsia" w:ascii="宋体" w:hAnsi="宋体" w:cs="宋体"/>
          <w:iCs/>
          <w:color w:val="auto"/>
          <w:sz w:val="21"/>
          <w:szCs w:val="21"/>
          <w:highlight w:val="none"/>
        </w:rPr>
        <w:t>万元，属于</w:t>
      </w:r>
      <w:r>
        <w:rPr>
          <w:rFonts w:hint="eastAsia" w:ascii="宋体" w:hAnsi="宋体" w:cs="宋体"/>
          <w:iCs/>
          <w:color w:val="auto"/>
          <w:sz w:val="21"/>
          <w:szCs w:val="21"/>
          <w:highlight w:val="none"/>
          <w:u w:val="single"/>
        </w:rPr>
        <w:t>（中型企业、小型企业、微型企业）</w:t>
      </w:r>
      <w:r>
        <w:rPr>
          <w:rFonts w:hint="eastAsia" w:ascii="宋体" w:hAnsi="宋体" w:cs="宋体"/>
          <w:iCs/>
          <w:color w:val="auto"/>
          <w:sz w:val="21"/>
          <w:szCs w:val="21"/>
          <w:highlight w:val="none"/>
        </w:rPr>
        <w:t>；</w:t>
      </w:r>
    </w:p>
    <w:p>
      <w:pPr>
        <w:pStyle w:val="32"/>
        <w:tabs>
          <w:tab w:val="left" w:pos="1243"/>
          <w:tab w:val="left" w:pos="1806"/>
          <w:tab w:val="left" w:pos="5005"/>
          <w:tab w:val="left" w:pos="7213"/>
        </w:tabs>
        <w:spacing w:line="360" w:lineRule="auto"/>
        <w:ind w:left="420" w:leftChars="200" w:right="258" w:firstLine="480"/>
        <w:jc w:val="left"/>
        <w:rPr>
          <w:rFonts w:hint="eastAsia" w:ascii="宋体" w:hAnsi="宋体" w:cs="宋体"/>
          <w:iCs/>
          <w:color w:val="auto"/>
          <w:sz w:val="21"/>
          <w:szCs w:val="21"/>
          <w:highlight w:val="none"/>
        </w:rPr>
      </w:pPr>
      <w:r>
        <w:rPr>
          <w:rFonts w:hint="eastAsia" w:ascii="宋体" w:hAnsi="宋体" w:cs="宋体"/>
          <w:iCs/>
          <w:color w:val="auto"/>
          <w:sz w:val="21"/>
          <w:szCs w:val="21"/>
          <w:highlight w:val="none"/>
        </w:rPr>
        <w:t>2、</w:t>
      </w:r>
      <w:r>
        <w:rPr>
          <w:rFonts w:hint="eastAsia" w:ascii="宋体" w:hAnsi="宋体" w:cs="宋体"/>
          <w:iCs/>
          <w:color w:val="auto"/>
          <w:sz w:val="21"/>
          <w:szCs w:val="21"/>
          <w:highlight w:val="none"/>
          <w:u w:val="single"/>
        </w:rPr>
        <w:t xml:space="preserve">（标的名称）  </w:t>
      </w:r>
      <w:r>
        <w:rPr>
          <w:rFonts w:hint="eastAsia" w:ascii="宋体" w:hAnsi="宋体" w:cs="宋体"/>
          <w:iCs/>
          <w:color w:val="auto"/>
          <w:sz w:val="21"/>
          <w:szCs w:val="21"/>
          <w:highlight w:val="none"/>
        </w:rPr>
        <w:t>，属于（</w:t>
      </w:r>
      <w:r>
        <w:rPr>
          <w:rFonts w:hint="eastAsia" w:ascii="宋体" w:hAnsi="宋体" w:cs="宋体"/>
          <w:iCs/>
          <w:color w:val="auto"/>
          <w:sz w:val="21"/>
          <w:szCs w:val="21"/>
          <w:highlight w:val="none"/>
          <w:u w:val="single"/>
        </w:rPr>
        <w:t>采购文件中明确的所属行业）</w:t>
      </w:r>
      <w:r>
        <w:rPr>
          <w:rFonts w:hint="eastAsia" w:ascii="宋体" w:hAnsi="宋体" w:cs="宋体"/>
          <w:iCs/>
          <w:color w:val="auto"/>
          <w:sz w:val="21"/>
          <w:szCs w:val="21"/>
          <w:highlight w:val="none"/>
        </w:rPr>
        <w:t>；制造商为</w:t>
      </w:r>
      <w:r>
        <w:rPr>
          <w:rFonts w:hint="eastAsia" w:ascii="宋体" w:hAnsi="宋体" w:cs="宋体"/>
          <w:iCs/>
          <w:color w:val="auto"/>
          <w:sz w:val="21"/>
          <w:szCs w:val="21"/>
          <w:highlight w:val="none"/>
          <w:u w:val="single"/>
        </w:rPr>
        <w:t>（企业名称）</w:t>
      </w:r>
      <w:r>
        <w:rPr>
          <w:rFonts w:hint="eastAsia" w:ascii="宋体" w:hAnsi="宋体" w:cs="宋体"/>
          <w:iCs/>
          <w:color w:val="auto"/>
          <w:sz w:val="21"/>
          <w:szCs w:val="21"/>
          <w:highlight w:val="none"/>
        </w:rPr>
        <w:t>，从业人员</w:t>
      </w:r>
      <w:r>
        <w:rPr>
          <w:rFonts w:hint="eastAsia" w:ascii="宋体" w:hAnsi="宋体" w:cs="宋体"/>
          <w:iCs/>
          <w:color w:val="auto"/>
          <w:sz w:val="21"/>
          <w:szCs w:val="21"/>
          <w:highlight w:val="none"/>
          <w:u w:val="single"/>
        </w:rPr>
        <w:t xml:space="preserve">    </w:t>
      </w:r>
      <w:r>
        <w:rPr>
          <w:rFonts w:hint="eastAsia" w:ascii="宋体" w:hAnsi="宋体" w:cs="宋体"/>
          <w:iCs/>
          <w:color w:val="auto"/>
          <w:sz w:val="21"/>
          <w:szCs w:val="21"/>
          <w:highlight w:val="none"/>
        </w:rPr>
        <w:t>人，营业收入为</w:t>
      </w:r>
      <w:r>
        <w:rPr>
          <w:rFonts w:hint="eastAsia" w:ascii="宋体" w:hAnsi="宋体" w:cs="宋体"/>
          <w:iCs/>
          <w:color w:val="auto"/>
          <w:sz w:val="21"/>
          <w:szCs w:val="21"/>
          <w:highlight w:val="none"/>
          <w:u w:val="single"/>
        </w:rPr>
        <w:t xml:space="preserve">    </w:t>
      </w:r>
      <w:r>
        <w:rPr>
          <w:rFonts w:hint="eastAsia" w:ascii="宋体" w:hAnsi="宋体" w:cs="宋体"/>
          <w:iCs/>
          <w:color w:val="auto"/>
          <w:sz w:val="21"/>
          <w:szCs w:val="21"/>
          <w:highlight w:val="none"/>
        </w:rPr>
        <w:t>万元，资产总额为</w:t>
      </w:r>
      <w:r>
        <w:rPr>
          <w:rFonts w:hint="eastAsia" w:ascii="宋体" w:hAnsi="宋体" w:cs="宋体"/>
          <w:iCs/>
          <w:color w:val="auto"/>
          <w:sz w:val="21"/>
          <w:szCs w:val="21"/>
          <w:highlight w:val="none"/>
          <w:u w:val="single"/>
        </w:rPr>
        <w:t xml:space="preserve"> </w:t>
      </w:r>
      <w:r>
        <w:rPr>
          <w:rFonts w:hint="eastAsia" w:ascii="宋体" w:hAnsi="宋体" w:cs="宋体"/>
          <w:iCs/>
          <w:color w:val="auto"/>
          <w:sz w:val="21"/>
          <w:szCs w:val="21"/>
          <w:highlight w:val="none"/>
          <w:u w:val="single"/>
          <w:lang w:val="en-US" w:eastAsia="zh-CN"/>
        </w:rPr>
        <w:t xml:space="preserve">     </w:t>
      </w:r>
      <w:r>
        <w:rPr>
          <w:rFonts w:hint="eastAsia" w:ascii="宋体" w:hAnsi="宋体" w:cs="宋体"/>
          <w:iCs/>
          <w:color w:val="auto"/>
          <w:sz w:val="21"/>
          <w:szCs w:val="21"/>
          <w:highlight w:val="none"/>
          <w:u w:val="single"/>
        </w:rPr>
        <w:t xml:space="preserve"> </w:t>
      </w:r>
      <w:r>
        <w:rPr>
          <w:rFonts w:hint="eastAsia" w:ascii="宋体" w:hAnsi="宋体" w:cs="宋体"/>
          <w:iCs/>
          <w:color w:val="auto"/>
          <w:sz w:val="21"/>
          <w:szCs w:val="21"/>
          <w:highlight w:val="none"/>
        </w:rPr>
        <w:t>万元，属于</w:t>
      </w:r>
      <w:r>
        <w:rPr>
          <w:rFonts w:hint="eastAsia" w:ascii="宋体" w:hAnsi="宋体" w:cs="宋体"/>
          <w:iCs/>
          <w:color w:val="auto"/>
          <w:sz w:val="21"/>
          <w:szCs w:val="21"/>
          <w:highlight w:val="none"/>
          <w:u w:val="single"/>
        </w:rPr>
        <w:t>（中型企业、小型企业、微型企业）</w:t>
      </w:r>
      <w:r>
        <w:rPr>
          <w:rFonts w:hint="eastAsia" w:ascii="宋体" w:hAnsi="宋体" w:cs="宋体"/>
          <w:iCs/>
          <w:color w:val="auto"/>
          <w:sz w:val="21"/>
          <w:szCs w:val="21"/>
          <w:highlight w:val="none"/>
        </w:rPr>
        <w:t>；</w:t>
      </w:r>
    </w:p>
    <w:p>
      <w:pPr>
        <w:pStyle w:val="2"/>
        <w:spacing w:before="11" w:line="360" w:lineRule="auto"/>
        <w:ind w:left="860"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w:t>
      </w:r>
    </w:p>
    <w:p>
      <w:pPr>
        <w:pStyle w:val="2"/>
        <w:spacing w:before="108" w:line="360" w:lineRule="auto"/>
        <w:ind w:right="417"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以上企业，不属于大企业的分支机构，不存在控股股东为大企业的情形，也不存在与大企业的负责人为同一人的情形。</w:t>
      </w:r>
    </w:p>
    <w:p>
      <w:pPr>
        <w:pStyle w:val="2"/>
        <w:spacing w:line="360" w:lineRule="auto"/>
        <w:ind w:right="375"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本企业对上述声明内容的真实性负责。如有虚假，将依法承担相应责任。</w:t>
      </w:r>
    </w:p>
    <w:p>
      <w:pPr>
        <w:pStyle w:val="2"/>
        <w:spacing w:before="29" w:line="360" w:lineRule="auto"/>
        <w:ind w:left="4060" w:right="2166" w:firstLine="420" w:firstLineChars="200"/>
        <w:rPr>
          <w:rFonts w:hint="eastAsia" w:ascii="宋体" w:hAnsi="宋体" w:cs="宋体"/>
          <w:color w:val="auto"/>
          <w:sz w:val="21"/>
          <w:szCs w:val="21"/>
          <w:highlight w:val="none"/>
        </w:rPr>
      </w:pPr>
    </w:p>
    <w:p>
      <w:pPr>
        <w:pStyle w:val="2"/>
        <w:keepNext w:val="0"/>
        <w:keepLines w:val="0"/>
        <w:pageBreakBefore w:val="0"/>
        <w:widowControl/>
        <w:kinsoku/>
        <w:wordWrap/>
        <w:overflowPunct/>
        <w:topLinePunct w:val="0"/>
        <w:autoSpaceDE/>
        <w:autoSpaceDN/>
        <w:bidi w:val="0"/>
        <w:adjustRightInd/>
        <w:snapToGrid/>
        <w:spacing w:before="29" w:line="360" w:lineRule="auto"/>
        <w:ind w:right="0" w:firstLine="3780" w:firstLineChars="1800"/>
        <w:jc w:val="left"/>
        <w:textAlignment w:val="auto"/>
        <w:rPr>
          <w:rFonts w:hint="default" w:ascii="宋体" w:hAnsi="宋体" w:eastAsia="宋体" w:cs="宋体"/>
          <w:color w:val="auto"/>
          <w:sz w:val="21"/>
          <w:szCs w:val="21"/>
          <w:highlight w:val="none"/>
          <w:u w:val="single"/>
          <w:lang w:val="en-US" w:eastAsia="zh-CN"/>
        </w:rPr>
      </w:pPr>
      <w:r>
        <w:rPr>
          <w:rFonts w:hint="eastAsia" w:ascii="宋体" w:hAnsi="宋体" w:cs="宋体"/>
          <w:color w:val="auto"/>
          <w:sz w:val="21"/>
          <w:szCs w:val="21"/>
          <w:highlight w:val="none"/>
        </w:rPr>
        <w:t>企业名称（盖章）：</w:t>
      </w:r>
      <w:r>
        <w:rPr>
          <w:rFonts w:hint="eastAsia" w:ascii="宋体" w:hAnsi="宋体" w:cs="宋体"/>
          <w:color w:val="auto"/>
          <w:sz w:val="21"/>
          <w:szCs w:val="21"/>
          <w:highlight w:val="none"/>
          <w:u w:val="single"/>
          <w:lang w:val="en-US" w:eastAsia="zh-CN"/>
        </w:rPr>
        <w:t xml:space="preserve">                 </w:t>
      </w:r>
    </w:p>
    <w:p>
      <w:pPr>
        <w:pStyle w:val="2"/>
        <w:keepNext w:val="0"/>
        <w:keepLines w:val="0"/>
        <w:pageBreakBefore w:val="0"/>
        <w:widowControl/>
        <w:kinsoku/>
        <w:wordWrap/>
        <w:overflowPunct/>
        <w:topLinePunct w:val="0"/>
        <w:autoSpaceDE/>
        <w:autoSpaceDN/>
        <w:bidi w:val="0"/>
        <w:adjustRightInd/>
        <w:snapToGrid/>
        <w:spacing w:before="29" w:line="360" w:lineRule="auto"/>
        <w:ind w:right="0" w:firstLine="3780" w:firstLineChars="1800"/>
        <w:textAlignment w:val="auto"/>
        <w:rPr>
          <w:rFonts w:hint="default" w:ascii="宋体" w:hAnsi="宋体" w:cs="宋体"/>
          <w:color w:val="auto"/>
          <w:sz w:val="21"/>
          <w:szCs w:val="21"/>
          <w:highlight w:val="none"/>
          <w:lang w:val="en-US"/>
        </w:rPr>
      </w:pPr>
      <w:r>
        <w:rPr>
          <w:rFonts w:hint="eastAsia" w:ascii="宋体" w:hAnsi="宋体" w:cs="宋体"/>
          <w:color w:val="auto"/>
          <w:sz w:val="21"/>
          <w:szCs w:val="21"/>
          <w:highlight w:val="none"/>
        </w:rPr>
        <w:t>日期：</w:t>
      </w:r>
      <w:r>
        <w:rPr>
          <w:rFonts w:hint="eastAsia" w:ascii="宋体" w:hAnsi="宋体" w:cs="宋体"/>
          <w:color w:val="auto"/>
          <w:sz w:val="21"/>
          <w:szCs w:val="21"/>
          <w:highlight w:val="none"/>
          <w:u w:val="single"/>
          <w:lang w:val="en-US" w:eastAsia="zh-CN"/>
        </w:rPr>
        <w:t xml:space="preserve">                             </w:t>
      </w:r>
    </w:p>
    <w:p>
      <w:pPr>
        <w:spacing w:line="360" w:lineRule="auto"/>
        <w:rPr>
          <w:rFonts w:hint="eastAsia" w:ascii="宋体" w:hAnsi="宋体"/>
          <w:color w:val="auto"/>
          <w:sz w:val="24"/>
          <w:szCs w:val="24"/>
          <w:highlight w:val="none"/>
        </w:rPr>
      </w:pPr>
    </w:p>
    <w:p>
      <w:pPr>
        <w:spacing w:line="360" w:lineRule="auto"/>
        <w:rPr>
          <w:rFonts w:hint="eastAsia" w:ascii="宋体" w:hAnsi="宋体"/>
          <w:color w:val="auto"/>
          <w:sz w:val="24"/>
          <w:szCs w:val="24"/>
          <w:highlight w:val="none"/>
        </w:rPr>
      </w:pPr>
    </w:p>
    <w:p>
      <w:pPr>
        <w:spacing w:line="360" w:lineRule="auto"/>
        <w:rPr>
          <w:rFonts w:hint="eastAsia" w:ascii="宋体" w:hAnsi="宋体"/>
          <w:color w:val="auto"/>
          <w:sz w:val="24"/>
          <w:szCs w:val="24"/>
          <w:highlight w:val="none"/>
        </w:rPr>
      </w:pPr>
    </w:p>
    <w:p>
      <w:pPr>
        <w:spacing w:line="360" w:lineRule="auto"/>
        <w:rPr>
          <w:rFonts w:hint="eastAsia" w:ascii="宋体" w:hAnsi="宋体"/>
          <w:color w:val="auto"/>
          <w:sz w:val="24"/>
          <w:szCs w:val="24"/>
          <w:highlight w:val="none"/>
        </w:rPr>
      </w:pPr>
    </w:p>
    <w:p>
      <w:pPr>
        <w:spacing w:line="360" w:lineRule="auto"/>
        <w:ind w:firstLine="420" w:firstLineChars="200"/>
        <w:jc w:val="left"/>
        <w:rPr>
          <w:rFonts w:hint="eastAsia" w:ascii="宋体" w:hAnsi="宋体" w:eastAsia="仿宋"/>
          <w:color w:val="auto"/>
          <w:sz w:val="24"/>
          <w:szCs w:val="24"/>
          <w:highlight w:val="none"/>
          <w:lang w:eastAsia="zh-CN"/>
        </w:rPr>
      </w:pPr>
      <w:r>
        <w:rPr>
          <w:rFonts w:hint="eastAsia" w:ascii="宋体" w:hAnsi="宋体"/>
          <w:color w:val="auto"/>
          <w:sz w:val="21"/>
          <w:szCs w:val="21"/>
          <w:highlight w:val="none"/>
        </w:rPr>
        <w:t>注：从业人员、营业收入、资产总额填报上一年度数据，无上一年度数据的新成立企业可不填报。</w:t>
      </w:r>
      <w:r>
        <w:rPr>
          <w:rFonts w:ascii="宋体" w:hAnsi="宋体"/>
          <w:color w:val="auto"/>
          <w:sz w:val="24"/>
          <w:szCs w:val="24"/>
          <w:highlight w:val="none"/>
        </w:rPr>
        <w:br w:type="column"/>
      </w:r>
      <w:r>
        <w:rPr>
          <w:rFonts w:hint="eastAsia" w:ascii="仿宋" w:hAnsi="仿宋" w:eastAsia="仿宋" w:cs="仿宋"/>
          <w:b/>
          <w:bCs/>
          <w:sz w:val="24"/>
          <w:szCs w:val="24"/>
        </w:rPr>
        <w:t>附件</w:t>
      </w:r>
      <w:r>
        <w:rPr>
          <w:rFonts w:hint="eastAsia" w:ascii="仿宋" w:hAnsi="仿宋" w:eastAsia="仿宋" w:cs="仿宋"/>
          <w:b/>
          <w:bCs/>
          <w:sz w:val="24"/>
          <w:szCs w:val="24"/>
          <w:lang w:val="en-US" w:eastAsia="zh-CN"/>
        </w:rPr>
        <w:t>2：</w:t>
      </w:r>
    </w:p>
    <w:p>
      <w:pPr>
        <w:spacing w:line="360" w:lineRule="auto"/>
        <w:ind w:firstLine="480" w:firstLineChars="200"/>
        <w:jc w:val="left"/>
        <w:rPr>
          <w:rFonts w:ascii="宋体" w:hAnsi="宋体"/>
          <w:color w:val="auto"/>
          <w:sz w:val="24"/>
          <w:szCs w:val="24"/>
          <w:highlight w:val="none"/>
        </w:rPr>
      </w:pPr>
    </w:p>
    <w:p>
      <w:pPr>
        <w:spacing w:line="360" w:lineRule="auto"/>
        <w:jc w:val="center"/>
        <w:rPr>
          <w:rFonts w:hint="eastAsia" w:ascii="宋体" w:hAnsi="宋体"/>
          <w:b/>
          <w:color w:val="auto"/>
          <w:sz w:val="28"/>
          <w:szCs w:val="28"/>
          <w:highlight w:val="none"/>
        </w:rPr>
      </w:pPr>
      <w:r>
        <w:rPr>
          <w:rFonts w:hint="eastAsia" w:ascii="宋体" w:hAnsi="宋体"/>
          <w:b/>
          <w:color w:val="auto"/>
          <w:sz w:val="28"/>
          <w:szCs w:val="28"/>
          <w:highlight w:val="none"/>
        </w:rPr>
        <w:t>残疾人福利性单位声明函</w:t>
      </w:r>
    </w:p>
    <w:p>
      <w:pPr>
        <w:jc w:val="center"/>
        <w:rPr>
          <w:rFonts w:hint="eastAsia" w:ascii="宋体" w:hAnsi="宋体"/>
          <w:color w:val="auto"/>
          <w:sz w:val="21"/>
          <w:szCs w:val="21"/>
          <w:highlight w:val="none"/>
        </w:rPr>
      </w:pPr>
      <w:r>
        <w:rPr>
          <w:rFonts w:hint="eastAsia" w:ascii="宋体" w:hAnsi="宋体" w:cs="宋体"/>
          <w:b/>
          <w:bCs/>
          <w:sz w:val="28"/>
          <w:szCs w:val="36"/>
          <w:lang w:val="zh-CN"/>
        </w:rPr>
        <w:t>（非</w:t>
      </w:r>
      <w:r>
        <w:rPr>
          <w:rFonts w:hint="eastAsia" w:ascii="宋体" w:hAnsi="宋体" w:cs="宋体"/>
          <w:b/>
          <w:bCs/>
          <w:sz w:val="28"/>
          <w:szCs w:val="36"/>
        </w:rPr>
        <w:t>残疾人福利企业</w:t>
      </w:r>
      <w:r>
        <w:rPr>
          <w:rFonts w:hint="eastAsia" w:ascii="宋体" w:hAnsi="宋体" w:cs="宋体"/>
          <w:b/>
          <w:bCs/>
          <w:sz w:val="28"/>
          <w:szCs w:val="36"/>
          <w:lang w:val="zh-CN"/>
        </w:rPr>
        <w:t>不</w:t>
      </w:r>
      <w:r>
        <w:rPr>
          <w:rFonts w:hint="eastAsia" w:ascii="宋体" w:hAnsi="宋体" w:cs="宋体"/>
          <w:b/>
          <w:bCs/>
          <w:sz w:val="28"/>
          <w:szCs w:val="36"/>
        </w:rPr>
        <w:t>填写</w:t>
      </w:r>
      <w:r>
        <w:rPr>
          <w:rFonts w:hint="eastAsia" w:ascii="宋体" w:hAnsi="宋体" w:cs="宋体"/>
          <w:b/>
          <w:bCs/>
          <w:sz w:val="28"/>
          <w:szCs w:val="36"/>
          <w:lang w:val="zh-CN"/>
        </w:rPr>
        <w:t>）</w:t>
      </w:r>
    </w:p>
    <w:p>
      <w:pPr>
        <w:spacing w:line="360" w:lineRule="auto"/>
        <w:ind w:firstLine="420" w:firstLineChars="200"/>
        <w:rPr>
          <w:rFonts w:hint="eastAsia" w:ascii="宋体" w:hAnsi="宋体"/>
          <w:color w:val="auto"/>
          <w:sz w:val="21"/>
          <w:szCs w:val="21"/>
          <w:highlight w:val="none"/>
        </w:rPr>
      </w:pP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单位的</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本单位对上述声明的真实性负责。如有虚假，将依法承担相应责任。</w:t>
      </w:r>
    </w:p>
    <w:p>
      <w:pPr>
        <w:spacing w:line="360" w:lineRule="auto"/>
        <w:rPr>
          <w:rFonts w:ascii="宋体" w:hAnsi="宋体"/>
          <w:color w:val="auto"/>
          <w:sz w:val="21"/>
          <w:szCs w:val="21"/>
          <w:highlight w:val="none"/>
        </w:rPr>
      </w:pPr>
    </w:p>
    <w:p>
      <w:pPr>
        <w:spacing w:line="360" w:lineRule="auto"/>
        <w:rPr>
          <w:rFonts w:ascii="宋体" w:hAnsi="宋体"/>
          <w:color w:val="auto"/>
          <w:sz w:val="21"/>
          <w:szCs w:val="21"/>
          <w:highlight w:val="none"/>
        </w:rPr>
      </w:pPr>
    </w:p>
    <w:p>
      <w:pPr>
        <w:pStyle w:val="2"/>
        <w:spacing w:before="29" w:line="360" w:lineRule="auto"/>
        <w:ind w:left="4060" w:right="2166" w:firstLine="420" w:firstLineChars="200"/>
        <w:rPr>
          <w:rFonts w:hint="eastAsia" w:ascii="宋体" w:hAnsi="宋体" w:cs="宋体"/>
          <w:color w:val="auto"/>
          <w:sz w:val="21"/>
          <w:szCs w:val="21"/>
          <w:highlight w:val="none"/>
        </w:rPr>
      </w:pPr>
    </w:p>
    <w:p>
      <w:pPr>
        <w:pStyle w:val="2"/>
        <w:keepNext w:val="0"/>
        <w:keepLines w:val="0"/>
        <w:pageBreakBefore w:val="0"/>
        <w:widowControl/>
        <w:kinsoku/>
        <w:wordWrap/>
        <w:overflowPunct/>
        <w:topLinePunct w:val="0"/>
        <w:autoSpaceDE/>
        <w:autoSpaceDN/>
        <w:bidi w:val="0"/>
        <w:adjustRightInd/>
        <w:snapToGrid/>
        <w:spacing w:before="29" w:line="360" w:lineRule="auto"/>
        <w:ind w:right="0" w:firstLine="3780" w:firstLineChars="1800"/>
        <w:jc w:val="left"/>
        <w:textAlignment w:val="auto"/>
        <w:rPr>
          <w:rFonts w:hint="default" w:ascii="宋体" w:hAnsi="宋体" w:eastAsia="宋体" w:cs="宋体"/>
          <w:color w:val="auto"/>
          <w:sz w:val="21"/>
          <w:szCs w:val="21"/>
          <w:highlight w:val="none"/>
          <w:u w:val="single"/>
          <w:lang w:val="en-US" w:eastAsia="zh-CN"/>
        </w:rPr>
      </w:pPr>
      <w:r>
        <w:rPr>
          <w:rFonts w:hint="eastAsia" w:ascii="宋体" w:hAnsi="宋体" w:cs="宋体"/>
          <w:color w:val="auto"/>
          <w:sz w:val="21"/>
          <w:szCs w:val="21"/>
          <w:highlight w:val="none"/>
        </w:rPr>
        <w:t>企业名称（盖章）：</w:t>
      </w:r>
      <w:r>
        <w:rPr>
          <w:rFonts w:hint="eastAsia" w:ascii="宋体" w:hAnsi="宋体" w:cs="宋体"/>
          <w:color w:val="auto"/>
          <w:sz w:val="21"/>
          <w:szCs w:val="21"/>
          <w:highlight w:val="none"/>
          <w:u w:val="single"/>
          <w:lang w:val="en-US" w:eastAsia="zh-CN"/>
        </w:rPr>
        <w:t xml:space="preserve">                 </w:t>
      </w:r>
    </w:p>
    <w:p>
      <w:pPr>
        <w:pStyle w:val="2"/>
        <w:keepNext w:val="0"/>
        <w:keepLines w:val="0"/>
        <w:pageBreakBefore w:val="0"/>
        <w:widowControl/>
        <w:kinsoku/>
        <w:wordWrap/>
        <w:overflowPunct/>
        <w:topLinePunct w:val="0"/>
        <w:autoSpaceDE/>
        <w:autoSpaceDN/>
        <w:bidi w:val="0"/>
        <w:adjustRightInd/>
        <w:snapToGrid/>
        <w:spacing w:before="29" w:line="360" w:lineRule="auto"/>
        <w:ind w:right="0" w:firstLine="3780" w:firstLineChars="1800"/>
        <w:textAlignment w:val="auto"/>
        <w:rPr>
          <w:rFonts w:hint="default" w:ascii="宋体" w:hAnsi="宋体" w:cs="宋体"/>
          <w:color w:val="auto"/>
          <w:sz w:val="21"/>
          <w:szCs w:val="21"/>
          <w:highlight w:val="none"/>
          <w:lang w:val="en-US"/>
        </w:rPr>
      </w:pPr>
      <w:r>
        <w:rPr>
          <w:rFonts w:hint="eastAsia" w:ascii="宋体" w:hAnsi="宋体" w:cs="宋体"/>
          <w:color w:val="auto"/>
          <w:sz w:val="21"/>
          <w:szCs w:val="21"/>
          <w:highlight w:val="none"/>
        </w:rPr>
        <w:t>日期：</w:t>
      </w:r>
      <w:r>
        <w:rPr>
          <w:rFonts w:hint="eastAsia" w:ascii="宋体" w:hAnsi="宋体" w:cs="宋体"/>
          <w:color w:val="auto"/>
          <w:sz w:val="21"/>
          <w:szCs w:val="21"/>
          <w:highlight w:val="none"/>
          <w:u w:val="single"/>
          <w:lang w:val="en-US" w:eastAsia="zh-CN"/>
        </w:rPr>
        <w:t xml:space="preserve">                             </w:t>
      </w:r>
    </w:p>
    <w:p>
      <w:pPr>
        <w:spacing w:line="360" w:lineRule="auto"/>
        <w:rPr>
          <w:rFonts w:hint="eastAsia" w:ascii="宋体" w:hAnsi="宋体"/>
          <w:color w:val="auto"/>
          <w:sz w:val="21"/>
          <w:szCs w:val="21"/>
          <w:highlight w:val="none"/>
        </w:rPr>
      </w:pPr>
    </w:p>
    <w:p>
      <w:pPr>
        <w:spacing w:line="360" w:lineRule="auto"/>
        <w:rPr>
          <w:rFonts w:hint="eastAsia" w:ascii="宋体" w:hAnsi="宋体"/>
          <w:color w:val="auto"/>
          <w:sz w:val="21"/>
          <w:szCs w:val="21"/>
          <w:highlight w:val="none"/>
        </w:rPr>
      </w:pPr>
    </w:p>
    <w:p>
      <w:pPr>
        <w:spacing w:line="360" w:lineRule="auto"/>
        <w:rPr>
          <w:rFonts w:hint="eastAsia" w:ascii="宋体" w:hAnsi="宋体"/>
          <w:color w:val="auto"/>
          <w:sz w:val="24"/>
          <w:szCs w:val="24"/>
          <w:highlight w:val="none"/>
        </w:rPr>
      </w:pPr>
    </w:p>
    <w:p>
      <w:pPr>
        <w:spacing w:line="360" w:lineRule="auto"/>
        <w:rPr>
          <w:rFonts w:hint="eastAsia" w:ascii="宋体" w:hAnsi="宋体"/>
          <w:color w:val="auto"/>
          <w:sz w:val="24"/>
          <w:szCs w:val="24"/>
          <w:highlight w:val="none"/>
        </w:rPr>
      </w:pPr>
    </w:p>
    <w:p>
      <w:pPr>
        <w:spacing w:line="360" w:lineRule="auto"/>
        <w:rPr>
          <w:rFonts w:hint="eastAsia" w:ascii="宋体" w:hAnsi="宋体"/>
          <w:color w:val="auto"/>
          <w:sz w:val="24"/>
          <w:szCs w:val="24"/>
          <w:highlight w:val="none"/>
        </w:rPr>
      </w:pPr>
    </w:p>
    <w:p>
      <w:pPr>
        <w:spacing w:line="360" w:lineRule="auto"/>
        <w:rPr>
          <w:rFonts w:hint="eastAsia" w:ascii="宋体" w:hAnsi="宋体"/>
          <w:color w:val="auto"/>
          <w:sz w:val="24"/>
          <w:szCs w:val="24"/>
          <w:highlight w:val="none"/>
        </w:rPr>
      </w:pPr>
    </w:p>
    <w:p>
      <w:pPr>
        <w:spacing w:line="360" w:lineRule="auto"/>
        <w:rPr>
          <w:rFonts w:hint="eastAsia" w:ascii="宋体" w:hAnsi="宋体"/>
          <w:color w:val="auto"/>
          <w:sz w:val="24"/>
          <w:szCs w:val="24"/>
          <w:highlight w:val="none"/>
        </w:rPr>
      </w:pPr>
    </w:p>
    <w:p>
      <w:pPr>
        <w:spacing w:line="360" w:lineRule="auto"/>
        <w:rPr>
          <w:rFonts w:hint="eastAsia" w:ascii="宋体" w:hAnsi="宋体"/>
          <w:color w:val="auto"/>
          <w:sz w:val="24"/>
          <w:szCs w:val="24"/>
          <w:highlight w:val="none"/>
        </w:rPr>
      </w:pPr>
    </w:p>
    <w:p>
      <w:pPr>
        <w:spacing w:line="360" w:lineRule="auto"/>
        <w:rPr>
          <w:rFonts w:hint="eastAsia" w:ascii="宋体" w:hAnsi="宋体"/>
          <w:color w:val="auto"/>
          <w:sz w:val="24"/>
          <w:szCs w:val="24"/>
          <w:highlight w:val="none"/>
        </w:rPr>
      </w:pPr>
    </w:p>
    <w:p>
      <w:pPr>
        <w:spacing w:line="360" w:lineRule="auto"/>
        <w:rPr>
          <w:rFonts w:hint="eastAsia" w:ascii="宋体" w:hAnsi="宋体"/>
          <w:color w:val="auto"/>
          <w:sz w:val="24"/>
          <w:szCs w:val="24"/>
          <w:highlight w:val="none"/>
        </w:rPr>
      </w:pPr>
    </w:p>
    <w:p>
      <w:pPr>
        <w:spacing w:line="360" w:lineRule="auto"/>
        <w:rPr>
          <w:rFonts w:hint="eastAsia" w:ascii="宋体" w:hAnsi="宋体"/>
          <w:color w:val="auto"/>
          <w:sz w:val="24"/>
          <w:szCs w:val="24"/>
          <w:highlight w:val="none"/>
        </w:rPr>
      </w:pPr>
    </w:p>
    <w:p>
      <w:pPr>
        <w:spacing w:line="360" w:lineRule="auto"/>
        <w:rPr>
          <w:rFonts w:hint="eastAsia" w:ascii="宋体" w:hAnsi="宋体"/>
          <w:color w:val="auto"/>
          <w:sz w:val="24"/>
          <w:szCs w:val="24"/>
          <w:highlight w:val="none"/>
        </w:rPr>
      </w:pPr>
    </w:p>
    <w:p>
      <w:pPr>
        <w:pageBreakBefore/>
        <w:spacing w:line="360" w:lineRule="auto"/>
        <w:rPr>
          <w:rFonts w:ascii="仿宋" w:hAnsi="仿宋" w:eastAsia="仿宋" w:cs="仿宋"/>
          <w:b/>
          <w:sz w:val="24"/>
          <w:szCs w:val="24"/>
        </w:rPr>
      </w:pPr>
      <w:bookmarkStart w:id="232" w:name="_Toc27972"/>
      <w:r>
        <w:rPr>
          <w:rFonts w:hint="eastAsia" w:ascii="仿宋" w:hAnsi="仿宋" w:eastAsia="仿宋" w:cs="仿宋"/>
          <w:b/>
          <w:sz w:val="24"/>
          <w:szCs w:val="24"/>
        </w:rPr>
        <w:t>附件3：</w:t>
      </w:r>
    </w:p>
    <w:p>
      <w:pPr>
        <w:spacing w:line="360" w:lineRule="auto"/>
        <w:jc w:val="center"/>
        <w:rPr>
          <w:rFonts w:hint="eastAsia" w:ascii="宋体" w:hAnsi="宋体" w:eastAsia="宋体"/>
          <w:b/>
          <w:color w:val="auto"/>
          <w:sz w:val="28"/>
          <w:szCs w:val="28"/>
          <w:highlight w:val="none"/>
          <w:lang w:eastAsia="zh-CN"/>
        </w:rPr>
      </w:pPr>
      <w:r>
        <w:rPr>
          <w:rFonts w:hint="eastAsia" w:ascii="宋体" w:hAnsi="宋体"/>
          <w:b/>
          <w:color w:val="auto"/>
          <w:sz w:val="28"/>
          <w:szCs w:val="28"/>
          <w:highlight w:val="none"/>
          <w:lang w:eastAsia="zh-CN"/>
        </w:rPr>
        <w:t>监狱、戒毒企业声明函</w:t>
      </w:r>
    </w:p>
    <w:p>
      <w:pPr>
        <w:jc w:val="center"/>
        <w:rPr>
          <w:rFonts w:hint="eastAsia" w:ascii="宋体" w:hAnsi="宋体" w:cs="宋体"/>
          <w:b/>
          <w:bCs/>
          <w:sz w:val="28"/>
          <w:szCs w:val="36"/>
        </w:rPr>
      </w:pPr>
      <w:r>
        <w:rPr>
          <w:rFonts w:hint="eastAsia" w:ascii="宋体" w:hAnsi="宋体" w:cs="宋体"/>
          <w:b/>
          <w:bCs/>
          <w:sz w:val="28"/>
          <w:szCs w:val="36"/>
          <w:lang w:val="zh-CN"/>
        </w:rPr>
        <w:t>（非监狱、戒毒企业不</w:t>
      </w:r>
      <w:r>
        <w:rPr>
          <w:rFonts w:hint="eastAsia" w:ascii="宋体" w:hAnsi="宋体" w:cs="宋体"/>
          <w:b/>
          <w:bCs/>
          <w:sz w:val="28"/>
          <w:szCs w:val="36"/>
        </w:rPr>
        <w:t>填写</w:t>
      </w:r>
      <w:r>
        <w:rPr>
          <w:rFonts w:hint="eastAsia" w:ascii="宋体" w:hAnsi="宋体" w:cs="宋体"/>
          <w:b/>
          <w:bCs/>
          <w:sz w:val="28"/>
          <w:szCs w:val="36"/>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444" w:firstLineChars="200"/>
        <w:jc w:val="left"/>
        <w:textAlignment w:val="auto"/>
        <w:rPr>
          <w:rFonts w:hint="eastAsia" w:ascii="宋体" w:hAnsi="宋体" w:eastAsia="宋体" w:cs="宋体"/>
          <w:spacing w:val="6"/>
          <w:sz w:val="21"/>
          <w:szCs w:val="21"/>
        </w:rPr>
      </w:pPr>
    </w:p>
    <w:p>
      <w:pPr>
        <w:spacing w:line="360" w:lineRule="auto"/>
        <w:ind w:firstLine="480" w:firstLineChars="200"/>
        <w:rPr>
          <w:rFonts w:hint="eastAsia" w:ascii="宋体" w:hAnsi="宋体" w:cs="宋体"/>
          <w:sz w:val="24"/>
        </w:rPr>
      </w:pPr>
      <w:r>
        <w:rPr>
          <w:rFonts w:hint="eastAsia" w:ascii="宋体" w:hAnsi="宋体" w:cs="宋体"/>
          <w:sz w:val="24"/>
        </w:rPr>
        <w:t>本单位郑重声明，根据《</w:t>
      </w:r>
      <w:r>
        <w:rPr>
          <w:rFonts w:hint="eastAsia" w:ascii="宋体" w:hAnsi="宋体" w:cs="宋体"/>
          <w:spacing w:val="-4"/>
          <w:kern w:val="0"/>
          <w:sz w:val="24"/>
        </w:rPr>
        <w:t>财政部 司法部 关于政府采购支持监狱企业发展有关问题的通知</w:t>
      </w:r>
      <w:r>
        <w:rPr>
          <w:rFonts w:hint="eastAsia" w:ascii="宋体" w:hAnsi="宋体" w:cs="宋体"/>
          <w:sz w:val="24"/>
        </w:rPr>
        <w:t>》（财库〔2014〕 68号）的规定，本单位为符合条件的监狱、戒毒企业，且本单位参加的</w:t>
      </w:r>
      <w:r>
        <w:rPr>
          <w:rFonts w:hint="eastAsia" w:ascii="宋体" w:hAnsi="宋体" w:cs="宋体"/>
          <w:sz w:val="24"/>
          <w:u w:val="single"/>
          <w:lang w:val="en-US" w:eastAsia="zh-CN"/>
        </w:rPr>
        <w:t xml:space="preserve">               </w:t>
      </w:r>
      <w:r>
        <w:rPr>
          <w:rFonts w:hint="eastAsia" w:ascii="宋体" w:hAnsi="宋体" w:cs="宋体"/>
          <w:sz w:val="24"/>
        </w:rPr>
        <w:t>项目采购活动提供本单位制造的货物（由本单位承担工程/提供服务），或者提供其他监狱、戒毒企业制造的货物（不包括使用非监狱、戒毒企业注册商标的货物）。</w:t>
      </w:r>
    </w:p>
    <w:p>
      <w:pPr>
        <w:spacing w:line="360" w:lineRule="auto"/>
        <w:ind w:firstLine="480" w:firstLineChars="200"/>
        <w:rPr>
          <w:rFonts w:hint="eastAsia"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p>
    <w:p>
      <w:pPr>
        <w:tabs>
          <w:tab w:val="left" w:pos="4860"/>
          <w:tab w:val="left" w:pos="8040"/>
          <w:tab w:val="left" w:pos="8160"/>
        </w:tabs>
        <w:spacing w:line="360" w:lineRule="auto"/>
        <w:ind w:right="862" w:firstLine="480" w:firstLineChars="200"/>
        <w:jc w:val="center"/>
        <w:rPr>
          <w:rFonts w:hint="eastAsia" w:ascii="宋体" w:hAnsi="宋体" w:cs="宋体"/>
          <w:sz w:val="24"/>
          <w:u w:val="single"/>
        </w:rPr>
      </w:pPr>
      <w:r>
        <w:rPr>
          <w:rFonts w:hint="eastAsia" w:ascii="宋体" w:hAnsi="宋体" w:cs="宋体"/>
          <w:sz w:val="24"/>
        </w:rPr>
        <w:t xml:space="preserve">            企业名称</w:t>
      </w:r>
      <w:r>
        <w:rPr>
          <w:rFonts w:hint="eastAsia" w:ascii="宋体" w:hAnsi="宋体" w:cs="宋体"/>
          <w:sz w:val="24"/>
          <w:lang w:val="zh-CN"/>
        </w:rPr>
        <w:t>（</w:t>
      </w:r>
      <w:r>
        <w:rPr>
          <w:rFonts w:hint="eastAsia" w:ascii="宋体" w:hAnsi="宋体" w:cs="宋体"/>
          <w:sz w:val="24"/>
        </w:rPr>
        <w:t>盖</w:t>
      </w:r>
      <w:r>
        <w:rPr>
          <w:rFonts w:hint="eastAsia" w:ascii="宋体" w:hAnsi="宋体" w:cs="宋体"/>
          <w:sz w:val="24"/>
          <w:lang w:val="zh-CN"/>
        </w:rPr>
        <w:t>章）：</w:t>
      </w:r>
      <w:r>
        <w:rPr>
          <w:rFonts w:hint="eastAsia" w:ascii="宋体" w:hAnsi="宋体" w:cs="宋体"/>
          <w:sz w:val="24"/>
          <w:u w:val="single"/>
          <w:lang w:val="zh-CN"/>
        </w:rPr>
        <w:t xml:space="preserve">          </w:t>
      </w:r>
      <w:r>
        <w:rPr>
          <w:rFonts w:hint="eastAsia" w:ascii="宋体" w:hAnsi="宋体" w:cs="宋体"/>
          <w:sz w:val="24"/>
          <w:u w:val="single"/>
        </w:rPr>
        <w:t xml:space="preserve">  </w:t>
      </w:r>
      <w:r>
        <w:rPr>
          <w:rFonts w:hint="eastAsia" w:ascii="宋体" w:hAnsi="宋体" w:cs="宋体"/>
          <w:sz w:val="24"/>
          <w:u w:val="single"/>
          <w:lang w:val="zh-CN"/>
        </w:rPr>
        <w:t xml:space="preserve">      </w:t>
      </w:r>
      <w:r>
        <w:rPr>
          <w:rFonts w:hint="eastAsia" w:ascii="宋体" w:hAnsi="宋体" w:cs="宋体"/>
          <w:sz w:val="24"/>
          <w:u w:val="single"/>
        </w:rPr>
        <w:t xml:space="preserve">     </w:t>
      </w:r>
    </w:p>
    <w:p>
      <w:pPr>
        <w:tabs>
          <w:tab w:val="left" w:pos="4860"/>
        </w:tabs>
        <w:spacing w:line="360" w:lineRule="auto"/>
        <w:ind w:right="1560" w:firstLine="480" w:firstLineChars="200"/>
        <w:jc w:val="center"/>
        <w:rPr>
          <w:rFonts w:hint="eastAsia" w:ascii="宋体" w:hAnsi="宋体" w:cs="宋体"/>
          <w:sz w:val="24"/>
        </w:rPr>
      </w:pPr>
      <w:r>
        <w:rPr>
          <w:rFonts w:hint="eastAsia" w:ascii="宋体" w:hAnsi="宋体" w:cs="宋体"/>
          <w:sz w:val="24"/>
        </w:rPr>
        <w:t xml:space="preserve">       </w:t>
      </w:r>
    </w:p>
    <w:p>
      <w:pPr>
        <w:keepNext w:val="0"/>
        <w:keepLines w:val="0"/>
        <w:pageBreakBefore w:val="0"/>
        <w:widowControl w:val="0"/>
        <w:tabs>
          <w:tab w:val="left" w:pos="4860"/>
        </w:tabs>
        <w:kinsoku/>
        <w:wordWrap/>
        <w:overflowPunct/>
        <w:topLinePunct w:val="0"/>
        <w:autoSpaceDE/>
        <w:autoSpaceDN/>
        <w:bidi w:val="0"/>
        <w:adjustRightInd/>
        <w:snapToGrid/>
        <w:spacing w:line="360" w:lineRule="auto"/>
        <w:ind w:right="1134" w:firstLine="480" w:firstLineChars="200"/>
        <w:jc w:val="center"/>
        <w:textAlignment w:val="auto"/>
        <w:rPr>
          <w:rFonts w:hint="eastAsia" w:ascii="宋体" w:hAnsi="宋体" w:cs="宋体"/>
          <w:sz w:val="24"/>
        </w:rPr>
      </w:pP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日  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auto"/>
        <w:ind w:firstLine="506" w:firstLineChars="200"/>
        <w:rPr>
          <w:rFonts w:hint="eastAsia" w:ascii="宋体" w:hAnsi="宋体" w:cs="宋体"/>
          <w:b/>
          <w:spacing w:val="6"/>
          <w:sz w:val="24"/>
          <w:shd w:val="pct10" w:color="auto" w:fill="FFFFFF"/>
        </w:rPr>
      </w:pPr>
    </w:p>
    <w:p>
      <w:pPr>
        <w:spacing w:line="360" w:lineRule="auto"/>
        <w:ind w:firstLine="506" w:firstLineChars="200"/>
        <w:rPr>
          <w:rFonts w:hint="eastAsia" w:ascii="宋体" w:hAnsi="宋体" w:cs="宋体"/>
          <w:b/>
          <w:spacing w:val="6"/>
          <w:sz w:val="24"/>
          <w:shd w:val="pct10" w:color="auto" w:fill="FFFFFF"/>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pacing w:val="6"/>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44" w:firstLineChars="200"/>
        <w:jc w:val="left"/>
        <w:textAlignment w:val="auto"/>
        <w:rPr>
          <w:rFonts w:hint="eastAsia" w:ascii="宋体" w:hAnsi="宋体" w:eastAsia="宋体" w:cs="宋体"/>
          <w:spacing w:val="6"/>
          <w:sz w:val="21"/>
          <w:szCs w:val="21"/>
        </w:rPr>
      </w:pPr>
      <w:r>
        <w:rPr>
          <w:rFonts w:hint="eastAsia" w:ascii="宋体" w:hAnsi="宋体" w:eastAsia="宋体" w:cs="宋体"/>
          <w:spacing w:val="6"/>
          <w:sz w:val="21"/>
          <w:szCs w:val="21"/>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keepNext w:val="0"/>
        <w:keepLines w:val="0"/>
        <w:pageBreakBefore w:val="0"/>
        <w:widowControl w:val="0"/>
        <w:kinsoku/>
        <w:wordWrap/>
        <w:overflowPunct/>
        <w:topLinePunct w:val="0"/>
        <w:autoSpaceDE/>
        <w:autoSpaceDN/>
        <w:bidi w:val="0"/>
        <w:adjustRightInd/>
        <w:snapToGrid/>
        <w:spacing w:line="360" w:lineRule="auto"/>
        <w:ind w:firstLine="444" w:firstLineChars="200"/>
        <w:jc w:val="left"/>
        <w:textAlignment w:val="auto"/>
        <w:rPr>
          <w:rFonts w:hint="eastAsia" w:ascii="宋体" w:hAnsi="宋体" w:eastAsia="宋体" w:cs="宋体"/>
          <w:spacing w:val="6"/>
          <w:sz w:val="21"/>
          <w:szCs w:val="21"/>
        </w:rPr>
      </w:pPr>
      <w:r>
        <w:rPr>
          <w:rFonts w:hint="eastAsia" w:ascii="宋体" w:hAnsi="宋体" w:eastAsia="宋体" w:cs="宋体"/>
          <w:spacing w:val="6"/>
          <w:sz w:val="21"/>
          <w:szCs w:val="21"/>
        </w:rPr>
        <w:t>监狱企业参加政府采购活动时，应当提供由省级以上监狱管理局、戒毒管理局（含新疆生产建设兵团）出具的属于监狱企业的证明文件。</w:t>
      </w:r>
    </w:p>
    <w:p>
      <w:pPr>
        <w:spacing w:line="360" w:lineRule="auto"/>
        <w:rPr>
          <w:rFonts w:hint="eastAsia" w:ascii="宋体" w:hAnsi="宋体"/>
          <w:color w:val="auto"/>
          <w:sz w:val="21"/>
          <w:szCs w:val="21"/>
          <w:highlight w:val="none"/>
        </w:rPr>
      </w:pPr>
    </w:p>
    <w:p>
      <w:pPr>
        <w:rPr>
          <w:rFonts w:hint="eastAsia"/>
          <w:color w:val="auto"/>
          <w:sz w:val="28"/>
          <w:szCs w:val="22"/>
          <w:highlight w:val="none"/>
          <w:lang w:val="en-US" w:eastAsia="zh-CN"/>
        </w:rPr>
      </w:pPr>
      <w:r>
        <w:rPr>
          <w:rFonts w:hint="eastAsia"/>
          <w:color w:val="auto"/>
          <w:sz w:val="28"/>
          <w:szCs w:val="22"/>
          <w:highlight w:val="none"/>
          <w:lang w:val="en-US" w:eastAsia="zh-CN"/>
        </w:rPr>
        <w:br w:type="page"/>
      </w:r>
    </w:p>
    <w:p>
      <w:pPr>
        <w:pageBreakBefore/>
        <w:spacing w:line="360" w:lineRule="auto"/>
        <w:rPr>
          <w:rFonts w:ascii="仿宋" w:hAnsi="仿宋" w:eastAsia="仿宋" w:cs="仿宋"/>
          <w:b/>
          <w:sz w:val="24"/>
          <w:szCs w:val="24"/>
        </w:rPr>
      </w:pPr>
      <w:r>
        <w:rPr>
          <w:rFonts w:hint="eastAsia" w:ascii="仿宋" w:hAnsi="仿宋" w:eastAsia="仿宋" w:cs="仿宋"/>
          <w:b/>
          <w:sz w:val="24"/>
          <w:szCs w:val="24"/>
        </w:rPr>
        <w:t>附件</w:t>
      </w:r>
      <w:r>
        <w:rPr>
          <w:rFonts w:hint="eastAsia" w:ascii="仿宋" w:hAnsi="仿宋" w:eastAsia="仿宋" w:cs="仿宋"/>
          <w:b/>
          <w:sz w:val="24"/>
          <w:szCs w:val="24"/>
          <w:lang w:val="en-US" w:eastAsia="zh-CN"/>
        </w:rPr>
        <w:t>4</w:t>
      </w:r>
      <w:r>
        <w:rPr>
          <w:rFonts w:hint="eastAsia" w:ascii="仿宋" w:hAnsi="仿宋" w:eastAsia="仿宋" w:cs="仿宋"/>
          <w:b/>
          <w:sz w:val="24"/>
          <w:szCs w:val="24"/>
        </w:rPr>
        <w:t>：</w:t>
      </w:r>
    </w:p>
    <w:p>
      <w:pPr>
        <w:rPr>
          <w:rFonts w:hint="eastAsia"/>
          <w:color w:val="auto"/>
          <w:sz w:val="28"/>
          <w:szCs w:val="2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ascii="仿宋" w:hAnsi="仿宋" w:eastAsia="仿宋" w:cs="仿宋"/>
          <w:b/>
          <w:bCs/>
          <w:sz w:val="32"/>
          <w:szCs w:val="15"/>
          <w:lang w:val="zh-CN"/>
        </w:rPr>
      </w:pPr>
      <w:r>
        <w:rPr>
          <w:rFonts w:hint="eastAsia" w:ascii="仿宋" w:hAnsi="仿宋" w:eastAsia="仿宋" w:cs="仿宋"/>
          <w:b/>
          <w:bCs/>
          <w:sz w:val="32"/>
          <w:szCs w:val="15"/>
          <w:lang w:val="zh-CN"/>
        </w:rPr>
        <w:t>节能环保、环境标志产品明细表（若有）</w:t>
      </w:r>
    </w:p>
    <w:p>
      <w:pPr>
        <w:spacing w:line="360" w:lineRule="auto"/>
        <w:ind w:right="-197" w:rightChars="-94"/>
        <w:rPr>
          <w:rFonts w:ascii="仿宋" w:hAnsi="仿宋" w:eastAsia="仿宋" w:cs="仿宋"/>
          <w:b/>
          <w:bCs/>
          <w:sz w:val="24"/>
          <w:szCs w:val="24"/>
        </w:rPr>
      </w:pPr>
      <w:r>
        <w:rPr>
          <w:rFonts w:hint="eastAsia" w:ascii="仿宋" w:hAnsi="仿宋" w:eastAsia="仿宋" w:cs="仿宋"/>
          <w:bCs/>
          <w:kern w:val="0"/>
          <w:sz w:val="24"/>
          <w:szCs w:val="24"/>
        </w:rPr>
        <w:t xml:space="preserve">项目编号：                                            </w:t>
      </w:r>
    </w:p>
    <w:tbl>
      <w:tblPr>
        <w:tblStyle w:val="23"/>
        <w:tblW w:w="8882" w:type="dxa"/>
        <w:jc w:val="center"/>
        <w:tblLayout w:type="fixed"/>
        <w:tblCellMar>
          <w:top w:w="0" w:type="dxa"/>
          <w:left w:w="108" w:type="dxa"/>
          <w:bottom w:w="0" w:type="dxa"/>
          <w:right w:w="108" w:type="dxa"/>
        </w:tblCellMar>
      </w:tblPr>
      <w:tblGrid>
        <w:gridCol w:w="716"/>
        <w:gridCol w:w="1554"/>
        <w:gridCol w:w="1036"/>
        <w:gridCol w:w="1036"/>
        <w:gridCol w:w="716"/>
        <w:gridCol w:w="1676"/>
        <w:gridCol w:w="716"/>
        <w:gridCol w:w="716"/>
        <w:gridCol w:w="716"/>
      </w:tblGrid>
      <w:tr>
        <w:tblPrEx>
          <w:tblCellMar>
            <w:top w:w="0" w:type="dxa"/>
            <w:left w:w="108" w:type="dxa"/>
            <w:bottom w:w="0" w:type="dxa"/>
            <w:right w:w="108" w:type="dxa"/>
          </w:tblCellMar>
        </w:tblPrEx>
        <w:trPr>
          <w:jc w:val="center"/>
        </w:trPr>
        <w:tc>
          <w:tcPr>
            <w:tcW w:w="71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仿宋" w:hAnsi="仿宋" w:eastAsia="仿宋" w:cs="仿宋"/>
                <w:sz w:val="22"/>
                <w:szCs w:val="22"/>
                <w:lang w:val="zh-CN"/>
              </w:rPr>
            </w:pPr>
            <w:r>
              <w:rPr>
                <w:rFonts w:hint="eastAsia" w:ascii="仿宋" w:hAnsi="仿宋" w:eastAsia="仿宋" w:cs="仿宋"/>
                <w:sz w:val="22"/>
                <w:szCs w:val="22"/>
                <w:lang w:val="zh-CN"/>
              </w:rPr>
              <w:t>序</w:t>
            </w:r>
          </w:p>
          <w:p>
            <w:pPr>
              <w:autoSpaceDE w:val="0"/>
              <w:autoSpaceDN w:val="0"/>
              <w:adjustRightInd w:val="0"/>
              <w:snapToGrid w:val="0"/>
              <w:jc w:val="center"/>
              <w:rPr>
                <w:rFonts w:ascii="仿宋" w:hAnsi="仿宋" w:eastAsia="仿宋" w:cs="仿宋"/>
                <w:sz w:val="22"/>
                <w:szCs w:val="22"/>
              </w:rPr>
            </w:pPr>
            <w:r>
              <w:rPr>
                <w:rFonts w:hint="eastAsia" w:ascii="仿宋" w:hAnsi="仿宋" w:eastAsia="仿宋" w:cs="仿宋"/>
                <w:sz w:val="22"/>
                <w:szCs w:val="22"/>
                <w:lang w:val="zh-CN"/>
              </w:rPr>
              <w:t>号</w:t>
            </w:r>
          </w:p>
        </w:tc>
        <w:tc>
          <w:tcPr>
            <w:tcW w:w="155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仿宋" w:hAnsi="仿宋" w:eastAsia="仿宋" w:cs="仿宋"/>
                <w:sz w:val="22"/>
                <w:szCs w:val="22"/>
                <w:lang w:val="zh-CN"/>
              </w:rPr>
            </w:pPr>
            <w:r>
              <w:rPr>
                <w:rFonts w:hint="eastAsia" w:ascii="仿宋" w:hAnsi="仿宋" w:eastAsia="仿宋" w:cs="仿宋"/>
                <w:sz w:val="22"/>
                <w:szCs w:val="22"/>
                <w:lang w:val="zh-CN"/>
              </w:rPr>
              <w:t>产品</w:t>
            </w:r>
          </w:p>
          <w:p>
            <w:pPr>
              <w:autoSpaceDE w:val="0"/>
              <w:autoSpaceDN w:val="0"/>
              <w:adjustRightInd w:val="0"/>
              <w:snapToGrid w:val="0"/>
              <w:jc w:val="center"/>
              <w:rPr>
                <w:rFonts w:ascii="仿宋" w:hAnsi="仿宋" w:eastAsia="仿宋" w:cs="仿宋"/>
                <w:sz w:val="22"/>
                <w:szCs w:val="22"/>
              </w:rPr>
            </w:pPr>
            <w:r>
              <w:rPr>
                <w:rFonts w:hint="eastAsia" w:ascii="仿宋" w:hAnsi="仿宋" w:eastAsia="仿宋" w:cs="仿宋"/>
                <w:sz w:val="22"/>
                <w:szCs w:val="22"/>
                <w:lang w:val="zh-CN"/>
              </w:rPr>
              <w:t>名称</w:t>
            </w:r>
          </w:p>
        </w:tc>
        <w:tc>
          <w:tcPr>
            <w:tcW w:w="1036"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jc w:val="center"/>
              <w:rPr>
                <w:rFonts w:ascii="仿宋" w:hAnsi="仿宋" w:eastAsia="仿宋" w:cs="仿宋"/>
                <w:sz w:val="22"/>
                <w:szCs w:val="22"/>
              </w:rPr>
            </w:pPr>
            <w:r>
              <w:rPr>
                <w:rFonts w:hint="eastAsia" w:ascii="仿宋" w:hAnsi="仿宋" w:eastAsia="仿宋" w:cs="仿宋"/>
                <w:sz w:val="22"/>
                <w:szCs w:val="22"/>
              </w:rPr>
              <w:t>制造</w:t>
            </w:r>
          </w:p>
          <w:p>
            <w:pPr>
              <w:autoSpaceDE w:val="0"/>
              <w:autoSpaceDN w:val="0"/>
              <w:adjustRightInd w:val="0"/>
              <w:snapToGrid w:val="0"/>
              <w:jc w:val="center"/>
              <w:rPr>
                <w:rFonts w:ascii="仿宋" w:hAnsi="仿宋" w:eastAsia="仿宋" w:cs="仿宋"/>
                <w:sz w:val="22"/>
                <w:szCs w:val="22"/>
              </w:rPr>
            </w:pPr>
            <w:r>
              <w:rPr>
                <w:rFonts w:hint="eastAsia" w:ascii="仿宋" w:hAnsi="仿宋" w:eastAsia="仿宋" w:cs="仿宋"/>
                <w:sz w:val="22"/>
                <w:szCs w:val="22"/>
              </w:rPr>
              <w:t>厂家</w:t>
            </w:r>
          </w:p>
        </w:tc>
        <w:tc>
          <w:tcPr>
            <w:tcW w:w="1036"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jc w:val="center"/>
              <w:rPr>
                <w:rFonts w:ascii="仿宋" w:hAnsi="仿宋" w:eastAsia="仿宋" w:cs="仿宋"/>
                <w:sz w:val="22"/>
                <w:szCs w:val="22"/>
                <w:lang w:val="zh-CN"/>
              </w:rPr>
            </w:pPr>
            <w:r>
              <w:rPr>
                <w:rFonts w:hint="eastAsia" w:ascii="仿宋" w:hAnsi="仿宋" w:eastAsia="仿宋" w:cs="仿宋"/>
                <w:sz w:val="22"/>
                <w:szCs w:val="22"/>
                <w:lang w:val="zh-CN"/>
              </w:rPr>
              <w:t>规格</w:t>
            </w:r>
          </w:p>
          <w:p>
            <w:pPr>
              <w:autoSpaceDE w:val="0"/>
              <w:autoSpaceDN w:val="0"/>
              <w:adjustRightInd w:val="0"/>
              <w:snapToGrid w:val="0"/>
              <w:jc w:val="center"/>
              <w:rPr>
                <w:rFonts w:ascii="仿宋" w:hAnsi="仿宋" w:eastAsia="仿宋" w:cs="仿宋"/>
                <w:sz w:val="22"/>
                <w:szCs w:val="22"/>
              </w:rPr>
            </w:pPr>
            <w:r>
              <w:rPr>
                <w:rFonts w:hint="eastAsia" w:ascii="仿宋" w:hAnsi="仿宋" w:eastAsia="仿宋" w:cs="仿宋"/>
                <w:sz w:val="22"/>
                <w:szCs w:val="22"/>
                <w:lang w:val="zh-CN"/>
              </w:rPr>
              <w:t>型号</w:t>
            </w:r>
          </w:p>
        </w:tc>
        <w:tc>
          <w:tcPr>
            <w:tcW w:w="71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jc w:val="center"/>
              <w:rPr>
                <w:rFonts w:ascii="仿宋" w:hAnsi="仿宋" w:eastAsia="仿宋" w:cs="仿宋"/>
                <w:sz w:val="22"/>
                <w:szCs w:val="22"/>
                <w:lang w:val="zh-CN"/>
              </w:rPr>
            </w:pPr>
            <w:r>
              <w:rPr>
                <w:rFonts w:hint="eastAsia" w:ascii="仿宋" w:hAnsi="仿宋" w:eastAsia="仿宋" w:cs="仿宋"/>
                <w:sz w:val="22"/>
                <w:szCs w:val="22"/>
                <w:lang w:val="zh-CN"/>
              </w:rPr>
              <w:t>类</w:t>
            </w:r>
          </w:p>
          <w:p>
            <w:pPr>
              <w:autoSpaceDE w:val="0"/>
              <w:autoSpaceDN w:val="0"/>
              <w:adjustRightInd w:val="0"/>
              <w:snapToGrid w:val="0"/>
              <w:jc w:val="center"/>
              <w:rPr>
                <w:rFonts w:ascii="仿宋" w:hAnsi="仿宋" w:eastAsia="仿宋" w:cs="仿宋"/>
                <w:sz w:val="22"/>
                <w:szCs w:val="22"/>
                <w:lang w:val="zh-CN"/>
              </w:rPr>
            </w:pPr>
            <w:r>
              <w:rPr>
                <w:rFonts w:hint="eastAsia" w:ascii="仿宋" w:hAnsi="仿宋" w:eastAsia="仿宋" w:cs="仿宋"/>
                <w:sz w:val="22"/>
                <w:szCs w:val="22"/>
                <w:lang w:val="zh-CN"/>
              </w:rPr>
              <w:t>别</w:t>
            </w:r>
          </w:p>
        </w:tc>
        <w:tc>
          <w:tcPr>
            <w:tcW w:w="16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仿宋" w:hAnsi="仿宋" w:eastAsia="仿宋" w:cs="仿宋"/>
                <w:sz w:val="22"/>
                <w:szCs w:val="22"/>
                <w:lang w:val="zh-CN"/>
              </w:rPr>
            </w:pPr>
            <w:r>
              <w:rPr>
                <w:rFonts w:hint="eastAsia" w:ascii="仿宋" w:hAnsi="仿宋" w:eastAsia="仿宋" w:cs="仿宋"/>
                <w:sz w:val="22"/>
                <w:szCs w:val="22"/>
                <w:lang w:val="zh-CN"/>
              </w:rPr>
              <w:t>认证证书</w:t>
            </w:r>
          </w:p>
          <w:p>
            <w:pPr>
              <w:autoSpaceDE w:val="0"/>
              <w:autoSpaceDN w:val="0"/>
              <w:adjustRightInd w:val="0"/>
              <w:snapToGrid w:val="0"/>
              <w:jc w:val="center"/>
              <w:rPr>
                <w:rFonts w:ascii="仿宋" w:hAnsi="仿宋" w:eastAsia="仿宋" w:cs="仿宋"/>
                <w:sz w:val="22"/>
                <w:szCs w:val="22"/>
              </w:rPr>
            </w:pPr>
            <w:r>
              <w:rPr>
                <w:rFonts w:hint="eastAsia" w:ascii="仿宋" w:hAnsi="仿宋" w:eastAsia="仿宋" w:cs="仿宋"/>
                <w:sz w:val="22"/>
                <w:szCs w:val="22"/>
                <w:lang w:val="zh-CN"/>
              </w:rPr>
              <w:t>编号</w:t>
            </w:r>
          </w:p>
        </w:tc>
        <w:tc>
          <w:tcPr>
            <w:tcW w:w="71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仿宋" w:hAnsi="仿宋" w:eastAsia="仿宋" w:cs="仿宋"/>
                <w:sz w:val="22"/>
                <w:szCs w:val="22"/>
                <w:lang w:val="zh-CN"/>
              </w:rPr>
            </w:pPr>
            <w:r>
              <w:rPr>
                <w:rFonts w:hint="eastAsia" w:ascii="仿宋" w:hAnsi="仿宋" w:eastAsia="仿宋" w:cs="仿宋"/>
                <w:sz w:val="22"/>
                <w:szCs w:val="22"/>
                <w:lang w:val="zh-CN"/>
              </w:rPr>
              <w:t>数</w:t>
            </w:r>
          </w:p>
          <w:p>
            <w:pPr>
              <w:autoSpaceDE w:val="0"/>
              <w:autoSpaceDN w:val="0"/>
              <w:adjustRightInd w:val="0"/>
              <w:snapToGrid w:val="0"/>
              <w:jc w:val="center"/>
              <w:rPr>
                <w:rFonts w:ascii="仿宋" w:hAnsi="仿宋" w:eastAsia="仿宋" w:cs="仿宋"/>
                <w:sz w:val="22"/>
                <w:szCs w:val="22"/>
              </w:rPr>
            </w:pPr>
            <w:r>
              <w:rPr>
                <w:rFonts w:hint="eastAsia" w:ascii="仿宋" w:hAnsi="仿宋" w:eastAsia="仿宋" w:cs="仿宋"/>
                <w:sz w:val="22"/>
                <w:szCs w:val="22"/>
                <w:lang w:val="zh-CN"/>
              </w:rPr>
              <w:t>量</w:t>
            </w:r>
          </w:p>
        </w:tc>
        <w:tc>
          <w:tcPr>
            <w:tcW w:w="71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仿宋" w:hAnsi="仿宋" w:eastAsia="仿宋" w:cs="仿宋"/>
                <w:sz w:val="22"/>
                <w:szCs w:val="22"/>
                <w:lang w:val="zh-CN"/>
              </w:rPr>
            </w:pPr>
            <w:r>
              <w:rPr>
                <w:rFonts w:hint="eastAsia" w:ascii="仿宋" w:hAnsi="仿宋" w:eastAsia="仿宋" w:cs="仿宋"/>
                <w:sz w:val="22"/>
                <w:szCs w:val="22"/>
                <w:lang w:val="zh-CN"/>
              </w:rPr>
              <w:t>单</w:t>
            </w:r>
          </w:p>
          <w:p>
            <w:pPr>
              <w:autoSpaceDE w:val="0"/>
              <w:autoSpaceDN w:val="0"/>
              <w:adjustRightInd w:val="0"/>
              <w:snapToGrid w:val="0"/>
              <w:jc w:val="center"/>
              <w:rPr>
                <w:rFonts w:ascii="仿宋" w:hAnsi="仿宋" w:eastAsia="仿宋" w:cs="仿宋"/>
                <w:sz w:val="22"/>
                <w:szCs w:val="22"/>
              </w:rPr>
            </w:pPr>
            <w:r>
              <w:rPr>
                <w:rFonts w:hint="eastAsia" w:ascii="仿宋" w:hAnsi="仿宋" w:eastAsia="仿宋" w:cs="仿宋"/>
                <w:sz w:val="22"/>
                <w:szCs w:val="22"/>
                <w:lang w:val="zh-CN"/>
              </w:rPr>
              <w:t>价</w:t>
            </w:r>
          </w:p>
        </w:tc>
        <w:tc>
          <w:tcPr>
            <w:tcW w:w="71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仿宋" w:hAnsi="仿宋" w:eastAsia="仿宋" w:cs="仿宋"/>
                <w:sz w:val="22"/>
                <w:szCs w:val="22"/>
                <w:lang w:val="zh-CN"/>
              </w:rPr>
            </w:pPr>
            <w:r>
              <w:rPr>
                <w:rFonts w:hint="eastAsia" w:ascii="仿宋" w:hAnsi="仿宋" w:eastAsia="仿宋" w:cs="仿宋"/>
                <w:sz w:val="22"/>
                <w:szCs w:val="22"/>
                <w:lang w:val="zh-CN"/>
              </w:rPr>
              <w:t>总</w:t>
            </w:r>
          </w:p>
          <w:p>
            <w:pPr>
              <w:autoSpaceDE w:val="0"/>
              <w:autoSpaceDN w:val="0"/>
              <w:adjustRightInd w:val="0"/>
              <w:snapToGrid w:val="0"/>
              <w:jc w:val="center"/>
              <w:rPr>
                <w:rFonts w:ascii="仿宋" w:hAnsi="仿宋" w:eastAsia="仿宋" w:cs="仿宋"/>
                <w:sz w:val="22"/>
                <w:szCs w:val="22"/>
              </w:rPr>
            </w:pPr>
            <w:r>
              <w:rPr>
                <w:rFonts w:hint="eastAsia" w:ascii="仿宋" w:hAnsi="仿宋" w:eastAsia="仿宋" w:cs="仿宋"/>
                <w:sz w:val="22"/>
                <w:szCs w:val="22"/>
                <w:lang w:val="zh-CN"/>
              </w:rPr>
              <w:t>价</w:t>
            </w: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ascii="仿宋" w:hAnsi="仿宋" w:eastAsia="仿宋" w:cs="仿宋"/>
                <w:sz w:val="22"/>
                <w:szCs w:val="22"/>
              </w:rPr>
            </w:pPr>
          </w:p>
        </w:tc>
        <w:tc>
          <w:tcPr>
            <w:tcW w:w="155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ascii="仿宋" w:hAnsi="仿宋" w:eastAsia="仿宋" w:cs="仿宋"/>
                <w:sz w:val="22"/>
                <w:szCs w:val="22"/>
              </w:rPr>
            </w:pPr>
          </w:p>
        </w:tc>
        <w:tc>
          <w:tcPr>
            <w:tcW w:w="103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adjustRightInd w:val="0"/>
              <w:snapToGrid w:val="0"/>
              <w:spacing w:line="360" w:lineRule="auto"/>
              <w:rPr>
                <w:rFonts w:ascii="仿宋" w:hAnsi="仿宋" w:eastAsia="仿宋" w:cs="仿宋"/>
                <w:sz w:val="22"/>
                <w:szCs w:val="22"/>
              </w:rPr>
            </w:pPr>
          </w:p>
        </w:tc>
        <w:tc>
          <w:tcPr>
            <w:tcW w:w="1036"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adjustRightInd w:val="0"/>
              <w:snapToGrid w:val="0"/>
              <w:spacing w:line="360" w:lineRule="auto"/>
              <w:rPr>
                <w:rFonts w:ascii="仿宋" w:hAnsi="仿宋" w:eastAsia="仿宋" w:cs="仿宋"/>
                <w:sz w:val="22"/>
                <w:szCs w:val="22"/>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ascii="仿宋" w:hAnsi="仿宋" w:eastAsia="仿宋" w:cs="仿宋"/>
                <w:sz w:val="22"/>
                <w:szCs w:val="22"/>
              </w:rPr>
            </w:pPr>
          </w:p>
        </w:tc>
        <w:tc>
          <w:tcPr>
            <w:tcW w:w="16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ascii="仿宋" w:hAnsi="仿宋" w:eastAsia="仿宋" w:cs="仿宋"/>
                <w:sz w:val="22"/>
                <w:szCs w:val="22"/>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ascii="仿宋" w:hAnsi="仿宋" w:eastAsia="仿宋" w:cs="仿宋"/>
                <w:sz w:val="22"/>
                <w:szCs w:val="22"/>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ascii="仿宋" w:hAnsi="仿宋" w:eastAsia="仿宋" w:cs="仿宋"/>
                <w:sz w:val="22"/>
                <w:szCs w:val="22"/>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ascii="仿宋" w:hAnsi="仿宋" w:eastAsia="仿宋" w:cs="仿宋"/>
                <w:sz w:val="22"/>
                <w:szCs w:val="22"/>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ascii="仿宋" w:hAnsi="仿宋" w:eastAsia="仿宋" w:cs="仿宋"/>
                <w:sz w:val="22"/>
                <w:szCs w:val="22"/>
              </w:rPr>
            </w:pPr>
          </w:p>
        </w:tc>
        <w:tc>
          <w:tcPr>
            <w:tcW w:w="155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ascii="仿宋" w:hAnsi="仿宋" w:eastAsia="仿宋" w:cs="仿宋"/>
                <w:sz w:val="22"/>
                <w:szCs w:val="22"/>
              </w:rPr>
            </w:pPr>
          </w:p>
        </w:tc>
        <w:tc>
          <w:tcPr>
            <w:tcW w:w="103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adjustRightInd w:val="0"/>
              <w:snapToGrid w:val="0"/>
              <w:spacing w:line="360" w:lineRule="auto"/>
              <w:rPr>
                <w:rFonts w:ascii="仿宋" w:hAnsi="仿宋" w:eastAsia="仿宋" w:cs="仿宋"/>
                <w:sz w:val="22"/>
                <w:szCs w:val="22"/>
              </w:rPr>
            </w:pPr>
          </w:p>
        </w:tc>
        <w:tc>
          <w:tcPr>
            <w:tcW w:w="1036"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adjustRightInd w:val="0"/>
              <w:snapToGrid w:val="0"/>
              <w:spacing w:line="360" w:lineRule="auto"/>
              <w:rPr>
                <w:rFonts w:ascii="仿宋" w:hAnsi="仿宋" w:eastAsia="仿宋" w:cs="仿宋"/>
                <w:sz w:val="22"/>
                <w:szCs w:val="22"/>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ascii="仿宋" w:hAnsi="仿宋" w:eastAsia="仿宋" w:cs="仿宋"/>
                <w:sz w:val="22"/>
                <w:szCs w:val="22"/>
              </w:rPr>
            </w:pPr>
          </w:p>
        </w:tc>
        <w:tc>
          <w:tcPr>
            <w:tcW w:w="16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ascii="仿宋" w:hAnsi="仿宋" w:eastAsia="仿宋" w:cs="仿宋"/>
                <w:sz w:val="22"/>
                <w:szCs w:val="22"/>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ascii="仿宋" w:hAnsi="仿宋" w:eastAsia="仿宋" w:cs="仿宋"/>
                <w:sz w:val="22"/>
                <w:szCs w:val="22"/>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ascii="仿宋" w:hAnsi="仿宋" w:eastAsia="仿宋" w:cs="仿宋"/>
                <w:sz w:val="22"/>
                <w:szCs w:val="22"/>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ascii="仿宋" w:hAnsi="仿宋" w:eastAsia="仿宋" w:cs="仿宋"/>
                <w:sz w:val="22"/>
                <w:szCs w:val="22"/>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ascii="仿宋" w:hAnsi="仿宋" w:eastAsia="仿宋" w:cs="仿宋"/>
                <w:sz w:val="22"/>
                <w:szCs w:val="22"/>
              </w:rPr>
            </w:pPr>
          </w:p>
        </w:tc>
        <w:tc>
          <w:tcPr>
            <w:tcW w:w="155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ascii="仿宋" w:hAnsi="仿宋" w:eastAsia="仿宋" w:cs="仿宋"/>
                <w:sz w:val="22"/>
                <w:szCs w:val="22"/>
              </w:rPr>
            </w:pPr>
          </w:p>
        </w:tc>
        <w:tc>
          <w:tcPr>
            <w:tcW w:w="103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adjustRightInd w:val="0"/>
              <w:snapToGrid w:val="0"/>
              <w:spacing w:line="360" w:lineRule="auto"/>
              <w:rPr>
                <w:rFonts w:ascii="仿宋" w:hAnsi="仿宋" w:eastAsia="仿宋" w:cs="仿宋"/>
                <w:sz w:val="22"/>
                <w:szCs w:val="22"/>
              </w:rPr>
            </w:pPr>
          </w:p>
        </w:tc>
        <w:tc>
          <w:tcPr>
            <w:tcW w:w="1036"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adjustRightInd w:val="0"/>
              <w:snapToGrid w:val="0"/>
              <w:spacing w:line="360" w:lineRule="auto"/>
              <w:rPr>
                <w:rFonts w:ascii="仿宋" w:hAnsi="仿宋" w:eastAsia="仿宋" w:cs="仿宋"/>
                <w:sz w:val="22"/>
                <w:szCs w:val="22"/>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ascii="仿宋" w:hAnsi="仿宋" w:eastAsia="仿宋" w:cs="仿宋"/>
                <w:sz w:val="22"/>
                <w:szCs w:val="22"/>
              </w:rPr>
            </w:pPr>
          </w:p>
        </w:tc>
        <w:tc>
          <w:tcPr>
            <w:tcW w:w="16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ascii="仿宋" w:hAnsi="仿宋" w:eastAsia="仿宋" w:cs="仿宋"/>
                <w:sz w:val="22"/>
                <w:szCs w:val="22"/>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ascii="仿宋" w:hAnsi="仿宋" w:eastAsia="仿宋" w:cs="仿宋"/>
                <w:sz w:val="22"/>
                <w:szCs w:val="22"/>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ascii="仿宋" w:hAnsi="仿宋" w:eastAsia="仿宋" w:cs="仿宋"/>
                <w:sz w:val="22"/>
                <w:szCs w:val="22"/>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ascii="仿宋" w:hAnsi="仿宋" w:eastAsia="仿宋" w:cs="仿宋"/>
                <w:sz w:val="22"/>
                <w:szCs w:val="22"/>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ascii="仿宋" w:hAnsi="仿宋" w:eastAsia="仿宋" w:cs="仿宋"/>
                <w:sz w:val="22"/>
                <w:szCs w:val="22"/>
              </w:rPr>
            </w:pPr>
          </w:p>
        </w:tc>
        <w:tc>
          <w:tcPr>
            <w:tcW w:w="155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ascii="仿宋" w:hAnsi="仿宋" w:eastAsia="仿宋" w:cs="仿宋"/>
                <w:sz w:val="22"/>
                <w:szCs w:val="22"/>
              </w:rPr>
            </w:pPr>
          </w:p>
        </w:tc>
        <w:tc>
          <w:tcPr>
            <w:tcW w:w="103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adjustRightInd w:val="0"/>
              <w:snapToGrid w:val="0"/>
              <w:spacing w:line="360" w:lineRule="auto"/>
              <w:rPr>
                <w:rFonts w:ascii="仿宋" w:hAnsi="仿宋" w:eastAsia="仿宋" w:cs="仿宋"/>
                <w:sz w:val="22"/>
                <w:szCs w:val="22"/>
              </w:rPr>
            </w:pPr>
          </w:p>
        </w:tc>
        <w:tc>
          <w:tcPr>
            <w:tcW w:w="1036"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adjustRightInd w:val="0"/>
              <w:snapToGrid w:val="0"/>
              <w:spacing w:line="360" w:lineRule="auto"/>
              <w:rPr>
                <w:rFonts w:ascii="仿宋" w:hAnsi="仿宋" w:eastAsia="仿宋" w:cs="仿宋"/>
                <w:sz w:val="22"/>
                <w:szCs w:val="22"/>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ascii="仿宋" w:hAnsi="仿宋" w:eastAsia="仿宋" w:cs="仿宋"/>
                <w:sz w:val="22"/>
                <w:szCs w:val="22"/>
              </w:rPr>
            </w:pPr>
          </w:p>
        </w:tc>
        <w:tc>
          <w:tcPr>
            <w:tcW w:w="16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ascii="仿宋" w:hAnsi="仿宋" w:eastAsia="仿宋" w:cs="仿宋"/>
                <w:sz w:val="22"/>
                <w:szCs w:val="22"/>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ascii="仿宋" w:hAnsi="仿宋" w:eastAsia="仿宋" w:cs="仿宋"/>
                <w:sz w:val="22"/>
                <w:szCs w:val="22"/>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ascii="仿宋" w:hAnsi="仿宋" w:eastAsia="仿宋" w:cs="仿宋"/>
                <w:sz w:val="22"/>
                <w:szCs w:val="22"/>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ascii="仿宋" w:hAnsi="仿宋" w:eastAsia="仿宋" w:cs="仿宋"/>
                <w:sz w:val="22"/>
                <w:szCs w:val="22"/>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ascii="仿宋" w:hAnsi="仿宋" w:eastAsia="仿宋" w:cs="仿宋"/>
                <w:sz w:val="22"/>
                <w:szCs w:val="22"/>
              </w:rPr>
            </w:pPr>
          </w:p>
        </w:tc>
        <w:tc>
          <w:tcPr>
            <w:tcW w:w="155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ascii="仿宋" w:hAnsi="仿宋" w:eastAsia="仿宋" w:cs="仿宋"/>
                <w:sz w:val="22"/>
                <w:szCs w:val="22"/>
              </w:rPr>
            </w:pPr>
          </w:p>
        </w:tc>
        <w:tc>
          <w:tcPr>
            <w:tcW w:w="103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adjustRightInd w:val="0"/>
              <w:snapToGrid w:val="0"/>
              <w:spacing w:line="360" w:lineRule="auto"/>
              <w:rPr>
                <w:rFonts w:ascii="仿宋" w:hAnsi="仿宋" w:eastAsia="仿宋" w:cs="仿宋"/>
                <w:sz w:val="22"/>
                <w:szCs w:val="22"/>
              </w:rPr>
            </w:pPr>
          </w:p>
        </w:tc>
        <w:tc>
          <w:tcPr>
            <w:tcW w:w="1036"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adjustRightInd w:val="0"/>
              <w:snapToGrid w:val="0"/>
              <w:spacing w:line="360" w:lineRule="auto"/>
              <w:rPr>
                <w:rFonts w:ascii="仿宋" w:hAnsi="仿宋" w:eastAsia="仿宋" w:cs="仿宋"/>
                <w:sz w:val="22"/>
                <w:szCs w:val="22"/>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ascii="仿宋" w:hAnsi="仿宋" w:eastAsia="仿宋" w:cs="仿宋"/>
                <w:sz w:val="22"/>
                <w:szCs w:val="22"/>
              </w:rPr>
            </w:pPr>
          </w:p>
        </w:tc>
        <w:tc>
          <w:tcPr>
            <w:tcW w:w="16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ascii="仿宋" w:hAnsi="仿宋" w:eastAsia="仿宋" w:cs="仿宋"/>
                <w:sz w:val="22"/>
                <w:szCs w:val="22"/>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ascii="仿宋" w:hAnsi="仿宋" w:eastAsia="仿宋" w:cs="仿宋"/>
                <w:sz w:val="22"/>
                <w:szCs w:val="22"/>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ascii="仿宋" w:hAnsi="仿宋" w:eastAsia="仿宋" w:cs="仿宋"/>
                <w:sz w:val="22"/>
                <w:szCs w:val="22"/>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ascii="仿宋" w:hAnsi="仿宋" w:eastAsia="仿宋" w:cs="仿宋"/>
                <w:sz w:val="22"/>
                <w:szCs w:val="22"/>
              </w:rPr>
            </w:pPr>
          </w:p>
        </w:tc>
      </w:tr>
      <w:tr>
        <w:tblPrEx>
          <w:tblCellMar>
            <w:top w:w="0" w:type="dxa"/>
            <w:left w:w="108" w:type="dxa"/>
            <w:bottom w:w="0" w:type="dxa"/>
            <w:right w:w="108" w:type="dxa"/>
          </w:tblCellMar>
        </w:tblPrEx>
        <w:trPr>
          <w:trHeight w:val="580" w:hRule="atLeast"/>
          <w:jc w:val="center"/>
        </w:trPr>
        <w:tc>
          <w:tcPr>
            <w:tcW w:w="5058"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仿宋" w:hAnsi="仿宋" w:eastAsia="仿宋" w:cs="仿宋"/>
                <w:sz w:val="22"/>
                <w:szCs w:val="22"/>
              </w:rPr>
            </w:pPr>
            <w:r>
              <w:rPr>
                <w:rFonts w:hint="eastAsia" w:ascii="仿宋" w:hAnsi="仿宋" w:eastAsia="仿宋" w:cs="仿宋"/>
                <w:sz w:val="22"/>
                <w:szCs w:val="22"/>
              </w:rPr>
              <w:t>合计（万元人民币）</w:t>
            </w:r>
          </w:p>
        </w:tc>
        <w:tc>
          <w:tcPr>
            <w:tcW w:w="3824"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仿宋" w:hAnsi="仿宋" w:eastAsia="仿宋" w:cs="仿宋"/>
                <w:sz w:val="22"/>
                <w:szCs w:val="22"/>
              </w:rPr>
            </w:pPr>
          </w:p>
        </w:tc>
      </w:tr>
      <w:tr>
        <w:tblPrEx>
          <w:tblCellMar>
            <w:top w:w="0" w:type="dxa"/>
            <w:left w:w="108" w:type="dxa"/>
            <w:bottom w:w="0" w:type="dxa"/>
            <w:right w:w="108" w:type="dxa"/>
          </w:tblCellMar>
        </w:tblPrEx>
        <w:trPr>
          <w:trHeight w:val="581" w:hRule="atLeast"/>
          <w:jc w:val="center"/>
        </w:trPr>
        <w:tc>
          <w:tcPr>
            <w:tcW w:w="5058"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仿宋" w:hAnsi="仿宋" w:eastAsia="仿宋" w:cs="仿宋"/>
                <w:sz w:val="22"/>
                <w:szCs w:val="22"/>
              </w:rPr>
            </w:pPr>
            <w:r>
              <w:rPr>
                <w:rFonts w:hint="eastAsia" w:ascii="仿宋" w:hAnsi="仿宋" w:eastAsia="仿宋" w:cs="仿宋"/>
                <w:sz w:val="22"/>
                <w:szCs w:val="22"/>
              </w:rPr>
              <w:t>占投标总价的百分比（%）</w:t>
            </w:r>
          </w:p>
        </w:tc>
        <w:tc>
          <w:tcPr>
            <w:tcW w:w="3824"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仿宋" w:hAnsi="仿宋" w:eastAsia="仿宋" w:cs="仿宋"/>
                <w:sz w:val="22"/>
                <w:szCs w:val="22"/>
              </w:rPr>
            </w:pPr>
          </w:p>
        </w:tc>
      </w:tr>
    </w:tbl>
    <w:p>
      <w:pPr>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注：</w:t>
      </w:r>
      <w:r>
        <w:rPr>
          <w:rFonts w:hint="eastAsia" w:ascii="仿宋" w:hAnsi="仿宋" w:eastAsia="仿宋" w:cs="仿宋"/>
          <w:sz w:val="24"/>
          <w:szCs w:val="24"/>
        </w:rPr>
        <w:t>1.</w:t>
      </w:r>
      <w:r>
        <w:rPr>
          <w:rFonts w:hint="eastAsia" w:ascii="仿宋" w:hAnsi="仿宋" w:eastAsia="仿宋" w:cs="仿宋"/>
          <w:sz w:val="24"/>
          <w:szCs w:val="24"/>
          <w:lang w:val="zh-CN"/>
        </w:rPr>
        <w:t>如投标产品为节能环保、环境标志产品，须按格式逐项填写，并附相关证明，否则评审时不予计分。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仿宋" w:hAnsi="仿宋" w:eastAsia="仿宋" w:cs="仿宋"/>
          <w:sz w:val="24"/>
          <w:szCs w:val="24"/>
          <w:lang w:val="zh-CN"/>
        </w:rPr>
      </w:pPr>
      <w:r>
        <w:rPr>
          <w:rFonts w:hint="eastAsia" w:ascii="仿宋" w:hAnsi="仿宋" w:eastAsia="仿宋" w:cs="仿宋"/>
          <w:sz w:val="24"/>
          <w:szCs w:val="24"/>
        </w:rPr>
        <w:t>2.</w:t>
      </w:r>
      <w:r>
        <w:rPr>
          <w:rFonts w:hint="eastAsia" w:ascii="仿宋" w:hAnsi="仿宋" w:eastAsia="仿宋" w:cs="仿宋"/>
          <w:sz w:val="24"/>
          <w:szCs w:val="24"/>
          <w:lang w:val="zh-CN"/>
        </w:rPr>
        <w:t>类别填写：节能环保产品或环境标志产品。</w:t>
      </w:r>
    </w:p>
    <w:p>
      <w:pPr>
        <w:rPr>
          <w:rFonts w:hint="eastAsia" w:ascii="宋体" w:hAnsi="宋体" w:cs="宋体"/>
          <w:color w:val="auto"/>
          <w:szCs w:val="21"/>
          <w:highlight w:val="none"/>
          <w:lang w:bidi="ar"/>
        </w:rPr>
      </w:pPr>
    </w:p>
    <w:p>
      <w:pPr>
        <w:rPr>
          <w:rFonts w:hint="eastAsia" w:ascii="宋体" w:hAnsi="宋体" w:cs="宋体"/>
          <w:color w:val="auto"/>
          <w:szCs w:val="21"/>
          <w:highlight w:val="none"/>
          <w:lang w:bidi="ar"/>
        </w:rPr>
      </w:pPr>
    </w:p>
    <w:p>
      <w:pPr>
        <w:rPr>
          <w:rFonts w:hint="eastAsia" w:ascii="宋体" w:hAnsi="宋体" w:cs="宋体"/>
          <w:color w:val="auto"/>
          <w:szCs w:val="21"/>
          <w:highlight w:val="none"/>
          <w:lang w:bidi="ar"/>
        </w:rPr>
      </w:pPr>
    </w:p>
    <w:p>
      <w:pPr>
        <w:rPr>
          <w:rFonts w:hint="eastAsia" w:ascii="宋体" w:hAnsi="宋体" w:cs="宋体"/>
          <w:color w:val="auto"/>
          <w:szCs w:val="21"/>
          <w:highlight w:val="none"/>
          <w:lang w:bidi="ar"/>
        </w:rPr>
      </w:pPr>
    </w:p>
    <w:p>
      <w:pPr>
        <w:jc w:val="right"/>
        <w:rPr>
          <w:rFonts w:hint="eastAsia" w:ascii="仿宋" w:hAnsi="仿宋" w:eastAsia="仿宋" w:cs="仿宋"/>
          <w:color w:val="auto"/>
          <w:szCs w:val="21"/>
          <w:highlight w:val="none"/>
        </w:rPr>
      </w:pPr>
      <w:r>
        <w:rPr>
          <w:rFonts w:hint="eastAsia" w:ascii="仿宋" w:hAnsi="仿宋" w:eastAsia="仿宋" w:cs="仿宋"/>
          <w:color w:val="auto"/>
          <w:szCs w:val="21"/>
          <w:highlight w:val="none"/>
          <w:lang w:bidi="ar"/>
        </w:rPr>
        <w:t>投标人：</w:t>
      </w:r>
      <w:r>
        <w:rPr>
          <w:rFonts w:hint="eastAsia" w:ascii="仿宋" w:hAnsi="仿宋" w:eastAsia="仿宋" w:cs="仿宋"/>
          <w:color w:val="auto"/>
          <w:szCs w:val="21"/>
          <w:highlight w:val="none"/>
          <w:u w:val="single"/>
          <w:lang w:bidi="ar"/>
        </w:rPr>
        <w:t xml:space="preserve">          </w:t>
      </w:r>
      <w:r>
        <w:rPr>
          <w:rFonts w:hint="eastAsia" w:ascii="仿宋" w:hAnsi="仿宋" w:eastAsia="仿宋" w:cs="仿宋"/>
          <w:color w:val="auto"/>
          <w:szCs w:val="21"/>
          <w:highlight w:val="none"/>
          <w:u w:val="single"/>
          <w:lang w:val="en-US" w:eastAsia="zh-CN" w:bidi="ar"/>
        </w:rPr>
        <w:t xml:space="preserve">                </w:t>
      </w:r>
      <w:r>
        <w:rPr>
          <w:rFonts w:hint="eastAsia" w:ascii="仿宋" w:hAnsi="仿宋" w:eastAsia="仿宋" w:cs="仿宋"/>
          <w:color w:val="auto"/>
          <w:szCs w:val="21"/>
          <w:highlight w:val="none"/>
          <w:u w:val="single"/>
          <w:lang w:bidi="ar"/>
        </w:rPr>
        <w:t xml:space="preserve">                   </w:t>
      </w:r>
      <w:r>
        <w:rPr>
          <w:rFonts w:hint="eastAsia" w:ascii="仿宋" w:hAnsi="仿宋" w:eastAsia="仿宋" w:cs="仿宋"/>
          <w:color w:val="auto"/>
          <w:szCs w:val="21"/>
          <w:highlight w:val="none"/>
          <w:lang w:bidi="ar"/>
        </w:rPr>
        <w:t>（盖单位章）</w:t>
      </w:r>
    </w:p>
    <w:p>
      <w:pPr>
        <w:spacing w:line="480" w:lineRule="auto"/>
        <w:jc w:val="right"/>
        <w:rPr>
          <w:rFonts w:hint="eastAsia" w:ascii="仿宋" w:hAnsi="仿宋" w:eastAsia="仿宋" w:cs="仿宋"/>
          <w:color w:val="auto"/>
          <w:szCs w:val="21"/>
          <w:highlight w:val="none"/>
        </w:rPr>
      </w:pPr>
      <w:r>
        <w:rPr>
          <w:rFonts w:hint="eastAsia" w:ascii="仿宋" w:hAnsi="仿宋" w:eastAsia="仿宋" w:cs="仿宋"/>
          <w:color w:val="auto"/>
          <w:szCs w:val="21"/>
          <w:highlight w:val="none"/>
          <w:lang w:eastAsia="zh-CN" w:bidi="ar"/>
        </w:rPr>
        <w:t>法定代表人（负责人）</w:t>
      </w:r>
      <w:r>
        <w:rPr>
          <w:rFonts w:hint="eastAsia" w:ascii="仿宋" w:hAnsi="仿宋" w:eastAsia="仿宋" w:cs="仿宋"/>
          <w:color w:val="auto"/>
          <w:szCs w:val="21"/>
          <w:highlight w:val="none"/>
          <w:lang w:bidi="ar"/>
        </w:rPr>
        <w:t>或其委托代理人：</w:t>
      </w:r>
      <w:r>
        <w:rPr>
          <w:rFonts w:hint="eastAsia" w:ascii="仿宋" w:hAnsi="仿宋" w:eastAsia="仿宋" w:cs="仿宋"/>
          <w:color w:val="auto"/>
          <w:szCs w:val="21"/>
          <w:highlight w:val="none"/>
          <w:u w:val="single"/>
          <w:lang w:bidi="ar"/>
        </w:rPr>
        <w:t xml:space="preserve">               </w:t>
      </w:r>
      <w:r>
        <w:rPr>
          <w:rFonts w:hint="eastAsia" w:ascii="仿宋" w:hAnsi="仿宋" w:eastAsia="仿宋" w:cs="仿宋"/>
          <w:color w:val="auto"/>
          <w:szCs w:val="21"/>
          <w:highlight w:val="none"/>
          <w:lang w:bidi="ar"/>
        </w:rPr>
        <w:t xml:space="preserve">（签字或盖章） </w:t>
      </w:r>
    </w:p>
    <w:p>
      <w:pPr>
        <w:spacing w:line="480" w:lineRule="auto"/>
        <w:ind w:firstLine="4620" w:firstLineChars="2200"/>
        <w:jc w:val="right"/>
        <w:rPr>
          <w:rFonts w:hint="eastAsia" w:ascii="仿宋" w:hAnsi="仿宋" w:eastAsia="仿宋" w:cs="仿宋"/>
          <w:color w:val="auto"/>
          <w:szCs w:val="21"/>
          <w:highlight w:val="none"/>
          <w:lang w:bidi="ar"/>
        </w:rPr>
      </w:pPr>
      <w:r>
        <w:rPr>
          <w:rFonts w:hint="eastAsia" w:ascii="仿宋" w:hAnsi="仿宋" w:eastAsia="仿宋" w:cs="仿宋"/>
          <w:color w:val="auto"/>
          <w:szCs w:val="21"/>
          <w:highlight w:val="none"/>
          <w:u w:val="single"/>
          <w:lang w:bidi="ar"/>
        </w:rPr>
        <w:t xml:space="preserve">      </w:t>
      </w:r>
      <w:r>
        <w:rPr>
          <w:rFonts w:hint="eastAsia" w:ascii="仿宋" w:hAnsi="仿宋" w:eastAsia="仿宋" w:cs="仿宋"/>
          <w:color w:val="auto"/>
          <w:szCs w:val="21"/>
          <w:highlight w:val="none"/>
          <w:lang w:bidi="ar"/>
        </w:rPr>
        <w:t>年</w:t>
      </w:r>
      <w:r>
        <w:rPr>
          <w:rFonts w:hint="eastAsia" w:ascii="仿宋" w:hAnsi="仿宋" w:eastAsia="仿宋" w:cs="仿宋"/>
          <w:color w:val="auto"/>
          <w:szCs w:val="21"/>
          <w:highlight w:val="none"/>
          <w:u w:val="single"/>
          <w:lang w:bidi="ar"/>
        </w:rPr>
        <w:t xml:space="preserve">    </w:t>
      </w:r>
      <w:r>
        <w:rPr>
          <w:rFonts w:hint="eastAsia" w:ascii="仿宋" w:hAnsi="仿宋" w:eastAsia="仿宋" w:cs="仿宋"/>
          <w:color w:val="auto"/>
          <w:szCs w:val="21"/>
          <w:highlight w:val="none"/>
          <w:lang w:bidi="ar"/>
        </w:rPr>
        <w:t>月</w:t>
      </w:r>
      <w:r>
        <w:rPr>
          <w:rFonts w:hint="eastAsia" w:ascii="仿宋" w:hAnsi="仿宋" w:eastAsia="仿宋" w:cs="仿宋"/>
          <w:color w:val="auto"/>
          <w:szCs w:val="21"/>
          <w:highlight w:val="none"/>
          <w:u w:val="single"/>
          <w:lang w:bidi="ar"/>
        </w:rPr>
        <w:t xml:space="preserve">    </w:t>
      </w:r>
      <w:r>
        <w:rPr>
          <w:rFonts w:hint="eastAsia" w:ascii="仿宋" w:hAnsi="仿宋" w:eastAsia="仿宋" w:cs="仿宋"/>
          <w:color w:val="auto"/>
          <w:szCs w:val="21"/>
          <w:highlight w:val="none"/>
          <w:lang w:bidi="ar"/>
        </w:rPr>
        <w:t>日</w:t>
      </w:r>
    </w:p>
    <w:p>
      <w:pPr>
        <w:rPr>
          <w:rFonts w:hint="eastAsia"/>
          <w:color w:val="auto"/>
          <w:sz w:val="28"/>
          <w:szCs w:val="22"/>
          <w:highlight w:val="none"/>
          <w:lang w:val="en-US" w:eastAsia="zh-CN"/>
        </w:rPr>
      </w:pPr>
      <w:r>
        <w:rPr>
          <w:rFonts w:hint="eastAsia"/>
          <w:color w:val="auto"/>
          <w:sz w:val="28"/>
          <w:szCs w:val="22"/>
          <w:highlight w:val="none"/>
          <w:lang w:val="en-US" w:eastAsia="zh-CN"/>
        </w:rPr>
        <w:br w:type="page"/>
      </w:r>
    </w:p>
    <w:p>
      <w:pPr>
        <w:pStyle w:val="4"/>
        <w:bidi w:val="0"/>
        <w:ind w:left="0" w:firstLine="0"/>
        <w:rPr>
          <w:rFonts w:hint="eastAsia" w:ascii="宋体" w:hAnsi="宋体" w:eastAsia="宋体"/>
          <w:color w:val="auto"/>
          <w:sz w:val="28"/>
          <w:szCs w:val="22"/>
          <w:highlight w:val="none"/>
          <w:lang w:val="en-US" w:eastAsia="zh-CN"/>
        </w:rPr>
      </w:pPr>
      <w:r>
        <w:rPr>
          <w:rFonts w:hint="eastAsia"/>
          <w:color w:val="auto"/>
          <w:sz w:val="28"/>
          <w:szCs w:val="22"/>
          <w:highlight w:val="none"/>
          <w:lang w:val="en-US" w:eastAsia="zh-CN"/>
        </w:rPr>
        <w:t>七</w:t>
      </w:r>
      <w:r>
        <w:rPr>
          <w:rFonts w:hint="eastAsia" w:ascii="宋体" w:hAnsi="宋体" w:eastAsia="宋体"/>
          <w:color w:val="auto"/>
          <w:sz w:val="28"/>
          <w:szCs w:val="22"/>
          <w:highlight w:val="none"/>
          <w:lang w:val="en-US" w:eastAsia="zh-CN"/>
        </w:rPr>
        <w:t>、投标人认为需要提供的其他资料</w:t>
      </w:r>
      <w:bookmarkEnd w:id="232"/>
    </w:p>
    <w:p>
      <w:pPr>
        <w:pStyle w:val="14"/>
        <w:jc w:val="both"/>
        <w:rPr>
          <w:rFonts w:hint="default"/>
          <w:color w:val="auto"/>
          <w:highlight w:val="none"/>
          <w:lang w:val="en-US" w:eastAsia="zh-CN"/>
        </w:rPr>
      </w:pPr>
      <w:r>
        <w:rPr>
          <w:rFonts w:hint="eastAsia"/>
          <w:color w:val="auto"/>
          <w:highlight w:val="none"/>
          <w:lang w:val="en-US" w:eastAsia="zh-CN"/>
        </w:rPr>
        <w:t>1、承诺书</w:t>
      </w:r>
    </w:p>
    <w:p>
      <w:pPr>
        <w:pStyle w:val="14"/>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hAnsi="宋体" w:cs="宋体"/>
          <w:b/>
          <w:sz w:val="32"/>
        </w:rPr>
      </w:pPr>
    </w:p>
    <w:p>
      <w:pPr>
        <w:pStyle w:val="14"/>
        <w:jc w:val="center"/>
        <w:rPr>
          <w:rFonts w:hint="eastAsia" w:hAnsi="宋体" w:cs="宋体"/>
          <w:b/>
          <w:sz w:val="32"/>
        </w:rPr>
      </w:pPr>
      <w:r>
        <w:rPr>
          <w:rFonts w:hint="eastAsia" w:hAnsi="宋体" w:cs="宋体"/>
          <w:b/>
          <w:sz w:val="32"/>
        </w:rPr>
        <w:t>陕西省政府采购供应商拒绝政府采购领域商业贿赂承诺书</w:t>
      </w:r>
    </w:p>
    <w:p>
      <w:pPr>
        <w:rPr>
          <w:rFonts w:hint="eastAsia" w:ascii="宋体" w:hAnsi="宋体" w:cs="宋体"/>
        </w:rPr>
      </w:pPr>
    </w:p>
    <w:p>
      <w:pPr>
        <w:spacing w:line="360" w:lineRule="auto"/>
        <w:ind w:firstLine="360" w:firstLineChars="150"/>
        <w:rPr>
          <w:rFonts w:hint="eastAsia" w:ascii="宋体" w:hAnsi="宋体" w:cs="宋体"/>
          <w:sz w:val="24"/>
          <w:szCs w:val="28"/>
        </w:rPr>
      </w:pPr>
      <w:r>
        <w:rPr>
          <w:rFonts w:hint="eastAsia" w:ascii="宋体" w:hAnsi="宋体" w:cs="宋体"/>
          <w:sz w:val="24"/>
          <w:szCs w:val="28"/>
        </w:rPr>
        <w:t xml:space="preserve"> 为响应党中央、国务院关于治理政府采购领域商业贿赂行为的号召，我公司在此庄严承诺：</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1、在参与政府采购活动中遵纪守法、诚信经营、公平竞标。</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2、不向政府采购人、采购代理机构和政府采购评审专家进行任何形式的商业贿赂以谋取交易机会。</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3、不向政府采购代理机构和采购人提供虚假资格文件或采用虚假应标方式参与政府采购市场竞争并谋取成交。</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4、不采取“围标、陪标”等商业欺诈手段获得政府采购订单。</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5、不采取不正当手段诋毁、排挤其他供应商。</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6、不在提供商品和服务时“偷梁换柱、以次充好”损害采购人的合法权益。</w:t>
      </w:r>
    </w:p>
    <w:p>
      <w:pPr>
        <w:spacing w:line="360" w:lineRule="auto"/>
        <w:ind w:left="239" w:leftChars="114" w:firstLine="240" w:firstLineChars="100"/>
        <w:rPr>
          <w:rFonts w:hint="eastAsia" w:ascii="宋体" w:hAnsi="宋体" w:cs="宋体"/>
          <w:sz w:val="24"/>
          <w:szCs w:val="28"/>
        </w:rPr>
      </w:pPr>
      <w:r>
        <w:rPr>
          <w:rFonts w:hint="eastAsia" w:ascii="宋体" w:hAnsi="宋体" w:cs="宋体"/>
          <w:sz w:val="24"/>
          <w:szCs w:val="28"/>
        </w:rPr>
        <w:t>7、不与采购人、采购代理机构政府采购评审专家或其他供应商恶意串通，进行质疑和投诉，维护政府采购市场秩序。</w:t>
      </w:r>
    </w:p>
    <w:p>
      <w:pPr>
        <w:spacing w:line="360" w:lineRule="auto"/>
        <w:ind w:left="239" w:leftChars="114" w:firstLine="240" w:firstLineChars="100"/>
        <w:rPr>
          <w:rFonts w:hint="eastAsia" w:ascii="宋体" w:hAnsi="宋体" w:cs="宋体"/>
          <w:sz w:val="24"/>
          <w:szCs w:val="28"/>
        </w:rPr>
      </w:pPr>
      <w:r>
        <w:rPr>
          <w:rFonts w:hint="eastAsia" w:ascii="宋体" w:hAnsi="宋体" w:cs="宋体"/>
          <w:sz w:val="24"/>
          <w:szCs w:val="28"/>
        </w:rPr>
        <w:t>8、尊重和接受政府采购监督管理部门的监督和政府采购代理机构磋商采购要求，承担因违约行为给采购人造成的损失。</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9、不发生其它有悖于政府采购公开、公平、公正和诚信原则的行为。</w:t>
      </w:r>
    </w:p>
    <w:p>
      <w:pPr>
        <w:spacing w:line="360" w:lineRule="auto"/>
        <w:ind w:firstLine="360" w:firstLineChars="150"/>
        <w:rPr>
          <w:rFonts w:hint="eastAsia" w:ascii="宋体" w:hAnsi="宋体" w:cs="宋体"/>
          <w:sz w:val="24"/>
          <w:szCs w:val="28"/>
        </w:rPr>
      </w:pPr>
    </w:p>
    <w:p>
      <w:pPr>
        <w:spacing w:line="360" w:lineRule="auto"/>
        <w:ind w:firstLine="480" w:firstLineChars="200"/>
        <w:rPr>
          <w:rFonts w:hint="eastAsia" w:ascii="宋体" w:hAnsi="宋体" w:cs="宋体"/>
          <w:sz w:val="24"/>
          <w:szCs w:val="28"/>
          <w:u w:val="single"/>
        </w:rPr>
      </w:pPr>
      <w:r>
        <w:rPr>
          <w:rFonts w:hint="eastAsia" w:ascii="宋体" w:hAnsi="宋体" w:cs="宋体"/>
          <w:sz w:val="24"/>
          <w:szCs w:val="28"/>
        </w:rPr>
        <w:t>承诺单位：（盖章）</w:t>
      </w:r>
      <w:r>
        <w:rPr>
          <w:rFonts w:hint="eastAsia" w:ascii="宋体" w:hAnsi="宋体" w:cs="宋体"/>
          <w:sz w:val="24"/>
          <w:szCs w:val="28"/>
          <w:u w:val="single"/>
        </w:rPr>
        <w:t xml:space="preserve">               </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全权代表：（签字）</w:t>
      </w:r>
      <w:r>
        <w:rPr>
          <w:rFonts w:hint="eastAsia" w:ascii="宋体" w:hAnsi="宋体" w:cs="宋体"/>
          <w:sz w:val="24"/>
          <w:szCs w:val="28"/>
          <w:u w:val="single"/>
        </w:rPr>
        <w:t xml:space="preserve">               </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地址：</w:t>
      </w:r>
      <w:r>
        <w:rPr>
          <w:rFonts w:hint="eastAsia" w:ascii="宋体" w:hAnsi="宋体" w:cs="宋体"/>
          <w:sz w:val="24"/>
          <w:szCs w:val="28"/>
          <w:u w:val="single"/>
        </w:rPr>
        <w:t xml:space="preserve">               </w:t>
      </w:r>
      <w:r>
        <w:rPr>
          <w:rFonts w:hint="eastAsia" w:ascii="宋体" w:hAnsi="宋体" w:cs="宋体"/>
          <w:sz w:val="24"/>
          <w:szCs w:val="28"/>
        </w:rPr>
        <w:t xml:space="preserve">                              </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邮编：</w:t>
      </w:r>
      <w:r>
        <w:rPr>
          <w:rFonts w:hint="eastAsia" w:ascii="宋体" w:hAnsi="宋体" w:cs="宋体"/>
          <w:sz w:val="24"/>
          <w:szCs w:val="28"/>
          <w:u w:val="single"/>
        </w:rPr>
        <w:t xml:space="preserve">               </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电话：</w:t>
      </w:r>
      <w:r>
        <w:rPr>
          <w:rFonts w:hint="eastAsia" w:ascii="宋体" w:hAnsi="宋体" w:cs="宋体"/>
          <w:sz w:val="24"/>
          <w:szCs w:val="28"/>
          <w:u w:val="single"/>
        </w:rPr>
        <w:t xml:space="preserve">               </w:t>
      </w:r>
    </w:p>
    <w:p>
      <w:pPr>
        <w:spacing w:line="360" w:lineRule="auto"/>
        <w:ind w:right="480" w:firstLine="480" w:firstLineChars="200"/>
        <w:rPr>
          <w:rFonts w:hint="eastAsia" w:ascii="宋体" w:hAnsi="宋体" w:cs="宋体"/>
          <w:sz w:val="24"/>
          <w:szCs w:val="28"/>
        </w:rPr>
      </w:pPr>
      <w:r>
        <w:rPr>
          <w:rFonts w:hint="eastAsia" w:ascii="宋体" w:hAnsi="宋体" w:cs="宋体"/>
          <w:sz w:val="24"/>
          <w:szCs w:val="28"/>
        </w:rPr>
        <w:t>年  月  日</w:t>
      </w:r>
    </w:p>
    <w:p>
      <w:pPr>
        <w:rPr>
          <w:rFonts w:hint="eastAsia" w:eastAsia="宋体"/>
          <w:color w:val="auto"/>
          <w:highlight w:val="none"/>
          <w:lang w:val="en-US" w:eastAsia="zh-CN"/>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lang w:val="en-US" w:eastAsia="zh-CN"/>
        </w:rPr>
      </w:pPr>
      <w:r>
        <w:rPr>
          <w:rFonts w:hint="eastAsia"/>
          <w:color w:val="auto"/>
          <w:highlight w:val="none"/>
          <w:lang w:val="en-US" w:eastAsia="zh-CN"/>
        </w:rPr>
        <w:br w:type="page"/>
      </w:r>
    </w:p>
    <w:p>
      <w:pPr>
        <w:rPr>
          <w:rFonts w:hint="eastAsia" w:eastAsia="宋体"/>
          <w:color w:val="auto"/>
          <w:highlight w:val="none"/>
          <w:lang w:val="en-US" w:eastAsia="zh-CN"/>
        </w:rPr>
      </w:pPr>
      <w:r>
        <w:rPr>
          <w:rFonts w:hint="eastAsia"/>
          <w:color w:val="auto"/>
          <w:highlight w:val="none"/>
          <w:lang w:val="en-US" w:eastAsia="zh-CN"/>
        </w:rPr>
        <w:t>2、其他资料</w:t>
      </w: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r>
        <w:rPr>
          <w:rFonts w:hint="eastAsia"/>
          <w:color w:val="auto"/>
          <w:highlight w:val="none"/>
        </w:rPr>
        <w:t xml:space="preserve"> </w:t>
      </w:r>
    </w:p>
    <w:p>
      <w:pPr>
        <w:rPr>
          <w:rFonts w:hint="eastAsia"/>
          <w:color w:val="auto"/>
          <w:sz w:val="28"/>
          <w:highlight w:val="none"/>
          <w:lang w:val="en-US" w:eastAsia="zh-CN"/>
        </w:rPr>
      </w:pPr>
      <w:bookmarkStart w:id="233" w:name="_Toc25722"/>
      <w:bookmarkStart w:id="234" w:name="_Toc4505"/>
      <w:r>
        <w:rPr>
          <w:rFonts w:hint="eastAsia"/>
          <w:color w:val="auto"/>
          <w:sz w:val="28"/>
          <w:highlight w:val="none"/>
          <w:lang w:val="en-US" w:eastAsia="zh-CN"/>
        </w:rPr>
        <w:br w:type="page"/>
      </w:r>
    </w:p>
    <w:p>
      <w:pPr>
        <w:pStyle w:val="3"/>
        <w:spacing w:after="156"/>
        <w:jc w:val="center"/>
        <w:rPr>
          <w:rFonts w:hint="eastAsia"/>
          <w:color w:val="auto"/>
          <w:sz w:val="28"/>
          <w:highlight w:val="none"/>
        </w:rPr>
      </w:pPr>
      <w:r>
        <w:rPr>
          <w:rFonts w:hint="eastAsia"/>
          <w:color w:val="auto"/>
          <w:sz w:val="28"/>
          <w:highlight w:val="none"/>
          <w:lang w:val="en-US" w:eastAsia="zh-CN"/>
        </w:rPr>
        <w:t xml:space="preserve">第七章  </w:t>
      </w:r>
      <w:r>
        <w:rPr>
          <w:rFonts w:hint="eastAsia"/>
          <w:color w:val="auto"/>
          <w:sz w:val="28"/>
          <w:highlight w:val="none"/>
        </w:rPr>
        <w:t>质疑和投诉</w:t>
      </w:r>
      <w:bookmarkEnd w:id="233"/>
      <w:bookmarkEnd w:id="234"/>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一）严格按照《中华人共和国政府采购法》及其实施条例、《政府采购质疑和投诉办法（财政部第94号令）》、《政府采购货物和服务招标投标管理办法》（财政部87号）、财政部和陕西省财政厅相关管理规定以及相关法规执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（二）投标人提出质疑应当提交质疑函和必要的证明材料。质疑函应当包括下列内容：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1、投标人的姓名或者名称、地址、邮编、联系人及联系电话；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2、质疑项目的名称、编号；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3、具体、明确的质疑事项和与质疑事项相关的请求；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4、事实依据；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5、必要的法律依据；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6、提出质疑的日期。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7、投标人为自然人的，应当由本人签字；投标人为法人或者其他组织的，应当由法定代表人、主要负责人，或者其授权代表签字或者盖章，并加盖公章。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8、采购代理机构应当在收到质疑函后7个工作日内作出答复，并以书面形式通知质疑投标人和其他有关投标人。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（三）质疑书范本</w:t>
      </w:r>
    </w:p>
    <w:p>
      <w:pPr>
        <w:spacing w:line="360" w:lineRule="auto"/>
        <w:jc w:val="center"/>
        <w:rPr>
          <w:rFonts w:hint="eastAsia" w:ascii="宋体" w:hAnsi="宋体"/>
          <w:b/>
          <w:color w:val="auto"/>
          <w:sz w:val="21"/>
          <w:szCs w:val="21"/>
          <w:highlight w:val="none"/>
        </w:rPr>
      </w:pPr>
      <w:r>
        <w:rPr>
          <w:rFonts w:hint="eastAsia" w:ascii="宋体" w:hAnsi="宋体"/>
          <w:b/>
          <w:color w:val="auto"/>
          <w:sz w:val="21"/>
          <w:szCs w:val="21"/>
          <w:highlight w:val="none"/>
        </w:rPr>
        <w:t>质疑函范本</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一、质疑投标人基本信息</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质疑投标人：</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地址：          邮编：</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联系人：        联系电话：</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授权代表：</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联系电话：</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地址：       邮编：</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二、质疑项目基本情况</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质疑项目的名称：</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质疑项目的编号：    包号：</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采购人名称：</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采购文件获取日期：</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三、质疑事项具体内容</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质疑事项1：</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事实依据：</w:t>
      </w:r>
    </w:p>
    <w:p>
      <w:pPr>
        <w:spacing w:line="360" w:lineRule="auto"/>
        <w:ind w:firstLine="420" w:firstLineChars="200"/>
        <w:rPr>
          <w:rFonts w:ascii="宋体" w:hAnsi="宋体"/>
          <w:color w:val="auto"/>
          <w:sz w:val="21"/>
          <w:szCs w:val="21"/>
          <w:highlight w:val="none"/>
        </w:rPr>
      </w:pP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法律依据：</w:t>
      </w:r>
    </w:p>
    <w:p>
      <w:pPr>
        <w:spacing w:line="360" w:lineRule="auto"/>
        <w:ind w:firstLine="420" w:firstLineChars="200"/>
        <w:rPr>
          <w:rFonts w:ascii="宋体" w:hAnsi="宋体"/>
          <w:color w:val="auto"/>
          <w:sz w:val="21"/>
          <w:szCs w:val="21"/>
          <w:highlight w:val="none"/>
        </w:rPr>
      </w:pPr>
    </w:p>
    <w:p>
      <w:pPr>
        <w:spacing w:line="360" w:lineRule="auto"/>
        <w:ind w:firstLine="420" w:firstLineChars="200"/>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质疑事项2</w:t>
      </w:r>
      <w:r>
        <w:rPr>
          <w:rFonts w:hint="eastAsia" w:ascii="宋体" w:hAnsi="宋体"/>
          <w:color w:val="auto"/>
          <w:sz w:val="21"/>
          <w:szCs w:val="21"/>
          <w:highlight w:val="none"/>
          <w:lang w:eastAsia="zh-CN"/>
        </w:rPr>
        <w:t>：</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四、与质疑事项相关的质疑请求</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请求：</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 xml:space="preserve">签字(签章)：                   公章：                      </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日期：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（四）质疑函制作说明：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1、投标人提出质疑时，应提交质疑函和必要的证明材料。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2、质疑投标人若委托代理人进行质疑的，质疑函应按要求列明“授权代表”的有关内容，并在附件中提交由质疑投标人签署的授权委托书。授权委托书应载明代理人的姓名或者名称、代理事项、具体权限、期限和相关事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3、质疑投标人若对项目的某一分包进行质疑，质疑函中应列明具体分包号。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4、质疑函的质疑事项应具体、明确，并有必要的事实依据和法律依据。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5、质疑函的质疑请求应与质疑事项相关。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6、质疑投标人为自然人的，质疑函应由本人签字；质疑投标人为法人或者其他组织的，质疑函应由法定代表人、主要负责人，或者其授权代表签字或者盖章，并加盖公章。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7、质疑函的接收：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质疑受理联系电话：029-</w:t>
      </w:r>
      <w:r>
        <w:rPr>
          <w:rFonts w:hint="eastAsia" w:ascii="宋体" w:hAnsi="宋体"/>
          <w:color w:val="auto"/>
          <w:sz w:val="21"/>
          <w:szCs w:val="21"/>
          <w:highlight w:val="none"/>
          <w:lang w:val="en-US" w:eastAsia="zh-CN"/>
        </w:rPr>
        <w:t>89187077</w:t>
      </w:r>
      <w:r>
        <w:rPr>
          <w:rFonts w:hint="eastAsia" w:ascii="宋体" w:hAnsi="宋体"/>
          <w:color w:val="auto"/>
          <w:sz w:val="21"/>
          <w:szCs w:val="21"/>
          <w:highlight w:val="none"/>
        </w:rPr>
        <w:t>，联系人：</w:t>
      </w:r>
      <w:r>
        <w:rPr>
          <w:rFonts w:hint="eastAsia" w:ascii="宋体" w:hAnsi="宋体"/>
          <w:color w:val="auto"/>
          <w:sz w:val="21"/>
          <w:szCs w:val="21"/>
          <w:highlight w:val="none"/>
          <w:lang w:val="en-US" w:eastAsia="zh-CN"/>
        </w:rPr>
        <w:t>赵工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（五）有下列情形之一的，属于无效质疑，采购代理机构和采购人可不予受理：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1、对采购文件提出质疑的质疑人不是依法获取采购文件的投标人；对采购过程、中标或成交结果提出质疑的质疑人不是参与本次政府采购项目的投标人；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2、超过法定期限或未以书面形式提出的；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3、质疑函未按本章6.6条规定签字及盖章的；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4、针对同一采购程序环节又提出其他质疑事项的，或质疑答复后就同一事项再次提出质疑的；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5、不符合法律、法规、规章和政府采购监管机构规定的其他条件的。</w:t>
      </w:r>
    </w:p>
    <w:p>
      <w:pPr>
        <w:widowControl/>
        <w:jc w:val="left"/>
        <w:rPr>
          <w:color w:val="auto"/>
          <w:kern w:val="0"/>
          <w:sz w:val="21"/>
          <w:szCs w:val="21"/>
          <w:highlight w:val="none"/>
        </w:rPr>
      </w:pPr>
    </w:p>
    <w:p>
      <w:pPr>
        <w:rPr>
          <w:rFonts w:ascii="宋体" w:hAnsi="宋体"/>
          <w:b/>
          <w:color w:val="auto"/>
          <w:sz w:val="30"/>
          <w:szCs w:val="30"/>
          <w:highlight w:val="none"/>
        </w:rPr>
      </w:pPr>
    </w:p>
    <w:sectPr>
      <w:headerReference r:id="rId11" w:type="default"/>
      <w:pgSz w:w="11906" w:h="16838"/>
      <w:pgMar w:top="1327" w:right="1576" w:bottom="1327" w:left="157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Sim Sun">
    <w:altName w:val="微软雅黑"/>
    <w:panose1 w:val="00000000000000000000"/>
    <w:charset w:val="86"/>
    <w:family w:val="swiss"/>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70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70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rPr>
        <w:szCs w:val="18"/>
        <w:u w:val="single"/>
      </w:rPr>
    </w:pPr>
    <w:r>
      <w:rPr>
        <w:rFonts w:hint="eastAsia" w:ascii="宋体" w:hAnsi="宋体"/>
        <w:szCs w:val="18"/>
        <w:u w:val="single"/>
        <w:lang w:val="en-US" w:eastAsia="zh-CN"/>
      </w:rPr>
      <w:t>04包：智慧医疗管理系统建设及环境扩容服务项目</w:t>
    </w:r>
    <w:r>
      <w:rPr>
        <w:rFonts w:hint="eastAsia" w:ascii="宋体" w:hAnsi="宋体"/>
        <w:szCs w:val="18"/>
        <w:u w:val="single"/>
      </w:rPr>
      <w:t xml:space="preserve">                    </w:t>
    </w:r>
    <w:r>
      <w:rPr>
        <w:rFonts w:hint="eastAsia" w:ascii="宋体" w:hAnsi="宋体"/>
        <w:szCs w:val="18"/>
        <w:u w:val="single"/>
        <w:lang w:val="en-US" w:eastAsia="zh-CN"/>
      </w:rPr>
      <w:t xml:space="preserve">        </w:t>
    </w:r>
    <w:r>
      <w:rPr>
        <w:rFonts w:hint="eastAsia" w:ascii="宋体" w:hAnsi="宋体"/>
        <w:szCs w:val="18"/>
        <w:u w:val="single"/>
      </w:rPr>
      <w:t xml:space="preserve">          </w:t>
    </w:r>
    <w:r>
      <w:rPr>
        <w:rFonts w:hint="eastAsia" w:ascii="宋体" w:hAnsi="宋体"/>
        <w:szCs w:val="18"/>
        <w:u w:val="single"/>
        <w:lang w:val="en-US" w:eastAsia="zh-CN"/>
      </w:rPr>
      <w:t xml:space="preserve">       </w:t>
    </w:r>
    <w:r>
      <w:rPr>
        <w:rFonts w:hint="eastAsia" w:ascii="宋体" w:hAnsi="宋体"/>
        <w:szCs w:val="18"/>
        <w:u w:val="single"/>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rPr>
        <w:szCs w:val="18"/>
        <w:u w:val="single"/>
      </w:rPr>
    </w:pPr>
    <w:r>
      <w:rPr>
        <w:rFonts w:hint="eastAsia" w:ascii="宋体" w:hAnsi="宋体"/>
        <w:szCs w:val="18"/>
        <w:u w:val="single"/>
        <w:lang w:val="en-US" w:eastAsia="zh-CN"/>
      </w:rPr>
      <w:t xml:space="preserve">04包：智慧医疗管理系统建设及环境扩容服务项目                                                   </w:t>
    </w:r>
    <w:r>
      <w:rPr>
        <w:rFonts w:hint="eastAsia" w:ascii="宋体" w:hAnsi="宋体"/>
        <w:szCs w:val="18"/>
        <w:u w:val="single"/>
      </w:rPr>
      <w:t xml:space="preserve">                </w:t>
    </w:r>
    <w:r>
      <w:rPr>
        <w:rFonts w:hint="eastAsia" w:ascii="宋体" w:hAnsi="宋体"/>
        <w:szCs w:val="18"/>
        <w:u w:val="single"/>
        <w:lang w:val="en-US" w:eastAsia="zh-CN"/>
      </w:rPr>
      <w:t xml:space="preserve">                         </w:t>
    </w:r>
    <w:r>
      <w:rPr>
        <w:rFonts w:hint="eastAsia" w:ascii="宋体" w:hAnsi="宋体"/>
        <w:szCs w:val="18"/>
        <w:u w:val="single"/>
      </w:rPr>
      <w:t xml:space="preserve">        </w:t>
    </w:r>
    <w:r>
      <w:rPr>
        <w:rFonts w:hint="eastAsia" w:ascii="宋体" w:hAnsi="宋体"/>
        <w:szCs w:val="18"/>
        <w:u w:val="single"/>
        <w:lang w:val="en-US" w:eastAsia="zh-CN"/>
      </w:rPr>
      <w:t xml:space="preserve"> </w:t>
    </w:r>
    <w:r>
      <w:rPr>
        <w:rFonts w:hint="eastAsia" w:ascii="宋体" w:hAnsi="宋体"/>
        <w:szCs w:val="18"/>
        <w:u w:val="single"/>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rPr>
        <w:sz w:val="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rPr>
        <w:szCs w:val="18"/>
        <w:u w:val="single"/>
      </w:rPr>
    </w:pPr>
    <w:r>
      <w:rPr>
        <w:rFonts w:hint="eastAsia" w:ascii="宋体" w:hAnsi="宋体"/>
        <w:szCs w:val="18"/>
        <w:u w:val="single"/>
        <w:lang w:val="en-US" w:eastAsia="zh-CN"/>
      </w:rPr>
      <w:t>04包：智慧医疗管理系统建设及环境扩容服务项目</w:t>
    </w:r>
    <w:r>
      <w:rPr>
        <w:rFonts w:hint="eastAsia" w:ascii="宋体" w:hAnsi="宋体"/>
        <w:szCs w:val="18"/>
        <w:u w:val="single"/>
      </w:rPr>
      <w:t xml:space="preserve">    </w:t>
    </w:r>
    <w:r>
      <w:rPr>
        <w:rFonts w:hint="eastAsia" w:ascii="宋体" w:hAnsi="宋体"/>
        <w:szCs w:val="18"/>
        <w:u w:val="single"/>
        <w:lang w:val="en-US" w:eastAsia="zh-CN"/>
      </w:rPr>
      <w:t xml:space="preserve">       </w:t>
    </w:r>
    <w:r>
      <w:rPr>
        <w:rFonts w:hint="eastAsia" w:ascii="宋体" w:hAnsi="宋体"/>
        <w:szCs w:val="18"/>
        <w:u w:val="single"/>
      </w:rPr>
      <w:t xml:space="preserve">   </w:t>
    </w:r>
    <w:r>
      <w:rPr>
        <w:rFonts w:hint="eastAsia" w:ascii="宋体" w:hAnsi="宋体"/>
        <w:szCs w:val="18"/>
        <w:u w:val="single"/>
        <w:lang w:val="en-US" w:eastAsia="zh-CN"/>
      </w:rPr>
      <w:t xml:space="preserve">                       </w:t>
    </w:r>
    <w:r>
      <w:rPr>
        <w:rFonts w:hint="eastAsia" w:ascii="宋体" w:hAnsi="宋体"/>
        <w:szCs w:val="18"/>
        <w:u w:val="single"/>
      </w:rPr>
      <w:t xml:space="preserve">       </w:t>
    </w:r>
    <w:r>
      <w:rPr>
        <w:rFonts w:hint="eastAsia" w:ascii="宋体" w:hAnsi="宋体"/>
        <w:szCs w:val="18"/>
        <w:u w:val="single"/>
        <w:lang w:val="en-US" w:eastAsia="zh-CN"/>
      </w:rPr>
      <w:t xml:space="preserve"> </w:t>
    </w:r>
    <w:r>
      <w:rPr>
        <w:rFonts w:hint="eastAsia" w:ascii="宋体" w:hAnsi="宋体"/>
        <w:szCs w:val="18"/>
        <w:u w:val="single"/>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8B16C"/>
    <w:multiLevelType w:val="singleLevel"/>
    <w:tmpl w:val="98D8B16C"/>
    <w:lvl w:ilvl="0" w:tentative="0">
      <w:start w:val="8"/>
      <w:numFmt w:val="decimal"/>
      <w:suff w:val="nothing"/>
      <w:lvlText w:val="（%1）"/>
      <w:lvlJc w:val="left"/>
    </w:lvl>
  </w:abstractNum>
  <w:abstractNum w:abstractNumId="1">
    <w:nsid w:val="B361BE20"/>
    <w:multiLevelType w:val="singleLevel"/>
    <w:tmpl w:val="B361BE20"/>
    <w:lvl w:ilvl="0" w:tentative="0">
      <w:start w:val="1"/>
      <w:numFmt w:val="chineseCounting"/>
      <w:suff w:val="nothing"/>
      <w:lvlText w:val="%1、"/>
      <w:lvlJc w:val="left"/>
      <w:rPr>
        <w:rFonts w:hint="eastAsia"/>
      </w:rPr>
    </w:lvl>
  </w:abstractNum>
  <w:abstractNum w:abstractNumId="2">
    <w:nsid w:val="F8A4FD41"/>
    <w:multiLevelType w:val="singleLevel"/>
    <w:tmpl w:val="F8A4FD41"/>
    <w:lvl w:ilvl="0" w:tentative="0">
      <w:start w:val="1"/>
      <w:numFmt w:val="decimal"/>
      <w:suff w:val="nothing"/>
      <w:lvlText w:val="%1、"/>
      <w:lvlJc w:val="left"/>
    </w:lvl>
  </w:abstractNum>
  <w:abstractNum w:abstractNumId="3">
    <w:nsid w:val="0362540A"/>
    <w:multiLevelType w:val="singleLevel"/>
    <w:tmpl w:val="0362540A"/>
    <w:lvl w:ilvl="0" w:tentative="0">
      <w:start w:val="4"/>
      <w:numFmt w:val="chineseCounting"/>
      <w:suff w:val="space"/>
      <w:lvlText w:val="第%1章"/>
      <w:lvlJc w:val="left"/>
      <w:rPr>
        <w:rFonts w:hint="eastAsia"/>
      </w:rPr>
    </w:lvl>
  </w:abstractNum>
  <w:abstractNum w:abstractNumId="4">
    <w:nsid w:val="03AC43BB"/>
    <w:multiLevelType w:val="singleLevel"/>
    <w:tmpl w:val="03AC43BB"/>
    <w:lvl w:ilvl="0" w:tentative="0">
      <w:start w:val="1"/>
      <w:numFmt w:val="decimal"/>
      <w:suff w:val="nothing"/>
      <w:lvlText w:val="%1、"/>
      <w:lvlJc w:val="left"/>
    </w:lvl>
  </w:abstractNum>
  <w:abstractNum w:abstractNumId="5">
    <w:nsid w:val="044F7E27"/>
    <w:multiLevelType w:val="multilevel"/>
    <w:tmpl w:val="044F7E27"/>
    <w:lvl w:ilvl="0" w:tentative="0">
      <w:start w:val="1"/>
      <w:numFmt w:val="decimal"/>
      <w:lvlText w:val="%1."/>
      <w:lvlJc w:val="left"/>
      <w:pPr>
        <w:tabs>
          <w:tab w:val="left" w:pos="600"/>
        </w:tabs>
        <w:ind w:left="600" w:hanging="600"/>
      </w:pPr>
      <w:rPr>
        <w:rFonts w:hint="default"/>
      </w:rPr>
    </w:lvl>
    <w:lvl w:ilvl="1" w:tentative="0">
      <w:start w:val="1"/>
      <w:numFmt w:val="decimal"/>
      <w:lvlText w:val="%1.%2）"/>
      <w:lvlJc w:val="left"/>
      <w:pPr>
        <w:tabs>
          <w:tab w:val="left" w:pos="1440"/>
        </w:tabs>
        <w:ind w:left="1440" w:hanging="720"/>
      </w:pPr>
      <w:rPr>
        <w:rFonts w:hint="default"/>
      </w:rPr>
    </w:lvl>
    <w:lvl w:ilvl="2" w:tentative="0">
      <w:start w:val="1"/>
      <w:numFmt w:val="decimal"/>
      <w:lvlText w:val="%1.%2）%3."/>
      <w:lvlJc w:val="left"/>
      <w:pPr>
        <w:tabs>
          <w:tab w:val="left" w:pos="2520"/>
        </w:tabs>
        <w:ind w:left="2520" w:hanging="1080"/>
      </w:pPr>
      <w:rPr>
        <w:rFonts w:hint="default"/>
      </w:rPr>
    </w:lvl>
    <w:lvl w:ilvl="3" w:tentative="0">
      <w:start w:val="1"/>
      <w:numFmt w:val="decimal"/>
      <w:lvlText w:val="%1.%2）%3.%4."/>
      <w:lvlJc w:val="left"/>
      <w:pPr>
        <w:tabs>
          <w:tab w:val="left" w:pos="3240"/>
        </w:tabs>
        <w:ind w:left="3240" w:hanging="1080"/>
      </w:pPr>
      <w:rPr>
        <w:rFonts w:hint="default"/>
      </w:rPr>
    </w:lvl>
    <w:lvl w:ilvl="4" w:tentative="0">
      <w:start w:val="1"/>
      <w:numFmt w:val="decimal"/>
      <w:lvlText w:val="%1.%2）%3.%4.%5."/>
      <w:lvlJc w:val="left"/>
      <w:pPr>
        <w:tabs>
          <w:tab w:val="left" w:pos="4320"/>
        </w:tabs>
        <w:ind w:left="4320" w:hanging="1440"/>
      </w:pPr>
      <w:rPr>
        <w:rFonts w:hint="default"/>
      </w:rPr>
    </w:lvl>
    <w:lvl w:ilvl="5" w:tentative="0">
      <w:start w:val="1"/>
      <w:numFmt w:val="decimal"/>
      <w:lvlText w:val="%1.%2）%3.%4.%5.%6."/>
      <w:lvlJc w:val="left"/>
      <w:pPr>
        <w:tabs>
          <w:tab w:val="left" w:pos="5400"/>
        </w:tabs>
        <w:ind w:left="5400" w:hanging="1800"/>
      </w:pPr>
      <w:rPr>
        <w:rFonts w:hint="default"/>
      </w:rPr>
    </w:lvl>
    <w:lvl w:ilvl="6" w:tentative="0">
      <w:start w:val="1"/>
      <w:numFmt w:val="decimal"/>
      <w:lvlText w:val="%1.%2）%3.%4.%5.%6.%7."/>
      <w:lvlJc w:val="left"/>
      <w:pPr>
        <w:tabs>
          <w:tab w:val="left" w:pos="6120"/>
        </w:tabs>
        <w:ind w:left="6120" w:hanging="1800"/>
      </w:pPr>
      <w:rPr>
        <w:rFonts w:hint="default"/>
      </w:rPr>
    </w:lvl>
    <w:lvl w:ilvl="7" w:tentative="0">
      <w:start w:val="1"/>
      <w:numFmt w:val="decimal"/>
      <w:lvlText w:val="%1.%2）%3.%4.%5.%6.%7.%8."/>
      <w:lvlJc w:val="left"/>
      <w:pPr>
        <w:tabs>
          <w:tab w:val="left" w:pos="7200"/>
        </w:tabs>
        <w:ind w:left="7200" w:hanging="2160"/>
      </w:pPr>
      <w:rPr>
        <w:rFonts w:hint="default"/>
      </w:rPr>
    </w:lvl>
    <w:lvl w:ilvl="8" w:tentative="0">
      <w:start w:val="1"/>
      <w:numFmt w:val="decimal"/>
      <w:lvlText w:val="%1.%2）%3.%4.%5.%6.%7.%8.%9."/>
      <w:lvlJc w:val="left"/>
      <w:pPr>
        <w:tabs>
          <w:tab w:val="left" w:pos="8280"/>
        </w:tabs>
        <w:ind w:left="8280" w:hanging="2520"/>
      </w:pPr>
      <w:rPr>
        <w:rFonts w:hint="default"/>
      </w:rPr>
    </w:lvl>
  </w:abstractNum>
  <w:abstractNum w:abstractNumId="6">
    <w:nsid w:val="0A73531A"/>
    <w:multiLevelType w:val="singleLevel"/>
    <w:tmpl w:val="0A73531A"/>
    <w:lvl w:ilvl="0" w:tentative="0">
      <w:start w:val="1"/>
      <w:numFmt w:val="decimal"/>
      <w:suff w:val="nothing"/>
      <w:lvlText w:val="%1、"/>
      <w:lvlJc w:val="left"/>
    </w:lvl>
  </w:abstractNum>
  <w:abstractNum w:abstractNumId="7">
    <w:nsid w:val="1F830D8D"/>
    <w:multiLevelType w:val="multilevel"/>
    <w:tmpl w:val="1F830D8D"/>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3757D77"/>
    <w:multiLevelType w:val="multilevel"/>
    <w:tmpl w:val="23757D77"/>
    <w:lvl w:ilvl="0" w:tentative="0">
      <w:start w:val="1"/>
      <w:numFmt w:val="japaneseCounting"/>
      <w:lvlText w:val="%1、"/>
      <w:lvlJc w:val="left"/>
      <w:pPr>
        <w:tabs>
          <w:tab w:val="left" w:pos="420"/>
        </w:tabs>
        <w:ind w:left="420" w:hanging="420"/>
      </w:pPr>
      <w:rPr>
        <w:rFonts w:hint="default"/>
      </w:rPr>
    </w:lvl>
    <w:lvl w:ilvl="1" w:tentative="0">
      <w:start w:val="1"/>
      <w:numFmt w:val="japaneseCounting"/>
      <w:lvlText w:val="第%2章"/>
      <w:lvlJc w:val="left"/>
      <w:pPr>
        <w:tabs>
          <w:tab w:val="left" w:pos="1260"/>
        </w:tabs>
        <w:ind w:left="1260" w:hanging="84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3E2E255E"/>
    <w:multiLevelType w:val="multilevel"/>
    <w:tmpl w:val="3E2E255E"/>
    <w:lvl w:ilvl="0" w:tentative="0">
      <w:start w:val="1"/>
      <w:numFmt w:val="decimal"/>
      <w:lvlText w:val="%1)"/>
      <w:lvlJc w:val="left"/>
      <w:pPr>
        <w:tabs>
          <w:tab w:val="left" w:pos="5099"/>
        </w:tabs>
        <w:ind w:left="5099" w:hanging="420"/>
      </w:pPr>
      <w:rPr>
        <w:rFonts w:hint="eastAsia"/>
      </w:rPr>
    </w:lvl>
    <w:lvl w:ilvl="1" w:tentative="0">
      <w:start w:val="1"/>
      <w:numFmt w:val="decimal"/>
      <w:lvlText w:val="%2．"/>
      <w:lvlJc w:val="left"/>
      <w:pPr>
        <w:tabs>
          <w:tab w:val="left" w:pos="270"/>
        </w:tabs>
        <w:ind w:left="270" w:hanging="720"/>
      </w:pPr>
      <w:rPr>
        <w:rFonts w:hint="default"/>
      </w:rPr>
    </w:lvl>
    <w:lvl w:ilvl="2" w:tentative="0">
      <w:start w:val="1"/>
      <w:numFmt w:val="lowerRoman"/>
      <w:lvlText w:val="%3."/>
      <w:lvlJc w:val="right"/>
      <w:pPr>
        <w:tabs>
          <w:tab w:val="left" w:pos="390"/>
        </w:tabs>
        <w:ind w:left="390" w:hanging="420"/>
      </w:pPr>
    </w:lvl>
    <w:lvl w:ilvl="3" w:tentative="0">
      <w:start w:val="8"/>
      <w:numFmt w:val="japaneseCounting"/>
      <w:lvlText w:val="第%4章"/>
      <w:lvlJc w:val="left"/>
      <w:pPr>
        <w:tabs>
          <w:tab w:val="left" w:pos="1470"/>
        </w:tabs>
        <w:ind w:left="1470" w:hanging="1080"/>
      </w:pPr>
      <w:rPr>
        <w:rFonts w:hint="eastAsia"/>
      </w:rPr>
    </w:lvl>
    <w:lvl w:ilvl="4" w:tentative="0">
      <w:start w:val="1"/>
      <w:numFmt w:val="japaneseCounting"/>
      <w:lvlText w:val="%5、"/>
      <w:lvlJc w:val="left"/>
      <w:pPr>
        <w:tabs>
          <w:tab w:val="left" w:pos="1290"/>
        </w:tabs>
        <w:ind w:left="1290" w:hanging="480"/>
      </w:pPr>
      <w:rPr>
        <w:rFonts w:hint="default"/>
        <w:u w:val="none"/>
      </w:rPr>
    </w:lvl>
    <w:lvl w:ilvl="5" w:tentative="0">
      <w:start w:val="3"/>
      <w:numFmt w:val="bullet"/>
      <w:lvlText w:val=""/>
      <w:lvlJc w:val="left"/>
      <w:pPr>
        <w:tabs>
          <w:tab w:val="left" w:pos="1590"/>
        </w:tabs>
        <w:ind w:left="1590" w:hanging="360"/>
      </w:pPr>
      <w:rPr>
        <w:rFonts w:hint="default" w:ascii="Wingdings" w:hAnsi="Wingdings" w:eastAsia="宋体" w:cs="Times New Roman"/>
      </w:rPr>
    </w:lvl>
    <w:lvl w:ilvl="6" w:tentative="0">
      <w:start w:val="1"/>
      <w:numFmt w:val="decimal"/>
      <w:lvlText w:val="%7."/>
      <w:lvlJc w:val="left"/>
      <w:pPr>
        <w:tabs>
          <w:tab w:val="left" w:pos="2010"/>
        </w:tabs>
        <w:ind w:left="2010" w:hanging="360"/>
      </w:pPr>
      <w:rPr>
        <w:rFonts w:hint="default"/>
      </w:rPr>
    </w:lvl>
    <w:lvl w:ilvl="7" w:tentative="0">
      <w:start w:val="4"/>
      <w:numFmt w:val="decimal"/>
      <w:lvlText w:val="%8、"/>
      <w:lvlJc w:val="left"/>
      <w:pPr>
        <w:tabs>
          <w:tab w:val="left" w:pos="2430"/>
        </w:tabs>
        <w:ind w:left="2430" w:hanging="360"/>
      </w:pPr>
      <w:rPr>
        <w:rFonts w:hint="default" w:ascii="宋体" w:hAnsi="宋体"/>
        <w:b w:val="0"/>
      </w:rPr>
    </w:lvl>
    <w:lvl w:ilvl="8" w:tentative="0">
      <w:start w:val="4"/>
      <w:numFmt w:val="japaneseCounting"/>
      <w:lvlText w:val="（%9）"/>
      <w:lvlJc w:val="left"/>
      <w:pPr>
        <w:ind w:left="3570" w:hanging="1080"/>
      </w:pPr>
      <w:rPr>
        <w:rFonts w:hint="default"/>
      </w:rPr>
    </w:lvl>
  </w:abstractNum>
  <w:abstractNum w:abstractNumId="10">
    <w:nsid w:val="47ACD4BA"/>
    <w:multiLevelType w:val="singleLevel"/>
    <w:tmpl w:val="47ACD4BA"/>
    <w:lvl w:ilvl="0" w:tentative="0">
      <w:start w:val="1"/>
      <w:numFmt w:val="decimal"/>
      <w:suff w:val="nothing"/>
      <w:lvlText w:val="（%1）"/>
      <w:lvlJc w:val="left"/>
      <w:pPr>
        <w:ind w:left="-270"/>
      </w:pPr>
    </w:lvl>
  </w:abstractNum>
  <w:abstractNum w:abstractNumId="11">
    <w:nsid w:val="71E94226"/>
    <w:multiLevelType w:val="multilevel"/>
    <w:tmpl w:val="71E9422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ABB52A2"/>
    <w:multiLevelType w:val="singleLevel"/>
    <w:tmpl w:val="7ABB52A2"/>
    <w:lvl w:ilvl="0" w:tentative="0">
      <w:start w:val="1"/>
      <w:numFmt w:val="decimal"/>
      <w:suff w:val="nothing"/>
      <w:lvlText w:val="%1、"/>
      <w:lvlJc w:val="left"/>
    </w:lvl>
  </w:abstractNum>
  <w:num w:numId="1">
    <w:abstractNumId w:val="12"/>
  </w:num>
  <w:num w:numId="2">
    <w:abstractNumId w:val="4"/>
  </w:num>
  <w:num w:numId="3">
    <w:abstractNumId w:val="6"/>
  </w:num>
  <w:num w:numId="4">
    <w:abstractNumId w:val="3"/>
  </w:num>
  <w:num w:numId="5">
    <w:abstractNumId w:val="1"/>
  </w:num>
  <w:num w:numId="6">
    <w:abstractNumId w:val="11"/>
  </w:num>
  <w:num w:numId="7">
    <w:abstractNumId w:val="7"/>
  </w:num>
  <w:num w:numId="8">
    <w:abstractNumId w:val="0"/>
  </w:num>
  <w:num w:numId="9">
    <w:abstractNumId w:val="8"/>
  </w:num>
  <w:num w:numId="10">
    <w:abstractNumId w:val="9"/>
  </w:num>
  <w:num w:numId="11">
    <w:abstractNumId w:val="5"/>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I1OTEzMGViMTM0ODA3YjI1ZmVmMjc5MmNhODhhZTMifQ=="/>
  </w:docVars>
  <w:rsids>
    <w:rsidRoot w:val="790E1E9F"/>
    <w:rsid w:val="00040B58"/>
    <w:rsid w:val="00092509"/>
    <w:rsid w:val="00140512"/>
    <w:rsid w:val="00180B14"/>
    <w:rsid w:val="0022181C"/>
    <w:rsid w:val="00272AD2"/>
    <w:rsid w:val="003752C8"/>
    <w:rsid w:val="0042111A"/>
    <w:rsid w:val="00442868"/>
    <w:rsid w:val="004F11C2"/>
    <w:rsid w:val="005079E3"/>
    <w:rsid w:val="00532FAB"/>
    <w:rsid w:val="00704773"/>
    <w:rsid w:val="007A51B4"/>
    <w:rsid w:val="00847DE1"/>
    <w:rsid w:val="00977B14"/>
    <w:rsid w:val="009D55A7"/>
    <w:rsid w:val="00A46D0A"/>
    <w:rsid w:val="00B50FDE"/>
    <w:rsid w:val="00D64AE1"/>
    <w:rsid w:val="00DE5743"/>
    <w:rsid w:val="00DE618D"/>
    <w:rsid w:val="00E54D24"/>
    <w:rsid w:val="00E66362"/>
    <w:rsid w:val="00E7034C"/>
    <w:rsid w:val="00EA6CFD"/>
    <w:rsid w:val="00F26011"/>
    <w:rsid w:val="00FF56BA"/>
    <w:rsid w:val="012810B4"/>
    <w:rsid w:val="013B0DE8"/>
    <w:rsid w:val="013B4944"/>
    <w:rsid w:val="01691756"/>
    <w:rsid w:val="01740E6F"/>
    <w:rsid w:val="01810F86"/>
    <w:rsid w:val="0183453D"/>
    <w:rsid w:val="01934BC3"/>
    <w:rsid w:val="019E4ED3"/>
    <w:rsid w:val="01AA6240"/>
    <w:rsid w:val="01D6466C"/>
    <w:rsid w:val="01FE04CB"/>
    <w:rsid w:val="020236B3"/>
    <w:rsid w:val="02114AB6"/>
    <w:rsid w:val="02144A36"/>
    <w:rsid w:val="02223D56"/>
    <w:rsid w:val="023575E5"/>
    <w:rsid w:val="023E6EF5"/>
    <w:rsid w:val="02571C51"/>
    <w:rsid w:val="0264627D"/>
    <w:rsid w:val="027A3AE6"/>
    <w:rsid w:val="027B51E5"/>
    <w:rsid w:val="028B3470"/>
    <w:rsid w:val="0295522A"/>
    <w:rsid w:val="029A33E1"/>
    <w:rsid w:val="02A055C6"/>
    <w:rsid w:val="02C24513"/>
    <w:rsid w:val="02D0730E"/>
    <w:rsid w:val="02D2030E"/>
    <w:rsid w:val="02DA1FA7"/>
    <w:rsid w:val="02E5311B"/>
    <w:rsid w:val="03261624"/>
    <w:rsid w:val="032D31BF"/>
    <w:rsid w:val="03321D76"/>
    <w:rsid w:val="033577FF"/>
    <w:rsid w:val="03394EB3"/>
    <w:rsid w:val="03433F84"/>
    <w:rsid w:val="03451AAA"/>
    <w:rsid w:val="035717DD"/>
    <w:rsid w:val="035E2B6B"/>
    <w:rsid w:val="036130ED"/>
    <w:rsid w:val="03767EB5"/>
    <w:rsid w:val="03855A35"/>
    <w:rsid w:val="03906A9D"/>
    <w:rsid w:val="03B534AE"/>
    <w:rsid w:val="03BE44B1"/>
    <w:rsid w:val="03E71369"/>
    <w:rsid w:val="03EA2651"/>
    <w:rsid w:val="04014D75"/>
    <w:rsid w:val="041A2F36"/>
    <w:rsid w:val="041D2A27"/>
    <w:rsid w:val="041D47D5"/>
    <w:rsid w:val="0428517E"/>
    <w:rsid w:val="042C4A18"/>
    <w:rsid w:val="043C2B7C"/>
    <w:rsid w:val="043F1ADA"/>
    <w:rsid w:val="0442248D"/>
    <w:rsid w:val="044269C4"/>
    <w:rsid w:val="0476259E"/>
    <w:rsid w:val="0478642B"/>
    <w:rsid w:val="04856EA9"/>
    <w:rsid w:val="049F51EA"/>
    <w:rsid w:val="04A11AE9"/>
    <w:rsid w:val="04A260F9"/>
    <w:rsid w:val="04C2553D"/>
    <w:rsid w:val="04E05EDB"/>
    <w:rsid w:val="04E452F2"/>
    <w:rsid w:val="04F27A0F"/>
    <w:rsid w:val="05013936"/>
    <w:rsid w:val="0505757F"/>
    <w:rsid w:val="05151950"/>
    <w:rsid w:val="051554AC"/>
    <w:rsid w:val="05237BC9"/>
    <w:rsid w:val="05276F07"/>
    <w:rsid w:val="05280002"/>
    <w:rsid w:val="052E656D"/>
    <w:rsid w:val="0539563E"/>
    <w:rsid w:val="053E6F16"/>
    <w:rsid w:val="05551283"/>
    <w:rsid w:val="055F6573"/>
    <w:rsid w:val="056703FD"/>
    <w:rsid w:val="05687CD1"/>
    <w:rsid w:val="0582047C"/>
    <w:rsid w:val="059B00A7"/>
    <w:rsid w:val="05AF463F"/>
    <w:rsid w:val="05B64EE1"/>
    <w:rsid w:val="05D347EA"/>
    <w:rsid w:val="05DD246D"/>
    <w:rsid w:val="05F77580"/>
    <w:rsid w:val="05FF020A"/>
    <w:rsid w:val="05FF5A7E"/>
    <w:rsid w:val="060379FA"/>
    <w:rsid w:val="06416AF5"/>
    <w:rsid w:val="064A4110"/>
    <w:rsid w:val="06587D46"/>
    <w:rsid w:val="065D7487"/>
    <w:rsid w:val="06782196"/>
    <w:rsid w:val="067F3525"/>
    <w:rsid w:val="069D39AB"/>
    <w:rsid w:val="06B4143D"/>
    <w:rsid w:val="06D32584"/>
    <w:rsid w:val="06DF3199"/>
    <w:rsid w:val="06F347DF"/>
    <w:rsid w:val="071501C9"/>
    <w:rsid w:val="071C5217"/>
    <w:rsid w:val="071D5E3B"/>
    <w:rsid w:val="07396532"/>
    <w:rsid w:val="074F7D1F"/>
    <w:rsid w:val="0781151E"/>
    <w:rsid w:val="07852DBD"/>
    <w:rsid w:val="078B414B"/>
    <w:rsid w:val="079052BE"/>
    <w:rsid w:val="079E3E7E"/>
    <w:rsid w:val="079E5C2C"/>
    <w:rsid w:val="07B80FF1"/>
    <w:rsid w:val="07BA6793"/>
    <w:rsid w:val="07E17384"/>
    <w:rsid w:val="08156C5F"/>
    <w:rsid w:val="081F5D77"/>
    <w:rsid w:val="083420ED"/>
    <w:rsid w:val="083C2BF1"/>
    <w:rsid w:val="085E13BB"/>
    <w:rsid w:val="087766B5"/>
    <w:rsid w:val="08950D28"/>
    <w:rsid w:val="08B84ACC"/>
    <w:rsid w:val="08C72A13"/>
    <w:rsid w:val="08C903EA"/>
    <w:rsid w:val="09203EB9"/>
    <w:rsid w:val="0945511E"/>
    <w:rsid w:val="0946032A"/>
    <w:rsid w:val="09491BC8"/>
    <w:rsid w:val="09531A76"/>
    <w:rsid w:val="096864F2"/>
    <w:rsid w:val="099E3B3F"/>
    <w:rsid w:val="09A83C09"/>
    <w:rsid w:val="09E37D9F"/>
    <w:rsid w:val="09E813E1"/>
    <w:rsid w:val="09F57BAF"/>
    <w:rsid w:val="0A0629B5"/>
    <w:rsid w:val="0A0C1573"/>
    <w:rsid w:val="0A157CFC"/>
    <w:rsid w:val="0A161F3D"/>
    <w:rsid w:val="0A2048A8"/>
    <w:rsid w:val="0A3A1614"/>
    <w:rsid w:val="0A43167D"/>
    <w:rsid w:val="0A5C7B97"/>
    <w:rsid w:val="0A6505D0"/>
    <w:rsid w:val="0A943665"/>
    <w:rsid w:val="0A9926DB"/>
    <w:rsid w:val="0AA02C31"/>
    <w:rsid w:val="0AC01333"/>
    <w:rsid w:val="0ADB7197"/>
    <w:rsid w:val="0ADD6A6C"/>
    <w:rsid w:val="0AE41BA8"/>
    <w:rsid w:val="0B0F299D"/>
    <w:rsid w:val="0B3A5E52"/>
    <w:rsid w:val="0B48482D"/>
    <w:rsid w:val="0B642CE9"/>
    <w:rsid w:val="0B660F2D"/>
    <w:rsid w:val="0B7C6285"/>
    <w:rsid w:val="0B8B3E9D"/>
    <w:rsid w:val="0B9B6FB8"/>
    <w:rsid w:val="0B9F01C5"/>
    <w:rsid w:val="0BE21F59"/>
    <w:rsid w:val="0BEE3256"/>
    <w:rsid w:val="0BF70001"/>
    <w:rsid w:val="0C012733"/>
    <w:rsid w:val="0C0B13B7"/>
    <w:rsid w:val="0C116D7F"/>
    <w:rsid w:val="0C1F4E62"/>
    <w:rsid w:val="0C235653"/>
    <w:rsid w:val="0C353733"/>
    <w:rsid w:val="0C3725CC"/>
    <w:rsid w:val="0C427566"/>
    <w:rsid w:val="0C5425F5"/>
    <w:rsid w:val="0C577FD0"/>
    <w:rsid w:val="0C790A16"/>
    <w:rsid w:val="0C821421"/>
    <w:rsid w:val="0C833102"/>
    <w:rsid w:val="0C9A31E7"/>
    <w:rsid w:val="0CAA0BCF"/>
    <w:rsid w:val="0CAC577B"/>
    <w:rsid w:val="0CAF23E1"/>
    <w:rsid w:val="0CEA5470"/>
    <w:rsid w:val="0D156991"/>
    <w:rsid w:val="0D1A0E57"/>
    <w:rsid w:val="0D531267"/>
    <w:rsid w:val="0D55117F"/>
    <w:rsid w:val="0D5708A4"/>
    <w:rsid w:val="0D701E19"/>
    <w:rsid w:val="0D7F205C"/>
    <w:rsid w:val="0D8B0A01"/>
    <w:rsid w:val="0D9E19B3"/>
    <w:rsid w:val="0DB00467"/>
    <w:rsid w:val="0DB0769E"/>
    <w:rsid w:val="0DB724D3"/>
    <w:rsid w:val="0DBE57A2"/>
    <w:rsid w:val="0DDC3D14"/>
    <w:rsid w:val="0DF224B0"/>
    <w:rsid w:val="0E0367E9"/>
    <w:rsid w:val="0E1409F6"/>
    <w:rsid w:val="0E682384"/>
    <w:rsid w:val="0E790F14"/>
    <w:rsid w:val="0E87741A"/>
    <w:rsid w:val="0E9658AF"/>
    <w:rsid w:val="0EB654B0"/>
    <w:rsid w:val="0EB80E42"/>
    <w:rsid w:val="0F0D45F7"/>
    <w:rsid w:val="0F110AE2"/>
    <w:rsid w:val="0F36029A"/>
    <w:rsid w:val="0F501F5F"/>
    <w:rsid w:val="0F5F5CA1"/>
    <w:rsid w:val="0F76307C"/>
    <w:rsid w:val="0F963D6C"/>
    <w:rsid w:val="0F977B31"/>
    <w:rsid w:val="0F9A317D"/>
    <w:rsid w:val="0F9D2C6D"/>
    <w:rsid w:val="0FA425D2"/>
    <w:rsid w:val="0FA525B6"/>
    <w:rsid w:val="0FA638D0"/>
    <w:rsid w:val="0FAB4409"/>
    <w:rsid w:val="0FB53557"/>
    <w:rsid w:val="0FB53958"/>
    <w:rsid w:val="0FBA3368"/>
    <w:rsid w:val="0FBD1CE9"/>
    <w:rsid w:val="0FC46364"/>
    <w:rsid w:val="0FCB77DB"/>
    <w:rsid w:val="0FEB39D9"/>
    <w:rsid w:val="1010343F"/>
    <w:rsid w:val="10125409"/>
    <w:rsid w:val="10507EB4"/>
    <w:rsid w:val="108160EB"/>
    <w:rsid w:val="1095577B"/>
    <w:rsid w:val="109F286E"/>
    <w:rsid w:val="10A122E9"/>
    <w:rsid w:val="111331E7"/>
    <w:rsid w:val="111753C0"/>
    <w:rsid w:val="1131366D"/>
    <w:rsid w:val="114C66F9"/>
    <w:rsid w:val="11665A0D"/>
    <w:rsid w:val="116A6B7F"/>
    <w:rsid w:val="117A6707"/>
    <w:rsid w:val="11AD363C"/>
    <w:rsid w:val="11C13F58"/>
    <w:rsid w:val="11C664AC"/>
    <w:rsid w:val="11D538B0"/>
    <w:rsid w:val="11DA3D05"/>
    <w:rsid w:val="11E84674"/>
    <w:rsid w:val="11E903EC"/>
    <w:rsid w:val="11FA7885"/>
    <w:rsid w:val="1202500A"/>
    <w:rsid w:val="121F2D08"/>
    <w:rsid w:val="122136E2"/>
    <w:rsid w:val="122A0630"/>
    <w:rsid w:val="12314A83"/>
    <w:rsid w:val="12434DD7"/>
    <w:rsid w:val="124675EC"/>
    <w:rsid w:val="124A35D5"/>
    <w:rsid w:val="1250214B"/>
    <w:rsid w:val="12574C83"/>
    <w:rsid w:val="12744159"/>
    <w:rsid w:val="129211F3"/>
    <w:rsid w:val="129506F7"/>
    <w:rsid w:val="129F060D"/>
    <w:rsid w:val="12A241A3"/>
    <w:rsid w:val="12B502CE"/>
    <w:rsid w:val="12B5154F"/>
    <w:rsid w:val="12BB76A9"/>
    <w:rsid w:val="12BD67FA"/>
    <w:rsid w:val="12D31411"/>
    <w:rsid w:val="130A0A84"/>
    <w:rsid w:val="131D3266"/>
    <w:rsid w:val="13207980"/>
    <w:rsid w:val="13434291"/>
    <w:rsid w:val="13855EF2"/>
    <w:rsid w:val="13960100"/>
    <w:rsid w:val="13A0295A"/>
    <w:rsid w:val="13C02C80"/>
    <w:rsid w:val="13C0517C"/>
    <w:rsid w:val="13D10C5C"/>
    <w:rsid w:val="13DD7ADC"/>
    <w:rsid w:val="13FD6689"/>
    <w:rsid w:val="140E5EE8"/>
    <w:rsid w:val="1412542D"/>
    <w:rsid w:val="141A2ADF"/>
    <w:rsid w:val="14294AD0"/>
    <w:rsid w:val="142964F1"/>
    <w:rsid w:val="144468C2"/>
    <w:rsid w:val="14535FF1"/>
    <w:rsid w:val="14691370"/>
    <w:rsid w:val="14733869"/>
    <w:rsid w:val="14A34882"/>
    <w:rsid w:val="14B24AC5"/>
    <w:rsid w:val="14CE4C6C"/>
    <w:rsid w:val="14E530ED"/>
    <w:rsid w:val="14EA24B1"/>
    <w:rsid w:val="14ED7E6C"/>
    <w:rsid w:val="14F111B3"/>
    <w:rsid w:val="15155054"/>
    <w:rsid w:val="15203B5E"/>
    <w:rsid w:val="152139F9"/>
    <w:rsid w:val="1527555B"/>
    <w:rsid w:val="15602773"/>
    <w:rsid w:val="158346B4"/>
    <w:rsid w:val="15A83D5C"/>
    <w:rsid w:val="15B65746"/>
    <w:rsid w:val="15BB2A37"/>
    <w:rsid w:val="15E769F0"/>
    <w:rsid w:val="15E92D38"/>
    <w:rsid w:val="15F1786F"/>
    <w:rsid w:val="15F232AA"/>
    <w:rsid w:val="15F5383B"/>
    <w:rsid w:val="15FF01DE"/>
    <w:rsid w:val="160C3B6A"/>
    <w:rsid w:val="160F4043"/>
    <w:rsid w:val="16157A01"/>
    <w:rsid w:val="1626576B"/>
    <w:rsid w:val="162F5CA0"/>
    <w:rsid w:val="163A0CC8"/>
    <w:rsid w:val="16466544"/>
    <w:rsid w:val="164A384D"/>
    <w:rsid w:val="16504596"/>
    <w:rsid w:val="1651271D"/>
    <w:rsid w:val="16513DF5"/>
    <w:rsid w:val="16526560"/>
    <w:rsid w:val="16824D24"/>
    <w:rsid w:val="16881F81"/>
    <w:rsid w:val="16893F4C"/>
    <w:rsid w:val="16984502"/>
    <w:rsid w:val="16A82CF0"/>
    <w:rsid w:val="16B1079F"/>
    <w:rsid w:val="16D72F09"/>
    <w:rsid w:val="16DF3B6C"/>
    <w:rsid w:val="1706559C"/>
    <w:rsid w:val="1726655E"/>
    <w:rsid w:val="1761165C"/>
    <w:rsid w:val="17726473"/>
    <w:rsid w:val="177928F2"/>
    <w:rsid w:val="17825F07"/>
    <w:rsid w:val="179130B8"/>
    <w:rsid w:val="179C0A16"/>
    <w:rsid w:val="179D18F1"/>
    <w:rsid w:val="17AC3E1E"/>
    <w:rsid w:val="17BA0FAE"/>
    <w:rsid w:val="17C30206"/>
    <w:rsid w:val="17D51F93"/>
    <w:rsid w:val="17DF721D"/>
    <w:rsid w:val="17E51656"/>
    <w:rsid w:val="17EC6540"/>
    <w:rsid w:val="18062DF3"/>
    <w:rsid w:val="180E0186"/>
    <w:rsid w:val="180E64B6"/>
    <w:rsid w:val="181810E3"/>
    <w:rsid w:val="181B0BD3"/>
    <w:rsid w:val="184400AB"/>
    <w:rsid w:val="18446958"/>
    <w:rsid w:val="18470AF1"/>
    <w:rsid w:val="18583BD5"/>
    <w:rsid w:val="185C5B9E"/>
    <w:rsid w:val="18673E19"/>
    <w:rsid w:val="188726CB"/>
    <w:rsid w:val="188B3FAB"/>
    <w:rsid w:val="18B6097C"/>
    <w:rsid w:val="18BB0285"/>
    <w:rsid w:val="18D314AE"/>
    <w:rsid w:val="18ED080F"/>
    <w:rsid w:val="191007D2"/>
    <w:rsid w:val="191616EB"/>
    <w:rsid w:val="19173A91"/>
    <w:rsid w:val="192F728A"/>
    <w:rsid w:val="19441FDC"/>
    <w:rsid w:val="197A4670"/>
    <w:rsid w:val="198E7863"/>
    <w:rsid w:val="199724DC"/>
    <w:rsid w:val="19C53CB5"/>
    <w:rsid w:val="19D25C56"/>
    <w:rsid w:val="19D270A1"/>
    <w:rsid w:val="19D503C2"/>
    <w:rsid w:val="19DC38F9"/>
    <w:rsid w:val="19E35BF1"/>
    <w:rsid w:val="19F17631"/>
    <w:rsid w:val="19F65454"/>
    <w:rsid w:val="1A277D03"/>
    <w:rsid w:val="1A2C70C8"/>
    <w:rsid w:val="1A333611"/>
    <w:rsid w:val="1A3B5428"/>
    <w:rsid w:val="1A432FA7"/>
    <w:rsid w:val="1A450189"/>
    <w:rsid w:val="1A5775BE"/>
    <w:rsid w:val="1A9F6972"/>
    <w:rsid w:val="1AA43102"/>
    <w:rsid w:val="1AA55149"/>
    <w:rsid w:val="1AAA22B0"/>
    <w:rsid w:val="1AFC7CCE"/>
    <w:rsid w:val="1B6F7443"/>
    <w:rsid w:val="1B7E124F"/>
    <w:rsid w:val="1B85318D"/>
    <w:rsid w:val="1B891E70"/>
    <w:rsid w:val="1BA5434E"/>
    <w:rsid w:val="1BCA303C"/>
    <w:rsid w:val="1BCF0653"/>
    <w:rsid w:val="1BFA3188"/>
    <w:rsid w:val="1C084989"/>
    <w:rsid w:val="1C167858"/>
    <w:rsid w:val="1C1E0C92"/>
    <w:rsid w:val="1C27610B"/>
    <w:rsid w:val="1C3D380E"/>
    <w:rsid w:val="1C5446B4"/>
    <w:rsid w:val="1CA0088A"/>
    <w:rsid w:val="1CA62335"/>
    <w:rsid w:val="1CAB69CA"/>
    <w:rsid w:val="1CB235CD"/>
    <w:rsid w:val="1CBE2A37"/>
    <w:rsid w:val="1CBF06C7"/>
    <w:rsid w:val="1CC96E50"/>
    <w:rsid w:val="1CCA79C4"/>
    <w:rsid w:val="1CCB0E1A"/>
    <w:rsid w:val="1CE343B6"/>
    <w:rsid w:val="1CF3211F"/>
    <w:rsid w:val="1CFB38E0"/>
    <w:rsid w:val="1CFE0D30"/>
    <w:rsid w:val="1D0B0DCA"/>
    <w:rsid w:val="1D126A49"/>
    <w:rsid w:val="1D2247B2"/>
    <w:rsid w:val="1D300C7D"/>
    <w:rsid w:val="1D4666F2"/>
    <w:rsid w:val="1D5C5F16"/>
    <w:rsid w:val="1D7417D3"/>
    <w:rsid w:val="1D87456E"/>
    <w:rsid w:val="1DA1112F"/>
    <w:rsid w:val="1DAF24EA"/>
    <w:rsid w:val="1DB95116"/>
    <w:rsid w:val="1DC6065A"/>
    <w:rsid w:val="1DCA7323"/>
    <w:rsid w:val="1DDF7C04"/>
    <w:rsid w:val="1DE52A44"/>
    <w:rsid w:val="1DE55F0B"/>
    <w:rsid w:val="1DF265C8"/>
    <w:rsid w:val="1E1F7EEC"/>
    <w:rsid w:val="1E3E6409"/>
    <w:rsid w:val="1E480248"/>
    <w:rsid w:val="1E4F7FC1"/>
    <w:rsid w:val="1E536208"/>
    <w:rsid w:val="1E562965"/>
    <w:rsid w:val="1E573647"/>
    <w:rsid w:val="1E8079E2"/>
    <w:rsid w:val="1E8A260F"/>
    <w:rsid w:val="1E8B078C"/>
    <w:rsid w:val="1E937AFC"/>
    <w:rsid w:val="1EA5569B"/>
    <w:rsid w:val="1EAC07D7"/>
    <w:rsid w:val="1EBD29E4"/>
    <w:rsid w:val="1ECF2647"/>
    <w:rsid w:val="1EDC571E"/>
    <w:rsid w:val="1EE12B77"/>
    <w:rsid w:val="1EFE632E"/>
    <w:rsid w:val="1F061F30"/>
    <w:rsid w:val="1F095C2A"/>
    <w:rsid w:val="1F1015F8"/>
    <w:rsid w:val="1F274302"/>
    <w:rsid w:val="1F3C3740"/>
    <w:rsid w:val="1F4B7FF0"/>
    <w:rsid w:val="1F6410B2"/>
    <w:rsid w:val="1F666BD8"/>
    <w:rsid w:val="1F9951FF"/>
    <w:rsid w:val="1F9F5C8E"/>
    <w:rsid w:val="1FA461AA"/>
    <w:rsid w:val="1FDE2BEB"/>
    <w:rsid w:val="1FED5158"/>
    <w:rsid w:val="1FF40688"/>
    <w:rsid w:val="20163E43"/>
    <w:rsid w:val="202662F2"/>
    <w:rsid w:val="202A40A9"/>
    <w:rsid w:val="20303E66"/>
    <w:rsid w:val="20452C91"/>
    <w:rsid w:val="204835C8"/>
    <w:rsid w:val="205904EB"/>
    <w:rsid w:val="205F6F15"/>
    <w:rsid w:val="206765A7"/>
    <w:rsid w:val="20885230"/>
    <w:rsid w:val="20987265"/>
    <w:rsid w:val="209A3CD2"/>
    <w:rsid w:val="20AA6925"/>
    <w:rsid w:val="20B56069"/>
    <w:rsid w:val="20B802FC"/>
    <w:rsid w:val="20C32174"/>
    <w:rsid w:val="20C52024"/>
    <w:rsid w:val="20F75857"/>
    <w:rsid w:val="211C51E4"/>
    <w:rsid w:val="21303941"/>
    <w:rsid w:val="2157480F"/>
    <w:rsid w:val="215A6C10"/>
    <w:rsid w:val="215C6A28"/>
    <w:rsid w:val="217353BD"/>
    <w:rsid w:val="217A696B"/>
    <w:rsid w:val="218B79F8"/>
    <w:rsid w:val="21B26104"/>
    <w:rsid w:val="21BF0821"/>
    <w:rsid w:val="21D625E8"/>
    <w:rsid w:val="21DC13D3"/>
    <w:rsid w:val="21EE743D"/>
    <w:rsid w:val="21EF60F0"/>
    <w:rsid w:val="21F4671D"/>
    <w:rsid w:val="220855EF"/>
    <w:rsid w:val="220E0FD7"/>
    <w:rsid w:val="221D2199"/>
    <w:rsid w:val="221E379A"/>
    <w:rsid w:val="22205FE0"/>
    <w:rsid w:val="2265761B"/>
    <w:rsid w:val="228757E3"/>
    <w:rsid w:val="2298179E"/>
    <w:rsid w:val="229A7C7F"/>
    <w:rsid w:val="22B660C8"/>
    <w:rsid w:val="22BE64C7"/>
    <w:rsid w:val="22DB78DD"/>
    <w:rsid w:val="22EF5453"/>
    <w:rsid w:val="231D427D"/>
    <w:rsid w:val="232133B2"/>
    <w:rsid w:val="23314077"/>
    <w:rsid w:val="23437A88"/>
    <w:rsid w:val="2351194D"/>
    <w:rsid w:val="23696C97"/>
    <w:rsid w:val="238B43B7"/>
    <w:rsid w:val="23AB6501"/>
    <w:rsid w:val="23AE6D9F"/>
    <w:rsid w:val="23C860B3"/>
    <w:rsid w:val="23DE7685"/>
    <w:rsid w:val="23ED6185"/>
    <w:rsid w:val="241B110D"/>
    <w:rsid w:val="241D4741"/>
    <w:rsid w:val="24373239"/>
    <w:rsid w:val="244E34B1"/>
    <w:rsid w:val="24651B54"/>
    <w:rsid w:val="24693AC6"/>
    <w:rsid w:val="24760A6A"/>
    <w:rsid w:val="247D6D03"/>
    <w:rsid w:val="248E3007"/>
    <w:rsid w:val="249064A5"/>
    <w:rsid w:val="24B976DF"/>
    <w:rsid w:val="24E32A79"/>
    <w:rsid w:val="24EA3D79"/>
    <w:rsid w:val="24F84776"/>
    <w:rsid w:val="252E799A"/>
    <w:rsid w:val="253F05F7"/>
    <w:rsid w:val="25551BC9"/>
    <w:rsid w:val="25585A84"/>
    <w:rsid w:val="255D6CCF"/>
    <w:rsid w:val="25711C6D"/>
    <w:rsid w:val="257F6C45"/>
    <w:rsid w:val="2587082F"/>
    <w:rsid w:val="25B407F1"/>
    <w:rsid w:val="25D71021"/>
    <w:rsid w:val="25DF1FAF"/>
    <w:rsid w:val="25E44CFA"/>
    <w:rsid w:val="25FD7B6A"/>
    <w:rsid w:val="261B3F35"/>
    <w:rsid w:val="263E08AF"/>
    <w:rsid w:val="266D4CF0"/>
    <w:rsid w:val="26801AA8"/>
    <w:rsid w:val="268C786C"/>
    <w:rsid w:val="26924756"/>
    <w:rsid w:val="269B7FE4"/>
    <w:rsid w:val="26B23E49"/>
    <w:rsid w:val="26BF01D9"/>
    <w:rsid w:val="26CD1869"/>
    <w:rsid w:val="26CF7759"/>
    <w:rsid w:val="26E34FB2"/>
    <w:rsid w:val="26E50D2A"/>
    <w:rsid w:val="26F46D9E"/>
    <w:rsid w:val="27064377"/>
    <w:rsid w:val="27247AA4"/>
    <w:rsid w:val="274375D4"/>
    <w:rsid w:val="27481795"/>
    <w:rsid w:val="275C2176"/>
    <w:rsid w:val="275F6D2E"/>
    <w:rsid w:val="27610BA0"/>
    <w:rsid w:val="276948A4"/>
    <w:rsid w:val="27983C91"/>
    <w:rsid w:val="279B3EA8"/>
    <w:rsid w:val="27A91D58"/>
    <w:rsid w:val="27AB594A"/>
    <w:rsid w:val="27B02F57"/>
    <w:rsid w:val="27D119DB"/>
    <w:rsid w:val="27DA61C4"/>
    <w:rsid w:val="27E71F60"/>
    <w:rsid w:val="281C077C"/>
    <w:rsid w:val="284049FF"/>
    <w:rsid w:val="28422863"/>
    <w:rsid w:val="28427CBE"/>
    <w:rsid w:val="28641ED9"/>
    <w:rsid w:val="28654AE0"/>
    <w:rsid w:val="286D547B"/>
    <w:rsid w:val="287051D9"/>
    <w:rsid w:val="287700A8"/>
    <w:rsid w:val="288075B0"/>
    <w:rsid w:val="288874B8"/>
    <w:rsid w:val="289F315B"/>
    <w:rsid w:val="28B9246E"/>
    <w:rsid w:val="28BF3AB9"/>
    <w:rsid w:val="28CB21A2"/>
    <w:rsid w:val="28D70F5B"/>
    <w:rsid w:val="28E674A7"/>
    <w:rsid w:val="28E950A9"/>
    <w:rsid w:val="28F04484"/>
    <w:rsid w:val="28F33BD2"/>
    <w:rsid w:val="28F37A9E"/>
    <w:rsid w:val="28F87F8F"/>
    <w:rsid w:val="28F9286B"/>
    <w:rsid w:val="29160FCE"/>
    <w:rsid w:val="2953641F"/>
    <w:rsid w:val="295B3526"/>
    <w:rsid w:val="296A19BB"/>
    <w:rsid w:val="296D5007"/>
    <w:rsid w:val="29710E42"/>
    <w:rsid w:val="298D02AE"/>
    <w:rsid w:val="298E7457"/>
    <w:rsid w:val="299912AB"/>
    <w:rsid w:val="29B54AD8"/>
    <w:rsid w:val="29CC1912"/>
    <w:rsid w:val="29D07A70"/>
    <w:rsid w:val="29DB6414"/>
    <w:rsid w:val="29E13956"/>
    <w:rsid w:val="29E65B3B"/>
    <w:rsid w:val="29E67293"/>
    <w:rsid w:val="2A1325E4"/>
    <w:rsid w:val="2A1536D4"/>
    <w:rsid w:val="2A3600E6"/>
    <w:rsid w:val="2A504EBC"/>
    <w:rsid w:val="2A64640A"/>
    <w:rsid w:val="2A6F0BE2"/>
    <w:rsid w:val="2A7F4FF2"/>
    <w:rsid w:val="2AA3130F"/>
    <w:rsid w:val="2AB14EA5"/>
    <w:rsid w:val="2AB56C65"/>
    <w:rsid w:val="2AC77010"/>
    <w:rsid w:val="2ACD5DC2"/>
    <w:rsid w:val="2ADA1C68"/>
    <w:rsid w:val="2AED28A3"/>
    <w:rsid w:val="2AF6306C"/>
    <w:rsid w:val="2AFD1F49"/>
    <w:rsid w:val="2B1971F4"/>
    <w:rsid w:val="2B21615F"/>
    <w:rsid w:val="2B242C3C"/>
    <w:rsid w:val="2B2838DB"/>
    <w:rsid w:val="2B3F5197"/>
    <w:rsid w:val="2B7A20C8"/>
    <w:rsid w:val="2B8054C5"/>
    <w:rsid w:val="2B8E7BE2"/>
    <w:rsid w:val="2B8F74B6"/>
    <w:rsid w:val="2B9B5042"/>
    <w:rsid w:val="2BB17593"/>
    <w:rsid w:val="2BD92684"/>
    <w:rsid w:val="2BE303D8"/>
    <w:rsid w:val="2BE772F2"/>
    <w:rsid w:val="2C3F712F"/>
    <w:rsid w:val="2C4B4A59"/>
    <w:rsid w:val="2C4C0810"/>
    <w:rsid w:val="2C4D6037"/>
    <w:rsid w:val="2C746CD2"/>
    <w:rsid w:val="2C8025B9"/>
    <w:rsid w:val="2C8D0668"/>
    <w:rsid w:val="2CB35427"/>
    <w:rsid w:val="2CB52F4D"/>
    <w:rsid w:val="2CBF1C01"/>
    <w:rsid w:val="2CCD1E63"/>
    <w:rsid w:val="2D03015C"/>
    <w:rsid w:val="2D4C4D2E"/>
    <w:rsid w:val="2D5C786C"/>
    <w:rsid w:val="2D623596"/>
    <w:rsid w:val="2D6329A9"/>
    <w:rsid w:val="2D635F72"/>
    <w:rsid w:val="2D654973"/>
    <w:rsid w:val="2D782EE2"/>
    <w:rsid w:val="2D7C3A6A"/>
    <w:rsid w:val="2D864137"/>
    <w:rsid w:val="2D872B3B"/>
    <w:rsid w:val="2DA01E4F"/>
    <w:rsid w:val="2DBD47AF"/>
    <w:rsid w:val="2DF7019E"/>
    <w:rsid w:val="2E1462E6"/>
    <w:rsid w:val="2E2808AD"/>
    <w:rsid w:val="2E29629D"/>
    <w:rsid w:val="2E3305CD"/>
    <w:rsid w:val="2E4518B4"/>
    <w:rsid w:val="2E505623"/>
    <w:rsid w:val="2E5A3DAC"/>
    <w:rsid w:val="2E5C1E8A"/>
    <w:rsid w:val="2E894691"/>
    <w:rsid w:val="2EBE0773"/>
    <w:rsid w:val="2EC1207D"/>
    <w:rsid w:val="2EE87609"/>
    <w:rsid w:val="2EED492D"/>
    <w:rsid w:val="2EF81B7B"/>
    <w:rsid w:val="2EFE2D30"/>
    <w:rsid w:val="2F207D73"/>
    <w:rsid w:val="2F210D6D"/>
    <w:rsid w:val="2F326AD7"/>
    <w:rsid w:val="2F364819"/>
    <w:rsid w:val="2F4341ED"/>
    <w:rsid w:val="2F522CD5"/>
    <w:rsid w:val="2F6963F3"/>
    <w:rsid w:val="2F6D5D61"/>
    <w:rsid w:val="2F6E5EE1"/>
    <w:rsid w:val="2F9B28CE"/>
    <w:rsid w:val="2FA63021"/>
    <w:rsid w:val="2FB219C5"/>
    <w:rsid w:val="2FE42A5E"/>
    <w:rsid w:val="2FE60F34"/>
    <w:rsid w:val="2FE93BCB"/>
    <w:rsid w:val="300246FB"/>
    <w:rsid w:val="3008185A"/>
    <w:rsid w:val="303E3C11"/>
    <w:rsid w:val="30607673"/>
    <w:rsid w:val="30633FB6"/>
    <w:rsid w:val="306925E3"/>
    <w:rsid w:val="307B1978"/>
    <w:rsid w:val="308005E8"/>
    <w:rsid w:val="30BF3057"/>
    <w:rsid w:val="30C61BCC"/>
    <w:rsid w:val="30C62424"/>
    <w:rsid w:val="30C96FC7"/>
    <w:rsid w:val="30D74727"/>
    <w:rsid w:val="30E80B48"/>
    <w:rsid w:val="30F46739"/>
    <w:rsid w:val="30F8425E"/>
    <w:rsid w:val="3106436D"/>
    <w:rsid w:val="3106646D"/>
    <w:rsid w:val="311409A3"/>
    <w:rsid w:val="311F6719"/>
    <w:rsid w:val="31232B7B"/>
    <w:rsid w:val="312B5ED3"/>
    <w:rsid w:val="312F769E"/>
    <w:rsid w:val="313B4368"/>
    <w:rsid w:val="31661C67"/>
    <w:rsid w:val="31696DE6"/>
    <w:rsid w:val="317540B6"/>
    <w:rsid w:val="31773D8F"/>
    <w:rsid w:val="31C06A7C"/>
    <w:rsid w:val="31C324F9"/>
    <w:rsid w:val="31E00A6C"/>
    <w:rsid w:val="31EC5663"/>
    <w:rsid w:val="31F47DEC"/>
    <w:rsid w:val="320D646B"/>
    <w:rsid w:val="321921D0"/>
    <w:rsid w:val="327644AD"/>
    <w:rsid w:val="329D070B"/>
    <w:rsid w:val="32A0644D"/>
    <w:rsid w:val="32BE5531"/>
    <w:rsid w:val="32C959A4"/>
    <w:rsid w:val="32CC7242"/>
    <w:rsid w:val="32E60304"/>
    <w:rsid w:val="33096E5B"/>
    <w:rsid w:val="332930F1"/>
    <w:rsid w:val="33410490"/>
    <w:rsid w:val="33466FF4"/>
    <w:rsid w:val="334F2EE3"/>
    <w:rsid w:val="336B153C"/>
    <w:rsid w:val="33A919B7"/>
    <w:rsid w:val="33CF0D98"/>
    <w:rsid w:val="33EA2A93"/>
    <w:rsid w:val="341B5D8B"/>
    <w:rsid w:val="3421695E"/>
    <w:rsid w:val="342854F1"/>
    <w:rsid w:val="343A7B15"/>
    <w:rsid w:val="344C4197"/>
    <w:rsid w:val="346076B1"/>
    <w:rsid w:val="34781430"/>
    <w:rsid w:val="349978F3"/>
    <w:rsid w:val="34C77CC1"/>
    <w:rsid w:val="34E42621"/>
    <w:rsid w:val="34FE03F1"/>
    <w:rsid w:val="3516790C"/>
    <w:rsid w:val="351C1540"/>
    <w:rsid w:val="352275ED"/>
    <w:rsid w:val="35281F14"/>
    <w:rsid w:val="352944D8"/>
    <w:rsid w:val="352D00FD"/>
    <w:rsid w:val="35441312"/>
    <w:rsid w:val="3574263E"/>
    <w:rsid w:val="358E07DF"/>
    <w:rsid w:val="359C2EFC"/>
    <w:rsid w:val="35A973C7"/>
    <w:rsid w:val="35CD24EF"/>
    <w:rsid w:val="35E30F15"/>
    <w:rsid w:val="35ED2F28"/>
    <w:rsid w:val="35F03248"/>
    <w:rsid w:val="36175839"/>
    <w:rsid w:val="361A779D"/>
    <w:rsid w:val="36301896"/>
    <w:rsid w:val="365615FC"/>
    <w:rsid w:val="36631C6B"/>
    <w:rsid w:val="367125DA"/>
    <w:rsid w:val="367B0D63"/>
    <w:rsid w:val="367C6504"/>
    <w:rsid w:val="368D6CE8"/>
    <w:rsid w:val="36A53A43"/>
    <w:rsid w:val="36CC4181"/>
    <w:rsid w:val="36DD1A1E"/>
    <w:rsid w:val="36DD5106"/>
    <w:rsid w:val="36E737C1"/>
    <w:rsid w:val="36EF7DCC"/>
    <w:rsid w:val="37217A3A"/>
    <w:rsid w:val="37476E97"/>
    <w:rsid w:val="37733D9D"/>
    <w:rsid w:val="377C7D3E"/>
    <w:rsid w:val="37854A3D"/>
    <w:rsid w:val="378D51F2"/>
    <w:rsid w:val="37D174C2"/>
    <w:rsid w:val="37DD6D4B"/>
    <w:rsid w:val="37E64902"/>
    <w:rsid w:val="37F54B45"/>
    <w:rsid w:val="385775AE"/>
    <w:rsid w:val="38614E39"/>
    <w:rsid w:val="386F66A6"/>
    <w:rsid w:val="388044C8"/>
    <w:rsid w:val="38A65E3F"/>
    <w:rsid w:val="38B63734"/>
    <w:rsid w:val="38C073F1"/>
    <w:rsid w:val="38C537E4"/>
    <w:rsid w:val="38CA5FD2"/>
    <w:rsid w:val="38D9069A"/>
    <w:rsid w:val="38FA6AC4"/>
    <w:rsid w:val="390A4620"/>
    <w:rsid w:val="390F1C37"/>
    <w:rsid w:val="397A79F8"/>
    <w:rsid w:val="398048E2"/>
    <w:rsid w:val="398B4221"/>
    <w:rsid w:val="398E6FFF"/>
    <w:rsid w:val="398F6ADC"/>
    <w:rsid w:val="399A1E48"/>
    <w:rsid w:val="39AD4FF4"/>
    <w:rsid w:val="39EC451F"/>
    <w:rsid w:val="3A1A4D37"/>
    <w:rsid w:val="3A267238"/>
    <w:rsid w:val="3A410516"/>
    <w:rsid w:val="3A5257CB"/>
    <w:rsid w:val="3A60406F"/>
    <w:rsid w:val="3A614E02"/>
    <w:rsid w:val="3A962949"/>
    <w:rsid w:val="3A964CA2"/>
    <w:rsid w:val="3A9746CD"/>
    <w:rsid w:val="3AA91F1E"/>
    <w:rsid w:val="3AB22765"/>
    <w:rsid w:val="3AB42BE8"/>
    <w:rsid w:val="3AC23405"/>
    <w:rsid w:val="3ADD6A3A"/>
    <w:rsid w:val="3ADD708C"/>
    <w:rsid w:val="3AF96667"/>
    <w:rsid w:val="3AFA0DF0"/>
    <w:rsid w:val="3AFE1F54"/>
    <w:rsid w:val="3B2671BD"/>
    <w:rsid w:val="3B3B31B7"/>
    <w:rsid w:val="3B626996"/>
    <w:rsid w:val="3B662E8D"/>
    <w:rsid w:val="3B836161"/>
    <w:rsid w:val="3B903503"/>
    <w:rsid w:val="3B9350CC"/>
    <w:rsid w:val="3B977713"/>
    <w:rsid w:val="3BA34BB8"/>
    <w:rsid w:val="3BA73D0D"/>
    <w:rsid w:val="3BBB1CFC"/>
    <w:rsid w:val="3BD258C9"/>
    <w:rsid w:val="3BDC22A4"/>
    <w:rsid w:val="3BF35840"/>
    <w:rsid w:val="3BFA4E20"/>
    <w:rsid w:val="3C204CE4"/>
    <w:rsid w:val="3C360C30"/>
    <w:rsid w:val="3C504606"/>
    <w:rsid w:val="3C67757D"/>
    <w:rsid w:val="3C7303B6"/>
    <w:rsid w:val="3C756255"/>
    <w:rsid w:val="3C973E85"/>
    <w:rsid w:val="3CCD42E3"/>
    <w:rsid w:val="3CE42D09"/>
    <w:rsid w:val="3D001FC2"/>
    <w:rsid w:val="3D1B7BB4"/>
    <w:rsid w:val="3D2A2466"/>
    <w:rsid w:val="3D580050"/>
    <w:rsid w:val="3D622C7D"/>
    <w:rsid w:val="3D681163"/>
    <w:rsid w:val="3D8E5820"/>
    <w:rsid w:val="3D954E00"/>
    <w:rsid w:val="3DA96C47"/>
    <w:rsid w:val="3DC12D0A"/>
    <w:rsid w:val="3DCE273D"/>
    <w:rsid w:val="3DD1395F"/>
    <w:rsid w:val="3DD206B3"/>
    <w:rsid w:val="3DDA0D9B"/>
    <w:rsid w:val="3DE23DBE"/>
    <w:rsid w:val="3DEC2546"/>
    <w:rsid w:val="3DFE0BF8"/>
    <w:rsid w:val="3E037B09"/>
    <w:rsid w:val="3E151A9D"/>
    <w:rsid w:val="3E300685"/>
    <w:rsid w:val="3E3363B2"/>
    <w:rsid w:val="3E377C66"/>
    <w:rsid w:val="3E392B8C"/>
    <w:rsid w:val="3E4B1963"/>
    <w:rsid w:val="3E4D7489"/>
    <w:rsid w:val="3E502AD5"/>
    <w:rsid w:val="3E693B97"/>
    <w:rsid w:val="3E725142"/>
    <w:rsid w:val="3E740EBA"/>
    <w:rsid w:val="3E872164"/>
    <w:rsid w:val="3E8D5054"/>
    <w:rsid w:val="3E962A3C"/>
    <w:rsid w:val="3E9B631A"/>
    <w:rsid w:val="3EA51073"/>
    <w:rsid w:val="3EAF36D6"/>
    <w:rsid w:val="3ED100BA"/>
    <w:rsid w:val="3EEA7E40"/>
    <w:rsid w:val="3EF03352"/>
    <w:rsid w:val="3EFF06C2"/>
    <w:rsid w:val="3EFF6076"/>
    <w:rsid w:val="3F0F2D51"/>
    <w:rsid w:val="3F49118B"/>
    <w:rsid w:val="3F4F5483"/>
    <w:rsid w:val="3F5934CE"/>
    <w:rsid w:val="3F5C3A2A"/>
    <w:rsid w:val="3F6C7DE3"/>
    <w:rsid w:val="400242A3"/>
    <w:rsid w:val="400C6ED0"/>
    <w:rsid w:val="402B55A8"/>
    <w:rsid w:val="40306ADA"/>
    <w:rsid w:val="40362AC3"/>
    <w:rsid w:val="403A0A98"/>
    <w:rsid w:val="40731583"/>
    <w:rsid w:val="40841FFD"/>
    <w:rsid w:val="408A2349"/>
    <w:rsid w:val="4095494B"/>
    <w:rsid w:val="40955A55"/>
    <w:rsid w:val="40B161DA"/>
    <w:rsid w:val="40C17FB8"/>
    <w:rsid w:val="40C652D1"/>
    <w:rsid w:val="40E65973"/>
    <w:rsid w:val="41072DEF"/>
    <w:rsid w:val="41197AF6"/>
    <w:rsid w:val="41221636"/>
    <w:rsid w:val="412E745D"/>
    <w:rsid w:val="413E03EA"/>
    <w:rsid w:val="413E52D5"/>
    <w:rsid w:val="41615EF2"/>
    <w:rsid w:val="41967135"/>
    <w:rsid w:val="419E7FFC"/>
    <w:rsid w:val="41A424B8"/>
    <w:rsid w:val="41C55588"/>
    <w:rsid w:val="41FF5B9E"/>
    <w:rsid w:val="42097B6B"/>
    <w:rsid w:val="421459BA"/>
    <w:rsid w:val="421D3C7F"/>
    <w:rsid w:val="421F15E9"/>
    <w:rsid w:val="423261F5"/>
    <w:rsid w:val="423E5B89"/>
    <w:rsid w:val="424557E2"/>
    <w:rsid w:val="425B7C9B"/>
    <w:rsid w:val="4269060A"/>
    <w:rsid w:val="426B25D4"/>
    <w:rsid w:val="426E5C20"/>
    <w:rsid w:val="427D7230"/>
    <w:rsid w:val="4282060E"/>
    <w:rsid w:val="429F227D"/>
    <w:rsid w:val="42CB3072"/>
    <w:rsid w:val="42E44134"/>
    <w:rsid w:val="431F26F5"/>
    <w:rsid w:val="432C22FD"/>
    <w:rsid w:val="433F7092"/>
    <w:rsid w:val="434F172D"/>
    <w:rsid w:val="435117C9"/>
    <w:rsid w:val="438973FF"/>
    <w:rsid w:val="439E2535"/>
    <w:rsid w:val="43A01432"/>
    <w:rsid w:val="43BF10A6"/>
    <w:rsid w:val="43C0001A"/>
    <w:rsid w:val="43C7383A"/>
    <w:rsid w:val="43DC279C"/>
    <w:rsid w:val="4413082D"/>
    <w:rsid w:val="4415656C"/>
    <w:rsid w:val="44225E77"/>
    <w:rsid w:val="444E3F5B"/>
    <w:rsid w:val="445664F6"/>
    <w:rsid w:val="44631CF6"/>
    <w:rsid w:val="44A71814"/>
    <w:rsid w:val="44C45FCB"/>
    <w:rsid w:val="44CE29A6"/>
    <w:rsid w:val="44E2127A"/>
    <w:rsid w:val="44ED72D0"/>
    <w:rsid w:val="45156827"/>
    <w:rsid w:val="45433394"/>
    <w:rsid w:val="454964D0"/>
    <w:rsid w:val="454E4597"/>
    <w:rsid w:val="455D3805"/>
    <w:rsid w:val="4565330A"/>
    <w:rsid w:val="457B2B2E"/>
    <w:rsid w:val="45A3635E"/>
    <w:rsid w:val="45B56E0F"/>
    <w:rsid w:val="45E16709"/>
    <w:rsid w:val="45EA22DA"/>
    <w:rsid w:val="460F4CD4"/>
    <w:rsid w:val="46256F3D"/>
    <w:rsid w:val="4642571E"/>
    <w:rsid w:val="46454EEA"/>
    <w:rsid w:val="46575537"/>
    <w:rsid w:val="4665733A"/>
    <w:rsid w:val="46741E5B"/>
    <w:rsid w:val="467F664E"/>
    <w:rsid w:val="468772B0"/>
    <w:rsid w:val="469A321D"/>
    <w:rsid w:val="469D0B34"/>
    <w:rsid w:val="46A77189"/>
    <w:rsid w:val="46B876F6"/>
    <w:rsid w:val="46DA7593"/>
    <w:rsid w:val="46F231F5"/>
    <w:rsid w:val="46F5759C"/>
    <w:rsid w:val="4712006D"/>
    <w:rsid w:val="47121221"/>
    <w:rsid w:val="478F3863"/>
    <w:rsid w:val="47975C19"/>
    <w:rsid w:val="479F062A"/>
    <w:rsid w:val="47BD53BF"/>
    <w:rsid w:val="47C6205A"/>
    <w:rsid w:val="48050DD4"/>
    <w:rsid w:val="480A4FB6"/>
    <w:rsid w:val="48367BDF"/>
    <w:rsid w:val="48421D06"/>
    <w:rsid w:val="48513325"/>
    <w:rsid w:val="48653621"/>
    <w:rsid w:val="48693111"/>
    <w:rsid w:val="487A531F"/>
    <w:rsid w:val="489906A4"/>
    <w:rsid w:val="48A92A8E"/>
    <w:rsid w:val="48B115CF"/>
    <w:rsid w:val="48CC1253"/>
    <w:rsid w:val="48E3663A"/>
    <w:rsid w:val="48F86A8E"/>
    <w:rsid w:val="491A265E"/>
    <w:rsid w:val="491C1505"/>
    <w:rsid w:val="49296771"/>
    <w:rsid w:val="492F1BC7"/>
    <w:rsid w:val="49484DFB"/>
    <w:rsid w:val="495851E9"/>
    <w:rsid w:val="496B110B"/>
    <w:rsid w:val="49884C3C"/>
    <w:rsid w:val="498A3B1A"/>
    <w:rsid w:val="499750CB"/>
    <w:rsid w:val="49A66458"/>
    <w:rsid w:val="49B43FA2"/>
    <w:rsid w:val="49B4602B"/>
    <w:rsid w:val="49C83E68"/>
    <w:rsid w:val="49C87F6A"/>
    <w:rsid w:val="49CF70FC"/>
    <w:rsid w:val="49E0425C"/>
    <w:rsid w:val="49F25388"/>
    <w:rsid w:val="4A0749B4"/>
    <w:rsid w:val="4A0C3D14"/>
    <w:rsid w:val="4A0C644A"/>
    <w:rsid w:val="4A25750C"/>
    <w:rsid w:val="4A3B5070"/>
    <w:rsid w:val="4A4D25BF"/>
    <w:rsid w:val="4A4E5201"/>
    <w:rsid w:val="4A586007"/>
    <w:rsid w:val="4A5B7951"/>
    <w:rsid w:val="4A7F03FF"/>
    <w:rsid w:val="4A8752E4"/>
    <w:rsid w:val="4AA743C5"/>
    <w:rsid w:val="4ACE54AE"/>
    <w:rsid w:val="4AE65179"/>
    <w:rsid w:val="4AE85AB6"/>
    <w:rsid w:val="4B013AD5"/>
    <w:rsid w:val="4B101F6A"/>
    <w:rsid w:val="4B211082"/>
    <w:rsid w:val="4B2D306A"/>
    <w:rsid w:val="4B541BD0"/>
    <w:rsid w:val="4B600A70"/>
    <w:rsid w:val="4BA4013E"/>
    <w:rsid w:val="4BB3441A"/>
    <w:rsid w:val="4BFA0524"/>
    <w:rsid w:val="4BFC1B2B"/>
    <w:rsid w:val="4C0F208F"/>
    <w:rsid w:val="4C746529"/>
    <w:rsid w:val="4C7F1237"/>
    <w:rsid w:val="4C87000A"/>
    <w:rsid w:val="4C87625C"/>
    <w:rsid w:val="4C934C01"/>
    <w:rsid w:val="4CA77A95"/>
    <w:rsid w:val="4CA87496"/>
    <w:rsid w:val="4CBD7ED0"/>
    <w:rsid w:val="4CF62C1F"/>
    <w:rsid w:val="4D080AFB"/>
    <w:rsid w:val="4D0C49B3"/>
    <w:rsid w:val="4D107456"/>
    <w:rsid w:val="4D146BD4"/>
    <w:rsid w:val="4D19055F"/>
    <w:rsid w:val="4D1E3A2B"/>
    <w:rsid w:val="4D215E60"/>
    <w:rsid w:val="4D2C70ED"/>
    <w:rsid w:val="4D357A66"/>
    <w:rsid w:val="4D4D597D"/>
    <w:rsid w:val="4D517CDF"/>
    <w:rsid w:val="4D720CBA"/>
    <w:rsid w:val="4D7D0FCF"/>
    <w:rsid w:val="4D8B0CF2"/>
    <w:rsid w:val="4D8D4D89"/>
    <w:rsid w:val="4DA370C6"/>
    <w:rsid w:val="4DA650F3"/>
    <w:rsid w:val="4DAD0048"/>
    <w:rsid w:val="4DB90697"/>
    <w:rsid w:val="4DBA440F"/>
    <w:rsid w:val="4DDD3A42"/>
    <w:rsid w:val="4DEF786C"/>
    <w:rsid w:val="4E217FEA"/>
    <w:rsid w:val="4E2A50F1"/>
    <w:rsid w:val="4E313F8D"/>
    <w:rsid w:val="4E3349C9"/>
    <w:rsid w:val="4E392BBD"/>
    <w:rsid w:val="4E5557A3"/>
    <w:rsid w:val="4E704ACE"/>
    <w:rsid w:val="4E8011B5"/>
    <w:rsid w:val="4E8D5680"/>
    <w:rsid w:val="4EA01857"/>
    <w:rsid w:val="4EA37538"/>
    <w:rsid w:val="4EAD187E"/>
    <w:rsid w:val="4EAF489E"/>
    <w:rsid w:val="4EC031C0"/>
    <w:rsid w:val="4EDE7C89"/>
    <w:rsid w:val="4EE07EA5"/>
    <w:rsid w:val="4EEC3CA4"/>
    <w:rsid w:val="4F073EC1"/>
    <w:rsid w:val="4F18763F"/>
    <w:rsid w:val="4F283CB4"/>
    <w:rsid w:val="4F2C30EB"/>
    <w:rsid w:val="4F343D4D"/>
    <w:rsid w:val="4F463D78"/>
    <w:rsid w:val="4F4E3061"/>
    <w:rsid w:val="4F5421EB"/>
    <w:rsid w:val="4F60078E"/>
    <w:rsid w:val="4F61543D"/>
    <w:rsid w:val="4F6B3C13"/>
    <w:rsid w:val="4F7C7BCE"/>
    <w:rsid w:val="4F8B77FD"/>
    <w:rsid w:val="4F952A3E"/>
    <w:rsid w:val="4FAD7DD6"/>
    <w:rsid w:val="4FB8672C"/>
    <w:rsid w:val="4FBA66E7"/>
    <w:rsid w:val="4FBB2E06"/>
    <w:rsid w:val="4FC6709B"/>
    <w:rsid w:val="4FC878AF"/>
    <w:rsid w:val="4FE34BAE"/>
    <w:rsid w:val="50036960"/>
    <w:rsid w:val="50083210"/>
    <w:rsid w:val="50187DFE"/>
    <w:rsid w:val="50242014"/>
    <w:rsid w:val="503A35E5"/>
    <w:rsid w:val="503B080B"/>
    <w:rsid w:val="503E6C32"/>
    <w:rsid w:val="50574928"/>
    <w:rsid w:val="506105AA"/>
    <w:rsid w:val="50722D7F"/>
    <w:rsid w:val="50792EE1"/>
    <w:rsid w:val="509B4084"/>
    <w:rsid w:val="50A867A1"/>
    <w:rsid w:val="50C7131D"/>
    <w:rsid w:val="50ED48BA"/>
    <w:rsid w:val="50FB4B23"/>
    <w:rsid w:val="512E314A"/>
    <w:rsid w:val="51343C08"/>
    <w:rsid w:val="51387B25"/>
    <w:rsid w:val="51392FC0"/>
    <w:rsid w:val="515D27EA"/>
    <w:rsid w:val="516839A1"/>
    <w:rsid w:val="516B614C"/>
    <w:rsid w:val="51905BB3"/>
    <w:rsid w:val="5199689F"/>
    <w:rsid w:val="51B60E30"/>
    <w:rsid w:val="51B868DE"/>
    <w:rsid w:val="51BA2C30"/>
    <w:rsid w:val="51C92E73"/>
    <w:rsid w:val="51D11028"/>
    <w:rsid w:val="51E05D03"/>
    <w:rsid w:val="51E864A3"/>
    <w:rsid w:val="51ED0175"/>
    <w:rsid w:val="51F36EE5"/>
    <w:rsid w:val="51F83758"/>
    <w:rsid w:val="520B6D6E"/>
    <w:rsid w:val="520C2D5F"/>
    <w:rsid w:val="520D51E4"/>
    <w:rsid w:val="523C53F3"/>
    <w:rsid w:val="524424F9"/>
    <w:rsid w:val="526E737C"/>
    <w:rsid w:val="527659A4"/>
    <w:rsid w:val="52776BC5"/>
    <w:rsid w:val="52B04C41"/>
    <w:rsid w:val="52B17D4C"/>
    <w:rsid w:val="52B551A5"/>
    <w:rsid w:val="52BA4CC2"/>
    <w:rsid w:val="52BC29D7"/>
    <w:rsid w:val="52D41E8E"/>
    <w:rsid w:val="52E15F9A"/>
    <w:rsid w:val="53146370"/>
    <w:rsid w:val="532A5295"/>
    <w:rsid w:val="53312AE9"/>
    <w:rsid w:val="535344D2"/>
    <w:rsid w:val="53BC636D"/>
    <w:rsid w:val="53E03237"/>
    <w:rsid w:val="53FF492A"/>
    <w:rsid w:val="5407691B"/>
    <w:rsid w:val="54180F40"/>
    <w:rsid w:val="543A3B4F"/>
    <w:rsid w:val="543C1C06"/>
    <w:rsid w:val="5444152C"/>
    <w:rsid w:val="54B10C1B"/>
    <w:rsid w:val="54CD2496"/>
    <w:rsid w:val="54CF2063"/>
    <w:rsid w:val="54D3417A"/>
    <w:rsid w:val="55065893"/>
    <w:rsid w:val="550C37A2"/>
    <w:rsid w:val="55425416"/>
    <w:rsid w:val="55562C6F"/>
    <w:rsid w:val="55626C0A"/>
    <w:rsid w:val="55686E01"/>
    <w:rsid w:val="556A671B"/>
    <w:rsid w:val="5583158B"/>
    <w:rsid w:val="558B0F78"/>
    <w:rsid w:val="558D1CD5"/>
    <w:rsid w:val="5596306C"/>
    <w:rsid w:val="559A0529"/>
    <w:rsid w:val="559E368B"/>
    <w:rsid w:val="55AF2380"/>
    <w:rsid w:val="55B90631"/>
    <w:rsid w:val="55BB6815"/>
    <w:rsid w:val="55D3606E"/>
    <w:rsid w:val="55DA73FC"/>
    <w:rsid w:val="55FB134A"/>
    <w:rsid w:val="560C626C"/>
    <w:rsid w:val="56377DDA"/>
    <w:rsid w:val="56501C97"/>
    <w:rsid w:val="566A450E"/>
    <w:rsid w:val="567D2FDC"/>
    <w:rsid w:val="567D65F5"/>
    <w:rsid w:val="568850AA"/>
    <w:rsid w:val="56AB4D39"/>
    <w:rsid w:val="56BD287A"/>
    <w:rsid w:val="56BE3AB8"/>
    <w:rsid w:val="56C1236A"/>
    <w:rsid w:val="56D8324A"/>
    <w:rsid w:val="56D8626A"/>
    <w:rsid w:val="56E02C2D"/>
    <w:rsid w:val="56F52014"/>
    <w:rsid w:val="56FE68E2"/>
    <w:rsid w:val="57144B90"/>
    <w:rsid w:val="57236B81"/>
    <w:rsid w:val="573E39BB"/>
    <w:rsid w:val="575925A3"/>
    <w:rsid w:val="575B631B"/>
    <w:rsid w:val="577216B2"/>
    <w:rsid w:val="57743881"/>
    <w:rsid w:val="57A41AB1"/>
    <w:rsid w:val="57CA4F33"/>
    <w:rsid w:val="57E91B79"/>
    <w:rsid w:val="581110D0"/>
    <w:rsid w:val="581C28A9"/>
    <w:rsid w:val="582836A2"/>
    <w:rsid w:val="58496326"/>
    <w:rsid w:val="584D5CFC"/>
    <w:rsid w:val="58651AA8"/>
    <w:rsid w:val="58653C20"/>
    <w:rsid w:val="589715D5"/>
    <w:rsid w:val="58BA3729"/>
    <w:rsid w:val="58E467E4"/>
    <w:rsid w:val="58EB36CF"/>
    <w:rsid w:val="590A46ED"/>
    <w:rsid w:val="59123351"/>
    <w:rsid w:val="592A1893"/>
    <w:rsid w:val="593339DC"/>
    <w:rsid w:val="595B0854"/>
    <w:rsid w:val="5981135B"/>
    <w:rsid w:val="59B2243E"/>
    <w:rsid w:val="59B71866"/>
    <w:rsid w:val="59E56370"/>
    <w:rsid w:val="59F36CDF"/>
    <w:rsid w:val="59F9006D"/>
    <w:rsid w:val="5A184997"/>
    <w:rsid w:val="5A1B185F"/>
    <w:rsid w:val="5A207377"/>
    <w:rsid w:val="5A4C63EF"/>
    <w:rsid w:val="5A5B1684"/>
    <w:rsid w:val="5A627595"/>
    <w:rsid w:val="5A655CE7"/>
    <w:rsid w:val="5A753B98"/>
    <w:rsid w:val="5A7C7CC1"/>
    <w:rsid w:val="5A8B16AB"/>
    <w:rsid w:val="5A91549E"/>
    <w:rsid w:val="5AB27ECF"/>
    <w:rsid w:val="5ABA77FD"/>
    <w:rsid w:val="5AD71C43"/>
    <w:rsid w:val="5AE95CEA"/>
    <w:rsid w:val="5AF0321E"/>
    <w:rsid w:val="5B0015B8"/>
    <w:rsid w:val="5B195F76"/>
    <w:rsid w:val="5B1A0996"/>
    <w:rsid w:val="5B1F3B03"/>
    <w:rsid w:val="5B33135D"/>
    <w:rsid w:val="5B370F48"/>
    <w:rsid w:val="5B426771"/>
    <w:rsid w:val="5B557525"/>
    <w:rsid w:val="5B8C73EB"/>
    <w:rsid w:val="5B9067AF"/>
    <w:rsid w:val="5BA1504E"/>
    <w:rsid w:val="5BC175DC"/>
    <w:rsid w:val="5BDC30D6"/>
    <w:rsid w:val="5BDD0396"/>
    <w:rsid w:val="5BF03C12"/>
    <w:rsid w:val="5BFF1FE5"/>
    <w:rsid w:val="5C0C37C1"/>
    <w:rsid w:val="5C1F3489"/>
    <w:rsid w:val="5C2238AB"/>
    <w:rsid w:val="5C273ACF"/>
    <w:rsid w:val="5C4C28DC"/>
    <w:rsid w:val="5C4E644E"/>
    <w:rsid w:val="5C567533"/>
    <w:rsid w:val="5C82259C"/>
    <w:rsid w:val="5C861E69"/>
    <w:rsid w:val="5C956991"/>
    <w:rsid w:val="5CAD1D45"/>
    <w:rsid w:val="5CC606DB"/>
    <w:rsid w:val="5CF52363"/>
    <w:rsid w:val="5CFA0384"/>
    <w:rsid w:val="5D1A0A26"/>
    <w:rsid w:val="5D2C131F"/>
    <w:rsid w:val="5D487342"/>
    <w:rsid w:val="5D703388"/>
    <w:rsid w:val="5D8578A3"/>
    <w:rsid w:val="5DBA58BF"/>
    <w:rsid w:val="5DD27D8A"/>
    <w:rsid w:val="5DFB4772"/>
    <w:rsid w:val="5DFB5EB1"/>
    <w:rsid w:val="5E015742"/>
    <w:rsid w:val="5E053485"/>
    <w:rsid w:val="5E1611EE"/>
    <w:rsid w:val="5E400893"/>
    <w:rsid w:val="5E483371"/>
    <w:rsid w:val="5E7D301B"/>
    <w:rsid w:val="5E99597B"/>
    <w:rsid w:val="5ED510A9"/>
    <w:rsid w:val="5EE30DFC"/>
    <w:rsid w:val="5EFB4DE6"/>
    <w:rsid w:val="5F033224"/>
    <w:rsid w:val="5F292D58"/>
    <w:rsid w:val="5F610B8F"/>
    <w:rsid w:val="5F880F8B"/>
    <w:rsid w:val="5F9E636E"/>
    <w:rsid w:val="5FA14E07"/>
    <w:rsid w:val="5FBB029F"/>
    <w:rsid w:val="5FF71EC3"/>
    <w:rsid w:val="60050E13"/>
    <w:rsid w:val="60065E0F"/>
    <w:rsid w:val="601E082E"/>
    <w:rsid w:val="603242D9"/>
    <w:rsid w:val="60327E35"/>
    <w:rsid w:val="60583379"/>
    <w:rsid w:val="6071095D"/>
    <w:rsid w:val="60730B79"/>
    <w:rsid w:val="607C10F6"/>
    <w:rsid w:val="609B3C2C"/>
    <w:rsid w:val="60CF38D6"/>
    <w:rsid w:val="610E43FE"/>
    <w:rsid w:val="6117523F"/>
    <w:rsid w:val="613025C6"/>
    <w:rsid w:val="61467507"/>
    <w:rsid w:val="6155202D"/>
    <w:rsid w:val="61646714"/>
    <w:rsid w:val="616616D2"/>
    <w:rsid w:val="61A3613F"/>
    <w:rsid w:val="61BA2D18"/>
    <w:rsid w:val="61D07BA7"/>
    <w:rsid w:val="61DB29E0"/>
    <w:rsid w:val="61E72A97"/>
    <w:rsid w:val="61ED04B8"/>
    <w:rsid w:val="620B6B90"/>
    <w:rsid w:val="62124148"/>
    <w:rsid w:val="62377926"/>
    <w:rsid w:val="623937F7"/>
    <w:rsid w:val="624D15EF"/>
    <w:rsid w:val="624F4CCE"/>
    <w:rsid w:val="6268653A"/>
    <w:rsid w:val="626D15F8"/>
    <w:rsid w:val="62841E4B"/>
    <w:rsid w:val="62DF41FE"/>
    <w:rsid w:val="62E15F94"/>
    <w:rsid w:val="62FC19D5"/>
    <w:rsid w:val="63051B4E"/>
    <w:rsid w:val="63215262"/>
    <w:rsid w:val="633D721D"/>
    <w:rsid w:val="63424833"/>
    <w:rsid w:val="634D7A5B"/>
    <w:rsid w:val="6356208C"/>
    <w:rsid w:val="63717246"/>
    <w:rsid w:val="637460DF"/>
    <w:rsid w:val="639C03E7"/>
    <w:rsid w:val="639C3F43"/>
    <w:rsid w:val="63AE1EC8"/>
    <w:rsid w:val="63BC6393"/>
    <w:rsid w:val="63D86537"/>
    <w:rsid w:val="63DB1BC8"/>
    <w:rsid w:val="63EC7817"/>
    <w:rsid w:val="640F6E0B"/>
    <w:rsid w:val="64370110"/>
    <w:rsid w:val="64412D3D"/>
    <w:rsid w:val="64460353"/>
    <w:rsid w:val="645312BC"/>
    <w:rsid w:val="645C0C75"/>
    <w:rsid w:val="645C1924"/>
    <w:rsid w:val="646507D9"/>
    <w:rsid w:val="64763058"/>
    <w:rsid w:val="648669A1"/>
    <w:rsid w:val="648E676F"/>
    <w:rsid w:val="649C61C5"/>
    <w:rsid w:val="64A07A63"/>
    <w:rsid w:val="64A532CB"/>
    <w:rsid w:val="64CF6609"/>
    <w:rsid w:val="64D91D97"/>
    <w:rsid w:val="64E81CE8"/>
    <w:rsid w:val="650C0F95"/>
    <w:rsid w:val="652F4076"/>
    <w:rsid w:val="65385EEE"/>
    <w:rsid w:val="655068C5"/>
    <w:rsid w:val="655748CB"/>
    <w:rsid w:val="65575CDF"/>
    <w:rsid w:val="6558033E"/>
    <w:rsid w:val="655E40F7"/>
    <w:rsid w:val="65814FCA"/>
    <w:rsid w:val="6586374B"/>
    <w:rsid w:val="658C34C1"/>
    <w:rsid w:val="659770B8"/>
    <w:rsid w:val="65A05C19"/>
    <w:rsid w:val="65B20E73"/>
    <w:rsid w:val="65B31A18"/>
    <w:rsid w:val="65C634F9"/>
    <w:rsid w:val="65C94D98"/>
    <w:rsid w:val="65E73191"/>
    <w:rsid w:val="660E6C4E"/>
    <w:rsid w:val="661623E1"/>
    <w:rsid w:val="66393372"/>
    <w:rsid w:val="663C6C3E"/>
    <w:rsid w:val="663E7534"/>
    <w:rsid w:val="664F4B66"/>
    <w:rsid w:val="66535EF2"/>
    <w:rsid w:val="66847AD9"/>
    <w:rsid w:val="66A82BFF"/>
    <w:rsid w:val="66BC66AA"/>
    <w:rsid w:val="66E65712"/>
    <w:rsid w:val="66EE2624"/>
    <w:rsid w:val="66FB71D3"/>
    <w:rsid w:val="67053C42"/>
    <w:rsid w:val="670544F5"/>
    <w:rsid w:val="671D539B"/>
    <w:rsid w:val="673B3E6E"/>
    <w:rsid w:val="67450299"/>
    <w:rsid w:val="6747046A"/>
    <w:rsid w:val="67566EED"/>
    <w:rsid w:val="67587117"/>
    <w:rsid w:val="676841BB"/>
    <w:rsid w:val="677533F8"/>
    <w:rsid w:val="67902011"/>
    <w:rsid w:val="67917B37"/>
    <w:rsid w:val="67D143D7"/>
    <w:rsid w:val="67DA14DE"/>
    <w:rsid w:val="67EB25A8"/>
    <w:rsid w:val="67FC76A6"/>
    <w:rsid w:val="67FD341E"/>
    <w:rsid w:val="680B1697"/>
    <w:rsid w:val="682074F8"/>
    <w:rsid w:val="68246BFD"/>
    <w:rsid w:val="68464B6F"/>
    <w:rsid w:val="685C3E7E"/>
    <w:rsid w:val="68806F6A"/>
    <w:rsid w:val="688558EE"/>
    <w:rsid w:val="688E138F"/>
    <w:rsid w:val="689C7120"/>
    <w:rsid w:val="69006B8C"/>
    <w:rsid w:val="690246C7"/>
    <w:rsid w:val="69270880"/>
    <w:rsid w:val="693B19F0"/>
    <w:rsid w:val="694B3431"/>
    <w:rsid w:val="6958704A"/>
    <w:rsid w:val="69603C65"/>
    <w:rsid w:val="69802285"/>
    <w:rsid w:val="698F23B5"/>
    <w:rsid w:val="69D00DEB"/>
    <w:rsid w:val="69DB1CD7"/>
    <w:rsid w:val="69DB4F4A"/>
    <w:rsid w:val="69EC374B"/>
    <w:rsid w:val="69F525FF"/>
    <w:rsid w:val="6A0E546F"/>
    <w:rsid w:val="6A334ED5"/>
    <w:rsid w:val="6A407E8A"/>
    <w:rsid w:val="6A440E91"/>
    <w:rsid w:val="6A577165"/>
    <w:rsid w:val="6A5E3620"/>
    <w:rsid w:val="6A6E6107"/>
    <w:rsid w:val="6A7A6FA8"/>
    <w:rsid w:val="6ACF10A2"/>
    <w:rsid w:val="6AD95A7D"/>
    <w:rsid w:val="6AE6019A"/>
    <w:rsid w:val="6B2018FE"/>
    <w:rsid w:val="6B2A6550"/>
    <w:rsid w:val="6B2B3DFF"/>
    <w:rsid w:val="6B383F7F"/>
    <w:rsid w:val="6B7B08D6"/>
    <w:rsid w:val="6B8503B6"/>
    <w:rsid w:val="6B882FFF"/>
    <w:rsid w:val="6B99750E"/>
    <w:rsid w:val="6BBA58AE"/>
    <w:rsid w:val="6BC70E8D"/>
    <w:rsid w:val="6BCC758B"/>
    <w:rsid w:val="6BE20961"/>
    <w:rsid w:val="6BEC0EB1"/>
    <w:rsid w:val="6BEC79F6"/>
    <w:rsid w:val="6BF82E98"/>
    <w:rsid w:val="6C1624C4"/>
    <w:rsid w:val="6C2B2308"/>
    <w:rsid w:val="6C403A34"/>
    <w:rsid w:val="6C4E2069"/>
    <w:rsid w:val="6C553829"/>
    <w:rsid w:val="6CA52BA4"/>
    <w:rsid w:val="6CC56897"/>
    <w:rsid w:val="6CDC3602"/>
    <w:rsid w:val="6CE355A2"/>
    <w:rsid w:val="6CEB315D"/>
    <w:rsid w:val="6CFC1EF7"/>
    <w:rsid w:val="6D132C27"/>
    <w:rsid w:val="6D2B458A"/>
    <w:rsid w:val="6D2E263B"/>
    <w:rsid w:val="6D2F407A"/>
    <w:rsid w:val="6D3501CD"/>
    <w:rsid w:val="6D48513C"/>
    <w:rsid w:val="6D584E32"/>
    <w:rsid w:val="6D6535F8"/>
    <w:rsid w:val="6D6C5409"/>
    <w:rsid w:val="6D710E78"/>
    <w:rsid w:val="6D907C75"/>
    <w:rsid w:val="6D944B2A"/>
    <w:rsid w:val="6DC06053"/>
    <w:rsid w:val="6DD469CF"/>
    <w:rsid w:val="6DF80910"/>
    <w:rsid w:val="6E0E3C8F"/>
    <w:rsid w:val="6E1814A6"/>
    <w:rsid w:val="6E190970"/>
    <w:rsid w:val="6E20147C"/>
    <w:rsid w:val="6E2C779A"/>
    <w:rsid w:val="6E3C58DC"/>
    <w:rsid w:val="6E610BAA"/>
    <w:rsid w:val="6E6E2980"/>
    <w:rsid w:val="6E791FA1"/>
    <w:rsid w:val="6E7A26CB"/>
    <w:rsid w:val="6E8201DA"/>
    <w:rsid w:val="6E860B2E"/>
    <w:rsid w:val="6E873778"/>
    <w:rsid w:val="6E9B38FE"/>
    <w:rsid w:val="6EBD02D4"/>
    <w:rsid w:val="6EEA2A6C"/>
    <w:rsid w:val="6EEE4E11"/>
    <w:rsid w:val="6F07018C"/>
    <w:rsid w:val="6F0F5F11"/>
    <w:rsid w:val="6F1D06B8"/>
    <w:rsid w:val="6F493D81"/>
    <w:rsid w:val="6F4F7D4D"/>
    <w:rsid w:val="6F9E1043"/>
    <w:rsid w:val="6FAB7DA4"/>
    <w:rsid w:val="6FB95E7D"/>
    <w:rsid w:val="6FBA32F3"/>
    <w:rsid w:val="6FBB39A3"/>
    <w:rsid w:val="6FEA24DA"/>
    <w:rsid w:val="6FEB16E4"/>
    <w:rsid w:val="6FEE1FCA"/>
    <w:rsid w:val="6FEF4E8E"/>
    <w:rsid w:val="7007308C"/>
    <w:rsid w:val="700C3455"/>
    <w:rsid w:val="700D7F77"/>
    <w:rsid w:val="70281320"/>
    <w:rsid w:val="702920DD"/>
    <w:rsid w:val="70317130"/>
    <w:rsid w:val="7048597B"/>
    <w:rsid w:val="704D60B2"/>
    <w:rsid w:val="705838E8"/>
    <w:rsid w:val="706B361B"/>
    <w:rsid w:val="70700C31"/>
    <w:rsid w:val="707738E7"/>
    <w:rsid w:val="70B22FEB"/>
    <w:rsid w:val="70B76FC3"/>
    <w:rsid w:val="70F640AA"/>
    <w:rsid w:val="70F969E6"/>
    <w:rsid w:val="71440939"/>
    <w:rsid w:val="7164006A"/>
    <w:rsid w:val="71692C8E"/>
    <w:rsid w:val="7169742F"/>
    <w:rsid w:val="71705FC9"/>
    <w:rsid w:val="719E532A"/>
    <w:rsid w:val="71A67C85"/>
    <w:rsid w:val="71B40FF2"/>
    <w:rsid w:val="71B95152"/>
    <w:rsid w:val="71BB3875"/>
    <w:rsid w:val="71E13469"/>
    <w:rsid w:val="71F238C8"/>
    <w:rsid w:val="720D24B0"/>
    <w:rsid w:val="721455EC"/>
    <w:rsid w:val="724B5FFE"/>
    <w:rsid w:val="724C2FD8"/>
    <w:rsid w:val="72591B25"/>
    <w:rsid w:val="725974A3"/>
    <w:rsid w:val="72606A84"/>
    <w:rsid w:val="72A46CC5"/>
    <w:rsid w:val="72DA4A88"/>
    <w:rsid w:val="72F42E4A"/>
    <w:rsid w:val="73003CFA"/>
    <w:rsid w:val="730E2034"/>
    <w:rsid w:val="731A2D6E"/>
    <w:rsid w:val="731C3503"/>
    <w:rsid w:val="73246ED1"/>
    <w:rsid w:val="73305DFD"/>
    <w:rsid w:val="73373C88"/>
    <w:rsid w:val="73504D4A"/>
    <w:rsid w:val="73575892"/>
    <w:rsid w:val="737427E7"/>
    <w:rsid w:val="737A5923"/>
    <w:rsid w:val="73993FFB"/>
    <w:rsid w:val="73A429A0"/>
    <w:rsid w:val="73AA6208"/>
    <w:rsid w:val="73D2063E"/>
    <w:rsid w:val="73E24586"/>
    <w:rsid w:val="73FB49D5"/>
    <w:rsid w:val="7402235F"/>
    <w:rsid w:val="7420168D"/>
    <w:rsid w:val="74273EE1"/>
    <w:rsid w:val="742C5964"/>
    <w:rsid w:val="743957DE"/>
    <w:rsid w:val="74485A21"/>
    <w:rsid w:val="74583ECB"/>
    <w:rsid w:val="746C5CEA"/>
    <w:rsid w:val="747D391D"/>
    <w:rsid w:val="74A0634E"/>
    <w:rsid w:val="74EE2828"/>
    <w:rsid w:val="74FB4049"/>
    <w:rsid w:val="74FE7C75"/>
    <w:rsid w:val="75061B64"/>
    <w:rsid w:val="750F5847"/>
    <w:rsid w:val="75240850"/>
    <w:rsid w:val="75333608"/>
    <w:rsid w:val="753D4E5A"/>
    <w:rsid w:val="754E7067"/>
    <w:rsid w:val="75556648"/>
    <w:rsid w:val="75616D9B"/>
    <w:rsid w:val="7564041E"/>
    <w:rsid w:val="7589250B"/>
    <w:rsid w:val="759224B5"/>
    <w:rsid w:val="759943AA"/>
    <w:rsid w:val="759F7DF7"/>
    <w:rsid w:val="75A1188D"/>
    <w:rsid w:val="75CB1A9A"/>
    <w:rsid w:val="75D21DB7"/>
    <w:rsid w:val="75E659CC"/>
    <w:rsid w:val="75F419BD"/>
    <w:rsid w:val="75FC5F5A"/>
    <w:rsid w:val="76443835"/>
    <w:rsid w:val="76574B06"/>
    <w:rsid w:val="765942D0"/>
    <w:rsid w:val="76911902"/>
    <w:rsid w:val="76960CC6"/>
    <w:rsid w:val="76CA4E14"/>
    <w:rsid w:val="76E03AE4"/>
    <w:rsid w:val="76E4409A"/>
    <w:rsid w:val="76EC08E6"/>
    <w:rsid w:val="76F6691F"/>
    <w:rsid w:val="77011DC1"/>
    <w:rsid w:val="770E0FDA"/>
    <w:rsid w:val="77530965"/>
    <w:rsid w:val="77555743"/>
    <w:rsid w:val="775A7F45"/>
    <w:rsid w:val="77601E75"/>
    <w:rsid w:val="777A05E8"/>
    <w:rsid w:val="778D031B"/>
    <w:rsid w:val="77A339AF"/>
    <w:rsid w:val="77AC0E03"/>
    <w:rsid w:val="77C6382D"/>
    <w:rsid w:val="77C7119B"/>
    <w:rsid w:val="77C80AC5"/>
    <w:rsid w:val="77CB0E43"/>
    <w:rsid w:val="77CD0148"/>
    <w:rsid w:val="77CF5A20"/>
    <w:rsid w:val="77EA6925"/>
    <w:rsid w:val="780C7DF2"/>
    <w:rsid w:val="781874CA"/>
    <w:rsid w:val="781C169F"/>
    <w:rsid w:val="781F26CC"/>
    <w:rsid w:val="78411105"/>
    <w:rsid w:val="78420C74"/>
    <w:rsid w:val="78480063"/>
    <w:rsid w:val="784D3AFD"/>
    <w:rsid w:val="78570929"/>
    <w:rsid w:val="78574485"/>
    <w:rsid w:val="785B2975"/>
    <w:rsid w:val="7862132D"/>
    <w:rsid w:val="789456D9"/>
    <w:rsid w:val="78A17E54"/>
    <w:rsid w:val="78BE2756"/>
    <w:rsid w:val="78C733B9"/>
    <w:rsid w:val="78CB62BA"/>
    <w:rsid w:val="78D17C5F"/>
    <w:rsid w:val="78EC72C3"/>
    <w:rsid w:val="79017226"/>
    <w:rsid w:val="790E1E9F"/>
    <w:rsid w:val="792D61A9"/>
    <w:rsid w:val="795B6727"/>
    <w:rsid w:val="796450AB"/>
    <w:rsid w:val="79764DDF"/>
    <w:rsid w:val="798E4D3A"/>
    <w:rsid w:val="79BC724A"/>
    <w:rsid w:val="79D30393"/>
    <w:rsid w:val="79FC3536"/>
    <w:rsid w:val="7A0B15F1"/>
    <w:rsid w:val="7A252A8D"/>
    <w:rsid w:val="7A5213A8"/>
    <w:rsid w:val="7A582B82"/>
    <w:rsid w:val="7A592736"/>
    <w:rsid w:val="7A792DD8"/>
    <w:rsid w:val="7A8556F5"/>
    <w:rsid w:val="7AA96417"/>
    <w:rsid w:val="7AB160CE"/>
    <w:rsid w:val="7AB24893"/>
    <w:rsid w:val="7ACA7190"/>
    <w:rsid w:val="7ACF5896"/>
    <w:rsid w:val="7AD26045"/>
    <w:rsid w:val="7B1775B2"/>
    <w:rsid w:val="7B3A6448"/>
    <w:rsid w:val="7B524F03"/>
    <w:rsid w:val="7B580C40"/>
    <w:rsid w:val="7B5F3D7C"/>
    <w:rsid w:val="7B740B29"/>
    <w:rsid w:val="7B7B716D"/>
    <w:rsid w:val="7B933A26"/>
    <w:rsid w:val="7B9559F0"/>
    <w:rsid w:val="7B9D2AF7"/>
    <w:rsid w:val="7BA774D1"/>
    <w:rsid w:val="7BBD0AA3"/>
    <w:rsid w:val="7BC6204D"/>
    <w:rsid w:val="7BC63DFB"/>
    <w:rsid w:val="7BCD518A"/>
    <w:rsid w:val="7BFA3AA5"/>
    <w:rsid w:val="7C105077"/>
    <w:rsid w:val="7C1845E1"/>
    <w:rsid w:val="7C224DAA"/>
    <w:rsid w:val="7C253132"/>
    <w:rsid w:val="7C381F99"/>
    <w:rsid w:val="7C4A4A2C"/>
    <w:rsid w:val="7C4C6CA4"/>
    <w:rsid w:val="7C5331B5"/>
    <w:rsid w:val="7C716B68"/>
    <w:rsid w:val="7C725D31"/>
    <w:rsid w:val="7C920181"/>
    <w:rsid w:val="7C991510"/>
    <w:rsid w:val="7CAD113F"/>
    <w:rsid w:val="7CB00608"/>
    <w:rsid w:val="7CD20995"/>
    <w:rsid w:val="7D044D32"/>
    <w:rsid w:val="7D2358FF"/>
    <w:rsid w:val="7D24527D"/>
    <w:rsid w:val="7D3923AB"/>
    <w:rsid w:val="7D561E46"/>
    <w:rsid w:val="7D580FFF"/>
    <w:rsid w:val="7D6513F2"/>
    <w:rsid w:val="7D7C3D15"/>
    <w:rsid w:val="7D800CFB"/>
    <w:rsid w:val="7D937D0D"/>
    <w:rsid w:val="7DAB032B"/>
    <w:rsid w:val="7DC61D5E"/>
    <w:rsid w:val="7DD644B9"/>
    <w:rsid w:val="7E0155BF"/>
    <w:rsid w:val="7E035F1C"/>
    <w:rsid w:val="7E0F1FED"/>
    <w:rsid w:val="7E1C6BE4"/>
    <w:rsid w:val="7E355268"/>
    <w:rsid w:val="7E5804EC"/>
    <w:rsid w:val="7E5A0441"/>
    <w:rsid w:val="7E694F12"/>
    <w:rsid w:val="7E916F06"/>
    <w:rsid w:val="7E936302"/>
    <w:rsid w:val="7E9F23BF"/>
    <w:rsid w:val="7EA06B86"/>
    <w:rsid w:val="7EB02B41"/>
    <w:rsid w:val="7EC16F8B"/>
    <w:rsid w:val="7ED72141"/>
    <w:rsid w:val="7ED77425"/>
    <w:rsid w:val="7EE822DB"/>
    <w:rsid w:val="7EED169F"/>
    <w:rsid w:val="7F0E2B74"/>
    <w:rsid w:val="7F2D5A80"/>
    <w:rsid w:val="7F3E632E"/>
    <w:rsid w:val="7F54171E"/>
    <w:rsid w:val="7F6B19DD"/>
    <w:rsid w:val="7F9B734D"/>
    <w:rsid w:val="7FA36202"/>
    <w:rsid w:val="7FAA57E2"/>
    <w:rsid w:val="7FC411AE"/>
    <w:rsid w:val="7FC92566"/>
    <w:rsid w:val="7FE24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tabs>
        <w:tab w:val="left" w:pos="425"/>
      </w:tabs>
      <w:spacing w:before="340" w:after="330" w:line="576" w:lineRule="auto"/>
      <w:ind w:left="425" w:hanging="425"/>
      <w:outlineLvl w:val="0"/>
    </w:pPr>
    <w:rPr>
      <w:b/>
      <w:kern w:val="44"/>
      <w:sz w:val="44"/>
      <w:szCs w:val="20"/>
    </w:rPr>
  </w:style>
  <w:style w:type="paragraph" w:styleId="4">
    <w:name w:val="heading 2"/>
    <w:basedOn w:val="1"/>
    <w:next w:val="1"/>
    <w:qFormat/>
    <w:uiPriority w:val="0"/>
    <w:pPr>
      <w:keepNext/>
      <w:keepLines/>
      <w:tabs>
        <w:tab w:val="left" w:pos="567"/>
      </w:tabs>
      <w:spacing w:before="120" w:after="120" w:line="360" w:lineRule="auto"/>
      <w:ind w:left="0" w:firstLine="0"/>
      <w:jc w:val="center"/>
      <w:outlineLvl w:val="1"/>
    </w:pPr>
    <w:rPr>
      <w:rFonts w:ascii="宋体" w:hAnsi="宋体" w:eastAsia="宋体"/>
      <w:b/>
      <w:bCs/>
      <w:sz w:val="21"/>
      <w:szCs w:val="18"/>
    </w:rPr>
  </w:style>
  <w:style w:type="paragraph" w:styleId="5">
    <w:name w:val="heading 3"/>
    <w:basedOn w:val="1"/>
    <w:next w:val="1"/>
    <w:qFormat/>
    <w:uiPriority w:val="9"/>
    <w:pPr>
      <w:keepNext/>
      <w:keepLines/>
      <w:tabs>
        <w:tab w:val="left" w:pos="709"/>
      </w:tabs>
      <w:spacing w:line="360" w:lineRule="auto"/>
      <w:ind w:left="0" w:firstLine="709"/>
      <w:outlineLvl w:val="2"/>
    </w:pPr>
    <w:rPr>
      <w:rFonts w:ascii="Times New Roman" w:hAnsi="Times New Roman" w:eastAsia="宋体"/>
      <w:b/>
      <w:bCs/>
      <w:sz w:val="21"/>
      <w:szCs w:val="32"/>
    </w:rPr>
  </w:style>
  <w:style w:type="paragraph" w:styleId="6">
    <w:name w:val="heading 4"/>
    <w:basedOn w:val="1"/>
    <w:next w:val="1"/>
    <w:qFormat/>
    <w:uiPriority w:val="0"/>
    <w:pPr>
      <w:keepNext/>
      <w:keepLines/>
      <w:tabs>
        <w:tab w:val="left" w:pos="851"/>
      </w:tabs>
      <w:spacing w:before="280" w:after="290" w:line="374" w:lineRule="auto"/>
      <w:ind w:left="851" w:hanging="851"/>
      <w:outlineLvl w:val="3"/>
    </w:pPr>
    <w:rPr>
      <w:rFonts w:ascii="Arial" w:hAnsi="Arial" w:eastAsia="黑体"/>
      <w:b/>
      <w:sz w:val="28"/>
      <w:szCs w:val="20"/>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widowControl/>
      <w:spacing w:after="120"/>
      <w:jc w:val="left"/>
    </w:pPr>
  </w:style>
  <w:style w:type="paragraph" w:styleId="8">
    <w:name w:val="Normal Indent"/>
    <w:basedOn w:val="1"/>
    <w:qFormat/>
    <w:uiPriority w:val="0"/>
    <w:pPr>
      <w:ind w:firstLine="420"/>
    </w:pPr>
    <w:rPr>
      <w:rFonts w:ascii="宋体" w:hAnsi="Courier New"/>
      <w:szCs w:val="20"/>
    </w:rPr>
  </w:style>
  <w:style w:type="paragraph" w:styleId="9">
    <w:name w:val="annotation text"/>
    <w:basedOn w:val="1"/>
    <w:qFormat/>
    <w:uiPriority w:val="0"/>
    <w:pPr>
      <w:jc w:val="left"/>
    </w:pPr>
  </w:style>
  <w:style w:type="paragraph" w:styleId="10">
    <w:name w:val="Body Text Indent"/>
    <w:basedOn w:val="1"/>
    <w:qFormat/>
    <w:uiPriority w:val="99"/>
    <w:pPr>
      <w:ind w:firstLine="420" w:firstLineChars="200"/>
    </w:pPr>
  </w:style>
  <w:style w:type="paragraph" w:styleId="11">
    <w:name w:val="Block Text"/>
    <w:basedOn w:val="1"/>
    <w:qFormat/>
    <w:uiPriority w:val="99"/>
    <w:pPr>
      <w:ind w:left="1440" w:leftChars="700" w:right="1440" w:rightChars="700"/>
    </w:pPr>
  </w:style>
  <w:style w:type="paragraph" w:styleId="12">
    <w:name w:val="toc 5"/>
    <w:basedOn w:val="1"/>
    <w:next w:val="1"/>
    <w:qFormat/>
    <w:uiPriority w:val="0"/>
    <w:pPr>
      <w:ind w:left="1680" w:leftChars="800"/>
    </w:pPr>
  </w:style>
  <w:style w:type="paragraph" w:styleId="13">
    <w:name w:val="toc 3"/>
    <w:basedOn w:val="1"/>
    <w:next w:val="1"/>
    <w:qFormat/>
    <w:uiPriority w:val="39"/>
    <w:pPr>
      <w:ind w:left="420"/>
      <w:jc w:val="left"/>
    </w:pPr>
    <w:rPr>
      <w:rFonts w:ascii="Calibri" w:hAnsi="Calibri"/>
      <w:i/>
      <w:iCs/>
      <w:sz w:val="20"/>
      <w:szCs w:val="20"/>
    </w:rPr>
  </w:style>
  <w:style w:type="paragraph" w:styleId="14">
    <w:name w:val="Plain Text"/>
    <w:basedOn w:val="1"/>
    <w:next w:val="1"/>
    <w:qFormat/>
    <w:uiPriority w:val="99"/>
    <w:rPr>
      <w:rFonts w:ascii="宋体" w:hAnsi="Courier New" w:cs="Courier New"/>
      <w:szCs w:val="21"/>
    </w:rPr>
  </w:style>
  <w:style w:type="paragraph" w:styleId="15">
    <w:name w:val="footer"/>
    <w:basedOn w:val="1"/>
    <w:next w:val="1"/>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qFormat/>
    <w:uiPriority w:val="39"/>
    <w:rPr>
      <w:sz w:val="24"/>
    </w:rPr>
  </w:style>
  <w:style w:type="paragraph" w:styleId="18">
    <w:name w:val="toc 4"/>
    <w:basedOn w:val="1"/>
    <w:next w:val="1"/>
    <w:qFormat/>
    <w:uiPriority w:val="0"/>
    <w:pPr>
      <w:ind w:left="630"/>
      <w:jc w:val="left"/>
    </w:pPr>
    <w:rPr>
      <w:sz w:val="18"/>
      <w:szCs w:val="18"/>
    </w:rPr>
  </w:style>
  <w:style w:type="paragraph" w:styleId="19">
    <w:name w:val="toc 2"/>
    <w:basedOn w:val="1"/>
    <w:next w:val="1"/>
    <w:qFormat/>
    <w:uiPriority w:val="39"/>
    <w:pPr>
      <w:ind w:left="210"/>
      <w:jc w:val="left"/>
    </w:pPr>
    <w:rPr>
      <w:rFonts w:ascii="Calibri" w:hAnsi="Calibri"/>
      <w:smallCaps/>
      <w:sz w:val="20"/>
      <w:szCs w:val="20"/>
    </w:rPr>
  </w:style>
  <w:style w:type="paragraph" w:styleId="20">
    <w:name w:val="Normal (Web)"/>
    <w:basedOn w:val="1"/>
    <w:qFormat/>
    <w:uiPriority w:val="0"/>
    <w:pPr>
      <w:widowControl/>
      <w:spacing w:before="100" w:beforeAutospacing="1" w:after="100" w:afterAutospacing="1"/>
      <w:jc w:val="left"/>
    </w:pPr>
    <w:rPr>
      <w:rFonts w:ascii="宋体" w:hAnsi="宋体"/>
      <w:kern w:val="0"/>
      <w:sz w:val="24"/>
    </w:rPr>
  </w:style>
  <w:style w:type="paragraph" w:styleId="21">
    <w:name w:val="Body Text First Indent"/>
    <w:basedOn w:val="2"/>
    <w:qFormat/>
    <w:uiPriority w:val="0"/>
    <w:pPr>
      <w:widowControl w:val="0"/>
      <w:ind w:firstLine="420" w:firstLineChars="100"/>
      <w:jc w:val="both"/>
    </w:pPr>
  </w:style>
  <w:style w:type="paragraph" w:styleId="22">
    <w:name w:val="Body Text First Indent 2"/>
    <w:basedOn w:val="10"/>
    <w:next w:val="1"/>
    <w:qFormat/>
    <w:uiPriority w:val="99"/>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0"/>
    <w:rPr>
      <w:b/>
    </w:rPr>
  </w:style>
  <w:style w:type="character" w:styleId="27">
    <w:name w:val="Hyperlink"/>
    <w:basedOn w:val="25"/>
    <w:qFormat/>
    <w:uiPriority w:val="99"/>
    <w:rPr>
      <w:rFonts w:eastAsia="仿宋_GB2312"/>
      <w:bCs/>
    </w:rPr>
  </w:style>
  <w:style w:type="paragraph" w:customStyle="1" w:styleId="28">
    <w:name w:val="样式 10 磅"/>
    <w:next w:val="1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
    <w:name w:val="Default"/>
    <w:qFormat/>
    <w:uiPriority w:val="0"/>
    <w:pPr>
      <w:widowControl w:val="0"/>
      <w:autoSpaceDE w:val="0"/>
      <w:autoSpaceDN w:val="0"/>
      <w:adjustRightInd w:val="0"/>
    </w:pPr>
    <w:rPr>
      <w:rFonts w:ascii="Sim Sun" w:hAnsi="Times New Roman" w:eastAsia="Sim Sun" w:cs="Sim Sun"/>
      <w:color w:val="000000"/>
      <w:sz w:val="24"/>
      <w:szCs w:val="24"/>
      <w:lang w:val="en-US" w:eastAsia="zh-CN" w:bidi="ar-SA"/>
    </w:rPr>
  </w:style>
  <w:style w:type="paragraph" w:customStyle="1" w:styleId="30">
    <w:name w:val="title1"/>
    <w:basedOn w:val="1"/>
    <w:qFormat/>
    <w:uiPriority w:val="0"/>
    <w:pPr>
      <w:widowControl/>
      <w:spacing w:before="100" w:beforeAutospacing="1" w:after="100" w:afterAutospacing="1"/>
      <w:jc w:val="left"/>
    </w:pPr>
    <w:rPr>
      <w:rFonts w:ascii="宋体" w:hAnsi="宋体" w:cs="宋体"/>
      <w:kern w:val="0"/>
      <w:sz w:val="24"/>
    </w:rPr>
  </w:style>
  <w:style w:type="paragraph" w:customStyle="1" w:styleId="31">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styleId="32">
    <w:name w:val="List Paragraph"/>
    <w:basedOn w:val="1"/>
    <w:qFormat/>
    <w:uiPriority w:val="34"/>
    <w:pPr>
      <w:ind w:firstLine="420" w:firstLineChars="200"/>
    </w:pPr>
  </w:style>
  <w:style w:type="paragraph" w:customStyle="1" w:styleId="33">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Cs w:val="20"/>
    </w:rPr>
  </w:style>
  <w:style w:type="paragraph" w:customStyle="1" w:styleId="34">
    <w:name w:val="WPSOffice手动目录 1"/>
    <w:qFormat/>
    <w:uiPriority w:val="0"/>
    <w:rPr>
      <w:rFonts w:ascii="Times New Roman" w:hAnsi="Times New Roman" w:eastAsia="宋体" w:cs="Times New Roman"/>
      <w:lang w:val="en-US" w:eastAsia="zh-CN" w:bidi="ar-SA"/>
    </w:rPr>
  </w:style>
  <w:style w:type="character" w:customStyle="1" w:styleId="35">
    <w:name w:val="font21"/>
    <w:basedOn w:val="25"/>
    <w:qFormat/>
    <w:uiPriority w:val="0"/>
    <w:rPr>
      <w:rFonts w:hint="eastAsia" w:ascii="宋体" w:hAnsi="宋体" w:eastAsia="宋体" w:cs="宋体"/>
      <w:color w:val="000000"/>
      <w:sz w:val="22"/>
      <w:szCs w:val="22"/>
      <w:u w:val="none"/>
    </w:rPr>
  </w:style>
  <w:style w:type="character" w:customStyle="1" w:styleId="36">
    <w:name w:val="font01"/>
    <w:basedOn w:val="25"/>
    <w:qFormat/>
    <w:uiPriority w:val="0"/>
    <w:rPr>
      <w:rFonts w:hint="eastAsia" w:ascii="宋体" w:hAnsi="宋体" w:eastAsia="宋体" w:cs="宋体"/>
      <w:color w:val="000000"/>
      <w:sz w:val="20"/>
      <w:szCs w:val="20"/>
      <w:u w:val="none"/>
    </w:rPr>
  </w:style>
  <w:style w:type="character" w:customStyle="1" w:styleId="37">
    <w:name w:val="font81"/>
    <w:basedOn w:val="25"/>
    <w:qFormat/>
    <w:uiPriority w:val="0"/>
    <w:rPr>
      <w:rFonts w:hint="default" w:ascii="Times New Roman" w:hAnsi="Times New Roman" w:cs="Times New Roman"/>
      <w:color w:val="000000"/>
      <w:sz w:val="20"/>
      <w:szCs w:val="20"/>
      <w:u w:val="none"/>
    </w:rPr>
  </w:style>
  <w:style w:type="character" w:customStyle="1" w:styleId="38">
    <w:name w:val="font112"/>
    <w:basedOn w:val="25"/>
    <w:qFormat/>
    <w:uiPriority w:val="0"/>
    <w:rPr>
      <w:rFonts w:hint="eastAsia" w:ascii="宋体" w:hAnsi="宋体" w:eastAsia="宋体" w:cs="宋体"/>
      <w:b/>
      <w:bCs/>
      <w:color w:val="000000"/>
      <w:sz w:val="20"/>
      <w:szCs w:val="20"/>
      <w:u w:val="none"/>
    </w:rPr>
  </w:style>
  <w:style w:type="character" w:customStyle="1" w:styleId="39">
    <w:name w:val="font121"/>
    <w:basedOn w:val="25"/>
    <w:qFormat/>
    <w:uiPriority w:val="0"/>
    <w:rPr>
      <w:rFonts w:ascii="宋体" w:hAnsi="宋体" w:eastAsia="宋体" w:cs="宋体"/>
      <w:color w:val="000000"/>
      <w:sz w:val="20"/>
      <w:szCs w:val="20"/>
      <w:u w:val="none"/>
    </w:rPr>
  </w:style>
  <w:style w:type="character" w:customStyle="1" w:styleId="40">
    <w:name w:val="textcontents"/>
    <w:qFormat/>
    <w:uiPriority w:val="0"/>
    <w:rPr>
      <w:rFonts w:cs="Times New Roman"/>
    </w:rPr>
  </w:style>
  <w:style w:type="character" w:customStyle="1" w:styleId="41">
    <w:name w:val="font101"/>
    <w:basedOn w:val="25"/>
    <w:qFormat/>
    <w:uiPriority w:val="0"/>
    <w:rPr>
      <w:rFonts w:hint="eastAsia" w:ascii="宋体" w:hAnsi="宋体" w:eastAsia="宋体" w:cs="宋体"/>
      <w:b/>
      <w:bCs/>
      <w:color w:val="000000"/>
      <w:sz w:val="32"/>
      <w:szCs w:val="32"/>
      <w:u w:val="none"/>
    </w:rPr>
  </w:style>
  <w:style w:type="character" w:customStyle="1" w:styleId="42">
    <w:name w:val="font71"/>
    <w:basedOn w:val="25"/>
    <w:qFormat/>
    <w:uiPriority w:val="0"/>
    <w:rPr>
      <w:rFonts w:hint="eastAsia" w:ascii="宋体" w:hAnsi="宋体" w:eastAsia="宋体" w:cs="宋体"/>
      <w:color w:val="000000"/>
      <w:sz w:val="20"/>
      <w:szCs w:val="20"/>
      <w:u w:val="none"/>
    </w:rPr>
  </w:style>
  <w:style w:type="character" w:customStyle="1" w:styleId="43">
    <w:name w:val="font31"/>
    <w:basedOn w:val="25"/>
    <w:qFormat/>
    <w:uiPriority w:val="0"/>
    <w:rPr>
      <w:rFonts w:hint="default" w:ascii="Times New Roman" w:hAnsi="Times New Roman" w:cs="Times New Roman"/>
      <w:color w:val="000000"/>
      <w:sz w:val="20"/>
      <w:szCs w:val="20"/>
      <w:u w:val="none"/>
    </w:rPr>
  </w:style>
  <w:style w:type="character" w:customStyle="1" w:styleId="44">
    <w:name w:val="font11"/>
    <w:basedOn w:val="25"/>
    <w:qFormat/>
    <w:uiPriority w:val="0"/>
    <w:rPr>
      <w:rFonts w:hint="eastAsia" w:ascii="宋体" w:hAnsi="宋体" w:eastAsia="宋体" w:cs="宋体"/>
      <w:b/>
      <w:bCs/>
      <w:color w:val="000000"/>
      <w:sz w:val="22"/>
      <w:szCs w:val="22"/>
      <w:u w:val="none"/>
    </w:rPr>
  </w:style>
  <w:style w:type="character" w:customStyle="1" w:styleId="45">
    <w:name w:val="font91"/>
    <w:basedOn w:val="25"/>
    <w:qFormat/>
    <w:uiPriority w:val="0"/>
    <w:rPr>
      <w:rFonts w:hint="eastAsia" w:ascii="宋体" w:hAnsi="宋体" w:eastAsia="宋体" w:cs="宋体"/>
      <w:color w:val="000000"/>
      <w:sz w:val="20"/>
      <w:szCs w:val="20"/>
      <w:u w:val="none"/>
    </w:rPr>
  </w:style>
  <w:style w:type="character" w:customStyle="1" w:styleId="46">
    <w:name w:val="font61"/>
    <w:basedOn w:val="25"/>
    <w:qFormat/>
    <w:uiPriority w:val="0"/>
    <w:rPr>
      <w:rFonts w:hint="eastAsia" w:ascii="宋体" w:hAnsi="宋体" w:eastAsia="宋体" w:cs="宋体"/>
      <w:color w:val="000000"/>
      <w:sz w:val="20"/>
      <w:szCs w:val="20"/>
      <w:u w:val="none"/>
    </w:rPr>
  </w:style>
  <w:style w:type="character" w:customStyle="1" w:styleId="47">
    <w:name w:val="font51"/>
    <w:basedOn w:val="25"/>
    <w:qFormat/>
    <w:uiPriority w:val="0"/>
    <w:rPr>
      <w:rFonts w:hint="default" w:ascii="Times New Roman" w:hAnsi="Times New Roman" w:cs="Times New Roman"/>
      <w:color w:val="000000"/>
      <w:sz w:val="20"/>
      <w:szCs w:val="20"/>
      <w:u w:val="none"/>
    </w:rPr>
  </w:style>
  <w:style w:type="paragraph" w:customStyle="1" w:styleId="48">
    <w:name w:val="正文缩进2字符"/>
    <w:basedOn w:val="1"/>
    <w:qFormat/>
    <w:uiPriority w:val="0"/>
    <w:pPr>
      <w:ind w:firstLine="480" w:firstLineChars="200"/>
    </w:pPr>
    <w:rPr>
      <w:rFonts w:cs="宋体"/>
    </w:rPr>
  </w:style>
  <w:style w:type="paragraph" w:customStyle="1" w:styleId="49">
    <w:name w:val="正文 A_0"/>
    <w:qFormat/>
    <w:uiPriority w:val="0"/>
    <w:pPr>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 w:type="paragraph" w:customStyle="1" w:styleId="50">
    <w:name w:val="正文_28"/>
    <w:qFormat/>
    <w:uiPriority w:val="0"/>
    <w:rPr>
      <w:rFonts w:ascii="Times New Roman" w:hAnsi="Times New Roman" w:eastAsia="宋体" w:cs="Times New Roman"/>
      <w:sz w:val="24"/>
      <w:szCs w:val="24"/>
      <w:lang w:val="en-US" w:eastAsia="en-US" w:bidi="ar-SA"/>
    </w:rPr>
  </w:style>
  <w:style w:type="paragraph" w:customStyle="1" w:styleId="51">
    <w:name w:val="列出段落1"/>
    <w:basedOn w:val="1"/>
    <w:qFormat/>
    <w:uiPriority w:val="34"/>
    <w:pPr>
      <w:widowControl/>
      <w:spacing w:after="249" w:line="259" w:lineRule="auto"/>
      <w:ind w:left="579" w:firstLine="420" w:firstLineChars="200"/>
      <w:jc w:val="left"/>
    </w:pPr>
    <w:rPr>
      <w:rFonts w:ascii="微软雅黑" w:hAnsi="微软雅黑" w:eastAsia="微软雅黑" w:cs="微软雅黑"/>
      <w:color w:val="000000"/>
      <w:sz w:val="23"/>
      <w:szCs w:val="22"/>
    </w:rPr>
  </w:style>
  <w:style w:type="paragraph" w:customStyle="1" w:styleId="52">
    <w:name w:val="列表段落1"/>
    <w:basedOn w:val="1"/>
    <w:qFormat/>
    <w:uiPriority w:val="34"/>
    <w:pPr>
      <w:ind w:firstLine="420" w:firstLineChars="200"/>
    </w:pPr>
  </w:style>
  <w:style w:type="paragraph" w:customStyle="1" w:styleId="53">
    <w:name w:val="标书正文:  0.74 厘米"/>
    <w:basedOn w:val="1"/>
    <w:qFormat/>
    <w:uiPriority w:val="0"/>
    <w:pPr>
      <w:widowControl/>
      <w:snapToGrid w:val="0"/>
      <w:spacing w:line="360" w:lineRule="auto"/>
      <w:ind w:firstLine="420"/>
      <w:jc w:val="left"/>
    </w:pPr>
    <w:rPr>
      <w:sz w:val="24"/>
      <w:szCs w:val="20"/>
    </w:rPr>
  </w:style>
  <w:style w:type="paragraph" w:styleId="54">
    <w:name w:val="No Spacing"/>
    <w:qFormat/>
    <w:uiPriority w:val="1"/>
    <w:pPr>
      <w:widowControl w:val="0"/>
      <w:adjustRightInd w:val="0"/>
      <w:ind w:firstLine="200" w:firstLineChars="200"/>
      <w:jc w:val="both"/>
      <w:textAlignment w:val="baseline"/>
    </w:pPr>
    <w:rPr>
      <w:rFonts w:ascii="Times New Roman" w:hAnsi="Times New Roman" w:eastAsia="宋体" w:cs="Times New Roman"/>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93</Pages>
  <Words>50158</Words>
  <Characters>54523</Characters>
  <Lines>282</Lines>
  <Paragraphs>79</Paragraphs>
  <TotalTime>0</TotalTime>
  <ScaleCrop>false</ScaleCrop>
  <LinksUpToDate>false</LinksUpToDate>
  <CharactersWithSpaces>57338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2021-11-15T04:50:00Z</dcterms:created>
  <dc:creator>You fire¥no  fire</dc:creator>
  <cp:lastModifiedBy>You fire¥no  fire</cp:lastModifiedBy>
  <cp:lastPrinted>2023-12-12T08:03:24Z</cp:lastPrinted>
  <dcterms:modified xsi:type="dcterms:W3CDTF">2023-12-12T08:03:27Z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E887BF3DDC8840CDAB5A2950B6E0D06D_13</vt:lpwstr>
  </property>
</Properties>
</file>