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0" w:firstLineChars="200"/>
        <w:jc w:val="center"/>
        <w:rPr>
          <w:rFonts w:hint="default" w:ascii="仿宋" w:hAnsi="仿宋" w:eastAsia="仿宋" w:cs="仿宋"/>
          <w:sz w:val="24"/>
          <w:szCs w:val="24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sz w:val="24"/>
          <w:szCs w:val="24"/>
          <w:lang w:val="en-US" w:eastAsia="zh-CN" w:bidi="ar"/>
        </w:rPr>
        <w:t>采购需求</w:t>
      </w:r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 w:bidi="ar"/>
        </w:rPr>
        <w:t>（具体内容详见招标文件）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bidi="ar"/>
        </w:rPr>
      </w:pPr>
      <w:r>
        <w:rPr>
          <w:rFonts w:hint="eastAsia" w:ascii="仿宋" w:hAnsi="仿宋" w:eastAsia="仿宋" w:cs="仿宋"/>
          <w:sz w:val="24"/>
          <w:szCs w:val="24"/>
          <w:lang w:bidi="ar"/>
        </w:rPr>
        <w:t>宝鸡青铜器博物院数据中心建设利用现有机房空间，进行运行设备的部署。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bidi="ar"/>
        </w:rPr>
      </w:pPr>
      <w:r>
        <w:rPr>
          <w:rFonts w:hint="eastAsia" w:ascii="仿宋" w:hAnsi="仿宋" w:eastAsia="仿宋" w:cs="仿宋"/>
          <w:sz w:val="24"/>
          <w:szCs w:val="24"/>
          <w:lang w:bidi="ar"/>
        </w:rPr>
        <w:t>拟建设宝鸡青铜器博物院数据中心，占用现有机房面积约5平米，部署标准42U服务器机柜。设备机柜用于放置算法服务器、数据库服务器、交换机、PDU等重要设备；动力部分放置UPS不间断电源、电池等。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ODUxOWUwYzk3ZmZmNmVkOWJlMjQ1NzZlNGMwZTcifQ=="/>
  </w:docVars>
  <w:rsids>
    <w:rsidRoot w:val="1C30165D"/>
    <w:rsid w:val="1C30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128</Characters>
  <Lines>0</Lines>
  <Paragraphs>0</Paragraphs>
  <TotalTime>0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2023-05-04T03:48:00Z</dcterms:created>
  <dc:creator>文件请备份丢失不负责</dc:creator>
  <cp:lastModifiedBy>文件请备份丢失不负责</cp:lastModifiedBy>
  <dcterms:modified xsi:type="dcterms:W3CDTF">2023-05-04T03:48:51Z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07863D1E209D4CF0ADB7B8D87A3C8B8A_11</vt:lpwstr>
  </property>
</Properties>
</file>