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铜川市区级国土空间总体规划编制项目</w:t>
      </w:r>
    </w:p>
    <w:p>
      <w:pPr>
        <w:pStyle w:val="null3"/>
        <w:jc w:val="center"/>
        <w:outlineLvl w:val="2"/>
      </w:pPr>
      <w:r>
        <w:rPr>
          <w:b/>
          <w:sz w:val="28"/>
        </w:rPr>
        <w:t>采购项目编号：</w:t>
      </w:r>
      <w:r>
        <w:rPr>
          <w:b/>
          <w:sz w:val="28"/>
        </w:rPr>
        <w:t>HXZBTC2023-015</w:t>
      </w:r>
      <w:r>
        <w:br/>
      </w:r>
      <w:r>
        <w:br/>
      </w:r>
      <w:r>
        <w:br/>
      </w:r>
    </w:p>
    <w:p>
      <w:pPr>
        <w:pStyle w:val="null3"/>
        <w:jc w:val="center"/>
        <w:outlineLvl w:val="2"/>
      </w:pPr>
      <w:r>
        <w:rPr>
          <w:b/>
          <w:sz w:val="28"/>
        </w:rPr>
        <w:t>铜川市自然资源局</w:t>
      </w:r>
    </w:p>
    <w:p>
      <w:pPr>
        <w:pStyle w:val="null3"/>
        <w:jc w:val="center"/>
        <w:outlineLvl w:val="2"/>
      </w:pPr>
      <w:r>
        <w:rPr>
          <w:b/>
          <w:sz w:val="28"/>
        </w:rPr>
        <w:t>陕西汇兴项目管理有限公司</w:t>
      </w:r>
      <w:r>
        <w:rPr>
          <w:b/>
          <w:sz w:val="28"/>
        </w:rPr>
        <w:t>共同编制</w:t>
      </w:r>
    </w:p>
    <w:p>
      <w:pPr>
        <w:pStyle w:val="null3"/>
        <w:jc w:val="center"/>
        <w:outlineLvl w:val="2"/>
      </w:pPr>
      <w:r>
        <w:rPr>
          <w:b/>
          <w:sz w:val="28"/>
        </w:rPr>
        <w:t>2023年12月14日</w:t>
      </w:r>
    </w:p>
    <w:p>
      <w:pPr>
        <w:pStyle w:val="null3"/>
      </w:pPr>
      <w:r>
        <w:rPr/>
        <w:t xml:space="preserve"> </w:t>
      </w:r>
    </w:p>
    <w:p>
      <w:pPr>
        <w:pStyle w:val="null3"/>
        <w:jc w:val="center"/>
        <w:outlineLvl w:val="1"/>
      </w:pPr>
      <w:r>
        <w:rPr>
          <w:b/>
          <w:sz w:val="36"/>
        </w:rPr>
        <w:t>第一章 投标邀请</w:t>
      </w:r>
    </w:p>
    <w:p>
      <w:pPr>
        <w:pStyle w:val="null3"/>
        <w:ind w:firstLine="480"/>
      </w:pPr>
      <w:r>
        <w:rPr/>
        <w:t>陕西汇兴项目管理有限公司</w:t>
      </w:r>
      <w:r>
        <w:rPr/>
        <w:t>（以下简称“代理机构”）受</w:t>
      </w:r>
      <w:r>
        <w:rPr/>
        <w:t>铜川市自然资源局</w:t>
      </w:r>
      <w:r>
        <w:rPr/>
        <w:t>委托，拟对</w:t>
      </w:r>
      <w:r>
        <w:rPr/>
        <w:t>铜川市区级国土空间总体规划编制项目</w:t>
      </w:r>
      <w:r>
        <w:rPr/>
        <w:t>进行国内公开招标，兹邀请符合本次招标要求的供应商参加投标。</w:t>
      </w:r>
    </w:p>
    <w:p>
      <w:pPr>
        <w:pStyle w:val="null3"/>
        <w:outlineLvl w:val="2"/>
      </w:pPr>
      <w:r>
        <w:rPr>
          <w:b/>
          <w:sz w:val="28"/>
        </w:rPr>
        <w:t>一、采购项目编号：</w:t>
      </w:r>
      <w:r>
        <w:rPr>
          <w:b/>
          <w:sz w:val="28"/>
        </w:rPr>
        <w:t>HXZBTC2023-015</w:t>
      </w:r>
    </w:p>
    <w:p>
      <w:pPr>
        <w:pStyle w:val="null3"/>
        <w:outlineLvl w:val="2"/>
      </w:pPr>
      <w:r>
        <w:rPr>
          <w:b/>
          <w:sz w:val="28"/>
        </w:rPr>
        <w:t>二、采购项目名称：</w:t>
      </w:r>
      <w:r>
        <w:rPr>
          <w:b/>
          <w:sz w:val="28"/>
        </w:rPr>
        <w:t>铜川市区级国土空间总体规划编制项目</w:t>
      </w:r>
    </w:p>
    <w:p>
      <w:pPr>
        <w:pStyle w:val="null3"/>
        <w:outlineLvl w:val="2"/>
      </w:pPr>
      <w:r>
        <w:rPr>
          <w:b/>
          <w:sz w:val="28"/>
        </w:rPr>
        <w:t>三、招标项目简介</w:t>
      </w:r>
    </w:p>
    <w:p>
      <w:pPr>
        <w:pStyle w:val="null3"/>
        <w:ind w:firstLine="480"/>
      </w:pPr>
      <w:r>
        <w:rPr/>
        <w:t>铜川市区级国土空间总体规划编制项目主要是开展铜川市区级国土空间总体规划耀州(新区)、王益、印台分区规划编制等工作。</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1、本项目的特定资格要求：1、具有独立承担民事责任能力的法人、其他组织或自然人，并出具合法有效的营业执照或事业单位法人证书等国家规定的相关证明，自然人参与的提供其身份证明。 2、财务状况报告：提供具有财务审计资质单位出具的2022年度财务报告或投标前六个月内其基本账户银行出具的资信证明或政府采购信用担保机构出具的投标担保函。 3、税收交纳证明：提供截止至投标时间前六个月内任意一个月的缴费凭据；（依法免税的供应商应提供相关文件证明）。 4、社会保障资金交纳证明：提供截止至投标时间前六个月内任意一个月的社保缴费凭据或社保机构开具的社会保险参保缴费情况证明；（依法不需要交纳社会保障资金的供应商应提供相关证明）。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7、具有行政主管部门颁发的城乡规划甲级资质和土地规划乙级及以上资质； 8、拟派项目负责人具有高级技术职称； 9、供应商应授权合法的人员参加招标全过程，其中法定代表直接参加招标的，须出具身份证，并与营业执照上信息一致。授权代表参加招标的，须出具法定代表人授权委托书及授权代表身份证。 ； 10、供应商不得为“信用中国(www.creditchina.gov.cn)”中列入失信被执行人名单的供应商，不得为“中国政府采购网(www.ccgp.gov.cn” 政府采购严重违法失信行为记录名单中被财政部门禁止参加政府采购活动的供应商； 11、本项目接受联合体投标。组成联合体参加投标的，应满足下列要求：（1）、联合体成员不超过2家，联合体各成员方不得再以自己名义独立或加入其他联合体参加本项目招标活动；（2）、联合体各成员必须按文件规定的格式签订联合体协议，明确联合体牵头方和各成员方的主要权利和义务，其成员构成、职责分工等；(3)、以联合体参加的，应提交联合体协议并注明牵头人及各方拟承担的工作和责任，并承诺一旦成立联合体各方将向采购人承担连带责任；(4)、联合体中有同类资质的供应商按照联合体分工承担相同工作的，应当按照资质等级较低的供应商确定资质等级（如有要求）；(5)、联合体牵头人以联合体协议明确为准，牵头人法定代表人或其授权的授权代表负责签署本次招标相关资料，其他联合体各方必须对此予以认可。(6)、以联合体中标的，不得再变更其组织形式及成员构成。</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铜川市自然资源局</w:t>
      </w:r>
    </w:p>
    <w:p>
      <w:pPr>
        <w:pStyle w:val="null3"/>
      </w:pPr>
      <w:r>
        <w:rPr/>
        <w:t xml:space="preserve"> 地址： </w:t>
      </w:r>
      <w:r>
        <w:rPr/>
        <w:t>新区正阳路9号</w:t>
      </w:r>
    </w:p>
    <w:p>
      <w:pPr>
        <w:pStyle w:val="null3"/>
      </w:pPr>
      <w:r>
        <w:rPr/>
        <w:t xml:space="preserve"> 邮编： </w:t>
      </w:r>
      <w:r>
        <w:rPr/>
        <w:t>727031</w:t>
      </w:r>
    </w:p>
    <w:p>
      <w:pPr>
        <w:pStyle w:val="null3"/>
      </w:pPr>
      <w:r>
        <w:rPr/>
        <w:t xml:space="preserve"> 联系人： </w:t>
      </w:r>
      <w:r>
        <w:rPr/>
        <w:t>陈扬</w:t>
      </w:r>
    </w:p>
    <w:p>
      <w:pPr>
        <w:pStyle w:val="null3"/>
      </w:pPr>
      <w:r>
        <w:rPr/>
        <w:t xml:space="preserve"> 联系电话： </w:t>
      </w:r>
      <w:r>
        <w:rPr/>
        <w:t>3185722</w:t>
      </w:r>
    </w:p>
    <w:p>
      <w:pPr>
        <w:pStyle w:val="null3"/>
        <w:outlineLvl w:val="2"/>
      </w:pPr>
      <w:r>
        <w:rPr>
          <w:b/>
          <w:sz w:val="28"/>
        </w:rPr>
        <w:t>代理机构：</w:t>
      </w:r>
      <w:r>
        <w:rPr>
          <w:b/>
          <w:sz w:val="28"/>
        </w:rPr>
        <w:t>陕西汇兴项目管理有限公司</w:t>
      </w:r>
    </w:p>
    <w:p>
      <w:pPr>
        <w:pStyle w:val="null3"/>
      </w:pPr>
      <w:r>
        <w:rPr/>
        <w:t xml:space="preserve"> 地址： </w:t>
      </w:r>
      <w:r>
        <w:rPr/>
        <w:t>陕西省西安市经济技术开发区凤城九路海博广场D座1902室</w:t>
      </w:r>
    </w:p>
    <w:p>
      <w:pPr>
        <w:pStyle w:val="null3"/>
      </w:pPr>
      <w:r>
        <w:rPr/>
        <w:t xml:space="preserve"> 邮编： </w:t>
      </w:r>
      <w:r>
        <w:rPr/>
        <w:t>710000</w:t>
      </w:r>
    </w:p>
    <w:p>
      <w:pPr>
        <w:pStyle w:val="null3"/>
      </w:pPr>
      <w:r>
        <w:rPr/>
        <w:t xml:space="preserve"> 联系人： </w:t>
      </w:r>
      <w:r>
        <w:rPr/>
        <w:t>姜伟</w:t>
      </w:r>
    </w:p>
    <w:p>
      <w:pPr>
        <w:pStyle w:val="null3"/>
      </w:pPr>
      <w:r>
        <w:rPr/>
        <w:t xml:space="preserve"> 联系电话： </w:t>
      </w:r>
      <w:r>
        <w:rPr/>
        <w:t>15209199909</w:t>
      </w:r>
    </w:p>
    <w:p>
      <w:pPr>
        <w:pStyle w:val="null3"/>
        <w:outlineLvl w:val="2"/>
      </w:pPr>
      <w:r>
        <w:rPr>
          <w:b/>
          <w:sz w:val="28"/>
        </w:rPr>
        <w:t>采购监督机构：</w:t>
      </w:r>
      <w:r>
        <w:rPr>
          <w:b/>
          <w:sz w:val="28"/>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采购包1：8,008,900.00元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铜川市自然资源局</w:t>
      </w:r>
      <w:r>
        <w:rPr/>
        <w:t>和</w:t>
      </w:r>
      <w:r>
        <w:rPr/>
        <w:t>陕西汇兴项目管理有限公司</w:t>
      </w:r>
      <w:r>
        <w:rPr/>
        <w:t>享有。对招标文件中供应商参加本次政府采购活动应当具备的条件，招标项目技术、服务、商务及其他要求，评标细则及标准由</w:t>
      </w:r>
      <w:r>
        <w:rPr/>
        <w:t>铜川市自然资源局</w:t>
      </w:r>
      <w:r>
        <w:rPr/>
        <w:t>负责解释。除上述招标文件内容，其他内容由</w:t>
      </w:r>
      <w:r>
        <w:rPr/>
        <w:t>陕西汇兴项目管理有限公司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铜川市自然资源局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陕西汇兴项目管理有限公司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以甲乙双方实际签订合同为准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陕西汇兴项目管理有限公司</w:t>
      </w:r>
      <w:r>
        <w:rPr/>
        <w:t xml:space="preserve"> 负责答复；供应商对除采购需求外的采购文件的询问、质疑由</w:t>
      </w:r>
      <w:r>
        <w:rPr/>
        <w:t>陕西汇兴项目管理有限公司</w:t>
      </w:r>
      <w:r>
        <w:rPr/>
        <w:t xml:space="preserve"> 负责答复；供应商对采购过程、采购结果的询问、质疑由 </w:t>
      </w:r>
      <w:r>
        <w:rPr/>
        <w:t>陕西汇兴项目管理有限公司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联系人：姜伟</w:t>
      </w:r>
    </w:p>
    <w:p>
      <w:pPr>
        <w:pStyle w:val="null3"/>
      </w:pPr>
      <w:r>
        <w:rPr/>
        <w:t>联系电话：15209199909</w:t>
      </w:r>
    </w:p>
    <w:p>
      <w:pPr>
        <w:pStyle w:val="null3"/>
      </w:pPr>
      <w:r>
        <w:rPr/>
        <w:t>地址：铜川市新区金谟西路44号家园二楼</w:t>
      </w:r>
    </w:p>
    <w:p>
      <w:pPr>
        <w:pStyle w:val="null3"/>
      </w:pPr>
      <w:r>
        <w:rPr/>
        <w:t>邮编：727031</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铜川市区级国土空间总体规划编制项目主要是开展铜川市区级国土空间总体规划耀州(新区)、王益、印台分区规划编制工作。</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8,008,900.00</w:t>
      </w:r>
    </w:p>
    <w:p>
      <w:pPr>
        <w:pStyle w:val="null3"/>
      </w:pPr>
      <w:r>
        <w:rPr/>
        <w:t>采购包最高限价（元）: 8,008,900.00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铜川市区级国土空间总体规划编制项目</w:t>
            </w:r>
          </w:p>
        </w:tc>
        <w:tc>
          <w:tcPr>
            <w:tcW w:type="dxa" w:w="831"/>
          </w:tcPr>
          <w:p>
            <w:pPr>
              <w:pStyle w:val="null3"/>
              <w:jc w:val="right"/>
            </w:pPr>
            <w:r>
              <w:rPr/>
              <w:t>1.00</w:t>
            </w:r>
          </w:p>
        </w:tc>
        <w:tc>
          <w:tcPr>
            <w:tcW w:type="dxa" w:w="831"/>
          </w:tcPr>
          <w:p>
            <w:pPr>
              <w:pStyle w:val="null3"/>
              <w:jc w:val="right"/>
            </w:pPr>
            <w:r>
              <w:rPr/>
              <w:t>8,008,900.00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标的名称：铜川市区级国土空间总体规划编制项目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小标宋简体" w:hAnsi="方正小标宋简体" w:cs="方正小标宋简体" w:eastAsia="方正小标宋简体"/>
                <w:sz w:val="36"/>
              </w:rPr>
              <w:t>铜川市区级国土空间总体规划编制项目</w:t>
            </w:r>
          </w:p>
          <w:p>
            <w:pPr>
              <w:pStyle w:val="null3"/>
              <w:jc w:val="center"/>
            </w:pPr>
            <w:r>
              <w:rPr>
                <w:rFonts w:ascii="方正小标宋简体" w:hAnsi="方正小标宋简体" w:cs="方正小标宋简体" w:eastAsia="方正小标宋简体"/>
                <w:sz w:val="36"/>
              </w:rPr>
              <w:t>采购需求</w:t>
            </w:r>
          </w:p>
          <w:p>
            <w:pPr>
              <w:pStyle w:val="null3"/>
              <w:ind w:firstLine="480"/>
              <w:jc w:val="both"/>
            </w:pPr>
            <w:r>
              <w:rPr>
                <w:rFonts w:ascii="&quot;times new roman&quot;" w:hAnsi="&quot;times new roman&quot;" w:cs="&quot;times new roman&quot;" w:eastAsia="&quot;times new roman&quot;"/>
                <w:sz w:val="21"/>
              </w:rPr>
              <w:t xml:space="preserve"> </w:t>
            </w:r>
          </w:p>
          <w:p>
            <w:pPr>
              <w:pStyle w:val="null3"/>
              <w:ind w:firstLine="480"/>
              <w:jc w:val="both"/>
            </w:pPr>
            <w:r>
              <w:rPr>
                <w:rFonts w:ascii="黑体" w:hAnsi="黑体" w:cs="黑体" w:eastAsia="黑体"/>
                <w:sz w:val="24"/>
              </w:rPr>
              <w:t>一、工作背景</w:t>
            </w:r>
          </w:p>
          <w:p>
            <w:pPr>
              <w:pStyle w:val="null3"/>
              <w:ind w:firstLine="480"/>
              <w:jc w:val="both"/>
            </w:pPr>
            <w:r>
              <w:rPr>
                <w:rFonts w:ascii="仿宋_gb2312" w:hAnsi="仿宋_gb2312" w:cs="仿宋_gb2312" w:eastAsia="仿宋_gb2312"/>
                <w:sz w:val="24"/>
              </w:rPr>
              <w:t>按照《中共中央国务院关于建立国土空间规划体系并监督实施的若干意见》（中发〔</w:t>
            </w:r>
            <w:r>
              <w:rPr>
                <w:rFonts w:ascii="仿宋_gb2312" w:hAnsi="仿宋_gb2312" w:cs="仿宋_gb2312" w:eastAsia="仿宋_gb2312"/>
                <w:sz w:val="24"/>
              </w:rPr>
              <w:t>2019〕18号）及《自然资源部关于全面开展国土空间规划工作的通知》（自然资发〔2019〕87号）要求，启动编制全国、省级、市县、乡镇各级国土空间规划。按照陕西省县级国土空间总体规划审查报批办法，区级国土空间总体规划与市级国土空间总体规划同步批复。为落实中省相关要求，现启动铜川市区级国土空间总体规划耀州</w:t>
            </w:r>
            <w:r>
              <w:rPr>
                <w:rFonts w:ascii="仿宋_gb2312" w:hAnsi="仿宋_gb2312" w:cs="仿宋_gb2312" w:eastAsia="仿宋_gb2312"/>
                <w:sz w:val="24"/>
              </w:rPr>
              <w:t>（</w:t>
            </w:r>
            <w:r>
              <w:rPr>
                <w:rFonts w:ascii="仿宋_gb2312" w:hAnsi="仿宋_gb2312" w:cs="仿宋_gb2312" w:eastAsia="仿宋_gb2312"/>
                <w:sz w:val="24"/>
              </w:rPr>
              <w:t>新区</w:t>
            </w:r>
            <w:r>
              <w:rPr>
                <w:rFonts w:ascii="仿宋_gb2312" w:hAnsi="仿宋_gb2312" w:cs="仿宋_gb2312" w:eastAsia="仿宋_gb2312"/>
                <w:sz w:val="24"/>
              </w:rPr>
              <w:t>）</w:t>
            </w:r>
            <w:r>
              <w:rPr>
                <w:rFonts w:ascii="仿宋_gb2312" w:hAnsi="仿宋_gb2312" w:cs="仿宋_gb2312" w:eastAsia="仿宋_gb2312"/>
                <w:sz w:val="24"/>
              </w:rPr>
              <w:t>、王益、印台分区规划编制工作。</w:t>
            </w:r>
          </w:p>
          <w:p>
            <w:pPr>
              <w:pStyle w:val="null3"/>
              <w:ind w:firstLine="480"/>
              <w:jc w:val="both"/>
            </w:pPr>
            <w:r>
              <w:rPr>
                <w:rFonts w:ascii="黑体" w:hAnsi="黑体" w:cs="黑体" w:eastAsia="黑体"/>
                <w:sz w:val="24"/>
              </w:rPr>
              <w:t>二、工作范围</w:t>
            </w:r>
          </w:p>
          <w:p>
            <w:pPr>
              <w:pStyle w:val="null3"/>
              <w:ind w:firstLine="480"/>
              <w:jc w:val="both"/>
            </w:pPr>
            <w:r>
              <w:rPr>
                <w:rFonts w:ascii="仿宋_gb2312" w:hAnsi="仿宋_gb2312" w:cs="仿宋_gb2312" w:eastAsia="仿宋_gb2312"/>
                <w:sz w:val="24"/>
              </w:rPr>
              <w:t>工作范围包括需要编制</w:t>
            </w:r>
            <w:r>
              <w:rPr>
                <w:rFonts w:ascii="仿宋_gb2312" w:hAnsi="仿宋_gb2312" w:cs="仿宋_gb2312" w:eastAsia="仿宋_gb2312"/>
                <w:sz w:val="24"/>
              </w:rPr>
              <w:t>分区</w:t>
            </w:r>
            <w:r>
              <w:rPr>
                <w:rFonts w:ascii="仿宋_gb2312" w:hAnsi="仿宋_gb2312" w:cs="仿宋_gb2312" w:eastAsia="仿宋_gb2312"/>
                <w:sz w:val="24"/>
              </w:rPr>
              <w:t>国土空间总体规划的铜川市耀州区</w:t>
            </w:r>
            <w:r>
              <w:rPr>
                <w:rFonts w:ascii="仿宋_gb2312" w:hAnsi="仿宋_gb2312" w:cs="仿宋_gb2312" w:eastAsia="仿宋_gb2312"/>
                <w:sz w:val="24"/>
              </w:rPr>
              <w:t>（</w:t>
            </w:r>
            <w:r>
              <w:rPr>
                <w:rFonts w:ascii="仿宋_gb2312" w:hAnsi="仿宋_gb2312" w:cs="仿宋_gb2312" w:eastAsia="仿宋_gb2312"/>
                <w:sz w:val="24"/>
              </w:rPr>
              <w:t>新区</w:t>
            </w:r>
            <w:r>
              <w:rPr>
                <w:rFonts w:ascii="仿宋_gb2312" w:hAnsi="仿宋_gb2312" w:cs="仿宋_gb2312" w:eastAsia="仿宋_gb2312"/>
                <w:sz w:val="24"/>
              </w:rPr>
              <w:t>）</w:t>
            </w:r>
            <w:r>
              <w:rPr>
                <w:rFonts w:ascii="仿宋_gb2312" w:hAnsi="仿宋_gb2312" w:cs="仿宋_gb2312" w:eastAsia="仿宋_gb2312"/>
                <w:sz w:val="24"/>
              </w:rPr>
              <w:t>、王益区、印台区三个区。</w:t>
            </w:r>
          </w:p>
          <w:p>
            <w:pPr>
              <w:pStyle w:val="null3"/>
              <w:ind w:firstLine="480"/>
              <w:jc w:val="both"/>
            </w:pPr>
            <w:r>
              <w:rPr>
                <w:rFonts w:ascii="黑体" w:hAnsi="黑体" w:cs="黑体" w:eastAsia="黑体"/>
                <w:sz w:val="24"/>
              </w:rPr>
              <w:t>三、技术要求</w:t>
            </w:r>
          </w:p>
          <w:p>
            <w:pPr>
              <w:pStyle w:val="null3"/>
              <w:ind w:firstLine="480"/>
              <w:jc w:val="both"/>
            </w:pPr>
            <w:r>
              <w:rPr>
                <w:rFonts w:ascii="仿宋_gb2312" w:hAnsi="仿宋_gb2312" w:cs="仿宋_gb2312" w:eastAsia="仿宋_gb2312"/>
                <w:sz w:val="24"/>
              </w:rPr>
              <w:t>现启动铜川市区级国土空间总体规划耀州</w:t>
            </w:r>
            <w:r>
              <w:rPr>
                <w:rFonts w:ascii="仿宋_gb2312" w:hAnsi="仿宋_gb2312" w:cs="仿宋_gb2312" w:eastAsia="仿宋_gb2312"/>
                <w:sz w:val="24"/>
              </w:rPr>
              <w:t>（</w:t>
            </w:r>
            <w:r>
              <w:rPr>
                <w:rFonts w:ascii="仿宋_gb2312" w:hAnsi="仿宋_gb2312" w:cs="仿宋_gb2312" w:eastAsia="仿宋_gb2312"/>
                <w:sz w:val="24"/>
              </w:rPr>
              <w:t>新区</w:t>
            </w:r>
            <w:r>
              <w:rPr>
                <w:rFonts w:ascii="仿宋_gb2312" w:hAnsi="仿宋_gb2312" w:cs="仿宋_gb2312" w:eastAsia="仿宋_gb2312"/>
                <w:sz w:val="24"/>
              </w:rPr>
              <w:t>）</w:t>
            </w:r>
            <w:r>
              <w:rPr>
                <w:rFonts w:ascii="仿宋_gb2312" w:hAnsi="仿宋_gb2312" w:cs="仿宋_gb2312" w:eastAsia="仿宋_gb2312"/>
                <w:sz w:val="24"/>
              </w:rPr>
              <w:t>、王益、印台分区规划是铜川市各区实现经济社会高质量发展与资源型城市转型的重要空间基础，是编制相关专项规划、详细规划、乡镇级国土空间规划和开展各类开发保护活动、实施国土空间用途管制的依据。根据《陕西省县级国土空间总体规划编制技术规范》，规划主要内容包括但不限于规划基础分析、规划目标和发展战略、总体格局、资源开发保护利用、国土综合整治和生态修复、国土空间支撑体系、历史文化保护、城乡特色风貌塑造、中心城区规划、规划实施保障等，其中中心城区规划包括但不限于中心城区性质和职能、发展规模、空间结构、用地布局、住房保障、交通组织、公共服务设施、市政基础设施、公共空间与蓝绿网络、地下空间、城市更新、风貌引导、公共安全与综合防灾等内容。</w:t>
            </w:r>
          </w:p>
          <w:p>
            <w:pPr>
              <w:pStyle w:val="null3"/>
              <w:ind w:firstLine="480"/>
              <w:jc w:val="both"/>
            </w:pPr>
            <w:r>
              <w:rPr>
                <w:rFonts w:ascii="黑体" w:hAnsi="黑体" w:cs="黑体" w:eastAsia="黑体"/>
                <w:sz w:val="24"/>
              </w:rPr>
              <w:t>四、成果要求</w:t>
            </w:r>
          </w:p>
          <w:p>
            <w:pPr>
              <w:pStyle w:val="null3"/>
              <w:ind w:firstLine="480"/>
              <w:jc w:val="both"/>
            </w:pPr>
            <w:r>
              <w:rPr>
                <w:rFonts w:ascii="仿宋_gb2312" w:hAnsi="仿宋_gb2312" w:cs="仿宋_gb2312" w:eastAsia="仿宋_gb2312"/>
                <w:sz w:val="24"/>
              </w:rPr>
              <w:t>根据《陕西省县级国土空间总体规划编制技术规范》要求，本次现启动铜川市区级国土空间总体规划耀州</w:t>
            </w:r>
            <w:r>
              <w:rPr>
                <w:rFonts w:ascii="仿宋_gb2312" w:hAnsi="仿宋_gb2312" w:cs="仿宋_gb2312" w:eastAsia="仿宋_gb2312"/>
                <w:sz w:val="24"/>
              </w:rPr>
              <w:t>（</w:t>
            </w:r>
            <w:r>
              <w:rPr>
                <w:rFonts w:ascii="仿宋_gb2312" w:hAnsi="仿宋_gb2312" w:cs="仿宋_gb2312" w:eastAsia="仿宋_gb2312"/>
                <w:sz w:val="24"/>
              </w:rPr>
              <w:t>新区</w:t>
            </w:r>
            <w:r>
              <w:rPr>
                <w:rFonts w:ascii="仿宋_gb2312" w:hAnsi="仿宋_gb2312" w:cs="仿宋_gb2312" w:eastAsia="仿宋_gb2312"/>
                <w:sz w:val="24"/>
              </w:rPr>
              <w:t>）</w:t>
            </w:r>
            <w:r>
              <w:rPr>
                <w:rFonts w:ascii="仿宋_gb2312" w:hAnsi="仿宋_gb2312" w:cs="仿宋_gb2312" w:eastAsia="仿宋_gb2312"/>
                <w:sz w:val="24"/>
              </w:rPr>
              <w:t>、王益、印台分区规划成果主要包括规划文本及附表、规划说明、规划图件、数据库和其他材料等，具体如下：</w:t>
            </w:r>
          </w:p>
          <w:p>
            <w:pPr>
              <w:pStyle w:val="null3"/>
              <w:ind w:firstLine="480"/>
              <w:jc w:val="both"/>
            </w:pPr>
            <w:r>
              <w:rPr>
                <w:rFonts w:ascii="仿宋_gb2312" w:hAnsi="仿宋_gb2312" w:cs="仿宋_gb2312" w:eastAsia="仿宋_gb2312"/>
                <w:sz w:val="24"/>
              </w:rPr>
              <w:t>1、规划文本及附表，规划文本应精准表达规划结论，明确规划强制性内容，需包含必要规划附表，明确控制指标、结构调整、重点建设项目等规划内容。</w:t>
            </w:r>
          </w:p>
          <w:p>
            <w:pPr>
              <w:pStyle w:val="null3"/>
              <w:ind w:firstLine="480"/>
              <w:jc w:val="both"/>
            </w:pPr>
            <w:r>
              <w:rPr>
                <w:rFonts w:ascii="仿宋_gb2312" w:hAnsi="仿宋_gb2312" w:cs="仿宋_gb2312" w:eastAsia="仿宋_gb2312"/>
                <w:sz w:val="24"/>
              </w:rPr>
              <w:t>2、规划说明，应阐述规划决策的编制基础、编制过程、技术分析和编制内容等，作为规划实施中配合规划文本和图件使用的重要参考。</w:t>
            </w:r>
          </w:p>
          <w:p>
            <w:pPr>
              <w:pStyle w:val="null3"/>
              <w:ind w:firstLine="480"/>
              <w:jc w:val="both"/>
            </w:pPr>
            <w:r>
              <w:rPr>
                <w:rFonts w:ascii="仿宋_gb2312" w:hAnsi="仿宋_gb2312" w:cs="仿宋_gb2312" w:eastAsia="仿宋_gb2312"/>
                <w:sz w:val="24"/>
              </w:rPr>
              <w:t>3、规划图件，分为图集和挂图两种类型，各区县可结合实际合并、拆分或增补图件；</w:t>
            </w:r>
          </w:p>
          <w:p>
            <w:pPr>
              <w:pStyle w:val="null3"/>
              <w:ind w:firstLine="480"/>
              <w:jc w:val="both"/>
            </w:pPr>
            <w:r>
              <w:rPr>
                <w:rFonts w:ascii="仿宋_gb2312" w:hAnsi="仿宋_gb2312" w:cs="仿宋_gb2312" w:eastAsia="仿宋_gb2312"/>
                <w:sz w:val="24"/>
              </w:rPr>
              <w:t>4、数据库，市级和县级建库要素基本一致，符合《陕西省县级国土空间总体规划编制技术规范》、《县级国土空间总体规划数据库规范（试行）》等要求。</w:t>
            </w:r>
          </w:p>
          <w:p>
            <w:pPr>
              <w:pStyle w:val="null3"/>
              <w:ind w:firstLine="480"/>
              <w:jc w:val="both"/>
            </w:pPr>
            <w:r>
              <w:rPr>
                <w:rFonts w:ascii="仿宋_gb2312" w:hAnsi="仿宋_gb2312" w:cs="仿宋_gb2312" w:eastAsia="仿宋_gb2312"/>
                <w:sz w:val="24"/>
              </w:rPr>
              <w:t>5、其他材料，包括市人大常委会审议意见等相关支撑文件。</w:t>
            </w:r>
          </w:p>
          <w:p>
            <w:pPr>
              <w:pStyle w:val="null3"/>
              <w:ind w:firstLine="480"/>
              <w:jc w:val="both"/>
            </w:pPr>
            <w:r>
              <w:rPr>
                <w:rFonts w:ascii="黑体" w:hAnsi="黑体" w:cs="黑体" w:eastAsia="黑体"/>
                <w:sz w:val="24"/>
              </w:rPr>
              <w:t>五、服务期限</w:t>
            </w:r>
          </w:p>
          <w:p>
            <w:pPr>
              <w:pStyle w:val="null3"/>
              <w:ind w:firstLine="480"/>
              <w:jc w:val="both"/>
            </w:pPr>
            <w:r>
              <w:rPr>
                <w:rFonts w:ascii="仿宋_gb2312" w:hAnsi="仿宋_gb2312" w:cs="仿宋_gb2312" w:eastAsia="仿宋_gb2312"/>
                <w:sz w:val="24"/>
              </w:rPr>
              <w:t>自签订合同之日起至</w:t>
            </w:r>
            <w:r>
              <w:rPr>
                <w:rFonts w:ascii="仿宋_gb2312" w:hAnsi="仿宋_gb2312" w:cs="仿宋_gb2312" w:eastAsia="仿宋_gb2312"/>
                <w:sz w:val="24"/>
              </w:rPr>
              <w:t>2024年12月31日,（若省、市出台其他规定，以省、市规定相应时间调整）。</w:t>
            </w:r>
          </w:p>
        </w:tc>
      </w:tr>
    </w:tbl>
    <w:p>
      <w:pPr>
        <w:pStyle w:val="null3"/>
        <w:outlineLvl w:val="3"/>
      </w:pPr>
      <w:r>
        <w:rPr>
          <w:b/>
          <w:sz w:val="24"/>
        </w:rPr>
        <w:t>3.2.3人员配置要求</w:t>
      </w:r>
    </w:p>
    <w:p>
      <w:pPr>
        <w:pStyle w:val="null3"/>
      </w:pPr>
      <w:r>
        <w:rPr/>
        <w:t>采购包1：</w:t>
      </w:r>
    </w:p>
    <w:p>
      <w:pPr>
        <w:pStyle w:val="null3"/>
      </w:pPr>
      <w:r>
        <w:rPr/>
        <w:t>详见采购文件评标办法评审细则及标准</w:t>
      </w:r>
    </w:p>
    <w:p>
      <w:pPr>
        <w:pStyle w:val="null3"/>
        <w:outlineLvl w:val="3"/>
      </w:pPr>
      <w:r>
        <w:rPr>
          <w:b/>
          <w:sz w:val="24"/>
        </w:rPr>
        <w:t>3.2.4设施设备配置要求</w:t>
      </w:r>
    </w:p>
    <w:p>
      <w:pPr>
        <w:pStyle w:val="null3"/>
      </w:pPr>
      <w:r>
        <w:rPr/>
        <w:t>采购包1：</w:t>
      </w:r>
    </w:p>
    <w:p>
      <w:pPr>
        <w:pStyle w:val="null3"/>
      </w:pPr>
      <w:r>
        <w:rPr/>
        <w:t>详见采购文件评标办法评审细则及标准</w:t>
      </w:r>
    </w:p>
    <w:p>
      <w:pPr>
        <w:pStyle w:val="null3"/>
        <w:outlineLvl w:val="3"/>
      </w:pPr>
      <w:r>
        <w:rPr>
          <w:b/>
          <w:sz w:val="24"/>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自签订合同之日起至2024年12月31日,（若省、市出台其他规定，以省、市规定相应时间调整）。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以甲乙双方实际签订合同为准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规划成果通过专家评审后</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规划批复后</w:t>
      </w:r>
      <w:r>
        <w:rPr/>
        <w:t xml:space="preserve"> ，达到付款条件起 </w:t>
      </w:r>
      <w:r>
        <w:rPr/>
        <w:t>7</w:t>
      </w:r>
      <w:r>
        <w:rPr/>
        <w:t xml:space="preserve"> 日内，支付合同总金额的 </w:t>
      </w:r>
      <w:r>
        <w:rPr/>
        <w:t>20.00</w:t>
      </w:r>
      <w:r>
        <w:rPr/>
        <w:t>%。</w:t>
      </w:r>
    </w:p>
    <w:p>
      <w:pPr>
        <w:pStyle w:val="null3"/>
        <w:outlineLvl w:val="3"/>
      </w:pPr>
      <w:r>
        <w:rPr>
          <w:b/>
          <w:sz w:val="24"/>
        </w:rPr>
        <w:t>3.3.6违约责任与解决争议的方法</w:t>
      </w:r>
    </w:p>
    <w:p>
      <w:pPr>
        <w:pStyle w:val="null3"/>
      </w:pPr>
      <w:r>
        <w:rPr/>
        <w:t>采购包1：</w:t>
      </w:r>
    </w:p>
    <w:p>
      <w:pPr>
        <w:pStyle w:val="null3"/>
      </w:pPr>
      <w:r>
        <w:rPr/>
        <w:t>以甲乙双方实际签订合同为准</w:t>
      </w:r>
    </w:p>
    <w:p>
      <w:pPr>
        <w:pStyle w:val="null3"/>
        <w:jc w:val="left"/>
        <w:outlineLvl w:val="2"/>
      </w:pPr>
      <w:r>
        <w:rPr>
          <w:b/>
          <w:sz w:val="28"/>
        </w:rPr>
        <w:t>3.5其他要求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本项目的特定资格要求</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2、财务状况报告：提供具有财务审计资质单位出具的2022年度财务报告或投标前六个月内其基本账户银行出具的资信证明或政府采购信用担保机构出具的投标担保函。 3、税收交纳证明：提供截止至投标时间前六个月内任意一个月的缴费凭据；（依法免税的供应商应提供相关文件证明）。 4、社会保障资金交纳证明：提供截止至投标时间前六个月内任意一个月的社保缴费凭据或社保机构开具的社会保险参保缴费情况证明；（依法不需要交纳社会保障资金的供应商应提供相关证明）。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7、具有行政主管部门颁发的城乡规划甲级资质和土地规划乙级及以上资质； 8、拟派项目负责人具有高级技术职称； 9、供应商应授权合法的人员参加招标全过程，其中法定代表直接参加招标的，须出具身份证，并与营业执照上信息一致。授权代表参加招标的，须出具法定代表人授权委托书及授权代表身份证。 ； 10、供应商不得为“信用中国(www.creditchina.gov.cn)”中列入失信被执行人名单的供应商，不得为“中国政府采购网(www.ccgp.gov.cn” 政府采购严重违法失信行为记录名单中被财政部门禁止参加政府采购活动的供应商； 11、本项目接受联合体投标。组成联合体参加投标的，应满足下列要求：（1）、联合体成员不超过2家，联合体各成员方不得再以自己名义独立或加入其他联合体参加本项目招标活动；（2）、联合体各成员必须按文件规定的格式签订联合体协议，明确联合体牵头方和各成员方的主要权利和义务，其成员构成、职责分工等；(3)、以联合体参加的，应提交联合体协议并注明牵头人及各方拟承担的工作和责任，并承诺一旦成立联合体各方将向采购人承担连带责任；(4)、联合体中有同类资质的供应商按照联合体分工承担相同工作的，应当按照资质等级较低的供应商确定资质等级（如有要求）；(5)、联合体牵头人以联合体协议明确为准，牵头人法定代表人或其授权的授权代表负责签署本次招标相关资料，其他联合体各方必须对此予以认可。(6)、以联合体中标的，不得再变更其组织形式及成员构成。</w:t>
            </w:r>
          </w:p>
        </w:tc>
        <w:tc>
          <w:tcPr>
            <w:tcW w:type="dxa" w:w="1661"/>
          </w:tcPr>
          <w:p>
            <w:pPr>
              <w:pStyle w:val="null3"/>
            </w:pPr>
            <w:r>
              <w:rPr/>
              <w:t>法定代表人证明书 法定代表人授权书 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招标响应文件的签署盖章</w:t>
            </w:r>
          </w:p>
        </w:tc>
        <w:tc>
          <w:tcPr>
            <w:tcW w:type="dxa" w:w="3322"/>
          </w:tcPr>
          <w:p>
            <w:pPr>
              <w:pStyle w:val="null3"/>
            </w:pPr>
            <w:r>
              <w:rPr/>
              <w:t>招标响应文件上法定代表人或被授权人的签字齐全并加盖公章</w:t>
            </w:r>
          </w:p>
        </w:tc>
        <w:tc>
          <w:tcPr>
            <w:tcW w:type="dxa" w:w="1661"/>
          </w:tcPr>
          <w:p>
            <w:pPr>
              <w:pStyle w:val="null3"/>
            </w:pPr>
            <w:r>
              <w:rPr/>
              <w:t>开标一览表 近年完成的类似项目情况 技术偏离表 服务内容及服务邀请应答表 法定代表人证明书 分项报价表 联合体协议书-wxd 中小企业声明函 商务应答表 项目人员组成表 法定代表人授权书 投标人应提交的相关资格证明材料 供应商情况表 拒绝商业贿赂承诺书 投标函 商务偏离表 残疾人福利性单位声明函 其他证明文件 服务方案 标的清单 无不良信用记录承诺函 投标文件封面 监狱企业的证明文件</w:t>
            </w:r>
          </w:p>
        </w:tc>
      </w:tr>
      <w:tr>
        <w:tc>
          <w:tcPr>
            <w:tcW w:type="dxa" w:w="831"/>
          </w:tcPr>
          <w:p>
            <w:pPr>
              <w:pStyle w:val="null3"/>
            </w:pPr>
            <w:r>
              <w:rPr/>
              <w:t>3</w:t>
            </w:r>
          </w:p>
        </w:tc>
        <w:tc>
          <w:tcPr>
            <w:tcW w:type="dxa" w:w="2492"/>
          </w:tcPr>
          <w:p>
            <w:pPr>
              <w:pStyle w:val="null3"/>
            </w:pPr>
            <w:r>
              <w:rPr/>
              <w:t>招标响应文件格式</w:t>
            </w:r>
          </w:p>
        </w:tc>
        <w:tc>
          <w:tcPr>
            <w:tcW w:type="dxa" w:w="3322"/>
          </w:tcPr>
          <w:p>
            <w:pPr>
              <w:pStyle w:val="null3"/>
            </w:pPr>
            <w:r>
              <w:rPr/>
              <w:t>应符合“招标文件格式”要求</w:t>
            </w:r>
          </w:p>
        </w:tc>
        <w:tc>
          <w:tcPr>
            <w:tcW w:type="dxa" w:w="1661"/>
          </w:tcPr>
          <w:p>
            <w:pPr>
              <w:pStyle w:val="null3"/>
            </w:pPr>
            <w:r>
              <w:rPr/>
              <w:t>开标一览表 近年完成的类似项目情况 技术偏离表 服务内容及服务邀请应答表 法定代表人证明书 分项报价表 联合体协议书-wxd 中小企业声明函 商务应答表 项目人员组成表 法定代表人授权书 供应商情况表 拒绝商业贿赂承诺书 投标函 商务偏离表 残疾人福利性单位声明函 标的清单 无不良信用记录承诺函 投标文件封面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w:t>
            </w:r>
          </w:p>
        </w:tc>
      </w:tr>
      <w:tr>
        <w:tc>
          <w:tcPr>
            <w:tcW w:type="dxa" w:w="831"/>
          </w:tcPr>
          <w:p>
            <w:pPr>
              <w:pStyle w:val="null3"/>
            </w:pPr>
            <w:r>
              <w:rPr/>
              <w:t>5</w:t>
            </w:r>
          </w:p>
        </w:tc>
        <w:tc>
          <w:tcPr>
            <w:tcW w:type="dxa" w:w="2492"/>
          </w:tcPr>
          <w:p>
            <w:pPr>
              <w:pStyle w:val="null3"/>
            </w:pPr>
            <w:r>
              <w:rPr/>
              <w:t>招标响应文件内容</w:t>
            </w:r>
          </w:p>
        </w:tc>
        <w:tc>
          <w:tcPr>
            <w:tcW w:type="dxa" w:w="3322"/>
          </w:tcPr>
          <w:p>
            <w:pPr>
              <w:pStyle w:val="null3"/>
            </w:pPr>
            <w:r>
              <w:rPr/>
              <w:t>招标响应文件内容齐全、无遗漏</w:t>
            </w:r>
          </w:p>
        </w:tc>
        <w:tc>
          <w:tcPr>
            <w:tcW w:type="dxa" w:w="1661"/>
          </w:tcPr>
          <w:p>
            <w:pPr>
              <w:pStyle w:val="null3"/>
            </w:pPr>
            <w:r>
              <w:rPr/>
              <w:t>技术偏离表 服务内容及服务邀请应答表 投标函 商务偏离表 商务应答表</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应满足招标文件中要求的服务期</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对招标文件响应程度</w:t>
            </w:r>
          </w:p>
        </w:tc>
        <w:tc>
          <w:tcPr>
            <w:tcW w:type="dxa" w:w="3322"/>
          </w:tcPr>
          <w:p>
            <w:pPr>
              <w:pStyle w:val="null3"/>
            </w:pPr>
            <w:r>
              <w:rPr/>
              <w:t>要求全面响应，不能有任何采购人不能接受的附 加条件</w:t>
            </w:r>
          </w:p>
        </w:tc>
        <w:tc>
          <w:tcPr>
            <w:tcW w:type="dxa" w:w="1661"/>
          </w:tcPr>
          <w:p>
            <w:pPr>
              <w:pStyle w:val="null3"/>
            </w:pPr>
            <w:r>
              <w:rPr/>
              <w:t>技术偏离表 服务内容及服务邀请应答表 投标函 商务偏离表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投标报价</w:t>
            </w:r>
          </w:p>
        </w:tc>
        <w:tc>
          <w:tcPr>
            <w:tcW w:type="dxa" w:w="2492"/>
          </w:tcPr>
          <w:p>
            <w:pPr>
              <w:pStyle w:val="null3"/>
            </w:pPr>
            <w:r>
              <w:rPr/>
              <w:t>参与详细评审且价格最低的投标报价作为评标基准价，其价格分为10分。其他供应商的价格分按照下列公式计算： 投标报价得分=（评标基准价/投标报价）×10分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技术部分（对项目的解读与理解 ）</w:t>
            </w:r>
          </w:p>
        </w:tc>
        <w:tc>
          <w:tcPr>
            <w:tcW w:type="dxa" w:w="2492"/>
          </w:tcPr>
          <w:p>
            <w:pPr>
              <w:pStyle w:val="null3"/>
            </w:pPr>
            <w:r>
              <w:rPr/>
              <w:t>考核供应商对本项目的基本情况和背景的理解，对工作方向解读： （1）对本项目的基本情况和背景非常熟悉和透彻，对工作方向解读科学、合理、准确，得分（8-10]分 （2）对本项目的基本情况和背景了解清晰，但不够透彻，对工作方向解读具有较好的科学性、合理性和准确性，得（5-8]分； （3）对项目的基本情况和背景基本了解，对工作方向解读具有一定的科学性、合理性和准确性，得（3-5]分。 （4）对本项目的节本情况和背景理解一般，对工作方向解读科学性、合理性和准确性较低，得（1-3]分。 （5）对项目认识不足，未能理解项目背景，对工作方向解读不够科学、不够合理、不够准确，得（0-1]分。 无相关内容的不得分。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技术部分（对国土空间政策、现行相关技术标准及工作流程的熟悉程度）</w:t>
            </w:r>
          </w:p>
        </w:tc>
        <w:tc>
          <w:tcPr>
            <w:tcW w:type="dxa" w:w="2492"/>
          </w:tcPr>
          <w:p>
            <w:pPr>
              <w:pStyle w:val="null3"/>
            </w:pPr>
            <w:r>
              <w:rPr/>
              <w:t>考核供应商对国家、陕西省及铜川市区级国土空间总体规划编制的政策文件、上位规划、相关技术规范标准及工作流程等是否熟悉，能够全面、准确认识到规划的核心重点问题。 （1）投标人非常熟悉，得（5-8]分； （2）投标人较好熟悉，得（3-5]分； （3）投标人基本熟悉，得（1-3]分； （4）投标人不熟悉，得（0-1]分； 无相关内容不得分。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技术部分（对铜川市各分区国土空间开发保护情况的基础研究把握）</w:t>
            </w:r>
          </w:p>
        </w:tc>
        <w:tc>
          <w:tcPr>
            <w:tcW w:type="dxa" w:w="2492"/>
          </w:tcPr>
          <w:p>
            <w:pPr>
              <w:pStyle w:val="null3"/>
            </w:pPr>
            <w:r>
              <w:rPr/>
              <w:t>（1）现状问题识别清晰、形式研判科学合理的，得（5-10]分； （2）现状问题识别较清晰、形式研判较为科学合理的，得（3-5]分； （3）现状问题识别不清晰、形式把握不准确的，得（0-3]分； （4）无相关内容不得分。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技术部分（项目编制的重点、难点分析）</w:t>
            </w:r>
          </w:p>
        </w:tc>
        <w:tc>
          <w:tcPr>
            <w:tcW w:type="dxa" w:w="2492"/>
          </w:tcPr>
          <w:p>
            <w:pPr>
              <w:pStyle w:val="null3"/>
            </w:pPr>
            <w:r>
              <w:rPr/>
              <w:t>考核供应商对总体规划编制的重点、难点的理解程度。 （1）工作重点难点全面、合理、准确得（6-10]分； （2）工作重点难点较为全面、合理、准确得（3-6]分； （3）工作重点难点不够全面、合理、准确（1-3]分； （4）工作重点难点不全面、合理、准确得（0-1]分； 无相关内容的不得分。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技术部分（工作思路和工作内容）</w:t>
            </w:r>
          </w:p>
        </w:tc>
        <w:tc>
          <w:tcPr>
            <w:tcW w:type="dxa" w:w="2492"/>
          </w:tcPr>
          <w:p>
            <w:pPr>
              <w:pStyle w:val="null3"/>
            </w:pPr>
            <w:r>
              <w:rPr/>
              <w:t>考核供应商对本工作整体思路的把控，工作组织是否完善，技术框架是否清晰，工作方法是否可行。 （1）工作组织完善、技术框架清晰，工作方法可行得（10-15]分； （2）工作组织较为完善、技术框架较为清晰，工作方法较为可行得（6-10]分； （3）工作组织基本完善、技术框架基本清晰，工作方法基本可行得（2-6]分； （4）工作组织不完善、技术框架不清晰，工作方法不可行得（0-2]分； 无相关内容的不得分。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技术部分（质量保障措施）</w:t>
            </w:r>
          </w:p>
        </w:tc>
        <w:tc>
          <w:tcPr>
            <w:tcW w:type="dxa" w:w="2492"/>
          </w:tcPr>
          <w:p>
            <w:pPr>
              <w:pStyle w:val="null3"/>
            </w:pPr>
            <w:r>
              <w:rPr/>
              <w:t>考核供应商是否有详尽可行的质量保障措施和内部监督机制。 （1）切合实际、措施详尽可行的得（5-8]分； （2）符合实际、措施基本可行的得（1-5]分； （3）不符合实际、措施不可行的得（0-1]分； 无相关内容不得分。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技术部分（进度保障措施）</w:t>
            </w:r>
          </w:p>
        </w:tc>
        <w:tc>
          <w:tcPr>
            <w:tcW w:type="dxa" w:w="2492"/>
          </w:tcPr>
          <w:p>
            <w:pPr>
              <w:pStyle w:val="null3"/>
            </w:pPr>
            <w:r>
              <w:rPr/>
              <w:t>考核供应商工作进度满足采购人对于审核时间的要求，且有详尽可行的保障措施。 （1）切合实际、措施可行的得（3-5]分； （2）符合实际、措施基本可行的得（1-3]分； （3）不符合实际、措施不可行的得（0-1]分； 无相关内容不得分。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供应商业绩及实力（供应商同类项目业绩）</w:t>
            </w:r>
          </w:p>
        </w:tc>
        <w:tc>
          <w:tcPr>
            <w:tcW w:type="dxa" w:w="2492"/>
          </w:tcPr>
          <w:p>
            <w:pPr>
              <w:pStyle w:val="null3"/>
            </w:pPr>
            <w:r>
              <w:rPr/>
              <w:t>供应商近5年来，主导编制过市级及以上国土空间总体规划编制等相关业绩的，每个2分，最高得6分。若为联合体投标，供应商业绩由牵头单位或联合体单位提供。注：以合同签订时间为准，投标文件中应附有合同复印件，未提供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供应商业绩及实力（供应商行业获奖情况）</w:t>
            </w:r>
          </w:p>
        </w:tc>
        <w:tc>
          <w:tcPr>
            <w:tcW w:type="dxa" w:w="2492"/>
          </w:tcPr>
          <w:p>
            <w:pPr>
              <w:pStyle w:val="null3"/>
            </w:pPr>
            <w:r>
              <w:rPr/>
              <w:t>供应商近5年来，承接国土空间规划、城乡规划、国土空间规划相关专题研究或专项规划等项目获得省级及以上级别奖项的每个得2分，最多不超过6分。若为联合体投标，供应商行业获奖由牵头单位或联合体单位提供。 注：提供获奖证书复印件为评分依据，未提供不得分。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供应商业绩及实力（项目负责人情况）</w:t>
            </w:r>
          </w:p>
        </w:tc>
        <w:tc>
          <w:tcPr>
            <w:tcW w:type="dxa" w:w="2492"/>
          </w:tcPr>
          <w:p>
            <w:pPr>
              <w:pStyle w:val="null3"/>
            </w:pPr>
            <w:r>
              <w:rPr/>
              <w:t>项目负责人具有注册规划师执业资格的得2分，其他情况不得分。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供应商业绩及实力（项目团队的人员及综合素质情况）</w:t>
            </w:r>
          </w:p>
        </w:tc>
        <w:tc>
          <w:tcPr>
            <w:tcW w:type="dxa" w:w="2492"/>
          </w:tcPr>
          <w:p>
            <w:pPr>
              <w:pStyle w:val="null3"/>
            </w:pPr>
            <w:r>
              <w:rPr/>
              <w:t>城市（乡）规划、土地资源规划（管理）、风景园林、城市交通、电力通信、给水排水专业中任意专业具有高级工程师及以上职称的，每出具一份相关证明材料得1分，最高得4分。 注：需提供职称证等相关证明材料复印件加盖公章，未提供的不得分。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供应商业绩及实力（服务保障措施）</w:t>
            </w:r>
          </w:p>
        </w:tc>
        <w:tc>
          <w:tcPr>
            <w:tcW w:type="dxa" w:w="2492"/>
          </w:tcPr>
          <w:p>
            <w:pPr>
              <w:pStyle w:val="null3"/>
            </w:pPr>
            <w:r>
              <w:rPr/>
              <w:t>考核供应商针对本项目的服务保障方式、响应时间、售后服务等方面措施。计划安排合理、服务保障全面到位工作进度满足采购人对于审核时间的要求，且有详尽可行的保障措施。 （1）计划安排合理，服务保障到位得（4-6]分； （2）计划较为合理，服务保障较为到位得（1-4]分； （3）计划不合理，服务保障不够到位得（0-1]分； 无相关内容不得分。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详见附件：法定代表人授权书</w:t>
      </w:r>
    </w:p>
    <w:p>
      <w:pPr>
        <w:pStyle w:val="null3"/>
        <w:ind w:firstLine="960"/>
      </w:pPr>
      <w:r>
        <w:rPr/>
        <w:t>详见附件：法定代表人证明书</w:t>
      </w:r>
    </w:p>
    <w:p>
      <w:pPr>
        <w:pStyle w:val="null3"/>
        <w:ind w:firstLine="960"/>
      </w:pPr>
      <w:r>
        <w:rPr/>
        <w:t>详见附件：分项报价表</w:t>
      </w:r>
    </w:p>
    <w:p>
      <w:pPr>
        <w:pStyle w:val="null3"/>
        <w:ind w:firstLine="960"/>
      </w:pPr>
      <w:r>
        <w:rPr/>
        <w:t>详见附件：供应商情况表</w:t>
      </w:r>
    </w:p>
    <w:p>
      <w:pPr>
        <w:pStyle w:val="null3"/>
        <w:ind w:firstLine="960"/>
      </w:pPr>
      <w:r>
        <w:rPr/>
        <w:t>详见附件：技术偏离表</w:t>
      </w:r>
    </w:p>
    <w:p>
      <w:pPr>
        <w:pStyle w:val="null3"/>
        <w:ind w:firstLine="960"/>
      </w:pPr>
      <w:r>
        <w:rPr/>
        <w:t>详见附件：商务偏离表</w:t>
      </w:r>
    </w:p>
    <w:p>
      <w:pPr>
        <w:pStyle w:val="null3"/>
        <w:ind w:firstLine="960"/>
      </w:pPr>
      <w:r>
        <w:rPr/>
        <w:t>详见附件：近年完成的类似项目情况</w:t>
      </w:r>
    </w:p>
    <w:p>
      <w:pPr>
        <w:pStyle w:val="null3"/>
        <w:ind w:firstLine="960"/>
      </w:pPr>
      <w:r>
        <w:rPr/>
        <w:t>详见附件：拒绝商业贿赂承诺书</w:t>
      </w:r>
    </w:p>
    <w:p>
      <w:pPr>
        <w:pStyle w:val="null3"/>
        <w:ind w:firstLine="960"/>
      </w:pPr>
      <w:r>
        <w:rPr/>
        <w:t>详见附件：联合体协议书-wxd</w:t>
      </w:r>
    </w:p>
    <w:p>
      <w:pPr>
        <w:pStyle w:val="null3"/>
        <w:ind w:firstLine="960"/>
      </w:pPr>
      <w:r>
        <w:rPr/>
        <w:t>详见附件：其他证明文件</w:t>
      </w:r>
    </w:p>
    <w:p>
      <w:pPr>
        <w:pStyle w:val="null3"/>
        <w:ind w:firstLine="960"/>
      </w:pPr>
      <w:r>
        <w:rPr/>
        <w:t>详见附件：无不良信用记录承诺函</w:t>
      </w:r>
    </w:p>
    <w:p>
      <w:pPr>
        <w:pStyle w:val="null3"/>
        <w:ind w:firstLine="960"/>
      </w:pPr>
      <w:r>
        <w:rPr/>
        <w:t>详见附件：项目人员组成表</w:t>
      </w:r>
    </w:p>
    <w:p>
      <w:pPr>
        <w:pStyle w:val="null3"/>
      </w:pPr>
      <w:r>
        <w:rPr/>
        <w:t xml:space="preserve"> </w:t>
      </w:r>
    </w:p>
    <w:p>
      <w:pPr>
        <w:pStyle w:val="null3"/>
        <w:jc w:val="center"/>
        <w:outlineLvl w:val="1"/>
      </w:pPr>
      <w:r>
        <w:rPr>
          <w:b/>
          <w:sz w:val="36"/>
        </w:rPr>
        <w:t>第7章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