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28367"/>
      <w:bookmarkStart w:id="1" w:name="_Toc8570"/>
      <w:bookmarkStart w:id="2" w:name="_Toc11350"/>
      <w:bookmarkStart w:id="3" w:name="_Toc16313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</w:rPr>
              <w:t>期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</w:rPr>
              <w:t>地点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投标有效期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文件商务响应”栏中填写“全部”字样，在“偏离情况”栏填入“无偏离”字样。除以上表中列明的偏离项之外，供应商完全响应谈判文件的所有商务条款。</w:t>
      </w:r>
    </w:p>
    <w:p>
      <w:pPr>
        <w:pStyle w:val="3"/>
        <w:rPr>
          <w:rFonts w:hint="eastAsia" w:ascii="仿宋" w:hAnsi="仿宋" w:eastAsia="仿宋" w:cs="仿宋"/>
        </w:rPr>
      </w:pPr>
      <w:bookmarkStart w:id="6" w:name="_GoBack"/>
      <w:bookmarkEnd w:id="6"/>
    </w:p>
    <w:p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255A0453"/>
    <w:rsid w:val="6EE2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艾de窝</cp:lastModifiedBy>
  <dcterms:modified xsi:type="dcterms:W3CDTF">2023-10-11T06:44:28Z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A60B5787268349F6875290AB1B462968_12</vt:lpwstr>
  </property>
</Properties>
</file>