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ascii="仿宋" w:hAnsi="仿宋" w:eastAsia="仿宋"/>
          <w:b/>
          <w:sz w:val="32"/>
          <w:szCs w:val="32"/>
          <w:lang w:eastAsia="zh-CN"/>
        </w:rPr>
        <w:t>附件</w:t>
      </w:r>
      <w:r>
        <w:rPr>
          <w:rFonts w:hint="eastAsia" w:ascii="仿宋" w:hAnsi="仿宋" w:eastAsia="仿宋"/>
          <w:b/>
          <w:sz w:val="32"/>
          <w:szCs w:val="32"/>
          <w:lang w:val="en-US" w:eastAsia="zh-CN"/>
        </w:rPr>
        <w:t>2：政府采购需求书范本（服务类）</w:t>
      </w:r>
    </w:p>
    <w:tbl>
      <w:tblPr>
        <w:tblStyle w:val="8"/>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9"/>
        <w:gridCol w:w="1556"/>
        <w:gridCol w:w="7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jc w:val="center"/>
              <w:rPr>
                <w:rFonts w:ascii="宋体" w:hAnsi="宋体"/>
                <w:b/>
                <w:sz w:val="24"/>
              </w:rPr>
            </w:pPr>
            <w:r>
              <w:rPr>
                <w:rFonts w:hint="eastAsia" w:ascii="宋体" w:hAnsi="宋体"/>
                <w:b/>
                <w:sz w:val="28"/>
                <w:szCs w:val="28"/>
                <w:lang w:val="zh-CN"/>
              </w:rPr>
              <w:t>序号</w:t>
            </w:r>
          </w:p>
        </w:tc>
        <w:tc>
          <w:tcPr>
            <w:tcW w:w="1556" w:type="dxa"/>
            <w:vAlign w:val="center"/>
          </w:tcPr>
          <w:p>
            <w:pPr>
              <w:pStyle w:val="31"/>
              <w:ind w:left="38"/>
              <w:jc w:val="center"/>
              <w:rPr>
                <w:b/>
                <w:kern w:val="2"/>
                <w:lang w:val="zh-CN"/>
              </w:rPr>
            </w:pPr>
            <w:r>
              <w:rPr>
                <w:rFonts w:hint="eastAsia"/>
                <w:b/>
                <w:kern w:val="2"/>
                <w:sz w:val="28"/>
                <w:szCs w:val="28"/>
                <w:lang w:val="zh-CN"/>
              </w:rPr>
              <w:t>关键事项</w:t>
            </w:r>
          </w:p>
        </w:tc>
        <w:tc>
          <w:tcPr>
            <w:tcW w:w="7067" w:type="dxa"/>
            <w:vAlign w:val="center"/>
          </w:tcPr>
          <w:p>
            <w:pPr>
              <w:pStyle w:val="31"/>
              <w:jc w:val="center"/>
              <w:rPr>
                <w:b/>
                <w:kern w:val="2"/>
                <w:lang w:val="zh-CN"/>
              </w:rPr>
            </w:pPr>
            <w:r>
              <w:rPr>
                <w:rFonts w:hint="eastAsia"/>
                <w:b/>
                <w:kern w:val="2"/>
                <w:sz w:val="28"/>
                <w:szCs w:val="28"/>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8"/>
                <w:szCs w:val="28"/>
                <w:lang w:val="zh-CN"/>
              </w:rPr>
            </w:pPr>
            <w:r>
              <w:rPr>
                <w:rFonts w:ascii="宋体" w:hAnsi="宋体"/>
                <w:sz w:val="28"/>
                <w:szCs w:val="28"/>
                <w:lang w:val="zh-CN"/>
              </w:rPr>
              <w:t>1</w:t>
            </w:r>
          </w:p>
        </w:tc>
        <w:tc>
          <w:tcPr>
            <w:tcW w:w="1556" w:type="dxa"/>
            <w:vAlign w:val="center"/>
          </w:tcPr>
          <w:p>
            <w:pPr>
              <w:pStyle w:val="31"/>
              <w:ind w:left="38"/>
              <w:jc w:val="center"/>
              <w:rPr>
                <w:kern w:val="2"/>
                <w:lang w:val="zh-CN"/>
              </w:rPr>
            </w:pPr>
            <w:r>
              <w:rPr>
                <w:rFonts w:hint="eastAsia"/>
                <w:kern w:val="2"/>
                <w:lang w:val="zh-CN"/>
              </w:rPr>
              <w:t>采购预算</w:t>
            </w:r>
          </w:p>
        </w:tc>
        <w:tc>
          <w:tcPr>
            <w:tcW w:w="7067" w:type="dxa"/>
            <w:vAlign w:val="center"/>
          </w:tcPr>
          <w:p>
            <w:pPr>
              <w:pStyle w:val="31"/>
              <w:jc w:val="both"/>
              <w:rPr>
                <w:b/>
                <w:kern w:val="2"/>
                <w:lang w:val="zh-CN"/>
              </w:rPr>
            </w:pPr>
            <w:r>
              <w:rPr>
                <w:rFonts w:hint="eastAsia"/>
                <w:b/>
                <w:kern w:val="2"/>
                <w:lang w:val="zh-CN"/>
              </w:rPr>
              <w:t>人民币</w:t>
            </w:r>
            <w:r>
              <w:rPr>
                <w:rFonts w:hint="eastAsia"/>
                <w:b/>
                <w:kern w:val="2"/>
                <w:lang w:val="en-US" w:eastAsia="zh-CN"/>
              </w:rPr>
              <w:t>1200000</w:t>
            </w:r>
            <w:r>
              <w:rPr>
                <w:b/>
                <w:kern w:val="2"/>
                <w:lang w:val="zh-CN"/>
              </w:rPr>
              <w:t>_</w:t>
            </w:r>
            <w:r>
              <w:rPr>
                <w:rFonts w:hint="eastAsia"/>
                <w:b/>
                <w:kern w:val="2"/>
                <w:lang w:val="zh-CN"/>
              </w:rPr>
              <w:t>元</w:t>
            </w:r>
          </w:p>
          <w:p>
            <w:pPr>
              <w:pStyle w:val="31"/>
              <w:jc w:val="both"/>
              <w:rPr>
                <w:b/>
                <w:kern w:val="2"/>
                <w:lang w:val="zh-CN"/>
              </w:rPr>
            </w:pPr>
            <w:r>
              <w:rPr>
                <w:rFonts w:hint="eastAsia"/>
                <w:kern w:val="2"/>
                <w:sz w:val="21"/>
                <w:szCs w:val="21"/>
                <w:lang w:val="zh-CN"/>
              </w:rPr>
              <w:t>仅指与本次采购标的直接相关的费用，前期勘察费、设计费等已发生的费用，以及监理费、接口费等为未来预留费用，不应当包含在本项目采购预算内，甲方须向本级财政部门经费业务处室申请办理经费剥离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8"/>
                <w:szCs w:val="28"/>
                <w:lang w:val="zh-CN"/>
              </w:rPr>
            </w:pPr>
            <w:r>
              <w:rPr>
                <w:rFonts w:ascii="宋体" w:hAnsi="宋体"/>
                <w:sz w:val="28"/>
                <w:szCs w:val="28"/>
                <w:lang w:val="zh-CN"/>
              </w:rPr>
              <w:t>2</w:t>
            </w:r>
          </w:p>
        </w:tc>
        <w:tc>
          <w:tcPr>
            <w:tcW w:w="1556" w:type="dxa"/>
            <w:vAlign w:val="center"/>
          </w:tcPr>
          <w:p>
            <w:pPr>
              <w:pStyle w:val="31"/>
              <w:ind w:left="38"/>
              <w:jc w:val="center"/>
              <w:rPr>
                <w:kern w:val="2"/>
                <w:lang w:val="zh-CN"/>
              </w:rPr>
            </w:pPr>
            <w:r>
              <w:rPr>
                <w:rFonts w:hint="eastAsia"/>
                <w:kern w:val="2"/>
                <w:lang w:val="zh-CN"/>
              </w:rPr>
              <w:t>最高限价</w:t>
            </w:r>
          </w:p>
        </w:tc>
        <w:tc>
          <w:tcPr>
            <w:tcW w:w="7067" w:type="dxa"/>
            <w:vAlign w:val="center"/>
          </w:tcPr>
          <w:p>
            <w:pPr>
              <w:pStyle w:val="31"/>
              <w:jc w:val="both"/>
              <w:rPr>
                <w:b/>
                <w:kern w:val="2"/>
                <w:lang w:val="zh-CN"/>
              </w:rPr>
            </w:pPr>
            <w:r>
              <w:rPr>
                <w:rFonts w:hint="eastAsia"/>
                <w:b/>
                <w:kern w:val="2"/>
                <w:lang w:val="zh-CN"/>
              </w:rPr>
              <w:t>人民币</w:t>
            </w:r>
            <w:r>
              <w:rPr>
                <w:rFonts w:hint="eastAsia"/>
                <w:b/>
                <w:kern w:val="2"/>
                <w:lang w:val="en-US" w:eastAsia="zh-CN"/>
              </w:rPr>
              <w:t>1200000</w:t>
            </w:r>
            <w:r>
              <w:rPr>
                <w:b/>
                <w:kern w:val="2"/>
                <w:lang w:val="zh-CN"/>
              </w:rPr>
              <w:t>_</w:t>
            </w:r>
            <w:r>
              <w:rPr>
                <w:rFonts w:hint="eastAsia"/>
                <w:b/>
                <w:kern w:val="2"/>
                <w:lang w:val="zh-CN"/>
              </w:rPr>
              <w:t>元</w:t>
            </w:r>
          </w:p>
          <w:p>
            <w:pPr>
              <w:pStyle w:val="31"/>
              <w:ind w:left="38"/>
              <w:jc w:val="both"/>
              <w:rPr>
                <w:b/>
                <w:kern w:val="2"/>
                <w:lang w:val="zh-CN"/>
              </w:rPr>
            </w:pPr>
            <w:r>
              <w:rPr>
                <w:rFonts w:hint="eastAsia"/>
                <w:kern w:val="2"/>
                <w:sz w:val="21"/>
                <w:szCs w:val="21"/>
                <w:lang w:val="zh-CN"/>
              </w:rPr>
              <w:t>供应商投标报价高于最高限价的则其投标文件将按无效投标文件处理。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28"/>
                <w:szCs w:val="28"/>
                <w:lang w:val="zh-CN"/>
              </w:rPr>
            </w:pPr>
            <w:r>
              <w:rPr>
                <w:rFonts w:ascii="宋体" w:hAnsi="宋体"/>
                <w:sz w:val="28"/>
                <w:szCs w:val="28"/>
                <w:lang w:val="zh-CN"/>
              </w:rPr>
              <w:t>3</w:t>
            </w:r>
          </w:p>
        </w:tc>
        <w:tc>
          <w:tcPr>
            <w:tcW w:w="1556" w:type="dxa"/>
            <w:vMerge w:val="restart"/>
            <w:vAlign w:val="center"/>
          </w:tcPr>
          <w:p>
            <w:pPr>
              <w:pStyle w:val="31"/>
              <w:ind w:left="38"/>
              <w:jc w:val="center"/>
              <w:rPr>
                <w:rFonts w:hint="eastAsia"/>
                <w:kern w:val="2"/>
                <w:lang w:val="zh-CN"/>
              </w:rPr>
            </w:pPr>
            <w:r>
              <w:rPr>
                <w:rFonts w:hint="eastAsia"/>
                <w:kern w:val="2"/>
                <w:lang w:val="zh-CN"/>
              </w:rPr>
              <w:t>项目性质</w:t>
            </w:r>
          </w:p>
        </w:tc>
        <w:tc>
          <w:tcPr>
            <w:tcW w:w="7067" w:type="dxa"/>
            <w:vAlign w:val="center"/>
          </w:tcPr>
          <w:p>
            <w:pPr>
              <w:pStyle w:val="31"/>
              <w:jc w:val="both"/>
              <w:rPr>
                <w:b/>
                <w:kern w:val="2"/>
                <w:lang w:val="zh-CN"/>
              </w:rPr>
            </w:pPr>
            <w:r>
              <w:rPr>
                <w:rFonts w:hint="eastAsia"/>
                <w:b/>
                <w:kern w:val="2"/>
                <w:lang w:val="zh-CN"/>
              </w:rPr>
              <w:t>○专门面向中小企业采购</w:t>
            </w:r>
          </w:p>
          <w:p>
            <w:pPr>
              <w:pStyle w:val="31"/>
              <w:ind w:left="38"/>
              <w:jc w:val="both"/>
              <w:rPr>
                <w:rFonts w:hint="eastAsia"/>
                <w:b/>
                <w:kern w:val="2"/>
                <w:lang w:val="zh-CN"/>
              </w:rPr>
            </w:pPr>
            <w:r>
              <w:rPr>
                <w:rFonts w:hint="eastAsia"/>
                <w:kern w:val="2"/>
                <w:sz w:val="21"/>
                <w:szCs w:val="21"/>
                <w:lang w:val="zh-CN"/>
              </w:rPr>
              <w:t>仅允许中小企业或小型、微型企业参与投标。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b/>
                <w:sz w:val="28"/>
                <w:szCs w:val="28"/>
                <w:lang w:val="zh-CN"/>
              </w:rPr>
            </w:pPr>
          </w:p>
        </w:tc>
        <w:tc>
          <w:tcPr>
            <w:tcW w:w="1556" w:type="dxa"/>
            <w:vMerge w:val="continue"/>
            <w:vAlign w:val="center"/>
          </w:tcPr>
          <w:p>
            <w:pPr>
              <w:pStyle w:val="31"/>
              <w:ind w:left="96"/>
              <w:jc w:val="center"/>
              <w:rPr>
                <w:kern w:val="2"/>
                <w:lang w:val="zh-CN"/>
              </w:rPr>
            </w:pPr>
          </w:p>
        </w:tc>
        <w:tc>
          <w:tcPr>
            <w:tcW w:w="7067" w:type="dxa"/>
            <w:vAlign w:val="center"/>
          </w:tcPr>
          <w:p>
            <w:pPr>
              <w:rPr>
                <w:rFonts w:ascii="宋体" w:hAnsi="宋体" w:cs="宋体"/>
                <w:b/>
                <w:color w:val="0000FF"/>
                <w:sz w:val="24"/>
                <w:szCs w:val="24"/>
                <w:lang w:val="zh-CN"/>
              </w:rPr>
            </w:pPr>
            <w:r>
              <w:rPr>
                <w:rFonts w:hint="eastAsia" w:ascii="宋体" w:hAnsi="宋体" w:cs="宋体"/>
                <w:b/>
                <w:color w:val="0000FF"/>
                <w:sz w:val="24"/>
                <w:szCs w:val="24"/>
                <w:lang w:val="en-US" w:eastAsia="zh-CN"/>
              </w:rPr>
              <w:t>√</w:t>
            </w:r>
            <w:r>
              <w:rPr>
                <w:rFonts w:hint="eastAsia" w:ascii="宋体" w:hAnsi="宋体" w:cs="宋体"/>
                <w:b/>
                <w:color w:val="0000FF"/>
                <w:sz w:val="24"/>
                <w:szCs w:val="24"/>
                <w:lang w:val="zh-CN"/>
              </w:rPr>
              <w:t>非专门面向中小企业采购</w:t>
            </w:r>
          </w:p>
          <w:p>
            <w:pPr>
              <w:ind w:right="94" w:rightChars="45"/>
              <w:rPr>
                <w:rFonts w:ascii="宋体" w:hAnsi="宋体"/>
                <w:b/>
                <w:color w:val="0000FF"/>
                <w:szCs w:val="21"/>
              </w:rPr>
            </w:pPr>
            <w:r>
              <w:rPr>
                <w:rFonts w:hint="eastAsia" w:ascii="宋体" w:hAnsi="宋体" w:cs="宋体"/>
                <w:color w:val="0000FF"/>
                <w:kern w:val="0"/>
                <w:szCs w:val="21"/>
                <w:lang w:val="zh-CN"/>
              </w:rPr>
              <w:t>对符合《政府采购促进中小企业发展管理办法》（财库〔2020〕46号）规定的小微企业（监狱企业视同小型、微型企业）的报价</w:t>
            </w:r>
            <w:r>
              <w:rPr>
                <w:rFonts w:hint="eastAsia" w:ascii="宋体" w:hAnsi="宋体" w:cs="宋体"/>
                <w:b/>
                <w:color w:val="0000FF"/>
                <w:kern w:val="0"/>
                <w:szCs w:val="21"/>
                <w:lang w:val="zh-CN"/>
              </w:rPr>
              <w:t>给予_</w:t>
            </w:r>
            <w:r>
              <w:rPr>
                <w:rFonts w:hint="eastAsia" w:ascii="宋体" w:hAnsi="宋体" w:cs="宋体"/>
                <w:b/>
                <w:color w:val="0000FF"/>
                <w:kern w:val="0"/>
                <w:szCs w:val="21"/>
                <w:u w:val="single"/>
                <w:lang w:val="en-US" w:eastAsia="zh-CN"/>
              </w:rPr>
              <w:t xml:space="preserve"> 10</w:t>
            </w:r>
            <w:r>
              <w:rPr>
                <w:rFonts w:hint="eastAsia" w:ascii="宋体" w:hAnsi="宋体" w:cs="宋体"/>
                <w:b/>
                <w:color w:val="0000FF"/>
                <w:kern w:val="0"/>
                <w:szCs w:val="21"/>
                <w:u w:val="single"/>
                <w:lang w:val="zh-CN"/>
              </w:rPr>
              <w:t>_</w:t>
            </w:r>
            <w:r>
              <w:rPr>
                <w:rFonts w:hint="eastAsia" w:ascii="宋体" w:hAnsi="宋体" w:cs="宋体"/>
                <w:b/>
                <w:color w:val="0000FF"/>
                <w:kern w:val="0"/>
                <w:szCs w:val="21"/>
                <w:u w:val="single"/>
                <w:lang w:val="en-US" w:eastAsia="zh-CN"/>
              </w:rPr>
              <w:t xml:space="preserve"> </w:t>
            </w:r>
            <w:r>
              <w:rPr>
                <w:rFonts w:hint="eastAsia" w:ascii="宋体" w:hAnsi="宋体" w:cs="宋体"/>
                <w:b/>
                <w:color w:val="0000FF"/>
                <w:kern w:val="0"/>
                <w:szCs w:val="21"/>
                <w:lang w:val="zh-CN"/>
              </w:rPr>
              <w:t>_%（</w:t>
            </w:r>
            <w:r>
              <w:rPr>
                <w:rFonts w:hint="eastAsia" w:ascii="宋体" w:hAnsi="宋体" w:cs="宋体"/>
                <w:b/>
                <w:color w:val="0000FF"/>
                <w:kern w:val="0"/>
                <w:szCs w:val="21"/>
                <w:lang w:val="en-US" w:eastAsia="zh-CN"/>
              </w:rPr>
              <w:t>10</w:t>
            </w:r>
            <w:r>
              <w:rPr>
                <w:rFonts w:hint="eastAsia" w:ascii="宋体" w:hAnsi="宋体" w:cs="宋体"/>
                <w:b/>
                <w:color w:val="0000FF"/>
                <w:kern w:val="0"/>
                <w:szCs w:val="21"/>
                <w:lang w:val="zh-CN"/>
              </w:rPr>
              <w:t>%-</w:t>
            </w:r>
            <w:r>
              <w:rPr>
                <w:rFonts w:hint="eastAsia" w:ascii="宋体" w:hAnsi="宋体" w:cs="宋体"/>
                <w:b/>
                <w:color w:val="0000FF"/>
                <w:kern w:val="0"/>
                <w:szCs w:val="21"/>
                <w:lang w:val="en-US" w:eastAsia="zh-CN"/>
              </w:rPr>
              <w:t>2</w:t>
            </w:r>
            <w:r>
              <w:rPr>
                <w:rFonts w:ascii="宋体" w:hAnsi="宋体" w:cs="宋体"/>
                <w:b/>
                <w:color w:val="0000FF"/>
                <w:kern w:val="0"/>
                <w:szCs w:val="21"/>
                <w:lang w:val="zh-CN"/>
              </w:rPr>
              <w:t>0%</w:t>
            </w:r>
            <w:r>
              <w:rPr>
                <w:rFonts w:hint="eastAsia" w:ascii="宋体" w:hAnsi="宋体" w:cs="宋体"/>
                <w:b/>
                <w:color w:val="0000FF"/>
                <w:kern w:val="0"/>
                <w:szCs w:val="21"/>
                <w:lang w:val="zh-CN"/>
              </w:rPr>
              <w:t>）的扣除</w:t>
            </w:r>
            <w:r>
              <w:rPr>
                <w:rFonts w:hint="eastAsia" w:ascii="宋体" w:hAnsi="宋体" w:cs="宋体"/>
                <w:color w:val="0000FF"/>
                <w:kern w:val="0"/>
                <w:szCs w:val="21"/>
                <w:lang w:val="zh-CN"/>
              </w:rPr>
              <w:t>，用扣除后的价格参加评审。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4</w:t>
            </w:r>
          </w:p>
        </w:tc>
        <w:tc>
          <w:tcPr>
            <w:tcW w:w="1556" w:type="dxa"/>
            <w:vAlign w:val="center"/>
          </w:tcPr>
          <w:p>
            <w:pPr>
              <w:pStyle w:val="31"/>
              <w:ind w:left="96"/>
              <w:jc w:val="center"/>
              <w:rPr>
                <w:kern w:val="2"/>
                <w:lang w:val="zh-CN"/>
              </w:rPr>
            </w:pPr>
            <w:r>
              <w:rPr>
                <w:kern w:val="2"/>
                <w:lang w:val="zh-CN"/>
              </w:rPr>
              <w:t>对供应商的</w:t>
            </w:r>
            <w:r>
              <w:rPr>
                <w:kern w:val="2"/>
                <w:lang w:val="zh-CN"/>
              </w:rPr>
              <w:br w:type="textWrapping"/>
            </w:r>
            <w:r>
              <w:rPr>
                <w:kern w:val="2"/>
                <w:lang w:val="zh-CN"/>
              </w:rPr>
              <w:t>资格要求</w:t>
            </w:r>
          </w:p>
        </w:tc>
        <w:tc>
          <w:tcPr>
            <w:tcW w:w="7067"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BFDFE"/>
              <w:spacing w:before="0" w:beforeAutospacing="0" w:after="0" w:afterAutospacing="0"/>
              <w:ind w:right="0"/>
              <w:rPr>
                <w:rFonts w:hint="eastAsia" w:ascii="宋体" w:hAnsi="宋体" w:eastAsia="宋体" w:cs="宋体"/>
                <w:i w:val="0"/>
                <w:iCs w:val="0"/>
                <w:caps w:val="0"/>
                <w:color w:val="333333"/>
                <w:spacing w:val="0"/>
                <w:sz w:val="21"/>
                <w:szCs w:val="21"/>
              </w:rPr>
            </w:pPr>
            <w:r>
              <w:rPr>
                <w:rFonts w:hint="eastAsia"/>
                <w:b/>
                <w:kern w:val="2"/>
                <w:lang w:val="zh-CN"/>
              </w:rPr>
              <w:t>1、</w:t>
            </w:r>
            <w:r>
              <w:rPr>
                <w:rFonts w:hint="eastAsia" w:ascii="宋体" w:hAnsi="宋体" w:eastAsia="宋体" w:cs="宋体"/>
                <w:i w:val="0"/>
                <w:iCs w:val="0"/>
                <w:caps w:val="0"/>
                <w:color w:val="333333"/>
                <w:spacing w:val="0"/>
                <w:kern w:val="0"/>
                <w:sz w:val="21"/>
                <w:szCs w:val="21"/>
                <w:shd w:val="clear" w:fill="FBFDFE"/>
                <w:lang w:val="zh-CN" w:eastAsia="zh-CN" w:bidi="ar-SA"/>
              </w:rPr>
              <w:t>供应商须具有城乡规划编制乙级（含乙级）以上资质</w:t>
            </w:r>
            <w:r>
              <w:rPr>
                <w:rFonts w:hint="eastAsia" w:ascii="宋体" w:hAnsi="宋体" w:cs="宋体"/>
                <w:i w:val="0"/>
                <w:iCs w:val="0"/>
                <w:caps w:val="0"/>
                <w:color w:val="333333"/>
                <w:spacing w:val="0"/>
                <w:kern w:val="0"/>
                <w:sz w:val="21"/>
                <w:szCs w:val="21"/>
                <w:shd w:val="clear" w:fill="FBFDFE"/>
                <w:lang w:val="zh-CN" w:eastAsia="zh-CN" w:bidi="ar-SA"/>
              </w:rPr>
              <w:t>，</w:t>
            </w:r>
            <w:r>
              <w:rPr>
                <w:rFonts w:hint="eastAsia" w:ascii="宋体" w:hAnsi="宋体" w:eastAsia="宋体" w:cs="宋体"/>
                <w:i w:val="0"/>
                <w:iCs w:val="0"/>
                <w:caps w:val="0"/>
                <w:color w:val="333333"/>
                <w:spacing w:val="0"/>
                <w:kern w:val="0"/>
                <w:sz w:val="21"/>
                <w:szCs w:val="21"/>
                <w:shd w:val="clear" w:fill="FBFDFE"/>
                <w:lang w:val="en-US" w:eastAsia="zh-CN" w:bidi="ar-SA"/>
              </w:rPr>
              <w:t>具</w:t>
            </w:r>
            <w:r>
              <w:rPr>
                <w:rFonts w:hint="eastAsia" w:ascii="宋体" w:hAnsi="宋体" w:eastAsia="宋体" w:cs="宋体"/>
                <w:i w:val="0"/>
                <w:iCs w:val="0"/>
                <w:caps w:val="0"/>
                <w:color w:val="333333"/>
                <w:spacing w:val="0"/>
                <w:sz w:val="21"/>
                <w:szCs w:val="21"/>
                <w:shd w:val="clear" w:fill="FBFDFE"/>
              </w:rPr>
              <w:t>有专业服务团队进行产业规划的编制能力；</w:t>
            </w:r>
          </w:p>
          <w:p>
            <w:pPr>
              <w:pStyle w:val="31"/>
              <w:jc w:val="both"/>
              <w:rPr>
                <w:rFonts w:hint="eastAsia" w:eastAsia="宋体"/>
                <w:b/>
                <w:kern w:val="2"/>
                <w:lang w:val="zh-CN" w:eastAsia="zh-CN"/>
              </w:rPr>
            </w:pPr>
            <w:r>
              <w:rPr>
                <w:rFonts w:hint="eastAsia"/>
                <w:b/>
                <w:kern w:val="2"/>
                <w:lang w:val="zh-CN"/>
              </w:rPr>
              <w:t>2、</w:t>
            </w:r>
            <w:r>
              <w:rPr>
                <w:rFonts w:hint="eastAsia" w:ascii="宋体" w:hAnsi="宋体" w:eastAsia="宋体" w:cs="宋体"/>
                <w:i w:val="0"/>
                <w:iCs w:val="0"/>
                <w:caps w:val="0"/>
                <w:color w:val="333333"/>
                <w:spacing w:val="0"/>
                <w:sz w:val="21"/>
                <w:szCs w:val="21"/>
                <w:shd w:val="clear" w:fill="FBFDFE"/>
              </w:rPr>
              <w:t>竞标人须提供参加本项目投标活动前三年内，在经营活动中无重大违法记录</w:t>
            </w:r>
            <w:r>
              <w:rPr>
                <w:rFonts w:hint="eastAsia" w:cs="宋体"/>
                <w:i w:val="0"/>
                <w:iCs w:val="0"/>
                <w:caps w:val="0"/>
                <w:color w:val="333333"/>
                <w:spacing w:val="0"/>
                <w:sz w:val="21"/>
                <w:szCs w:val="21"/>
                <w:shd w:val="clear" w:fill="FBFDFE"/>
                <w:lang w:eastAsia="zh-CN"/>
              </w:rPr>
              <w:t>；</w:t>
            </w:r>
          </w:p>
          <w:p>
            <w:pPr>
              <w:pStyle w:val="31"/>
              <w:jc w:val="both"/>
              <w:rPr>
                <w:kern w:val="2"/>
                <w:lang w:val="zh-CN"/>
              </w:rPr>
            </w:pPr>
            <w:r>
              <w:rPr>
                <w:rFonts w:hint="eastAsia"/>
                <w:kern w:val="2"/>
                <w:sz w:val="21"/>
                <w:szCs w:val="21"/>
                <w:lang w:val="zh-CN"/>
              </w:rPr>
              <w:t>根据《政府采购促进中小企业发展管理办法》（财库〔2020〕46号）的规定,不得以企业注册资本、资产总额、营业收入、从业人员、利润、纳税额等规模条件和财务指标作为供应商的资格要求或者评审因素，不得在企业股权结构、经营年限等方面对中小企业实行差别待遇或者歧视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24"/>
              </w:rPr>
            </w:pPr>
            <w:r>
              <w:rPr>
                <w:rFonts w:ascii="宋体" w:hAnsi="宋体"/>
                <w:sz w:val="24"/>
              </w:rPr>
              <w:t>5</w:t>
            </w:r>
          </w:p>
        </w:tc>
        <w:tc>
          <w:tcPr>
            <w:tcW w:w="1556" w:type="dxa"/>
            <w:vMerge w:val="restart"/>
            <w:vAlign w:val="center"/>
          </w:tcPr>
          <w:p>
            <w:pPr>
              <w:pStyle w:val="31"/>
              <w:ind w:left="96"/>
              <w:jc w:val="center"/>
              <w:rPr>
                <w:rFonts w:hint="eastAsia"/>
                <w:kern w:val="2"/>
                <w:lang w:val="zh-CN"/>
              </w:rPr>
            </w:pPr>
            <w:r>
              <w:rPr>
                <w:kern w:val="2"/>
                <w:lang w:val="zh-CN"/>
              </w:rPr>
              <w:t>是否</w:t>
            </w:r>
            <w:r>
              <w:rPr>
                <w:rFonts w:hint="eastAsia"/>
                <w:kern w:val="2"/>
                <w:lang w:val="zh-CN"/>
              </w:rPr>
              <w:t>接受</w:t>
            </w:r>
            <w:r>
              <w:rPr>
                <w:kern w:val="2"/>
                <w:lang w:val="zh-CN"/>
              </w:rPr>
              <w:br w:type="textWrapping"/>
            </w:r>
            <w:r>
              <w:rPr>
                <w:kern w:val="2"/>
                <w:lang w:val="zh-CN"/>
              </w:rPr>
              <w:t>联合体投标</w:t>
            </w:r>
          </w:p>
        </w:tc>
        <w:tc>
          <w:tcPr>
            <w:tcW w:w="7067" w:type="dxa"/>
            <w:vAlign w:val="center"/>
          </w:tcPr>
          <w:p>
            <w:pPr>
              <w:pStyle w:val="31"/>
              <w:jc w:val="both"/>
              <w:rPr>
                <w:b/>
                <w:kern w:val="2"/>
                <w:lang w:val="zh-CN"/>
              </w:rPr>
            </w:pPr>
            <w:r>
              <w:rPr>
                <w:rFonts w:hint="eastAsia"/>
                <w:b/>
                <w:kern w:val="2"/>
                <w:lang w:val="zh-CN"/>
              </w:rPr>
              <w:t>○接受</w:t>
            </w:r>
          </w:p>
          <w:p>
            <w:pPr>
              <w:pStyle w:val="31"/>
              <w:jc w:val="both"/>
              <w:rPr>
                <w:rFonts w:hint="eastAsia"/>
                <w:b/>
                <w:kern w:val="2"/>
                <w:lang w:val="zh-CN"/>
              </w:rPr>
            </w:pPr>
            <w:r>
              <w:rPr>
                <w:rFonts w:hint="eastAsia"/>
                <w:color w:val="0000FF"/>
                <w:kern w:val="2"/>
                <w:sz w:val="21"/>
                <w:szCs w:val="21"/>
                <w:lang w:val="zh-CN"/>
              </w:rPr>
              <w:t>对于联合体协议或者分包意向协议约定小微企业的合同份额占到合同总金额30%以上的，对联合体或者大中型企业的报价</w:t>
            </w:r>
            <w:r>
              <w:rPr>
                <w:rFonts w:hint="eastAsia"/>
                <w:b/>
                <w:color w:val="0000FF"/>
                <w:kern w:val="2"/>
                <w:sz w:val="21"/>
                <w:szCs w:val="21"/>
                <w:lang w:val="zh-CN"/>
              </w:rPr>
              <w:t>给予___%（</w:t>
            </w:r>
            <w:r>
              <w:rPr>
                <w:rFonts w:hint="eastAsia"/>
                <w:b/>
                <w:color w:val="0000FF"/>
                <w:kern w:val="2"/>
                <w:sz w:val="21"/>
                <w:szCs w:val="21"/>
                <w:lang w:val="en-US" w:eastAsia="zh-CN"/>
              </w:rPr>
              <w:t>4</w:t>
            </w:r>
            <w:r>
              <w:rPr>
                <w:rFonts w:hint="eastAsia"/>
                <w:b/>
                <w:color w:val="0000FF"/>
                <w:kern w:val="2"/>
                <w:sz w:val="21"/>
                <w:szCs w:val="21"/>
                <w:lang w:val="zh-CN"/>
              </w:rPr>
              <w:t>%-</w:t>
            </w:r>
            <w:r>
              <w:rPr>
                <w:rFonts w:hint="eastAsia"/>
                <w:b/>
                <w:color w:val="0000FF"/>
                <w:kern w:val="2"/>
                <w:sz w:val="21"/>
                <w:szCs w:val="21"/>
                <w:lang w:val="en-US" w:eastAsia="zh-CN"/>
              </w:rPr>
              <w:t>6</w:t>
            </w:r>
            <w:r>
              <w:rPr>
                <w:b/>
                <w:color w:val="0000FF"/>
                <w:kern w:val="2"/>
                <w:sz w:val="21"/>
                <w:szCs w:val="21"/>
                <w:lang w:val="zh-CN"/>
              </w:rPr>
              <w:t>%</w:t>
            </w:r>
            <w:r>
              <w:rPr>
                <w:rFonts w:hint="eastAsia"/>
                <w:b/>
                <w:color w:val="0000FF"/>
                <w:kern w:val="2"/>
                <w:sz w:val="21"/>
                <w:szCs w:val="21"/>
                <w:lang w:val="zh-CN"/>
              </w:rPr>
              <w:t>）的扣除</w:t>
            </w:r>
            <w:r>
              <w:rPr>
                <w:rFonts w:hint="eastAsia"/>
                <w:color w:val="0000FF"/>
                <w:kern w:val="2"/>
                <w:sz w:val="21"/>
                <w:szCs w:val="21"/>
                <w:lang w:val="zh-CN"/>
              </w:rPr>
              <w:t>，用扣除后的报价参加评审。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sz w:val="24"/>
              </w:rPr>
            </w:pPr>
          </w:p>
        </w:tc>
        <w:tc>
          <w:tcPr>
            <w:tcW w:w="1556" w:type="dxa"/>
            <w:vMerge w:val="continue"/>
            <w:vAlign w:val="center"/>
          </w:tcPr>
          <w:p>
            <w:pPr>
              <w:pStyle w:val="31"/>
              <w:ind w:left="96"/>
              <w:jc w:val="center"/>
              <w:rPr>
                <w:kern w:val="2"/>
                <w:lang w:val="zh-CN"/>
              </w:rPr>
            </w:pPr>
          </w:p>
        </w:tc>
        <w:tc>
          <w:tcPr>
            <w:tcW w:w="7067" w:type="dxa"/>
            <w:vAlign w:val="center"/>
          </w:tcPr>
          <w:p>
            <w:pPr>
              <w:pStyle w:val="31"/>
              <w:jc w:val="both"/>
              <w:rPr>
                <w:rFonts w:hint="eastAsia"/>
                <w:b/>
                <w:kern w:val="2"/>
                <w:lang w:val="zh-CN"/>
              </w:rPr>
            </w:pPr>
            <w:r>
              <w:rPr>
                <w:rFonts w:hint="eastAsia"/>
                <w:b/>
                <w:kern w:val="2"/>
                <w:lang w:val="en-US" w:eastAsia="zh-CN"/>
              </w:rPr>
              <w:t>√</w:t>
            </w:r>
            <w:r>
              <w:rPr>
                <w:rFonts w:hint="eastAsia"/>
                <w:b/>
                <w:kern w:val="2"/>
                <w:lang w:val="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24"/>
              </w:rPr>
            </w:pPr>
            <w:r>
              <w:rPr>
                <w:rFonts w:ascii="宋体" w:hAnsi="宋体"/>
                <w:sz w:val="24"/>
              </w:rPr>
              <w:t>6</w:t>
            </w:r>
          </w:p>
        </w:tc>
        <w:tc>
          <w:tcPr>
            <w:tcW w:w="1556" w:type="dxa"/>
            <w:vMerge w:val="restart"/>
            <w:vAlign w:val="center"/>
          </w:tcPr>
          <w:p>
            <w:pPr>
              <w:pStyle w:val="31"/>
              <w:ind w:left="96"/>
              <w:jc w:val="center"/>
              <w:rPr>
                <w:kern w:val="2"/>
                <w:lang w:val="zh-CN"/>
              </w:rPr>
            </w:pPr>
            <w:r>
              <w:rPr>
                <w:kern w:val="2"/>
                <w:lang w:val="zh-CN"/>
              </w:rPr>
              <w:t>履约保证金</w:t>
            </w:r>
          </w:p>
        </w:tc>
        <w:tc>
          <w:tcPr>
            <w:tcW w:w="7067" w:type="dxa"/>
            <w:vAlign w:val="center"/>
          </w:tcPr>
          <w:p>
            <w:pPr>
              <w:ind w:right="94" w:rightChars="45"/>
              <w:rPr>
                <w:rFonts w:ascii="宋体" w:hAnsi="宋体"/>
                <w:b/>
                <w:sz w:val="24"/>
              </w:rPr>
            </w:pPr>
            <w:r>
              <w:rPr>
                <w:rFonts w:ascii="宋体" w:hAnsi="宋体"/>
                <w:b/>
                <w:sz w:val="24"/>
              </w:rPr>
              <w:t>占政府采购合同金额的</w:t>
            </w:r>
            <w:r>
              <w:rPr>
                <w:rFonts w:hint="eastAsia" w:ascii="宋体" w:hAnsi="宋体"/>
                <w:b/>
                <w:sz w:val="24"/>
              </w:rPr>
              <w:t>_</w:t>
            </w:r>
            <w:r>
              <w:rPr>
                <w:rFonts w:hint="eastAsia" w:ascii="宋体" w:hAnsi="宋体"/>
                <w:b/>
                <w:sz w:val="24"/>
                <w:u w:val="single"/>
                <w:lang w:val="en-US" w:eastAsia="zh-CN"/>
              </w:rPr>
              <w:t>0</w:t>
            </w:r>
            <w:r>
              <w:rPr>
                <w:rFonts w:hint="eastAsia" w:ascii="宋体" w:hAnsi="宋体"/>
                <w:b/>
                <w:sz w:val="24"/>
              </w:rPr>
              <w:t>__%</w:t>
            </w:r>
          </w:p>
          <w:p>
            <w:pPr>
              <w:ind w:right="94" w:rightChars="45"/>
              <w:rPr>
                <w:rFonts w:hint="eastAsia" w:ascii="宋体" w:hAnsi="宋体"/>
                <w:szCs w:val="21"/>
              </w:rPr>
            </w:pPr>
            <w:r>
              <w:rPr>
                <w:rFonts w:hint="eastAsia" w:ascii="宋体" w:hAnsi="宋体"/>
                <w:szCs w:val="21"/>
              </w:rPr>
              <w:t>履约保证金的数额不得超过政府采购合同金额的10%；对于单价合同，其数额不得超过采购预算的10%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sz w:val="24"/>
              </w:rPr>
            </w:pPr>
          </w:p>
        </w:tc>
        <w:tc>
          <w:tcPr>
            <w:tcW w:w="1556" w:type="dxa"/>
            <w:vMerge w:val="continue"/>
            <w:vAlign w:val="center"/>
          </w:tcPr>
          <w:p>
            <w:pPr>
              <w:pStyle w:val="31"/>
              <w:ind w:left="96"/>
              <w:jc w:val="center"/>
              <w:rPr>
                <w:kern w:val="2"/>
                <w:lang w:val="zh-CN"/>
              </w:rPr>
            </w:pPr>
          </w:p>
        </w:tc>
        <w:tc>
          <w:tcPr>
            <w:tcW w:w="7067" w:type="dxa"/>
            <w:vAlign w:val="center"/>
          </w:tcPr>
          <w:p>
            <w:pPr>
              <w:ind w:right="94" w:rightChars="45"/>
              <w:rPr>
                <w:rFonts w:ascii="宋体" w:hAnsi="宋体"/>
                <w:b/>
                <w:sz w:val="24"/>
              </w:rPr>
            </w:pPr>
            <w:r>
              <w:rPr>
                <w:rFonts w:ascii="宋体" w:hAnsi="宋体"/>
                <w:b/>
                <w:sz w:val="24"/>
              </w:rPr>
              <w:t>○由采购单位自行收退</w:t>
            </w:r>
          </w:p>
          <w:p>
            <w:pPr>
              <w:ind w:right="94" w:rightChars="45"/>
              <w:rPr>
                <w:rFonts w:hint="eastAsia" w:ascii="宋体" w:hAnsi="宋体"/>
                <w:b/>
                <w:sz w:val="24"/>
              </w:rPr>
            </w:pPr>
            <w:r>
              <w:rPr>
                <w:rFonts w:ascii="宋体" w:hAnsi="宋体"/>
                <w:b/>
                <w:sz w:val="24"/>
              </w:rPr>
              <w:t>○由代理机构</w:t>
            </w:r>
            <w:bookmarkStart w:id="0" w:name="_GoBack"/>
            <w:bookmarkEnd w:id="0"/>
            <w:r>
              <w:rPr>
                <w:rFonts w:ascii="宋体" w:hAnsi="宋体"/>
                <w:b/>
                <w:sz w:val="24"/>
              </w:rPr>
              <w:t>负责收退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7</w:t>
            </w:r>
          </w:p>
        </w:tc>
        <w:tc>
          <w:tcPr>
            <w:tcW w:w="1556" w:type="dxa"/>
            <w:vAlign w:val="center"/>
          </w:tcPr>
          <w:p>
            <w:pPr>
              <w:pStyle w:val="31"/>
              <w:ind w:left="96"/>
              <w:jc w:val="center"/>
              <w:rPr>
                <w:kern w:val="2"/>
                <w:lang w:val="zh-CN"/>
              </w:rPr>
            </w:pPr>
            <w:r>
              <w:rPr>
                <w:kern w:val="2"/>
                <w:lang w:val="zh-CN"/>
              </w:rPr>
              <w:t>集中答疑</w:t>
            </w:r>
          </w:p>
        </w:tc>
        <w:tc>
          <w:tcPr>
            <w:tcW w:w="7067" w:type="dxa"/>
            <w:vAlign w:val="center"/>
          </w:tcPr>
          <w:p>
            <w:pPr>
              <w:ind w:right="94" w:rightChars="45"/>
              <w:rPr>
                <w:rFonts w:hint="eastAsia" w:ascii="宋体" w:hAnsi="宋体"/>
                <w:b/>
                <w:sz w:val="24"/>
              </w:rPr>
            </w:pPr>
            <w:r>
              <w:rPr>
                <w:rFonts w:ascii="宋体" w:hAnsi="宋体"/>
                <w:b/>
                <w:sz w:val="24"/>
              </w:rPr>
              <w:t>○组织，答疑地点为：</w:t>
            </w:r>
            <w:r>
              <w:rPr>
                <w:rFonts w:hint="eastAsia" w:ascii="宋体" w:hAnsi="宋体"/>
                <w:b/>
                <w:sz w:val="24"/>
              </w:rPr>
              <w:t>_______________________</w:t>
            </w:r>
          </w:p>
          <w:p>
            <w:pPr>
              <w:ind w:right="94" w:rightChars="45"/>
              <w:rPr>
                <w:rFonts w:ascii="宋体" w:hAnsi="宋体"/>
                <w:b/>
                <w:sz w:val="24"/>
              </w:rPr>
            </w:pPr>
            <w:r>
              <w:rPr>
                <w:rFonts w:hint="eastAsia" w:ascii="宋体" w:hAnsi="宋体"/>
                <w:b/>
                <w:sz w:val="24"/>
                <w:lang w:val="en-US" w:eastAsia="zh-CN"/>
              </w:rPr>
              <w:t>√</w:t>
            </w:r>
            <w:r>
              <w:rPr>
                <w:rFonts w:ascii="宋体" w:hAnsi="宋体"/>
                <w:b/>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8</w:t>
            </w:r>
          </w:p>
        </w:tc>
        <w:tc>
          <w:tcPr>
            <w:tcW w:w="1556" w:type="dxa"/>
            <w:vAlign w:val="center"/>
          </w:tcPr>
          <w:p>
            <w:pPr>
              <w:pStyle w:val="31"/>
              <w:ind w:left="96"/>
              <w:jc w:val="center"/>
              <w:rPr>
                <w:kern w:val="2"/>
                <w:lang w:val="zh-CN"/>
              </w:rPr>
            </w:pPr>
            <w:r>
              <w:rPr>
                <w:kern w:val="2"/>
                <w:lang w:val="zh-CN"/>
              </w:rPr>
              <w:t>价格分比重</w:t>
            </w:r>
          </w:p>
        </w:tc>
        <w:tc>
          <w:tcPr>
            <w:tcW w:w="7067" w:type="dxa"/>
            <w:vAlign w:val="center"/>
          </w:tcPr>
          <w:p>
            <w:pPr>
              <w:widowControl/>
              <w:rPr>
                <w:rFonts w:hint="eastAsia" w:ascii="宋体" w:hAnsi="宋体" w:cs="宋体"/>
                <w:b/>
                <w:kern w:val="0"/>
                <w:sz w:val="24"/>
                <w:szCs w:val="24"/>
                <w:lang w:val="zh-CN"/>
              </w:rPr>
            </w:pPr>
            <w:r>
              <w:rPr>
                <w:rFonts w:ascii="宋体" w:hAnsi="宋体" w:cs="宋体"/>
                <w:b/>
                <w:kern w:val="0"/>
                <w:sz w:val="24"/>
                <w:szCs w:val="24"/>
                <w:lang w:val="zh-CN"/>
              </w:rPr>
              <w:t>占总分值的</w:t>
            </w:r>
            <w:r>
              <w:rPr>
                <w:rFonts w:hint="eastAsia" w:ascii="宋体" w:hAnsi="宋体" w:cs="宋体"/>
                <w:b/>
                <w:kern w:val="0"/>
                <w:sz w:val="24"/>
                <w:szCs w:val="24"/>
                <w:u w:val="single"/>
                <w:lang w:val="en-US" w:eastAsia="zh-CN"/>
              </w:rPr>
              <w:t xml:space="preserve">  10  </w:t>
            </w:r>
            <w:r>
              <w:rPr>
                <w:rFonts w:hint="eastAsia" w:ascii="宋体" w:hAnsi="宋体" w:cs="宋体"/>
                <w:b/>
                <w:kern w:val="0"/>
                <w:sz w:val="24"/>
                <w:szCs w:val="24"/>
                <w:lang w:val="zh-CN"/>
              </w:rPr>
              <w:t>%</w:t>
            </w:r>
          </w:p>
          <w:p>
            <w:pPr>
              <w:widowControl/>
              <w:rPr>
                <w:rFonts w:ascii="宋体" w:hAnsi="宋体" w:cs="宋体"/>
                <w:kern w:val="0"/>
                <w:szCs w:val="21"/>
                <w:lang w:val="zh-CN"/>
              </w:rPr>
            </w:pPr>
            <w:r>
              <w:rPr>
                <w:rFonts w:hint="eastAsia" w:ascii="宋体" w:hAnsi="宋体" w:cs="宋体"/>
                <w:kern w:val="0"/>
                <w:szCs w:val="21"/>
                <w:lang w:val="zh-CN"/>
              </w:rPr>
              <w:t>[招标]根据《政府采购货物和服务招标投标管理办法》（财政部87号令）的规定，综合</w:t>
            </w:r>
            <w:r>
              <w:rPr>
                <w:rFonts w:ascii="宋体" w:hAnsi="宋体" w:cs="宋体"/>
                <w:kern w:val="0"/>
                <w:szCs w:val="21"/>
                <w:lang w:val="zh-CN"/>
              </w:rPr>
              <w:t>评分法服务</w:t>
            </w:r>
            <w:r>
              <w:rPr>
                <w:rFonts w:hint="eastAsia" w:ascii="宋体" w:hAnsi="宋体" w:cs="宋体"/>
                <w:kern w:val="0"/>
                <w:szCs w:val="21"/>
                <w:lang w:val="zh-CN"/>
              </w:rPr>
              <w:t>项目的价格分值占总分值的比重不得低于</w:t>
            </w:r>
            <w:r>
              <w:rPr>
                <w:rFonts w:ascii="宋体" w:hAnsi="宋体" w:cs="宋体"/>
                <w:kern w:val="0"/>
                <w:szCs w:val="21"/>
                <w:lang w:val="zh-CN"/>
              </w:rPr>
              <w:t>1</w:t>
            </w:r>
            <w:r>
              <w:rPr>
                <w:rFonts w:hint="eastAsia" w:ascii="宋体" w:hAnsi="宋体" w:cs="宋体"/>
                <w:kern w:val="0"/>
                <w:szCs w:val="21"/>
                <w:lang w:val="zh-CN"/>
              </w:rPr>
              <w:t>0%。执行国家统一定价标准和采用固定价格采购的项目，其价格不列为评审因素。</w:t>
            </w:r>
          </w:p>
          <w:p>
            <w:pPr>
              <w:widowControl/>
              <w:rPr>
                <w:rFonts w:hint="eastAsia" w:ascii="宋体" w:hAnsi="宋体" w:cs="宋体"/>
                <w:kern w:val="0"/>
                <w:szCs w:val="21"/>
                <w:lang w:val="zh-CN"/>
              </w:rPr>
            </w:pPr>
            <w:r>
              <w:rPr>
                <w:rFonts w:ascii="宋体" w:hAnsi="宋体" w:cs="宋体"/>
                <w:kern w:val="0"/>
                <w:szCs w:val="21"/>
                <w:lang w:val="zh-CN"/>
              </w:rPr>
              <w:t>[磋商</w:t>
            </w:r>
            <w:r>
              <w:rPr>
                <w:rFonts w:hint="eastAsia" w:ascii="宋体" w:hAnsi="宋体" w:cs="宋体"/>
                <w:kern w:val="0"/>
                <w:szCs w:val="21"/>
                <w:lang w:val="zh-CN"/>
              </w:rPr>
              <w:t>]根据《政府采购竞争性磋商采购方式管理暂行办法》（财库〔2014〕214号）的规定，服务项目的价格分值占总分值的比重(即权值)为</w:t>
            </w:r>
            <w:r>
              <w:rPr>
                <w:rFonts w:ascii="宋体" w:hAnsi="宋体" w:cs="宋体"/>
                <w:kern w:val="0"/>
                <w:szCs w:val="21"/>
                <w:lang w:val="zh-CN"/>
              </w:rPr>
              <w:t>1</w:t>
            </w:r>
            <w:r>
              <w:rPr>
                <w:rFonts w:hint="eastAsia" w:ascii="宋体" w:hAnsi="宋体" w:cs="宋体"/>
                <w:kern w:val="0"/>
                <w:szCs w:val="21"/>
                <w:lang w:val="zh-CN"/>
              </w:rPr>
              <w:t>0%-</w:t>
            </w:r>
            <w:r>
              <w:rPr>
                <w:rFonts w:ascii="宋体" w:hAnsi="宋体" w:cs="宋体"/>
                <w:kern w:val="0"/>
                <w:szCs w:val="21"/>
                <w:lang w:val="zh-CN"/>
              </w:rPr>
              <w:t>3</w:t>
            </w:r>
            <w:r>
              <w:rPr>
                <w:rFonts w:hint="eastAsia" w:ascii="宋体" w:hAnsi="宋体" w:cs="宋体"/>
                <w:kern w:val="0"/>
                <w:szCs w:val="21"/>
                <w:lang w:val="zh-CN"/>
              </w:rPr>
              <w:t>0%。</w:t>
            </w:r>
          </w:p>
          <w:p>
            <w:pPr>
              <w:widowControl/>
              <w:rPr>
                <w:rFonts w:hint="eastAsia" w:ascii="宋体" w:hAnsi="宋体" w:cs="宋体"/>
                <w:kern w:val="0"/>
                <w:szCs w:val="21"/>
                <w:lang w:val="zh-CN"/>
              </w:rPr>
            </w:pPr>
            <w:r>
              <w:rPr>
                <w:rFonts w:hint="eastAsia" w:ascii="宋体" w:hAnsi="宋体" w:cs="宋体"/>
                <w:kern w:val="0"/>
                <w:szCs w:val="21"/>
                <w:lang w:val="zh-CN"/>
              </w:rPr>
              <w:t>[其他采购方式]无须设置。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9</w:t>
            </w:r>
          </w:p>
        </w:tc>
        <w:tc>
          <w:tcPr>
            <w:tcW w:w="1556" w:type="dxa"/>
            <w:vAlign w:val="center"/>
          </w:tcPr>
          <w:p>
            <w:pPr>
              <w:pStyle w:val="31"/>
              <w:ind w:left="96"/>
              <w:jc w:val="center"/>
              <w:rPr>
                <w:kern w:val="2"/>
                <w:lang w:val="zh-CN"/>
              </w:rPr>
            </w:pPr>
            <w:r>
              <w:rPr>
                <w:kern w:val="2"/>
                <w:lang w:val="zh-CN"/>
              </w:rPr>
              <w:t>合同类型</w:t>
            </w:r>
          </w:p>
        </w:tc>
        <w:tc>
          <w:tcPr>
            <w:tcW w:w="7067" w:type="dxa"/>
            <w:vAlign w:val="center"/>
          </w:tcPr>
          <w:p>
            <w:pPr>
              <w:rPr>
                <w:rFonts w:ascii="宋体" w:hAnsi="宋体"/>
                <w:b/>
                <w:sz w:val="24"/>
                <w:lang w:val="zh-CN"/>
              </w:rPr>
            </w:pPr>
            <w:r>
              <w:rPr>
                <w:rFonts w:hint="eastAsia" w:ascii="宋体" w:hAnsi="宋体"/>
                <w:b/>
                <w:sz w:val="24"/>
                <w:lang w:val="en-US" w:eastAsia="zh-CN"/>
              </w:rPr>
              <w:t>√</w:t>
            </w:r>
            <w:r>
              <w:rPr>
                <w:rFonts w:ascii="宋体" w:hAnsi="宋体"/>
                <w:b/>
                <w:sz w:val="24"/>
                <w:lang w:val="zh-CN"/>
              </w:rPr>
              <w:t>固定总价</w:t>
            </w:r>
          </w:p>
          <w:p>
            <w:pPr>
              <w:rPr>
                <w:rFonts w:ascii="宋体" w:hAnsi="宋体"/>
                <w:b/>
                <w:sz w:val="24"/>
                <w:lang w:val="zh-CN"/>
              </w:rPr>
            </w:pPr>
            <w:r>
              <w:rPr>
                <w:rFonts w:ascii="宋体" w:hAnsi="宋体"/>
                <w:b/>
                <w:sz w:val="24"/>
                <w:lang w:val="zh-CN"/>
              </w:rPr>
              <w:t>○固定单价（适用于采购数量不定的情形）</w:t>
            </w:r>
          </w:p>
          <w:p>
            <w:pPr>
              <w:rPr>
                <w:rFonts w:hint="eastAsia" w:ascii="宋体" w:hAnsi="宋体"/>
                <w:sz w:val="24"/>
                <w:lang w:val="zh-CN"/>
              </w:rPr>
            </w:pPr>
            <w:r>
              <w:rPr>
                <w:rFonts w:ascii="宋体" w:hAnsi="宋体"/>
                <w:b/>
                <w:sz w:val="24"/>
                <w:lang w:val="zh-CN"/>
              </w:rPr>
              <w:t>○其他</w:t>
            </w:r>
            <w:r>
              <w:rPr>
                <w:rFonts w:hint="eastAsia" w:ascii="宋体" w:hAnsi="宋体"/>
                <w:b/>
                <w:sz w:val="24"/>
                <w:lang w:val="zh-CN"/>
              </w:rPr>
              <w:t>：_____________________________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10</w:t>
            </w:r>
          </w:p>
        </w:tc>
        <w:tc>
          <w:tcPr>
            <w:tcW w:w="1556" w:type="dxa"/>
            <w:vAlign w:val="center"/>
          </w:tcPr>
          <w:p>
            <w:pPr>
              <w:tabs>
                <w:tab w:val="left" w:pos="7665"/>
              </w:tabs>
              <w:snapToGrid w:val="0"/>
              <w:jc w:val="center"/>
              <w:rPr>
                <w:rFonts w:ascii="宋体" w:hAnsi="宋体"/>
                <w:sz w:val="24"/>
              </w:rPr>
            </w:pPr>
            <w:r>
              <w:rPr>
                <w:rFonts w:ascii="宋体" w:hAnsi="宋体"/>
                <w:sz w:val="24"/>
              </w:rPr>
              <w:t>争议解决途径</w:t>
            </w:r>
          </w:p>
        </w:tc>
        <w:tc>
          <w:tcPr>
            <w:tcW w:w="7067" w:type="dxa"/>
            <w:vAlign w:val="center"/>
          </w:tcPr>
          <w:p>
            <w:pPr>
              <w:tabs>
                <w:tab w:val="left" w:pos="7665"/>
              </w:tabs>
              <w:snapToGrid w:val="0"/>
              <w:rPr>
                <w:rFonts w:ascii="宋体" w:hAnsi="宋体"/>
                <w:b/>
                <w:sz w:val="24"/>
              </w:rPr>
            </w:pPr>
            <w:r>
              <w:rPr>
                <w:rFonts w:hint="eastAsia" w:ascii="宋体" w:hAnsi="宋体"/>
                <w:b/>
                <w:sz w:val="24"/>
                <w:lang w:val="en-US" w:eastAsia="zh-CN"/>
              </w:rPr>
              <w:t>√</w:t>
            </w:r>
            <w:r>
              <w:rPr>
                <w:rFonts w:ascii="宋体" w:hAnsi="宋体"/>
                <w:b/>
                <w:sz w:val="24"/>
              </w:rPr>
              <w:t>向有管辖权的人民法院提起诉讼</w:t>
            </w:r>
          </w:p>
          <w:p>
            <w:pPr>
              <w:tabs>
                <w:tab w:val="left" w:pos="7665"/>
              </w:tabs>
              <w:snapToGrid w:val="0"/>
              <w:rPr>
                <w:rFonts w:ascii="宋体" w:hAnsi="宋体"/>
                <w:b/>
                <w:sz w:val="24"/>
              </w:rPr>
            </w:pPr>
            <w:r>
              <w:rPr>
                <w:rFonts w:ascii="宋体" w:hAnsi="宋体"/>
                <w:b/>
                <w:sz w:val="24"/>
              </w:rPr>
              <w:t>○向西安仲裁委员会提请仲裁</w:t>
            </w:r>
          </w:p>
          <w:p>
            <w:pPr>
              <w:tabs>
                <w:tab w:val="left" w:pos="7665"/>
              </w:tabs>
              <w:snapToGrid w:val="0"/>
              <w:rPr>
                <w:rFonts w:hint="eastAsia" w:ascii="宋体" w:hAnsi="宋体"/>
                <w:sz w:val="24"/>
              </w:rPr>
            </w:pPr>
            <w:r>
              <w:rPr>
                <w:rFonts w:ascii="宋体" w:hAnsi="宋体"/>
                <w:b/>
                <w:sz w:val="24"/>
              </w:rPr>
              <w:t>○由供应商做出选择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11</w:t>
            </w:r>
          </w:p>
        </w:tc>
        <w:tc>
          <w:tcPr>
            <w:tcW w:w="1556" w:type="dxa"/>
            <w:vAlign w:val="center"/>
          </w:tcPr>
          <w:p>
            <w:pPr>
              <w:snapToGrid w:val="0"/>
              <w:jc w:val="center"/>
              <w:rPr>
                <w:rFonts w:hint="eastAsia" w:ascii="宋体" w:hAnsi="宋体"/>
                <w:sz w:val="24"/>
              </w:rPr>
            </w:pPr>
            <w:r>
              <w:rPr>
                <w:rFonts w:hint="eastAsia" w:ascii="宋体" w:hAnsi="宋体"/>
                <w:sz w:val="24"/>
              </w:rPr>
              <w:t>联系方式</w:t>
            </w:r>
          </w:p>
        </w:tc>
        <w:tc>
          <w:tcPr>
            <w:tcW w:w="7067" w:type="dxa"/>
            <w:vAlign w:val="center"/>
          </w:tcPr>
          <w:p>
            <w:pPr>
              <w:tabs>
                <w:tab w:val="left" w:pos="7665"/>
              </w:tabs>
              <w:snapToGrid w:val="0"/>
              <w:rPr>
                <w:rFonts w:hint="eastAsia" w:ascii="宋体" w:hAnsi="宋体"/>
                <w:b/>
                <w:bCs/>
                <w:sz w:val="24"/>
              </w:rPr>
            </w:pPr>
            <w:r>
              <w:rPr>
                <w:rFonts w:hint="eastAsia" w:ascii="宋体" w:hAnsi="宋体"/>
                <w:b/>
                <w:bCs/>
                <w:sz w:val="24"/>
              </w:rPr>
              <w:t>项目对接人：_____________</w:t>
            </w:r>
          </w:p>
          <w:p>
            <w:pPr>
              <w:tabs>
                <w:tab w:val="left" w:pos="7665"/>
              </w:tabs>
              <w:snapToGrid w:val="0"/>
              <w:rPr>
                <w:rFonts w:hint="eastAsia" w:ascii="宋体" w:hAnsi="宋体"/>
                <w:b/>
                <w:bCs/>
                <w:sz w:val="24"/>
              </w:rPr>
            </w:pPr>
            <w:r>
              <w:rPr>
                <w:rFonts w:ascii="宋体" w:hAnsi="宋体"/>
                <w:b/>
                <w:bCs/>
                <w:sz w:val="24"/>
              </w:rPr>
              <w:t>联系电话：</w:t>
            </w:r>
            <w:r>
              <w:rPr>
                <w:rFonts w:hint="eastAsia" w:ascii="宋体" w:hAnsi="宋体"/>
                <w:b/>
                <w:bCs/>
                <w:sz w:val="24"/>
              </w:rPr>
              <w:t>_______________</w:t>
            </w:r>
          </w:p>
          <w:p>
            <w:pPr>
              <w:tabs>
                <w:tab w:val="left" w:pos="7665"/>
              </w:tabs>
              <w:snapToGrid w:val="0"/>
              <w:rPr>
                <w:rFonts w:hint="eastAsia" w:ascii="宋体" w:hAnsi="宋体"/>
                <w:sz w:val="24"/>
              </w:rPr>
            </w:pPr>
            <w:r>
              <w:rPr>
                <w:rFonts w:ascii="宋体" w:hAnsi="宋体"/>
                <w:b/>
                <w:bCs/>
                <w:sz w:val="24"/>
              </w:rPr>
              <w:t>电子邮箱：</w:t>
            </w:r>
            <w:r>
              <w:rPr>
                <w:rFonts w:hint="eastAsia" w:ascii="宋体" w:hAnsi="宋体"/>
                <w:b/>
                <w:bCs/>
                <w:sz w:val="24"/>
              </w:rPr>
              <w:t>_______________</w:t>
            </w:r>
          </w:p>
        </w:tc>
      </w:tr>
    </w:tbl>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r>
        <w:rPr>
          <w:rFonts w:ascii="仿宋" w:hAnsi="仿宋" w:eastAsia="仿宋"/>
          <w:b/>
          <w:sz w:val="32"/>
          <w:szCs w:val="32"/>
        </w:rPr>
        <w:t>需求框架</w:t>
      </w:r>
      <w:r>
        <w:rPr>
          <w:rFonts w:hint="eastAsia" w:ascii="仿宋" w:hAnsi="仿宋" w:eastAsia="仿宋"/>
          <w:b/>
          <w:sz w:val="32"/>
          <w:szCs w:val="32"/>
        </w:rPr>
        <w:t>（服务类</w:t>
      </w:r>
      <w:r>
        <w:rPr>
          <w:rFonts w:ascii="仿宋" w:hAnsi="仿宋" w:eastAsia="仿宋"/>
          <w:b/>
          <w:sz w:val="32"/>
          <w:szCs w:val="32"/>
        </w:rPr>
        <w:t>）</w:t>
      </w:r>
    </w:p>
    <w:p>
      <w:pPr>
        <w:pBdr>
          <w:bottom w:val="single" w:color="auto" w:sz="4" w:space="1"/>
        </w:pBdr>
        <w:spacing w:before="312" w:beforeLines="100"/>
        <w:ind w:left="420" w:hanging="420"/>
        <w:rPr>
          <w:rFonts w:ascii="仿宋" w:hAnsi="仿宋" w:eastAsia="仿宋"/>
          <w:b/>
          <w:sz w:val="28"/>
          <w:szCs w:val="28"/>
        </w:rPr>
      </w:pPr>
      <w:r>
        <w:rPr>
          <w:rFonts w:ascii="仿宋" w:hAnsi="仿宋" w:eastAsia="仿宋"/>
          <w:b/>
          <w:sz w:val="28"/>
          <w:szCs w:val="28"/>
        </w:rPr>
        <w:t>一、项目</w:t>
      </w:r>
      <w:r>
        <w:rPr>
          <w:rFonts w:hint="eastAsia" w:ascii="仿宋" w:hAnsi="仿宋" w:eastAsia="仿宋"/>
          <w:b/>
          <w:sz w:val="28"/>
          <w:szCs w:val="28"/>
        </w:rPr>
        <w:t>概况</w:t>
      </w:r>
    </w:p>
    <w:p>
      <w:pPr>
        <w:ind w:firstLine="560" w:firstLineChars="200"/>
        <w:rPr>
          <w:rFonts w:ascii="仿宋" w:hAnsi="仿宋" w:eastAsia="仿宋"/>
          <w:sz w:val="28"/>
          <w:szCs w:val="28"/>
        </w:rPr>
      </w:pPr>
      <w:r>
        <w:rPr>
          <w:rFonts w:hint="eastAsia" w:ascii="仿宋" w:hAnsi="仿宋" w:eastAsia="仿宋"/>
          <w:sz w:val="28"/>
          <w:szCs w:val="28"/>
        </w:rPr>
        <w:t>用简要扼要的描述，清晰表达采购意图，目的是让服务商对项目需求有整体上的了解，引起服务商参与的积极性。</w:t>
      </w:r>
      <w:r>
        <w:rPr>
          <w:rFonts w:ascii="仿宋" w:hAnsi="仿宋" w:eastAsia="仿宋"/>
          <w:sz w:val="28"/>
          <w:szCs w:val="28"/>
        </w:rPr>
        <w:t>与</w:t>
      </w:r>
      <w:r>
        <w:rPr>
          <w:rFonts w:hint="eastAsia" w:ascii="仿宋" w:hAnsi="仿宋" w:eastAsia="仿宋"/>
          <w:sz w:val="28"/>
          <w:szCs w:val="28"/>
        </w:rPr>
        <w:t>本次项目</w:t>
      </w:r>
      <w:r>
        <w:rPr>
          <w:rFonts w:ascii="仿宋" w:hAnsi="仿宋" w:eastAsia="仿宋"/>
          <w:sz w:val="28"/>
          <w:szCs w:val="28"/>
        </w:rPr>
        <w:t>无关的文字</w:t>
      </w:r>
      <w:r>
        <w:rPr>
          <w:rFonts w:hint="eastAsia" w:ascii="仿宋" w:hAnsi="仿宋" w:eastAsia="仿宋"/>
          <w:sz w:val="28"/>
          <w:szCs w:val="28"/>
        </w:rPr>
        <w:t>请</w:t>
      </w:r>
      <w:r>
        <w:rPr>
          <w:rFonts w:ascii="仿宋" w:hAnsi="仿宋" w:eastAsia="仿宋"/>
          <w:sz w:val="28"/>
          <w:szCs w:val="28"/>
        </w:rPr>
        <w:t>尽量精简。</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根据《西安市鄠邑区国土空间规划编制工作方案》要求，全面开展全区国土空间规划编制工作，我局承担文化服务设施、区全域旅游、区文物保护管理、区体育设施空间布局等4项专项规划任务。</w:t>
      </w:r>
    </w:p>
    <w:p>
      <w:pPr>
        <w:pBdr>
          <w:bottom w:val="single" w:color="auto" w:sz="4" w:space="1"/>
        </w:pBdr>
        <w:spacing w:before="312" w:beforeLines="100"/>
        <w:ind w:left="420" w:hanging="420"/>
        <w:rPr>
          <w:rFonts w:ascii="仿宋" w:hAnsi="仿宋" w:eastAsia="仿宋"/>
          <w:b/>
          <w:sz w:val="28"/>
          <w:szCs w:val="28"/>
        </w:rPr>
      </w:pPr>
      <w:r>
        <w:rPr>
          <w:rFonts w:hint="eastAsia" w:ascii="仿宋" w:hAnsi="仿宋" w:eastAsia="仿宋"/>
          <w:b/>
          <w:sz w:val="28"/>
          <w:szCs w:val="28"/>
        </w:rPr>
        <w:t>二、服务内容（包括工作区域、工作内容等）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sz w:val="28"/>
          <w:szCs w:val="28"/>
        </w:rPr>
      </w:pPr>
      <w:r>
        <w:rPr>
          <w:rFonts w:hint="eastAsia" w:ascii="仿宋" w:hAnsi="仿宋" w:eastAsia="仿宋"/>
          <w:sz w:val="28"/>
          <w:szCs w:val="28"/>
        </w:rPr>
        <w:t>采购品目较多时，应结合《政府采购品类分类目录》和市场主体的承接能力，合理划分标段。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要坚持新发展理念，坚持生态优先、绿色发展，按照高质量发展和高品质生活要求，编制区文化服务设施、区全域旅游、区文物保护管理、区体育设施空间布局等4项专项规划。</w:t>
      </w:r>
    </w:p>
    <w:p>
      <w:pPr>
        <w:numPr>
          <w:ilvl w:val="0"/>
          <w:numId w:val="1"/>
        </w:numPr>
        <w:pBdr>
          <w:bottom w:val="single" w:color="auto" w:sz="4" w:space="1"/>
        </w:pBdr>
        <w:spacing w:before="312" w:beforeLines="100"/>
        <w:ind w:left="420" w:hanging="420"/>
        <w:rPr>
          <w:rFonts w:hint="eastAsia" w:ascii="仿宋" w:hAnsi="仿宋" w:eastAsia="仿宋"/>
          <w:b/>
          <w:sz w:val="28"/>
          <w:szCs w:val="28"/>
        </w:rPr>
      </w:pPr>
      <w:r>
        <w:rPr>
          <w:rFonts w:hint="eastAsia" w:ascii="仿宋" w:hAnsi="仿宋" w:eastAsia="仿宋"/>
          <w:b/>
          <w:sz w:val="28"/>
          <w:szCs w:val="28"/>
        </w:rPr>
        <w:t>技术要求（如有，一般适合于技术服务项目）</w:t>
      </w:r>
    </w:p>
    <w:p>
      <w:pPr>
        <w:keepNext w:val="0"/>
        <w:keepLines w:val="0"/>
        <w:pageBreakBefore w:val="0"/>
        <w:widowControl w:val="0"/>
        <w:numPr>
          <w:ilvl w:val="0"/>
          <w:numId w:val="0"/>
        </w:numPr>
        <w:pBdr>
          <w:bottom w:val="single" w:color="auto" w:sz="4" w:space="1"/>
        </w:pBdr>
        <w:kinsoku/>
        <w:wordWrap/>
        <w:overflowPunct/>
        <w:topLinePunct w:val="0"/>
        <w:autoSpaceDE/>
        <w:autoSpaceDN/>
        <w:bidi w:val="0"/>
        <w:adjustRightInd/>
        <w:snapToGrid/>
        <w:spacing w:before="312" w:beforeLines="100"/>
        <w:ind w:leftChars="0" w:firstLine="560" w:firstLineChars="200"/>
        <w:textAlignment w:val="auto"/>
        <w:rPr>
          <w:rFonts w:hint="default" w:ascii="仿宋" w:hAnsi="仿宋" w:eastAsia="仿宋"/>
          <w:b w:val="0"/>
          <w:bCs/>
          <w:sz w:val="28"/>
          <w:szCs w:val="28"/>
          <w:lang w:val="en-US" w:eastAsia="zh-CN"/>
        </w:rPr>
      </w:pPr>
      <w:r>
        <w:rPr>
          <w:rFonts w:hint="eastAsia" w:ascii="仿宋" w:hAnsi="仿宋" w:eastAsia="仿宋"/>
          <w:b w:val="0"/>
          <w:bCs/>
          <w:sz w:val="28"/>
          <w:szCs w:val="28"/>
          <w:lang w:val="en-US" w:eastAsia="zh-CN"/>
        </w:rPr>
        <w:t>因地制宜，突出特色，根据鄠邑的自然禀赋、人文特色和发展阶段，增强创新发展动力，弥补发展短板。</w:t>
      </w:r>
    </w:p>
    <w:p>
      <w:pPr>
        <w:pBdr>
          <w:bottom w:val="single" w:color="auto" w:sz="4" w:space="1"/>
        </w:pBdr>
        <w:spacing w:before="312" w:beforeLines="100"/>
        <w:ind w:left="420" w:hanging="420"/>
        <w:rPr>
          <w:rFonts w:ascii="仿宋" w:hAnsi="仿宋" w:eastAsia="仿宋"/>
          <w:b/>
          <w:sz w:val="28"/>
          <w:szCs w:val="28"/>
        </w:rPr>
      </w:pPr>
      <w:r>
        <w:rPr>
          <w:rFonts w:hint="eastAsia" w:ascii="仿宋" w:hAnsi="仿宋" w:eastAsia="仿宋"/>
          <w:b/>
          <w:sz w:val="28"/>
          <w:szCs w:val="28"/>
        </w:rPr>
        <w:t>四、服务要求（如对人员配置、专业设备、服务标准等）</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ascii="仿宋" w:hAnsi="仿宋" w:eastAsia="仿宋"/>
          <w:sz w:val="28"/>
          <w:szCs w:val="28"/>
        </w:rPr>
      </w:pPr>
      <w:r>
        <w:rPr>
          <w:rFonts w:hint="eastAsia" w:ascii="仿宋" w:hAnsi="仿宋" w:eastAsia="仿宋"/>
          <w:sz w:val="28"/>
          <w:szCs w:val="28"/>
        </w:rPr>
        <w:t>在合同执行过程中需要服务商应执行的相关服务标准和应当履行的相关义务。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因地制宜，突出特色，根据鄠邑的自然禀赋、人文特色和发展阶段，增强创新发展动力，弥补发展短板。</w:t>
      </w:r>
    </w:p>
    <w:p>
      <w:pPr>
        <w:pBdr>
          <w:bottom w:val="single" w:color="auto" w:sz="4" w:space="1"/>
        </w:pBdr>
        <w:spacing w:before="312" w:beforeLines="100"/>
        <w:ind w:left="420" w:hanging="420"/>
        <w:rPr>
          <w:rFonts w:ascii="仿宋" w:hAnsi="仿宋" w:eastAsia="仿宋"/>
          <w:b/>
          <w:sz w:val="28"/>
          <w:szCs w:val="28"/>
        </w:rPr>
      </w:pPr>
      <w:r>
        <w:rPr>
          <w:rFonts w:hint="eastAsia" w:ascii="仿宋" w:hAnsi="仿宋" w:eastAsia="仿宋"/>
          <w:b/>
          <w:sz w:val="28"/>
          <w:szCs w:val="28"/>
        </w:rPr>
        <w:t>五、商务要求（如服务期限、款项结算等）</w:t>
      </w:r>
    </w:p>
    <w:p>
      <w:pPr>
        <w:spacing w:line="400" w:lineRule="exact"/>
        <w:rPr>
          <w:rFonts w:ascii="仿宋" w:hAnsi="仿宋" w:eastAsia="仿宋"/>
          <w:sz w:val="28"/>
          <w:szCs w:val="28"/>
        </w:rPr>
      </w:pPr>
      <w:r>
        <w:rPr>
          <w:rFonts w:hint="eastAsia" w:ascii="仿宋" w:hAnsi="仿宋" w:eastAsia="仿宋"/>
          <w:sz w:val="28"/>
          <w:szCs w:val="28"/>
        </w:rPr>
        <w:t>（一）服务期限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合同签订之日起1年内交付最终成果。</w:t>
      </w:r>
    </w:p>
    <w:p>
      <w:pPr>
        <w:rPr>
          <w:rFonts w:ascii="仿宋" w:hAnsi="仿宋" w:eastAsia="仿宋"/>
          <w:sz w:val="28"/>
          <w:szCs w:val="28"/>
        </w:rPr>
      </w:pPr>
      <w:r>
        <w:rPr>
          <w:rFonts w:hint="eastAsia" w:ascii="仿宋" w:hAnsi="仿宋" w:eastAsia="仿宋"/>
          <w:sz w:val="28"/>
          <w:szCs w:val="28"/>
        </w:rPr>
        <w:t>（二）款项结算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款项结算采用分批支付的方式。自本合同签订后</w:t>
      </w:r>
      <w:r>
        <w:rPr>
          <w:rFonts w:ascii="仿宋" w:hAnsi="仿宋" w:eastAsia="仿宋"/>
          <w:sz w:val="28"/>
          <w:szCs w:val="28"/>
        </w:rPr>
        <w:t>7</w:t>
      </w:r>
      <w:r>
        <w:rPr>
          <w:rFonts w:hint="eastAsia" w:ascii="仿宋" w:hAnsi="仿宋" w:eastAsia="仿宋"/>
          <w:sz w:val="28"/>
          <w:szCs w:val="28"/>
        </w:rPr>
        <w:t>日内，甲方应支付合同总价款的</w:t>
      </w:r>
      <w:r>
        <w:rPr>
          <w:rFonts w:ascii="仿宋" w:hAnsi="仿宋" w:eastAsia="仿宋"/>
          <w:sz w:val="28"/>
          <w:szCs w:val="28"/>
        </w:rPr>
        <w:t>50</w:t>
      </w:r>
      <w:r>
        <w:rPr>
          <w:rFonts w:hint="eastAsia" w:ascii="仿宋" w:hAnsi="仿宋" w:eastAsia="仿宋"/>
          <w:sz w:val="28"/>
          <w:szCs w:val="28"/>
        </w:rPr>
        <w:t>％，乙方以预付款到账时间作为项目组正式开展规划编制工作；待项目初稿完成，并通过相关专家会议审查后，支付合同总价款的3</w:t>
      </w:r>
      <w:r>
        <w:rPr>
          <w:rFonts w:ascii="仿宋" w:hAnsi="仿宋" w:eastAsia="仿宋"/>
          <w:sz w:val="28"/>
          <w:szCs w:val="28"/>
        </w:rPr>
        <w:t>0</w:t>
      </w:r>
      <w:r>
        <w:rPr>
          <w:rFonts w:hint="eastAsia" w:ascii="仿宋" w:hAnsi="仿宋" w:eastAsia="仿宋"/>
          <w:sz w:val="28"/>
          <w:szCs w:val="28"/>
        </w:rPr>
        <w:t>％；规划最终成果提交1</w:t>
      </w:r>
      <w:r>
        <w:rPr>
          <w:rFonts w:ascii="仿宋" w:hAnsi="仿宋" w:eastAsia="仿宋"/>
          <w:sz w:val="28"/>
          <w:szCs w:val="28"/>
        </w:rPr>
        <w:t>5</w:t>
      </w:r>
      <w:r>
        <w:rPr>
          <w:rFonts w:hint="eastAsia" w:ascii="仿宋" w:hAnsi="仿宋" w:eastAsia="仿宋"/>
          <w:sz w:val="28"/>
          <w:szCs w:val="28"/>
        </w:rPr>
        <w:t>个工作日内支付合同总价款的2</w:t>
      </w:r>
      <w:r>
        <w:rPr>
          <w:rFonts w:ascii="仿宋" w:hAnsi="仿宋" w:eastAsia="仿宋"/>
          <w:sz w:val="28"/>
          <w:szCs w:val="28"/>
        </w:rPr>
        <w:t>0</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乙方须向甲方出具合法有效的完税发票，甲方进行支付结算。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结算方式：银行转账。</w:t>
      </w:r>
    </w:p>
    <w:p>
      <w:pPr>
        <w:rPr>
          <w:rFonts w:ascii="仿宋" w:hAnsi="仿宋" w:eastAsia="仿宋"/>
          <w:sz w:val="28"/>
          <w:szCs w:val="28"/>
        </w:rPr>
      </w:pPr>
    </w:p>
    <w:p>
      <w:pPr>
        <w:pBdr>
          <w:bottom w:val="single" w:color="auto" w:sz="4" w:space="1"/>
        </w:pBdr>
        <w:spacing w:before="312" w:beforeLines="100"/>
        <w:rPr>
          <w:rFonts w:ascii="仿宋" w:hAnsi="仿宋" w:eastAsia="仿宋"/>
          <w:b/>
          <w:sz w:val="28"/>
          <w:szCs w:val="28"/>
        </w:rPr>
      </w:pPr>
      <w:r>
        <w:rPr>
          <w:rFonts w:hint="eastAsia" w:ascii="仿宋" w:hAnsi="仿宋" w:eastAsia="仿宋"/>
          <w:b/>
          <w:sz w:val="28"/>
          <w:szCs w:val="28"/>
        </w:rPr>
        <w:t>六、其他（如有要求，请写明）</w:t>
      </w:r>
    </w:p>
    <w:p>
      <w:pPr>
        <w:rPr>
          <w:rFonts w:ascii="仿宋" w:hAnsi="仿宋" w:eastAsia="仿宋"/>
          <w:sz w:val="28"/>
          <w:szCs w:val="28"/>
        </w:rPr>
      </w:pPr>
      <w:r>
        <w:rPr>
          <w:rFonts w:hint="eastAsia" w:ascii="仿宋" w:hAnsi="仿宋" w:eastAsia="仿宋"/>
          <w:sz w:val="28"/>
          <w:szCs w:val="28"/>
        </w:rPr>
        <w:t>（一）对服务商的业绩要求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对供应商业绩的要求</w:t>
      </w:r>
      <w:r>
        <w:rPr>
          <w:rFonts w:hint="eastAsia" w:ascii="仿宋" w:hAnsi="仿宋" w:eastAsia="仿宋"/>
          <w:sz w:val="28"/>
          <w:szCs w:val="28"/>
          <w:lang w:eastAsia="zh-CN"/>
        </w:rPr>
        <w:t>：</w:t>
      </w:r>
      <w:r>
        <w:rPr>
          <w:rFonts w:hint="eastAsia" w:ascii="仿宋" w:hAnsi="仿宋" w:eastAsia="仿宋"/>
          <w:sz w:val="28"/>
          <w:szCs w:val="28"/>
        </w:rPr>
        <w:t>近三年类似项目业绩合同</w:t>
      </w:r>
      <w:r>
        <w:rPr>
          <w:rFonts w:hint="eastAsia" w:ascii="仿宋" w:hAnsi="仿宋" w:eastAsia="仿宋"/>
          <w:sz w:val="28"/>
          <w:szCs w:val="28"/>
          <w:lang w:eastAsia="zh-CN"/>
        </w:rPr>
        <w:t>。</w:t>
      </w:r>
    </w:p>
    <w:p>
      <w:pPr>
        <w:rPr>
          <w:rFonts w:ascii="仿宋" w:hAnsi="仿宋" w:eastAsia="仿宋"/>
          <w:sz w:val="28"/>
          <w:szCs w:val="28"/>
        </w:rPr>
      </w:pPr>
      <w:r>
        <w:rPr>
          <w:rFonts w:hint="eastAsia" w:ascii="仿宋" w:hAnsi="仿宋" w:eastAsia="仿宋"/>
          <w:sz w:val="28"/>
          <w:szCs w:val="28"/>
        </w:rPr>
        <w:t>（二）进度要求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款项结算采用分批支付的方式。自本合同签订后</w:t>
      </w:r>
      <w:r>
        <w:rPr>
          <w:rFonts w:ascii="仿宋" w:hAnsi="仿宋" w:eastAsia="仿宋"/>
          <w:sz w:val="28"/>
          <w:szCs w:val="28"/>
        </w:rPr>
        <w:t>7</w:t>
      </w:r>
      <w:r>
        <w:rPr>
          <w:rFonts w:hint="eastAsia" w:ascii="仿宋" w:hAnsi="仿宋" w:eastAsia="仿宋"/>
          <w:sz w:val="28"/>
          <w:szCs w:val="28"/>
        </w:rPr>
        <w:t>日内，甲方应支付合同总价款的</w:t>
      </w:r>
      <w:r>
        <w:rPr>
          <w:rFonts w:ascii="仿宋" w:hAnsi="仿宋" w:eastAsia="仿宋"/>
          <w:sz w:val="28"/>
          <w:szCs w:val="28"/>
        </w:rPr>
        <w:t>50</w:t>
      </w:r>
      <w:r>
        <w:rPr>
          <w:rFonts w:hint="eastAsia" w:ascii="仿宋" w:hAnsi="仿宋" w:eastAsia="仿宋"/>
          <w:sz w:val="28"/>
          <w:szCs w:val="28"/>
        </w:rPr>
        <w:t>％，乙方以预付款到账时间作为项目组正式开展规划编制工作；待项目初稿完成，并通过相关专家会议审查后，支付合同总价款的3</w:t>
      </w:r>
      <w:r>
        <w:rPr>
          <w:rFonts w:ascii="仿宋" w:hAnsi="仿宋" w:eastAsia="仿宋"/>
          <w:sz w:val="28"/>
          <w:szCs w:val="28"/>
        </w:rPr>
        <w:t>0</w:t>
      </w:r>
      <w:r>
        <w:rPr>
          <w:rFonts w:hint="eastAsia" w:ascii="仿宋" w:hAnsi="仿宋" w:eastAsia="仿宋"/>
          <w:sz w:val="28"/>
          <w:szCs w:val="28"/>
        </w:rPr>
        <w:t>％；规划最终成果提交1</w:t>
      </w:r>
      <w:r>
        <w:rPr>
          <w:rFonts w:ascii="仿宋" w:hAnsi="仿宋" w:eastAsia="仿宋"/>
          <w:sz w:val="28"/>
          <w:szCs w:val="28"/>
        </w:rPr>
        <w:t>5</w:t>
      </w:r>
      <w:r>
        <w:rPr>
          <w:rFonts w:hint="eastAsia" w:ascii="仿宋" w:hAnsi="仿宋" w:eastAsia="仿宋"/>
          <w:sz w:val="28"/>
          <w:szCs w:val="28"/>
        </w:rPr>
        <w:t>个工作日内支付合同总价款的2</w:t>
      </w:r>
      <w:r>
        <w:rPr>
          <w:rFonts w:ascii="仿宋" w:hAnsi="仿宋" w:eastAsia="仿宋"/>
          <w:sz w:val="28"/>
          <w:szCs w:val="28"/>
        </w:rPr>
        <w:t>0</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乙方须向甲方出具合法有效的完税发票，甲方进行支付结算。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结算方式：银行转账。</w:t>
      </w:r>
    </w:p>
    <w:p>
      <w:pPr>
        <w:rPr>
          <w:rFonts w:ascii="仿宋" w:hAnsi="仿宋" w:eastAsia="仿宋"/>
          <w:sz w:val="28"/>
          <w:szCs w:val="28"/>
        </w:rPr>
      </w:pPr>
      <w:r>
        <w:rPr>
          <w:rFonts w:hint="eastAsia" w:ascii="仿宋" w:hAnsi="仿宋" w:eastAsia="仿宋"/>
          <w:sz w:val="28"/>
          <w:szCs w:val="28"/>
        </w:rPr>
        <w:t>（三）成果交付要求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成果提交内容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（1）文字成果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规划成果文本；相关附件成果，包括规划编制过程中形成的工作报告、专家论证意见、公众参与记录等。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（2）图件成果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规划成果图集，包括：基础分析图、规划图等。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（3）规划数据库成果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规划数据库包括符合建库标准的规划图件的栅格数据和矢量数据、规划文档、规划表格等。规划数据库内容应与纸质规划成果一致。</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成果文件数量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（1）提交的最终成果应包括电子成果、纸质成果。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（2）电子成果1份、规划纸质成果4份，并配合采购人通过上级主管部门的评审。</w:t>
      </w:r>
    </w:p>
    <w:p>
      <w:pPr>
        <w:rPr>
          <w:rFonts w:ascii="仿宋" w:hAnsi="仿宋" w:eastAsia="仿宋"/>
          <w:sz w:val="28"/>
          <w:szCs w:val="28"/>
        </w:rPr>
      </w:pPr>
      <w:r>
        <w:rPr>
          <w:rFonts w:hint="eastAsia" w:ascii="仿宋" w:hAnsi="仿宋" w:eastAsia="仿宋"/>
          <w:sz w:val="28"/>
          <w:szCs w:val="28"/>
        </w:rPr>
        <w:t>（四</w:t>
      </w:r>
      <w:r>
        <w:rPr>
          <w:rFonts w:ascii="仿宋" w:hAnsi="仿宋" w:eastAsia="仿宋"/>
          <w:sz w:val="28"/>
          <w:szCs w:val="28"/>
        </w:rPr>
        <w:t>）</w:t>
      </w:r>
      <w:r>
        <w:rPr>
          <w:rFonts w:hint="eastAsia" w:ascii="仿宋" w:hAnsi="仿宋" w:eastAsia="仿宋"/>
          <w:sz w:val="28"/>
          <w:szCs w:val="28"/>
        </w:rPr>
        <w:t>质量验收标准或规范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hint="eastAsia" w:ascii="仿宋" w:hAnsi="仿宋" w:eastAsia="仿宋"/>
          <w:sz w:val="28"/>
          <w:szCs w:val="28"/>
        </w:rPr>
        <w:t>现行的国家标准或国家行政部门颁布的法律法规、规章制度等，是项目验收的另一个重要依据。没有国家标准的，可以参考行业标准。</w:t>
      </w:r>
    </w:p>
    <w:p>
      <w:pPr>
        <w:numPr>
          <w:ilvl w:val="0"/>
          <w:numId w:val="2"/>
        </w:numPr>
        <w:rPr>
          <w:rFonts w:ascii="仿宋" w:hAnsi="仿宋" w:eastAsia="仿宋"/>
          <w:sz w:val="28"/>
          <w:szCs w:val="28"/>
        </w:rPr>
      </w:pPr>
      <w:r>
        <w:rPr>
          <w:rFonts w:ascii="仿宋" w:hAnsi="仿宋" w:eastAsia="仿宋"/>
          <w:sz w:val="28"/>
          <w:szCs w:val="28"/>
        </w:rPr>
        <w:t>违约责任</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ascii="仿宋" w:hAnsi="仿宋" w:eastAsia="仿宋"/>
          <w:sz w:val="28"/>
          <w:szCs w:val="28"/>
        </w:rPr>
      </w:pPr>
      <w:r>
        <w:rPr>
          <w:rFonts w:ascii="仿宋" w:hAnsi="仿宋" w:eastAsia="仿宋"/>
          <w:sz w:val="28"/>
          <w:szCs w:val="28"/>
        </w:rPr>
        <w:t>一般与合同款项的支付相关，注意不要超出《民法典》中对于违约的责任上限。</w:t>
      </w:r>
    </w:p>
    <w:p>
      <w:pPr>
        <w:rPr>
          <w:rFonts w:ascii="仿宋" w:hAnsi="仿宋" w:eastAsia="仿宋"/>
          <w:sz w:val="28"/>
          <w:szCs w:val="28"/>
        </w:rPr>
      </w:pPr>
    </w:p>
    <w:p>
      <w:pPr>
        <w:rPr>
          <w:rFonts w:hint="eastAsia" w:ascii="仿宋" w:hAnsi="仿宋" w:eastAsia="仿宋"/>
          <w:sz w:val="28"/>
          <w:szCs w:val="28"/>
        </w:rPr>
      </w:pPr>
    </w:p>
    <w:sectPr>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E4002EFF" w:usb1="C2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F8C827"/>
    <w:multiLevelType w:val="singleLevel"/>
    <w:tmpl w:val="47F8C827"/>
    <w:lvl w:ilvl="0" w:tentative="0">
      <w:start w:val="3"/>
      <w:numFmt w:val="chineseCounting"/>
      <w:suff w:val="nothing"/>
      <w:lvlText w:val="%1、"/>
      <w:lvlJc w:val="left"/>
      <w:rPr>
        <w:rFonts w:hint="eastAsia"/>
      </w:rPr>
    </w:lvl>
  </w:abstractNum>
  <w:abstractNum w:abstractNumId="1">
    <w:nsid w:val="547894B9"/>
    <w:multiLevelType w:val="singleLevel"/>
    <w:tmpl w:val="547894B9"/>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1ZTU2NzhlM2EyNThhZmY0NjEwNDY2ZDVkODRkYWUifQ=="/>
  </w:docVars>
  <w:rsids>
    <w:rsidRoot w:val="0022387C"/>
    <w:rsid w:val="0000159C"/>
    <w:rsid w:val="000019FA"/>
    <w:rsid w:val="00002BB3"/>
    <w:rsid w:val="00003F53"/>
    <w:rsid w:val="00004F9A"/>
    <w:rsid w:val="00006A52"/>
    <w:rsid w:val="00012137"/>
    <w:rsid w:val="00012844"/>
    <w:rsid w:val="00012F9B"/>
    <w:rsid w:val="00013929"/>
    <w:rsid w:val="00014DAF"/>
    <w:rsid w:val="00015802"/>
    <w:rsid w:val="00016042"/>
    <w:rsid w:val="00022F41"/>
    <w:rsid w:val="00023261"/>
    <w:rsid w:val="000234CF"/>
    <w:rsid w:val="000235C8"/>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B5ACF"/>
    <w:rsid w:val="000B6858"/>
    <w:rsid w:val="000C048C"/>
    <w:rsid w:val="000C078B"/>
    <w:rsid w:val="000C21A4"/>
    <w:rsid w:val="000C538D"/>
    <w:rsid w:val="000C59A5"/>
    <w:rsid w:val="000D0AF3"/>
    <w:rsid w:val="000D0DE1"/>
    <w:rsid w:val="000D1277"/>
    <w:rsid w:val="000D4097"/>
    <w:rsid w:val="000E3FB5"/>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6530"/>
    <w:rsid w:val="00107B8A"/>
    <w:rsid w:val="001101BD"/>
    <w:rsid w:val="00111F0F"/>
    <w:rsid w:val="001131D6"/>
    <w:rsid w:val="00113B9B"/>
    <w:rsid w:val="00121FC0"/>
    <w:rsid w:val="00122D76"/>
    <w:rsid w:val="001257D4"/>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361E"/>
    <w:rsid w:val="00156ED5"/>
    <w:rsid w:val="001630D0"/>
    <w:rsid w:val="00164101"/>
    <w:rsid w:val="00164EE1"/>
    <w:rsid w:val="00166FD9"/>
    <w:rsid w:val="00167ECE"/>
    <w:rsid w:val="0017054A"/>
    <w:rsid w:val="00171A61"/>
    <w:rsid w:val="00173749"/>
    <w:rsid w:val="00173A35"/>
    <w:rsid w:val="0017410F"/>
    <w:rsid w:val="00174285"/>
    <w:rsid w:val="00175756"/>
    <w:rsid w:val="00176F0E"/>
    <w:rsid w:val="00184F72"/>
    <w:rsid w:val="00187846"/>
    <w:rsid w:val="00191A7E"/>
    <w:rsid w:val="00193B5F"/>
    <w:rsid w:val="001947E8"/>
    <w:rsid w:val="00194890"/>
    <w:rsid w:val="00196A1C"/>
    <w:rsid w:val="001A2103"/>
    <w:rsid w:val="001A5309"/>
    <w:rsid w:val="001A5764"/>
    <w:rsid w:val="001B0699"/>
    <w:rsid w:val="001B2019"/>
    <w:rsid w:val="001B49FD"/>
    <w:rsid w:val="001C0BA3"/>
    <w:rsid w:val="001C0BBD"/>
    <w:rsid w:val="001C25ED"/>
    <w:rsid w:val="001D1BCB"/>
    <w:rsid w:val="001D22C0"/>
    <w:rsid w:val="001D4171"/>
    <w:rsid w:val="001D576E"/>
    <w:rsid w:val="001D70BC"/>
    <w:rsid w:val="001E2BB9"/>
    <w:rsid w:val="001E6A70"/>
    <w:rsid w:val="001F2059"/>
    <w:rsid w:val="001F49A1"/>
    <w:rsid w:val="001F4ACC"/>
    <w:rsid w:val="001F7532"/>
    <w:rsid w:val="00201795"/>
    <w:rsid w:val="0020498C"/>
    <w:rsid w:val="00207790"/>
    <w:rsid w:val="00210CFC"/>
    <w:rsid w:val="00210FBE"/>
    <w:rsid w:val="002125C8"/>
    <w:rsid w:val="00213205"/>
    <w:rsid w:val="002137AF"/>
    <w:rsid w:val="002174B0"/>
    <w:rsid w:val="00220787"/>
    <w:rsid w:val="0022387C"/>
    <w:rsid w:val="00230C6A"/>
    <w:rsid w:val="00233D53"/>
    <w:rsid w:val="002345B9"/>
    <w:rsid w:val="00237A3F"/>
    <w:rsid w:val="00237C8C"/>
    <w:rsid w:val="0024210D"/>
    <w:rsid w:val="00244C29"/>
    <w:rsid w:val="00247B11"/>
    <w:rsid w:val="00250468"/>
    <w:rsid w:val="00250A0D"/>
    <w:rsid w:val="00250B6E"/>
    <w:rsid w:val="00252050"/>
    <w:rsid w:val="00253B74"/>
    <w:rsid w:val="002547E0"/>
    <w:rsid w:val="00255DBC"/>
    <w:rsid w:val="0025777A"/>
    <w:rsid w:val="00260306"/>
    <w:rsid w:val="00261898"/>
    <w:rsid w:val="00264014"/>
    <w:rsid w:val="0026501F"/>
    <w:rsid w:val="00266611"/>
    <w:rsid w:val="00267AE5"/>
    <w:rsid w:val="00267C8A"/>
    <w:rsid w:val="00271136"/>
    <w:rsid w:val="00273219"/>
    <w:rsid w:val="002742EA"/>
    <w:rsid w:val="0027449B"/>
    <w:rsid w:val="00276641"/>
    <w:rsid w:val="0028033D"/>
    <w:rsid w:val="00282837"/>
    <w:rsid w:val="00291777"/>
    <w:rsid w:val="0029384E"/>
    <w:rsid w:val="002938B0"/>
    <w:rsid w:val="002961E2"/>
    <w:rsid w:val="00296372"/>
    <w:rsid w:val="00297703"/>
    <w:rsid w:val="00297866"/>
    <w:rsid w:val="002A3B25"/>
    <w:rsid w:val="002A6815"/>
    <w:rsid w:val="002B35C4"/>
    <w:rsid w:val="002B36C2"/>
    <w:rsid w:val="002B59BE"/>
    <w:rsid w:val="002B65AB"/>
    <w:rsid w:val="002B696D"/>
    <w:rsid w:val="002C4511"/>
    <w:rsid w:val="002D2B5F"/>
    <w:rsid w:val="002D327B"/>
    <w:rsid w:val="002D41DD"/>
    <w:rsid w:val="002D7418"/>
    <w:rsid w:val="002E1660"/>
    <w:rsid w:val="002E43F6"/>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5BAD"/>
    <w:rsid w:val="00306470"/>
    <w:rsid w:val="00311862"/>
    <w:rsid w:val="00316D60"/>
    <w:rsid w:val="003172BB"/>
    <w:rsid w:val="00322208"/>
    <w:rsid w:val="003245F8"/>
    <w:rsid w:val="00325D47"/>
    <w:rsid w:val="00325EF1"/>
    <w:rsid w:val="00332A7C"/>
    <w:rsid w:val="00337CFC"/>
    <w:rsid w:val="003406B1"/>
    <w:rsid w:val="00343305"/>
    <w:rsid w:val="003443D3"/>
    <w:rsid w:val="003450CD"/>
    <w:rsid w:val="00345F35"/>
    <w:rsid w:val="00351734"/>
    <w:rsid w:val="00354FCF"/>
    <w:rsid w:val="00360830"/>
    <w:rsid w:val="00364896"/>
    <w:rsid w:val="00366A2C"/>
    <w:rsid w:val="00372CF8"/>
    <w:rsid w:val="00373AE9"/>
    <w:rsid w:val="00374506"/>
    <w:rsid w:val="0037495D"/>
    <w:rsid w:val="00375819"/>
    <w:rsid w:val="00375C89"/>
    <w:rsid w:val="00376DAF"/>
    <w:rsid w:val="003833FB"/>
    <w:rsid w:val="00383F8F"/>
    <w:rsid w:val="00384AC1"/>
    <w:rsid w:val="003872CB"/>
    <w:rsid w:val="00387AFC"/>
    <w:rsid w:val="00390290"/>
    <w:rsid w:val="0039216D"/>
    <w:rsid w:val="00392EBD"/>
    <w:rsid w:val="00393459"/>
    <w:rsid w:val="003943D1"/>
    <w:rsid w:val="0039449C"/>
    <w:rsid w:val="00395695"/>
    <w:rsid w:val="003A0002"/>
    <w:rsid w:val="003A0295"/>
    <w:rsid w:val="003A0D83"/>
    <w:rsid w:val="003B0D75"/>
    <w:rsid w:val="003B3207"/>
    <w:rsid w:val="003C3325"/>
    <w:rsid w:val="003D2606"/>
    <w:rsid w:val="003D39C7"/>
    <w:rsid w:val="003D45F5"/>
    <w:rsid w:val="003D6B60"/>
    <w:rsid w:val="003E010E"/>
    <w:rsid w:val="003E1D81"/>
    <w:rsid w:val="003E7874"/>
    <w:rsid w:val="003F60A3"/>
    <w:rsid w:val="004001BE"/>
    <w:rsid w:val="0040124D"/>
    <w:rsid w:val="004017C8"/>
    <w:rsid w:val="0040181A"/>
    <w:rsid w:val="004024C2"/>
    <w:rsid w:val="004068A7"/>
    <w:rsid w:val="00406C11"/>
    <w:rsid w:val="004106B2"/>
    <w:rsid w:val="00412CBC"/>
    <w:rsid w:val="004156E2"/>
    <w:rsid w:val="0042388D"/>
    <w:rsid w:val="00427ABD"/>
    <w:rsid w:val="004317AB"/>
    <w:rsid w:val="00431DBF"/>
    <w:rsid w:val="00433512"/>
    <w:rsid w:val="0043432D"/>
    <w:rsid w:val="00441D7B"/>
    <w:rsid w:val="00444250"/>
    <w:rsid w:val="00444298"/>
    <w:rsid w:val="004456C5"/>
    <w:rsid w:val="00454666"/>
    <w:rsid w:val="004574A4"/>
    <w:rsid w:val="00463236"/>
    <w:rsid w:val="004657D3"/>
    <w:rsid w:val="0046690A"/>
    <w:rsid w:val="0046782F"/>
    <w:rsid w:val="00471E1E"/>
    <w:rsid w:val="0047278F"/>
    <w:rsid w:val="0047590B"/>
    <w:rsid w:val="00490F98"/>
    <w:rsid w:val="00491349"/>
    <w:rsid w:val="00493684"/>
    <w:rsid w:val="00493E48"/>
    <w:rsid w:val="00496ACE"/>
    <w:rsid w:val="00497530"/>
    <w:rsid w:val="004A00FD"/>
    <w:rsid w:val="004A5CFF"/>
    <w:rsid w:val="004A61D7"/>
    <w:rsid w:val="004A6B5A"/>
    <w:rsid w:val="004B1026"/>
    <w:rsid w:val="004B5992"/>
    <w:rsid w:val="004C093C"/>
    <w:rsid w:val="004C0B7A"/>
    <w:rsid w:val="004C0CA0"/>
    <w:rsid w:val="004C2A01"/>
    <w:rsid w:val="004C5B48"/>
    <w:rsid w:val="004C6493"/>
    <w:rsid w:val="004D2D8E"/>
    <w:rsid w:val="004D4879"/>
    <w:rsid w:val="004D7C23"/>
    <w:rsid w:val="004D7F2C"/>
    <w:rsid w:val="004E07B6"/>
    <w:rsid w:val="004E0B6D"/>
    <w:rsid w:val="004E63AF"/>
    <w:rsid w:val="004F411F"/>
    <w:rsid w:val="004F60D3"/>
    <w:rsid w:val="004F7D8F"/>
    <w:rsid w:val="0050182A"/>
    <w:rsid w:val="00502DB5"/>
    <w:rsid w:val="005053C1"/>
    <w:rsid w:val="00506ECC"/>
    <w:rsid w:val="00510D3F"/>
    <w:rsid w:val="00511E18"/>
    <w:rsid w:val="00512B77"/>
    <w:rsid w:val="00515ADE"/>
    <w:rsid w:val="00515E63"/>
    <w:rsid w:val="005176F4"/>
    <w:rsid w:val="005203BA"/>
    <w:rsid w:val="005220F8"/>
    <w:rsid w:val="00522932"/>
    <w:rsid w:val="0052539A"/>
    <w:rsid w:val="005309DD"/>
    <w:rsid w:val="0053320F"/>
    <w:rsid w:val="005406CD"/>
    <w:rsid w:val="00542C65"/>
    <w:rsid w:val="00544037"/>
    <w:rsid w:val="0054537C"/>
    <w:rsid w:val="00547AD0"/>
    <w:rsid w:val="005509F0"/>
    <w:rsid w:val="00553778"/>
    <w:rsid w:val="00553AC5"/>
    <w:rsid w:val="00554646"/>
    <w:rsid w:val="005555A0"/>
    <w:rsid w:val="0056216F"/>
    <w:rsid w:val="005627E9"/>
    <w:rsid w:val="00572506"/>
    <w:rsid w:val="00573AC9"/>
    <w:rsid w:val="00581DBA"/>
    <w:rsid w:val="00581F60"/>
    <w:rsid w:val="005829C2"/>
    <w:rsid w:val="00582A46"/>
    <w:rsid w:val="0058322B"/>
    <w:rsid w:val="00583A5C"/>
    <w:rsid w:val="0058471F"/>
    <w:rsid w:val="0058487A"/>
    <w:rsid w:val="00592CFD"/>
    <w:rsid w:val="00593C8A"/>
    <w:rsid w:val="005960B9"/>
    <w:rsid w:val="005A3DFC"/>
    <w:rsid w:val="005A5B0F"/>
    <w:rsid w:val="005A69F8"/>
    <w:rsid w:val="005A6B45"/>
    <w:rsid w:val="005A7B9D"/>
    <w:rsid w:val="005B0579"/>
    <w:rsid w:val="005B27CD"/>
    <w:rsid w:val="005B314D"/>
    <w:rsid w:val="005B353B"/>
    <w:rsid w:val="005B547C"/>
    <w:rsid w:val="005B65A5"/>
    <w:rsid w:val="005B67BE"/>
    <w:rsid w:val="005B7116"/>
    <w:rsid w:val="005C6C4F"/>
    <w:rsid w:val="005D000E"/>
    <w:rsid w:val="005D62E5"/>
    <w:rsid w:val="005D7216"/>
    <w:rsid w:val="005E12F7"/>
    <w:rsid w:val="005E548A"/>
    <w:rsid w:val="005E5BCC"/>
    <w:rsid w:val="005E5CCE"/>
    <w:rsid w:val="005E6CCC"/>
    <w:rsid w:val="005F19BB"/>
    <w:rsid w:val="005F3B5B"/>
    <w:rsid w:val="006022C0"/>
    <w:rsid w:val="00602E42"/>
    <w:rsid w:val="00603657"/>
    <w:rsid w:val="0060479B"/>
    <w:rsid w:val="00606A55"/>
    <w:rsid w:val="00611AC2"/>
    <w:rsid w:val="00613BB6"/>
    <w:rsid w:val="0061777B"/>
    <w:rsid w:val="00624066"/>
    <w:rsid w:val="00624620"/>
    <w:rsid w:val="00624946"/>
    <w:rsid w:val="00625173"/>
    <w:rsid w:val="00630CCB"/>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6668A"/>
    <w:rsid w:val="00675065"/>
    <w:rsid w:val="00675563"/>
    <w:rsid w:val="00675632"/>
    <w:rsid w:val="00685346"/>
    <w:rsid w:val="00685B24"/>
    <w:rsid w:val="006870E8"/>
    <w:rsid w:val="00690BC5"/>
    <w:rsid w:val="00690C8E"/>
    <w:rsid w:val="006933DD"/>
    <w:rsid w:val="0069471D"/>
    <w:rsid w:val="00695670"/>
    <w:rsid w:val="00695E20"/>
    <w:rsid w:val="006A3BA0"/>
    <w:rsid w:val="006A4EC6"/>
    <w:rsid w:val="006A6DF3"/>
    <w:rsid w:val="006B20D5"/>
    <w:rsid w:val="006B34F6"/>
    <w:rsid w:val="006B4952"/>
    <w:rsid w:val="006B5EA1"/>
    <w:rsid w:val="006B7F10"/>
    <w:rsid w:val="006C042B"/>
    <w:rsid w:val="006C2543"/>
    <w:rsid w:val="006C7C59"/>
    <w:rsid w:val="006D0312"/>
    <w:rsid w:val="006D214E"/>
    <w:rsid w:val="006D2DEA"/>
    <w:rsid w:val="006D2E9C"/>
    <w:rsid w:val="006D30BC"/>
    <w:rsid w:val="006E1A0E"/>
    <w:rsid w:val="006E6E8B"/>
    <w:rsid w:val="006E7C76"/>
    <w:rsid w:val="006F04CD"/>
    <w:rsid w:val="006F07C9"/>
    <w:rsid w:val="006F0A6B"/>
    <w:rsid w:val="006F0F75"/>
    <w:rsid w:val="006F5AC8"/>
    <w:rsid w:val="006F5F50"/>
    <w:rsid w:val="006F721C"/>
    <w:rsid w:val="00704218"/>
    <w:rsid w:val="00706102"/>
    <w:rsid w:val="00711356"/>
    <w:rsid w:val="00716375"/>
    <w:rsid w:val="00724763"/>
    <w:rsid w:val="007326D4"/>
    <w:rsid w:val="007331C5"/>
    <w:rsid w:val="00733D26"/>
    <w:rsid w:val="00733E96"/>
    <w:rsid w:val="00734BE2"/>
    <w:rsid w:val="00734DBA"/>
    <w:rsid w:val="007405AB"/>
    <w:rsid w:val="0074169B"/>
    <w:rsid w:val="007416A5"/>
    <w:rsid w:val="00742326"/>
    <w:rsid w:val="00743F8B"/>
    <w:rsid w:val="007552A7"/>
    <w:rsid w:val="00757FC1"/>
    <w:rsid w:val="00760265"/>
    <w:rsid w:val="00763522"/>
    <w:rsid w:val="00770D89"/>
    <w:rsid w:val="00771FBD"/>
    <w:rsid w:val="00772751"/>
    <w:rsid w:val="00772BFA"/>
    <w:rsid w:val="007732E5"/>
    <w:rsid w:val="00773A1F"/>
    <w:rsid w:val="007750D4"/>
    <w:rsid w:val="00775725"/>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6103"/>
    <w:rsid w:val="007C7079"/>
    <w:rsid w:val="007C745E"/>
    <w:rsid w:val="007C7E4A"/>
    <w:rsid w:val="007D249E"/>
    <w:rsid w:val="007D2EE8"/>
    <w:rsid w:val="007D4745"/>
    <w:rsid w:val="007D596E"/>
    <w:rsid w:val="007D61F2"/>
    <w:rsid w:val="007D6288"/>
    <w:rsid w:val="007D7D00"/>
    <w:rsid w:val="007E1576"/>
    <w:rsid w:val="007E2BD2"/>
    <w:rsid w:val="007E5F41"/>
    <w:rsid w:val="007E6CF2"/>
    <w:rsid w:val="007F1EB4"/>
    <w:rsid w:val="007F5493"/>
    <w:rsid w:val="007F5B53"/>
    <w:rsid w:val="007F6DC7"/>
    <w:rsid w:val="0080075E"/>
    <w:rsid w:val="00802AAC"/>
    <w:rsid w:val="00806FED"/>
    <w:rsid w:val="00811115"/>
    <w:rsid w:val="008134C7"/>
    <w:rsid w:val="008139EB"/>
    <w:rsid w:val="008150A6"/>
    <w:rsid w:val="008151E2"/>
    <w:rsid w:val="00816091"/>
    <w:rsid w:val="00816182"/>
    <w:rsid w:val="00821BA2"/>
    <w:rsid w:val="00822824"/>
    <w:rsid w:val="008228B9"/>
    <w:rsid w:val="00824639"/>
    <w:rsid w:val="00826C95"/>
    <w:rsid w:val="00832985"/>
    <w:rsid w:val="008332CE"/>
    <w:rsid w:val="008345B9"/>
    <w:rsid w:val="008354ED"/>
    <w:rsid w:val="00835DAD"/>
    <w:rsid w:val="008376EF"/>
    <w:rsid w:val="00837760"/>
    <w:rsid w:val="00837F02"/>
    <w:rsid w:val="00840EF2"/>
    <w:rsid w:val="00843C41"/>
    <w:rsid w:val="0084500E"/>
    <w:rsid w:val="008455FB"/>
    <w:rsid w:val="0084584F"/>
    <w:rsid w:val="00850BC8"/>
    <w:rsid w:val="00850E33"/>
    <w:rsid w:val="00856715"/>
    <w:rsid w:val="00856DC0"/>
    <w:rsid w:val="00861CE7"/>
    <w:rsid w:val="00864D01"/>
    <w:rsid w:val="00865BFC"/>
    <w:rsid w:val="008669F7"/>
    <w:rsid w:val="0087394A"/>
    <w:rsid w:val="00874D32"/>
    <w:rsid w:val="00881B84"/>
    <w:rsid w:val="008876A3"/>
    <w:rsid w:val="00887DFB"/>
    <w:rsid w:val="0089283A"/>
    <w:rsid w:val="00892ADC"/>
    <w:rsid w:val="00893813"/>
    <w:rsid w:val="0089658C"/>
    <w:rsid w:val="00896F74"/>
    <w:rsid w:val="00897000"/>
    <w:rsid w:val="008A2458"/>
    <w:rsid w:val="008A66B8"/>
    <w:rsid w:val="008A7EED"/>
    <w:rsid w:val="008B2B1D"/>
    <w:rsid w:val="008B5009"/>
    <w:rsid w:val="008B7E45"/>
    <w:rsid w:val="008C1237"/>
    <w:rsid w:val="008C64FB"/>
    <w:rsid w:val="008C771B"/>
    <w:rsid w:val="008C77A4"/>
    <w:rsid w:val="008D0DB7"/>
    <w:rsid w:val="008D2DAF"/>
    <w:rsid w:val="008D4EEC"/>
    <w:rsid w:val="008E1C91"/>
    <w:rsid w:val="008E2EFF"/>
    <w:rsid w:val="008E3B9E"/>
    <w:rsid w:val="008E4E0F"/>
    <w:rsid w:val="008E738E"/>
    <w:rsid w:val="008F0A84"/>
    <w:rsid w:val="008F0CC3"/>
    <w:rsid w:val="008F44C7"/>
    <w:rsid w:val="008F5035"/>
    <w:rsid w:val="008F5056"/>
    <w:rsid w:val="0090408F"/>
    <w:rsid w:val="00906F8A"/>
    <w:rsid w:val="00915570"/>
    <w:rsid w:val="0091611D"/>
    <w:rsid w:val="00916267"/>
    <w:rsid w:val="00921082"/>
    <w:rsid w:val="00922EFB"/>
    <w:rsid w:val="00923A6C"/>
    <w:rsid w:val="009249C8"/>
    <w:rsid w:val="00933F00"/>
    <w:rsid w:val="00935401"/>
    <w:rsid w:val="0094003A"/>
    <w:rsid w:val="0094004A"/>
    <w:rsid w:val="00946A82"/>
    <w:rsid w:val="00951071"/>
    <w:rsid w:val="0095333C"/>
    <w:rsid w:val="00955186"/>
    <w:rsid w:val="00956EE8"/>
    <w:rsid w:val="009643C2"/>
    <w:rsid w:val="00966B6A"/>
    <w:rsid w:val="0097057C"/>
    <w:rsid w:val="009715C5"/>
    <w:rsid w:val="00971AF2"/>
    <w:rsid w:val="009723B8"/>
    <w:rsid w:val="00974455"/>
    <w:rsid w:val="0098281C"/>
    <w:rsid w:val="0098423D"/>
    <w:rsid w:val="009850E9"/>
    <w:rsid w:val="00985DFA"/>
    <w:rsid w:val="00986315"/>
    <w:rsid w:val="009911E3"/>
    <w:rsid w:val="00994E42"/>
    <w:rsid w:val="00995178"/>
    <w:rsid w:val="009A1C33"/>
    <w:rsid w:val="009A2439"/>
    <w:rsid w:val="009A2BFF"/>
    <w:rsid w:val="009A6D30"/>
    <w:rsid w:val="009B206F"/>
    <w:rsid w:val="009B5F6F"/>
    <w:rsid w:val="009B7A7F"/>
    <w:rsid w:val="009B7A90"/>
    <w:rsid w:val="009B7BA4"/>
    <w:rsid w:val="009C1007"/>
    <w:rsid w:val="009C1F6E"/>
    <w:rsid w:val="009C2514"/>
    <w:rsid w:val="009C3C03"/>
    <w:rsid w:val="009C3EBA"/>
    <w:rsid w:val="009C4C61"/>
    <w:rsid w:val="009C5377"/>
    <w:rsid w:val="009C7BA0"/>
    <w:rsid w:val="009D1B51"/>
    <w:rsid w:val="009D52BF"/>
    <w:rsid w:val="009D6DD3"/>
    <w:rsid w:val="009E3F57"/>
    <w:rsid w:val="009E4F8A"/>
    <w:rsid w:val="009E6771"/>
    <w:rsid w:val="009E67E4"/>
    <w:rsid w:val="009F0511"/>
    <w:rsid w:val="009F1DBD"/>
    <w:rsid w:val="009F22FE"/>
    <w:rsid w:val="009F750B"/>
    <w:rsid w:val="00A00435"/>
    <w:rsid w:val="00A03071"/>
    <w:rsid w:val="00A05B11"/>
    <w:rsid w:val="00A06B7F"/>
    <w:rsid w:val="00A07D9C"/>
    <w:rsid w:val="00A109CC"/>
    <w:rsid w:val="00A13EDB"/>
    <w:rsid w:val="00A14C4D"/>
    <w:rsid w:val="00A15845"/>
    <w:rsid w:val="00A17B52"/>
    <w:rsid w:val="00A2141C"/>
    <w:rsid w:val="00A21B16"/>
    <w:rsid w:val="00A22D76"/>
    <w:rsid w:val="00A24D47"/>
    <w:rsid w:val="00A30370"/>
    <w:rsid w:val="00A32017"/>
    <w:rsid w:val="00A3527C"/>
    <w:rsid w:val="00A37E7E"/>
    <w:rsid w:val="00A4098F"/>
    <w:rsid w:val="00A4193A"/>
    <w:rsid w:val="00A45C6F"/>
    <w:rsid w:val="00A46DCC"/>
    <w:rsid w:val="00A5014E"/>
    <w:rsid w:val="00A562E3"/>
    <w:rsid w:val="00A569D3"/>
    <w:rsid w:val="00A6062B"/>
    <w:rsid w:val="00A62089"/>
    <w:rsid w:val="00A654EF"/>
    <w:rsid w:val="00A658F2"/>
    <w:rsid w:val="00A65AFD"/>
    <w:rsid w:val="00A66B78"/>
    <w:rsid w:val="00A6769B"/>
    <w:rsid w:val="00A677C6"/>
    <w:rsid w:val="00A67E25"/>
    <w:rsid w:val="00A72C38"/>
    <w:rsid w:val="00A72FD2"/>
    <w:rsid w:val="00A7420A"/>
    <w:rsid w:val="00A74D3C"/>
    <w:rsid w:val="00A75DB1"/>
    <w:rsid w:val="00A761C2"/>
    <w:rsid w:val="00A76D29"/>
    <w:rsid w:val="00A86960"/>
    <w:rsid w:val="00A91A54"/>
    <w:rsid w:val="00A91B7E"/>
    <w:rsid w:val="00A96F13"/>
    <w:rsid w:val="00AA1080"/>
    <w:rsid w:val="00AA16D3"/>
    <w:rsid w:val="00AA18CA"/>
    <w:rsid w:val="00AA3BFA"/>
    <w:rsid w:val="00AA5A0A"/>
    <w:rsid w:val="00AA5E84"/>
    <w:rsid w:val="00AA725C"/>
    <w:rsid w:val="00AB3274"/>
    <w:rsid w:val="00AB7A0E"/>
    <w:rsid w:val="00AC0409"/>
    <w:rsid w:val="00AC0C60"/>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2758"/>
    <w:rsid w:val="00B02B5A"/>
    <w:rsid w:val="00B036CF"/>
    <w:rsid w:val="00B04B8A"/>
    <w:rsid w:val="00B04BFB"/>
    <w:rsid w:val="00B104AA"/>
    <w:rsid w:val="00B11872"/>
    <w:rsid w:val="00B13979"/>
    <w:rsid w:val="00B15E4F"/>
    <w:rsid w:val="00B2012B"/>
    <w:rsid w:val="00B20B29"/>
    <w:rsid w:val="00B20CB9"/>
    <w:rsid w:val="00B20D52"/>
    <w:rsid w:val="00B2167C"/>
    <w:rsid w:val="00B246D3"/>
    <w:rsid w:val="00B262C9"/>
    <w:rsid w:val="00B26A2C"/>
    <w:rsid w:val="00B30526"/>
    <w:rsid w:val="00B32FCD"/>
    <w:rsid w:val="00B34577"/>
    <w:rsid w:val="00B34E07"/>
    <w:rsid w:val="00B42D00"/>
    <w:rsid w:val="00B43464"/>
    <w:rsid w:val="00B45223"/>
    <w:rsid w:val="00B45C7D"/>
    <w:rsid w:val="00B461F3"/>
    <w:rsid w:val="00B50C36"/>
    <w:rsid w:val="00B51C5E"/>
    <w:rsid w:val="00B52083"/>
    <w:rsid w:val="00B52525"/>
    <w:rsid w:val="00B52B44"/>
    <w:rsid w:val="00B52D72"/>
    <w:rsid w:val="00B56BAC"/>
    <w:rsid w:val="00B571F4"/>
    <w:rsid w:val="00B64780"/>
    <w:rsid w:val="00B6494B"/>
    <w:rsid w:val="00B65E8E"/>
    <w:rsid w:val="00B67926"/>
    <w:rsid w:val="00B679FA"/>
    <w:rsid w:val="00B72B4C"/>
    <w:rsid w:val="00B75DE1"/>
    <w:rsid w:val="00B76EAC"/>
    <w:rsid w:val="00B81ECA"/>
    <w:rsid w:val="00B838D7"/>
    <w:rsid w:val="00B86A3E"/>
    <w:rsid w:val="00B9113C"/>
    <w:rsid w:val="00B91DE8"/>
    <w:rsid w:val="00B96111"/>
    <w:rsid w:val="00B975ED"/>
    <w:rsid w:val="00B979E2"/>
    <w:rsid w:val="00B97D1F"/>
    <w:rsid w:val="00B97E9D"/>
    <w:rsid w:val="00BA38E0"/>
    <w:rsid w:val="00BA619F"/>
    <w:rsid w:val="00BA7D43"/>
    <w:rsid w:val="00BB02EB"/>
    <w:rsid w:val="00BB0A6C"/>
    <w:rsid w:val="00BB2DBC"/>
    <w:rsid w:val="00BB4AC7"/>
    <w:rsid w:val="00BB4CD0"/>
    <w:rsid w:val="00BB61C1"/>
    <w:rsid w:val="00BB6B4A"/>
    <w:rsid w:val="00BB7E90"/>
    <w:rsid w:val="00BC03CC"/>
    <w:rsid w:val="00BC11D7"/>
    <w:rsid w:val="00BC1B9C"/>
    <w:rsid w:val="00BC2C14"/>
    <w:rsid w:val="00BC31EE"/>
    <w:rsid w:val="00BC3C19"/>
    <w:rsid w:val="00BC4B27"/>
    <w:rsid w:val="00BC5C23"/>
    <w:rsid w:val="00BD15BE"/>
    <w:rsid w:val="00BD3BF3"/>
    <w:rsid w:val="00BD5316"/>
    <w:rsid w:val="00BD6613"/>
    <w:rsid w:val="00BD7E81"/>
    <w:rsid w:val="00BE41BE"/>
    <w:rsid w:val="00BE6F8C"/>
    <w:rsid w:val="00BE735F"/>
    <w:rsid w:val="00BF0B0F"/>
    <w:rsid w:val="00BF150A"/>
    <w:rsid w:val="00BF30A5"/>
    <w:rsid w:val="00BF3210"/>
    <w:rsid w:val="00BF3B09"/>
    <w:rsid w:val="00C03270"/>
    <w:rsid w:val="00C048FB"/>
    <w:rsid w:val="00C04CFA"/>
    <w:rsid w:val="00C076EF"/>
    <w:rsid w:val="00C16C84"/>
    <w:rsid w:val="00C21DB4"/>
    <w:rsid w:val="00C224CD"/>
    <w:rsid w:val="00C25539"/>
    <w:rsid w:val="00C25C2B"/>
    <w:rsid w:val="00C34D95"/>
    <w:rsid w:val="00C357EB"/>
    <w:rsid w:val="00C37015"/>
    <w:rsid w:val="00C40072"/>
    <w:rsid w:val="00C4213E"/>
    <w:rsid w:val="00C438D5"/>
    <w:rsid w:val="00C45741"/>
    <w:rsid w:val="00C472A3"/>
    <w:rsid w:val="00C50C4A"/>
    <w:rsid w:val="00C524B1"/>
    <w:rsid w:val="00C56B9D"/>
    <w:rsid w:val="00C60706"/>
    <w:rsid w:val="00C6464D"/>
    <w:rsid w:val="00C64FE6"/>
    <w:rsid w:val="00C72DBC"/>
    <w:rsid w:val="00C76B39"/>
    <w:rsid w:val="00C8194B"/>
    <w:rsid w:val="00C8510F"/>
    <w:rsid w:val="00C856C4"/>
    <w:rsid w:val="00C8634C"/>
    <w:rsid w:val="00C86F92"/>
    <w:rsid w:val="00C90072"/>
    <w:rsid w:val="00C9533B"/>
    <w:rsid w:val="00CB0748"/>
    <w:rsid w:val="00CB18BD"/>
    <w:rsid w:val="00CB232C"/>
    <w:rsid w:val="00CB2D79"/>
    <w:rsid w:val="00CB2E90"/>
    <w:rsid w:val="00CB4405"/>
    <w:rsid w:val="00CB4EF4"/>
    <w:rsid w:val="00CB5BD0"/>
    <w:rsid w:val="00CB63F6"/>
    <w:rsid w:val="00CC042F"/>
    <w:rsid w:val="00CC11D6"/>
    <w:rsid w:val="00CD2668"/>
    <w:rsid w:val="00CD2FAC"/>
    <w:rsid w:val="00CD495B"/>
    <w:rsid w:val="00CD7C0B"/>
    <w:rsid w:val="00CD7C6C"/>
    <w:rsid w:val="00CE3BDB"/>
    <w:rsid w:val="00CE4305"/>
    <w:rsid w:val="00CE44AB"/>
    <w:rsid w:val="00CE4BC6"/>
    <w:rsid w:val="00CE52BF"/>
    <w:rsid w:val="00CE70DB"/>
    <w:rsid w:val="00CF001E"/>
    <w:rsid w:val="00CF50D5"/>
    <w:rsid w:val="00CF5C9B"/>
    <w:rsid w:val="00CF6662"/>
    <w:rsid w:val="00D01058"/>
    <w:rsid w:val="00D01136"/>
    <w:rsid w:val="00D03474"/>
    <w:rsid w:val="00D03476"/>
    <w:rsid w:val="00D03C0F"/>
    <w:rsid w:val="00D06B71"/>
    <w:rsid w:val="00D105D9"/>
    <w:rsid w:val="00D11FB0"/>
    <w:rsid w:val="00D129B0"/>
    <w:rsid w:val="00D1756F"/>
    <w:rsid w:val="00D21893"/>
    <w:rsid w:val="00D23DB6"/>
    <w:rsid w:val="00D242FC"/>
    <w:rsid w:val="00D26400"/>
    <w:rsid w:val="00D264F9"/>
    <w:rsid w:val="00D35E6A"/>
    <w:rsid w:val="00D361F7"/>
    <w:rsid w:val="00D37A4D"/>
    <w:rsid w:val="00D37BDA"/>
    <w:rsid w:val="00D409F8"/>
    <w:rsid w:val="00D41D8D"/>
    <w:rsid w:val="00D51C08"/>
    <w:rsid w:val="00D51F3E"/>
    <w:rsid w:val="00D55D74"/>
    <w:rsid w:val="00D568D6"/>
    <w:rsid w:val="00D613B2"/>
    <w:rsid w:val="00D61D4F"/>
    <w:rsid w:val="00D62526"/>
    <w:rsid w:val="00D65B3B"/>
    <w:rsid w:val="00D6655A"/>
    <w:rsid w:val="00D7158D"/>
    <w:rsid w:val="00D73BEF"/>
    <w:rsid w:val="00D75DD7"/>
    <w:rsid w:val="00D8461E"/>
    <w:rsid w:val="00D848AF"/>
    <w:rsid w:val="00D84D41"/>
    <w:rsid w:val="00D85867"/>
    <w:rsid w:val="00D90438"/>
    <w:rsid w:val="00D90F7C"/>
    <w:rsid w:val="00D93BBB"/>
    <w:rsid w:val="00D9483F"/>
    <w:rsid w:val="00D9612C"/>
    <w:rsid w:val="00DA0DFD"/>
    <w:rsid w:val="00DA26D1"/>
    <w:rsid w:val="00DB18FC"/>
    <w:rsid w:val="00DB2769"/>
    <w:rsid w:val="00DB4762"/>
    <w:rsid w:val="00DB630A"/>
    <w:rsid w:val="00DB6473"/>
    <w:rsid w:val="00DC4AE1"/>
    <w:rsid w:val="00DC6B38"/>
    <w:rsid w:val="00DC767D"/>
    <w:rsid w:val="00DC7A15"/>
    <w:rsid w:val="00DD0CDD"/>
    <w:rsid w:val="00DD26EA"/>
    <w:rsid w:val="00DD35BB"/>
    <w:rsid w:val="00DD7198"/>
    <w:rsid w:val="00DE3B48"/>
    <w:rsid w:val="00DF0FF1"/>
    <w:rsid w:val="00DF1557"/>
    <w:rsid w:val="00DF7223"/>
    <w:rsid w:val="00DF749E"/>
    <w:rsid w:val="00DF7988"/>
    <w:rsid w:val="00E0112E"/>
    <w:rsid w:val="00E02056"/>
    <w:rsid w:val="00E037D5"/>
    <w:rsid w:val="00E07EB9"/>
    <w:rsid w:val="00E10A87"/>
    <w:rsid w:val="00E114BC"/>
    <w:rsid w:val="00E11D50"/>
    <w:rsid w:val="00E13609"/>
    <w:rsid w:val="00E14B3C"/>
    <w:rsid w:val="00E16067"/>
    <w:rsid w:val="00E212E3"/>
    <w:rsid w:val="00E227F4"/>
    <w:rsid w:val="00E23903"/>
    <w:rsid w:val="00E2575E"/>
    <w:rsid w:val="00E27DAA"/>
    <w:rsid w:val="00E27FDC"/>
    <w:rsid w:val="00E30E7D"/>
    <w:rsid w:val="00E31BA9"/>
    <w:rsid w:val="00E40872"/>
    <w:rsid w:val="00E41594"/>
    <w:rsid w:val="00E46A08"/>
    <w:rsid w:val="00E56FE8"/>
    <w:rsid w:val="00E57C5E"/>
    <w:rsid w:val="00E6057C"/>
    <w:rsid w:val="00E607A7"/>
    <w:rsid w:val="00E63BD1"/>
    <w:rsid w:val="00E6467D"/>
    <w:rsid w:val="00E66BCF"/>
    <w:rsid w:val="00E71342"/>
    <w:rsid w:val="00E728E4"/>
    <w:rsid w:val="00E75741"/>
    <w:rsid w:val="00E83DB2"/>
    <w:rsid w:val="00E85DAF"/>
    <w:rsid w:val="00E87864"/>
    <w:rsid w:val="00E9170D"/>
    <w:rsid w:val="00E9198A"/>
    <w:rsid w:val="00E931C1"/>
    <w:rsid w:val="00E93D73"/>
    <w:rsid w:val="00E94BFD"/>
    <w:rsid w:val="00E94E0E"/>
    <w:rsid w:val="00E97186"/>
    <w:rsid w:val="00E97F6C"/>
    <w:rsid w:val="00EA04D2"/>
    <w:rsid w:val="00EA68DB"/>
    <w:rsid w:val="00EB1A62"/>
    <w:rsid w:val="00EB7A4C"/>
    <w:rsid w:val="00EC2A66"/>
    <w:rsid w:val="00EC3672"/>
    <w:rsid w:val="00ED0960"/>
    <w:rsid w:val="00ED3782"/>
    <w:rsid w:val="00ED56C1"/>
    <w:rsid w:val="00EE1F49"/>
    <w:rsid w:val="00EE1F87"/>
    <w:rsid w:val="00EE3720"/>
    <w:rsid w:val="00EE3F92"/>
    <w:rsid w:val="00EE7634"/>
    <w:rsid w:val="00EF1FCF"/>
    <w:rsid w:val="00EF271D"/>
    <w:rsid w:val="00EF4228"/>
    <w:rsid w:val="00EF4DC8"/>
    <w:rsid w:val="00EF659E"/>
    <w:rsid w:val="00EF6A13"/>
    <w:rsid w:val="00F01751"/>
    <w:rsid w:val="00F02CF2"/>
    <w:rsid w:val="00F0385A"/>
    <w:rsid w:val="00F1070F"/>
    <w:rsid w:val="00F14992"/>
    <w:rsid w:val="00F14DE0"/>
    <w:rsid w:val="00F21D20"/>
    <w:rsid w:val="00F22674"/>
    <w:rsid w:val="00F22B78"/>
    <w:rsid w:val="00F244F9"/>
    <w:rsid w:val="00F25220"/>
    <w:rsid w:val="00F25320"/>
    <w:rsid w:val="00F26FA6"/>
    <w:rsid w:val="00F306D7"/>
    <w:rsid w:val="00F308B7"/>
    <w:rsid w:val="00F31CAB"/>
    <w:rsid w:val="00F32A46"/>
    <w:rsid w:val="00F37170"/>
    <w:rsid w:val="00F43040"/>
    <w:rsid w:val="00F44E00"/>
    <w:rsid w:val="00F44EC3"/>
    <w:rsid w:val="00F459DC"/>
    <w:rsid w:val="00F46B72"/>
    <w:rsid w:val="00F474AB"/>
    <w:rsid w:val="00F476F6"/>
    <w:rsid w:val="00F47A28"/>
    <w:rsid w:val="00F5050C"/>
    <w:rsid w:val="00F5134E"/>
    <w:rsid w:val="00F528DD"/>
    <w:rsid w:val="00F52A18"/>
    <w:rsid w:val="00F52C68"/>
    <w:rsid w:val="00F53CC6"/>
    <w:rsid w:val="00F564CD"/>
    <w:rsid w:val="00F61702"/>
    <w:rsid w:val="00F62E71"/>
    <w:rsid w:val="00F630C8"/>
    <w:rsid w:val="00F64C12"/>
    <w:rsid w:val="00F6552D"/>
    <w:rsid w:val="00F67278"/>
    <w:rsid w:val="00F710E9"/>
    <w:rsid w:val="00F733F0"/>
    <w:rsid w:val="00F76A72"/>
    <w:rsid w:val="00F77340"/>
    <w:rsid w:val="00F8042D"/>
    <w:rsid w:val="00F85256"/>
    <w:rsid w:val="00F87572"/>
    <w:rsid w:val="00F87CA2"/>
    <w:rsid w:val="00F91976"/>
    <w:rsid w:val="00F92C8D"/>
    <w:rsid w:val="00F931AD"/>
    <w:rsid w:val="00F9741A"/>
    <w:rsid w:val="00FA1F53"/>
    <w:rsid w:val="00FA2095"/>
    <w:rsid w:val="00FA244D"/>
    <w:rsid w:val="00FB1215"/>
    <w:rsid w:val="00FB4CB0"/>
    <w:rsid w:val="00FB6392"/>
    <w:rsid w:val="00FC39BA"/>
    <w:rsid w:val="00FC3DAC"/>
    <w:rsid w:val="00FD1428"/>
    <w:rsid w:val="00FD20C5"/>
    <w:rsid w:val="00FD2761"/>
    <w:rsid w:val="00FD37B5"/>
    <w:rsid w:val="00FD4568"/>
    <w:rsid w:val="00FD5B5E"/>
    <w:rsid w:val="00FD613E"/>
    <w:rsid w:val="00FD6F4D"/>
    <w:rsid w:val="00FE05A0"/>
    <w:rsid w:val="00FE3FCF"/>
    <w:rsid w:val="00FF2E19"/>
    <w:rsid w:val="00FF756F"/>
    <w:rsid w:val="01CE6DBD"/>
    <w:rsid w:val="07EE04C3"/>
    <w:rsid w:val="0B2B77D7"/>
    <w:rsid w:val="127E28E2"/>
    <w:rsid w:val="12E12E71"/>
    <w:rsid w:val="19234653"/>
    <w:rsid w:val="252879E9"/>
    <w:rsid w:val="26F251F5"/>
    <w:rsid w:val="294C6E3F"/>
    <w:rsid w:val="2CFC2E35"/>
    <w:rsid w:val="34B955A4"/>
    <w:rsid w:val="3D5C1616"/>
    <w:rsid w:val="407C5E04"/>
    <w:rsid w:val="4A0D5D1E"/>
    <w:rsid w:val="5154153B"/>
    <w:rsid w:val="518C1C1F"/>
    <w:rsid w:val="54DD1EA3"/>
    <w:rsid w:val="56841877"/>
    <w:rsid w:val="63E91153"/>
    <w:rsid w:val="66216982"/>
    <w:rsid w:val="6B565135"/>
    <w:rsid w:val="6C7C3CEF"/>
    <w:rsid w:val="7B9A3006"/>
    <w:rsid w:val="7B9D2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5"/>
    <w:semiHidden/>
    <w:unhideWhenUsed/>
    <w:qFormat/>
    <w:uiPriority w:val="99"/>
    <w:pPr>
      <w:jc w:val="left"/>
    </w:pPr>
  </w:style>
  <w:style w:type="paragraph" w:styleId="3">
    <w:name w:val="Balloon Text"/>
    <w:basedOn w:val="1"/>
    <w:link w:val="37"/>
    <w:semiHidden/>
    <w:unhideWhenUsed/>
    <w:qFormat/>
    <w:uiPriority w:val="99"/>
    <w:rPr>
      <w:sz w:val="18"/>
      <w:szCs w:val="18"/>
    </w:rPr>
  </w:style>
  <w:style w:type="paragraph" w:styleId="4">
    <w:name w:val="footer"/>
    <w:basedOn w:val="1"/>
    <w:link w:val="34"/>
    <w:unhideWhenUsed/>
    <w:qFormat/>
    <w:uiPriority w:val="99"/>
    <w:pPr>
      <w:tabs>
        <w:tab w:val="center" w:pos="4153"/>
        <w:tab w:val="right" w:pos="8306"/>
      </w:tabs>
      <w:snapToGrid w:val="0"/>
      <w:jc w:val="left"/>
    </w:pPr>
    <w:rPr>
      <w:sz w:val="18"/>
      <w:szCs w:val="18"/>
    </w:rPr>
  </w:style>
  <w:style w:type="paragraph" w:styleId="5">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annotation subject"/>
    <w:basedOn w:val="2"/>
    <w:next w:val="2"/>
    <w:link w:val="36"/>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customStyle="1" w:styleId="11">
    <w:name w:val="※封面大标题"/>
    <w:basedOn w:val="1"/>
    <w:next w:val="1"/>
    <w:qFormat/>
    <w:uiPriority w:val="0"/>
    <w:pPr>
      <w:widowControl/>
      <w:jc w:val="center"/>
    </w:pPr>
    <w:rPr>
      <w:rFonts w:ascii="华文中宋" w:hAnsi="华文中宋" w:eastAsia="华文中宋"/>
      <w:sz w:val="96"/>
      <w:szCs w:val="96"/>
    </w:rPr>
  </w:style>
  <w:style w:type="paragraph" w:customStyle="1" w:styleId="12">
    <w:name w:val="※封面题颌"/>
    <w:basedOn w:val="1"/>
    <w:next w:val="1"/>
    <w:qFormat/>
    <w:uiPriority w:val="0"/>
    <w:pPr>
      <w:widowControl/>
      <w:jc w:val="center"/>
    </w:pPr>
    <w:rPr>
      <w:rFonts w:ascii="Calibri Light" w:hAnsi="Calibri Light" w:eastAsia="华文仿宋"/>
      <w:sz w:val="36"/>
      <w:szCs w:val="36"/>
    </w:rPr>
  </w:style>
  <w:style w:type="paragraph" w:customStyle="1" w:styleId="13">
    <w:name w:val="※封面题眉"/>
    <w:basedOn w:val="1"/>
    <w:next w:val="11"/>
    <w:qFormat/>
    <w:uiPriority w:val="0"/>
    <w:pPr>
      <w:widowControl/>
      <w:jc w:val="center"/>
    </w:pPr>
    <w:rPr>
      <w:rFonts w:ascii="华文仿宋" w:hAnsi="华文仿宋" w:eastAsia="华文仿宋"/>
      <w:sz w:val="52"/>
      <w:szCs w:val="28"/>
    </w:rPr>
  </w:style>
  <w:style w:type="paragraph" w:customStyle="1" w:styleId="14">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15">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16">
    <w:name w:val="※目录（主）"/>
    <w:basedOn w:val="1"/>
    <w:qFormat/>
    <w:uiPriority w:val="0"/>
    <w:pPr>
      <w:widowControl/>
      <w:tabs>
        <w:tab w:val="right" w:leader="hyphen" w:pos="8400"/>
      </w:tabs>
      <w:spacing w:after="100"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17">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18">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19">
    <w:name w:val="※小标题 一"/>
    <w:basedOn w:val="18"/>
    <w:next w:val="18"/>
    <w:qFormat/>
    <w:uiPriority w:val="0"/>
    <w:pPr>
      <w:spacing w:before="120" w:line="240" w:lineRule="auto"/>
      <w:outlineLvl w:val="2"/>
    </w:pPr>
    <w:rPr>
      <w:b/>
      <w:color w:val="203864" w:themeColor="accent5" w:themeShade="80"/>
      <w:sz w:val="32"/>
    </w:rPr>
  </w:style>
  <w:style w:type="paragraph" w:customStyle="1" w:styleId="20">
    <w:name w:val="※小标题（1）"/>
    <w:basedOn w:val="1"/>
    <w:next w:val="18"/>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21">
    <w:name w:val="※小标题（一）"/>
    <w:basedOn w:val="1"/>
    <w:next w:val="18"/>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22">
    <w:name w:val="※页脚（横屏）"/>
    <w:basedOn w:val="1"/>
    <w:qFormat/>
    <w:uiPriority w:val="0"/>
    <w:pPr>
      <w:widowControl/>
      <w:tabs>
        <w:tab w:val="center" w:pos="7000"/>
      </w:tabs>
      <w:wordWrap w:val="0"/>
      <w:spacing w:line="240" w:lineRule="atLeast"/>
      <w:jc w:val="left"/>
    </w:pPr>
    <w:rPr>
      <w:rFonts w:ascii="宋体" w:hAnsi="宋体"/>
      <w:sz w:val="18"/>
      <w:szCs w:val="18"/>
    </w:rPr>
  </w:style>
  <w:style w:type="paragraph" w:customStyle="1" w:styleId="23">
    <w:name w:val="※页脚（竖屏）"/>
    <w:basedOn w:val="1"/>
    <w:qFormat/>
    <w:uiPriority w:val="0"/>
    <w:pPr>
      <w:widowControl/>
      <w:tabs>
        <w:tab w:val="center" w:pos="4536"/>
      </w:tabs>
      <w:wordWrap w:val="0"/>
      <w:spacing w:line="240" w:lineRule="atLeast"/>
      <w:jc w:val="left"/>
    </w:pPr>
    <w:rPr>
      <w:rFonts w:ascii="宋体" w:hAnsi="宋体"/>
      <w:sz w:val="18"/>
      <w:szCs w:val="18"/>
    </w:rPr>
  </w:style>
  <w:style w:type="paragraph" w:customStyle="1" w:styleId="24">
    <w:name w:val="※页眉"/>
    <w:basedOn w:val="18"/>
    <w:qFormat/>
    <w:uiPriority w:val="0"/>
    <w:pPr>
      <w:pBdr>
        <w:bottom w:val="single" w:color="auto" w:sz="4" w:space="1"/>
      </w:pBdr>
      <w:spacing w:line="240" w:lineRule="atLeast"/>
      <w:jc w:val="right"/>
    </w:pPr>
    <w:rPr>
      <w:rFonts w:ascii="宋体" w:hAnsi="宋体" w:eastAsia="宋体"/>
      <w:sz w:val="18"/>
    </w:rPr>
  </w:style>
  <w:style w:type="paragraph" w:customStyle="1" w:styleId="25">
    <w:name w:val="※章节标题（第X章）"/>
    <w:basedOn w:val="1"/>
    <w:qFormat/>
    <w:uiPriority w:val="0"/>
    <w:pPr>
      <w:widowControl/>
      <w:jc w:val="center"/>
      <w:outlineLvl w:val="0"/>
    </w:pPr>
    <w:rPr>
      <w:rFonts w:ascii="Calibri Light" w:hAnsi="Calibri Light" w:eastAsia="黑体"/>
      <w:sz w:val="36"/>
      <w:szCs w:val="28"/>
    </w:rPr>
  </w:style>
  <w:style w:type="paragraph" w:customStyle="1" w:styleId="26">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27">
    <w:name w:val="※章节标题（第Z部分分项）"/>
    <w:basedOn w:val="26"/>
    <w:qFormat/>
    <w:uiPriority w:val="0"/>
    <w:pPr>
      <w:outlineLvl w:val="2"/>
    </w:pPr>
  </w:style>
  <w:style w:type="paragraph" w:customStyle="1" w:styleId="28">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29">
    <w:name w:val="※正文（缩进2）"/>
    <w:basedOn w:val="18"/>
    <w:qFormat/>
    <w:uiPriority w:val="0"/>
    <w:pPr>
      <w:ind w:firstLine="200" w:firstLineChars="200"/>
    </w:pPr>
  </w:style>
  <w:style w:type="paragraph" w:customStyle="1" w:styleId="30">
    <w:name w:val="※正文（缩进4）"/>
    <w:basedOn w:val="18"/>
    <w:qFormat/>
    <w:uiPriority w:val="0"/>
    <w:pPr>
      <w:ind w:firstLine="400" w:firstLineChars="400"/>
    </w:pPr>
  </w:style>
  <w:style w:type="paragraph" w:customStyle="1" w:styleId="31">
    <w:name w:val="样式"/>
    <w:link w:val="32"/>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character" w:customStyle="1" w:styleId="32">
    <w:name w:val="样式 Char Char"/>
    <w:link w:val="31"/>
    <w:qFormat/>
    <w:locked/>
    <w:uiPriority w:val="0"/>
    <w:rPr>
      <w:rFonts w:ascii="宋体" w:hAnsi="宋体" w:eastAsia="宋体" w:cs="宋体"/>
      <w:kern w:val="0"/>
      <w:sz w:val="24"/>
      <w:szCs w:val="24"/>
    </w:rPr>
  </w:style>
  <w:style w:type="character" w:customStyle="1" w:styleId="33">
    <w:name w:val="页眉 Char"/>
    <w:basedOn w:val="9"/>
    <w:link w:val="5"/>
    <w:qFormat/>
    <w:uiPriority w:val="99"/>
    <w:rPr>
      <w:rFonts w:ascii="Calibri" w:hAnsi="Calibri" w:eastAsia="宋体" w:cs="Times New Roman"/>
      <w:sz w:val="18"/>
      <w:szCs w:val="18"/>
    </w:rPr>
  </w:style>
  <w:style w:type="character" w:customStyle="1" w:styleId="34">
    <w:name w:val="页脚 Char"/>
    <w:basedOn w:val="9"/>
    <w:link w:val="4"/>
    <w:qFormat/>
    <w:uiPriority w:val="99"/>
    <w:rPr>
      <w:rFonts w:ascii="Calibri" w:hAnsi="Calibri" w:eastAsia="宋体" w:cs="Times New Roman"/>
      <w:sz w:val="18"/>
      <w:szCs w:val="18"/>
    </w:rPr>
  </w:style>
  <w:style w:type="character" w:customStyle="1" w:styleId="35">
    <w:name w:val="批注文字 Char"/>
    <w:basedOn w:val="9"/>
    <w:link w:val="2"/>
    <w:semiHidden/>
    <w:qFormat/>
    <w:uiPriority w:val="99"/>
    <w:rPr>
      <w:rFonts w:ascii="Calibri" w:hAnsi="Calibri" w:eastAsia="宋体" w:cs="Times New Roman"/>
    </w:rPr>
  </w:style>
  <w:style w:type="character" w:customStyle="1" w:styleId="36">
    <w:name w:val="批注主题 Char"/>
    <w:basedOn w:val="35"/>
    <w:link w:val="7"/>
    <w:semiHidden/>
    <w:qFormat/>
    <w:uiPriority w:val="99"/>
    <w:rPr>
      <w:rFonts w:ascii="Calibri" w:hAnsi="Calibri" w:eastAsia="宋体" w:cs="Times New Roman"/>
      <w:b/>
      <w:bCs/>
    </w:rPr>
  </w:style>
  <w:style w:type="character" w:customStyle="1" w:styleId="37">
    <w:name w:val="批注框文本 Char"/>
    <w:basedOn w:val="9"/>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5</Pages>
  <Words>2248</Words>
  <Characters>2419</Characters>
  <Lines>21</Lines>
  <Paragraphs>6</Paragraphs>
  <TotalTime>4</TotalTime>
  <ScaleCrop>false</ScaleCrop>
  <LinksUpToDate>false</LinksUpToDate>
  <CharactersWithSpaces>2425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2021-03-19T04:39:00Z</dcterms:created>
  <dc:creator>lenovo</dc:creator>
  <cp:lastModifiedBy>衡</cp:lastModifiedBy>
  <dcterms:modified xsi:type="dcterms:W3CDTF">2023-07-11T09:25:29Z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626358508EF84430B91D0BAA6650578A</vt:lpwstr>
  </property>
</Properties>
</file>