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采购需求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采购内容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根据《农产品质量安全法》《农产品质量安全监测管理办法》规定，202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年我</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组织对全</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主要种植业产品开展农产品质量安全监测（包括风险监测和监督抽查），</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确保高质量完成全年监测任务</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区域范围</w:t>
      </w:r>
      <w:r>
        <w:rPr>
          <w:rFonts w:hint="eastAsia" w:ascii="宋体" w:hAnsi="宋体" w:eastAsia="宋体" w:cs="宋体"/>
          <w:color w:val="auto"/>
          <w:sz w:val="24"/>
          <w:szCs w:val="24"/>
        </w:rPr>
        <w:t>及</w:t>
      </w:r>
      <w:r>
        <w:rPr>
          <w:rFonts w:hint="eastAsia" w:ascii="宋体" w:hAnsi="宋体" w:eastAsia="宋体" w:cs="宋体"/>
          <w:color w:val="auto"/>
          <w:sz w:val="24"/>
          <w:szCs w:val="24"/>
        </w:rPr>
        <w:t>数量情况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蓝田县辖区内农产品种植基地，共抽检600批次农产品。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产品范围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1）蔬菜和食用菌</w:t>
      </w:r>
      <w:r>
        <w:rPr>
          <w:rFonts w:hint="eastAsia" w:ascii="宋体" w:hAnsi="宋体" w:eastAsia="宋体" w:cs="宋体"/>
          <w:color w:val="auto"/>
          <w:sz w:val="24"/>
          <w:szCs w:val="24"/>
          <w:lang w:eastAsia="zh-CN"/>
        </w:rPr>
        <w:t>，监测的蔬菜应是当地主要生产和消费的种类</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2）水果</w:t>
      </w:r>
      <w:r>
        <w:rPr>
          <w:rFonts w:hint="eastAsia" w:ascii="宋体" w:hAnsi="宋体" w:eastAsia="宋体" w:cs="宋体"/>
          <w:color w:val="auto"/>
          <w:sz w:val="24"/>
          <w:szCs w:val="24"/>
          <w:lang w:eastAsia="zh-CN"/>
        </w:rPr>
        <w:t>，应是当季主要生产和消费的种类</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检测参数及方法（68项/品质鉴定）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甲胺磷、对硫磷、甲基对硫磷、六六六、三氯杀螨醇、甲拌磷（包括甲拌磷砜和甲拌磷亚砜）、氧乐果、水胺硫磷、甲基异柳磷、克百威（包括3-羟基克百威）、涕灭威（包括涕灭威砜和涕灭威亚砜）、毒死蜱、三唑磷、乐果、乙酰甲胺磷、灭多威、氰戊菊酯、敌敌畏、丙溴磷、杀螟硫磷、二嗪磷、马拉硫磷、亚胺硫磷、伏杀硫磷、辛硫磷、氯氰菊酯、甲氰菊酯、氯氟氰菊酯、氟氯氰菊酯、溴氰菊酯、联苯菊酯、氟胺氰菊酯、氟氰戊菊酯、三唑酮、百菌清、异菌脲、甲萘威、腐霉利、五氯硝基苯、乙烯菌核利、多菌灵、吡虫啉（检测方法：NY/T 761-2008或GB 23200.8-2016或GB/T 20769-2008或GB 23200.113-2018）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氟虫腈（包括氟甲腈、氟虫腈硫醚、氟虫腈砜）、啶虫脒、哒螨灵、苯醚甲环唑、嘧霉胺、甲氨基阿维菌素苯甲酸盐、烯酰吗啉、虫螨腈、咪鲜胺、嘧菌酯、二甲戊乐灵、噻虫嗪、氟啶脲、灭幼脲、灭蝇胺、甲霜灵、霜霉威、多效唑、氯吡脲、氯虫苯甲酰胺、氯菊酯（异构体之和）、醚菊酯、虫酰肼、吡唑醚菌酯（检测方法：</w:t>
      </w:r>
      <w:r>
        <w:rPr>
          <w:rFonts w:hint="eastAsia" w:ascii="宋体" w:hAnsi="宋体" w:eastAsia="宋体" w:cs="宋体"/>
          <w:color w:val="auto"/>
          <w:sz w:val="24"/>
          <w:szCs w:val="24"/>
          <w:lang w:val="fr-FR"/>
        </w:rPr>
        <w:t>GB 23200.8-2016或GB/T 20769-2008或GB 23200.113-2018</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）阿维菌素（检测方法：GB 23200.19）</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）除虫脲（检测方法：GB/T 5009.147）</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3、其他要求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3.1.结果报告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供应商须</w:t>
      </w:r>
      <w:r>
        <w:rPr>
          <w:rFonts w:hint="eastAsia" w:ascii="宋体" w:hAnsi="宋体" w:eastAsia="宋体" w:cs="宋体"/>
          <w:bCs/>
          <w:color w:val="auto"/>
          <w:kern w:val="0"/>
          <w:sz w:val="24"/>
          <w:szCs w:val="24"/>
          <w:highlight w:val="none"/>
        </w:rPr>
        <w:t>在</w:t>
      </w:r>
      <w:r>
        <w:rPr>
          <w:rFonts w:hint="eastAsia" w:ascii="宋体" w:hAnsi="宋体" w:eastAsia="宋体" w:cs="宋体"/>
          <w:bCs/>
          <w:color w:val="auto"/>
          <w:kern w:val="0"/>
          <w:sz w:val="24"/>
          <w:szCs w:val="24"/>
          <w:highlight w:val="none"/>
          <w:lang w:val="en-US" w:eastAsia="zh-CN"/>
        </w:rPr>
        <w:t>采购人</w:t>
      </w:r>
      <w:r>
        <w:rPr>
          <w:rFonts w:hint="eastAsia" w:ascii="宋体" w:hAnsi="宋体" w:eastAsia="宋体" w:cs="宋体"/>
          <w:bCs/>
          <w:color w:val="auto"/>
          <w:kern w:val="0"/>
          <w:sz w:val="24"/>
          <w:szCs w:val="24"/>
          <w:highlight w:val="none"/>
        </w:rPr>
        <w:t>指定的工作范围对指定的产品按照规定的检测参数和方法，</w:t>
      </w:r>
      <w:r>
        <w:rPr>
          <w:rFonts w:hint="eastAsia" w:ascii="宋体" w:hAnsi="宋体" w:eastAsia="宋体" w:cs="宋体"/>
          <w:bCs/>
          <w:color w:val="auto"/>
          <w:kern w:val="0"/>
          <w:sz w:val="24"/>
          <w:szCs w:val="24"/>
          <w:highlight w:val="none"/>
          <w:lang w:val="en-US" w:eastAsia="zh-CN"/>
        </w:rPr>
        <w:t>且根据采购人</w:t>
      </w:r>
      <w:r>
        <w:rPr>
          <w:rFonts w:hint="eastAsia" w:ascii="宋体" w:hAnsi="宋体" w:eastAsia="宋体" w:cs="宋体"/>
          <w:bCs/>
          <w:color w:val="auto"/>
          <w:kern w:val="0"/>
          <w:sz w:val="24"/>
          <w:szCs w:val="24"/>
          <w:highlight w:val="none"/>
        </w:rPr>
        <w:t>采购需求出具结果报告并具有满足抽样和保持原始记录的条件和场所。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所有结果均出具纸质版报告（一式二份），其中未检出的需注明检出限（定量限），检出的需注明数值，超出限量的需附复检记录。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3.2.抽样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w:t>
      </w:r>
      <w:r>
        <w:rPr>
          <w:rFonts w:hint="eastAsia" w:ascii="宋体" w:hAnsi="宋体" w:eastAsia="宋体" w:cs="宋体"/>
          <w:color w:val="auto"/>
          <w:sz w:val="24"/>
          <w:szCs w:val="24"/>
        </w:rPr>
        <w:t>样品抽取双份（一份实验室检测、一份市农检中心检测），严格按照NY/T789-2004《农药残留分析样本的采样方法》执行，确保当天完成抽样并到达实验室，抽样时应采集现场信息并记录（抽样点位应有GPS信息），有能力保障样品在储存、运输过程有效防护，</w:t>
      </w:r>
      <w:r>
        <w:rPr>
          <w:rFonts w:hint="eastAsia" w:ascii="宋体" w:hAnsi="宋体" w:eastAsia="宋体" w:cs="宋体"/>
          <w:color w:val="auto"/>
          <w:sz w:val="24"/>
          <w:szCs w:val="24"/>
          <w:lang w:val="en-US" w:eastAsia="zh-CN"/>
        </w:rPr>
        <w:t>不污染、全程监控可追溯。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3.3.原始记录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应有确保原始记录合理保存的环境条件和场所，所有相关记录应保存至少六年以备随时查验。若有弄虚作假、出具虚假报告的将立即终止合同并追究法律责任。</w:t>
      </w:r>
    </w:p>
    <w:p>
      <w:pPr>
        <w:jc w:val="both"/>
        <w:rPr>
          <w:rFonts w:hint="eastAsia" w:ascii="宋体" w:hAnsi="宋体" w:eastAsia="宋体" w:cs="宋体"/>
          <w:b/>
          <w:bCs/>
          <w:sz w:val="28"/>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pperplate Gothic Bold">
    <w:altName w:val="Arial"/>
    <w:panose1 w:val="020E07050202060204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GJiNzBjZWM5ZjIwNDllYmI2N2VjYjA4M2YzOTAifQ=="/>
  </w:docVars>
  <w:rsids>
    <w:rsidRoot w:val="6529398F"/>
    <w:rsid w:val="6529398F"/>
    <w:rsid w:val="709E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2023-12-12T06:34:00Z</dcterms:created>
  <dc:creator>Solitude</dc:creator>
  <cp:lastModifiedBy>Solitude</cp:lastModifiedBy>
  <dcterms:modified xsi:type="dcterms:W3CDTF">2023-12-12T06:43:15Z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484971D193854740AD18ECBDFDD0A0E6_11</vt:lpwstr>
  </property>
</Properties>
</file>