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hint="default" w:ascii="宋体" w:hAnsi="宋体" w:eastAsia="宋体" w:cs="宋体"/>
          <w:b/>
          <w:sz w:val="30"/>
          <w:lang w:val="en-US" w:eastAsia="zh-CN"/>
        </w:rPr>
      </w:pPr>
      <w:r>
        <w:rPr>
          <w:rFonts w:hint="eastAsia" w:ascii="宋体" w:hAnsi="宋体" w:eastAsia="宋体" w:cs="宋体"/>
          <w:b/>
          <w:sz w:val="30"/>
        </w:rPr>
        <w:t>项目编号：</w:t>
      </w:r>
      <w:r>
        <w:rPr>
          <w:rFonts w:hint="eastAsia" w:ascii="宋体" w:hAnsi="宋体" w:eastAsia="宋体" w:cs="宋体"/>
          <w:b/>
          <w:sz w:val="30"/>
          <w:lang w:eastAsia="zh-CN"/>
        </w:rPr>
        <w:t>SXWZ2022ZB-CAYY-263</w:t>
      </w:r>
    </w:p>
    <w:p>
      <w:pPr>
        <w:adjustRightInd w:val="0"/>
        <w:snapToGrid w:val="0"/>
        <w:spacing w:line="360" w:lineRule="auto"/>
        <w:rPr>
          <w:rFonts w:ascii="宋体" w:hAnsi="宋体" w:eastAsia="宋体" w:cs="宋体"/>
          <w:b/>
          <w:sz w:val="48"/>
          <w:szCs w:val="48"/>
        </w:rPr>
      </w:pPr>
    </w:p>
    <w:p>
      <w:pPr>
        <w:adjustRightInd w:val="0"/>
        <w:snapToGrid w:val="0"/>
        <w:spacing w:line="360" w:lineRule="auto"/>
        <w:jc w:val="center"/>
        <w:rPr>
          <w:rFonts w:ascii="宋体" w:hAnsi="宋体" w:eastAsia="宋体" w:cs="宋体"/>
          <w:b/>
          <w:sz w:val="52"/>
          <w:szCs w:val="52"/>
        </w:rPr>
      </w:pPr>
      <w:r>
        <w:rPr>
          <w:rFonts w:hint="eastAsia" w:asciiTheme="minorEastAsia" w:hAnsiTheme="minorEastAsia" w:cstheme="minorEastAsia"/>
          <w:b/>
          <w:sz w:val="48"/>
          <w:lang w:eastAsia="zh-CN"/>
        </w:rPr>
        <w:t>西安市长安区医院血栓抽吸控制系统采购项目</w:t>
      </w:r>
    </w:p>
    <w:p>
      <w:pPr>
        <w:adjustRightInd w:val="0"/>
        <w:snapToGrid w:val="0"/>
        <w:spacing w:line="360" w:lineRule="auto"/>
        <w:rPr>
          <w:rFonts w:ascii="宋体" w:hAnsi="宋体" w:eastAsia="宋体" w:cs="宋体"/>
          <w:b/>
          <w:sz w:val="52"/>
          <w:szCs w:val="52"/>
        </w:rPr>
      </w:pPr>
      <w:r>
        <w:rPr>
          <w:rFonts w:hint="eastAsia" w:ascii="宋体" w:hAnsi="宋体" w:eastAsia="宋体" w:cs="宋体"/>
          <w:b/>
          <w:i/>
          <w:sz w:val="48"/>
        </w:rPr>
        <w:drawing>
          <wp:anchor distT="0" distB="0" distL="114300" distR="114300" simplePos="0" relativeHeight="251659264" behindDoc="1" locked="0" layoutInCell="1" allowOverlap="1">
            <wp:simplePos x="0" y="0"/>
            <wp:positionH relativeFrom="column">
              <wp:posOffset>1343025</wp:posOffset>
            </wp:positionH>
            <wp:positionV relativeFrom="paragraph">
              <wp:posOffset>102870</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13" cstate="print"/>
                    <a:stretch>
                      <a:fillRect/>
                    </a:stretch>
                  </pic:blipFill>
                  <pic:spPr>
                    <a:xfrm>
                      <a:off x="0" y="0"/>
                      <a:ext cx="2312670" cy="1447800"/>
                    </a:xfrm>
                    <a:prstGeom prst="rect">
                      <a:avLst/>
                    </a:prstGeom>
                    <a:noFill/>
                    <a:ln w="9525">
                      <a:noFill/>
                      <a:miter/>
                    </a:ln>
                    <a:effectLst/>
                  </pic:spPr>
                </pic:pic>
              </a:graphicData>
            </a:graphic>
          </wp:anchor>
        </w:drawing>
      </w:r>
    </w:p>
    <w:p>
      <w:pPr>
        <w:tabs>
          <w:tab w:val="left" w:pos="0"/>
        </w:tabs>
        <w:adjustRightInd w:val="0"/>
        <w:snapToGrid w:val="0"/>
        <w:spacing w:line="360" w:lineRule="auto"/>
        <w:jc w:val="left"/>
        <w:rPr>
          <w:rFonts w:ascii="宋体" w:hAnsi="宋体" w:eastAsia="宋体" w:cs="宋体"/>
          <w:b/>
          <w:sz w:val="72"/>
          <w:szCs w:val="72"/>
        </w:rPr>
      </w:pPr>
    </w:p>
    <w:p>
      <w:pPr>
        <w:tabs>
          <w:tab w:val="left" w:pos="0"/>
        </w:tabs>
        <w:adjustRightInd w:val="0"/>
        <w:snapToGrid w:val="0"/>
        <w:spacing w:line="360" w:lineRule="auto"/>
        <w:jc w:val="center"/>
        <w:rPr>
          <w:rFonts w:hint="eastAsia" w:ascii="宋体" w:hAnsi="宋体" w:eastAsia="宋体" w:cs="宋体"/>
          <w:b/>
          <w:sz w:val="72"/>
          <w:szCs w:val="72"/>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rPr>
          <w:rFonts w:ascii="宋体" w:hAnsi="宋体" w:eastAsia="宋体" w:cs="宋体"/>
          <w:b/>
          <w:sz w:val="30"/>
        </w:rPr>
      </w:pPr>
    </w:p>
    <w:p/>
    <w:p/>
    <w:p>
      <w:pPr>
        <w:adjustRightInd w:val="0"/>
        <w:snapToGrid w:val="0"/>
        <w:spacing w:line="360" w:lineRule="auto"/>
        <w:ind w:firstLine="1968" w:firstLineChars="700"/>
        <w:jc w:val="both"/>
        <w:rPr>
          <w:rFonts w:hint="eastAsia" w:ascii="宋体" w:hAnsi="宋体" w:eastAsia="宋体" w:cs="宋体"/>
          <w:b/>
          <w:sz w:val="28"/>
          <w:szCs w:val="28"/>
          <w:lang w:eastAsia="zh-CN"/>
        </w:rPr>
      </w:pPr>
      <w:r>
        <w:rPr>
          <w:rFonts w:hint="eastAsia" w:ascii="宋体" w:hAnsi="宋体" w:eastAsia="宋体" w:cs="宋体"/>
          <w:b/>
          <w:sz w:val="28"/>
          <w:szCs w:val="28"/>
        </w:rPr>
        <w:t>采</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购</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人：西安市长安区医院</w:t>
      </w:r>
    </w:p>
    <w:p>
      <w:pPr>
        <w:adjustRightInd w:val="0"/>
        <w:snapToGrid w:val="0"/>
        <w:spacing w:line="360" w:lineRule="auto"/>
        <w:ind w:firstLine="1968" w:firstLineChars="700"/>
        <w:jc w:val="both"/>
        <w:rPr>
          <w:rFonts w:ascii="宋体" w:hAnsi="宋体" w:eastAsia="宋体" w:cs="宋体"/>
          <w:b/>
          <w:sz w:val="28"/>
          <w:szCs w:val="28"/>
        </w:rPr>
      </w:pPr>
      <w:r>
        <w:rPr>
          <w:rFonts w:hint="eastAsia" w:ascii="宋体" w:hAnsi="宋体" w:eastAsia="宋体" w:cs="宋体"/>
          <w:b/>
          <w:sz w:val="28"/>
          <w:szCs w:val="28"/>
        </w:rPr>
        <w:t>代理机构：陕西万泽招标有限公司</w:t>
      </w:r>
    </w:p>
    <w:p>
      <w:pPr>
        <w:adjustRightInd w:val="0"/>
        <w:snapToGrid w:val="0"/>
        <w:spacing w:line="360" w:lineRule="auto"/>
        <w:jc w:val="center"/>
        <w:rPr>
          <w:rFonts w:ascii="宋体" w:hAnsi="宋体" w:eastAsia="宋体" w:cs="宋体"/>
          <w:b/>
          <w:color w:val="FF0000"/>
          <w:sz w:val="28"/>
          <w:szCs w:val="28"/>
        </w:rPr>
      </w:pPr>
      <w:r>
        <w:rPr>
          <w:rFonts w:hint="eastAsia" w:ascii="宋体" w:hAnsi="宋体" w:eastAsia="宋体" w:cs="宋体"/>
          <w:b/>
          <w:sz w:val="28"/>
          <w:szCs w:val="28"/>
        </w:rPr>
        <w:t>二〇二</w:t>
      </w:r>
      <w:r>
        <w:rPr>
          <w:rFonts w:hint="eastAsia" w:ascii="宋体" w:hAnsi="宋体" w:eastAsia="宋体" w:cs="宋体"/>
          <w:b/>
          <w:sz w:val="28"/>
          <w:szCs w:val="28"/>
          <w:lang w:eastAsia="zh-CN"/>
        </w:rPr>
        <w:t>二</w:t>
      </w:r>
      <w:r>
        <w:rPr>
          <w:rFonts w:hint="eastAsia" w:ascii="宋体" w:hAnsi="宋体" w:eastAsia="宋体" w:cs="宋体"/>
          <w:b/>
          <w:sz w:val="28"/>
          <w:szCs w:val="28"/>
        </w:rPr>
        <w:t>年</w:t>
      </w:r>
      <w:r>
        <w:rPr>
          <w:rFonts w:hint="eastAsia" w:ascii="宋体" w:hAnsi="宋体" w:eastAsia="宋体" w:cs="宋体"/>
          <w:b/>
          <w:sz w:val="28"/>
          <w:szCs w:val="28"/>
          <w:lang w:eastAsia="zh-CN"/>
        </w:rPr>
        <w:t>十一</w:t>
      </w:r>
      <w:r>
        <w:rPr>
          <w:rFonts w:hint="eastAsia" w:ascii="宋体" w:hAnsi="宋体" w:eastAsia="宋体" w:cs="宋体"/>
          <w:b/>
          <w:sz w:val="28"/>
          <w:szCs w:val="28"/>
        </w:rPr>
        <w:t>月</w:t>
      </w:r>
    </w:p>
    <w:p>
      <w:pPr>
        <w:adjustRightInd w:val="0"/>
        <w:snapToGrid w:val="0"/>
        <w:spacing w:line="600" w:lineRule="auto"/>
        <w:jc w:val="center"/>
        <w:rPr>
          <w:rFonts w:ascii="宋体" w:hAnsi="宋体" w:eastAsia="宋体" w:cs="宋体"/>
          <w:b/>
          <w:sz w:val="28"/>
          <w:szCs w:val="28"/>
        </w:rPr>
        <w:sectPr>
          <w:headerReference r:id="rId4" w:type="first"/>
          <w:headerReference r:id="rId3" w:type="default"/>
          <w:footerReference r:id="rId5" w:type="default"/>
          <w:pgSz w:w="11906" w:h="16838"/>
          <w:pgMar w:top="1440" w:right="1803" w:bottom="1440" w:left="1803" w:header="851" w:footer="992" w:gutter="0"/>
          <w:cols w:space="0" w:num="1"/>
          <w:docGrid w:type="lines" w:linePitch="317" w:charSpace="0"/>
        </w:sectPr>
      </w:pPr>
    </w:p>
    <w:p>
      <w:pPr>
        <w:pStyle w:val="16"/>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 录</w:t>
      </w:r>
    </w:p>
    <w:p>
      <w:pPr>
        <w:pStyle w:val="16"/>
        <w:tabs>
          <w:tab w:val="right" w:leader="dot" w:pos="8300"/>
        </w:tabs>
      </w:pPr>
      <w:r>
        <w:rPr>
          <w:rFonts w:hint="eastAsia" w:ascii="宋体" w:hAnsi="宋体" w:eastAsia="宋体" w:cs="宋体"/>
          <w:sz w:val="160"/>
          <w:szCs w:val="160"/>
        </w:rPr>
        <w:fldChar w:fldCharType="begin"/>
      </w:r>
      <w:r>
        <w:rPr>
          <w:rFonts w:hint="eastAsia" w:ascii="宋体" w:hAnsi="宋体" w:eastAsia="宋体" w:cs="宋体"/>
          <w:sz w:val="160"/>
          <w:szCs w:val="160"/>
        </w:rPr>
        <w:instrText xml:space="preserve">TOC \o "1-2" \h \u </w:instrText>
      </w:r>
      <w:r>
        <w:rPr>
          <w:rFonts w:hint="eastAsia" w:ascii="宋体" w:hAnsi="宋体" w:eastAsia="宋体" w:cs="宋体"/>
          <w:sz w:val="160"/>
          <w:szCs w:val="160"/>
        </w:rPr>
        <w:fldChar w:fldCharType="separate"/>
      </w:r>
      <w:r>
        <w:rPr>
          <w:rFonts w:hint="eastAsia" w:ascii="宋体" w:hAnsi="宋体" w:eastAsia="宋体" w:cs="宋体"/>
          <w:szCs w:val="160"/>
        </w:rPr>
        <w:fldChar w:fldCharType="begin"/>
      </w:r>
      <w:r>
        <w:rPr>
          <w:rFonts w:hint="eastAsia" w:ascii="宋体" w:hAnsi="宋体" w:eastAsia="宋体" w:cs="宋体"/>
          <w:szCs w:val="160"/>
        </w:rPr>
        <w:instrText xml:space="preserve"> HYPERLINK \l _Toc30376 </w:instrText>
      </w:r>
      <w:r>
        <w:rPr>
          <w:rFonts w:hint="eastAsia" w:ascii="宋体" w:hAnsi="宋体" w:eastAsia="宋体" w:cs="宋体"/>
          <w:szCs w:val="160"/>
        </w:rPr>
        <w:fldChar w:fldCharType="separate"/>
      </w:r>
      <w:r>
        <w:rPr>
          <w:rFonts w:hint="eastAsia" w:ascii="宋体" w:hAnsi="宋体" w:cs="宋体"/>
        </w:rPr>
        <w:t>第一部分 竞争性谈判公告</w:t>
      </w:r>
      <w:r>
        <w:tab/>
      </w:r>
      <w:r>
        <w:fldChar w:fldCharType="begin"/>
      </w:r>
      <w:r>
        <w:instrText xml:space="preserve"> PAGEREF _Toc30376 \h </w:instrText>
      </w:r>
      <w:r>
        <w:fldChar w:fldCharType="separate"/>
      </w:r>
      <w:r>
        <w:t>3</w:t>
      </w:r>
      <w:r>
        <w:fldChar w:fldCharType="end"/>
      </w:r>
      <w:r>
        <w:rPr>
          <w:rFonts w:hint="eastAsia" w:ascii="宋体" w:hAnsi="宋体" w:eastAsia="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_Toc15680 </w:instrText>
      </w:r>
      <w:r>
        <w:rPr>
          <w:rFonts w:hint="eastAsia" w:ascii="宋体" w:hAnsi="宋体" w:cs="宋体"/>
          <w:szCs w:val="160"/>
        </w:rPr>
        <w:fldChar w:fldCharType="separate"/>
      </w:r>
      <w:r>
        <w:rPr>
          <w:rFonts w:hint="eastAsia" w:ascii="宋体" w:hAnsi="宋体" w:cs="宋体"/>
        </w:rPr>
        <w:t>第二部分 供应商须知前附表</w:t>
      </w:r>
      <w:r>
        <w:tab/>
      </w:r>
      <w:r>
        <w:fldChar w:fldCharType="begin"/>
      </w:r>
      <w:r>
        <w:instrText xml:space="preserve"> PAGEREF _Toc15680 \h </w:instrText>
      </w:r>
      <w:r>
        <w:fldChar w:fldCharType="separate"/>
      </w:r>
      <w:r>
        <w:t>6</w:t>
      </w:r>
      <w:r>
        <w:fldChar w:fldCharType="end"/>
      </w:r>
      <w:r>
        <w:rPr>
          <w:rFonts w:hint="eastAsia" w:ascii="宋体" w:hAnsi="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_Toc28751 </w:instrText>
      </w:r>
      <w:r>
        <w:rPr>
          <w:rFonts w:hint="eastAsia" w:ascii="宋体" w:hAnsi="宋体" w:cs="宋体"/>
          <w:szCs w:val="160"/>
        </w:rPr>
        <w:fldChar w:fldCharType="separate"/>
      </w:r>
      <w:r>
        <w:rPr>
          <w:rFonts w:hint="eastAsia" w:ascii="宋体" w:hAnsi="宋体" w:cs="宋体"/>
        </w:rPr>
        <w:t>第三部分 供应商须知</w:t>
      </w:r>
      <w:r>
        <w:tab/>
      </w:r>
      <w:r>
        <w:fldChar w:fldCharType="begin"/>
      </w:r>
      <w:r>
        <w:instrText xml:space="preserve"> PAGEREF _Toc28751 \h </w:instrText>
      </w:r>
      <w:r>
        <w:fldChar w:fldCharType="separate"/>
      </w:r>
      <w:r>
        <w:t>10</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_Toc14862 </w:instrText>
      </w:r>
      <w:r>
        <w:rPr>
          <w:rFonts w:hint="eastAsia" w:ascii="宋体" w:hAnsi="宋体" w:cs="宋体"/>
          <w:szCs w:val="160"/>
        </w:rPr>
        <w:fldChar w:fldCharType="separate"/>
      </w:r>
      <w:r>
        <w:rPr>
          <w:rFonts w:hint="eastAsia" w:ascii="宋体" w:hAnsi="宋体" w:eastAsia="宋体" w:cs="宋体"/>
          <w:bCs/>
          <w:kern w:val="0"/>
          <w:szCs w:val="28"/>
        </w:rPr>
        <w:t>一、 总则</w:t>
      </w:r>
      <w:r>
        <w:tab/>
      </w:r>
      <w:r>
        <w:fldChar w:fldCharType="begin"/>
      </w:r>
      <w:r>
        <w:instrText xml:space="preserve"> PAGEREF _Toc14862 \h </w:instrText>
      </w:r>
      <w:r>
        <w:fldChar w:fldCharType="separate"/>
      </w:r>
      <w:r>
        <w:t>10</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_Toc3520 </w:instrText>
      </w:r>
      <w:r>
        <w:rPr>
          <w:rFonts w:hint="eastAsia" w:ascii="宋体" w:hAnsi="宋体" w:cs="宋体"/>
          <w:szCs w:val="160"/>
        </w:rPr>
        <w:fldChar w:fldCharType="separate"/>
      </w:r>
      <w:r>
        <w:rPr>
          <w:rFonts w:hint="eastAsia" w:ascii="宋体" w:hAnsi="宋体" w:eastAsia="宋体" w:cs="宋体"/>
          <w:bCs/>
          <w:kern w:val="0"/>
          <w:szCs w:val="28"/>
        </w:rPr>
        <w:t>二、 竞争性谈判文件</w:t>
      </w:r>
      <w:r>
        <w:tab/>
      </w:r>
      <w:r>
        <w:fldChar w:fldCharType="begin"/>
      </w:r>
      <w:r>
        <w:instrText xml:space="preserve"> PAGEREF _Toc3520 \h </w:instrText>
      </w:r>
      <w:r>
        <w:fldChar w:fldCharType="separate"/>
      </w:r>
      <w:r>
        <w:t>12</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_Toc2688 </w:instrText>
      </w:r>
      <w:r>
        <w:rPr>
          <w:rFonts w:hint="eastAsia" w:ascii="宋体" w:hAnsi="宋体" w:cs="宋体"/>
          <w:szCs w:val="160"/>
        </w:rPr>
        <w:fldChar w:fldCharType="separate"/>
      </w:r>
      <w:r>
        <w:rPr>
          <w:rFonts w:hint="eastAsia" w:ascii="宋体" w:hAnsi="宋体" w:eastAsia="宋体" w:cs="宋体"/>
          <w:bCs/>
          <w:kern w:val="0"/>
          <w:szCs w:val="28"/>
        </w:rPr>
        <w:t>三、 谈判响应文件</w:t>
      </w:r>
      <w:r>
        <w:tab/>
      </w:r>
      <w:r>
        <w:fldChar w:fldCharType="begin"/>
      </w:r>
      <w:r>
        <w:instrText xml:space="preserve"> PAGEREF _Toc2688 \h </w:instrText>
      </w:r>
      <w:r>
        <w:fldChar w:fldCharType="separate"/>
      </w:r>
      <w:r>
        <w:t>15</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_Toc11126 </w:instrText>
      </w:r>
      <w:r>
        <w:rPr>
          <w:rFonts w:hint="eastAsia" w:ascii="宋体" w:hAnsi="宋体" w:cs="宋体"/>
          <w:szCs w:val="160"/>
        </w:rPr>
        <w:fldChar w:fldCharType="separate"/>
      </w:r>
      <w:r>
        <w:rPr>
          <w:rFonts w:hint="eastAsia" w:ascii="宋体" w:hAnsi="宋体" w:eastAsia="宋体" w:cs="宋体"/>
          <w:bCs/>
          <w:kern w:val="0"/>
          <w:szCs w:val="28"/>
        </w:rPr>
        <w:t>四、 谈判响应文件的递交</w:t>
      </w:r>
      <w:r>
        <w:tab/>
      </w:r>
      <w:r>
        <w:fldChar w:fldCharType="begin"/>
      </w:r>
      <w:r>
        <w:instrText xml:space="preserve"> PAGEREF _Toc11126 \h </w:instrText>
      </w:r>
      <w:r>
        <w:fldChar w:fldCharType="separate"/>
      </w:r>
      <w:r>
        <w:t>18</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_Toc14090 </w:instrText>
      </w:r>
      <w:r>
        <w:rPr>
          <w:rFonts w:hint="eastAsia" w:ascii="宋体" w:hAnsi="宋体" w:cs="宋体"/>
          <w:szCs w:val="160"/>
        </w:rPr>
        <w:fldChar w:fldCharType="separate"/>
      </w:r>
      <w:r>
        <w:rPr>
          <w:rFonts w:hint="eastAsia" w:ascii="宋体" w:hAnsi="宋体" w:eastAsia="宋体" w:cs="宋体"/>
          <w:bCs/>
          <w:kern w:val="0"/>
          <w:szCs w:val="28"/>
        </w:rPr>
        <w:t>五、 谈判、评审、定标</w:t>
      </w:r>
      <w:r>
        <w:tab/>
      </w:r>
      <w:r>
        <w:fldChar w:fldCharType="begin"/>
      </w:r>
      <w:r>
        <w:instrText xml:space="preserve"> PAGEREF _Toc14090 \h </w:instrText>
      </w:r>
      <w:r>
        <w:fldChar w:fldCharType="separate"/>
      </w:r>
      <w:r>
        <w:t>18</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_Toc5331 </w:instrText>
      </w:r>
      <w:r>
        <w:rPr>
          <w:rFonts w:hint="eastAsia" w:ascii="宋体" w:hAnsi="宋体" w:cs="宋体"/>
          <w:szCs w:val="160"/>
        </w:rPr>
        <w:fldChar w:fldCharType="separate"/>
      </w:r>
      <w:r>
        <w:rPr>
          <w:rFonts w:hint="eastAsia" w:ascii="宋体" w:hAnsi="宋体" w:eastAsia="宋体" w:cs="宋体"/>
          <w:bCs/>
          <w:kern w:val="0"/>
          <w:szCs w:val="28"/>
        </w:rPr>
        <w:t>六、 签订合同</w:t>
      </w:r>
      <w:r>
        <w:tab/>
      </w:r>
      <w:r>
        <w:fldChar w:fldCharType="begin"/>
      </w:r>
      <w:r>
        <w:instrText xml:space="preserve"> PAGEREF _Toc5331 \h </w:instrText>
      </w:r>
      <w:r>
        <w:fldChar w:fldCharType="separate"/>
      </w:r>
      <w:r>
        <w:t>22</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_Toc1881 </w:instrText>
      </w:r>
      <w:r>
        <w:rPr>
          <w:rFonts w:hint="eastAsia" w:ascii="宋体" w:hAnsi="宋体" w:cs="宋体"/>
          <w:szCs w:val="160"/>
        </w:rPr>
        <w:fldChar w:fldCharType="separate"/>
      </w:r>
      <w:r>
        <w:rPr>
          <w:rFonts w:hint="eastAsia" w:ascii="宋体" w:hAnsi="宋体" w:eastAsia="宋体" w:cs="宋体"/>
          <w:bCs/>
          <w:kern w:val="0"/>
          <w:szCs w:val="28"/>
        </w:rPr>
        <w:t>七、 代理服务费</w:t>
      </w:r>
      <w:r>
        <w:tab/>
      </w:r>
      <w:r>
        <w:fldChar w:fldCharType="begin"/>
      </w:r>
      <w:r>
        <w:instrText xml:space="preserve"> PAGEREF _Toc1881 \h </w:instrText>
      </w:r>
      <w:r>
        <w:fldChar w:fldCharType="separate"/>
      </w:r>
      <w:r>
        <w:t>22</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_Toc9169 </w:instrText>
      </w:r>
      <w:r>
        <w:rPr>
          <w:rFonts w:hint="eastAsia" w:ascii="宋体" w:hAnsi="宋体" w:cs="宋体"/>
          <w:szCs w:val="160"/>
        </w:rPr>
        <w:fldChar w:fldCharType="separate"/>
      </w:r>
      <w:r>
        <w:rPr>
          <w:rFonts w:hint="eastAsia" w:ascii="宋体" w:cs="宋体"/>
          <w:bCs/>
          <w:kern w:val="0"/>
          <w:szCs w:val="32"/>
        </w:rPr>
        <w:t xml:space="preserve">八、 </w:t>
      </w:r>
      <w:r>
        <w:rPr>
          <w:rFonts w:hint="eastAsia" w:ascii="宋体" w:hAnsi="宋体" w:cs="宋体"/>
          <w:bCs/>
          <w:kern w:val="0"/>
          <w:szCs w:val="32"/>
        </w:rPr>
        <w:t>质疑和投诉</w:t>
      </w:r>
      <w:r>
        <w:tab/>
      </w:r>
      <w:r>
        <w:fldChar w:fldCharType="begin"/>
      </w:r>
      <w:r>
        <w:instrText xml:space="preserve"> PAGEREF _Toc9169 \h </w:instrText>
      </w:r>
      <w:r>
        <w:fldChar w:fldCharType="separate"/>
      </w:r>
      <w:r>
        <w:t>23</w:t>
      </w:r>
      <w:r>
        <w:fldChar w:fldCharType="end"/>
      </w:r>
      <w:r>
        <w:rPr>
          <w:rFonts w:hint="eastAsia" w:ascii="宋体" w:hAnsi="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_Toc27455 </w:instrText>
      </w:r>
      <w:r>
        <w:rPr>
          <w:rFonts w:hint="eastAsia" w:ascii="宋体" w:hAnsi="宋体" w:cs="宋体"/>
          <w:szCs w:val="160"/>
        </w:rPr>
        <w:fldChar w:fldCharType="separate"/>
      </w:r>
      <w:r>
        <w:rPr>
          <w:rFonts w:hint="eastAsia" w:ascii="宋体" w:hAnsi="宋体" w:cs="宋体"/>
        </w:rPr>
        <w:t>第四部分 评审标准</w:t>
      </w:r>
      <w:r>
        <w:tab/>
      </w:r>
      <w:r>
        <w:fldChar w:fldCharType="begin"/>
      </w:r>
      <w:r>
        <w:instrText xml:space="preserve"> PAGEREF _Toc27455 \h </w:instrText>
      </w:r>
      <w:r>
        <w:fldChar w:fldCharType="separate"/>
      </w:r>
      <w:r>
        <w:t>25</w:t>
      </w:r>
      <w:r>
        <w:fldChar w:fldCharType="end"/>
      </w:r>
      <w:r>
        <w:rPr>
          <w:rFonts w:hint="eastAsia" w:ascii="宋体" w:hAnsi="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_Toc5034 </w:instrText>
      </w:r>
      <w:r>
        <w:rPr>
          <w:rFonts w:hint="eastAsia" w:ascii="宋体" w:hAnsi="宋体" w:cs="宋体"/>
          <w:szCs w:val="160"/>
        </w:rPr>
        <w:fldChar w:fldCharType="separate"/>
      </w:r>
      <w:r>
        <w:rPr>
          <w:rFonts w:hint="eastAsia" w:ascii="宋体" w:hAnsi="宋体" w:cs="宋体"/>
        </w:rPr>
        <w:t>第五部分 采购要求</w:t>
      </w:r>
      <w:r>
        <w:tab/>
      </w:r>
      <w:r>
        <w:fldChar w:fldCharType="begin"/>
      </w:r>
      <w:r>
        <w:instrText xml:space="preserve"> PAGEREF _Toc5034 \h </w:instrText>
      </w:r>
      <w:r>
        <w:fldChar w:fldCharType="separate"/>
      </w:r>
      <w:r>
        <w:t>26</w:t>
      </w:r>
      <w:r>
        <w:fldChar w:fldCharType="end"/>
      </w:r>
      <w:r>
        <w:rPr>
          <w:rFonts w:hint="eastAsia" w:ascii="宋体" w:hAnsi="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_Toc24248 </w:instrText>
      </w:r>
      <w:r>
        <w:rPr>
          <w:rFonts w:hint="eastAsia" w:ascii="宋体" w:hAnsi="宋体" w:cs="宋体"/>
          <w:szCs w:val="160"/>
        </w:rPr>
        <w:fldChar w:fldCharType="separate"/>
      </w:r>
      <w:r>
        <w:rPr>
          <w:rFonts w:hint="eastAsia" w:asciiTheme="minorEastAsia" w:hAnsiTheme="minorEastAsia" w:eastAsiaTheme="minorEastAsia" w:cstheme="minorEastAsia"/>
          <w:szCs w:val="36"/>
        </w:rPr>
        <w:t>第六部分 合同条款</w:t>
      </w:r>
      <w:r>
        <w:tab/>
      </w:r>
      <w:r>
        <w:fldChar w:fldCharType="begin"/>
      </w:r>
      <w:r>
        <w:instrText xml:space="preserve"> PAGEREF _Toc24248 \h </w:instrText>
      </w:r>
      <w:r>
        <w:fldChar w:fldCharType="separate"/>
      </w:r>
      <w:r>
        <w:t>28</w:t>
      </w:r>
      <w:r>
        <w:fldChar w:fldCharType="end"/>
      </w:r>
      <w:r>
        <w:rPr>
          <w:rFonts w:hint="eastAsia" w:ascii="宋体" w:hAnsi="宋体" w:cs="宋体"/>
          <w:szCs w:val="160"/>
        </w:rPr>
        <w:fldChar w:fldCharType="end"/>
      </w:r>
    </w:p>
    <w:p>
      <w:pPr>
        <w:pStyle w:val="16"/>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_Toc12109 </w:instrText>
      </w:r>
      <w:r>
        <w:rPr>
          <w:rFonts w:hint="eastAsia" w:ascii="宋体" w:hAnsi="宋体" w:cs="宋体"/>
          <w:szCs w:val="160"/>
        </w:rPr>
        <w:fldChar w:fldCharType="separate"/>
      </w:r>
      <w:r>
        <w:rPr>
          <w:rFonts w:hint="eastAsia" w:ascii="宋体" w:hAnsi="宋体" w:cs="宋体"/>
        </w:rPr>
        <w:t>第七部分 谈判响应文件格式</w:t>
      </w:r>
      <w:r>
        <w:tab/>
      </w:r>
      <w:r>
        <w:fldChar w:fldCharType="begin"/>
      </w:r>
      <w:r>
        <w:instrText xml:space="preserve"> PAGEREF _Toc12109 \h </w:instrText>
      </w:r>
      <w:r>
        <w:fldChar w:fldCharType="separate"/>
      </w:r>
      <w:r>
        <w:t>36</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_Toc27711 </w:instrText>
      </w:r>
      <w:r>
        <w:rPr>
          <w:rFonts w:hint="eastAsia" w:ascii="宋体" w:hAnsi="宋体" w:cs="宋体"/>
          <w:szCs w:val="160"/>
        </w:rPr>
        <w:fldChar w:fldCharType="separate"/>
      </w:r>
      <w:r>
        <w:rPr>
          <w:rFonts w:hint="eastAsia" w:ascii="宋体" w:hAnsi="宋体" w:cs="宋体"/>
        </w:rPr>
        <w:t>第一</w:t>
      </w:r>
      <w:r>
        <w:rPr>
          <w:rFonts w:hint="eastAsia" w:ascii="宋体" w:hAnsi="宋体" w:cs="宋体"/>
          <w:lang w:eastAsia="zh-CN"/>
        </w:rPr>
        <w:t>章</w:t>
      </w:r>
      <w:r>
        <w:rPr>
          <w:rFonts w:hint="eastAsia" w:ascii="宋体" w:hAnsi="宋体" w:cs="宋体"/>
        </w:rPr>
        <w:t xml:space="preserve"> 响应函</w:t>
      </w:r>
      <w:r>
        <w:tab/>
      </w:r>
      <w:r>
        <w:fldChar w:fldCharType="begin"/>
      </w:r>
      <w:r>
        <w:instrText xml:space="preserve"> PAGEREF _Toc27711 \h </w:instrText>
      </w:r>
      <w:r>
        <w:fldChar w:fldCharType="separate"/>
      </w:r>
      <w:r>
        <w:t>38</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_Toc7563 </w:instrText>
      </w:r>
      <w:r>
        <w:rPr>
          <w:rFonts w:hint="eastAsia" w:ascii="宋体" w:hAnsi="宋体" w:cs="宋体"/>
          <w:szCs w:val="160"/>
        </w:rPr>
        <w:fldChar w:fldCharType="separate"/>
      </w:r>
      <w:r>
        <w:rPr>
          <w:rFonts w:hint="eastAsia" w:ascii="宋体" w:hAnsi="宋体" w:cs="宋体"/>
        </w:rPr>
        <w:t>第二</w:t>
      </w:r>
      <w:r>
        <w:rPr>
          <w:rFonts w:hint="eastAsia" w:ascii="宋体" w:hAnsi="宋体" w:cs="宋体"/>
          <w:lang w:eastAsia="zh-CN"/>
        </w:rPr>
        <w:t>章</w:t>
      </w:r>
      <w:r>
        <w:rPr>
          <w:rFonts w:hint="eastAsia" w:ascii="宋体" w:hAnsi="宋体" w:cs="宋体"/>
        </w:rPr>
        <w:t xml:space="preserve"> 响应一览表</w:t>
      </w:r>
      <w:r>
        <w:tab/>
      </w:r>
      <w:r>
        <w:fldChar w:fldCharType="begin"/>
      </w:r>
      <w:r>
        <w:instrText xml:space="preserve"> PAGEREF _Toc7563 \h </w:instrText>
      </w:r>
      <w:r>
        <w:fldChar w:fldCharType="separate"/>
      </w:r>
      <w:r>
        <w:t>39</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_Toc13489 </w:instrText>
      </w:r>
      <w:r>
        <w:rPr>
          <w:rFonts w:hint="eastAsia" w:ascii="宋体" w:hAnsi="宋体" w:cs="宋体"/>
          <w:szCs w:val="160"/>
        </w:rPr>
        <w:fldChar w:fldCharType="separate"/>
      </w:r>
      <w:r>
        <w:rPr>
          <w:rFonts w:hint="eastAsia"/>
          <w:lang w:eastAsia="zh-CN"/>
        </w:rPr>
        <w:t>第三章</w:t>
      </w:r>
      <w:r>
        <w:rPr>
          <w:rFonts w:hint="eastAsia"/>
          <w:lang w:val="en-US" w:eastAsia="zh-CN"/>
        </w:rPr>
        <w:t xml:space="preserve"> </w:t>
      </w:r>
      <w:r>
        <w:rPr>
          <w:rFonts w:hint="eastAsia"/>
        </w:rPr>
        <w:t>分项报价表</w:t>
      </w:r>
      <w:r>
        <w:tab/>
      </w:r>
      <w:r>
        <w:fldChar w:fldCharType="begin"/>
      </w:r>
      <w:r>
        <w:instrText xml:space="preserve"> PAGEREF _Toc13489 \h </w:instrText>
      </w:r>
      <w:r>
        <w:fldChar w:fldCharType="separate"/>
      </w:r>
      <w:r>
        <w:t>40</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_Toc978 </w:instrText>
      </w:r>
      <w:r>
        <w:rPr>
          <w:rFonts w:hint="eastAsia" w:ascii="宋体" w:hAnsi="宋体" w:cs="宋体"/>
          <w:szCs w:val="160"/>
        </w:rPr>
        <w:fldChar w:fldCharType="separate"/>
      </w:r>
      <w:r>
        <w:rPr>
          <w:rFonts w:hint="eastAsia" w:ascii="宋体" w:hAnsi="宋体" w:cs="宋体"/>
        </w:rPr>
        <w:t>第</w:t>
      </w:r>
      <w:r>
        <w:rPr>
          <w:rFonts w:hint="eastAsia" w:ascii="宋体" w:hAnsi="宋体" w:cs="宋体"/>
          <w:lang w:eastAsia="zh-CN"/>
        </w:rPr>
        <w:t>四章</w:t>
      </w:r>
      <w:r>
        <w:rPr>
          <w:rFonts w:hint="eastAsia" w:ascii="宋体" w:hAnsi="宋体" w:cs="宋体"/>
        </w:rPr>
        <w:t xml:space="preserve"> 供应商资质要求</w:t>
      </w:r>
      <w:r>
        <w:tab/>
      </w:r>
      <w:r>
        <w:fldChar w:fldCharType="begin"/>
      </w:r>
      <w:r>
        <w:instrText xml:space="preserve"> PAGEREF _Toc978 \h </w:instrText>
      </w:r>
      <w:r>
        <w:fldChar w:fldCharType="separate"/>
      </w:r>
      <w:r>
        <w:t>41</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_Toc22436 </w:instrText>
      </w:r>
      <w:r>
        <w:rPr>
          <w:rFonts w:hint="eastAsia" w:ascii="宋体" w:hAnsi="宋体" w:cs="宋体"/>
          <w:szCs w:val="160"/>
        </w:rPr>
        <w:fldChar w:fldCharType="separate"/>
      </w:r>
      <w:r>
        <w:rPr>
          <w:rFonts w:hint="eastAsia"/>
        </w:rPr>
        <w:t>第</w:t>
      </w:r>
      <w:r>
        <w:rPr>
          <w:rFonts w:hint="eastAsia"/>
          <w:lang w:eastAsia="zh-CN"/>
        </w:rPr>
        <w:t>六</w:t>
      </w:r>
      <w:r>
        <w:rPr>
          <w:rFonts w:hint="eastAsia"/>
        </w:rPr>
        <w:t>章 商务和技术响应偏离表</w:t>
      </w:r>
      <w:r>
        <w:tab/>
      </w:r>
      <w:r>
        <w:fldChar w:fldCharType="begin"/>
      </w:r>
      <w:r>
        <w:instrText xml:space="preserve"> PAGEREF _Toc22436 \h </w:instrText>
      </w:r>
      <w:r>
        <w:fldChar w:fldCharType="separate"/>
      </w:r>
      <w:r>
        <w:t>48</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_Toc23483 </w:instrText>
      </w:r>
      <w:r>
        <w:rPr>
          <w:rFonts w:hint="eastAsia" w:ascii="宋体" w:hAnsi="宋体" w:cs="宋体"/>
          <w:szCs w:val="160"/>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eastAsia="zh-CN"/>
        </w:rPr>
        <w:t>七</w:t>
      </w:r>
      <w:r>
        <w:rPr>
          <w:rFonts w:hint="eastAsia" w:asciiTheme="minorEastAsia" w:hAnsiTheme="minorEastAsia" w:eastAsiaTheme="minorEastAsia" w:cstheme="minorEastAsia"/>
          <w:szCs w:val="36"/>
        </w:rPr>
        <w:t>章</w:t>
      </w:r>
      <w:r>
        <w:rPr>
          <w:rFonts w:hint="eastAsia" w:asciiTheme="minorEastAsia" w:hAnsiTheme="minorEastAsia" w:eastAsiaTheme="minorEastAsia" w:cstheme="minorEastAsia"/>
          <w:szCs w:val="36"/>
          <w:lang w:val="en-US" w:eastAsia="zh-CN"/>
        </w:rPr>
        <w:t xml:space="preserve"> </w:t>
      </w:r>
      <w:r>
        <w:rPr>
          <w:rFonts w:hint="eastAsia" w:asciiTheme="minorEastAsia" w:hAnsiTheme="minorEastAsia" w:eastAsiaTheme="minorEastAsia" w:cstheme="minorEastAsia"/>
          <w:szCs w:val="36"/>
        </w:rPr>
        <w:t>技术支持资料</w:t>
      </w:r>
      <w:r>
        <w:tab/>
      </w:r>
      <w:r>
        <w:fldChar w:fldCharType="begin"/>
      </w:r>
      <w:r>
        <w:instrText xml:space="preserve"> PAGEREF _Toc23483 \h </w:instrText>
      </w:r>
      <w:r>
        <w:fldChar w:fldCharType="separate"/>
      </w:r>
      <w:r>
        <w:t>50</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_Toc18245 </w:instrText>
      </w:r>
      <w:r>
        <w:rPr>
          <w:rFonts w:hint="eastAsia" w:ascii="宋体" w:hAnsi="宋体" w:cs="宋体"/>
          <w:szCs w:val="160"/>
        </w:rPr>
        <w:fldChar w:fldCharType="separate"/>
      </w:r>
      <w:r>
        <w:rPr>
          <w:rFonts w:hint="eastAsia"/>
        </w:rPr>
        <w:t>第</w:t>
      </w:r>
      <w:r>
        <w:rPr>
          <w:rFonts w:hint="eastAsia"/>
          <w:lang w:eastAsia="zh-CN"/>
        </w:rPr>
        <w:t>八</w:t>
      </w:r>
      <w:r>
        <w:rPr>
          <w:rFonts w:hint="eastAsia"/>
        </w:rPr>
        <w:t>章 供应商业绩一览表</w:t>
      </w:r>
      <w:r>
        <w:tab/>
      </w:r>
      <w:r>
        <w:fldChar w:fldCharType="begin"/>
      </w:r>
      <w:r>
        <w:instrText xml:space="preserve"> PAGEREF _Toc18245 \h </w:instrText>
      </w:r>
      <w:r>
        <w:fldChar w:fldCharType="separate"/>
      </w:r>
      <w:r>
        <w:t>51</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_Toc31207 </w:instrText>
      </w:r>
      <w:r>
        <w:rPr>
          <w:rFonts w:hint="eastAsia" w:ascii="宋体" w:hAnsi="宋体" w:cs="宋体"/>
          <w:szCs w:val="160"/>
        </w:rPr>
        <w:fldChar w:fldCharType="separate"/>
      </w:r>
      <w:r>
        <w:rPr>
          <w:rFonts w:hint="eastAsia"/>
        </w:rPr>
        <w:t>第</w:t>
      </w:r>
      <w:r>
        <w:rPr>
          <w:rFonts w:hint="eastAsia"/>
          <w:lang w:eastAsia="zh-CN"/>
        </w:rPr>
        <w:t>九</w:t>
      </w:r>
      <w:r>
        <w:rPr>
          <w:rFonts w:hint="eastAsia"/>
        </w:rPr>
        <w:t>章</w:t>
      </w:r>
      <w:r>
        <w:rPr>
          <w:rFonts w:hint="eastAsia"/>
          <w:lang w:val="en-US" w:eastAsia="zh-CN"/>
        </w:rPr>
        <w:t xml:space="preserve"> </w:t>
      </w:r>
      <w:r>
        <w:rPr>
          <w:rFonts w:hint="eastAsia"/>
        </w:rPr>
        <w:t>供应商认为有必要说明的其他问题</w:t>
      </w:r>
      <w:r>
        <w:tab/>
      </w:r>
      <w:r>
        <w:fldChar w:fldCharType="begin"/>
      </w:r>
      <w:r>
        <w:instrText xml:space="preserve"> PAGEREF _Toc31207 \h </w:instrText>
      </w:r>
      <w:r>
        <w:fldChar w:fldCharType="separate"/>
      </w:r>
      <w:r>
        <w:t>52</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_Toc11308 </w:instrText>
      </w:r>
      <w:r>
        <w:rPr>
          <w:rFonts w:hint="eastAsia" w:ascii="宋体" w:hAnsi="宋体" w:cs="宋体"/>
          <w:szCs w:val="160"/>
        </w:rPr>
        <w:fldChar w:fldCharType="separate"/>
      </w:r>
      <w:r>
        <w:rPr>
          <w:rFonts w:hint="eastAsia" w:ascii="宋体" w:hAnsi="宋体" w:cs="宋体"/>
        </w:rPr>
        <w:t>第九</w:t>
      </w:r>
      <w:r>
        <w:rPr>
          <w:rFonts w:hint="eastAsia" w:ascii="宋体" w:hAnsi="宋体" w:cs="宋体"/>
          <w:lang w:eastAsia="zh-CN"/>
        </w:rPr>
        <w:t>章</w:t>
      </w:r>
      <w:r>
        <w:rPr>
          <w:rFonts w:hint="eastAsia" w:ascii="宋体" w:hAnsi="宋体" w:cs="宋体"/>
        </w:rPr>
        <w:t xml:space="preserve"> 供应商承诺书</w:t>
      </w:r>
      <w:r>
        <w:tab/>
      </w:r>
      <w:r>
        <w:fldChar w:fldCharType="begin"/>
      </w:r>
      <w:r>
        <w:instrText xml:space="preserve"> PAGEREF _Toc11308 \h </w:instrText>
      </w:r>
      <w:r>
        <w:fldChar w:fldCharType="separate"/>
      </w:r>
      <w:r>
        <w:t>53</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_Toc30990 </w:instrText>
      </w:r>
      <w:r>
        <w:rPr>
          <w:rFonts w:hint="eastAsia" w:ascii="宋体" w:hAnsi="宋体" w:cs="宋体"/>
          <w:szCs w:val="160"/>
        </w:rPr>
        <w:fldChar w:fldCharType="separate"/>
      </w:r>
      <w:r>
        <w:rPr>
          <w:rFonts w:hint="eastAsia" w:ascii="宋体" w:hAnsi="宋体" w:cs="宋体"/>
        </w:rPr>
        <w:t>附件一、封袋正面标识式样</w:t>
      </w:r>
      <w:r>
        <w:tab/>
      </w:r>
      <w:r>
        <w:fldChar w:fldCharType="begin"/>
      </w:r>
      <w:r>
        <w:instrText xml:space="preserve"> PAGEREF _Toc30990 \h </w:instrText>
      </w:r>
      <w:r>
        <w:fldChar w:fldCharType="separate"/>
      </w:r>
      <w:r>
        <w:t>56</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_Toc24777 </w:instrText>
      </w:r>
      <w:r>
        <w:rPr>
          <w:rFonts w:hint="eastAsia" w:ascii="宋体" w:hAnsi="宋体" w:cs="宋体"/>
          <w:szCs w:val="160"/>
        </w:rPr>
        <w:fldChar w:fldCharType="separate"/>
      </w:r>
      <w:r>
        <w:rPr>
          <w:rFonts w:hint="eastAsia" w:ascii="宋体" w:hAnsi="宋体" w:cs="宋体"/>
        </w:rPr>
        <w:t>附件二、中小企业申明</w:t>
      </w:r>
      <w:r>
        <w:tab/>
      </w:r>
      <w:r>
        <w:fldChar w:fldCharType="begin"/>
      </w:r>
      <w:r>
        <w:instrText xml:space="preserve"> PAGEREF _Toc24777 \h </w:instrText>
      </w:r>
      <w:r>
        <w:fldChar w:fldCharType="separate"/>
      </w:r>
      <w:r>
        <w:t>58</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_Toc4644 </w:instrText>
      </w:r>
      <w:r>
        <w:rPr>
          <w:rFonts w:hint="eastAsia" w:ascii="宋体" w:hAnsi="宋体" w:cs="宋体"/>
          <w:szCs w:val="160"/>
        </w:rPr>
        <w:fldChar w:fldCharType="separate"/>
      </w:r>
      <w:r>
        <w:rPr>
          <w:rFonts w:hint="eastAsia" w:ascii="宋体" w:hAnsi="宋体" w:cs="宋体"/>
        </w:rPr>
        <w:t>附件三、残疾人福利性单位声明</w:t>
      </w:r>
      <w:r>
        <w:tab/>
      </w:r>
      <w:r>
        <w:fldChar w:fldCharType="begin"/>
      </w:r>
      <w:r>
        <w:instrText xml:space="preserve"> PAGEREF _Toc4644 \h </w:instrText>
      </w:r>
      <w:r>
        <w:fldChar w:fldCharType="separate"/>
      </w:r>
      <w:r>
        <w:t>59</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_Toc2399 </w:instrText>
      </w:r>
      <w:r>
        <w:rPr>
          <w:rFonts w:hint="eastAsia" w:ascii="宋体" w:hAnsi="宋体" w:cs="宋体"/>
          <w:szCs w:val="160"/>
        </w:rPr>
        <w:fldChar w:fldCharType="separate"/>
      </w:r>
      <w:r>
        <w:rPr>
          <w:rFonts w:hint="eastAsia" w:ascii="宋体" w:hAnsi="宋体" w:cs="宋体"/>
        </w:rPr>
        <w:t>附件四、监狱企业证明文件</w:t>
      </w:r>
      <w:r>
        <w:tab/>
      </w:r>
      <w:r>
        <w:fldChar w:fldCharType="begin"/>
      </w:r>
      <w:r>
        <w:instrText xml:space="preserve"> PAGEREF _Toc2399 \h </w:instrText>
      </w:r>
      <w:r>
        <w:fldChar w:fldCharType="separate"/>
      </w:r>
      <w:r>
        <w:t>59</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_Toc29437 </w:instrText>
      </w:r>
      <w:r>
        <w:rPr>
          <w:rFonts w:hint="eastAsia" w:ascii="宋体" w:hAnsi="宋体" w:cs="宋体"/>
          <w:szCs w:val="160"/>
        </w:rPr>
        <w:fldChar w:fldCharType="separate"/>
      </w:r>
      <w:r>
        <w:rPr>
          <w:rFonts w:hint="eastAsia" w:ascii="宋体" w:hAnsi="宋体" w:cs="宋体"/>
        </w:rPr>
        <w:t>附件五、“节能产品”，“环境标志产品”证明材料</w:t>
      </w:r>
      <w:r>
        <w:tab/>
      </w:r>
      <w:r>
        <w:fldChar w:fldCharType="begin"/>
      </w:r>
      <w:r>
        <w:instrText xml:space="preserve"> PAGEREF _Toc29437 \h </w:instrText>
      </w:r>
      <w:r>
        <w:fldChar w:fldCharType="separate"/>
      </w:r>
      <w:r>
        <w:t>59</w:t>
      </w:r>
      <w:r>
        <w:fldChar w:fldCharType="end"/>
      </w:r>
      <w:r>
        <w:rPr>
          <w:rFonts w:hint="eastAsia" w:ascii="宋体" w:hAnsi="宋体" w:cs="宋体"/>
          <w:szCs w:val="160"/>
        </w:rPr>
        <w:fldChar w:fldCharType="end"/>
      </w:r>
    </w:p>
    <w:p>
      <w:pPr>
        <w:pStyle w:val="17"/>
        <w:tabs>
          <w:tab w:val="right" w:leader="dot" w:pos="8300"/>
        </w:tabs>
      </w:pPr>
      <w:r>
        <w:rPr>
          <w:rFonts w:hint="eastAsia" w:ascii="宋体" w:hAnsi="宋体" w:cs="宋体"/>
          <w:szCs w:val="160"/>
        </w:rPr>
        <w:fldChar w:fldCharType="begin"/>
      </w:r>
      <w:r>
        <w:rPr>
          <w:rFonts w:hint="eastAsia" w:ascii="宋体" w:hAnsi="宋体" w:cs="宋体"/>
          <w:szCs w:val="160"/>
        </w:rPr>
        <w:instrText xml:space="preserve"> HYPERLINK \l _Toc13474 </w:instrText>
      </w:r>
      <w:r>
        <w:rPr>
          <w:rFonts w:hint="eastAsia" w:ascii="宋体" w:hAnsi="宋体" w:cs="宋体"/>
          <w:szCs w:val="160"/>
        </w:rPr>
        <w:fldChar w:fldCharType="separate"/>
      </w:r>
      <w:r>
        <w:rPr>
          <w:rFonts w:hint="eastAsia" w:ascii="宋体" w:hAnsi="宋体" w:cs="宋体"/>
        </w:rPr>
        <w:t>附件六、质疑函样本</w:t>
      </w:r>
      <w:r>
        <w:tab/>
      </w:r>
      <w:r>
        <w:fldChar w:fldCharType="begin"/>
      </w:r>
      <w:r>
        <w:instrText xml:space="preserve"> PAGEREF _Toc13474 \h </w:instrText>
      </w:r>
      <w:r>
        <w:fldChar w:fldCharType="separate"/>
      </w:r>
      <w:r>
        <w:t>60</w:t>
      </w:r>
      <w:r>
        <w:fldChar w:fldCharType="end"/>
      </w:r>
      <w:r>
        <w:rPr>
          <w:rFonts w:hint="eastAsia" w:ascii="宋体" w:hAnsi="宋体" w:cs="宋体"/>
          <w:szCs w:val="160"/>
        </w:rPr>
        <w:fldChar w:fldCharType="end"/>
      </w:r>
    </w:p>
    <w:p>
      <w:pPr>
        <w:pStyle w:val="3"/>
        <w:spacing w:line="312" w:lineRule="auto"/>
        <w:ind w:firstLine="643" w:firstLineChars="200"/>
        <w:rPr>
          <w:rFonts w:ascii="宋体" w:hAnsi="宋体" w:cs="宋体"/>
          <w:sz w:val="24"/>
          <w:szCs w:val="24"/>
        </w:rPr>
        <w:sectPr>
          <w:footerReference r:id="rId6" w:type="default"/>
          <w:pgSz w:w="11906" w:h="16838"/>
          <w:pgMar w:top="1440" w:right="1803" w:bottom="1440" w:left="1803" w:header="851" w:footer="992" w:gutter="0"/>
          <w:cols w:space="0" w:num="1"/>
          <w:docGrid w:type="lines" w:linePitch="317" w:charSpace="0"/>
        </w:sectPr>
      </w:pPr>
      <w:r>
        <w:rPr>
          <w:rFonts w:hint="eastAsia" w:ascii="宋体" w:hAnsi="宋体" w:cs="宋体"/>
          <w:szCs w:val="160"/>
        </w:rPr>
        <w:fldChar w:fldCharType="end"/>
      </w:r>
    </w:p>
    <w:p>
      <w:pPr>
        <w:pStyle w:val="3"/>
        <w:rPr>
          <w:rFonts w:ascii="宋体" w:hAnsi="宋体" w:cs="宋体"/>
        </w:rPr>
      </w:pPr>
      <w:bookmarkStart w:id="1" w:name="_Toc30376"/>
      <w:bookmarkStart w:id="2" w:name="_Toc26575"/>
      <w:r>
        <w:rPr>
          <w:rFonts w:hint="eastAsia" w:ascii="宋体" w:hAnsi="宋体" w:cs="宋体"/>
        </w:rPr>
        <w:t>第一部分 竞争性谈判公告</w:t>
      </w:r>
      <w:bookmarkEnd w:id="1"/>
      <w:bookmarkEnd w:id="2"/>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西安市长安区医院血栓抽吸控制系统采购项目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西安市长安区医院血栓抽吸控制系统采购项目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SXWZ2022ZB-CAYY-263</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bookmarkStart w:id="3" w:name="OLE_LINK2"/>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3"/>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21"/>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血栓抽吸控制系统</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990000.00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本项目已做进口论证，允许采购进口产品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b/>
                <w:bCs/>
                <w:kern w:val="0"/>
                <w:sz w:val="21"/>
                <w:szCs w:val="21"/>
                <w:highlight w:val="none"/>
                <w:lang w:val="en-US" w:eastAsia="zh-CN"/>
              </w:rPr>
              <w:t>最高限价：</w:t>
            </w:r>
            <w:r>
              <w:rPr>
                <w:rFonts w:hint="eastAsia" w:ascii="宋体" w:hAnsi="宋体" w:eastAsia="宋体" w:cs="宋体"/>
                <w:kern w:val="0"/>
                <w:sz w:val="21"/>
                <w:szCs w:val="21"/>
                <w:highlight w:val="none"/>
                <w:lang w:val="en-US" w:eastAsia="zh-CN"/>
              </w:rPr>
              <w:t>990000.00</w:t>
            </w:r>
            <w:r>
              <w:rPr>
                <w:rFonts w:hint="eastAsia" w:ascii="宋体" w:hAnsi="宋体" w:eastAsia="宋体" w:cs="宋体"/>
                <w:b/>
                <w:bCs/>
                <w:kern w:val="0"/>
                <w:sz w:val="21"/>
                <w:szCs w:val="21"/>
                <w:highlight w:val="none"/>
                <w:lang w:val="en-US" w:eastAsia="zh-CN"/>
              </w:rPr>
              <w:t>元</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 xml:space="preserve"> 7</w:t>
      </w:r>
      <w:r>
        <w:rPr>
          <w:rFonts w:hint="eastAsia" w:ascii="宋体" w:hAnsi="宋体" w:cs="宋体"/>
          <w:sz w:val="24"/>
          <w:szCs w:val="24"/>
          <w:highlight w:val="none"/>
          <w:lang w:val="en-US" w:eastAsia="zh-CN" w:bidi="ar-SA"/>
        </w:rPr>
        <w:t>、</w:t>
      </w:r>
      <w:r>
        <w:rPr>
          <w:rFonts w:hint="eastAsia" w:ascii="宋体" w:hAnsi="宋体" w:eastAsia="宋体" w:cs="宋体"/>
          <w:sz w:val="24"/>
          <w:szCs w:val="24"/>
          <w:highlight w:val="none"/>
          <w:lang w:val="en-US" w:eastAsia="zh-CN" w:bidi="ar-SA"/>
        </w:rPr>
        <w:t>所投产品为进口产品还须提供产品制造厂商针对该产品完整授权链的授权书及进字号医疗器械册证（若注册证有附件的，还须提供附件）；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8、</w:t>
      </w:r>
      <w:r>
        <w:rPr>
          <w:rFonts w:hint="eastAsia" w:ascii="宋体" w:hAnsi="宋体" w:cs="宋体"/>
          <w:sz w:val="24"/>
          <w:szCs w:val="24"/>
          <w:highlight w:val="none"/>
          <w:lang w:val="en-US" w:eastAsia="zh-CN" w:bidi="ar-SA"/>
        </w:rPr>
        <w:t>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9、</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highlight w:val="none"/>
        </w:rPr>
        <w:t>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22日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赵志文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7"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日</w:t>
      </w:r>
    </w:p>
    <w:p>
      <w:pPr>
        <w:pStyle w:val="3"/>
        <w:rPr>
          <w:rFonts w:ascii="宋体" w:hAnsi="宋体" w:cs="宋体"/>
        </w:rPr>
      </w:pPr>
      <w:bookmarkStart w:id="4" w:name="_Toc15680"/>
      <w:bookmarkStart w:id="5" w:name="_Toc30089"/>
      <w:bookmarkStart w:id="6" w:name="_Toc438048787"/>
      <w:r>
        <w:rPr>
          <w:rFonts w:hint="eastAsia" w:ascii="宋体" w:hAnsi="宋体" w:cs="宋体"/>
        </w:rPr>
        <w:t>第二部分 供应商须知前附表</w:t>
      </w:r>
      <w:bookmarkEnd w:id="4"/>
      <w:bookmarkEnd w:id="5"/>
      <w:bookmarkEnd w:id="6"/>
    </w:p>
    <w:tbl>
      <w:tblPr>
        <w:tblStyle w:val="20"/>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spacing w:line="360" w:lineRule="auto"/>
              <w:rPr>
                <w:rFonts w:ascii="宋体" w:hAnsi="宋体" w:eastAsia="宋体" w:cs="宋体"/>
                <w:szCs w:val="21"/>
              </w:rPr>
            </w:pPr>
            <w:r>
              <w:rPr>
                <w:rFonts w:hint="eastAsia" w:ascii="宋体" w:hAnsi="宋体" w:eastAsia="宋体" w:cs="宋体"/>
                <w:szCs w:val="21"/>
                <w:lang w:eastAsia="zh-CN"/>
              </w:rPr>
              <w:t>西安市长安区医院血栓抽吸控制系统采购项目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6"/>
              <w:rPr>
                <w:rFonts w:hint="default" w:asciiTheme="minorEastAsia" w:hAnsiTheme="minorEastAsia" w:eastAsiaTheme="minorEastAsia" w:cstheme="minorEastAsia"/>
                <w:b w:val="0"/>
                <w:kern w:val="2"/>
                <w:sz w:val="21"/>
                <w:szCs w:val="21"/>
                <w:lang w:val="en-US" w:eastAsia="zh-CN" w:bidi="ar-SA"/>
              </w:rPr>
            </w:pPr>
            <w:r>
              <w:rPr>
                <w:rFonts w:hint="eastAsia" w:asciiTheme="minorEastAsia" w:hAnsiTheme="minorEastAsia" w:eastAsiaTheme="minorEastAsia" w:cstheme="minorEastAsia"/>
                <w:b w:val="0"/>
                <w:kern w:val="2"/>
                <w:sz w:val="21"/>
                <w:szCs w:val="21"/>
                <w:lang w:val="en-US" w:eastAsia="zh-CN" w:bidi="ar-SA"/>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联   系   人：崔方明 刘嘉辉 赵志文</w:t>
            </w:r>
            <w:r>
              <w:rPr>
                <w:rFonts w:hint="eastAsia" w:ascii="宋体" w:hAnsi="宋体" w:eastAsia="宋体" w:cs="宋体"/>
                <w:szCs w:val="21"/>
                <w:lang w:val="en-US" w:eastAsia="zh-CN"/>
              </w:rPr>
              <w:t xml:space="preserve"> 许芳芳</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7、所投产品为进口产品还须提供产品制造厂商针对该产品完整授权链的授权书及进字号医疗器械册证（若注册证有附件的，还须提供附件）</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cstheme="minorBidi"/>
                <w:b/>
                <w:bCs/>
                <w:szCs w:val="20"/>
              </w:rPr>
            </w:pPr>
            <w:r>
              <w:rPr>
                <w:rFonts w:hint="eastAsia" w:ascii="宋体" w:hAnsi="宋体" w:cs="宋体"/>
                <w:szCs w:val="21"/>
                <w:lang w:val="en-US" w:eastAsia="zh-CN"/>
              </w:rPr>
              <w:t>8</w:t>
            </w:r>
            <w:r>
              <w:rPr>
                <w:rFonts w:hint="eastAsia" w:ascii="宋体" w:hAnsi="宋体" w:cs="宋体"/>
                <w:szCs w:val="21"/>
              </w:rPr>
              <w:t>、供应商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9</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7"/>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hint="eastAsia" w:ascii="宋体" w:hAnsi="宋体" w:eastAsia="宋体" w:cs="宋体"/>
                <w:b w:val="0"/>
                <w:bCs w:val="0"/>
                <w:color w:val="000000"/>
                <w:szCs w:val="21"/>
              </w:rPr>
            </w:pPr>
            <w:r>
              <w:rPr>
                <w:rFonts w:hint="eastAsia" w:ascii="宋体" w:hAnsi="宋体" w:cs="宋体"/>
                <w:b w:val="0"/>
                <w:bCs w:val="0"/>
                <w:color w:val="000000"/>
                <w:szCs w:val="21"/>
              </w:rPr>
              <w:t>现场勘查</w:t>
            </w:r>
          </w:p>
        </w:tc>
        <w:tc>
          <w:tcPr>
            <w:tcW w:w="7911" w:type="dxa"/>
            <w:vAlign w:val="center"/>
          </w:tcPr>
          <w:p>
            <w:pPr>
              <w:spacing w:line="360" w:lineRule="auto"/>
              <w:ind w:firstLine="630" w:firstLineChars="300"/>
              <w:jc w:val="left"/>
              <w:textAlignment w:val="baseline"/>
              <w:rPr>
                <w:rFonts w:hint="eastAsia" w:ascii="宋体" w:hAnsi="宋体" w:eastAsia="宋体" w:cs="宋体"/>
                <w:b w:val="0"/>
                <w:bCs w:val="0"/>
                <w:szCs w:val="21"/>
              </w:rPr>
            </w:pPr>
            <w:r>
              <w:rPr>
                <w:rFonts w:hint="eastAsia" w:asciiTheme="minorEastAsia" w:hAnsiTheme="minorEastAsia" w:cstheme="minorEastAsia"/>
                <w:szCs w:val="21"/>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kern w:val="0"/>
                <w:szCs w:val="21"/>
                <w:lang w:val="en-US" w:eastAsia="zh-CN"/>
              </w:rPr>
              <w:t>本项目已做进口论证，</w:t>
            </w:r>
            <w:r>
              <w:rPr>
                <w:rFonts w:hint="eastAsia" w:ascii="宋体"/>
                <w:kern w:val="0"/>
                <w:szCs w:val="21"/>
                <w:lang w:eastAsia="zh-CN"/>
              </w:rPr>
              <w:t>允许采购进口产品</w:t>
            </w:r>
            <w:r>
              <w:rPr>
                <w:rFonts w:hint="eastAsia" w:asci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18</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pPr>
        <w:ind w:firstLine="240" w:firstLineChars="100"/>
        <w:rPr>
          <w:rFonts w:ascii="宋体" w:hAnsi="宋体" w:eastAsia="宋体" w:cs="宋体"/>
          <w:sz w:val="24"/>
          <w:szCs w:val="24"/>
        </w:rPr>
      </w:pPr>
    </w:p>
    <w:p>
      <w:pPr>
        <w:pStyle w:val="3"/>
        <w:keepLines w:val="0"/>
        <w:ind w:firstLine="643" w:firstLineChars="200"/>
        <w:rPr>
          <w:rFonts w:ascii="宋体" w:hAnsi="宋体" w:cs="宋体"/>
        </w:rPr>
        <w:sectPr>
          <w:footerReference r:id="rId8" w:type="default"/>
          <w:pgSz w:w="11906" w:h="16838"/>
          <w:pgMar w:top="1440" w:right="1803" w:bottom="1440" w:left="1803" w:header="851" w:footer="992" w:gutter="0"/>
          <w:cols w:space="0" w:num="1"/>
          <w:docGrid w:type="lines" w:linePitch="317" w:charSpace="0"/>
        </w:sectPr>
      </w:pPr>
    </w:p>
    <w:p>
      <w:pPr>
        <w:pStyle w:val="3"/>
        <w:keepLines w:val="0"/>
        <w:ind w:firstLine="643" w:firstLineChars="200"/>
        <w:rPr>
          <w:rFonts w:ascii="宋体" w:hAnsi="宋体" w:cs="宋体"/>
        </w:rPr>
      </w:pPr>
      <w:bookmarkStart w:id="7" w:name="_Toc19272"/>
      <w:bookmarkStart w:id="8" w:name="_Toc28751"/>
      <w:r>
        <w:rPr>
          <w:rFonts w:hint="eastAsia" w:ascii="宋体" w:hAnsi="宋体" w:cs="宋体"/>
        </w:rPr>
        <w:t>第三部分 供应商须知</w:t>
      </w:r>
      <w:bookmarkEnd w:id="7"/>
      <w:bookmarkEnd w:id="8"/>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9" w:name="_Toc14862"/>
      <w:bookmarkStart w:id="10" w:name="_Toc26739"/>
      <w:r>
        <w:rPr>
          <w:rFonts w:hint="eastAsia" w:ascii="宋体" w:hAnsi="宋体" w:eastAsia="宋体" w:cs="宋体"/>
          <w:b/>
          <w:bCs/>
          <w:kern w:val="0"/>
          <w:sz w:val="32"/>
          <w:szCs w:val="28"/>
        </w:rPr>
        <w:t>总则</w:t>
      </w:r>
      <w:bookmarkEnd w:id="9"/>
      <w:bookmarkEnd w:id="10"/>
    </w:p>
    <w:p>
      <w:pPr>
        <w:pStyle w:val="5"/>
        <w:numPr>
          <w:ilvl w:val="0"/>
          <w:numId w:val="4"/>
        </w:numPr>
        <w:spacing w:line="500" w:lineRule="exact"/>
        <w:ind w:firstLine="643" w:firstLineChars="200"/>
        <w:rPr>
          <w:rFonts w:ascii="宋体" w:hAnsi="宋体" w:eastAsia="宋体" w:cs="宋体"/>
          <w:szCs w:val="28"/>
        </w:rPr>
      </w:pPr>
      <w:bookmarkStart w:id="11" w:name="_Toc358364319"/>
      <w:bookmarkStart w:id="12" w:name="_Toc9257"/>
      <w:bookmarkStart w:id="13" w:name="_Toc380336725"/>
      <w:bookmarkStart w:id="14" w:name="_Toc6742"/>
      <w:r>
        <w:rPr>
          <w:rFonts w:hint="eastAsia" w:ascii="宋体" w:hAnsi="宋体" w:eastAsia="宋体" w:cs="宋体"/>
          <w:szCs w:val="28"/>
        </w:rPr>
        <w:t>适用范围</w:t>
      </w:r>
      <w:bookmarkEnd w:id="11"/>
      <w:bookmarkEnd w:id="12"/>
      <w:bookmarkEnd w:id="13"/>
      <w:bookmarkEnd w:id="14"/>
    </w:p>
    <w:p>
      <w:pPr>
        <w:widowControl/>
        <w:spacing w:line="500" w:lineRule="exact"/>
        <w:ind w:firstLine="420" w:firstLineChars="175"/>
        <w:rPr>
          <w:rFonts w:ascii="宋体" w:hAnsi="宋体" w:eastAsia="宋体" w:cs="宋体"/>
          <w:kern w:val="0"/>
          <w:sz w:val="24"/>
          <w:szCs w:val="24"/>
        </w:rPr>
      </w:pPr>
      <w:r>
        <w:rPr>
          <w:rFonts w:hint="eastAsia" w:ascii="宋体" w:hAnsi="宋体" w:eastAsia="宋体" w:cs="宋体"/>
          <w:kern w:val="0"/>
          <w:sz w:val="24"/>
          <w:szCs w:val="24"/>
        </w:rPr>
        <w:t>1.1 本谈判文件适用于本次采购活动的全过程。</w:t>
      </w:r>
    </w:p>
    <w:p>
      <w:pPr>
        <w:widowControl/>
        <w:spacing w:line="500" w:lineRule="exact"/>
        <w:ind w:firstLine="420" w:firstLineChars="175"/>
        <w:rPr>
          <w:rFonts w:ascii="宋体" w:hAnsi="宋体" w:eastAsia="宋体" w:cs="宋体"/>
          <w:kern w:val="0"/>
          <w:sz w:val="24"/>
          <w:szCs w:val="24"/>
        </w:rPr>
      </w:pPr>
      <w:r>
        <w:rPr>
          <w:rFonts w:hint="eastAsia" w:ascii="宋体" w:hAnsi="宋体" w:eastAsia="宋体" w:cs="宋体"/>
          <w:kern w:val="0"/>
          <w:sz w:val="24"/>
          <w:szCs w:val="24"/>
        </w:rPr>
        <w:t>1.2 本次采购属政府采购，采购人、采购代理机构、供应商、谈判小组的相关行为均受《中华人民共和国政府采购法》及实施条例、财政部规章及政府采购项目所在地有关法规</w:t>
      </w:r>
      <w:r>
        <w:rPr>
          <w:rFonts w:hint="eastAsia" w:ascii="宋体" w:hAnsi="宋体" w:eastAsia="宋体" w:cs="宋体"/>
          <w:color w:val="000000" w:themeColor="text1"/>
          <w:kern w:val="0"/>
          <w:sz w:val="24"/>
          <w:szCs w:val="24"/>
          <w14:textFill>
            <w14:solidFill>
              <w14:schemeClr w14:val="tx1"/>
            </w14:solidFill>
          </w14:textFill>
        </w:rPr>
        <w:t>、规章</w:t>
      </w:r>
      <w:r>
        <w:rPr>
          <w:rFonts w:hint="eastAsia" w:ascii="宋体" w:hAnsi="宋体" w:eastAsia="宋体" w:cs="宋体"/>
          <w:kern w:val="0"/>
          <w:sz w:val="24"/>
          <w:szCs w:val="24"/>
        </w:rPr>
        <w:t>的约束，其权利受到上述法律法规的保护。</w:t>
      </w:r>
    </w:p>
    <w:p>
      <w:pPr>
        <w:pStyle w:val="5"/>
        <w:numPr>
          <w:ilvl w:val="0"/>
          <w:numId w:val="4"/>
        </w:numPr>
        <w:spacing w:line="500" w:lineRule="exact"/>
        <w:ind w:firstLine="482" w:firstLineChars="200"/>
        <w:rPr>
          <w:rFonts w:ascii="宋体" w:hAnsi="宋体" w:eastAsia="宋体" w:cs="宋体"/>
          <w:sz w:val="24"/>
          <w:szCs w:val="24"/>
        </w:rPr>
      </w:pPr>
      <w:bookmarkStart w:id="15" w:name="_Toc380336726"/>
      <w:bookmarkStart w:id="16" w:name="_Toc7922"/>
      <w:bookmarkStart w:id="17" w:name="_Toc358364320"/>
      <w:bookmarkStart w:id="18" w:name="_Toc11287"/>
      <w:r>
        <w:rPr>
          <w:rFonts w:hint="eastAsia" w:ascii="宋体" w:hAnsi="宋体" w:eastAsia="宋体" w:cs="宋体"/>
          <w:sz w:val="24"/>
          <w:szCs w:val="24"/>
        </w:rPr>
        <w:t>定义</w:t>
      </w:r>
      <w:bookmarkEnd w:id="15"/>
      <w:bookmarkEnd w:id="16"/>
      <w:bookmarkEnd w:id="17"/>
      <w:bookmarkEnd w:id="18"/>
      <w:r>
        <w:rPr>
          <w:rFonts w:hint="eastAsia" w:ascii="宋体" w:hAnsi="宋体" w:eastAsia="宋体" w:cs="宋体"/>
          <w:sz w:val="24"/>
          <w:szCs w:val="24"/>
        </w:rPr>
        <w:t xml:space="preserve"> </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2.3 “供应商”是</w:t>
      </w:r>
      <w:r>
        <w:rPr>
          <w:rFonts w:hint="eastAsia" w:ascii="宋体" w:hAnsi="宋体" w:eastAsia="宋体" w:cs="宋体"/>
          <w:sz w:val="24"/>
          <w:szCs w:val="24"/>
        </w:rPr>
        <w:t>参与本项目谈判活动的</w:t>
      </w:r>
      <w:r>
        <w:rPr>
          <w:rFonts w:hint="eastAsia" w:ascii="宋体" w:hAnsi="宋体" w:eastAsia="宋体" w:cs="宋体"/>
          <w:color w:val="000000"/>
          <w:sz w:val="24"/>
          <w:szCs w:val="24"/>
        </w:rPr>
        <w:t>法人、其他组织或自然人</w:t>
      </w:r>
      <w:r>
        <w:rPr>
          <w:rFonts w:hint="eastAsia" w:ascii="宋体" w:hAnsi="宋体" w:eastAsia="宋体" w:cs="宋体"/>
          <w:kern w:val="0"/>
          <w:sz w:val="24"/>
          <w:szCs w:val="24"/>
        </w:rPr>
        <w:t>。</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2.4 “货物” 是指各种形态和种类的物品，包括原材料、燃料、设备、产品等。按照财政部《政府采购进口产品管理办法》（财库[2007]119号）的有关规定，本谈判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2.5 “服务”指除了货物和工程外的其他政府采购对象。包含除货物以外规定由供应商承担的与货物有关的辅助服务。</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widowControl/>
        <w:spacing w:line="500" w:lineRule="exact"/>
        <w:ind w:firstLine="480" w:firstLineChars="200"/>
        <w:rPr>
          <w:rFonts w:ascii="宋体" w:hAnsi="宋体" w:eastAsia="宋体" w:cs="宋体"/>
          <w:kern w:val="0"/>
          <w:sz w:val="24"/>
          <w:szCs w:val="24"/>
        </w:rPr>
      </w:pPr>
    </w:p>
    <w:p>
      <w:pPr>
        <w:pStyle w:val="5"/>
        <w:numPr>
          <w:ilvl w:val="0"/>
          <w:numId w:val="4"/>
        </w:numPr>
        <w:spacing w:line="500" w:lineRule="exact"/>
        <w:ind w:firstLine="643" w:firstLineChars="200"/>
        <w:rPr>
          <w:rFonts w:ascii="宋体" w:hAnsi="宋体" w:eastAsia="宋体" w:cs="宋体"/>
          <w:szCs w:val="28"/>
        </w:rPr>
      </w:pPr>
      <w:bookmarkStart w:id="19" w:name="_Toc17676"/>
      <w:bookmarkStart w:id="20" w:name="_Toc380336727"/>
      <w:bookmarkStart w:id="21" w:name="_Toc23781"/>
      <w:bookmarkStart w:id="22" w:name="_Toc358364321"/>
      <w:r>
        <w:rPr>
          <w:rFonts w:hint="eastAsia" w:ascii="宋体" w:hAnsi="宋体" w:eastAsia="宋体" w:cs="宋体"/>
          <w:szCs w:val="28"/>
        </w:rPr>
        <w:t>合格的</w:t>
      </w:r>
      <w:bookmarkEnd w:id="19"/>
      <w:bookmarkEnd w:id="20"/>
      <w:bookmarkEnd w:id="21"/>
      <w:bookmarkEnd w:id="22"/>
      <w:r>
        <w:rPr>
          <w:rFonts w:hint="eastAsia" w:ascii="宋体" w:hAnsi="宋体" w:eastAsia="宋体" w:cs="宋体"/>
          <w:szCs w:val="28"/>
        </w:rPr>
        <w:t>供应商</w:t>
      </w:r>
    </w:p>
    <w:p>
      <w:pPr>
        <w:numPr>
          <w:ilvl w:val="0"/>
          <w:numId w:val="5"/>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具有本项目生产、制造、加工、供应或实施能力，符合、承认并承诺履行本谈判文件各项规定的国内供应商。</w:t>
      </w:r>
    </w:p>
    <w:p>
      <w:pPr>
        <w:numPr>
          <w:ilvl w:val="0"/>
          <w:numId w:val="5"/>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供应商应遵守有关的国家法律、法规和条例，具备《中华人民共和国政府采购法》和本文件中规定的条件：</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具有独立承担民事责任的能力；</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具有良好的商业信誉和健全的财务会计制度；</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具有履行合同所必需的设备和专业技术能力；</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具有依法缴纳税收和社会保障资金的良好记录；</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参加此项采购活动前三年内，在经营活动中没有重大违法记录；</w:t>
      </w:r>
    </w:p>
    <w:p>
      <w:pPr>
        <w:numPr>
          <w:ilvl w:val="0"/>
          <w:numId w:val="6"/>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法律、行政法规规定的其他条件。</w:t>
      </w:r>
    </w:p>
    <w:p>
      <w:pPr>
        <w:numPr>
          <w:ilvl w:val="0"/>
          <w:numId w:val="5"/>
        </w:numPr>
        <w:spacing w:line="500" w:lineRule="exact"/>
        <w:ind w:left="105" w:leftChars="50" w:firstLine="480" w:firstLineChars="200"/>
        <w:rPr>
          <w:rFonts w:ascii="宋体" w:hAnsi="宋体" w:eastAsia="宋体" w:cs="宋体"/>
          <w:sz w:val="24"/>
          <w:szCs w:val="24"/>
        </w:rPr>
      </w:pPr>
      <w:r>
        <w:rPr>
          <w:rFonts w:hint="eastAsia" w:ascii="宋体" w:hAnsi="宋体" w:eastAsia="宋体" w:cs="宋体"/>
          <w:sz w:val="24"/>
          <w:szCs w:val="24"/>
        </w:rPr>
        <w:t>供应商购买谈判文件时应登记备案，并提供有效联系方式。</w:t>
      </w:r>
    </w:p>
    <w:p>
      <w:pPr>
        <w:numPr>
          <w:ilvl w:val="0"/>
          <w:numId w:val="5"/>
        </w:numPr>
        <w:spacing w:line="500" w:lineRule="exact"/>
        <w:ind w:left="105" w:leftChars="50" w:firstLine="480" w:firstLineChars="200"/>
        <w:rPr>
          <w:rFonts w:ascii="宋体" w:hAnsi="宋体" w:eastAsia="宋体" w:cs="宋体"/>
          <w:sz w:val="24"/>
          <w:szCs w:val="24"/>
        </w:rPr>
      </w:pPr>
      <w:r>
        <w:rPr>
          <w:rFonts w:hint="eastAsia" w:ascii="宋体" w:hAnsi="宋体" w:eastAsia="宋体" w:cs="宋体"/>
          <w:sz w:val="24"/>
          <w:szCs w:val="24"/>
        </w:rPr>
        <w:t>如供应商代表不是法定代表人，须持有《法定代表人授权委托书》 (按谈判文件提供的格式填写)。</w:t>
      </w:r>
    </w:p>
    <w:p>
      <w:pPr>
        <w:numPr>
          <w:ilvl w:val="0"/>
          <w:numId w:val="5"/>
        </w:numPr>
        <w:spacing w:line="500" w:lineRule="exact"/>
        <w:ind w:left="105" w:leftChars="50" w:firstLine="480" w:firstLineChars="200"/>
        <w:rPr>
          <w:rFonts w:ascii="宋体" w:hAnsi="宋体" w:eastAsia="宋体" w:cs="宋体"/>
          <w:kern w:val="0"/>
          <w:sz w:val="24"/>
          <w:szCs w:val="24"/>
        </w:rPr>
      </w:pPr>
      <w:r>
        <w:rPr>
          <w:rFonts w:hint="eastAsia" w:ascii="宋体" w:hAnsi="宋体" w:eastAsia="宋体" w:cs="宋体"/>
          <w:sz w:val="24"/>
          <w:szCs w:val="24"/>
        </w:rPr>
        <w:t>供应商应独立于采购人，不得直接或间接地与采购人为本次采购的货物进行设计、编制技术规格和其它文件所委托的咨询公司或其附属机构有任何关联。</w:t>
      </w:r>
    </w:p>
    <w:p>
      <w:pPr>
        <w:numPr>
          <w:ilvl w:val="0"/>
          <w:numId w:val="5"/>
        </w:numPr>
        <w:spacing w:line="500" w:lineRule="exact"/>
        <w:ind w:left="105" w:leftChars="50" w:firstLine="480" w:firstLineChars="200"/>
        <w:rPr>
          <w:rFonts w:ascii="宋体" w:hAnsi="宋体" w:eastAsia="宋体" w:cs="宋体"/>
          <w:kern w:val="0"/>
          <w:sz w:val="24"/>
          <w:szCs w:val="24"/>
        </w:rPr>
      </w:pPr>
      <w:r>
        <w:rPr>
          <w:rFonts w:hint="eastAsia" w:ascii="宋体" w:hAnsi="宋体" w:eastAsia="宋体" w:cs="宋体"/>
          <w:kern w:val="0"/>
          <w:sz w:val="24"/>
          <w:szCs w:val="24"/>
        </w:rPr>
        <w:t>供应商不得存在下列情形之一：</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（1）与采购人采购代理机构存在隶属关系或者其他利害关系；</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（2）与其他供应商的法定代表人（或者负责人）为同一人，或者与其他供应商存在直接控股、管理关系；</w:t>
      </w:r>
    </w:p>
    <w:p>
      <w:pPr>
        <w:tabs>
          <w:tab w:val="left" w:pos="0"/>
        </w:tabs>
        <w:spacing w:line="500" w:lineRule="exact"/>
        <w:ind w:left="5" w:firstLine="444" w:firstLineChars="185"/>
        <w:rPr>
          <w:rFonts w:ascii="宋体" w:hAnsi="宋体" w:eastAsia="宋体" w:cs="宋体"/>
          <w:kern w:val="0"/>
          <w:sz w:val="24"/>
          <w:szCs w:val="24"/>
        </w:rPr>
      </w:pPr>
      <w:r>
        <w:rPr>
          <w:rFonts w:hint="eastAsia" w:ascii="宋体" w:hAnsi="宋体" w:eastAsia="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pStyle w:val="5"/>
        <w:numPr>
          <w:ilvl w:val="0"/>
          <w:numId w:val="4"/>
        </w:numPr>
        <w:spacing w:line="500" w:lineRule="exact"/>
        <w:ind w:firstLine="643" w:firstLineChars="200"/>
        <w:rPr>
          <w:rFonts w:ascii="宋体" w:hAnsi="宋体" w:eastAsia="宋体" w:cs="宋体"/>
          <w:szCs w:val="28"/>
        </w:rPr>
      </w:pPr>
      <w:bookmarkStart w:id="23" w:name="_Toc380336728"/>
      <w:bookmarkStart w:id="24" w:name="_Toc22444"/>
      <w:bookmarkStart w:id="25" w:name="_Toc540"/>
      <w:bookmarkStart w:id="26" w:name="_Toc358364322"/>
      <w:r>
        <w:rPr>
          <w:rFonts w:hint="eastAsia" w:ascii="宋体" w:hAnsi="宋体" w:eastAsia="宋体" w:cs="宋体"/>
          <w:szCs w:val="28"/>
        </w:rPr>
        <w:t>费用</w:t>
      </w:r>
      <w:bookmarkEnd w:id="23"/>
      <w:bookmarkEnd w:id="24"/>
      <w:bookmarkEnd w:id="25"/>
      <w:bookmarkEnd w:id="26"/>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sz w:val="24"/>
          <w:szCs w:val="24"/>
        </w:rPr>
        <w:t xml:space="preserve"> 供应商</w:t>
      </w:r>
      <w:r>
        <w:rPr>
          <w:rFonts w:hint="eastAsia" w:ascii="宋体" w:hAnsi="宋体" w:eastAsia="宋体" w:cs="宋体"/>
          <w:kern w:val="0"/>
          <w:sz w:val="24"/>
          <w:szCs w:val="24"/>
        </w:rPr>
        <w:t>应承担所有与准备和参加谈判有关的费用，采购代理机构（或采购人)在任何情况下均无义务和责任承担这些费用。</w:t>
      </w:r>
    </w:p>
    <w:p>
      <w:pPr>
        <w:pStyle w:val="5"/>
        <w:numPr>
          <w:ilvl w:val="0"/>
          <w:numId w:val="4"/>
        </w:numPr>
        <w:spacing w:line="500" w:lineRule="exact"/>
        <w:ind w:firstLine="643" w:firstLineChars="200"/>
        <w:rPr>
          <w:rFonts w:ascii="宋体" w:hAnsi="宋体" w:eastAsia="宋体" w:cs="宋体"/>
          <w:szCs w:val="28"/>
        </w:rPr>
      </w:pPr>
      <w:r>
        <w:rPr>
          <w:rFonts w:hint="eastAsia" w:ascii="宋体" w:hAnsi="宋体" w:eastAsia="宋体" w:cs="宋体"/>
          <w:szCs w:val="28"/>
        </w:rPr>
        <w:t>采购进口产品</w:t>
      </w:r>
    </w:p>
    <w:p>
      <w:pPr>
        <w:widowControl/>
        <w:wordWrap w:val="0"/>
        <w:snapToGrid w:val="0"/>
        <w:spacing w:line="360" w:lineRule="auto"/>
        <w:ind w:right="-92" w:rightChars="-44" w:firstLine="480" w:firstLineChars="200"/>
        <w:jc w:val="left"/>
        <w:rPr>
          <w:rFonts w:ascii="宋体" w:hAnsi="宋体" w:eastAsia="宋体" w:cs="宋体"/>
          <w:kern w:val="0"/>
          <w:sz w:val="28"/>
          <w:szCs w:val="28"/>
        </w:rPr>
      </w:pPr>
      <w:r>
        <w:rPr>
          <w:rFonts w:hint="eastAsia" w:ascii="宋体" w:hAnsi="宋体" w:eastAsia="宋体" w:cs="宋体"/>
          <w:kern w:val="0"/>
          <w:sz w:val="24"/>
          <w:szCs w:val="24"/>
        </w:rPr>
        <w:t xml:space="preserve"> 5.1 除供应商须知前附表另有规定外，本项目</w:t>
      </w:r>
      <w:r>
        <w:rPr>
          <w:rFonts w:hint="eastAsia" w:ascii="宋体" w:hAnsi="宋体" w:eastAsia="宋体" w:cs="宋体"/>
          <w:kern w:val="0"/>
          <w:sz w:val="24"/>
          <w:szCs w:val="24"/>
          <w:lang w:eastAsia="zh-CN"/>
        </w:rPr>
        <w:t>拒绝</w:t>
      </w:r>
      <w:r>
        <w:rPr>
          <w:rFonts w:hint="eastAsia" w:ascii="宋体" w:hAnsi="宋体" w:eastAsia="宋体" w:cs="宋体"/>
          <w:kern w:val="0"/>
          <w:sz w:val="24"/>
          <w:szCs w:val="24"/>
        </w:rPr>
        <w:t>进口产品参加采购活动。</w:t>
      </w:r>
    </w:p>
    <w:p>
      <w:pPr>
        <w:widowControl/>
        <w:wordWrap w:val="0"/>
        <w:snapToGrid w:val="0"/>
        <w:spacing w:line="360" w:lineRule="auto"/>
        <w:ind w:right="-92" w:rightChars="-44"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5.2 本项目第五部分采购要求中同意购买进口产品的，采购活动不限制满足谈判文件要求的国产产品参与本次采购。</w:t>
      </w:r>
    </w:p>
    <w:p>
      <w:pPr>
        <w:pStyle w:val="5"/>
        <w:numPr>
          <w:ilvl w:val="0"/>
          <w:numId w:val="4"/>
        </w:numPr>
        <w:spacing w:afterLines="100" w:line="500" w:lineRule="exact"/>
        <w:ind w:firstLine="643"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6.3 产品同时属于“非强制采购节能产品”、环境标志产品的，评审时只有其中一项能享受优先待遇（供应商自行选择，并在报价文件中填写相关信息及数据）。</w:t>
      </w:r>
    </w:p>
    <w:p>
      <w:pPr>
        <w:pStyle w:val="14"/>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27" w:name="_Toc3520"/>
      <w:r>
        <w:rPr>
          <w:rFonts w:hint="eastAsia" w:ascii="宋体" w:hAnsi="宋体" w:eastAsia="宋体" w:cs="宋体"/>
          <w:b/>
          <w:bCs/>
          <w:kern w:val="0"/>
          <w:sz w:val="32"/>
          <w:szCs w:val="28"/>
        </w:rPr>
        <w:t>竞争性谈判文件</w:t>
      </w:r>
      <w:bookmarkEnd w:id="27"/>
    </w:p>
    <w:p>
      <w:pPr>
        <w:pStyle w:val="5"/>
        <w:numPr>
          <w:ilvl w:val="0"/>
          <w:numId w:val="7"/>
        </w:numPr>
        <w:rPr>
          <w:rFonts w:ascii="宋体" w:hAnsi="宋体" w:eastAsia="宋体" w:cs="宋体"/>
        </w:rPr>
      </w:pPr>
      <w:bookmarkStart w:id="28" w:name="_Toc5801"/>
      <w:r>
        <w:rPr>
          <w:rFonts w:hint="eastAsia" w:ascii="宋体" w:hAnsi="宋体" w:eastAsia="宋体" w:cs="宋体"/>
        </w:rPr>
        <w:t>竞争性谈判文件的构成</w:t>
      </w:r>
      <w:bookmarkEnd w:id="28"/>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谈判响应文件和参加谈判的依据，同时也是评审的重要依据，具有准法律文件性质。竞争性谈判文件用以阐明采购项目所需的资质、技术、服务及报价等要求、谈判程序、有关规定和注意事项以及合同主要条款等。本竞争性谈判文件包括以下内容：</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合同条款；</w:t>
      </w:r>
    </w:p>
    <w:p>
      <w:pPr>
        <w:numPr>
          <w:ilvl w:val="0"/>
          <w:numId w:val="8"/>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谈判响应文件格式。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rPr>
        <w:t>供应商应认真阅读和充分理解竞争性谈判文件中所有的事项、格式条款和规范要求。供应商没有对竞争性谈判文件全面做出实质性响应是供应商的风险。没有按照竞争性谈判文件要求作出实质性响应的谈判响应文件将被拒绝。</w:t>
      </w:r>
    </w:p>
    <w:p>
      <w:pPr>
        <w:pStyle w:val="5"/>
        <w:numPr>
          <w:ilvl w:val="0"/>
          <w:numId w:val="7"/>
        </w:numPr>
        <w:rPr>
          <w:rFonts w:ascii="宋体" w:hAnsi="宋体" w:eastAsia="宋体" w:cs="宋体"/>
        </w:rPr>
      </w:pPr>
      <w:bookmarkStart w:id="29" w:name="_Toc19797"/>
      <w:r>
        <w:rPr>
          <w:rFonts w:hint="eastAsia" w:ascii="宋体" w:hAnsi="宋体" w:eastAsia="宋体" w:cs="宋体"/>
        </w:rPr>
        <w:t>竞争性谈判文件的澄清</w:t>
      </w:r>
      <w:bookmarkEnd w:id="29"/>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任何对竞争性谈判文件进行询问或要求进行澄清的供应商，均应在收到竞争性谈判文件后二日内按竞争性谈判文件中的通讯地址以书面形式递交代理机构，采购人或代理机构对收到的任何询问或澄清要求将在三个工作日内作出书面答复。</w:t>
      </w:r>
    </w:p>
    <w:p>
      <w:pPr>
        <w:pStyle w:val="5"/>
        <w:numPr>
          <w:ilvl w:val="0"/>
          <w:numId w:val="7"/>
        </w:numPr>
        <w:rPr>
          <w:rFonts w:ascii="宋体" w:hAnsi="宋体" w:eastAsia="宋体" w:cs="宋体"/>
        </w:rPr>
      </w:pPr>
      <w:bookmarkStart w:id="30" w:name="_Toc6390"/>
      <w:r>
        <w:rPr>
          <w:rFonts w:hint="eastAsia" w:ascii="宋体" w:hAnsi="宋体" w:eastAsia="宋体" w:cs="宋体"/>
        </w:rPr>
        <w:t>竞争性谈判文件的修改</w:t>
      </w:r>
      <w:bookmarkEnd w:id="30"/>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三日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谈判响应文件的截止期三日前，将变更时间书面通知所有购买竞争性谈判文件的供应商。</w:t>
      </w:r>
    </w:p>
    <w:p>
      <w:pPr>
        <w:pStyle w:val="5"/>
        <w:numPr>
          <w:ilvl w:val="0"/>
          <w:numId w:val="7"/>
        </w:numPr>
        <w:rPr>
          <w:rFonts w:ascii="宋体" w:hAnsi="宋体" w:eastAsia="宋体" w:cs="宋体"/>
        </w:rPr>
      </w:pPr>
      <w:bookmarkStart w:id="31" w:name="_Toc31188"/>
      <w:r>
        <w:rPr>
          <w:rFonts w:hint="eastAsia" w:ascii="宋体" w:hAnsi="宋体" w:eastAsia="宋体" w:cs="宋体"/>
        </w:rPr>
        <w:t>竞争性谈判文件的获取</w:t>
      </w:r>
      <w:bookmarkEnd w:id="31"/>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供应商必须从代理机构购买竞争性谈判文件，供应商自行转让或复制竞争性谈判文件视为无效。竞争性谈判文件一经售出，一律不退，仅作为本次竞争性谈判使用。</w:t>
      </w:r>
    </w:p>
    <w:p>
      <w:pPr>
        <w:pStyle w:val="5"/>
        <w:numPr>
          <w:ilvl w:val="0"/>
          <w:numId w:val="7"/>
        </w:numPr>
        <w:rPr>
          <w:rFonts w:ascii="宋体" w:hAnsi="宋体" w:eastAsia="宋体" w:cs="宋体"/>
        </w:rPr>
      </w:pPr>
      <w:bookmarkStart w:id="32" w:name="_Toc5095"/>
      <w:r>
        <w:rPr>
          <w:rFonts w:hint="eastAsia" w:ascii="宋体" w:hAnsi="宋体" w:eastAsia="宋体" w:cs="宋体"/>
        </w:rPr>
        <w:t>竞争性谈判文件的解释权归代理机构。</w:t>
      </w:r>
      <w:bookmarkEnd w:id="32"/>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sectPr>
          <w:pgSz w:w="11906" w:h="16838"/>
          <w:pgMar w:top="1440" w:right="1803" w:bottom="1440" w:left="1803" w:header="851" w:footer="992" w:gutter="0"/>
          <w:cols w:space="0" w:num="1"/>
          <w:docGrid w:type="lines" w:linePitch="317" w:charSpace="0"/>
        </w:sectPr>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33" w:name="_Toc2688"/>
      <w:r>
        <w:rPr>
          <w:rFonts w:hint="eastAsia" w:ascii="宋体" w:hAnsi="宋体" w:eastAsia="宋体" w:cs="宋体"/>
          <w:b/>
          <w:bCs/>
          <w:kern w:val="0"/>
          <w:sz w:val="32"/>
          <w:szCs w:val="28"/>
        </w:rPr>
        <w:t>谈判响应文件</w:t>
      </w:r>
      <w:bookmarkEnd w:id="33"/>
    </w:p>
    <w:p>
      <w:pPr>
        <w:pStyle w:val="5"/>
        <w:numPr>
          <w:ilvl w:val="0"/>
          <w:numId w:val="9"/>
        </w:numPr>
        <w:rPr>
          <w:rFonts w:ascii="宋体" w:hAnsi="宋体" w:eastAsia="宋体" w:cs="宋体"/>
        </w:rPr>
      </w:pPr>
      <w:bookmarkStart w:id="34" w:name="_Toc17549"/>
      <w:r>
        <w:rPr>
          <w:rFonts w:hint="eastAsia" w:ascii="宋体" w:hAnsi="宋体" w:eastAsia="宋体" w:cs="宋体"/>
        </w:rPr>
        <w:t>谈判响应文件的编制</w:t>
      </w:r>
      <w:bookmarkEnd w:id="34"/>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谈判响应文件必须根据代理机构发售的竞争性谈判文件格式和顺序认真编制。具体内容包括：</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rPr>
        <w:t>响应函；</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rPr>
        <w:t>响应一览表；</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分项报价表</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供应商资质要求</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商务和技术响应偏差表</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ind w:left="210" w:leftChars="0" w:firstLineChars="0"/>
        <w:jc w:val="left"/>
        <w:rPr>
          <w:rFonts w:ascii="宋体" w:hAnsi="宋体" w:eastAsia="宋体" w:cs="宋体"/>
          <w:sz w:val="24"/>
          <w:szCs w:val="24"/>
        </w:rPr>
      </w:pPr>
      <w:r>
        <w:rPr>
          <w:rFonts w:hint="eastAsia" w:ascii="宋体" w:hAnsi="宋体" w:eastAsia="宋体" w:cs="宋体"/>
          <w:sz w:val="24"/>
          <w:szCs w:val="24"/>
          <w:lang w:eastAsia="zh-CN"/>
        </w:rPr>
        <w:t>技术支持资料；</w:t>
      </w:r>
    </w:p>
    <w:p>
      <w:pPr>
        <w:numPr>
          <w:ilvl w:val="0"/>
          <w:numId w:val="10"/>
        </w:numPr>
        <w:tabs>
          <w:tab w:val="left" w:pos="0"/>
        </w:tabs>
        <w:adjustRightInd w:val="0"/>
        <w:snapToGrid w:val="0"/>
        <w:spacing w:line="440" w:lineRule="exact"/>
        <w:ind w:left="210" w:leftChars="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供应商业绩一览表；</w:t>
      </w:r>
    </w:p>
    <w:p>
      <w:pPr>
        <w:numPr>
          <w:ilvl w:val="0"/>
          <w:numId w:val="0"/>
        </w:numPr>
        <w:tabs>
          <w:tab w:val="left" w:pos="0"/>
        </w:tabs>
        <w:adjustRightInd w:val="0"/>
        <w:snapToGrid w:val="0"/>
        <w:spacing w:line="440" w:lineRule="exact"/>
        <w:ind w:left="420" w:leftChars="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）供应商认为有必要说明的其他问题；</w:t>
      </w:r>
    </w:p>
    <w:p>
      <w:pPr>
        <w:numPr>
          <w:ilvl w:val="0"/>
          <w:numId w:val="0"/>
        </w:numPr>
        <w:tabs>
          <w:tab w:val="left" w:pos="0"/>
        </w:tabs>
        <w:adjustRightInd w:val="0"/>
        <w:snapToGrid w:val="0"/>
        <w:spacing w:line="440" w:lineRule="exact"/>
        <w:ind w:left="420" w:leftChars="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）供应商承诺书</w:t>
      </w:r>
    </w:p>
    <w:p>
      <w:pPr>
        <w:pStyle w:val="5"/>
        <w:numPr>
          <w:ilvl w:val="0"/>
          <w:numId w:val="9"/>
        </w:numPr>
        <w:rPr>
          <w:rFonts w:ascii="宋体" w:hAnsi="宋体" w:eastAsia="宋体" w:cs="宋体"/>
        </w:rPr>
      </w:pPr>
      <w:bookmarkStart w:id="35" w:name="_Toc27646"/>
      <w:r>
        <w:rPr>
          <w:rFonts w:hint="eastAsia" w:ascii="宋体" w:hAnsi="宋体" w:eastAsia="宋体" w:cs="宋体"/>
        </w:rPr>
        <w:t>谈判报价</w:t>
      </w:r>
      <w:bookmarkEnd w:id="35"/>
    </w:p>
    <w:p>
      <w:pPr>
        <w:numPr>
          <w:ilvl w:val="0"/>
          <w:numId w:val="11"/>
        </w:numPr>
        <w:spacing w:line="360" w:lineRule="auto"/>
        <w:rPr>
          <w:rFonts w:ascii="宋体" w:hAnsi="宋体" w:eastAsia="宋体" w:cs="宋体"/>
          <w:sz w:val="24"/>
        </w:rPr>
      </w:pPr>
      <w:r>
        <w:rPr>
          <w:rFonts w:hint="eastAsia" w:ascii="宋体" w:hAnsi="宋体" w:eastAsia="宋体" w:cs="宋体"/>
          <w:sz w:val="24"/>
        </w:rPr>
        <w:t>供应商应在报价表中标明完成本次谈判所要求的货物、服务且验收合格的所有费用，包括</w:t>
      </w:r>
      <w:r>
        <w:rPr>
          <w:rFonts w:hint="eastAsia" w:ascii="宋体" w:hAnsi="宋体" w:eastAsia="宋体" w:cs="宋体"/>
          <w:sz w:val="24"/>
          <w:szCs w:val="24"/>
        </w:rPr>
        <w:t>包含产品价格、运杂费、人工服务费、产品发放、调换货过程中产生的一切相关费用</w:t>
      </w:r>
      <w:r>
        <w:rPr>
          <w:rFonts w:hint="eastAsia" w:ascii="宋体" w:hAnsi="宋体" w:eastAsia="宋体" w:cs="宋体"/>
          <w:sz w:val="24"/>
        </w:rPr>
        <w:t>等。报价表中标明本次货物、服务的总价，任何有选择的报价将不予接受，否则按无效谈判处理。</w:t>
      </w:r>
    </w:p>
    <w:p>
      <w:pPr>
        <w:numPr>
          <w:ilvl w:val="0"/>
          <w:numId w:val="11"/>
        </w:numPr>
        <w:spacing w:line="360" w:lineRule="auto"/>
        <w:rPr>
          <w:rFonts w:ascii="宋体" w:hAnsi="宋体" w:eastAsia="宋体" w:cs="宋体"/>
          <w:sz w:val="24"/>
        </w:rPr>
      </w:pPr>
      <w:r>
        <w:rPr>
          <w:rFonts w:hint="eastAsia" w:ascii="宋体" w:hAnsi="宋体" w:eastAsia="宋体" w:cs="宋体"/>
          <w:sz w:val="24"/>
          <w:szCs w:val="24"/>
        </w:rPr>
        <w:t>报价表成交的价格，在合同执行过程中，不得以任何理由变更</w:t>
      </w:r>
      <w:r>
        <w:rPr>
          <w:rFonts w:hint="eastAsia" w:ascii="宋体" w:hAnsi="宋体" w:eastAsia="宋体" w:cs="宋体"/>
          <w:sz w:val="24"/>
        </w:rPr>
        <w:t>。</w:t>
      </w:r>
    </w:p>
    <w:p>
      <w:pPr>
        <w:numPr>
          <w:ilvl w:val="0"/>
          <w:numId w:val="11"/>
        </w:numPr>
        <w:spacing w:line="360" w:lineRule="auto"/>
        <w:rPr>
          <w:rFonts w:eastAsia="宋体"/>
        </w:rPr>
      </w:pPr>
      <w:r>
        <w:rPr>
          <w:rFonts w:hint="eastAsia" w:ascii="宋体" w:hAnsi="宋体" w:eastAsia="宋体" w:cs="宋体"/>
          <w:sz w:val="24"/>
          <w:szCs w:val="24"/>
        </w:rPr>
        <w:t>供应商</w:t>
      </w:r>
      <w:r>
        <w:rPr>
          <w:rFonts w:hint="eastAsia" w:ascii="宋体" w:hAnsi="宋体" w:eastAsia="宋体" w:cs="宋体"/>
          <w:sz w:val="24"/>
        </w:rPr>
        <w:t>应在谈判响应文件中的响应一览表上，标明所投产品</w:t>
      </w:r>
      <w:r>
        <w:rPr>
          <w:rFonts w:hint="eastAsia" w:ascii="宋体" w:hAnsi="宋体" w:eastAsia="宋体" w:cs="宋体"/>
          <w:sz w:val="24"/>
          <w:lang w:eastAsia="zh-CN"/>
        </w:rPr>
        <w:t>总报价</w:t>
      </w:r>
      <w:r>
        <w:rPr>
          <w:rFonts w:hint="eastAsia" w:ascii="宋体" w:hAnsi="宋体" w:eastAsia="宋体" w:cs="宋体"/>
          <w:sz w:val="24"/>
        </w:rPr>
        <w:t>、</w:t>
      </w:r>
      <w:r>
        <w:rPr>
          <w:rFonts w:hint="eastAsia" w:ascii="宋体" w:hAnsi="宋体" w:eastAsia="宋体" w:cs="宋体"/>
          <w:sz w:val="24"/>
          <w:highlight w:val="none"/>
          <w:lang w:eastAsia="zh-CN"/>
        </w:rPr>
        <w:t>交货期</w:t>
      </w:r>
      <w:r>
        <w:rPr>
          <w:rFonts w:hint="eastAsia" w:ascii="宋体" w:hAnsi="宋体" w:eastAsia="宋体" w:cs="宋体"/>
          <w:sz w:val="24"/>
        </w:rPr>
        <w:t>、</w:t>
      </w:r>
      <w:r>
        <w:rPr>
          <w:rFonts w:hint="eastAsia" w:ascii="宋体" w:hAnsi="宋体" w:eastAsia="宋体" w:cs="宋体"/>
          <w:sz w:val="24"/>
          <w:lang w:val="en-US" w:eastAsia="zh-CN"/>
        </w:rPr>
        <w:t>质保期</w:t>
      </w:r>
      <w:r>
        <w:rPr>
          <w:rFonts w:hint="eastAsia" w:ascii="宋体" w:hAnsi="宋体" w:eastAsia="宋体" w:cs="宋体"/>
          <w:sz w:val="24"/>
        </w:rPr>
        <w:t>；任何有选择的报价不予接受。</w:t>
      </w:r>
    </w:p>
    <w:p>
      <w:pPr>
        <w:pStyle w:val="5"/>
        <w:numPr>
          <w:ilvl w:val="0"/>
          <w:numId w:val="9"/>
        </w:numPr>
        <w:rPr>
          <w:rFonts w:ascii="宋体" w:hAnsi="宋体" w:eastAsia="宋体" w:cs="宋体"/>
        </w:rPr>
      </w:pPr>
      <w:bookmarkStart w:id="36" w:name="_Toc29200"/>
      <w:r>
        <w:rPr>
          <w:rFonts w:hint="eastAsia" w:ascii="宋体" w:hAnsi="宋体" w:eastAsia="宋体" w:cs="宋体"/>
        </w:rPr>
        <w:t>谈判货币</w:t>
      </w:r>
      <w:bookmarkEnd w:id="36"/>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采购人只接受人民币作为唯一的谈判货币。</w:t>
      </w:r>
    </w:p>
    <w:p>
      <w:pPr>
        <w:pStyle w:val="5"/>
        <w:numPr>
          <w:ilvl w:val="0"/>
          <w:numId w:val="9"/>
        </w:numPr>
        <w:rPr>
          <w:rFonts w:ascii="宋体" w:hAnsi="宋体" w:eastAsia="宋体" w:cs="宋体"/>
        </w:rPr>
      </w:pPr>
      <w:bookmarkStart w:id="37" w:name="_Toc19668"/>
      <w:r>
        <w:rPr>
          <w:rFonts w:hint="eastAsia" w:ascii="宋体" w:hAnsi="宋体" w:eastAsia="宋体" w:cs="宋体"/>
        </w:rPr>
        <w:t>谈判有效期</w:t>
      </w:r>
      <w:bookmarkEnd w:id="37"/>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谈判有效期为递交谈判响应文件截止时间起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90</w:t>
      </w:r>
      <w:r>
        <w:rPr>
          <w:rFonts w:hint="eastAsia" w:ascii="宋体" w:hAnsi="宋体" w:eastAsia="宋体" w:cs="宋体"/>
          <w:sz w:val="24"/>
          <w:szCs w:val="24"/>
        </w:rPr>
        <w:t>个日历日，谈判有效期短于此规定期限的谈判响应文件，视为无效文件，其谈判将被拒绝。成交单位的谈判响应文件有效期延长至合同执行完毕。</w:t>
      </w:r>
    </w:p>
    <w:p>
      <w:pPr>
        <w:pStyle w:val="5"/>
        <w:numPr>
          <w:ilvl w:val="0"/>
          <w:numId w:val="9"/>
        </w:numPr>
        <w:rPr>
          <w:rFonts w:ascii="宋体" w:hAnsi="宋体" w:eastAsia="宋体" w:cs="宋体"/>
          <w:szCs w:val="32"/>
        </w:rPr>
      </w:pPr>
      <w:bookmarkStart w:id="38" w:name="_Toc24827"/>
      <w:r>
        <w:rPr>
          <w:rFonts w:hint="eastAsia" w:ascii="宋体" w:hAnsi="宋体" w:eastAsia="宋体" w:cs="宋体"/>
        </w:rPr>
        <w:t>谈判响应文件的格式、装订、密封和签署</w:t>
      </w:r>
      <w:bookmarkEnd w:id="38"/>
    </w:p>
    <w:p>
      <w:pPr>
        <w:numPr>
          <w:ilvl w:val="0"/>
          <w:numId w:val="12"/>
        </w:numPr>
        <w:tabs>
          <w:tab w:val="left" w:pos="0"/>
        </w:tabs>
        <w:spacing w:line="360" w:lineRule="auto"/>
        <w:ind w:right="-92" w:rightChars="-44"/>
        <w:rPr>
          <w:rFonts w:ascii="宋体" w:hAnsi="宋体" w:eastAsia="宋体" w:cs="宋体"/>
          <w:sz w:val="24"/>
          <w:szCs w:val="24"/>
        </w:rPr>
      </w:pPr>
      <w:r>
        <w:rPr>
          <w:rFonts w:hint="eastAsia" w:ascii="宋体" w:hAnsi="宋体" w:eastAsia="宋体" w:cs="宋体"/>
          <w:sz w:val="24"/>
          <w:szCs w:val="24"/>
        </w:rPr>
        <w:t>供应商须依据竞争性谈判文件内容和谈判响应文件格式的要求编制谈判响应文件；</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谈判响应文件的正本须打印或用不褪色蓝（黑）墨水（汁）书写，谈判响应文件的打印</w:t>
      </w:r>
      <w:r>
        <w:rPr>
          <w:rFonts w:hint="eastAsia" w:ascii="宋体" w:hAnsi="宋体" w:eastAsia="宋体" w:cs="宋体"/>
          <w:b/>
          <w:bCs/>
          <w:sz w:val="24"/>
          <w:szCs w:val="24"/>
        </w:rPr>
        <w:t>（推荐双面打印）</w:t>
      </w:r>
      <w:r>
        <w:rPr>
          <w:rFonts w:hint="eastAsia" w:ascii="宋体" w:hAnsi="宋体" w:eastAsia="宋体" w:cs="宋体"/>
          <w:sz w:val="24"/>
          <w:szCs w:val="24"/>
        </w:rPr>
        <w:t>和书写应清楚工整，任何行间插字、涂改和增删，必须由供应商的法定代表人或其授权代表签字或加盖个人印章，字迹潦草或表达不清或可能导致非唯一理解的谈判响应文件可能视为无效文件；所有的副本可以为正本的复印件。在每一页的正下方清楚标明页码；</w:t>
      </w:r>
    </w:p>
    <w:p>
      <w:pPr>
        <w:numPr>
          <w:ilvl w:val="0"/>
          <w:numId w:val="12"/>
        </w:num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谈判响应文件的装订</w:t>
      </w:r>
    </w:p>
    <w:p>
      <w:pPr>
        <w:tabs>
          <w:tab w:val="left" w:pos="0"/>
        </w:tabs>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谈判响应文件正本壹份、副本叁份，分别胶装装订成册，且封面须清楚地标明“正本”或“副本”；若正本和副本不符，以正本书面文件为准；同时提供与正本内容一致的</w:t>
      </w:r>
      <w:bookmarkStart w:id="39" w:name="OLE_LINK13"/>
      <w:r>
        <w:rPr>
          <w:rFonts w:hint="eastAsia" w:ascii="宋体" w:hAnsi="宋体" w:eastAsia="宋体" w:cs="宋体"/>
          <w:sz w:val="24"/>
          <w:szCs w:val="24"/>
        </w:rPr>
        <w:t>电子版</w:t>
      </w:r>
      <w:bookmarkEnd w:id="39"/>
      <w:r>
        <w:rPr>
          <w:rFonts w:hint="eastAsia" w:ascii="宋体" w:hAnsi="宋体" w:eastAsia="宋体" w:cs="宋体"/>
          <w:sz w:val="24"/>
          <w:szCs w:val="24"/>
        </w:rPr>
        <w:t>（U盘、</w:t>
      </w:r>
      <w:r>
        <w:rPr>
          <w:rFonts w:hint="eastAsia" w:ascii="宋体" w:hAnsi="宋体" w:eastAsia="宋体" w:cs="宋体"/>
          <w:b/>
          <w:bCs/>
          <w:sz w:val="24"/>
          <w:szCs w:val="24"/>
        </w:rPr>
        <w:t>电子文档应为PDF与WORD格式各一份）</w:t>
      </w:r>
      <w:r>
        <w:rPr>
          <w:rFonts w:hint="eastAsia" w:ascii="宋体" w:hAnsi="宋体" w:eastAsia="宋体" w:cs="宋体"/>
          <w:sz w:val="24"/>
          <w:szCs w:val="24"/>
        </w:rPr>
        <w:t>、响应一览表壹份</w:t>
      </w:r>
      <w:r>
        <w:rPr>
          <w:rFonts w:hint="eastAsia" w:ascii="宋体" w:hAnsi="宋体" w:eastAsia="宋体" w:cs="宋体"/>
          <w:b/>
          <w:bCs/>
          <w:sz w:val="24"/>
          <w:szCs w:val="24"/>
        </w:rPr>
        <w:t>（</w:t>
      </w:r>
      <w:r>
        <w:rPr>
          <w:rFonts w:hint="eastAsia" w:ascii="宋体" w:hAnsi="宋体" w:eastAsia="宋体" w:cs="宋体"/>
          <w:sz w:val="24"/>
          <w:szCs w:val="24"/>
        </w:rPr>
        <w:t>用于谈判单独提交的“响应一览表”应为原件</w:t>
      </w:r>
      <w:r>
        <w:rPr>
          <w:rFonts w:hint="eastAsia" w:ascii="宋体" w:hAnsi="宋体" w:eastAsia="宋体" w:cs="宋体"/>
          <w:b/>
          <w:bCs/>
          <w:sz w:val="24"/>
          <w:szCs w:val="24"/>
        </w:rPr>
        <w:t>）。</w:t>
      </w:r>
    </w:p>
    <w:p>
      <w:pPr>
        <w:numPr>
          <w:ilvl w:val="0"/>
          <w:numId w:val="12"/>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谈判响应文件的签署</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供应商在谈判响应文件中指定的页面的落款处，按竞争性谈判文件要求由供应商的法定代表人或其授权代表在规定的签章处签字</w:t>
      </w:r>
      <w:r>
        <w:rPr>
          <w:rFonts w:hint="eastAsia" w:ascii="宋体" w:hAnsi="宋体" w:eastAsia="宋体" w:cs="宋体"/>
          <w:sz w:val="24"/>
          <w:szCs w:val="24"/>
          <w:lang w:eastAsia="zh-CN"/>
        </w:rPr>
        <w:t>或</w:t>
      </w:r>
      <w:r>
        <w:rPr>
          <w:rFonts w:hint="eastAsia" w:ascii="宋体" w:hAnsi="宋体" w:eastAsia="宋体" w:cs="宋体"/>
          <w:sz w:val="24"/>
          <w:szCs w:val="24"/>
        </w:rPr>
        <w:t>盖章。</w:t>
      </w:r>
    </w:p>
    <w:p>
      <w:pPr>
        <w:numPr>
          <w:ilvl w:val="0"/>
          <w:numId w:val="12"/>
        </w:num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谈判响应文件的密封</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sz w:val="24"/>
          <w:szCs w:val="24"/>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 w:val="24"/>
        </w:rPr>
        <w:t>谈判响应文件袋上应加盖供应商公章（</w:t>
      </w:r>
      <w:r>
        <w:rPr>
          <w:rFonts w:hint="eastAsia" w:ascii="宋体" w:hAnsi="宋体" w:eastAsia="宋体" w:cs="宋体"/>
          <w:sz w:val="24"/>
          <w:szCs w:val="24"/>
        </w:rPr>
        <w:t>封面标识见竞争性谈判文件</w:t>
      </w:r>
      <w:r>
        <w:rPr>
          <w:rFonts w:hint="eastAsia" w:ascii="宋体" w:hAnsi="宋体" w:eastAsia="宋体" w:cs="宋体"/>
          <w:b/>
          <w:bCs/>
          <w:sz w:val="24"/>
          <w:szCs w:val="24"/>
        </w:rPr>
        <w:t>附件一</w:t>
      </w:r>
      <w:r>
        <w:rPr>
          <w:rFonts w:hint="eastAsia" w:ascii="宋体" w:hAnsi="宋体" w:eastAsia="宋体" w:cs="宋体"/>
          <w:sz w:val="24"/>
          <w:szCs w:val="24"/>
        </w:rPr>
        <w:t>）</w:t>
      </w:r>
      <w:r>
        <w:rPr>
          <w:rFonts w:hint="eastAsia" w:ascii="宋体" w:hAnsi="宋体" w:eastAsia="宋体" w:cs="宋体"/>
          <w:kern w:val="0"/>
          <w:sz w:val="24"/>
        </w:rPr>
        <w:t>如果未按上述规定进行密封，供应商的谈判响应文件有权被拒绝</w:t>
      </w:r>
      <w:r>
        <w:rPr>
          <w:rFonts w:hint="eastAsia" w:ascii="宋体" w:hAnsi="宋体" w:eastAsia="宋体" w:cs="宋体"/>
          <w:sz w:val="24"/>
          <w:szCs w:val="24"/>
        </w:rPr>
        <w:t>。</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sz w:val="24"/>
          <w:szCs w:val="24"/>
        </w:rPr>
        <w:t>（5）如果供应商未按上述要求密封及加写标记，误投或过早启封的谈判响应文件，将自行承担其谈判响应文件被视为无效谈判响应文件的风险。</w:t>
      </w:r>
    </w:p>
    <w:p>
      <w:pPr>
        <w:spacing w:line="360" w:lineRule="auto"/>
        <w:ind w:left="420" w:leftChars="200"/>
        <w:rPr>
          <w:rFonts w:ascii="宋体" w:hAnsi="宋体" w:eastAsia="宋体" w:cs="宋体"/>
          <w:sz w:val="24"/>
          <w:szCs w:val="24"/>
        </w:rPr>
      </w:pPr>
      <w:r>
        <w:rPr>
          <w:rFonts w:hint="eastAsia" w:ascii="宋体" w:hAnsi="宋体" w:eastAsia="宋体" w:cs="宋体"/>
          <w:sz w:val="24"/>
          <w:szCs w:val="24"/>
        </w:rPr>
        <w:t>（6）本次谈判只接受简体中文文字的谈判响应文件；如谈判响应文件中出现外文资料，必须配以中文译文。否则，由此引发的一切责任由供应商自负。</w:t>
      </w:r>
    </w:p>
    <w:p>
      <w:pPr>
        <w:widowControl/>
        <w:spacing w:line="360" w:lineRule="auto"/>
        <w:ind w:left="420" w:leftChars="200"/>
        <w:rPr>
          <w:rFonts w:ascii="宋体" w:hAnsi="宋体" w:eastAsia="宋体" w:cs="宋体"/>
          <w:kern w:val="0"/>
          <w:sz w:val="24"/>
        </w:rPr>
      </w:pPr>
      <w:r>
        <w:rPr>
          <w:rFonts w:hint="eastAsia" w:ascii="宋体" w:hAnsi="宋体" w:eastAsia="宋体" w:cs="宋体"/>
          <w:kern w:val="0"/>
          <w:sz w:val="24"/>
        </w:rPr>
        <w:t>（7）拒绝接受以电话、传真、电子邮件形式的谈判。</w:t>
      </w:r>
    </w:p>
    <w:p>
      <w:pPr>
        <w:pStyle w:val="5"/>
        <w:numPr>
          <w:ilvl w:val="0"/>
          <w:numId w:val="9"/>
        </w:numPr>
        <w:rPr>
          <w:rFonts w:ascii="宋体" w:hAnsi="宋体" w:eastAsia="宋体" w:cs="宋体"/>
        </w:rPr>
      </w:pPr>
      <w:bookmarkStart w:id="40" w:name="_Toc22752"/>
      <w:r>
        <w:rPr>
          <w:rFonts w:hint="eastAsia" w:ascii="宋体" w:hAnsi="宋体" w:eastAsia="宋体" w:cs="宋体"/>
        </w:rPr>
        <w:t>知识产权</w:t>
      </w:r>
      <w:bookmarkEnd w:id="40"/>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采购人享有本项目在实施过程中产生的知识成果及知识产权。</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供应商如欲在项目实施过程中采用自有知识成果，需在谈判响应文件中声明，并提供相关知识产权证明文件。使用该知识成果后，供应商须提供开发接口和开发手册等技术文档，并承诺提供无限期技术支持，采购人享有永久使用权。</w:t>
      </w:r>
    </w:p>
    <w:p>
      <w:pPr>
        <w:numPr>
          <w:ilvl w:val="0"/>
          <w:numId w:val="13"/>
        </w:numPr>
        <w:spacing w:line="360" w:lineRule="auto"/>
        <w:jc w:val="left"/>
        <w:rPr>
          <w:rFonts w:ascii="宋体" w:hAnsi="宋体" w:eastAsia="宋体" w:cs="宋体"/>
          <w:sz w:val="24"/>
          <w:szCs w:val="24"/>
        </w:rPr>
      </w:pPr>
      <w:r>
        <w:rPr>
          <w:rFonts w:hint="eastAsia" w:ascii="宋体" w:hAnsi="宋体" w:eastAsia="宋体" w:cs="宋体"/>
          <w:sz w:val="24"/>
          <w:szCs w:val="24"/>
        </w:rPr>
        <w:t>如供应商所不拥有的知识产权，则在谈判报价中必须包括合法获取该知识产权的相关费用。</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sectPr>
          <w:pgSz w:w="11906" w:h="16838"/>
          <w:pgMar w:top="1440" w:right="1803" w:bottom="1440" w:left="1803" w:header="851" w:footer="992" w:gutter="0"/>
          <w:cols w:space="0" w:num="1"/>
          <w:docGrid w:type="lines" w:linePitch="317" w:charSpace="0"/>
        </w:sectPr>
      </w:pPr>
      <w:bookmarkStart w:id="41" w:name="_Toc3736"/>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42" w:name="_Toc11126"/>
      <w:bookmarkStart w:id="43" w:name="_Toc3565"/>
      <w:r>
        <w:rPr>
          <w:rFonts w:hint="eastAsia" w:ascii="宋体" w:hAnsi="宋体" w:eastAsia="宋体" w:cs="宋体"/>
          <w:b/>
          <w:bCs/>
          <w:kern w:val="0"/>
          <w:sz w:val="32"/>
          <w:szCs w:val="28"/>
        </w:rPr>
        <w:t>谈判响应文件的递交</w:t>
      </w:r>
      <w:bookmarkEnd w:id="42"/>
      <w:bookmarkEnd w:id="43"/>
    </w:p>
    <w:bookmarkEnd w:id="41"/>
    <w:p>
      <w:pPr>
        <w:pStyle w:val="5"/>
        <w:numPr>
          <w:ilvl w:val="0"/>
          <w:numId w:val="14"/>
        </w:numPr>
        <w:rPr>
          <w:rFonts w:ascii="宋体" w:hAnsi="宋体" w:eastAsia="宋体" w:cs="宋体"/>
        </w:rPr>
      </w:pPr>
      <w:bookmarkStart w:id="44" w:name="_Toc3685"/>
      <w:r>
        <w:rPr>
          <w:rFonts w:hint="eastAsia" w:ascii="宋体" w:hAnsi="宋体" w:eastAsia="宋体" w:cs="宋体"/>
        </w:rPr>
        <w:t>谈判响应文件递交</w:t>
      </w:r>
      <w:bookmarkEnd w:id="44"/>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供应商必须在竞争性谈判文件规定的谈判响应文件递交截止时间之前，将全部谈判响应文件递交至代理机构项目工作人员；代理机构项目承办人在竞争性谈判文件规定的谈判响应文件递交截止时间前，只负责谈判响应文件的接收、清点、造册登记工作，并请供应商代表签字确认，对其有效性不负任何责任。</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代理机构在宣布递交谈判响应文件时间截止之后，拒绝接收任何人送达、递交的谈判响应文件；</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代理机构不接受邮寄的谈判响应文件；</w:t>
      </w:r>
    </w:p>
    <w:p>
      <w:pPr>
        <w:widowControl/>
        <w:numPr>
          <w:ilvl w:val="0"/>
          <w:numId w:val="15"/>
        </w:numPr>
        <w:tabs>
          <w:tab w:val="left" w:pos="0"/>
        </w:tabs>
        <w:spacing w:line="460" w:lineRule="exact"/>
        <w:jc w:val="left"/>
        <w:rPr>
          <w:rFonts w:ascii="宋体" w:hAnsi="宋体" w:eastAsia="宋体" w:cs="宋体"/>
          <w:sz w:val="24"/>
          <w:szCs w:val="24"/>
        </w:rPr>
      </w:pPr>
      <w:r>
        <w:rPr>
          <w:rFonts w:hint="eastAsia" w:ascii="宋体" w:hAnsi="宋体" w:eastAsia="宋体" w:cs="宋体"/>
          <w:sz w:val="24"/>
          <w:szCs w:val="24"/>
        </w:rPr>
        <w:t>无论供应商成交与否，其谈判响应文件恕不退还。</w:t>
      </w:r>
    </w:p>
    <w:p>
      <w:pPr>
        <w:pStyle w:val="5"/>
        <w:numPr>
          <w:ilvl w:val="0"/>
          <w:numId w:val="14"/>
        </w:numPr>
        <w:rPr>
          <w:rFonts w:ascii="宋体" w:hAnsi="宋体" w:eastAsia="宋体" w:cs="宋体"/>
        </w:rPr>
      </w:pPr>
      <w:bookmarkStart w:id="45" w:name="_Toc12741"/>
      <w:r>
        <w:rPr>
          <w:rFonts w:hint="eastAsia" w:ascii="宋体" w:hAnsi="宋体" w:eastAsia="宋体" w:cs="宋体"/>
        </w:rPr>
        <w:t>谈判响应文件的修改和撤回</w:t>
      </w:r>
      <w:bookmarkEnd w:id="45"/>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在谈判截止时间之后，供应商不得对其递交的谈判响应文件做任何修改或撤回。</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46" w:name="_Toc14415"/>
      <w:bookmarkStart w:id="47" w:name="_Toc14090"/>
      <w:bookmarkStart w:id="48" w:name="_Toc27066"/>
      <w:r>
        <w:rPr>
          <w:rFonts w:hint="eastAsia" w:ascii="宋体" w:hAnsi="宋体" w:eastAsia="宋体" w:cs="宋体"/>
          <w:b/>
          <w:bCs/>
          <w:kern w:val="0"/>
          <w:sz w:val="32"/>
          <w:szCs w:val="28"/>
        </w:rPr>
        <w:t>谈判、评审、定标</w:t>
      </w:r>
      <w:bookmarkEnd w:id="46"/>
      <w:bookmarkEnd w:id="47"/>
      <w:bookmarkEnd w:id="48"/>
    </w:p>
    <w:p>
      <w:pPr>
        <w:pStyle w:val="5"/>
        <w:numPr>
          <w:ilvl w:val="0"/>
          <w:numId w:val="16"/>
        </w:numPr>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1.3谈判时，谈判响应文件中出现下列情况，修正原则为：</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7"/>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5"/>
        <w:numPr>
          <w:ilvl w:val="0"/>
          <w:numId w:val="16"/>
        </w:numPr>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谈判小组对各供应商的谈判响应文件进行审查、评估和比较，并推荐出成交候选人。</w:t>
      </w:r>
    </w:p>
    <w:p>
      <w:pPr>
        <w:pStyle w:val="5"/>
        <w:numPr>
          <w:ilvl w:val="0"/>
          <w:numId w:val="16"/>
        </w:numPr>
        <w:rPr>
          <w:rFonts w:ascii="宋体" w:hAnsi="宋体" w:eastAsia="宋体" w:cs="宋体"/>
        </w:rPr>
      </w:pPr>
      <w:bookmarkStart w:id="49" w:name="_Toc27940"/>
      <w:bookmarkStart w:id="50" w:name="_Toc385958808"/>
      <w:bookmarkStart w:id="51" w:name="_Toc386129876"/>
      <w:bookmarkStart w:id="52" w:name="_Toc28085"/>
      <w:r>
        <w:rPr>
          <w:rFonts w:hint="eastAsia" w:ascii="宋体" w:hAnsi="宋体" w:eastAsia="宋体" w:cs="宋体"/>
        </w:rPr>
        <w:t>谈判响应文件初审</w:t>
      </w:r>
      <w:bookmarkEnd w:id="49"/>
      <w:bookmarkEnd w:id="50"/>
      <w:bookmarkEnd w:id="51"/>
      <w:bookmarkEnd w:id="52"/>
    </w:p>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谈判响应文件的资格性审查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依据法律法规和竞争性谈判文件的规定，对谈判响应文件中的资格证明文件等进行审查，以确保供应商是否具备相应资格。</w:t>
      </w:r>
    </w:p>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谈判响应文件符合性审查</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依据竞争性谈判文件的规定，从谈判响应文件的有效性、完整性和对竞争性谈判文件的响应程度进行审查，以确定是否对竞争性谈判文件的实质性内容作出响应。</w:t>
      </w:r>
    </w:p>
    <w:tbl>
      <w:tblPr>
        <w:tblStyle w:val="21"/>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7"/>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restart"/>
            <w:vAlign w:val="center"/>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符合性</w:t>
            </w:r>
          </w:p>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审查</w:t>
            </w: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1</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2</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3</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4</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lang w:eastAsia="zh-CN"/>
              </w:rPr>
              <w:t>谈判</w:t>
            </w:r>
            <w:r>
              <w:rPr>
                <w:rFonts w:hint="eastAsia" w:ascii="宋体" w:hAnsi="宋体" w:cs="宋体"/>
                <w:kern w:val="0"/>
                <w:szCs w:val="21"/>
              </w:rPr>
              <w:t>有效期是否满足磋商文件要求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5</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szCs w:val="21"/>
                <w:highlight w:val="none"/>
                <w:lang w:eastAsia="zh-CN"/>
              </w:rPr>
              <w:t>无谈判</w:t>
            </w:r>
            <w:bookmarkStart w:id="238" w:name="_GoBack"/>
            <w:bookmarkEnd w:id="238"/>
            <w:r>
              <w:rPr>
                <w:rFonts w:hint="eastAsia" w:ascii="宋体" w:hAnsi="宋体" w:cs="宋体"/>
                <w:szCs w:val="21"/>
                <w:highlight w:val="none"/>
              </w:rPr>
              <w:t>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6</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是否符合法律法规和磋商文件规定的其他实质性要求</w:t>
            </w:r>
          </w:p>
        </w:tc>
      </w:tr>
    </w:tbl>
    <w:p>
      <w:pPr>
        <w:numPr>
          <w:ilvl w:val="0"/>
          <w:numId w:val="18"/>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经过对供应商及谈判响应文件审查，出现下列情况者（但不限于），按无效谈判处理。</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供应商的谈判报价超过采购预算或最高限价的；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供应商未经过正常渠道购买竞争性谈判文件，或供应商名称与购买竞争性谈判文件时登记的供应商名称不符的；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谈判响应文件的签署、密封、盖章不符合竞争性谈判文件要求；无谈判有效期或有效期达不到竞争性谈判文件要求的；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供应商针对同一项目递交两份或多份内容不同的谈判响应文件，未书面声明哪一份是有效的或出现选择性报价的；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供应商未按竞争性谈判文件要求提供产品的技术参数及产品供货渠道不明确的；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szCs w:val="24"/>
        </w:rPr>
        <w:t>供应商的报价明显低于其他通过符合性审查供应商的报价，有可能影响货物质量或者不能诚信履约的，不能按照谈判小组要求在评审现场合理的时间内提供书面说明及相关证明材料且证明其报价合理性的</w:t>
      </w:r>
      <w:r>
        <w:rPr>
          <w:rFonts w:hint="eastAsia" w:ascii="宋体" w:hAnsi="宋体" w:eastAsia="宋体" w:cs="宋体"/>
          <w:sz w:val="24"/>
        </w:rPr>
        <w:t>；</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谈判报价出现漏项或货物数量与要求不符的；</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谈判产品的技术参数、性能指标与竞争性谈判文件要求出现重大负偏差的；或者提供虚假证明（包括第三方的虚假证明），除按无效文件处理外，还将按照政府采购法的有关规定进行处罚；</w:t>
      </w:r>
    </w:p>
    <w:p>
      <w:pPr>
        <w:numPr>
          <w:ilvl w:val="0"/>
          <w:numId w:val="19"/>
        </w:numPr>
        <w:spacing w:line="360" w:lineRule="auto"/>
        <w:ind w:left="0" w:firstLine="480" w:firstLineChars="200"/>
        <w:rPr>
          <w:rFonts w:ascii="宋体" w:hAnsi="宋体" w:eastAsia="宋体" w:cs="宋体"/>
          <w:sz w:val="24"/>
        </w:rPr>
      </w:pPr>
      <w:r>
        <w:rPr>
          <w:rFonts w:hint="eastAsia" w:ascii="宋体" w:hAnsi="宋体" w:eastAsia="宋体" w:cs="宋体"/>
          <w:sz w:val="24"/>
        </w:rPr>
        <w:t>谈判响应文件在商务响应方面（付款方式、产品质量、质保期、交货时间、送货地点、验收条件、售后服务）与竞争性谈判文件要求不一致或附加了采购单位难以接受的条件或条款的；</w:t>
      </w:r>
    </w:p>
    <w:p>
      <w:pPr>
        <w:numPr>
          <w:ilvl w:val="0"/>
          <w:numId w:val="19"/>
        </w:numPr>
        <w:spacing w:line="360" w:lineRule="auto"/>
        <w:ind w:left="0" w:firstLine="480" w:firstLineChars="200"/>
        <w:rPr>
          <w:rFonts w:ascii="宋体" w:hAnsi="宋体" w:eastAsia="宋体" w:cs="宋体"/>
          <w:kern w:val="0"/>
          <w:sz w:val="24"/>
        </w:rPr>
      </w:pPr>
      <w:r>
        <w:rPr>
          <w:rFonts w:hint="eastAsia" w:ascii="宋体" w:hAnsi="宋体" w:eastAsia="宋体" w:cs="宋体"/>
          <w:sz w:val="24"/>
        </w:rPr>
        <w:t>如澄清、补正、说明的内容与谈判响应文件内容有重大相悖或矛盾，将被认定为无效谈判。</w:t>
      </w:r>
    </w:p>
    <w:p>
      <w:pPr>
        <w:pStyle w:val="5"/>
        <w:numPr>
          <w:ilvl w:val="0"/>
          <w:numId w:val="16"/>
        </w:numPr>
        <w:rPr>
          <w:rFonts w:ascii="宋体" w:hAnsi="宋体" w:eastAsia="宋体" w:cs="宋体"/>
        </w:rPr>
      </w:pPr>
      <w:bookmarkStart w:id="53" w:name="_Toc17705"/>
      <w:r>
        <w:rPr>
          <w:rFonts w:hint="eastAsia" w:ascii="宋体" w:hAnsi="宋体" w:eastAsia="宋体" w:cs="宋体"/>
        </w:rPr>
        <w:t>谈判响应文件澄清</w:t>
      </w:r>
      <w:bookmarkEnd w:id="53"/>
    </w:p>
    <w:p>
      <w:pPr>
        <w:overflowPunct w:val="0"/>
        <w:adjustRightInd w:val="0"/>
        <w:snapToGrid w:val="0"/>
        <w:spacing w:line="360" w:lineRule="auto"/>
        <w:ind w:firstLine="480" w:firstLineChars="200"/>
        <w:rPr>
          <w:rFonts w:ascii="宋体" w:hAnsi="宋体" w:eastAsia="宋体" w:cs="宋体"/>
          <w:sz w:val="24"/>
        </w:rPr>
      </w:pPr>
      <w:bookmarkStart w:id="54" w:name="_Toc8353"/>
      <w:r>
        <w:rPr>
          <w:rFonts w:hint="eastAsia" w:ascii="宋体" w:hAnsi="宋体" w:eastAsia="宋体" w:cs="宋体"/>
          <w:sz w:val="24"/>
        </w:rPr>
        <w:t>在评审期间,采购代理机构可根据谈判小组对其谈判响应文件有疑义不清楚的内容，要求供应商对其谈判响应文件进行澄清，有关澄清的要求和答复应以书面形式提交，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供应商应采用书面形式进行澄清或说明，但不得超出谈判响应文件的范围或改变谈判响应文件的实质性内容。</w:t>
      </w:r>
    </w:p>
    <w:p>
      <w:pPr>
        <w:pStyle w:val="5"/>
        <w:numPr>
          <w:ilvl w:val="0"/>
          <w:numId w:val="16"/>
        </w:numPr>
        <w:rPr>
          <w:rFonts w:ascii="宋体" w:hAnsi="宋体" w:eastAsia="宋体" w:cs="宋体"/>
        </w:rPr>
      </w:pPr>
      <w:r>
        <w:rPr>
          <w:rFonts w:hint="eastAsia" w:ascii="宋体" w:hAnsi="宋体" w:eastAsia="宋体" w:cs="宋体"/>
        </w:rPr>
        <w:t>评</w:t>
      </w:r>
      <w:bookmarkEnd w:id="54"/>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5.1、谈判小组有权对在谈判、评审过程中出现的一切问题，根据《中华人民共和国政府采购法》和《政府采购货物和服务招标谈判管理办法》的条款，本着公开、公平、公正的原则进行处理。</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5.2、依据《中华人民共和国政府采购法》和《中华人民共和国政府采购实施条例》的有关规定，落实政府采购“优先购买节能环保产品，扶持小微企业、监狱企业、福利企业”等相关政策，对小型、微型和监狱企业产品的价格给予6%的扣除，用扣除后的价格参与评审。</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谈判小组先对供应商作资格性/符合性审查，只有通过资格性/符合性审查的供应商，才能进入第二阶段的谈判，否则被淘汰。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w:t>
      </w:r>
      <w:r>
        <w:rPr>
          <w:rFonts w:hint="eastAsia" w:ascii="宋体" w:hAnsi="宋体" w:eastAsia="宋体" w:cs="宋体"/>
          <w:b/>
          <w:bCs/>
          <w:sz w:val="24"/>
        </w:rPr>
        <w:t>（谈判轮次为一轮）</w:t>
      </w:r>
      <w:r>
        <w:rPr>
          <w:rFonts w:hint="eastAsia" w:ascii="宋体" w:hAnsi="宋体" w:eastAsia="宋体" w:cs="宋体"/>
          <w:sz w:val="24"/>
        </w:rPr>
        <w:t>，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5.4、如果谈判小组一致认为最低报价或某些分项报价明显不合理，有降低质量、不能诚信履约的可能时，有权通知供应商进行谈判。</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w:t>
      </w:r>
    </w:p>
    <w:p>
      <w:pPr>
        <w:pStyle w:val="5"/>
        <w:numPr>
          <w:ilvl w:val="0"/>
          <w:numId w:val="16"/>
        </w:numPr>
        <w:rPr>
          <w:rFonts w:ascii="宋体" w:hAnsi="宋体" w:eastAsia="宋体" w:cs="宋体"/>
        </w:rPr>
      </w:pPr>
      <w:bookmarkStart w:id="55" w:name="_Toc12947"/>
      <w:r>
        <w:rPr>
          <w:rFonts w:hint="eastAsia" w:ascii="宋体" w:hAnsi="宋体" w:eastAsia="宋体" w:cs="宋体"/>
        </w:rPr>
        <w:t>定标</w:t>
      </w:r>
      <w:bookmarkEnd w:id="55"/>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w:t>
      </w:r>
      <w:r>
        <w:rPr>
          <w:rFonts w:hint="eastAsia" w:ascii="宋体" w:hAnsi="宋体" w:eastAsia="宋体" w:cs="宋体"/>
          <w:sz w:val="24"/>
          <w:lang w:val="en-US" w:eastAsia="zh-CN"/>
        </w:rPr>
        <w:t>成交</w:t>
      </w:r>
      <w:r>
        <w:rPr>
          <w:rFonts w:hint="eastAsia" w:ascii="宋体" w:hAnsi="宋体" w:eastAsia="宋体" w:cs="宋体"/>
          <w:sz w:val="24"/>
        </w:rPr>
        <w:t>复函”后</w:t>
      </w:r>
      <w:r>
        <w:rPr>
          <w:rFonts w:hint="eastAsia" w:ascii="宋体" w:hAnsi="宋体" w:eastAsia="宋体" w:cs="宋体"/>
          <w:sz w:val="24"/>
          <w:lang w:val="en-US" w:eastAsia="zh-CN"/>
        </w:rPr>
        <w:t>1个工作</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56" w:name="_Toc19972"/>
      <w:bookmarkStart w:id="57" w:name="_Toc5331"/>
      <w:bookmarkStart w:id="58" w:name="_Toc25308"/>
      <w:r>
        <w:rPr>
          <w:rFonts w:hint="eastAsia" w:ascii="宋体" w:hAnsi="宋体" w:eastAsia="宋体" w:cs="宋体"/>
          <w:b/>
          <w:bCs/>
          <w:kern w:val="0"/>
          <w:sz w:val="32"/>
          <w:szCs w:val="28"/>
        </w:rPr>
        <w:t>签订合同</w:t>
      </w:r>
      <w:bookmarkEnd w:id="56"/>
      <w:bookmarkEnd w:id="57"/>
      <w:bookmarkEnd w:id="5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成交后，成交供应商与采购人洽谈合同条款，并签订供货合同，同时送代理机构归档，竞争性谈判文件及成交供应商的谈判响应文件均作为合同的组成部分。</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根据需要，代理机构应协助采购人监督、协调和处理履约过程中出现的问题。</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陕西省财政厅政府采购管理处在合同履行期间以及履行期后，可以随时检查项目的执行情况，对采购标准、采购内容进行调查核实，并对发现的问题进行处理。</w:t>
      </w:r>
    </w:p>
    <w:p>
      <w:pPr>
        <w:widowControl/>
        <w:numPr>
          <w:ilvl w:val="0"/>
          <w:numId w:val="3"/>
        </w:numPr>
        <w:spacing w:line="360" w:lineRule="auto"/>
        <w:ind w:firstLine="643" w:firstLineChars="200"/>
        <w:jc w:val="center"/>
        <w:outlineLvl w:val="1"/>
        <w:rPr>
          <w:rFonts w:ascii="宋体" w:hAnsi="宋体" w:eastAsia="宋体" w:cs="宋体"/>
          <w:b/>
          <w:bCs/>
          <w:kern w:val="0"/>
          <w:sz w:val="32"/>
          <w:szCs w:val="28"/>
        </w:rPr>
      </w:pPr>
      <w:bookmarkStart w:id="59" w:name="_Toc1881"/>
      <w:bookmarkStart w:id="60" w:name="_Toc28110"/>
      <w:bookmarkStart w:id="61" w:name="_Toc26132"/>
      <w:r>
        <w:rPr>
          <w:rFonts w:hint="eastAsia" w:ascii="宋体" w:hAnsi="宋体" w:eastAsia="宋体" w:cs="宋体"/>
          <w:b/>
          <w:bCs/>
          <w:kern w:val="0"/>
          <w:sz w:val="32"/>
          <w:szCs w:val="28"/>
        </w:rPr>
        <w:t>代理服务费</w:t>
      </w:r>
      <w:bookmarkEnd w:id="59"/>
      <w:bookmarkEnd w:id="60"/>
      <w:bookmarkEnd w:id="61"/>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1、以本采购项目中标价为基数，参照国家计委关于印发《招标代理服务收费管理暂行办法》的通知（计价格[2002]1980号）和发改办价格[2003]857号规定</w:t>
      </w:r>
      <w:r>
        <w:rPr>
          <w:rFonts w:hint="eastAsia" w:ascii="宋体" w:hAnsi="宋体" w:cs="宋体"/>
          <w:b/>
          <w:bCs/>
          <w:sz w:val="24"/>
          <w:szCs w:val="24"/>
        </w:rPr>
        <w:t>下浮20%</w:t>
      </w:r>
      <w:r>
        <w:rPr>
          <w:rFonts w:hint="eastAsia" w:ascii="宋体" w:hAnsi="宋体" w:cs="宋体"/>
          <w:sz w:val="24"/>
          <w:szCs w:val="24"/>
        </w:rPr>
        <w:t>收取；</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spacing w:line="360" w:lineRule="auto"/>
        <w:ind w:firstLine="480" w:firstLineChars="200"/>
        <w:jc w:val="left"/>
        <w:rPr>
          <w:rFonts w:ascii="宋体" w:hAnsi="宋体" w:eastAsia="宋体" w:cs="宋体"/>
          <w:sz w:val="24"/>
          <w:szCs w:val="24"/>
        </w:rPr>
      </w:pPr>
    </w:p>
    <w:p>
      <w:pPr>
        <w:widowControl/>
        <w:numPr>
          <w:ilvl w:val="0"/>
          <w:numId w:val="3"/>
        </w:numPr>
        <w:spacing w:before="159" w:beforeLines="50" w:after="159" w:afterLines="50" w:line="500" w:lineRule="exact"/>
        <w:ind w:firstLine="0"/>
        <w:jc w:val="center"/>
        <w:outlineLvl w:val="1"/>
        <w:rPr>
          <w:rFonts w:ascii="宋体" w:cs="宋体"/>
          <w:b/>
          <w:bCs/>
          <w:kern w:val="0"/>
          <w:sz w:val="32"/>
          <w:szCs w:val="32"/>
        </w:rPr>
      </w:pPr>
      <w:bookmarkStart w:id="62" w:name="_Toc27418"/>
      <w:bookmarkStart w:id="63" w:name="_Toc21950"/>
      <w:bookmarkStart w:id="64" w:name="_Toc9169"/>
      <w:bookmarkStart w:id="65" w:name="_Toc7191"/>
      <w:bookmarkStart w:id="66" w:name="_Toc16019"/>
      <w:bookmarkStart w:id="67" w:name="_Toc32056"/>
      <w:r>
        <w:rPr>
          <w:rFonts w:hint="eastAsia" w:ascii="宋体" w:hAnsi="宋体" w:cs="宋体"/>
          <w:b/>
          <w:bCs/>
          <w:kern w:val="0"/>
          <w:sz w:val="32"/>
          <w:szCs w:val="32"/>
        </w:rPr>
        <w:t>质疑和投诉</w:t>
      </w:r>
      <w:bookmarkEnd w:id="62"/>
      <w:bookmarkEnd w:id="63"/>
      <w:bookmarkEnd w:id="64"/>
      <w:bookmarkEnd w:id="65"/>
      <w:bookmarkEnd w:id="66"/>
      <w:bookmarkEnd w:id="67"/>
    </w:p>
    <w:p>
      <w:pPr>
        <w:spacing w:line="560" w:lineRule="exact"/>
        <w:ind w:firstLine="480" w:firstLineChars="200"/>
        <w:jc w:val="left"/>
        <w:rPr>
          <w:rFonts w:ascii="宋体" w:hAnsi="宋体" w:cs="宋体"/>
          <w:sz w:val="24"/>
          <w:szCs w:val="24"/>
        </w:rPr>
      </w:pPr>
      <w:bookmarkStart w:id="68"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 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8.4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8.6质疑函接收方式：由自然人本人或法定代表人或者其授权代表携带书面原件及身份证明原件到现场递交，否则不予受理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8.7 质疑受理部门：陕西万泽招标有限公司。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质疑受理电话：029-88319689。</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8.8 提交质疑函地点：西安市西关正街英达大厦1507室。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8.11 质疑函应当使用中文。质疑函范本详见财政部制定的范本即招标文件附件六。</w:t>
      </w:r>
    </w:p>
    <w:p>
      <w:pPr>
        <w:rPr>
          <w:rFonts w:ascii="宋体" w:hAnsi="宋体" w:cs="宋体"/>
          <w:sz w:val="24"/>
          <w:szCs w:val="24"/>
        </w:rPr>
      </w:pPr>
      <w:r>
        <w:rPr>
          <w:rFonts w:hint="eastAsia" w:ascii="宋体" w:hAnsi="宋体" w:cs="宋体"/>
          <w:sz w:val="24"/>
          <w:szCs w:val="24"/>
        </w:rPr>
        <w:br w:type="page"/>
      </w:r>
    </w:p>
    <w:p>
      <w:pPr>
        <w:pStyle w:val="3"/>
        <w:pageBreakBefore/>
        <w:rPr>
          <w:rFonts w:ascii="宋体" w:hAnsi="宋体" w:cs="宋体"/>
        </w:rPr>
      </w:pPr>
      <w:bookmarkStart w:id="69" w:name="_Toc27455"/>
      <w:r>
        <w:rPr>
          <w:rFonts w:hint="eastAsia" w:ascii="宋体" w:hAnsi="宋体" w:cs="宋体"/>
        </w:rPr>
        <w:t>第四部分 评审标准</w:t>
      </w:r>
      <w:bookmarkEnd w:id="68"/>
      <w:bookmarkEnd w:id="69"/>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一、根据</w:t>
      </w:r>
      <w:r>
        <w:rPr>
          <w:rFonts w:hint="eastAsia" w:asciiTheme="minorEastAsia" w:hAnsiTheme="minorEastAsia" w:cstheme="minorEastAsia"/>
          <w:sz w:val="24"/>
          <w:szCs w:val="28"/>
          <w:lang w:val="en-US" w:eastAsia="zh-CN"/>
        </w:rPr>
        <w:t>质量和服务均能满足采购文件要求</w:t>
      </w:r>
      <w:r>
        <w:rPr>
          <w:rFonts w:hint="eastAsia" w:asciiTheme="minorEastAsia" w:hAnsiTheme="minorEastAsia" w:cstheme="minorEastAsia"/>
          <w:sz w:val="24"/>
          <w:szCs w:val="28"/>
        </w:rPr>
        <w:t>且</w:t>
      </w:r>
      <w:r>
        <w:rPr>
          <w:rFonts w:hint="eastAsia" w:asciiTheme="minorEastAsia" w:hAnsiTheme="minorEastAsia" w:cstheme="minorEastAsia"/>
          <w:sz w:val="24"/>
          <w:szCs w:val="28"/>
          <w:lang w:val="en-US" w:eastAsia="zh-CN"/>
        </w:rPr>
        <w:t>最后</w:t>
      </w:r>
      <w:r>
        <w:rPr>
          <w:rFonts w:hint="eastAsia" w:asciiTheme="minorEastAsia" w:hAnsiTheme="minorEastAsia" w:cstheme="minorEastAsia"/>
          <w:sz w:val="24"/>
          <w:szCs w:val="28"/>
        </w:rPr>
        <w:t>报价最低</w:t>
      </w:r>
      <w:r>
        <w:rPr>
          <w:rFonts w:hint="eastAsia" w:asciiTheme="minorEastAsia" w:hAnsiTheme="minorEastAsia" w:cstheme="minorEastAsia"/>
          <w:sz w:val="24"/>
          <w:szCs w:val="28"/>
          <w:lang w:val="en-US" w:eastAsia="zh-CN"/>
        </w:rPr>
        <w:t>的</w:t>
      </w:r>
      <w:r>
        <w:rPr>
          <w:rFonts w:hint="eastAsia" w:asciiTheme="minorEastAsia" w:hAnsiTheme="minorEastAsia" w:cstheme="minorEastAsia"/>
          <w:sz w:val="24"/>
          <w:szCs w:val="28"/>
        </w:rPr>
        <w:t>原则确定成交供应商。</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二、详细评审标准</w:t>
      </w:r>
    </w:p>
    <w:p>
      <w:pPr>
        <w:spacing w:line="360" w:lineRule="auto"/>
        <w:rPr>
          <w:rFonts w:hint="default" w:asciiTheme="minorEastAsia" w:hAnsiTheme="minorEastAsia" w:cstheme="minorEastAsia"/>
          <w:sz w:val="24"/>
          <w:szCs w:val="28"/>
          <w:highlight w:val="yellow"/>
          <w:lang w:val="en-US"/>
        </w:rPr>
      </w:pPr>
      <w:r>
        <w:rPr>
          <w:rFonts w:hint="eastAsia" w:asciiTheme="minorEastAsia" w:hAnsiTheme="minorEastAsia" w:cstheme="minorEastAsia"/>
          <w:sz w:val="24"/>
          <w:szCs w:val="28"/>
          <w:highlight w:val="none"/>
        </w:rPr>
        <w:t>1.</w:t>
      </w:r>
      <w:r>
        <w:rPr>
          <w:rFonts w:hint="eastAsia" w:asciiTheme="minorEastAsia" w:hAnsiTheme="minorEastAsia" w:cstheme="minorEastAsia"/>
          <w:sz w:val="24"/>
          <w:szCs w:val="28"/>
          <w:highlight w:val="none"/>
          <w:lang w:eastAsia="zh-CN"/>
        </w:rPr>
        <w:t>供应商应</w:t>
      </w:r>
      <w:r>
        <w:rPr>
          <w:rFonts w:hint="eastAsia" w:asciiTheme="minorEastAsia" w:hAnsiTheme="minorEastAsia" w:cstheme="minorEastAsia"/>
          <w:sz w:val="24"/>
          <w:szCs w:val="28"/>
          <w:highlight w:val="none"/>
        </w:rPr>
        <w:t>满足</w:t>
      </w:r>
      <w:r>
        <w:rPr>
          <w:rFonts w:hint="eastAsia" w:asciiTheme="minorEastAsia" w:hAnsiTheme="minorEastAsia" w:cstheme="minorEastAsia"/>
          <w:sz w:val="24"/>
          <w:szCs w:val="28"/>
          <w:highlight w:val="none"/>
          <w:lang w:eastAsia="zh-CN"/>
        </w:rPr>
        <w:t>所有</w:t>
      </w:r>
      <w:r>
        <w:rPr>
          <w:rFonts w:hint="eastAsia" w:asciiTheme="minorEastAsia" w:hAnsiTheme="minorEastAsia" w:cstheme="minorEastAsia"/>
          <w:sz w:val="24"/>
          <w:szCs w:val="28"/>
          <w:highlight w:val="none"/>
        </w:rPr>
        <w:t>参数条款</w:t>
      </w:r>
      <w:r>
        <w:rPr>
          <w:rFonts w:hint="eastAsia" w:asciiTheme="minorEastAsia" w:hAnsiTheme="minorEastAsia" w:cstheme="minorEastAsia"/>
          <w:sz w:val="24"/>
          <w:szCs w:val="28"/>
          <w:highlight w:val="none"/>
          <w:lang w:eastAsia="zh-CN"/>
        </w:rPr>
        <w:t>，</w:t>
      </w:r>
      <w:r>
        <w:rPr>
          <w:rFonts w:hint="eastAsia" w:asciiTheme="minorEastAsia" w:hAnsiTheme="minorEastAsia" w:cstheme="minorEastAsia"/>
          <w:sz w:val="24"/>
          <w:szCs w:val="28"/>
          <w:highlight w:val="none"/>
          <w:lang w:val="en-US" w:eastAsia="zh-CN"/>
        </w:rPr>
        <w:t>一项</w:t>
      </w:r>
      <w:r>
        <w:rPr>
          <w:rFonts w:hint="eastAsia" w:asciiTheme="minorEastAsia" w:hAnsiTheme="minorEastAsia" w:cstheme="minorEastAsia"/>
          <w:sz w:val="24"/>
          <w:szCs w:val="28"/>
          <w:highlight w:val="none"/>
          <w:lang w:eastAsia="zh-CN"/>
        </w:rPr>
        <w:t>不满足则按无效谈判文件处理</w:t>
      </w:r>
      <w:r>
        <w:rPr>
          <w:rFonts w:hint="eastAsia" w:asciiTheme="minorEastAsia" w:hAnsiTheme="minorEastAsia" w:cstheme="minorEastAsia"/>
          <w:sz w:val="24"/>
          <w:szCs w:val="28"/>
          <w:highlight w:val="none"/>
          <w:lang w:val="en-US" w:eastAsia="zh-CN"/>
        </w:rPr>
        <w:t>。</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2.供应商应在“第</w:t>
      </w:r>
      <w:r>
        <w:rPr>
          <w:rFonts w:hint="eastAsia" w:asciiTheme="minorEastAsia" w:hAnsiTheme="minorEastAsia" w:cstheme="minorEastAsia"/>
          <w:sz w:val="24"/>
          <w:szCs w:val="28"/>
          <w:lang w:eastAsia="zh-CN"/>
        </w:rPr>
        <w:t>五</w:t>
      </w:r>
      <w:r>
        <w:rPr>
          <w:rFonts w:hint="eastAsia" w:asciiTheme="minorEastAsia" w:hAnsiTheme="minorEastAsia" w:cstheme="minorEastAsia"/>
          <w:sz w:val="24"/>
          <w:szCs w:val="28"/>
        </w:rPr>
        <w:t>章 商务和技术响应偏离表”中响应采购要求并注明其未响应的偏离。如响应的技术规格低于谈判文件要求为偏离；技术规格高于谈判文件要求的不考虑降低评标价格。</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3.响应文件未按谈判文件要求响应的，视同不满足采购条款要求。</w:t>
      </w:r>
    </w:p>
    <w:p>
      <w:pPr>
        <w:spacing w:line="360" w:lineRule="auto"/>
        <w:rPr>
          <w:rFonts w:asciiTheme="minorEastAsia" w:hAnsiTheme="minorEastAsia" w:cstheme="minorEastAsia"/>
          <w:sz w:val="24"/>
          <w:szCs w:val="28"/>
        </w:rPr>
      </w:pPr>
      <w:r>
        <w:rPr>
          <w:rFonts w:hint="eastAsia" w:asciiTheme="minorEastAsia" w:hAnsiTheme="minorEastAsia" w:cstheme="minorEastAsia"/>
          <w:sz w:val="24"/>
          <w:szCs w:val="28"/>
        </w:rPr>
        <w:t>4.如发现供应商所响应实际技术参数与响应文件中描述的技术参数不相符合，将视该项技术响应为不接受。</w:t>
      </w:r>
    </w:p>
    <w:p>
      <w:pPr>
        <w:pStyle w:val="3"/>
        <w:pageBreakBefore/>
        <w:rPr>
          <w:rFonts w:ascii="宋体" w:hAnsi="宋体" w:cs="宋体"/>
        </w:rPr>
      </w:pPr>
      <w:bookmarkStart w:id="70" w:name="_Toc5034"/>
      <w:r>
        <w:rPr>
          <w:rFonts w:hint="eastAsia" w:ascii="宋体" w:hAnsi="宋体" w:cs="宋体"/>
        </w:rPr>
        <w:t>第五部分 采购要求</w:t>
      </w:r>
      <w:bookmarkEnd w:id="70"/>
    </w:p>
    <w:p>
      <w:pPr>
        <w:spacing w:line="360" w:lineRule="auto"/>
        <w:rPr>
          <w:rFonts w:ascii="宋体" w:hAnsi="宋体" w:cs="宋体"/>
          <w:b/>
          <w:sz w:val="24"/>
          <w:szCs w:val="24"/>
        </w:rPr>
      </w:pPr>
      <w:r>
        <w:rPr>
          <w:rFonts w:hint="eastAsia" w:ascii="宋体" w:hAnsi="宋体" w:cs="宋体"/>
          <w:b/>
          <w:sz w:val="24"/>
          <w:szCs w:val="24"/>
        </w:rPr>
        <w:t>一、商务要求</w:t>
      </w:r>
    </w:p>
    <w:p>
      <w:pPr>
        <w:spacing w:line="360" w:lineRule="auto"/>
        <w:ind w:right="57" w:rightChars="27" w:firstLine="480" w:firstLineChars="200"/>
        <w:rPr>
          <w:rFonts w:hint="eastAsia" w:asciiTheme="minorEastAsia" w:hAnsiTheme="minorEastAsia" w:cstheme="minorEastAsia"/>
          <w:bCs/>
          <w:sz w:val="24"/>
          <w:szCs w:val="24"/>
          <w:highlight w:val="none"/>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、项</w:t>
      </w:r>
      <w:r>
        <w:rPr>
          <w:rFonts w:hint="eastAsia" w:asciiTheme="minorEastAsia" w:hAnsiTheme="minorEastAsia" w:cstheme="minorEastAsia"/>
          <w:bCs/>
          <w:sz w:val="24"/>
          <w:szCs w:val="24"/>
          <w:highlight w:val="none"/>
          <w:lang w:eastAsia="zh-CN"/>
        </w:rPr>
        <w:t>目名称</w:t>
      </w:r>
      <w:r>
        <w:rPr>
          <w:rFonts w:hint="eastAsia" w:asciiTheme="minorEastAsia" w:hAnsiTheme="minorEastAsia" w:cstheme="minorEastAsia"/>
          <w:bCs/>
          <w:sz w:val="24"/>
          <w:szCs w:val="24"/>
          <w:highlight w:val="none"/>
        </w:rPr>
        <w:t>：</w:t>
      </w:r>
      <w:r>
        <w:rPr>
          <w:rFonts w:hint="eastAsia" w:asciiTheme="minorEastAsia" w:hAnsiTheme="minorEastAsia" w:cstheme="minorEastAsia"/>
          <w:bCs/>
          <w:sz w:val="24"/>
          <w:szCs w:val="24"/>
          <w:highlight w:val="none"/>
          <w:lang w:eastAsia="zh-CN"/>
        </w:rPr>
        <w:t>西安市长安区医院血栓抽吸控制系统采购项目</w:t>
      </w:r>
      <w:r>
        <w:rPr>
          <w:rFonts w:hint="eastAsia" w:asciiTheme="minorEastAsia" w:hAnsiTheme="minorEastAsia" w:cstheme="minorEastAsia"/>
          <w:bCs/>
          <w:sz w:val="24"/>
          <w:szCs w:val="24"/>
          <w:highlight w:val="none"/>
        </w:rPr>
        <w:t xml:space="preserve">        </w:t>
      </w:r>
    </w:p>
    <w:p>
      <w:pPr>
        <w:tabs>
          <w:tab w:val="left" w:pos="420"/>
        </w:tabs>
        <w:spacing w:line="360" w:lineRule="auto"/>
        <w:ind w:firstLine="48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lang w:val="en-US" w:eastAsia="zh-CN"/>
        </w:rPr>
        <w:t>2、</w:t>
      </w:r>
      <w:r>
        <w:rPr>
          <w:rFonts w:hint="eastAsia" w:asciiTheme="minorEastAsia" w:hAnsiTheme="minorEastAsia" w:cstheme="minorEastAsia"/>
          <w:bCs/>
          <w:sz w:val="24"/>
          <w:szCs w:val="24"/>
          <w:highlight w:val="none"/>
        </w:rPr>
        <w:t>交货期</w:t>
      </w:r>
      <w:r>
        <w:rPr>
          <w:rFonts w:hint="eastAsia" w:asciiTheme="minorEastAsia" w:hAnsiTheme="minorEastAsia" w:cstheme="minorEastAsia"/>
          <w:bCs/>
          <w:sz w:val="24"/>
          <w:szCs w:val="24"/>
          <w:highlight w:val="none"/>
          <w:lang w:eastAsia="zh-CN"/>
        </w:rPr>
        <w:t>：自合同签订之日起</w:t>
      </w:r>
      <w:r>
        <w:rPr>
          <w:rFonts w:hint="eastAsia" w:asciiTheme="minorEastAsia" w:hAnsiTheme="minorEastAsia" w:cstheme="minorEastAsia"/>
          <w:bCs/>
          <w:sz w:val="24"/>
          <w:szCs w:val="24"/>
          <w:highlight w:val="none"/>
          <w:u w:val="single"/>
          <w:lang w:val="en-US" w:eastAsia="zh-CN"/>
        </w:rPr>
        <w:t xml:space="preserve"> 90 </w:t>
      </w:r>
      <w:r>
        <w:rPr>
          <w:rFonts w:hint="eastAsia" w:asciiTheme="minorEastAsia" w:hAnsiTheme="minorEastAsia" w:cstheme="minorEastAsia"/>
          <w:bCs/>
          <w:sz w:val="24"/>
          <w:szCs w:val="24"/>
          <w:highlight w:val="none"/>
          <w:lang w:val="en-US" w:eastAsia="zh-CN"/>
        </w:rPr>
        <w:t>日历日</w:t>
      </w:r>
      <w:r>
        <w:rPr>
          <w:rFonts w:hint="eastAsia" w:asciiTheme="minorEastAsia" w:hAnsiTheme="minorEastAsia" w:cstheme="minorEastAsia"/>
          <w:bCs/>
          <w:sz w:val="24"/>
          <w:szCs w:val="24"/>
          <w:highlight w:val="none"/>
        </w:rPr>
        <w:t>。</w:t>
      </w:r>
    </w:p>
    <w:p>
      <w:pPr>
        <w:widowControl/>
        <w:spacing w:line="360" w:lineRule="auto"/>
        <w:ind w:right="57" w:rightChars="27" w:firstLine="480" w:firstLineChars="200"/>
        <w:jc w:val="left"/>
        <w:rPr>
          <w:rFonts w:hint="eastAsia" w:ascii="宋体" w:hAnsi="宋体" w:eastAsia="宋体" w:cs="宋体"/>
          <w:b w:val="0"/>
          <w:bCs w:val="0"/>
          <w:kern w:val="0"/>
          <w:sz w:val="24"/>
          <w:szCs w:val="24"/>
          <w:highlight w:val="yellow"/>
          <w:lang w:val="en-US" w:eastAsia="zh-CN"/>
        </w:rPr>
      </w:pPr>
      <w:r>
        <w:rPr>
          <w:rFonts w:hint="eastAsia" w:asciiTheme="minorEastAsia" w:hAnsiTheme="minorEastAsia" w:cstheme="minorEastAsia"/>
          <w:bCs/>
          <w:sz w:val="24"/>
          <w:szCs w:val="24"/>
          <w:highlight w:val="none"/>
        </w:rPr>
        <w:t>3、</w:t>
      </w:r>
      <w:r>
        <w:rPr>
          <w:rFonts w:hint="eastAsia" w:ascii="宋体" w:hAnsi="宋体"/>
          <w:sz w:val="24"/>
          <w:szCs w:val="24"/>
          <w:highlight w:val="none"/>
        </w:rPr>
        <w:t>质保期</w:t>
      </w:r>
      <w:r>
        <w:rPr>
          <w:rFonts w:hint="eastAsia" w:ascii="宋体" w:hAnsi="宋体"/>
          <w:sz w:val="24"/>
          <w:szCs w:val="24"/>
          <w:highlight w:val="none"/>
          <w:lang w:eastAsia="zh-CN"/>
        </w:rPr>
        <w:t>：</w:t>
      </w:r>
      <w:r>
        <w:rPr>
          <w:rFonts w:hint="eastAsia" w:ascii="宋体" w:hAnsi="宋体" w:eastAsia="宋体" w:cs="宋体"/>
          <w:b w:val="0"/>
          <w:bCs w:val="0"/>
          <w:kern w:val="0"/>
          <w:sz w:val="24"/>
          <w:szCs w:val="24"/>
          <w:highlight w:val="none"/>
          <w:lang w:eastAsia="zh-CN"/>
        </w:rPr>
        <w:t>自验收合格后整机质保≥</w:t>
      </w:r>
      <w:r>
        <w:rPr>
          <w:rFonts w:hint="eastAsia" w:ascii="宋体" w:hAnsi="宋体" w:eastAsia="宋体" w:cs="宋体"/>
          <w:b w:val="0"/>
          <w:bCs w:val="0"/>
          <w:kern w:val="0"/>
          <w:sz w:val="24"/>
          <w:szCs w:val="24"/>
          <w:highlight w:val="none"/>
          <w:lang w:val="en-US" w:eastAsia="zh-CN"/>
        </w:rPr>
        <w:t>2年。</w:t>
      </w:r>
    </w:p>
    <w:p>
      <w:pPr>
        <w:widowControl/>
        <w:spacing w:line="360" w:lineRule="auto"/>
        <w:ind w:right="57" w:rightChars="27" w:firstLine="480" w:firstLineChars="200"/>
        <w:jc w:val="left"/>
        <w:rPr>
          <w:rFonts w:asciiTheme="minorEastAsia" w:hAnsiTheme="minorEastAsia" w:cstheme="minorEastAsia"/>
          <w:bCs/>
          <w:sz w:val="24"/>
          <w:szCs w:val="24"/>
        </w:rPr>
      </w:pPr>
      <w:r>
        <w:rPr>
          <w:rFonts w:hint="eastAsia" w:ascii="宋体" w:hAnsi="宋体"/>
          <w:sz w:val="24"/>
          <w:szCs w:val="24"/>
          <w:lang w:val="en-US" w:eastAsia="zh-CN"/>
        </w:rPr>
        <w:t>4</w:t>
      </w:r>
      <w:r>
        <w:rPr>
          <w:rFonts w:hint="eastAsia" w:ascii="宋体" w:hAnsi="宋体"/>
          <w:sz w:val="24"/>
          <w:szCs w:val="24"/>
        </w:rPr>
        <w:t>、</w:t>
      </w:r>
      <w:r>
        <w:rPr>
          <w:rFonts w:hint="eastAsia" w:asciiTheme="minorEastAsia" w:hAnsiTheme="minorEastAsia" w:cstheme="minorEastAsia"/>
          <w:bCs/>
          <w:sz w:val="24"/>
          <w:szCs w:val="24"/>
        </w:rPr>
        <w:t>交货地点：</w:t>
      </w:r>
      <w:r>
        <w:rPr>
          <w:rFonts w:hint="eastAsia" w:asciiTheme="minorEastAsia" w:hAnsiTheme="minorEastAsia" w:cstheme="minorEastAsia"/>
          <w:bCs/>
          <w:sz w:val="24"/>
          <w:szCs w:val="24"/>
          <w:lang w:eastAsia="zh-CN"/>
        </w:rPr>
        <w:t>西安市长安区医院</w:t>
      </w:r>
      <w:r>
        <w:rPr>
          <w:rFonts w:hint="eastAsia" w:asciiTheme="minorEastAsia" w:hAnsiTheme="minorEastAsia" w:cstheme="minorEastAsia"/>
          <w:bCs/>
          <w:sz w:val="24"/>
          <w:szCs w:val="24"/>
        </w:rPr>
        <w:t>指定地点；</w:t>
      </w:r>
    </w:p>
    <w:p>
      <w:pPr>
        <w:tabs>
          <w:tab w:val="left" w:pos="420"/>
        </w:tabs>
        <w:spacing w:line="360" w:lineRule="auto"/>
        <w:ind w:firstLine="480" w:firstLineChars="200"/>
        <w:rPr>
          <w:rFonts w:hint="default"/>
          <w:lang w:val="en-US" w:eastAsia="zh-CN"/>
        </w:rPr>
      </w:pPr>
      <w:r>
        <w:rPr>
          <w:rFonts w:hint="eastAsia" w:ascii="宋体" w:hAnsi="宋体" w:cs="宋体"/>
          <w:sz w:val="24"/>
          <w:szCs w:val="24"/>
          <w:lang w:val="en-US" w:eastAsia="zh-CN"/>
        </w:rPr>
        <w:t>5</w:t>
      </w:r>
      <w:r>
        <w:rPr>
          <w:rFonts w:hint="eastAsia" w:ascii="宋体" w:hAnsi="宋体" w:cs="宋体"/>
          <w:sz w:val="24"/>
          <w:szCs w:val="24"/>
        </w:rPr>
        <w:t>、其他商务要求：详见第六部分合同条款</w:t>
      </w:r>
      <w:r>
        <w:rPr>
          <w:rFonts w:hint="eastAsia" w:ascii="宋体" w:hAnsi="宋体" w:cs="宋体"/>
          <w:sz w:val="24"/>
          <w:szCs w:val="24"/>
          <w:lang w:eastAsia="zh-CN"/>
        </w:rPr>
        <w:t>；</w:t>
      </w:r>
    </w:p>
    <w:p>
      <w:pPr>
        <w:spacing w:line="360" w:lineRule="auto"/>
        <w:ind w:right="57" w:rightChars="27"/>
        <w:rPr>
          <w:rFonts w:hint="eastAsia" w:asciiTheme="minorEastAsia" w:hAnsiTheme="minorEastAsia" w:cstheme="minorEastAsia"/>
          <w:b/>
          <w:sz w:val="24"/>
          <w:szCs w:val="24"/>
        </w:rPr>
      </w:pPr>
      <w:bookmarkStart w:id="71" w:name="_Toc2234"/>
      <w:r>
        <w:rPr>
          <w:rFonts w:hint="eastAsia" w:asciiTheme="minorEastAsia" w:hAnsiTheme="minorEastAsia" w:cstheme="minorEastAsia"/>
          <w:b/>
          <w:sz w:val="24"/>
          <w:szCs w:val="24"/>
        </w:rPr>
        <w:t>二、采购内容及数量</w:t>
      </w:r>
    </w:p>
    <w:tbl>
      <w:tblPr>
        <w:tblStyle w:val="21"/>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血栓抽吸控制系统</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990000.00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b/>
                <w:bCs/>
                <w:kern w:val="0"/>
                <w:sz w:val="21"/>
                <w:szCs w:val="21"/>
                <w:highlight w:val="none"/>
                <w:lang w:val="en-US" w:eastAsia="zh-CN"/>
              </w:rPr>
              <w:t>最高限价：</w:t>
            </w:r>
            <w:r>
              <w:rPr>
                <w:rFonts w:hint="eastAsia" w:ascii="宋体" w:hAnsi="宋体" w:eastAsia="宋体" w:cs="宋体"/>
                <w:kern w:val="0"/>
                <w:sz w:val="21"/>
                <w:szCs w:val="21"/>
                <w:highlight w:val="none"/>
                <w:lang w:val="en-US" w:eastAsia="zh-CN"/>
              </w:rPr>
              <w:t>990000.00</w:t>
            </w:r>
            <w:r>
              <w:rPr>
                <w:rFonts w:hint="eastAsia" w:ascii="宋体" w:hAnsi="宋体" w:eastAsia="宋体" w:cs="宋体"/>
                <w:b/>
                <w:bCs/>
                <w:kern w:val="0"/>
                <w:sz w:val="21"/>
                <w:szCs w:val="21"/>
                <w:highlight w:val="none"/>
                <w:lang w:val="en-US" w:eastAsia="zh-CN"/>
              </w:rPr>
              <w:t>元</w:t>
            </w:r>
          </w:p>
        </w:tc>
      </w:tr>
    </w:tbl>
    <w:p>
      <w:pPr>
        <w:numPr>
          <w:ilvl w:val="0"/>
          <w:numId w:val="0"/>
        </w:numPr>
        <w:tabs>
          <w:tab w:val="left" w:pos="1470"/>
        </w:tabs>
        <w:spacing w:line="360" w:lineRule="auto"/>
        <w:ind w:right="57" w:rightChars="27"/>
        <w:rPr>
          <w:rFonts w:hint="eastAsia" w:asciiTheme="minorEastAsia" w:hAnsiTheme="minorEastAsia" w:cstheme="minorEastAsia"/>
          <w:b/>
          <w:sz w:val="24"/>
          <w:szCs w:val="24"/>
        </w:rPr>
      </w:pPr>
      <w:r>
        <w:rPr>
          <w:rFonts w:hint="eastAsia" w:asciiTheme="minorEastAsia" w:hAnsiTheme="minorEastAsia" w:cstheme="minorEastAsia"/>
          <w:b/>
          <w:sz w:val="24"/>
          <w:szCs w:val="24"/>
          <w:lang w:eastAsia="zh-CN"/>
        </w:rPr>
        <w:t>三、</w:t>
      </w:r>
      <w:r>
        <w:rPr>
          <w:rFonts w:hint="eastAsia" w:asciiTheme="minorEastAsia" w:hAnsiTheme="minorEastAsia" w:cstheme="minorEastAsia"/>
          <w:b/>
          <w:sz w:val="24"/>
          <w:szCs w:val="24"/>
        </w:rPr>
        <w:t xml:space="preserve">技术要求 </w:t>
      </w:r>
    </w:p>
    <w:p>
      <w:pPr>
        <w:pStyle w:val="2"/>
        <w:ind w:firstLine="562" w:firstLineChars="200"/>
        <w:rPr>
          <w:rFonts w:hint="eastAsia" w:eastAsia="宋体"/>
          <w:b/>
          <w:bCs/>
          <w:sz w:val="28"/>
          <w:szCs w:val="28"/>
          <w:lang w:val="en-US" w:eastAsia="zh-CN"/>
        </w:rPr>
      </w:pPr>
      <w:r>
        <w:rPr>
          <w:rFonts w:hint="eastAsia" w:eastAsia="宋体"/>
          <w:b/>
          <w:bCs/>
          <w:sz w:val="28"/>
          <w:szCs w:val="28"/>
          <w:lang w:val="en-US" w:eastAsia="zh-CN"/>
        </w:rPr>
        <w:t>血栓抽吸控制系统    数量1套</w:t>
      </w:r>
    </w:p>
    <w:tbl>
      <w:tblPr>
        <w:tblStyle w:val="20"/>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00" w:type="dxa"/>
            <w:gridSpan w:val="2"/>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hint="eastAsia" w:ascii="Times New Roman" w:hAnsi="Times New Roman" w:cs="Times New Roman" w:eastAsiaTheme="minorEastAsia"/>
                <w:kern w:val="0"/>
                <w:lang w:val="en-US" w:eastAsia="zh-CN"/>
              </w:rPr>
            </w:pPr>
            <w:r>
              <w:rPr>
                <w:rFonts w:hint="eastAsia" w:ascii="Times New Roman" w:hAnsi="Times New Roman" w:cs="Times New Roman"/>
                <w:kern w:val="0"/>
                <w:lang w:val="en-US" w:eastAsia="zh-CN"/>
              </w:rPr>
              <w:t>*提供“进”字号注册证</w:t>
            </w:r>
          </w:p>
        </w:tc>
        <w:tc>
          <w:tcPr>
            <w:tcW w:w="6323" w:type="dxa"/>
            <w:shd w:val="clear" w:color="auto" w:fill="auto"/>
          </w:tcPr>
          <w:p>
            <w:pPr>
              <w:autoSpaceDE w:val="0"/>
              <w:autoSpaceDN w:val="0"/>
              <w:adjustRightInd w:val="0"/>
              <w:jc w:val="left"/>
              <w:rPr>
                <w:rFonts w:ascii="Times New Roman" w:hAnsi="Times New Roman" w:cs="Times New Roman"/>
                <w:kern w:val="0"/>
              </w:rPr>
            </w:pPr>
            <w:r>
              <w:rPr>
                <w:rFonts w:hint="eastAsia" w:ascii="Times New Roman" w:hAnsi="Times New Roman" w:cs="Times New Roman"/>
                <w:kern w:val="0"/>
                <w:lang w:val="en-US" w:eastAsia="zh-CN"/>
              </w:rPr>
              <w:t>提供“进”字号注册证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备用电源</w:t>
            </w:r>
          </w:p>
        </w:tc>
        <w:tc>
          <w:tcPr>
            <w:tcW w:w="6323" w:type="dxa"/>
            <w:shd w:val="clear" w:color="auto" w:fill="auto"/>
          </w:tcPr>
          <w:p>
            <w:pPr>
              <w:autoSpaceDE w:val="0"/>
              <w:autoSpaceDN w:val="0"/>
              <w:adjustRightInd w:val="0"/>
              <w:jc w:val="left"/>
              <w:rPr>
                <w:rFonts w:hint="eastAsia" w:ascii="Times New Roman" w:hAnsi="Times New Roman" w:cs="Times New Roman" w:eastAsiaTheme="minorEastAsia"/>
                <w:kern w:val="0"/>
                <w:lang w:eastAsia="zh-CN"/>
              </w:rPr>
            </w:pPr>
            <w:r>
              <w:rPr>
                <w:rFonts w:ascii="Times New Roman" w:hAnsi="Times New Roman" w:cs="Times New Roman"/>
              </w:rPr>
              <w:t>电源中断</w:t>
            </w:r>
            <w:r>
              <w:rPr>
                <w:rFonts w:hint="eastAsia" w:ascii="Times New Roman" w:hAnsi="Times New Roman" w:cs="Times New Roman"/>
                <w:lang w:eastAsia="zh-CN"/>
              </w:rPr>
              <w:t>≥</w:t>
            </w:r>
            <w:r>
              <w:rPr>
                <w:rFonts w:ascii="Times New Roman" w:hAnsi="Times New Roman" w:cs="Times New Roman"/>
              </w:rPr>
              <w:t>60s</w:t>
            </w:r>
            <w:r>
              <w:rPr>
                <w:rFonts w:hint="eastAsia" w:ascii="Times New Roman" w:hAnsi="Times New Roman" w:cs="Times New Roman"/>
                <w:lang w:eastAsia="zh-CN"/>
              </w:rPr>
              <w:t>后，保证设备正常工作≥</w:t>
            </w:r>
            <w:r>
              <w:rPr>
                <w:rFonts w:hint="eastAsia" w:ascii="Times New Roman" w:hAnsi="Times New Roman" w:cs="Times New Roman"/>
                <w:lang w:val="en-US" w:eastAsia="zh-CN"/>
              </w:rPr>
              <w:t>60</w:t>
            </w:r>
            <w:r>
              <w:rPr>
                <w:rFonts w:ascii="Times New Roman" w:hAnsi="Times New Roman" w:cs="Times New Roma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机箱液体侵入保护</w:t>
            </w:r>
          </w:p>
        </w:tc>
        <w:tc>
          <w:tcPr>
            <w:tcW w:w="6323"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IPX1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脚踏开关液体侵入保护</w:t>
            </w:r>
          </w:p>
        </w:tc>
        <w:tc>
          <w:tcPr>
            <w:tcW w:w="6323"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IPX8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工作模式</w:t>
            </w:r>
          </w:p>
        </w:tc>
        <w:tc>
          <w:tcPr>
            <w:tcW w:w="6323" w:type="dxa"/>
            <w:shd w:val="clear" w:color="auto" w:fill="auto"/>
          </w:tcPr>
          <w:p>
            <w:pPr>
              <w:autoSpaceDE w:val="0"/>
              <w:autoSpaceDN w:val="0"/>
              <w:adjustRightInd w:val="0"/>
              <w:jc w:val="left"/>
              <w:rPr>
                <w:rFonts w:ascii="Times New Roman" w:hAnsi="Times New Roman" w:cs="Times New Roman"/>
                <w:kern w:val="0"/>
              </w:rPr>
            </w:pPr>
            <w:r>
              <w:rPr>
                <w:rFonts w:ascii="Times New Roman" w:hAnsi="Times New Roman" w:cs="Times New Roma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00" w:type="dxa"/>
            <w:gridSpan w:val="2"/>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ascii="Times New Roman" w:hAnsi="Times New Roman" w:cs="Times New Roman"/>
              </w:rPr>
              <w:t>性能</w:t>
            </w:r>
            <w:r>
              <w:rPr>
                <w:rFonts w:hint="eastAsia" w:ascii="Times New Roman" w:hAnsi="Times New Roman" w:cs="Times New Roman"/>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操作系统</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中</w:t>
            </w:r>
            <w:r>
              <w:rPr>
                <w:rFonts w:hint="eastAsia" w:ascii="Times New Roman" w:hAnsi="Times New Roman" w:cs="Times New Roman"/>
                <w:lang w:eastAsia="zh-CN"/>
              </w:rPr>
              <w:t>英</w:t>
            </w:r>
            <w:r>
              <w:rPr>
                <w:rFonts w:ascii="Times New Roman" w:hAnsi="Times New Roman" w:cs="Times New Roman"/>
              </w:rPr>
              <w:t>文操作系统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控制台自检</w:t>
            </w:r>
          </w:p>
        </w:tc>
        <w:tc>
          <w:tcPr>
            <w:tcW w:w="6323" w:type="dxa"/>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hint="eastAsia" w:ascii="Times New Roman" w:hAnsi="Times New Roman" w:cs="Times New Roman"/>
                <w:lang w:eastAsia="zh-CN"/>
              </w:rPr>
              <w:t>具有控制台自检功能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导管的识别</w:t>
            </w:r>
          </w:p>
        </w:tc>
        <w:tc>
          <w:tcPr>
            <w:tcW w:w="6323" w:type="dxa"/>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hint="eastAsia" w:ascii="Times New Roman" w:hAnsi="Times New Roman" w:cs="Times New Roman"/>
                <w:lang w:eastAsia="zh-CN"/>
              </w:rPr>
              <w:t>具有导管识别功能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警报和错误消息提示</w:t>
            </w:r>
          </w:p>
        </w:tc>
        <w:tc>
          <w:tcPr>
            <w:tcW w:w="6323"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eastAsia="zh-CN"/>
              </w:rPr>
              <w:t>具有警报和错误信息提示功能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控制面板显示功能</w:t>
            </w:r>
          </w:p>
        </w:tc>
        <w:tc>
          <w:tcPr>
            <w:tcW w:w="6323" w:type="dxa"/>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hint="eastAsia" w:ascii="Times New Roman" w:hAnsi="Times New Roman" w:cs="Times New Roman"/>
                <w:lang w:eastAsia="zh-CN"/>
              </w:rPr>
              <w:t>控制面板具有时间、容量、图标显示功能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气动系统</w:t>
            </w:r>
          </w:p>
        </w:tc>
        <w:tc>
          <w:tcPr>
            <w:tcW w:w="6323" w:type="dxa"/>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ascii="Times New Roman" w:hAnsi="Times New Roman" w:cs="Times New Roman"/>
              </w:rPr>
              <w:t>气动系统</w:t>
            </w:r>
            <w:r>
              <w:rPr>
                <w:rFonts w:hint="eastAsia" w:ascii="Times New Roman" w:hAnsi="Times New Roman" w:cs="Times New Roman"/>
                <w:lang w:eastAsia="zh-CN"/>
              </w:rPr>
              <w:t>采用滚动泵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脚踏式控制开关</w:t>
            </w:r>
          </w:p>
        </w:tc>
        <w:tc>
          <w:tcPr>
            <w:tcW w:w="6323"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eastAsia="zh-CN"/>
              </w:rPr>
              <w:t>具有</w:t>
            </w:r>
            <w:r>
              <w:rPr>
                <w:rFonts w:ascii="Times New Roman" w:hAnsi="Times New Roman" w:cs="Times New Roman"/>
              </w:rPr>
              <w:t>密封型脚踏开关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喷药模式切换</w:t>
            </w:r>
          </w:p>
        </w:tc>
        <w:tc>
          <w:tcPr>
            <w:tcW w:w="6323"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eastAsia="zh-CN"/>
              </w:rPr>
              <w:t>可</w:t>
            </w:r>
            <w:r>
              <w:rPr>
                <w:rFonts w:ascii="Times New Roman" w:hAnsi="Times New Roman" w:cs="Times New Roman"/>
              </w:rPr>
              <w:t>将导管抽吸模式切换为喷射溶栓药剂模式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val="en-US" w:eastAsia="zh-CN"/>
              </w:rPr>
              <w:t>*</w:t>
            </w:r>
            <w:r>
              <w:rPr>
                <w:rFonts w:hint="eastAsia" w:ascii="Times New Roman" w:hAnsi="Times New Roman" w:cs="Times New Roman"/>
                <w:lang w:eastAsia="zh-CN"/>
              </w:rPr>
              <w:t>具有</w:t>
            </w:r>
            <w:r>
              <w:rPr>
                <w:rFonts w:ascii="Times New Roman" w:hAnsi="Times New Roman" w:cs="Times New Roman"/>
              </w:rPr>
              <w:t>机械流变血栓抽吸技术</w:t>
            </w:r>
          </w:p>
        </w:tc>
        <w:tc>
          <w:tcPr>
            <w:tcW w:w="6323"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eastAsia="zh-CN"/>
              </w:rPr>
              <w:t>保证</w:t>
            </w:r>
            <w:r>
              <w:rPr>
                <w:rFonts w:ascii="Times New Roman" w:hAnsi="Times New Roman" w:cs="Times New Roman"/>
              </w:rPr>
              <w:t>失血量不大于吸出总液体量51%；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hint="eastAsia" w:ascii="Times New Roman" w:hAnsi="Times New Roman" w:cs="Times New Roman"/>
                <w:lang w:val="en-US" w:eastAsia="zh-CN"/>
              </w:rPr>
              <w:t>*</w:t>
            </w:r>
            <w:r>
              <w:rPr>
                <w:rFonts w:ascii="Times New Roman" w:hAnsi="Times New Roman" w:cs="Times New Roman"/>
              </w:rPr>
              <w:t>适用血管抽吸范围</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适用于2mm-20mm内径的动、静脉血管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00" w:type="dxa"/>
            <w:gridSpan w:val="2"/>
            <w:shd w:val="clear" w:color="auto" w:fill="auto"/>
          </w:tcPr>
          <w:p>
            <w:pPr>
              <w:autoSpaceDE w:val="0"/>
              <w:autoSpaceDN w:val="0"/>
              <w:adjustRightInd w:val="0"/>
              <w:jc w:val="left"/>
              <w:rPr>
                <w:rFonts w:hint="eastAsia" w:ascii="Times New Roman" w:hAnsi="Times New Roman" w:cs="Times New Roman" w:eastAsiaTheme="minorEastAsia"/>
                <w:lang w:eastAsia="zh-CN"/>
              </w:rPr>
            </w:pPr>
            <w:r>
              <w:rPr>
                <w:rFonts w:ascii="Times New Roman" w:hAnsi="Times New Roman" w:cs="Times New Roman"/>
              </w:rPr>
              <w:t>系统配置</w:t>
            </w:r>
            <w:r>
              <w:rPr>
                <w:rFonts w:hint="eastAsia" w:ascii="Times New Roman" w:hAnsi="Times New Roman" w:cs="Times New Roman"/>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控制台（带有万向轮）</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脚踏开关电线</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电源线</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7"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控制台操作与维修手册</w:t>
            </w:r>
          </w:p>
        </w:tc>
        <w:tc>
          <w:tcPr>
            <w:tcW w:w="6323" w:type="dxa"/>
            <w:shd w:val="clear" w:color="auto" w:fill="auto"/>
          </w:tcPr>
          <w:p>
            <w:pPr>
              <w:autoSpaceDE w:val="0"/>
              <w:autoSpaceDN w:val="0"/>
              <w:adjustRightInd w:val="0"/>
              <w:jc w:val="left"/>
              <w:rPr>
                <w:rFonts w:ascii="Times New Roman" w:hAnsi="Times New Roman" w:cs="Times New Roman"/>
              </w:rPr>
            </w:pPr>
            <w:r>
              <w:rPr>
                <w:rFonts w:ascii="Times New Roman" w:hAnsi="Times New Roman" w:cs="Times New Roman"/>
              </w:rPr>
              <w:t>一本</w:t>
            </w:r>
          </w:p>
        </w:tc>
      </w:tr>
    </w:tbl>
    <w:p>
      <w:pPr>
        <w:pStyle w:val="3"/>
        <w:pageBreakBefore/>
        <w:numPr>
          <w:ilvl w:val="0"/>
          <w:numId w:val="20"/>
        </w:numPr>
        <w:spacing w:before="319" w:beforeLines="100" w:after="478" w:afterLines="150" w:line="500" w:lineRule="exact"/>
        <w:jc w:val="center"/>
        <w:rPr>
          <w:rFonts w:hint="eastAsia" w:asciiTheme="minorEastAsia" w:hAnsiTheme="minorEastAsia" w:eastAsiaTheme="minorEastAsia" w:cstheme="minorEastAsia"/>
          <w:sz w:val="36"/>
          <w:szCs w:val="36"/>
        </w:rPr>
      </w:pPr>
      <w:bookmarkStart w:id="72" w:name="_Toc24248"/>
      <w:r>
        <w:rPr>
          <w:rFonts w:hint="eastAsia" w:asciiTheme="minorEastAsia" w:hAnsiTheme="minorEastAsia" w:eastAsiaTheme="minorEastAsia" w:cstheme="minorEastAsia"/>
          <w:sz w:val="36"/>
          <w:szCs w:val="36"/>
        </w:rPr>
        <w:t>合同条款</w:t>
      </w:r>
      <w:bookmarkEnd w:id="72"/>
    </w:p>
    <w:tbl>
      <w:tblPr>
        <w:tblStyle w:val="20"/>
        <w:tblpPr w:leftFromText="180" w:rightFromText="180" w:vertAnchor="text" w:horzAnchor="page" w:tblpX="1987" w:tblpY="3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noWrap w:val="0"/>
            <w:vAlign w:val="top"/>
          </w:tcPr>
          <w:p>
            <w:pPr>
              <w:rPr>
                <w:rFonts w:hint="eastAsia"/>
                <w:sz w:val="30"/>
                <w:szCs w:val="30"/>
              </w:rPr>
            </w:pPr>
            <w:r>
              <w:rPr>
                <w:rFonts w:hint="eastAsia" w:ascii="黑体" w:eastAsia="黑体"/>
                <w:b/>
                <w:sz w:val="32"/>
                <w:szCs w:val="32"/>
              </w:rPr>
              <w:t>院外</w:t>
            </w:r>
          </w:p>
        </w:tc>
      </w:tr>
    </w:tbl>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r>
        <w:rPr>
          <w:rFonts w:hint="eastAsia" w:ascii="黑体" w:eastAsia="黑体"/>
          <w:b/>
          <w:sz w:val="32"/>
          <w:szCs w:val="32"/>
        </w:rPr>
        <w:t xml:space="preserve">合同编号： </w:t>
      </w:r>
    </w:p>
    <w:p>
      <w:pPr>
        <w:jc w:val="center"/>
        <w:rPr>
          <w:rFonts w:hint="eastAsia" w:ascii="黑体" w:eastAsia="黑体"/>
          <w:sz w:val="52"/>
          <w:szCs w:val="52"/>
        </w:rPr>
      </w:pPr>
      <w:r>
        <w:rPr>
          <w:rFonts w:hint="eastAsia" w:ascii="黑体" w:eastAsia="黑体"/>
          <w:sz w:val="52"/>
          <w:szCs w:val="52"/>
        </w:rPr>
        <w:t xml:space="preserve">         </w:t>
      </w:r>
    </w:p>
    <w:p>
      <w:pPr>
        <w:ind w:firstLine="2405" w:firstLineChars="499"/>
        <w:rPr>
          <w:rFonts w:hint="eastAsia" w:ascii="宋体" w:hAnsi="宋体" w:eastAsiaTheme="minorEastAsia"/>
          <w:b/>
          <w:snapToGrid w:val="0"/>
          <w:sz w:val="48"/>
          <w:szCs w:val="48"/>
          <w:lang w:eastAsia="zh-CN"/>
        </w:rPr>
      </w:pPr>
      <w:r>
        <w:rPr>
          <w:rFonts w:hint="eastAsia" w:ascii="宋体" w:hAnsi="宋体"/>
          <w:b/>
          <w:snapToGrid w:val="0"/>
          <w:sz w:val="48"/>
          <w:szCs w:val="48"/>
          <w:lang w:eastAsia="zh-CN"/>
        </w:rPr>
        <w:t>西安市长安区医院</w:t>
      </w:r>
    </w:p>
    <w:p>
      <w:pPr>
        <w:rPr>
          <w:rFonts w:hint="eastAsia" w:ascii="宋体" w:hAnsi="宋体"/>
          <w:b/>
          <w:snapToGrid w:val="0"/>
          <w:sz w:val="40"/>
          <w:szCs w:val="48"/>
        </w:rPr>
      </w:pPr>
    </w:p>
    <w:p>
      <w:pPr>
        <w:jc w:val="center"/>
        <w:rPr>
          <w:rFonts w:hint="eastAsia" w:ascii="宋体" w:hAnsi="宋体"/>
          <w:b/>
          <w:snapToGrid w:val="0"/>
          <w:sz w:val="40"/>
          <w:szCs w:val="48"/>
        </w:rPr>
      </w:pPr>
      <w:r>
        <w:rPr>
          <w:rFonts w:hint="eastAsia" w:ascii="宋体" w:hAnsi="宋体"/>
          <w:b/>
          <w:snapToGrid w:val="0"/>
          <w:sz w:val="40"/>
          <w:szCs w:val="48"/>
        </w:rPr>
        <w:t xml:space="preserve"> （项目名称: ）</w:t>
      </w:r>
    </w:p>
    <w:p>
      <w:pPr>
        <w:pStyle w:val="42"/>
        <w:rPr>
          <w:rFonts w:hint="eastAsia" w:ascii="宋体" w:hAnsi="宋体"/>
          <w:b/>
          <w:snapToGrid w:val="0"/>
          <w:sz w:val="48"/>
          <w:szCs w:val="48"/>
        </w:rPr>
      </w:pPr>
    </w:p>
    <w:p>
      <w:pPr>
        <w:pStyle w:val="42"/>
        <w:rPr>
          <w:rFonts w:hint="eastAsia" w:ascii="宋体" w:hAnsi="宋体"/>
          <w:b/>
          <w:snapToGrid w:val="0"/>
          <w:sz w:val="48"/>
          <w:szCs w:val="48"/>
        </w:rPr>
      </w:pPr>
    </w:p>
    <w:p>
      <w:pPr>
        <w:jc w:val="center"/>
        <w:rPr>
          <w:rFonts w:hint="eastAsia"/>
          <w:sz w:val="40"/>
          <w:szCs w:val="40"/>
        </w:rPr>
      </w:pPr>
      <w:r>
        <w:rPr>
          <w:rFonts w:hint="eastAsia" w:ascii="黑体" w:eastAsia="黑体"/>
          <w:b/>
          <w:sz w:val="72"/>
          <w:szCs w:val="72"/>
        </w:rPr>
        <w:t>供 货 合 同</w:t>
      </w:r>
    </w:p>
    <w:p>
      <w:pPr>
        <w:jc w:val="center"/>
        <w:rPr>
          <w:rFonts w:hint="eastAsia" w:ascii="宋体" w:hAnsi="宋体"/>
          <w:b/>
          <w:snapToGrid w:val="0"/>
          <w:sz w:val="40"/>
          <w:szCs w:val="48"/>
        </w:rPr>
      </w:pPr>
      <w:r>
        <w:rPr>
          <w:rFonts w:hint="eastAsia" w:ascii="宋体" w:hAnsi="宋体"/>
          <w:b/>
          <w:snapToGrid w:val="0"/>
          <w:sz w:val="40"/>
          <w:szCs w:val="48"/>
        </w:rPr>
        <w:t>（项目编号: ）</w:t>
      </w:r>
    </w:p>
    <w:p>
      <w:pPr>
        <w:jc w:val="both"/>
        <w:rPr>
          <w:rFonts w:hint="eastAsia" w:ascii="黑体" w:eastAsia="黑体"/>
          <w:sz w:val="30"/>
          <w:szCs w:val="30"/>
        </w:rPr>
      </w:pPr>
    </w:p>
    <w:p>
      <w:pPr>
        <w:jc w:val="center"/>
        <w:rPr>
          <w:rFonts w:hint="eastAsia" w:ascii="黑体" w:eastAsia="黑体"/>
          <w:sz w:val="30"/>
          <w:szCs w:val="30"/>
        </w:rPr>
      </w:pPr>
    </w:p>
    <w:p>
      <w:pPr>
        <w:ind w:firstLine="2080" w:firstLineChars="650"/>
        <w:rPr>
          <w:rFonts w:hint="eastAsia" w:ascii="黑体" w:eastAsia="黑体"/>
          <w:sz w:val="32"/>
          <w:szCs w:val="32"/>
        </w:rPr>
      </w:pPr>
      <w:r>
        <w:rPr>
          <w:rFonts w:hint="eastAsia" w:ascii="黑体" w:eastAsia="黑体"/>
          <w:sz w:val="32"/>
          <w:szCs w:val="32"/>
        </w:rPr>
        <w:t xml:space="preserve">甲  方： </w:t>
      </w:r>
      <w:r>
        <w:rPr>
          <w:rFonts w:hint="eastAsia" w:ascii="黑体" w:eastAsia="黑体"/>
          <w:sz w:val="32"/>
          <w:szCs w:val="32"/>
          <w:lang w:eastAsia="zh-CN"/>
        </w:rPr>
        <w:t>西安市长安区医院</w:t>
      </w:r>
    </w:p>
    <w:p>
      <w:pPr>
        <w:tabs>
          <w:tab w:val="left" w:pos="480"/>
        </w:tabs>
        <w:ind w:firstLine="640" w:firstLineChars="200"/>
        <w:rPr>
          <w:rFonts w:hint="eastAsia" w:ascii="黑体" w:hAnsi="黑体" w:eastAsia="黑体"/>
          <w:sz w:val="32"/>
          <w:szCs w:val="32"/>
        </w:rPr>
      </w:pPr>
      <w:r>
        <w:rPr>
          <w:rFonts w:hint="eastAsia" w:ascii="黑体" w:eastAsia="黑体"/>
          <w:sz w:val="32"/>
          <w:szCs w:val="32"/>
        </w:rPr>
        <w:t xml:space="preserve">         </w:t>
      </w:r>
      <w:r>
        <w:rPr>
          <w:rFonts w:hint="eastAsia" w:ascii="黑体" w:hAnsi="黑体" w:eastAsia="黑体"/>
          <w:sz w:val="32"/>
          <w:szCs w:val="32"/>
        </w:rPr>
        <w:t xml:space="preserve">乙  方： </w:t>
      </w:r>
    </w:p>
    <w:p>
      <w:pPr>
        <w:rPr>
          <w:rFonts w:hint="eastAsia" w:ascii="黑体" w:eastAsia="黑体"/>
          <w:sz w:val="32"/>
          <w:szCs w:val="32"/>
        </w:rPr>
      </w:pPr>
      <w:r>
        <w:rPr>
          <w:rFonts w:hint="eastAsia" w:ascii="黑体" w:eastAsia="黑体"/>
          <w:sz w:val="32"/>
          <w:szCs w:val="32"/>
        </w:rPr>
        <w:t xml:space="preserve">             鉴证方：</w:t>
      </w:r>
    </w:p>
    <w:p>
      <w:pPr>
        <w:jc w:val="center"/>
        <w:rPr>
          <w:rFonts w:hint="eastAsia" w:ascii="黑体" w:eastAsia="黑体"/>
          <w:sz w:val="30"/>
          <w:szCs w:val="30"/>
        </w:rPr>
      </w:pPr>
    </w:p>
    <w:p>
      <w:pPr>
        <w:jc w:val="center"/>
        <w:rPr>
          <w:rFonts w:hint="eastAsia" w:ascii="黑体" w:eastAsia="黑体"/>
          <w:sz w:val="32"/>
          <w:szCs w:val="32"/>
        </w:rPr>
      </w:pPr>
      <w:r>
        <w:rPr>
          <w:rFonts w:hint="eastAsia" w:ascii="黑体" w:eastAsia="黑体"/>
          <w:sz w:val="32"/>
          <w:szCs w:val="32"/>
        </w:rPr>
        <w:t xml:space="preserve"> 年 月</w:t>
      </w:r>
    </w:p>
    <w:p>
      <w:pPr>
        <w:jc w:val="center"/>
        <w:rPr>
          <w:rFonts w:hint="eastAsia" w:ascii="黑体" w:eastAsia="黑体"/>
          <w:sz w:val="32"/>
          <w:szCs w:val="32"/>
        </w:rPr>
      </w:pPr>
      <w:r>
        <w:rPr>
          <w:rFonts w:hint="eastAsia" w:ascii="黑体" w:eastAsia="黑体"/>
          <w:sz w:val="32"/>
          <w:szCs w:val="32"/>
        </w:rPr>
        <w:t>中国  西安</w:t>
      </w:r>
    </w:p>
    <w:p>
      <w:pPr>
        <w:pStyle w:val="14"/>
        <w:tabs>
          <w:tab w:val="left" w:pos="510"/>
          <w:tab w:val="clear" w:pos="4153"/>
          <w:tab w:val="clear" w:pos="8306"/>
        </w:tabs>
        <w:rPr>
          <w:rFonts w:hint="eastAsia" w:ascii="宋体" w:hAnsi="宋体"/>
          <w:szCs w:val="21"/>
        </w:rPr>
      </w:pPr>
      <w:r>
        <w:tab/>
      </w:r>
    </w:p>
    <w:p>
      <w:pPr>
        <w:jc w:val="center"/>
        <w:rPr>
          <w:rFonts w:hint="eastAsia" w:ascii="黑体" w:eastAsia="黑体"/>
          <w:b/>
          <w:sz w:val="36"/>
          <w:szCs w:val="36"/>
        </w:rPr>
      </w:pPr>
      <w:r>
        <w:rPr>
          <w:rFonts w:hint="eastAsia" w:ascii="黑体" w:eastAsia="黑体"/>
          <w:b/>
          <w:sz w:val="36"/>
          <w:szCs w:val="36"/>
        </w:rPr>
        <w:t>供 货 合 同</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甲方： </w:t>
      </w:r>
      <w:r>
        <w:rPr>
          <w:rFonts w:hint="eastAsia" w:asciiTheme="minorEastAsia" w:hAnsiTheme="minorEastAsia" w:cstheme="minorEastAsia"/>
          <w:sz w:val="24"/>
          <w:szCs w:val="24"/>
          <w:lang w:eastAsia="zh-CN"/>
        </w:rPr>
        <w:t>西安市长安区医院</w:t>
      </w:r>
    </w:p>
    <w:p>
      <w:pPr>
        <w:keepNext w:val="0"/>
        <w:keepLines w:val="0"/>
        <w:widowControl w:val="0"/>
        <w:suppressLineNumbers w:val="0"/>
        <w:tabs>
          <w:tab w:val="left" w:pos="480"/>
        </w:tabs>
        <w:spacing w:before="0" w:beforeAutospacing="0" w:after="0" w:afterAutospacing="0" w:line="360" w:lineRule="auto"/>
        <w:ind w:right="0"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auto"/>
          <w:sz w:val="24"/>
          <w:szCs w:val="24"/>
        </w:rPr>
        <w:t>乙方：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鉴证方：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鉴证方就甲方所需货物，在西安市财政局政府采购管理处的监督管理下，按照政府采购程序组织</w:t>
      </w:r>
      <w:r>
        <w:rPr>
          <w:rFonts w:hint="eastAsia" w:asciiTheme="minorEastAsia" w:hAnsiTheme="minorEastAsia" w:cstheme="minorEastAsia"/>
          <w:sz w:val="24"/>
          <w:szCs w:val="24"/>
          <w:lang w:val="en-US" w:eastAsia="zh-CN"/>
        </w:rPr>
        <w:t>招标</w:t>
      </w:r>
      <w:r>
        <w:rPr>
          <w:rFonts w:hint="eastAsia" w:asciiTheme="minorEastAsia" w:hAnsiTheme="minorEastAsia" w:eastAsiaTheme="minorEastAsia" w:cstheme="minorEastAsia"/>
          <w:sz w:val="24"/>
          <w:szCs w:val="24"/>
        </w:rPr>
        <w:t>，确定乙方为</w:t>
      </w:r>
      <w:r>
        <w:rPr>
          <w:rFonts w:hint="eastAsia" w:asciiTheme="minorEastAsia" w:hAnsiTheme="minorEastAsia" w:cstheme="minorEastAsia"/>
          <w:sz w:val="24"/>
          <w:szCs w:val="24"/>
          <w:lang w:val="en-US" w:eastAsia="zh-CN"/>
        </w:rPr>
        <w:t>中标</w:t>
      </w:r>
      <w:r>
        <w:rPr>
          <w:rFonts w:hint="eastAsia" w:asciiTheme="minorEastAsia" w:hAnsiTheme="minorEastAsia" w:eastAsiaTheme="minorEastAsia" w:cstheme="minorEastAsia"/>
          <w:sz w:val="24"/>
          <w:szCs w:val="24"/>
        </w:rPr>
        <w:t>供应商。依据《中华人民共和国政府采购法》、《中华人民共和国招标投标法》、《中华人民共和</w:t>
      </w:r>
      <w:r>
        <w:rPr>
          <w:rFonts w:hint="eastAsia" w:asciiTheme="minorEastAsia" w:hAnsiTheme="minorEastAsia" w:eastAsiaTheme="minorEastAsia" w:cstheme="minorEastAsia"/>
          <w:color w:val="auto"/>
          <w:sz w:val="24"/>
          <w:szCs w:val="24"/>
        </w:rPr>
        <w:t>国</w:t>
      </w:r>
      <w:r>
        <w:rPr>
          <w:rFonts w:hint="eastAsia" w:asciiTheme="minorEastAsia" w:hAnsiTheme="minorEastAsia" w:eastAsiaTheme="minorEastAsia" w:cstheme="minorEastAsia"/>
          <w:color w:val="auto"/>
          <w:sz w:val="24"/>
          <w:szCs w:val="24"/>
          <w:lang w:val="en-US" w:eastAsia="zh-CN"/>
        </w:rPr>
        <w:t>民法典</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sz w:val="24"/>
          <w:szCs w:val="24"/>
        </w:rPr>
        <w:t>及</w:t>
      </w:r>
      <w:r>
        <w:rPr>
          <w:rFonts w:hint="eastAsia" w:asciiTheme="minorEastAsia" w:hAnsiTheme="minorEastAsia" w:cstheme="minorEastAsia"/>
          <w:sz w:val="24"/>
          <w:szCs w:val="24"/>
          <w:lang w:val="en-US" w:eastAsia="zh-CN"/>
        </w:rPr>
        <w:t>招标</w:t>
      </w:r>
      <w:r>
        <w:rPr>
          <w:rFonts w:hint="eastAsia" w:asciiTheme="minorEastAsia" w:hAnsiTheme="minorEastAsia" w:eastAsiaTheme="minorEastAsia" w:cstheme="minorEastAsia"/>
          <w:sz w:val="24"/>
          <w:szCs w:val="24"/>
        </w:rPr>
        <w:t>文件、</w:t>
      </w:r>
      <w:r>
        <w:rPr>
          <w:rFonts w:hint="eastAsia" w:asciiTheme="minorEastAsia" w:hAnsiTheme="minorEastAsia" w:cstheme="minorEastAsia"/>
          <w:sz w:val="24"/>
          <w:szCs w:val="24"/>
          <w:lang w:val="en-US" w:eastAsia="zh-CN"/>
        </w:rPr>
        <w:t>中标人投标文件</w:t>
      </w:r>
      <w:r>
        <w:rPr>
          <w:rFonts w:hint="eastAsia" w:asciiTheme="minorEastAsia" w:hAnsiTheme="minorEastAsia" w:eastAsiaTheme="minorEastAsia" w:cstheme="minorEastAsia"/>
          <w:sz w:val="24"/>
          <w:szCs w:val="24"/>
        </w:rPr>
        <w:t>正本和澄清表（函）、</w:t>
      </w:r>
      <w:r>
        <w:rPr>
          <w:rFonts w:hint="eastAsia" w:asciiTheme="minorEastAsia" w:hAnsiTheme="minorEastAsia" w:cstheme="minorEastAsia"/>
          <w:sz w:val="24"/>
          <w:szCs w:val="24"/>
          <w:lang w:val="en-US" w:eastAsia="zh-CN"/>
        </w:rPr>
        <w:t>中标</w:t>
      </w:r>
      <w:r>
        <w:rPr>
          <w:rFonts w:hint="eastAsia" w:asciiTheme="minorEastAsia" w:hAnsiTheme="minorEastAsia" w:eastAsiaTheme="minorEastAsia" w:cstheme="minorEastAsia"/>
          <w:sz w:val="24"/>
          <w:szCs w:val="24"/>
        </w:rPr>
        <w:t>通知书，经甲、乙双方协商，鉴证方确认，达成如下条款：</w:t>
      </w:r>
    </w:p>
    <w:p>
      <w:pPr>
        <w:tabs>
          <w:tab w:val="left" w:pos="480"/>
        </w:tabs>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一、合同标的物内容及数量</w:t>
      </w:r>
      <w:r>
        <w:rPr>
          <w:rFonts w:hint="eastAsia" w:asciiTheme="minorEastAsia" w:hAnsiTheme="minorEastAsia" w:eastAsiaTheme="minorEastAsia" w:cstheme="minorEastAsia"/>
          <w:sz w:val="24"/>
          <w:szCs w:val="24"/>
        </w:rPr>
        <w:t>（以谈判响应文件正本和澄清表〈函〉为准）</w:t>
      </w:r>
    </w:p>
    <w:tbl>
      <w:tblPr>
        <w:tblStyle w:val="20"/>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721"/>
        <w:gridCol w:w="1703"/>
        <w:gridCol w:w="932"/>
        <w:gridCol w:w="1130"/>
        <w:gridCol w:w="142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货物名称</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规格参数</w:t>
            </w:r>
          </w:p>
        </w:tc>
        <w:tc>
          <w:tcPr>
            <w:tcW w:w="932"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产地</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品牌</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c>
          <w:tcPr>
            <w:tcW w:w="8333"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附技术参数说明</w:t>
            </w:r>
          </w:p>
        </w:tc>
      </w:tr>
    </w:tbl>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二、合同价款</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（一）合同总价款为人民币（大写）</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（二）合同总价包括：货物费、运输费（含保险费）、安装调试费、检测验收费及其它费用。</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（三）合同总价一次性包死，不受市场价格变化因素的影响。</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三、款项结算</w:t>
      </w:r>
    </w:p>
    <w:p>
      <w:pPr>
        <w:pStyle w:val="14"/>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合同签订后支付成交价的30%，验收合格后支付成交价的70%</w:t>
      </w:r>
      <w:r>
        <w:rPr>
          <w:rFonts w:hint="eastAsia" w:asciiTheme="minorEastAsia" w:hAnsiTheme="minorEastAsia" w:eastAsiaTheme="minorEastAsia" w:cstheme="minorEastAsia"/>
          <w:sz w:val="24"/>
          <w:szCs w:val="24"/>
          <w:lang w:eastAsia="zh-CN"/>
        </w:rPr>
        <w:t>。</w:t>
      </w:r>
    </w:p>
    <w:p>
      <w:pPr>
        <w:pStyle w:val="1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付</w:t>
      </w:r>
      <w:r>
        <w:rPr>
          <w:rFonts w:hint="eastAsia" w:asciiTheme="minorEastAsia" w:hAnsiTheme="minorEastAsia" w:eastAsiaTheme="minorEastAsia" w:cstheme="minorEastAsia"/>
          <w:color w:val="auto"/>
          <w:sz w:val="24"/>
          <w:szCs w:val="24"/>
          <w:lang w:eastAsia="zh-CN"/>
        </w:rPr>
        <w:t>款</w:t>
      </w:r>
      <w:r>
        <w:rPr>
          <w:rFonts w:hint="eastAsia" w:asciiTheme="minorEastAsia" w:hAnsiTheme="minorEastAsia" w:eastAsiaTheme="minorEastAsia" w:cstheme="minorEastAsia"/>
          <w:color w:val="auto"/>
          <w:sz w:val="24"/>
          <w:szCs w:val="24"/>
        </w:rPr>
        <w:t>方</w:t>
      </w:r>
      <w:r>
        <w:rPr>
          <w:rFonts w:hint="eastAsia" w:asciiTheme="minorEastAsia" w:hAnsiTheme="minorEastAsia" w:eastAsiaTheme="minorEastAsia" w:cstheme="minorEastAsia"/>
          <w:sz w:val="24"/>
          <w:szCs w:val="24"/>
        </w:rPr>
        <w:t>式：</w:t>
      </w:r>
    </w:p>
    <w:p>
      <w:pPr>
        <w:spacing w:beforeLines="0" w:afterLines="0" w:line="360" w:lineRule="auto"/>
        <w:ind w:firstLine="482" w:firstLineChars="200"/>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通过银行转账方式将款项转入乙方银行账户。乙方银行账户信息如下：</w:t>
      </w:r>
    </w:p>
    <w:p>
      <w:pPr>
        <w:spacing w:beforeLines="0" w:afterLines="0" w:line="360" w:lineRule="auto"/>
        <w:ind w:firstLine="482" w:firstLineChars="200"/>
        <w:rPr>
          <w:rFonts w:hint="eastAsia" w:asciiTheme="minorEastAsia" w:hAnsiTheme="minorEastAsia" w:eastAsiaTheme="minorEastAsia" w:cstheme="minorEastAsia"/>
          <w:b/>
          <w:bCs/>
          <w:sz w:val="24"/>
          <w:szCs w:val="24"/>
          <w:u w:val="single"/>
          <w:lang w:val="zh-CN"/>
        </w:rPr>
      </w:pPr>
      <w:r>
        <w:rPr>
          <w:rFonts w:hint="eastAsia" w:asciiTheme="minorEastAsia" w:hAnsiTheme="minorEastAsia" w:eastAsiaTheme="minorEastAsia" w:cstheme="minorEastAsia"/>
          <w:b/>
          <w:bCs/>
          <w:sz w:val="24"/>
          <w:szCs w:val="24"/>
          <w:lang w:val="zh-CN"/>
        </w:rPr>
        <w:t>账户全称：</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u w:val="single"/>
          <w:lang w:val="zh-CN"/>
        </w:rPr>
        <w:t xml:space="preserve">     </w:t>
      </w:r>
    </w:p>
    <w:p>
      <w:pPr>
        <w:spacing w:beforeLines="0" w:afterLines="0" w:line="360" w:lineRule="auto"/>
        <w:ind w:firstLine="482" w:firstLineChars="200"/>
        <w:rPr>
          <w:rFonts w:hint="eastAsia" w:asciiTheme="minorEastAsia" w:hAnsiTheme="minorEastAsia" w:eastAsiaTheme="minorEastAsia" w:cstheme="minorEastAsia"/>
          <w:b/>
          <w:bCs/>
          <w:sz w:val="24"/>
          <w:szCs w:val="24"/>
          <w:u w:val="single"/>
          <w:lang w:val="zh-CN"/>
        </w:rPr>
      </w:pPr>
      <w:r>
        <w:rPr>
          <w:rFonts w:hint="eastAsia" w:asciiTheme="minorEastAsia" w:hAnsiTheme="minorEastAsia" w:eastAsiaTheme="minorEastAsia" w:cstheme="minorEastAsia"/>
          <w:b/>
          <w:bCs/>
          <w:sz w:val="24"/>
          <w:szCs w:val="24"/>
          <w:lang w:val="zh-CN"/>
        </w:rPr>
        <w:t>账    号：</w:t>
      </w:r>
    </w:p>
    <w:p>
      <w:pPr>
        <w:spacing w:beforeLines="0" w:afterLines="0" w:line="360" w:lineRule="auto"/>
        <w:ind w:firstLine="482" w:firstLineChars="200"/>
        <w:rPr>
          <w:rFonts w:hint="eastAsia" w:asciiTheme="minorEastAsia" w:hAnsiTheme="minorEastAsia" w:eastAsiaTheme="minorEastAsia" w:cstheme="minorEastAsia"/>
          <w:b/>
          <w:bCs/>
          <w:sz w:val="24"/>
          <w:szCs w:val="24"/>
          <w:u w:val="single"/>
          <w:lang w:val="zh-CN"/>
        </w:rPr>
      </w:pPr>
      <w:r>
        <w:rPr>
          <w:rFonts w:hint="eastAsia" w:asciiTheme="minorEastAsia" w:hAnsiTheme="minorEastAsia" w:eastAsiaTheme="minorEastAsia" w:cstheme="minorEastAsia"/>
          <w:b/>
          <w:bCs/>
          <w:sz w:val="24"/>
          <w:szCs w:val="24"/>
          <w:lang w:val="zh-CN"/>
        </w:rPr>
        <w:t>开 户 行：</w:t>
      </w:r>
      <w:r>
        <w:rPr>
          <w:rFonts w:hint="eastAsia" w:asciiTheme="minorEastAsia" w:hAnsiTheme="minorEastAsia" w:eastAsiaTheme="minorEastAsia" w:cstheme="minorEastAsia"/>
          <w:b/>
          <w:bCs/>
          <w:sz w:val="24"/>
          <w:szCs w:val="24"/>
          <w:u w:val="single"/>
          <w:lang w:val="zh-CN"/>
        </w:rPr>
        <w:t xml:space="preserve">              </w:t>
      </w:r>
    </w:p>
    <w:p>
      <w:pPr>
        <w:spacing w:beforeLines="0" w:afterLines="0" w:line="360" w:lineRule="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u w:val="single"/>
          <w:lang w:val="zh-CN"/>
        </w:rPr>
        <w:t>甲方仅认可上述指定账户并向该账户付款。否则甲方有权拒绝向指定账户之外的任何账户付款，并且由此导致的付款延迟责任由乙方承担。</w:t>
      </w:r>
    </w:p>
    <w:p>
      <w:pPr>
        <w:pStyle w:val="14"/>
        <w:spacing w:line="360" w:lineRule="auto"/>
        <w:ind w:firstLine="480" w:firstLineChars="200"/>
        <w:rPr>
          <w:rFonts w:hint="eastAsia" w:asciiTheme="minorEastAsia" w:hAnsiTheme="minorEastAsia" w:eastAsiaTheme="minorEastAsia" w:cstheme="minorEastAsia"/>
          <w:sz w:val="24"/>
          <w:szCs w:val="24"/>
          <w:lang w:eastAsia="zh-CN"/>
        </w:rPr>
      </w:pPr>
    </w:p>
    <w:p>
      <w:pPr>
        <w:pStyle w:val="14"/>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方要如实开具发票，不得变更开票内容，乙方开具发票出现税务争议时，乙方需承担税款、滞纳金、罚款等赔偿责任以及其他相关责任。</w:t>
      </w:r>
    </w:p>
    <w:p>
      <w:pPr>
        <w:tabs>
          <w:tab w:val="left" w:pos="480"/>
        </w:tabs>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（四）结算方式：验收合格后填写</w:t>
      </w:r>
      <w:r>
        <w:rPr>
          <w:rFonts w:hint="eastAsia" w:asciiTheme="minorEastAsia" w:hAnsiTheme="minorEastAsia" w:eastAsiaTheme="minorEastAsia" w:cstheme="minorEastAsia"/>
          <w:bCs/>
          <w:sz w:val="24"/>
          <w:szCs w:val="24"/>
        </w:rPr>
        <w:t>政府采购项目验收单（一式</w:t>
      </w:r>
      <w:r>
        <w:rPr>
          <w:rFonts w:hint="eastAsia" w:asciiTheme="minorEastAsia" w:hAnsiTheme="minorEastAsia" w:eastAsiaTheme="minorEastAsia" w:cstheme="minorEastAsia"/>
          <w:bCs/>
          <w:sz w:val="24"/>
          <w:szCs w:val="24"/>
          <w:lang w:eastAsia="zh-CN"/>
        </w:rPr>
        <w:t>两</w:t>
      </w:r>
      <w:r>
        <w:rPr>
          <w:rFonts w:hint="eastAsia" w:asciiTheme="minorEastAsia" w:hAnsiTheme="minorEastAsia" w:eastAsiaTheme="minorEastAsia" w:cstheme="minorEastAsia"/>
          <w:bCs/>
          <w:sz w:val="24"/>
          <w:szCs w:val="24"/>
        </w:rPr>
        <w:t>份）, 发票（按合同总价直开甲方）</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持中标通知书、供货合</w:t>
      </w:r>
      <w:r>
        <w:rPr>
          <w:rFonts w:hint="eastAsia" w:asciiTheme="minorEastAsia" w:hAnsiTheme="minorEastAsia" w:eastAsiaTheme="minorEastAsia" w:cstheme="minorEastAsia"/>
          <w:bCs/>
          <w:color w:val="auto"/>
          <w:sz w:val="24"/>
          <w:szCs w:val="24"/>
        </w:rPr>
        <w:t>同、发票</w:t>
      </w:r>
      <w:r>
        <w:rPr>
          <w:rFonts w:hint="eastAsia" w:asciiTheme="minorEastAsia" w:hAnsiTheme="minorEastAsia" w:eastAsiaTheme="minorEastAsia" w:cstheme="minorEastAsia"/>
          <w:bCs/>
          <w:color w:val="auto"/>
          <w:sz w:val="24"/>
          <w:szCs w:val="24"/>
          <w:lang w:val="en-US" w:eastAsia="zh-CN"/>
        </w:rPr>
        <w:t>及其复印件</w:t>
      </w:r>
      <w:r>
        <w:rPr>
          <w:rFonts w:hint="eastAsia" w:asciiTheme="minorEastAsia" w:hAnsiTheme="minorEastAsia" w:eastAsiaTheme="minorEastAsia" w:cstheme="minorEastAsia"/>
          <w:bCs/>
          <w:color w:val="auto"/>
          <w:sz w:val="24"/>
          <w:szCs w:val="24"/>
        </w:rPr>
        <w:t>、政</w:t>
      </w:r>
      <w:r>
        <w:rPr>
          <w:rFonts w:hint="eastAsia" w:asciiTheme="minorEastAsia" w:hAnsiTheme="minorEastAsia" w:eastAsiaTheme="minorEastAsia" w:cstheme="minorEastAsia"/>
          <w:bCs/>
          <w:sz w:val="24"/>
          <w:szCs w:val="24"/>
        </w:rPr>
        <w:t>府采购项目验收单，到甲方办理资金结算。</w:t>
      </w:r>
    </w:p>
    <w:p>
      <w:pPr>
        <w:tabs>
          <w:tab w:val="left" w:pos="480"/>
        </w:tabs>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w:t>
      </w:r>
      <w:r>
        <w:rPr>
          <w:rFonts w:hint="eastAsia" w:asciiTheme="minorEastAsia" w:hAnsiTheme="minorEastAsia" w:eastAsiaTheme="minorEastAsia" w:cstheme="minorEastAsia"/>
          <w:sz w:val="24"/>
          <w:szCs w:val="24"/>
        </w:rPr>
        <w:t>双方的权利和义务</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（一）甲方的权利和义务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甲方权利：组织使用单位严格按照招标文件及投标文件要求和标准验收货物。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甲方义务：积极配合乙方验收、安装、调试工作。</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（二）乙方的权利和义务</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乙方权利：按照合同约定要求甲方及时付款。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乙方义务：按照合同约定时间，按甲方指定地点提供货物，配合验收工作，并负责安装、调试、提供现场技术培训，保证使用人员正常操作设备的各种功能。</w:t>
      </w:r>
    </w:p>
    <w:p>
      <w:pPr>
        <w:tabs>
          <w:tab w:val="left" w:pos="480"/>
        </w:tabs>
        <w:spacing w:line="360" w:lineRule="auto"/>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五、交货条件：</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（一）交货地点：甲方指定地点。</w:t>
      </w:r>
    </w:p>
    <w:p>
      <w:pPr>
        <w:tabs>
          <w:tab w:val="left" w:pos="480"/>
        </w:tabs>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sz w:val="24"/>
          <w:szCs w:val="24"/>
        </w:rPr>
        <w:t>（二）交货期</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rPr>
        <w:t>自合同签订之日起</w:t>
      </w:r>
      <w:r>
        <w:rPr>
          <w:rFonts w:hint="eastAsia" w:asciiTheme="minorEastAsia" w:hAnsiTheme="minorEastAsia" w:cstheme="minorEastAsia"/>
          <w:b/>
          <w:bCs/>
          <w:color w:val="auto"/>
          <w:sz w:val="24"/>
          <w:szCs w:val="24"/>
          <w:u w:val="single"/>
          <w:lang w:val="en-US" w:eastAsia="zh-CN"/>
        </w:rPr>
        <w:t xml:space="preserve">  </w:t>
      </w:r>
      <w:r>
        <w:rPr>
          <w:rFonts w:hint="eastAsia" w:asciiTheme="minorEastAsia" w:hAnsiTheme="minorEastAsia" w:eastAsiaTheme="minorEastAsia" w:cstheme="minorEastAsia"/>
          <w:b/>
          <w:bCs/>
          <w:color w:val="auto"/>
          <w:sz w:val="24"/>
          <w:szCs w:val="24"/>
        </w:rPr>
        <w:t>个</w:t>
      </w:r>
      <w:r>
        <w:rPr>
          <w:rFonts w:hint="eastAsia" w:asciiTheme="minorEastAsia" w:hAnsiTheme="minorEastAsia" w:cstheme="minorEastAsia"/>
          <w:b/>
          <w:bCs/>
          <w:color w:val="auto"/>
          <w:sz w:val="24"/>
          <w:szCs w:val="24"/>
          <w:lang w:val="en-US" w:eastAsia="zh-CN"/>
        </w:rPr>
        <w:t>日历</w:t>
      </w:r>
      <w:r>
        <w:rPr>
          <w:rFonts w:hint="eastAsia" w:asciiTheme="minorEastAsia" w:hAnsiTheme="minorEastAsia" w:eastAsiaTheme="minorEastAsia" w:cstheme="minorEastAsia"/>
          <w:b/>
          <w:bCs/>
          <w:color w:val="auto"/>
          <w:sz w:val="24"/>
          <w:szCs w:val="24"/>
        </w:rPr>
        <w:t>日，完成货物的安装、调试并正常运行。</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六、运输</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（一）运输由乙方负责，运杂费已包含在合同总价内，包括从货物供应地点所含的运输费、装卸费、仓储费、保险费等。</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（二）运输方式由乙方自行选择，但必须保证按期交货。</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七、质量保证</w:t>
      </w:r>
    </w:p>
    <w:p>
      <w:pPr>
        <w:tabs>
          <w:tab w:val="left" w:pos="480"/>
        </w:tabs>
        <w:spacing w:line="360" w:lineRule="auto"/>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乙方所供货物必须执行下列条款：</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（一）保证技术指标先进、质量性能可靠、进货渠道正常，配置合理，全面满足谈判要求。</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（二）符合国家有关规范要求，确保达到最佳运行状态。</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（三）具有良好的外观，适合安装场所的使用。</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（四）自安装、调试正常运行并验收合格之日起：</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宋体" w:hAnsi="宋体" w:eastAsia="宋体" w:cs="宋体"/>
          <w:b w:val="0"/>
          <w:bCs w:val="0"/>
          <w:color w:val="auto"/>
          <w:kern w:val="0"/>
          <w:sz w:val="24"/>
          <w:szCs w:val="24"/>
          <w:lang w:val="en-US" w:eastAsia="zh-CN" w:bidi="ar-SA"/>
        </w:rPr>
        <w:t>投标设备原厂质保包修≥3年，</w:t>
      </w:r>
      <w:r>
        <w:rPr>
          <w:rFonts w:hint="eastAsia" w:ascii="宋体" w:hAnsi="宋体" w:eastAsia="宋体" w:cs="宋体"/>
          <w:b w:val="0"/>
          <w:bCs w:val="0"/>
          <w:sz w:val="24"/>
          <w:szCs w:val="24"/>
        </w:rPr>
        <w:t>软件终身免费升级</w:t>
      </w:r>
      <w:r>
        <w:rPr>
          <w:rFonts w:hint="eastAsia" w:ascii="宋体" w:hAnsi="宋体" w:eastAsia="宋体" w:cs="宋体"/>
          <w:b w:val="0"/>
          <w:bCs w:val="0"/>
          <w:sz w:val="24"/>
          <w:szCs w:val="24"/>
          <w:lang w:eastAsia="zh-CN"/>
        </w:rPr>
        <w:t>。</w:t>
      </w:r>
      <w:r>
        <w:rPr>
          <w:rFonts w:hint="eastAsia" w:ascii="宋体" w:hAnsi="宋体" w:eastAsia="宋体" w:cs="宋体"/>
          <w:b w:val="0"/>
          <w:bCs w:val="0"/>
          <w:color w:val="auto"/>
          <w:kern w:val="0"/>
          <w:sz w:val="24"/>
          <w:szCs w:val="24"/>
          <w:lang w:val="en-US" w:eastAsia="zh-CN" w:bidi="ar-SA"/>
        </w:rPr>
        <w:t>质保期内整机按照保养手册至少每季度保养一次，保证开机率≥95%。接到求助电话，2小时响应，24小时内到达现场明确解决方案，72小时内无法修复提供备用机。</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2、30天内，如出现质量问题，可以选择换货或退货；</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3、30至60天内，如出现质量问题，可选择换货。</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设备因产品质量或设计缺陷等问题，而发生的医疗差错或医疗纠纷而引起的经济责任及法律责任由乙方及生产厂商负全部责任，如果造成损失，由乙方赔偿甲方的全部损失包括直接损失和间接损失。包括给第三人（病人）造成人身损害、财产损失及其医院支出的</w:t>
      </w:r>
      <w:r>
        <w:rPr>
          <w:rFonts w:hint="eastAsia" w:asciiTheme="minorEastAsia" w:hAnsiTheme="minorEastAsia" w:eastAsiaTheme="minorEastAsia" w:cstheme="minorEastAsia"/>
          <w:color w:val="auto"/>
          <w:sz w:val="24"/>
          <w:szCs w:val="24"/>
        </w:rPr>
        <w:t>相关费用等），如在质保期内，甲方可以从质保金中直接扣除。</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八、售后服务</w:t>
      </w:r>
    </w:p>
    <w:p>
      <w:pPr>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乙方所供货物提供以下售后服务：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（一）质保期内：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1、发生质量问题，接到甲方通知后，应于当日派出专业的维修人员到现场进行检测维修，发生的全部费用由乙方承担，若需送回生产厂，乙方承担往返费用；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2、定期派技术人员到现场走访，给予检查维护；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3、排除故障的期限不得</w:t>
      </w:r>
      <w:r>
        <w:rPr>
          <w:rFonts w:hint="eastAsia" w:asciiTheme="minorEastAsia" w:hAnsiTheme="minorEastAsia" w:eastAsiaTheme="minorEastAsia" w:cstheme="minorEastAsia"/>
          <w:sz w:val="24"/>
          <w:szCs w:val="24"/>
          <w:highlight w:val="none"/>
        </w:rPr>
        <w:t>超过24</w:t>
      </w:r>
      <w:r>
        <w:rPr>
          <w:rFonts w:hint="eastAsia" w:asciiTheme="minorEastAsia" w:hAnsiTheme="minorEastAsia" w:eastAsiaTheme="minorEastAsia" w:cstheme="minorEastAsia"/>
          <w:sz w:val="24"/>
          <w:szCs w:val="24"/>
        </w:rPr>
        <w:t>小时。否则甲方有权指定第三方维修，维修费用由乙方承担。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（二）质保期结束前，进行系统测试，全面保养维护，确保正常运行。</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九、技术与服务</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（一）技术资料包括</w:t>
      </w:r>
      <w:r>
        <w:rPr>
          <w:rFonts w:hint="eastAsia" w:asciiTheme="minorEastAsia" w:hAnsiTheme="minorEastAsia" w:eastAsiaTheme="minorEastAsia" w:cstheme="minorEastAsia"/>
          <w:color w:val="FF0000"/>
          <w:sz w:val="24"/>
          <w:szCs w:val="24"/>
        </w:rPr>
        <w:t>：</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1、货物合格证；</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2、货物使用说明书（中文）；</w:t>
      </w:r>
    </w:p>
    <w:p>
      <w:pPr>
        <w:tabs>
          <w:tab w:val="left" w:pos="480"/>
        </w:tabs>
        <w:spacing w:line="360" w:lineRule="auto"/>
        <w:ind w:firstLine="480" w:firstLineChars="200"/>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eastAsiaTheme="minorEastAsia" w:cstheme="minorEastAsia"/>
          <w:sz w:val="24"/>
          <w:szCs w:val="24"/>
          <w:highlight w:val="none"/>
        </w:rPr>
        <w:t>3、检验测试报告；</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4、其它资料。</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（二）服务承诺：以响应文件、澄清表（函）、合同和随货物的相关文件为准。</w:t>
      </w:r>
    </w:p>
    <w:p>
      <w:pPr>
        <w:tabs>
          <w:tab w:val="left" w:pos="480"/>
        </w:tabs>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十、验收</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（一）货物到达甲方指定地点后，甲方根据合同要求，进行外观验收，确认产地、规格、型号和数量</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验收不作为产品质量合格的最终依据</w:t>
      </w:r>
      <w:r>
        <w:rPr>
          <w:rFonts w:hint="eastAsia" w:asciiTheme="minorEastAsia" w:hAnsiTheme="minorEastAsia" w:eastAsiaTheme="minorEastAsia" w:cstheme="minorEastAsia"/>
          <w:color w:val="auto"/>
          <w:sz w:val="24"/>
          <w:szCs w:val="24"/>
        </w:rPr>
        <w:t>。</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（二）货物安装、调试并正常运行后，由乙方进行自检，合格后，准备验收文件，并书面通知甲方。</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（三）甲方确认乙方的自检内容后，组织乙方（必要时请有关专家）进行</w:t>
      </w:r>
      <w:r>
        <w:rPr>
          <w:rFonts w:hint="eastAsia" w:asciiTheme="minorEastAsia" w:hAnsiTheme="minorEastAsia" w:cstheme="minorEastAsia"/>
          <w:sz w:val="24"/>
          <w:szCs w:val="24"/>
          <w:lang w:val="en-US" w:eastAsia="zh-CN"/>
        </w:rPr>
        <w:t>项目</w:t>
      </w:r>
      <w:r>
        <w:rPr>
          <w:rFonts w:hint="eastAsia" w:asciiTheme="minorEastAsia" w:hAnsiTheme="minorEastAsia" w:eastAsiaTheme="minorEastAsia" w:cstheme="minorEastAsia"/>
          <w:sz w:val="24"/>
          <w:szCs w:val="24"/>
        </w:rPr>
        <w:t>验收，验收合格后，填写</w:t>
      </w:r>
      <w:r>
        <w:rPr>
          <w:rFonts w:hint="eastAsia" w:asciiTheme="minorEastAsia" w:hAnsiTheme="minorEastAsia" w:eastAsiaTheme="minorEastAsia" w:cstheme="minorEastAsia"/>
          <w:bCs/>
          <w:sz w:val="24"/>
          <w:szCs w:val="24"/>
        </w:rPr>
        <w:t>政府采购项目验收单（一式叁份）</w:t>
      </w:r>
      <w:r>
        <w:rPr>
          <w:rFonts w:hint="eastAsia" w:asciiTheme="minorEastAsia" w:hAnsiTheme="minorEastAsia" w:eastAsiaTheme="minorEastAsia" w:cstheme="minorEastAsia"/>
          <w:sz w:val="24"/>
          <w:szCs w:val="24"/>
        </w:rPr>
        <w:t>作为对货物的最终认可。</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（四）乙方在验收中应向甲方提交货物安装，调试过程中的所有资料包括本合同第九条（一）项要求的资料，以便甲方日后管理和维护。</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（五）验收依据：</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招标</w:t>
      </w:r>
      <w:r>
        <w:rPr>
          <w:rFonts w:hint="eastAsia" w:asciiTheme="minorEastAsia" w:hAnsiTheme="minorEastAsia" w:eastAsiaTheme="minorEastAsia" w:cstheme="minorEastAsia"/>
          <w:sz w:val="24"/>
          <w:szCs w:val="24"/>
        </w:rPr>
        <w:t>文件、</w:t>
      </w:r>
      <w:r>
        <w:rPr>
          <w:rFonts w:hint="eastAsia" w:asciiTheme="minorEastAsia" w:hAnsiTheme="minorEastAsia" w:cstheme="minorEastAsia"/>
          <w:sz w:val="24"/>
          <w:szCs w:val="24"/>
          <w:lang w:val="en-US" w:eastAsia="zh-CN"/>
        </w:rPr>
        <w:t>投标</w:t>
      </w:r>
      <w:r>
        <w:rPr>
          <w:rFonts w:hint="eastAsia" w:asciiTheme="minorEastAsia" w:hAnsiTheme="minorEastAsia" w:eastAsiaTheme="minorEastAsia" w:cstheme="minorEastAsia"/>
          <w:sz w:val="24"/>
          <w:szCs w:val="24"/>
        </w:rPr>
        <w:t>文件、澄清表（函）；</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2、本合同及附件文本；</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3、国家相应的标准、规范。</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十一、违约责任</w:t>
      </w:r>
    </w:p>
    <w:p>
      <w:pPr>
        <w:tabs>
          <w:tab w:val="left" w:pos="4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（一）按《政府采购法》、</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民法典</w:t>
      </w:r>
      <w:r>
        <w:rPr>
          <w:rFonts w:hint="eastAsia" w:asciiTheme="minorEastAsia" w:hAnsiTheme="minorEastAsia" w:eastAsiaTheme="minorEastAsia" w:cstheme="minorEastAsia"/>
          <w:color w:val="auto"/>
          <w:sz w:val="24"/>
          <w:szCs w:val="24"/>
        </w:rPr>
        <w:t>》中的相关条款执行。</w:t>
      </w:r>
    </w:p>
    <w:p>
      <w:pPr>
        <w:tabs>
          <w:tab w:val="left" w:pos="4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（二）未按合同要求提供货物或质量不能满足谈判技术要求，乙方必须无条件更换，提高技术，完善质量，否则，甲方会同鉴证方有权终止合同，并对乙方的违约行为报监管机构进行相应的处罚。</w:t>
      </w:r>
    </w:p>
    <w:p>
      <w:pPr>
        <w:tabs>
          <w:tab w:val="left" w:pos="4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（三）交货期每超过一天，扣除乙方合同总价款的</w:t>
      </w:r>
      <w:r>
        <w:rPr>
          <w:rFonts w:hint="eastAsia" w:asciiTheme="minorEastAsia" w:hAnsiTheme="minorEastAsia" w:eastAsiaTheme="minorEastAsia" w:cstheme="minorEastAsia"/>
          <w:color w:val="auto"/>
          <w:sz w:val="24"/>
          <w:szCs w:val="24"/>
          <w:u w:val="single"/>
        </w:rPr>
        <w:t xml:space="preserve"> 1  </w:t>
      </w:r>
      <w:r>
        <w:rPr>
          <w:rFonts w:hint="eastAsia" w:asciiTheme="minorEastAsia" w:hAnsiTheme="minorEastAsia" w:eastAsiaTheme="minorEastAsia" w:cstheme="minorEastAsia"/>
          <w:color w:val="auto"/>
          <w:sz w:val="24"/>
          <w:szCs w:val="24"/>
        </w:rPr>
        <w:t>‰，作为违约金。</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color w:val="auto"/>
          <w:sz w:val="24"/>
          <w:szCs w:val="24"/>
        </w:rPr>
        <w:t>(四）如果乙方延期交货30天以上，则本合同解除。</w:t>
      </w:r>
      <w:r>
        <w:rPr>
          <w:rFonts w:hint="eastAsia" w:asciiTheme="minorEastAsia" w:hAnsiTheme="minorEastAsia" w:eastAsiaTheme="minorEastAsia" w:cstheme="minorEastAsia"/>
          <w:b w:val="0"/>
          <w:bCs w:val="0"/>
          <w:color w:val="auto"/>
          <w:sz w:val="24"/>
          <w:szCs w:val="24"/>
          <w:lang w:val="en-US" w:eastAsia="zh-CN"/>
        </w:rPr>
        <w:t>乙方违反合同约定</w:t>
      </w:r>
      <w:r>
        <w:rPr>
          <w:rFonts w:hint="eastAsia" w:asciiTheme="minorEastAsia" w:hAnsiTheme="minorEastAsia" w:eastAsiaTheme="minorEastAsia" w:cstheme="minorEastAsia"/>
          <w:b w:val="0"/>
          <w:bCs w:val="0"/>
          <w:color w:val="auto"/>
          <w:sz w:val="24"/>
          <w:szCs w:val="24"/>
        </w:rPr>
        <w:t>需赔偿</w:t>
      </w:r>
      <w:r>
        <w:rPr>
          <w:rFonts w:hint="eastAsia" w:asciiTheme="minorEastAsia" w:hAnsiTheme="minorEastAsia" w:eastAsiaTheme="minorEastAsia" w:cstheme="minorEastAsia"/>
          <w:b w:val="0"/>
          <w:bCs w:val="0"/>
          <w:sz w:val="24"/>
          <w:szCs w:val="24"/>
        </w:rPr>
        <w:t>甲方总价款的30%作为违约金。</w:t>
      </w:r>
    </w:p>
    <w:p>
      <w:pPr>
        <w:tabs>
          <w:tab w:val="left" w:pos="480"/>
        </w:tabs>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十二、合同争议解决的方式</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本合同在履行过程中发生的争议，由甲、乙双方当事人协商解决，协商不成的按下列第（ 二 ）种方式解决：</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（一）提交</w:t>
      </w:r>
      <w:r>
        <w:rPr>
          <w:rFonts w:hint="eastAsia" w:asciiTheme="minorEastAsia" w:hAnsiTheme="minorEastAsia" w:eastAsiaTheme="minorEastAsia" w:cstheme="minorEastAsia"/>
          <w:sz w:val="24"/>
          <w:szCs w:val="24"/>
          <w:u w:val="single"/>
        </w:rPr>
        <w:t xml:space="preserve">  西安</w:t>
      </w:r>
      <w:r>
        <w:rPr>
          <w:rFonts w:hint="eastAsia" w:asciiTheme="minorEastAsia" w:hAnsiTheme="minorEastAsia" w:eastAsiaTheme="minorEastAsia" w:cstheme="minorEastAsia"/>
          <w:sz w:val="24"/>
          <w:szCs w:val="24"/>
          <w:u w:val="single"/>
          <w:vertAlign w:val="subscript"/>
        </w:rPr>
        <w:t xml:space="preserve">   </w:t>
      </w:r>
      <w:r>
        <w:rPr>
          <w:rFonts w:hint="eastAsia" w:asciiTheme="minorEastAsia" w:hAnsiTheme="minorEastAsia" w:eastAsiaTheme="minorEastAsia" w:cstheme="minorEastAsia"/>
          <w:sz w:val="24"/>
          <w:szCs w:val="24"/>
        </w:rPr>
        <w:t>仲裁委员会仲裁；</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（二）依法向 </w:t>
      </w:r>
      <w:r>
        <w:rPr>
          <w:rFonts w:hint="eastAsia" w:asciiTheme="minorEastAsia" w:hAnsiTheme="minorEastAsia" w:eastAsiaTheme="minorEastAsia" w:cstheme="minorEastAsia"/>
          <w:sz w:val="24"/>
          <w:szCs w:val="24"/>
          <w:u w:val="single"/>
        </w:rPr>
        <w:t xml:space="preserve"> 甲方  </w:t>
      </w:r>
      <w:r>
        <w:rPr>
          <w:rFonts w:hint="eastAsia" w:asciiTheme="minorEastAsia" w:hAnsiTheme="minorEastAsia" w:eastAsiaTheme="minorEastAsia" w:cstheme="minorEastAsia"/>
          <w:sz w:val="24"/>
          <w:szCs w:val="24"/>
        </w:rPr>
        <w:t>所在地人民法院起诉。</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十三、合同生效</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本合同一式</w:t>
      </w:r>
      <w:r>
        <w:rPr>
          <w:rFonts w:hint="eastAsia" w:asciiTheme="minorEastAsia" w:hAnsiTheme="minorEastAsia" w:cstheme="minorEastAsia"/>
          <w:sz w:val="24"/>
          <w:szCs w:val="24"/>
          <w:lang w:val="en-US" w:eastAsia="zh-CN"/>
        </w:rPr>
        <w:t>玖</w:t>
      </w:r>
      <w:r>
        <w:rPr>
          <w:rFonts w:hint="eastAsia" w:asciiTheme="minorEastAsia" w:hAnsiTheme="minorEastAsia" w:eastAsiaTheme="minorEastAsia" w:cstheme="minorEastAsia"/>
          <w:sz w:val="24"/>
          <w:szCs w:val="24"/>
        </w:rPr>
        <w:t>份，甲方执</w:t>
      </w:r>
      <w:r>
        <w:rPr>
          <w:rFonts w:hint="eastAsia" w:asciiTheme="minorEastAsia" w:hAnsiTheme="minorEastAsia" w:eastAsiaTheme="minorEastAsia" w:cstheme="minorEastAsia"/>
          <w:sz w:val="24"/>
          <w:szCs w:val="24"/>
          <w:highlight w:val="none"/>
        </w:rPr>
        <w:t>叁份，乙方、鉴证方各执壹份，西安市财政局政府采购管理处备案贰份，本合同</w:t>
      </w:r>
      <w:r>
        <w:rPr>
          <w:rFonts w:hint="eastAsia" w:asciiTheme="minorEastAsia" w:hAnsiTheme="minorEastAsia" w:cstheme="minorEastAsia"/>
          <w:sz w:val="24"/>
          <w:szCs w:val="24"/>
          <w:highlight w:val="none"/>
          <w:lang w:val="en-US" w:eastAsia="zh-CN"/>
        </w:rPr>
        <w:t>经</w:t>
      </w:r>
      <w:r>
        <w:rPr>
          <w:rFonts w:hint="eastAsia" w:asciiTheme="minorEastAsia" w:hAnsiTheme="minorEastAsia" w:eastAsiaTheme="minorEastAsia" w:cstheme="minorEastAsia"/>
          <w:sz w:val="24"/>
          <w:szCs w:val="24"/>
          <w:highlight w:val="none"/>
        </w:rPr>
        <w:t>甲、乙</w:t>
      </w:r>
      <w:r>
        <w:rPr>
          <w:rFonts w:hint="eastAsia" w:asciiTheme="minorEastAsia" w:hAnsiTheme="minorEastAsia" w:cstheme="minorEastAsia"/>
          <w:sz w:val="24"/>
          <w:szCs w:val="24"/>
          <w:highlight w:val="none"/>
          <w:lang w:val="en-US" w:eastAsia="zh-CN"/>
        </w:rPr>
        <w:t>双方</w:t>
      </w:r>
      <w:r>
        <w:rPr>
          <w:rFonts w:hint="eastAsia" w:asciiTheme="minorEastAsia" w:hAnsiTheme="minorEastAsia" w:cstheme="minorEastAsia"/>
          <w:sz w:val="24"/>
          <w:szCs w:val="24"/>
          <w:lang w:val="en-US" w:eastAsia="zh-CN"/>
        </w:rPr>
        <w:t>及鉴证方</w:t>
      </w:r>
      <w:r>
        <w:rPr>
          <w:rFonts w:hint="eastAsia" w:asciiTheme="minorEastAsia" w:hAnsiTheme="minorEastAsia" w:eastAsiaTheme="minorEastAsia" w:cstheme="minorEastAsia"/>
          <w:sz w:val="24"/>
          <w:szCs w:val="24"/>
        </w:rPr>
        <w:t>签字盖章后生效，合同执行完毕后，自动失效（合同的服务承诺则长期有效）。</w:t>
      </w:r>
    </w:p>
    <w:p>
      <w:pPr>
        <w:tabs>
          <w:tab w:val="left" w:pos="480"/>
        </w:tabs>
        <w:spacing w:line="360" w:lineRule="auto"/>
        <w:ind w:firstLine="472" w:firstLineChars="19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十四、其他事项</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（一）鉴证方作为政府集中采购代理机构对合同进行确认。</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（二）西安市财政局政府采购管理处在合同的履行期间以及履行期后，可以随时检查项目的执行情况，对采购内容、标准进行调查核实，并对发现的问题进行处理。</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三</w:t>
      </w:r>
      <w:r>
        <w:rPr>
          <w:rFonts w:hint="eastAsia" w:asciiTheme="minorEastAsia" w:hAnsiTheme="minorEastAsia" w:eastAsiaTheme="minorEastAsia" w:cstheme="minorEastAsia"/>
          <w:sz w:val="24"/>
          <w:szCs w:val="24"/>
        </w:rPr>
        <w:t>）合同未尽事宜，由甲、乙双方协商，作为合同补充，与原合同具有同等法律效力。</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rPr>
        <w:t>）合同一经签订，不得擅自变更、中止或终止合同。对确需变更、调整或中止、终止合同的，应按规定履行相应的手续。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line="360" w:lineRule="auto"/>
        <w:ind w:right="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i w:val="0"/>
          <w:iCs w:val="0"/>
          <w:caps w:val="0"/>
          <w:color w:val="auto"/>
          <w:spacing w:val="0"/>
          <w:kern w:val="0"/>
          <w:sz w:val="24"/>
          <w:szCs w:val="24"/>
          <w:shd w:val="clear" w:color="auto" w:fill="FFFFFF"/>
          <w:lang w:val="en-US" w:eastAsia="zh-CN" w:bidi="ar"/>
        </w:rPr>
        <w:t>有下列情形之一的，甲方可以解除合同：（一）因不可抗力致使不能实现合同目的；（二）在履行期限届满之前，乙方明确表示或者以自己的行为表明不履行主要债务；（三）乙方迟延履行</w:t>
      </w:r>
      <w:r>
        <w:rPr>
          <w:rFonts w:hint="eastAsia" w:asciiTheme="minorEastAsia" w:hAnsiTheme="minorEastAsia" w:cstheme="minorEastAsia"/>
          <w:i w:val="0"/>
          <w:iCs w:val="0"/>
          <w:caps w:val="0"/>
          <w:color w:val="auto"/>
          <w:spacing w:val="0"/>
          <w:kern w:val="0"/>
          <w:sz w:val="24"/>
          <w:szCs w:val="24"/>
          <w:shd w:val="clear" w:color="auto" w:fill="FFFFFF"/>
          <w:lang w:val="en-US" w:eastAsia="zh-CN" w:bidi="ar"/>
        </w:rPr>
        <w:t>交付产品</w:t>
      </w:r>
      <w:r>
        <w:rPr>
          <w:rFonts w:hint="eastAsia" w:asciiTheme="minorEastAsia" w:hAnsiTheme="minorEastAsia" w:eastAsiaTheme="minorEastAsia" w:cstheme="minorEastAsia"/>
          <w:i w:val="0"/>
          <w:iCs w:val="0"/>
          <w:caps w:val="0"/>
          <w:color w:val="auto"/>
          <w:spacing w:val="0"/>
          <w:kern w:val="0"/>
          <w:sz w:val="24"/>
          <w:szCs w:val="24"/>
          <w:shd w:val="clear" w:color="auto" w:fill="FFFFFF"/>
          <w:lang w:val="en-US" w:eastAsia="zh-CN" w:bidi="ar"/>
        </w:rPr>
        <w:t>，经催告后在合理</w: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begin"/>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instrText xml:space="preserve"> HYPERLINK "http://www.so.com/s?q=%E6%9C%9F%E9%99%90&amp;ie=utf-8&amp;src=internal_wenda_recommend_textn" \t "https://wenda.so.com/q/_blank" </w:instrTex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separate"/>
      </w:r>
      <w:r>
        <w:rPr>
          <w:rStyle w:val="24"/>
          <w:rFonts w:hint="eastAsia" w:asciiTheme="minorEastAsia" w:hAnsiTheme="minorEastAsia" w:eastAsiaTheme="minorEastAsia" w:cstheme="minorEastAsia"/>
          <w:i w:val="0"/>
          <w:iCs w:val="0"/>
          <w:caps w:val="0"/>
          <w:color w:val="auto"/>
          <w:spacing w:val="0"/>
          <w:sz w:val="24"/>
          <w:szCs w:val="24"/>
          <w:u w:val="none"/>
          <w:shd w:val="clear" w:color="auto" w:fill="FFFFFF"/>
        </w:rPr>
        <w:t>期限</w: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end"/>
      </w:r>
      <w:r>
        <w:rPr>
          <w:rFonts w:hint="eastAsia" w:asciiTheme="minorEastAsia" w:hAnsiTheme="minorEastAsia" w:eastAsiaTheme="minorEastAsia" w:cstheme="minorEastAsia"/>
          <w:i w:val="0"/>
          <w:iCs w:val="0"/>
          <w:caps w:val="0"/>
          <w:color w:val="auto"/>
          <w:spacing w:val="0"/>
          <w:kern w:val="0"/>
          <w:sz w:val="24"/>
          <w:szCs w:val="24"/>
          <w:shd w:val="clear" w:color="auto" w:fill="FFFFFF"/>
          <w:lang w:val="en-US" w:eastAsia="zh-CN" w:bidi="ar"/>
        </w:rPr>
        <w:t>内仍未履行；（四）乙方有其他</w: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begin"/>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instrText xml:space="preserve"> HYPERLINK "http://www.so.com/s?q=%E8%BF%9D%E7%BA%A6%E8%A1%8C%E4%B8%BA&amp;ie=utf-8&amp;src=internal_wenda_recommend_textn" \t "https://wenda.so.com/q/_blank" </w:instrTex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separate"/>
      </w:r>
      <w:r>
        <w:rPr>
          <w:rStyle w:val="24"/>
          <w:rFonts w:hint="eastAsia" w:asciiTheme="minorEastAsia" w:hAnsiTheme="minorEastAsia" w:eastAsiaTheme="minorEastAsia" w:cstheme="minorEastAsia"/>
          <w:i w:val="0"/>
          <w:iCs w:val="0"/>
          <w:caps w:val="0"/>
          <w:color w:val="auto"/>
          <w:spacing w:val="0"/>
          <w:sz w:val="24"/>
          <w:szCs w:val="24"/>
          <w:u w:val="none"/>
          <w:shd w:val="clear" w:color="auto" w:fill="FFFFFF"/>
        </w:rPr>
        <w:t>违约行为</w:t>
      </w:r>
      <w:r>
        <w:rPr>
          <w:rFonts w:hint="eastAsia" w:asciiTheme="minorEastAsia" w:hAnsiTheme="minorEastAsia" w:eastAsiaTheme="minorEastAsia" w:cstheme="minorEastAsia"/>
          <w:i w:val="0"/>
          <w:iCs w:val="0"/>
          <w:caps w:val="0"/>
          <w:color w:val="auto"/>
          <w:spacing w:val="0"/>
          <w:kern w:val="0"/>
          <w:sz w:val="24"/>
          <w:szCs w:val="24"/>
          <w:u w:val="none"/>
          <w:shd w:val="clear" w:color="auto" w:fill="FFFFFF"/>
          <w:lang w:val="en-US" w:eastAsia="zh-CN" w:bidi="ar"/>
        </w:rPr>
        <w:fldChar w:fldCharType="end"/>
      </w:r>
      <w:r>
        <w:rPr>
          <w:rFonts w:hint="eastAsia" w:asciiTheme="minorEastAsia" w:hAnsiTheme="minorEastAsia" w:eastAsiaTheme="minorEastAsia" w:cstheme="minorEastAsia"/>
          <w:i w:val="0"/>
          <w:iCs w:val="0"/>
          <w:caps w:val="0"/>
          <w:color w:val="auto"/>
          <w:spacing w:val="0"/>
          <w:kern w:val="0"/>
          <w:sz w:val="24"/>
          <w:szCs w:val="24"/>
          <w:shd w:val="clear" w:color="auto" w:fill="FFFFFF"/>
          <w:lang w:val="en-US" w:eastAsia="zh-CN" w:bidi="ar"/>
        </w:rPr>
        <w:t>致使不能实现合同目的。</w:t>
      </w:r>
    </w:p>
    <w:p>
      <w:pPr>
        <w:tabs>
          <w:tab w:val="left" w:pos="480"/>
        </w:tabs>
        <w:spacing w:line="360" w:lineRule="auto"/>
        <w:ind w:firstLine="480" w:firstLineChars="200"/>
        <w:rPr>
          <w:rFonts w:hint="eastAsia" w:asciiTheme="minorEastAsia" w:hAnsiTheme="minorEastAsia" w:eastAsiaTheme="minorEastAsia" w:cstheme="minorEastAsia"/>
          <w:color w:val="auto"/>
          <w:sz w:val="24"/>
          <w:szCs w:val="24"/>
        </w:rPr>
      </w:pPr>
    </w:p>
    <w:p>
      <w:pPr>
        <w:tabs>
          <w:tab w:val="left" w:pos="4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合同所涉及通知的形式：包含书面通知，电话，短信，微信，邮箱等由双方联系人确定。</w:t>
      </w:r>
    </w:p>
    <w:p>
      <w:pPr>
        <w:tabs>
          <w:tab w:val="left" w:pos="480"/>
        </w:tabs>
        <w:spacing w:line="360" w:lineRule="auto"/>
        <w:ind w:firstLine="480" w:firstLineChars="200"/>
        <w:rPr>
          <w:rFonts w:hint="eastAsia" w:asciiTheme="minorEastAsia" w:hAnsiTheme="minorEastAsia" w:eastAsiaTheme="minorEastAsia" w:cstheme="minorEastAsia"/>
          <w:sz w:val="24"/>
          <w:szCs w:val="24"/>
          <w:lang w:eastAsia="zh-CN"/>
        </w:rPr>
      </w:pPr>
    </w:p>
    <w:p>
      <w:pPr>
        <w:tabs>
          <w:tab w:val="left" w:pos="48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本合同按照中华人民共和国的现行法律进行解释。</w:t>
      </w: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  方（法人公章）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乙  方（法人公章）</w:t>
      </w:r>
    </w:p>
    <w:p>
      <w:pPr>
        <w:spacing w:before="40" w:beforeLines="0" w:afterLines="0" w:line="360" w:lineRule="auto"/>
        <w:jc w:val="left"/>
        <w:rPr>
          <w:rFonts w:hint="eastAsia" w:asciiTheme="minorEastAsia" w:hAnsiTheme="minorEastAsia" w:eastAsiaTheme="minorEastAsia" w:cstheme="minorEastAsia"/>
          <w:color w:val="000000"/>
          <w:position w:val="20"/>
          <w:sz w:val="24"/>
          <w:szCs w:val="24"/>
          <w:lang w:val="en-US" w:eastAsia="zh-CN"/>
        </w:rPr>
      </w:pPr>
      <w:r>
        <w:rPr>
          <w:rFonts w:hint="eastAsia" w:asciiTheme="minorEastAsia" w:hAnsiTheme="minorEastAsia" w:eastAsiaTheme="minorEastAsia" w:cstheme="minorEastAsia"/>
          <w:sz w:val="24"/>
          <w:szCs w:val="24"/>
        </w:rPr>
        <w:t>单位名称：</w:t>
      </w:r>
      <w:r>
        <w:rPr>
          <w:rFonts w:hint="eastAsia" w:asciiTheme="minorEastAsia" w:hAnsiTheme="minorEastAsia" w:cstheme="minorEastAsia"/>
          <w:sz w:val="24"/>
          <w:szCs w:val="24"/>
          <w:lang w:eastAsia="zh-CN"/>
        </w:rPr>
        <w:t>西安市长安区医院</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单位名称：</w:t>
      </w:r>
      <w:r>
        <w:rPr>
          <w:rFonts w:hint="eastAsia" w:asciiTheme="minorEastAsia" w:hAnsiTheme="minorEastAsia" w:eastAsiaTheme="minorEastAsia" w:cstheme="minorEastAsia"/>
          <w:sz w:val="24"/>
          <w:szCs w:val="24"/>
          <w:lang w:val="en-US" w:eastAsia="zh-CN"/>
        </w:rPr>
        <w:t xml:space="preserve">  </w:t>
      </w:r>
    </w:p>
    <w:p>
      <w:pPr>
        <w:spacing w:beforeLines="0" w:afterLines="0" w:line="360" w:lineRule="auto"/>
        <w:jc w:val="left"/>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sz w:val="24"/>
          <w:szCs w:val="24"/>
        </w:rPr>
        <w:t>地  址：西安市长安区郭杜街道文苑中路120号    地  址：</w:t>
      </w:r>
    </w:p>
    <w:p>
      <w:pPr>
        <w:tabs>
          <w:tab w:val="left" w:pos="480"/>
        </w:tabs>
        <w:spacing w:line="360" w:lineRule="auto"/>
        <w:rPr>
          <w:rFonts w:hint="eastAsia" w:asciiTheme="minorEastAsia" w:hAnsiTheme="minorEastAsia" w:eastAsiaTheme="minorEastAsia" w:cstheme="minorEastAsia"/>
          <w:sz w:val="24"/>
          <w:szCs w:val="24"/>
        </w:rPr>
      </w:pP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经办人：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经办人：                                </w:t>
      </w:r>
    </w:p>
    <w:p>
      <w:pPr>
        <w:tabs>
          <w:tab w:val="left" w:pos="480"/>
        </w:tabs>
        <w:spacing w:line="360" w:lineRule="auto"/>
        <w:rPr>
          <w:rFonts w:hint="eastAsia" w:asciiTheme="minorEastAsia" w:hAnsiTheme="minorEastAsia" w:eastAsiaTheme="minorEastAsia" w:cstheme="minorEastAsia"/>
          <w:sz w:val="24"/>
          <w:szCs w:val="24"/>
        </w:rPr>
      </w:pP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主管院长：                                </w:t>
      </w: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tabs>
          <w:tab w:val="left" w:pos="480"/>
        </w:tabs>
        <w:suppressAutoHyphens/>
        <w:spacing w:line="360" w:lineRule="auto"/>
        <w:ind w:left="4410" w:hanging="5040" w:hangingChars="2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法定代表人（签字或盖章）：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法定代表人（签字或盖章）：                                                          </w:t>
      </w:r>
    </w:p>
    <w:p>
      <w:pPr>
        <w:tabs>
          <w:tab w:val="left" w:pos="480"/>
        </w:tabs>
        <w:suppressAutoHyphens/>
        <w:spacing w:line="360" w:lineRule="auto"/>
        <w:ind w:firstLine="5520" w:firstLineChars="2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p>
      <w:pPr>
        <w:tabs>
          <w:tab w:val="left" w:pos="480"/>
        </w:tabs>
        <w:spacing w:line="360" w:lineRule="auto"/>
        <w:ind w:firstLine="5520" w:firstLineChars="2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帐  号：       </w:t>
      </w: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签订日期：20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 xml:space="preserve"> 年  月  日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签订日期：20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年  月  日</w:t>
      </w:r>
    </w:p>
    <w:p>
      <w:pPr>
        <w:tabs>
          <w:tab w:val="left" w:pos="480"/>
        </w:tabs>
        <w:spacing w:line="360" w:lineRule="auto"/>
        <w:rPr>
          <w:rFonts w:hint="eastAsia" w:asciiTheme="minorEastAsia" w:hAnsiTheme="minorEastAsia" w:eastAsiaTheme="minorEastAsia" w:cstheme="minorEastAsia"/>
          <w:sz w:val="24"/>
          <w:szCs w:val="24"/>
        </w:rPr>
      </w:pPr>
    </w:p>
    <w:p>
      <w:pPr>
        <w:tabs>
          <w:tab w:val="left" w:pos="480"/>
        </w:tabs>
        <w:spacing w:line="360" w:lineRule="auto"/>
        <w:rPr>
          <w:rFonts w:hint="eastAsia" w:asciiTheme="minorEastAsia" w:hAnsiTheme="minorEastAsia" w:eastAsiaTheme="minorEastAsia" w:cstheme="minorEastAsia"/>
          <w:sz w:val="24"/>
          <w:szCs w:val="24"/>
        </w:rPr>
      </w:pPr>
    </w:p>
    <w:p>
      <w:pPr>
        <w:pStyle w:val="14"/>
        <w:rPr>
          <w:rFonts w:hint="eastAsia"/>
        </w:rPr>
      </w:pPr>
    </w:p>
    <w:p>
      <w:pPr>
        <w:tabs>
          <w:tab w:val="left" w:pos="480"/>
        </w:tabs>
        <w:spacing w:line="360" w:lineRule="auto"/>
        <w:rPr>
          <w:rFonts w:hint="eastAsia" w:asciiTheme="minorEastAsia" w:hAnsiTheme="minorEastAsia" w:eastAsiaTheme="minorEastAsia" w:cstheme="minorEastAsia"/>
          <w:sz w:val="24"/>
          <w:szCs w:val="24"/>
        </w:rPr>
      </w:pP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鉴证方（业务专用章）</w:t>
      </w:r>
    </w:p>
    <w:p>
      <w:pPr>
        <w:tabs>
          <w:tab w:val="left" w:pos="480"/>
        </w:tabs>
        <w:spacing w:line="360" w:lineRule="auto"/>
        <w:ind w:firstLine="480" w:firstLineChars="200"/>
        <w:rPr>
          <w:rFonts w:hint="eastAsia" w:asciiTheme="minorEastAsia" w:hAnsiTheme="minorEastAsia" w:eastAsiaTheme="minorEastAsia" w:cstheme="minorEastAsia"/>
          <w:sz w:val="24"/>
          <w:szCs w:val="24"/>
        </w:rPr>
      </w:pPr>
    </w:p>
    <w:p>
      <w:pPr>
        <w:tabs>
          <w:tab w:val="left" w:pos="480"/>
        </w:tabs>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单位名称：</w:t>
      </w:r>
      <w:r>
        <w:rPr>
          <w:rFonts w:hint="eastAsia" w:asciiTheme="minorEastAsia" w:hAnsiTheme="minorEastAsia" w:eastAsiaTheme="minorEastAsia" w:cstheme="minorEastAsia"/>
          <w:sz w:val="24"/>
          <w:szCs w:val="24"/>
          <w:lang w:eastAsia="zh-CN"/>
        </w:rPr>
        <w:t>陕西万泽招标有限公司</w:t>
      </w:r>
    </w:p>
    <w:p>
      <w:pPr>
        <w:tabs>
          <w:tab w:val="left" w:pos="480"/>
        </w:tabs>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eastAsia="zh-CN"/>
        </w:rPr>
        <w:t>西安市莲湖区西关正街英达大厦</w:t>
      </w:r>
      <w:r>
        <w:rPr>
          <w:rFonts w:hint="eastAsia" w:asciiTheme="minorEastAsia" w:hAnsiTheme="minorEastAsia" w:eastAsiaTheme="minorEastAsia" w:cstheme="minorEastAsia"/>
          <w:sz w:val="24"/>
          <w:szCs w:val="24"/>
          <w:lang w:val="en-US" w:eastAsia="zh-CN"/>
        </w:rPr>
        <w:t>1507室</w:t>
      </w:r>
    </w:p>
    <w:p>
      <w:pPr>
        <w:tabs>
          <w:tab w:val="left" w:pos="4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w:t>
      </w:r>
    </w:p>
    <w:p>
      <w:pPr>
        <w:tabs>
          <w:tab w:val="left" w:pos="480"/>
        </w:tabs>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029-88319689</w:t>
      </w:r>
    </w:p>
    <w:p>
      <w:pPr>
        <w:tabs>
          <w:tab w:val="left" w:pos="480"/>
        </w:tabs>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签订日期：20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年   月   日</w:t>
      </w:r>
    </w:p>
    <w:p>
      <w:pPr>
        <w:tabs>
          <w:tab w:val="left" w:pos="675"/>
        </w:tabs>
        <w:rPr>
          <w:rFonts w:hint="eastAsia" w:ascii="宋体" w:hAnsi="宋体"/>
          <w:b/>
          <w:sz w:val="32"/>
          <w:szCs w:val="32"/>
        </w:rPr>
      </w:pPr>
    </w:p>
    <w:p>
      <w:pPr>
        <w:rPr>
          <w:rFonts w:hint="eastAsia" w:ascii="宋体" w:hAnsi="宋体"/>
          <w:b/>
          <w:sz w:val="32"/>
          <w:szCs w:val="32"/>
        </w:rPr>
      </w:pPr>
      <w:r>
        <w:rPr>
          <w:rFonts w:hint="eastAsia" w:ascii="宋体" w:hAnsi="宋体" w:cs="宋体"/>
        </w:rPr>
        <w:br w:type="page"/>
      </w:r>
      <w:r>
        <w:rPr>
          <w:rFonts w:hint="eastAsia" w:ascii="宋体" w:hAnsi="宋体"/>
          <w:b/>
          <w:sz w:val="32"/>
          <w:szCs w:val="32"/>
        </w:rPr>
        <w:t>附件</w:t>
      </w:r>
    </w:p>
    <w:p>
      <w:pPr>
        <w:tabs>
          <w:tab w:val="left" w:pos="675"/>
        </w:tabs>
        <w:jc w:val="center"/>
        <w:rPr>
          <w:rFonts w:hint="eastAsia" w:ascii="宋体" w:hAnsi="宋体"/>
          <w:b/>
          <w:sz w:val="32"/>
          <w:szCs w:val="32"/>
        </w:rPr>
      </w:pPr>
    </w:p>
    <w:p>
      <w:pPr>
        <w:tabs>
          <w:tab w:val="left" w:pos="675"/>
        </w:tabs>
        <w:jc w:val="center"/>
        <w:rPr>
          <w:rFonts w:hint="eastAsia" w:ascii="宋体" w:hAnsi="宋体"/>
          <w:b/>
          <w:sz w:val="32"/>
          <w:szCs w:val="32"/>
        </w:rPr>
      </w:pPr>
      <w:r>
        <w:rPr>
          <w:rFonts w:hint="eastAsia" w:ascii="宋体" w:hAnsi="宋体"/>
          <w:b/>
          <w:sz w:val="32"/>
          <w:szCs w:val="32"/>
          <w:u w:val="single"/>
        </w:rPr>
        <w:t>（项目名称）</w:t>
      </w:r>
      <w:r>
        <w:rPr>
          <w:rFonts w:hint="eastAsia" w:ascii="宋体" w:hAnsi="宋体"/>
          <w:b/>
          <w:sz w:val="32"/>
          <w:szCs w:val="32"/>
        </w:rPr>
        <w:t>配置清单</w:t>
      </w:r>
    </w:p>
    <w:p>
      <w:pPr>
        <w:tabs>
          <w:tab w:val="left" w:pos="675"/>
        </w:tabs>
        <w:jc w:val="center"/>
        <w:rPr>
          <w:rFonts w:hint="eastAsia" w:ascii="宋体" w:hAnsi="宋体"/>
          <w:b/>
          <w:sz w:val="30"/>
          <w:szCs w:val="30"/>
        </w:rPr>
      </w:pPr>
    </w:p>
    <w:tbl>
      <w:tblPr>
        <w:tblStyle w:val="20"/>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jc w:val="center"/>
              <w:rPr>
                <w:rFonts w:ascii="宋体" w:hAnsi="宋体"/>
                <w:szCs w:val="21"/>
              </w:rPr>
            </w:pPr>
            <w:r>
              <w:rPr>
                <w:rFonts w:hint="eastAsia" w:ascii="宋体" w:hAnsi="宋体"/>
                <w:szCs w:val="21"/>
              </w:rPr>
              <w:t>序号</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jc w:val="center"/>
              <w:rPr>
                <w:rFonts w:ascii="宋体" w:hAnsi="宋体"/>
                <w:szCs w:val="21"/>
              </w:rPr>
            </w:pPr>
            <w:r>
              <w:rPr>
                <w:rFonts w:hint="eastAsia" w:ascii="宋体" w:hAnsi="宋体"/>
                <w:szCs w:val="21"/>
              </w:rPr>
              <w:t>货物名称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jc w:val="center"/>
              <w:rPr>
                <w:rFonts w:ascii="宋体" w:hAnsi="宋体"/>
                <w:szCs w:val="21"/>
              </w:rPr>
            </w:pPr>
            <w:r>
              <w:rPr>
                <w:rFonts w:hint="eastAsia" w:ascii="宋体" w:hAnsi="宋体"/>
                <w:szCs w:val="21"/>
              </w:rPr>
              <w:t>规格参数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jc w:val="center"/>
              <w:rPr>
                <w:rFonts w:ascii="宋体" w:hAnsi="宋体"/>
                <w:szCs w:val="21"/>
              </w:rPr>
            </w:pPr>
            <w:r>
              <w:rPr>
                <w:rFonts w:hint="eastAsia" w:ascii="宋体" w:hAnsi="宋体"/>
                <w:szCs w:val="21"/>
              </w:rPr>
              <w:t>数量</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r>
              <w:rPr>
                <w:rFonts w:hint="eastAsia" w:ascii="宋体" w:hAnsi="宋体"/>
                <w:szCs w:val="21"/>
              </w:rPr>
              <w:t>产地</w:t>
            </w: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ascii="宋体" w:hAnsi="宋体"/>
                <w:szCs w:val="21"/>
              </w:rPr>
            </w:pPr>
            <w:r>
              <w:rPr>
                <w:rFonts w:hint="eastAsia" w:ascii="宋体" w:hAnsi="宋体"/>
              </w:rPr>
              <w:t>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ascii="宋体" w:hAnsi="宋体"/>
                <w:szCs w:val="21"/>
              </w:rPr>
            </w:pPr>
            <w:r>
              <w:rPr>
                <w:rFonts w:hint="eastAsia" w:ascii="宋体" w:hAnsi="宋体"/>
              </w:rPr>
              <w:t>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ascii="宋体" w:hAnsi="宋体"/>
                <w:szCs w:val="21"/>
              </w:rPr>
            </w:pPr>
            <w:r>
              <w:rPr>
                <w:rFonts w:hint="eastAsia" w:ascii="宋体" w:hAnsi="宋体"/>
              </w:rPr>
              <w:t>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ascii="宋体" w:hAnsi="宋体"/>
                <w:szCs w:val="21"/>
              </w:rPr>
            </w:pPr>
            <w:r>
              <w:rPr>
                <w:rFonts w:hint="eastAsia" w:ascii="宋体" w:hAnsi="宋体"/>
              </w:rPr>
              <w:t>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9</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10</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r>
              <w:rPr>
                <w:rFonts w:hint="eastAsia" w:ascii="宋体" w:hAnsi="宋体"/>
              </w:rPr>
              <w:t>18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eastAsia"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default" w:ascii="宋体" w:hAnsi="宋体" w:eastAsiaTheme="minorEastAsia"/>
                <w:lang w:val="en-US" w:eastAsia="zh-CN"/>
              </w:rPr>
            </w:pPr>
            <w:r>
              <w:rPr>
                <w:rFonts w:hint="eastAsia" w:ascii="宋体" w:hAnsi="宋体"/>
                <w:lang w:val="en-US" w:eastAsia="zh-CN"/>
              </w:rPr>
              <w:t>...</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jc w:val="center"/>
              <w:rPr>
                <w:rFonts w:hint="default" w:ascii="宋体" w:hAnsi="宋体" w:eastAsiaTheme="minorEastAsia"/>
                <w:szCs w:val="21"/>
                <w:lang w:val="en-US" w:eastAsia="zh-CN"/>
              </w:rPr>
            </w:pPr>
            <w:r>
              <w:rPr>
                <w:rFonts w:hint="eastAsia" w:ascii="宋体" w:hAnsi="宋体"/>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default" w:ascii="宋体" w:hAnsi="宋体" w:eastAsiaTheme="minorEastAsia"/>
                <w:szCs w:val="21"/>
                <w:lang w:val="en-US" w:eastAsia="zh-CN"/>
              </w:rPr>
            </w:pPr>
            <w:r>
              <w:rPr>
                <w:rFonts w:hint="eastAsia" w:ascii="宋体" w:hAnsi="宋体"/>
                <w:szCs w:val="21"/>
                <w:lang w:val="en-US" w:eastAsia="zh-CN"/>
              </w:rPr>
              <w:t>...</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440" w:lineRule="exact"/>
              <w:jc w:val="center"/>
              <w:rPr>
                <w:rFonts w:hint="default" w:ascii="宋体" w:hAnsi="宋体" w:eastAsiaTheme="minorEastAsia"/>
                <w:szCs w:val="21"/>
                <w:lang w:val="en-US" w:eastAsia="zh-CN"/>
              </w:rPr>
            </w:pPr>
            <w:r>
              <w:rPr>
                <w:rFonts w:hint="eastAsia" w:ascii="宋体" w:hAnsi="宋体"/>
                <w:szCs w:val="21"/>
                <w:lang w:val="en-US"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Theme="minorEastAsia"/>
                <w:szCs w:val="21"/>
                <w:lang w:val="en-US" w:eastAsia="zh-CN"/>
              </w:rPr>
            </w:pPr>
            <w:r>
              <w:rPr>
                <w:rFonts w:hint="eastAsia" w:ascii="宋体" w:hAnsi="宋体"/>
                <w:szCs w:val="21"/>
                <w:lang w:val="en-US" w:eastAsia="zh-CN"/>
              </w:rPr>
              <w:t>...</w:t>
            </w: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jc w:val="center"/>
              <w:rPr>
                <w:rFonts w:hint="default" w:ascii="宋体" w:hAnsi="宋体" w:eastAsiaTheme="minorEastAsia"/>
                <w:szCs w:val="21"/>
                <w:lang w:val="en-US" w:eastAsia="zh-CN"/>
              </w:rPr>
            </w:pPr>
            <w:r>
              <w:rPr>
                <w:rFonts w:hint="eastAsia" w:ascii="宋体" w:hAnsi="宋体"/>
                <w:szCs w:val="21"/>
                <w:lang w:val="en-US" w:eastAsia="zh-CN"/>
              </w:rPr>
              <w:t>...</w:t>
            </w:r>
          </w:p>
        </w:tc>
      </w:tr>
    </w:tbl>
    <w:p>
      <w:pPr>
        <w:rPr>
          <w:rFonts w:hint="eastAsia" w:ascii="宋体" w:hAnsi="宋体" w:cs="宋体"/>
        </w:rPr>
      </w:pPr>
    </w:p>
    <w:p>
      <w:pPr>
        <w:pStyle w:val="3"/>
        <w:keepNext w:val="0"/>
        <w:pageBreakBefore/>
        <w:rPr>
          <w:rFonts w:ascii="宋体" w:hAnsi="宋体" w:cs="宋体"/>
        </w:rPr>
      </w:pPr>
      <w:bookmarkStart w:id="73" w:name="_Toc12109"/>
      <w:r>
        <w:rPr>
          <w:rFonts w:hint="eastAsia" w:ascii="宋体" w:hAnsi="宋体" w:cs="宋体"/>
        </w:rPr>
        <w:t>第七部分 谈判响应文件格式</w:t>
      </w:r>
      <w:bookmarkEnd w:id="71"/>
      <w:bookmarkEnd w:id="73"/>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SXWZ2022ZB-CAYY-263</w:t>
      </w:r>
      <w:r>
        <w:rPr>
          <w:rFonts w:hint="eastAsia" w:ascii="宋体" w:hAnsi="宋体" w:eastAsia="宋体" w:cs="宋体"/>
          <w:b/>
          <w:w w:val="120"/>
          <w:sz w:val="28"/>
          <w:szCs w:val="28"/>
        </w:rPr>
        <w:t xml:space="preserve">    （正本或副本）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480" w:lineRule="auto"/>
        <w:jc w:val="center"/>
        <w:rPr>
          <w:rFonts w:hint="eastAsia" w:ascii="宋体" w:hAnsi="宋体" w:eastAsia="宋体" w:cs="宋体"/>
          <w:b/>
          <w:sz w:val="44"/>
          <w:szCs w:val="44"/>
          <w:lang w:eastAsia="zh-CN"/>
        </w:rPr>
      </w:pPr>
      <w:r>
        <w:rPr>
          <w:rFonts w:hint="eastAsia" w:ascii="宋体" w:hAnsi="宋体" w:eastAsia="宋体" w:cs="宋体"/>
          <w:b/>
          <w:sz w:val="44"/>
          <w:szCs w:val="44"/>
          <w:lang w:eastAsia="zh-CN"/>
        </w:rPr>
        <w:t>西安市长安区医院血栓抽吸控制系统采购项目</w:t>
      </w:r>
    </w:p>
    <w:p>
      <w:pPr>
        <w:adjustRightInd w:val="0"/>
        <w:snapToGrid w:val="0"/>
        <w:spacing w:line="480" w:lineRule="auto"/>
        <w:jc w:val="center"/>
        <w:rPr>
          <w:rFonts w:ascii="宋体" w:hAnsi="宋体" w:eastAsia="宋体" w:cs="宋体"/>
          <w:b/>
          <w:sz w:val="72"/>
          <w:szCs w:val="72"/>
        </w:rPr>
      </w:pPr>
      <w:r>
        <w:rPr>
          <w:rFonts w:hint="eastAsia" w:ascii="宋体" w:hAnsi="宋体" w:eastAsia="宋体" w:cs="宋体"/>
          <w:b/>
          <w:sz w:val="72"/>
          <w:szCs w:val="72"/>
        </w:rPr>
        <w:t>响</w:t>
      </w:r>
    </w:p>
    <w:p>
      <w:pPr>
        <w:adjustRightInd w:val="0"/>
        <w:snapToGrid w:val="0"/>
        <w:spacing w:line="480" w:lineRule="auto"/>
        <w:jc w:val="center"/>
        <w:rPr>
          <w:rFonts w:ascii="宋体" w:hAnsi="宋体" w:eastAsia="宋体" w:cs="宋体"/>
          <w:b/>
          <w:sz w:val="72"/>
          <w:szCs w:val="72"/>
        </w:rPr>
      </w:pPr>
      <w:r>
        <w:rPr>
          <w:rFonts w:hint="eastAsia" w:ascii="宋体" w:hAnsi="宋体" w:eastAsia="宋体" w:cs="宋体"/>
          <w:b/>
          <w:sz w:val="72"/>
          <w:szCs w:val="72"/>
        </w:rPr>
        <w:t>应</w:t>
      </w:r>
    </w:p>
    <w:p>
      <w:pPr>
        <w:adjustRightInd w:val="0"/>
        <w:snapToGrid w:val="0"/>
        <w:spacing w:line="480" w:lineRule="auto"/>
        <w:jc w:val="center"/>
        <w:rPr>
          <w:rFonts w:ascii="宋体" w:hAnsi="宋体" w:eastAsia="宋体" w:cs="宋体"/>
          <w:b/>
          <w:sz w:val="72"/>
          <w:szCs w:val="72"/>
        </w:rPr>
      </w:pPr>
      <w:r>
        <w:rPr>
          <w:rFonts w:hint="eastAsia" w:ascii="宋体" w:hAnsi="宋体" w:eastAsia="宋体" w:cs="宋体"/>
          <w:b/>
          <w:sz w:val="72"/>
          <w:szCs w:val="72"/>
        </w:rPr>
        <w:t>文</w:t>
      </w:r>
    </w:p>
    <w:p>
      <w:pPr>
        <w:adjustRightInd w:val="0"/>
        <w:snapToGrid w:val="0"/>
        <w:spacing w:line="480" w:lineRule="auto"/>
        <w:jc w:val="center"/>
        <w:rPr>
          <w:rFonts w:ascii="宋体" w:hAnsi="宋体" w:eastAsia="宋体" w:cs="宋体"/>
          <w:b/>
          <w:sz w:val="72"/>
          <w:szCs w:val="72"/>
        </w:rPr>
      </w:pPr>
      <w:r>
        <w:rPr>
          <w:rFonts w:hint="eastAsia" w:ascii="宋体" w:hAnsi="宋体" w:eastAsia="宋体" w:cs="宋体"/>
          <w:b/>
          <w:sz w:val="72"/>
          <w:szCs w:val="72"/>
        </w:rPr>
        <w:t>件</w:t>
      </w:r>
    </w:p>
    <w:p>
      <w:pPr>
        <w:snapToGrid w:val="0"/>
        <w:spacing w:line="480" w:lineRule="auto"/>
        <w:ind w:firstLine="640" w:firstLineChars="200"/>
        <w:jc w:val="left"/>
        <w:rPr>
          <w:rFonts w:ascii="宋体" w:hAnsi="宋体" w:eastAsia="宋体" w:cs="宋体"/>
          <w:sz w:val="32"/>
          <w:szCs w:val="32"/>
          <w:u w:val="single"/>
        </w:rPr>
      </w:pPr>
      <w:r>
        <w:rPr>
          <w:rFonts w:hint="eastAsia" w:ascii="宋体" w:hAnsi="宋体" w:eastAsia="宋体" w:cs="宋体"/>
          <w:sz w:val="32"/>
          <w:szCs w:val="32"/>
          <w:lang w:val="zh-CN"/>
        </w:rPr>
        <w:t>供应商：</w:t>
      </w:r>
      <w:r>
        <w:rPr>
          <w:rFonts w:hint="eastAsia" w:ascii="宋体" w:hAnsi="宋体" w:eastAsia="宋体" w:cs="宋体"/>
          <w:sz w:val="32"/>
          <w:szCs w:val="32"/>
          <w:u w:val="single"/>
          <w:lang w:val="zh-CN"/>
        </w:rPr>
        <w:t>（单位名称及公章）</w:t>
      </w:r>
      <w:r>
        <w:rPr>
          <w:rFonts w:hint="eastAsia" w:ascii="宋体" w:hAnsi="宋体" w:eastAsia="宋体" w:cs="宋体"/>
          <w:sz w:val="32"/>
          <w:szCs w:val="32"/>
          <w:lang w:val="zh-CN"/>
        </w:rPr>
        <w:t>____________</w:t>
      </w:r>
    </w:p>
    <w:p>
      <w:pPr>
        <w:snapToGrid w:val="0"/>
        <w:spacing w:line="480" w:lineRule="auto"/>
        <w:ind w:firstLine="640" w:firstLineChars="200"/>
        <w:jc w:val="left"/>
        <w:rPr>
          <w:rFonts w:ascii="宋体" w:hAnsi="宋体" w:eastAsia="宋体" w:cs="宋体"/>
          <w:sz w:val="32"/>
          <w:szCs w:val="32"/>
          <w:lang w:val="zh-CN"/>
        </w:rPr>
      </w:pPr>
      <w:r>
        <w:rPr>
          <w:rFonts w:hint="eastAsia" w:ascii="宋体" w:hAnsi="宋体" w:eastAsia="宋体" w:cs="宋体"/>
          <w:sz w:val="32"/>
          <w:szCs w:val="32"/>
          <w:lang w:val="zh-CN"/>
        </w:rPr>
        <w:t>法定代表人/被授权人（签字）：______________</w:t>
      </w:r>
    </w:p>
    <w:p>
      <w:pPr>
        <w:snapToGrid w:val="0"/>
        <w:spacing w:line="480" w:lineRule="auto"/>
        <w:ind w:firstLine="640" w:firstLineChars="200"/>
        <w:jc w:val="left"/>
        <w:rPr>
          <w:rFonts w:ascii="宋体" w:hAnsi="宋体" w:eastAsia="宋体" w:cs="宋体"/>
          <w:sz w:val="36"/>
          <w:szCs w:val="36"/>
          <w:u w:val="single"/>
        </w:rPr>
      </w:pPr>
      <w:r>
        <w:rPr>
          <w:rFonts w:hint="eastAsia" w:ascii="宋体" w:hAnsi="宋体" w:eastAsia="宋体" w:cs="宋体"/>
          <w:sz w:val="32"/>
          <w:szCs w:val="32"/>
        </w:rPr>
        <w:t>日  期</w:t>
      </w:r>
      <w:r>
        <w:rPr>
          <w:rFonts w:hint="eastAsia" w:ascii="宋体" w:hAnsi="宋体" w:eastAsia="宋体" w:cs="宋体"/>
          <w:sz w:val="32"/>
          <w:szCs w:val="32"/>
          <w:lang w:val="zh-CN"/>
        </w:rPr>
        <w:t>：____________________________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11"/>
        <w:snapToGrid w:val="0"/>
        <w:spacing w:line="480" w:lineRule="auto"/>
        <w:ind w:firstLine="562" w:firstLineChars="200"/>
        <w:jc w:val="left"/>
        <w:rPr>
          <w:rFonts w:hAnsi="宋体" w:eastAsia="宋体" w:cs="宋体"/>
          <w:b/>
          <w:bCs/>
          <w:sz w:val="28"/>
          <w:szCs w:val="28"/>
        </w:rPr>
      </w:pPr>
      <w:r>
        <w:rPr>
          <w:rFonts w:hint="eastAsia" w:hAnsi="宋体" w:eastAsia="宋体" w:cs="宋体"/>
          <w:b/>
          <w:bCs/>
          <w:sz w:val="28"/>
          <w:szCs w:val="28"/>
        </w:rPr>
        <w:t>第一</w:t>
      </w:r>
      <w:r>
        <w:rPr>
          <w:rFonts w:hint="eastAsia" w:hAnsi="宋体" w:eastAsia="宋体" w:cs="宋体"/>
          <w:b/>
          <w:bCs/>
          <w:sz w:val="28"/>
          <w:szCs w:val="28"/>
          <w:lang w:eastAsia="zh-CN"/>
        </w:rPr>
        <w:t>章</w:t>
      </w:r>
      <w:r>
        <w:rPr>
          <w:rFonts w:hint="eastAsia" w:hAnsi="宋体" w:eastAsia="宋体" w:cs="宋体"/>
          <w:b/>
          <w:bCs/>
          <w:sz w:val="28"/>
          <w:szCs w:val="28"/>
        </w:rPr>
        <w:t xml:space="preserve">   响应函</w:t>
      </w:r>
    </w:p>
    <w:p>
      <w:pPr>
        <w:snapToGrid w:val="0"/>
        <w:spacing w:line="480" w:lineRule="auto"/>
        <w:ind w:firstLine="562" w:firstLineChars="200"/>
        <w:jc w:val="left"/>
        <w:rPr>
          <w:rFonts w:ascii="宋体" w:hAnsi="宋体" w:eastAsia="宋体" w:cs="宋体"/>
          <w:b/>
          <w:sz w:val="28"/>
          <w:szCs w:val="28"/>
        </w:rPr>
      </w:pPr>
      <w:r>
        <w:rPr>
          <w:rFonts w:hint="eastAsia" w:ascii="宋体" w:hAnsi="宋体" w:eastAsia="宋体" w:cs="宋体"/>
          <w:b/>
          <w:sz w:val="28"/>
          <w:szCs w:val="28"/>
        </w:rPr>
        <w:t>第二</w:t>
      </w:r>
      <w:r>
        <w:rPr>
          <w:rFonts w:hint="eastAsia" w:ascii="宋体" w:hAnsi="宋体" w:eastAsia="宋体" w:cs="宋体"/>
          <w:b/>
          <w:sz w:val="28"/>
          <w:szCs w:val="28"/>
          <w:lang w:eastAsia="zh-CN"/>
        </w:rPr>
        <w:t>章</w:t>
      </w:r>
      <w:r>
        <w:rPr>
          <w:rFonts w:hint="eastAsia" w:ascii="宋体" w:hAnsi="宋体" w:eastAsia="宋体" w:cs="宋体"/>
          <w:b/>
          <w:sz w:val="28"/>
          <w:szCs w:val="28"/>
        </w:rPr>
        <w:t xml:space="preserve">   响应一览表 </w:t>
      </w:r>
    </w:p>
    <w:p>
      <w:pPr>
        <w:pStyle w:val="11"/>
        <w:snapToGrid w:val="0"/>
        <w:spacing w:line="480" w:lineRule="auto"/>
        <w:ind w:firstLine="562" w:firstLineChars="200"/>
        <w:jc w:val="left"/>
        <w:rPr>
          <w:rFonts w:hint="eastAsia" w:hAnsi="宋体" w:eastAsia="宋体" w:cs="宋体"/>
          <w:b/>
          <w:bCs/>
          <w:sz w:val="28"/>
          <w:szCs w:val="28"/>
          <w:lang w:eastAsia="zh-CN"/>
        </w:rPr>
      </w:pPr>
      <w:r>
        <w:rPr>
          <w:rFonts w:hint="eastAsia" w:hAnsi="宋体" w:eastAsia="宋体" w:cs="宋体"/>
          <w:b/>
          <w:sz w:val="28"/>
          <w:szCs w:val="28"/>
          <w:lang w:eastAsia="zh-CN"/>
        </w:rPr>
        <w:t>第三章</w:t>
      </w:r>
      <w:r>
        <w:rPr>
          <w:rFonts w:hint="eastAsia" w:hAnsi="宋体" w:eastAsia="宋体" w:cs="宋体"/>
          <w:b/>
          <w:sz w:val="28"/>
          <w:szCs w:val="28"/>
          <w:lang w:val="en-US" w:eastAsia="zh-CN"/>
        </w:rPr>
        <w:t xml:space="preserve">   </w:t>
      </w:r>
      <w:r>
        <w:rPr>
          <w:rFonts w:hint="eastAsia" w:hAnsi="宋体" w:eastAsia="宋体" w:cs="宋体"/>
          <w:b/>
          <w:sz w:val="28"/>
          <w:szCs w:val="28"/>
        </w:rPr>
        <w:t>分项报价表</w:t>
      </w:r>
    </w:p>
    <w:p>
      <w:pPr>
        <w:pStyle w:val="11"/>
        <w:snapToGrid w:val="0"/>
        <w:spacing w:line="480" w:lineRule="auto"/>
        <w:ind w:firstLine="562" w:firstLineChars="200"/>
        <w:jc w:val="left"/>
        <w:rPr>
          <w:rFonts w:hAnsi="宋体" w:eastAsia="宋体" w:cs="宋体"/>
          <w:b/>
          <w:kern w:val="0"/>
          <w:sz w:val="28"/>
          <w:szCs w:val="28"/>
        </w:rPr>
      </w:pPr>
      <w:r>
        <w:rPr>
          <w:rFonts w:hint="eastAsia" w:hAnsi="宋体" w:eastAsia="宋体" w:cs="宋体"/>
          <w:b/>
          <w:bCs/>
          <w:sz w:val="28"/>
          <w:szCs w:val="28"/>
        </w:rPr>
        <w:t>第</w:t>
      </w:r>
      <w:r>
        <w:rPr>
          <w:rFonts w:hint="eastAsia" w:hAnsi="宋体" w:eastAsia="宋体" w:cs="宋体"/>
          <w:b/>
          <w:bCs/>
          <w:sz w:val="28"/>
          <w:szCs w:val="28"/>
          <w:lang w:eastAsia="zh-CN"/>
        </w:rPr>
        <w:t>四章</w:t>
      </w:r>
      <w:r>
        <w:rPr>
          <w:rFonts w:hint="eastAsia" w:hAnsi="宋体" w:eastAsia="宋体" w:cs="宋体"/>
          <w:b/>
          <w:bCs/>
          <w:sz w:val="28"/>
          <w:szCs w:val="28"/>
          <w:lang w:val="en-US" w:eastAsia="zh-CN"/>
        </w:rPr>
        <w:t xml:space="preserve">   </w:t>
      </w:r>
      <w:r>
        <w:rPr>
          <w:rFonts w:hint="eastAsia" w:hAnsi="宋体" w:eastAsia="宋体" w:cs="宋体"/>
          <w:b/>
          <w:kern w:val="0"/>
          <w:sz w:val="28"/>
          <w:szCs w:val="28"/>
          <w:lang w:eastAsia="zh-CN"/>
        </w:rPr>
        <w:t>供应商资格要求</w:t>
      </w:r>
    </w:p>
    <w:p>
      <w:pPr>
        <w:pStyle w:val="11"/>
        <w:snapToGrid w:val="0"/>
        <w:spacing w:line="480" w:lineRule="auto"/>
        <w:ind w:firstLine="562" w:firstLineChars="200"/>
        <w:jc w:val="left"/>
        <w:rPr>
          <w:rFonts w:hint="eastAsia" w:hAnsi="宋体" w:eastAsia="宋体" w:cs="宋体"/>
          <w:b/>
          <w:bCs/>
          <w:sz w:val="28"/>
          <w:szCs w:val="28"/>
          <w:lang w:eastAsia="zh-CN"/>
        </w:rPr>
      </w:pPr>
      <w:r>
        <w:rPr>
          <w:rFonts w:hint="eastAsia" w:hAnsi="宋体" w:eastAsia="宋体" w:cs="宋体"/>
          <w:b/>
          <w:bCs/>
          <w:sz w:val="28"/>
          <w:szCs w:val="28"/>
        </w:rPr>
        <w:t>第</w:t>
      </w:r>
      <w:r>
        <w:rPr>
          <w:rFonts w:hint="eastAsia" w:hAnsi="宋体" w:eastAsia="宋体" w:cs="宋体"/>
          <w:b/>
          <w:bCs/>
          <w:sz w:val="28"/>
          <w:szCs w:val="28"/>
          <w:lang w:eastAsia="zh-CN"/>
        </w:rPr>
        <w:t>五章</w:t>
      </w:r>
      <w:r>
        <w:rPr>
          <w:rFonts w:hint="eastAsia" w:hAnsi="宋体" w:eastAsia="宋体" w:cs="宋体"/>
          <w:b/>
          <w:bCs/>
          <w:sz w:val="28"/>
          <w:szCs w:val="28"/>
        </w:rPr>
        <w:t xml:space="preserve">   </w:t>
      </w:r>
      <w:r>
        <w:rPr>
          <w:rFonts w:hint="eastAsia" w:hAnsi="宋体" w:eastAsia="宋体" w:cs="宋体"/>
          <w:b/>
          <w:bCs/>
          <w:sz w:val="28"/>
          <w:szCs w:val="28"/>
          <w:lang w:eastAsia="zh-CN"/>
        </w:rPr>
        <w:t>商务和技术响应偏差表</w:t>
      </w:r>
    </w:p>
    <w:p>
      <w:pPr>
        <w:pStyle w:val="11"/>
        <w:snapToGrid w:val="0"/>
        <w:spacing w:line="480" w:lineRule="auto"/>
        <w:ind w:firstLine="562" w:firstLineChars="200"/>
        <w:jc w:val="left"/>
        <w:rPr>
          <w:rFonts w:hint="eastAsia" w:hAnsi="宋体" w:eastAsia="宋体" w:cs="宋体"/>
          <w:b/>
          <w:sz w:val="28"/>
          <w:szCs w:val="28"/>
          <w:lang w:eastAsia="zh-CN"/>
        </w:rPr>
      </w:pPr>
      <w:r>
        <w:rPr>
          <w:rFonts w:hint="eastAsia" w:hAnsi="宋体" w:eastAsia="宋体" w:cs="宋体"/>
          <w:b/>
          <w:sz w:val="28"/>
          <w:szCs w:val="28"/>
        </w:rPr>
        <w:t>第</w:t>
      </w:r>
      <w:r>
        <w:rPr>
          <w:rFonts w:hint="eastAsia" w:hAnsi="宋体" w:eastAsia="宋体" w:cs="宋体"/>
          <w:b/>
          <w:sz w:val="28"/>
          <w:szCs w:val="28"/>
          <w:lang w:eastAsia="zh-CN"/>
        </w:rPr>
        <w:t>六章</w:t>
      </w:r>
      <w:r>
        <w:rPr>
          <w:rFonts w:hint="eastAsia" w:hAnsi="宋体" w:eastAsia="宋体" w:cs="宋体"/>
          <w:b/>
          <w:sz w:val="28"/>
          <w:szCs w:val="28"/>
        </w:rPr>
        <w:t xml:space="preserve">   </w:t>
      </w:r>
      <w:r>
        <w:rPr>
          <w:rFonts w:hint="eastAsia" w:hAnsi="宋体" w:eastAsia="宋体" w:cs="宋体"/>
          <w:b/>
          <w:sz w:val="28"/>
          <w:szCs w:val="28"/>
          <w:lang w:eastAsia="zh-CN"/>
        </w:rPr>
        <w:t>技术支持资料</w:t>
      </w:r>
    </w:p>
    <w:p>
      <w:pPr>
        <w:snapToGrid w:val="0"/>
        <w:spacing w:line="480" w:lineRule="auto"/>
        <w:ind w:firstLine="562" w:firstLineChars="200"/>
        <w:jc w:val="left"/>
        <w:rPr>
          <w:rFonts w:hint="eastAsia" w:ascii="宋体" w:hAnsi="宋体" w:eastAsia="宋体" w:cs="宋体"/>
          <w:b/>
          <w:bCs/>
          <w:sz w:val="28"/>
          <w:szCs w:val="28"/>
          <w:lang w:eastAsia="zh-CN"/>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七章</w:t>
      </w:r>
      <w:r>
        <w:rPr>
          <w:rFonts w:hint="eastAsia" w:ascii="宋体" w:hAnsi="宋体" w:eastAsia="宋体" w:cs="宋体"/>
          <w:b/>
          <w:bCs/>
          <w:sz w:val="28"/>
          <w:szCs w:val="28"/>
        </w:rPr>
        <w:t xml:space="preserve">   </w:t>
      </w:r>
      <w:r>
        <w:rPr>
          <w:rFonts w:hint="eastAsia" w:ascii="宋体" w:hAnsi="宋体" w:eastAsia="宋体" w:cs="宋体"/>
          <w:b/>
          <w:bCs/>
          <w:sz w:val="28"/>
          <w:szCs w:val="28"/>
          <w:lang w:eastAsia="zh-CN"/>
        </w:rPr>
        <w:t>供应商业绩一览表</w:t>
      </w:r>
    </w:p>
    <w:p>
      <w:pPr>
        <w:snapToGrid w:val="0"/>
        <w:spacing w:line="48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八章</w:t>
      </w:r>
      <w:r>
        <w:rPr>
          <w:rFonts w:hint="eastAsia" w:ascii="宋体" w:hAnsi="宋体" w:eastAsia="宋体" w:cs="宋体"/>
          <w:b/>
          <w:bCs/>
          <w:sz w:val="28"/>
          <w:szCs w:val="28"/>
        </w:rPr>
        <w:t xml:space="preserve">   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九章</w:t>
      </w:r>
      <w:r>
        <w:rPr>
          <w:rFonts w:hint="eastAsia" w:ascii="宋体" w:hAnsi="宋体" w:eastAsia="宋体" w:cs="宋体"/>
          <w:b/>
          <w:bCs/>
          <w:sz w:val="28"/>
          <w:szCs w:val="28"/>
        </w:rPr>
        <w:t xml:space="preserve">   供应商承诺书</w:t>
      </w:r>
    </w:p>
    <w:p>
      <w:pPr>
        <w:pStyle w:val="4"/>
        <w:pageBreakBefore/>
        <w:rPr>
          <w:rFonts w:ascii="宋体" w:hAnsi="宋体" w:cs="宋体"/>
        </w:rPr>
      </w:pPr>
      <w:bookmarkStart w:id="74" w:name="_Toc27711"/>
      <w:bookmarkStart w:id="75" w:name="_Toc2536"/>
      <w:r>
        <w:rPr>
          <w:rFonts w:hint="eastAsia" w:ascii="宋体" w:hAnsi="宋体" w:cs="宋体"/>
        </w:rPr>
        <w:t>第一</w:t>
      </w:r>
      <w:r>
        <w:rPr>
          <w:rFonts w:hint="eastAsia" w:ascii="宋体" w:hAnsi="宋体" w:cs="宋体"/>
          <w:lang w:eastAsia="zh-CN"/>
        </w:rPr>
        <w:t>章</w:t>
      </w:r>
      <w:r>
        <w:rPr>
          <w:rFonts w:hint="eastAsia" w:ascii="宋体" w:hAnsi="宋体" w:cs="宋体"/>
        </w:rPr>
        <w:t xml:space="preserve"> 响应函</w:t>
      </w:r>
      <w:bookmarkEnd w:id="74"/>
      <w:bookmarkEnd w:id="75"/>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陕西万泽招标有限公司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SXWZ2022ZB-CAYY-263</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2、按照竞争性谈判文件的规定，完成总体供货和服务</w:t>
      </w:r>
      <w:r>
        <w:rPr>
          <w:rFonts w:hint="eastAsia" w:asciiTheme="minorEastAsia" w:hAnsiTheme="minorEastAsia" w:cstheme="minorEastAsia"/>
          <w:sz w:val="24"/>
          <w:szCs w:val="24"/>
        </w:rPr>
        <w:t>总报价</w:t>
      </w:r>
      <w:r>
        <w:rPr>
          <w:rFonts w:hint="eastAsia" w:asciiTheme="minorEastAsia" w:hAnsiTheme="minorEastAsia" w:cstheme="minorEastAsia"/>
          <w:sz w:val="24"/>
          <w:szCs w:val="24"/>
          <w:lang w:eastAsia="zh-CN"/>
        </w:rPr>
        <w:t>为</w:t>
      </w:r>
      <w:r>
        <w:rPr>
          <w:rFonts w:hint="eastAsia" w:ascii="宋体" w:hAnsi="宋体" w:eastAsia="宋体" w:cs="宋体"/>
          <w:sz w:val="24"/>
        </w:rPr>
        <w:t>：</w:t>
      </w:r>
    </w:p>
    <w:p>
      <w:pPr>
        <w:adjustRightInd w:val="0"/>
        <w:snapToGrid w:val="0"/>
        <w:spacing w:line="360" w:lineRule="auto"/>
        <w:ind w:left="210" w:leftChars="100" w:firstLine="240" w:firstLineChars="100"/>
        <w:rPr>
          <w:rFonts w:ascii="宋体" w:hAnsi="宋体" w:eastAsia="宋体" w:cs="宋体"/>
          <w:sz w:val="24"/>
        </w:rPr>
      </w:pPr>
      <w:r>
        <w:rPr>
          <w:rFonts w:hint="eastAsia" w:ascii="宋体" w:hAnsi="宋体" w:eastAsia="宋体" w:cs="宋体"/>
          <w:sz w:val="24"/>
        </w:rPr>
        <w:t>人民币（大写）：__________；（小写）￥：__________元。</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3、我方提交的谈判响应文件正本壹份、副本叁份，电子文档壹份、</w:t>
      </w:r>
      <w:r>
        <w:rPr>
          <w:rFonts w:hint="eastAsia" w:ascii="宋体" w:hAnsi="宋体" w:eastAsia="宋体" w:cs="宋体"/>
          <w:sz w:val="24"/>
          <w:szCs w:val="24"/>
        </w:rPr>
        <w:t>响应一览表壹份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、我方承诺谈判有效期为谈判之日起</w:t>
      </w:r>
      <w:r>
        <w:rPr>
          <w:rFonts w:hint="eastAsia" w:ascii="宋体" w:hAnsi="宋体" w:eastAsia="宋体" w:cs="宋体"/>
        </w:rPr>
        <w:t>_</w:t>
      </w:r>
      <w:r>
        <w:rPr>
          <w:rFonts w:hint="eastAsia" w:ascii="宋体" w:hAnsi="宋体" w:eastAsia="宋体" w:cs="宋体"/>
          <w:u w:val="single"/>
          <w:lang w:val="en-US" w:eastAsia="zh-CN"/>
        </w:rPr>
        <w:t>90</w:t>
      </w:r>
      <w:r>
        <w:rPr>
          <w:rFonts w:hint="eastAsia" w:ascii="宋体" w:hAnsi="宋体" w:eastAsia="宋体" w:cs="宋体"/>
        </w:rPr>
        <w:t>_</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法定代表人/被授权人（签字）：______________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rPr>
          <w:rFonts w:hint="eastAsia" w:ascii="宋体" w:hAnsi="宋体" w:cs="宋体"/>
        </w:rPr>
      </w:pPr>
      <w:bookmarkStart w:id="76" w:name="_Toc28494"/>
      <w:r>
        <w:rPr>
          <w:rFonts w:hint="eastAsia" w:ascii="宋体" w:hAnsi="宋体" w:cs="宋体"/>
        </w:rPr>
        <w:br w:type="page"/>
      </w:r>
    </w:p>
    <w:p>
      <w:pPr>
        <w:pStyle w:val="4"/>
        <w:rPr>
          <w:rFonts w:ascii="宋体" w:hAnsi="宋体" w:cs="宋体"/>
        </w:rPr>
      </w:pPr>
      <w:bookmarkStart w:id="77" w:name="_Toc7563"/>
      <w:r>
        <w:rPr>
          <w:rFonts w:hint="eastAsia" w:ascii="宋体" w:hAnsi="宋体" w:cs="宋体"/>
        </w:rPr>
        <w:t>第二</w:t>
      </w:r>
      <w:bookmarkEnd w:id="76"/>
      <w:r>
        <w:rPr>
          <w:rFonts w:hint="eastAsia" w:ascii="宋体" w:hAnsi="宋体" w:cs="宋体"/>
          <w:lang w:eastAsia="zh-CN"/>
        </w:rPr>
        <w:t>章</w:t>
      </w:r>
      <w:r>
        <w:rPr>
          <w:rFonts w:hint="eastAsia" w:ascii="宋体" w:hAnsi="宋体" w:cs="宋体"/>
        </w:rPr>
        <w:t xml:space="preserve"> 响应一览表</w:t>
      </w:r>
      <w:bookmarkEnd w:id="77"/>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西安市长安区医院血栓抽吸控制系统采购项目</w:t>
      </w:r>
    </w:p>
    <w:p>
      <w:pPr>
        <w:bidi w:val="0"/>
        <w:spacing w:line="360" w:lineRule="auto"/>
        <w:rPr>
          <w:rFonts w:hint="eastAsia"/>
          <w:sz w:val="24"/>
          <w:szCs w:val="24"/>
          <w:lang w:eastAsia="zh-CN"/>
        </w:rPr>
      </w:pPr>
      <w:r>
        <w:rPr>
          <w:rFonts w:hint="eastAsia"/>
          <w:sz w:val="24"/>
          <w:szCs w:val="24"/>
          <w:lang w:eastAsia="zh-CN"/>
        </w:rPr>
        <w:t>项目编号：</w:t>
      </w:r>
    </w:p>
    <w:p>
      <w:pPr>
        <w:kinsoku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0"/>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34"/>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326" w:type="dxa"/>
            <w:tcBorders>
              <w:tl2br w:val="single" w:color="auto" w:sz="4" w:space="0"/>
            </w:tcBorders>
          </w:tcPr>
          <w:p>
            <w:pPr>
              <w:kinsoku w:val="0"/>
              <w:spacing w:line="480" w:lineRule="auto"/>
              <w:ind w:firstLine="1050" w:firstLineChars="5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报价内容</w:t>
            </w:r>
          </w:p>
          <w:p>
            <w:pPr>
              <w:kinsoku w:val="0"/>
              <w:spacing w:line="480" w:lineRule="auto"/>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响应内容</w:t>
            </w:r>
          </w:p>
        </w:tc>
        <w:tc>
          <w:tcPr>
            <w:tcW w:w="2334" w:type="dxa"/>
            <w:vAlign w:val="center"/>
          </w:tcPr>
          <w:p>
            <w:pPr>
              <w:kinsoku w:val="0"/>
              <w:spacing w:line="480" w:lineRule="auto"/>
              <w:jc w:val="center"/>
              <w:rPr>
                <w:rFonts w:hint="eastAsia" w:ascii="宋体" w:eastAsia="宋体" w:cs="宋体"/>
                <w:color w:val="000000" w:themeColor="text1"/>
                <w:szCs w:val="21"/>
                <w:lang w:eastAsia="zh-CN"/>
                <w14:textFill>
                  <w14:solidFill>
                    <w14:schemeClr w14:val="tx1"/>
                  </w14:solidFill>
                </w14:textFill>
              </w:rPr>
            </w:pPr>
            <w:r>
              <w:rPr>
                <w:rFonts w:hint="eastAsia" w:ascii="宋体" w:hAnsi="宋体" w:cs="宋体"/>
                <w:szCs w:val="21"/>
                <w:lang w:eastAsia="zh-CN"/>
              </w:rPr>
              <w:t>投标总报价</w:t>
            </w:r>
            <w:r>
              <w:rPr>
                <w:rFonts w:hint="eastAsia" w:ascii="宋体" w:hAnsi="宋体" w:cs="宋体"/>
                <w:szCs w:val="21"/>
              </w:rPr>
              <w:t>（元）</w:t>
            </w:r>
          </w:p>
        </w:tc>
        <w:tc>
          <w:tcPr>
            <w:tcW w:w="1919" w:type="dxa"/>
            <w:vAlign w:val="center"/>
          </w:tcPr>
          <w:p>
            <w:pPr>
              <w:kinsoku w:val="0"/>
              <w:spacing w:line="480" w:lineRule="auto"/>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szCs w:val="21"/>
              </w:rPr>
              <w:t>交货期</w:t>
            </w:r>
          </w:p>
        </w:tc>
        <w:tc>
          <w:tcPr>
            <w:tcW w:w="1919" w:type="dxa"/>
            <w:vAlign w:val="center"/>
          </w:tcPr>
          <w:p>
            <w:pPr>
              <w:kinsoku w:val="0"/>
              <w:spacing w:line="480" w:lineRule="auto"/>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szCs w:val="21"/>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2326" w:type="dxa"/>
            <w:vAlign w:val="center"/>
          </w:tcPr>
          <w:p>
            <w:pPr>
              <w:pStyle w:val="7"/>
              <w:ind w:firstLine="0"/>
              <w:jc w:val="center"/>
              <w:rPr>
                <w:color w:val="000000" w:themeColor="text1"/>
                <w14:textFill>
                  <w14:solidFill>
                    <w14:schemeClr w14:val="tx1"/>
                  </w14:solidFill>
                </w14:textFill>
              </w:rPr>
            </w:pPr>
            <w:r>
              <w:rPr>
                <w:rFonts w:hint="eastAsia" w:ascii="宋体" w:hAnsi="宋体" w:eastAsia="宋体" w:cs="宋体"/>
                <w:sz w:val="24"/>
                <w:lang w:eastAsia="zh-CN"/>
              </w:rPr>
              <w:t>西安市长安区医院血栓抽吸控制系统采购项目</w:t>
            </w:r>
          </w:p>
        </w:tc>
        <w:tc>
          <w:tcPr>
            <w:tcW w:w="2334" w:type="dxa"/>
            <w:vAlign w:val="center"/>
          </w:tcPr>
          <w:p>
            <w:pPr>
              <w:kinsoku w:val="0"/>
              <w:spacing w:line="480" w:lineRule="auto"/>
              <w:jc w:val="left"/>
              <w:rPr>
                <w:rFonts w:hint="eastAsia" w:ascii="宋体" w:cs="宋体" w:eastAsiaTheme="minorEastAsia"/>
                <w:color w:val="000000" w:themeColor="text1"/>
                <w:szCs w:val="21"/>
                <w:lang w:eastAsia="zh-CN"/>
                <w14:textFill>
                  <w14:solidFill>
                    <w14:schemeClr w14:val="tx1"/>
                  </w14:solidFill>
                </w14:textFill>
              </w:rPr>
            </w:pPr>
          </w:p>
        </w:tc>
        <w:tc>
          <w:tcPr>
            <w:tcW w:w="1919" w:type="dxa"/>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p>
        </w:tc>
        <w:tc>
          <w:tcPr>
            <w:tcW w:w="1919" w:type="dxa"/>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98" w:type="dxa"/>
            <w:gridSpan w:val="4"/>
            <w:vAlign w:val="center"/>
          </w:tcPr>
          <w:p>
            <w:pPr>
              <w:kinsoku w:val="0"/>
              <w:spacing w:line="48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总报价：人民币（大写）</w:t>
            </w:r>
            <w:r>
              <w:rPr>
                <w:rFonts w:hint="eastAsia" w:ascii="宋体" w:hAnsi="宋体" w:cs="宋体"/>
                <w:color w:val="000000" w:themeColor="text1"/>
                <w:sz w:val="24"/>
                <w14:textFill>
                  <w14:solidFill>
                    <w14:schemeClr w14:val="tx1"/>
                  </w14:solidFill>
                </w14:textFill>
              </w:rPr>
              <w:t>（小写）</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498" w:type="dxa"/>
            <w:gridSpan w:val="4"/>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表内报价内容以元为单位，精确到小数点后两位；</w:t>
            </w:r>
          </w:p>
          <w:p>
            <w:pPr>
              <w:kinsoku w:val="0"/>
              <w:spacing w:line="480" w:lineRule="auto"/>
              <w:ind w:firstLine="1050" w:firstLineChars="5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szCs w:val="21"/>
              </w:rPr>
              <w:t>交货期</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eastAsia="zh-CN"/>
                <w14:textFill>
                  <w14:solidFill>
                    <w14:schemeClr w14:val="tx1"/>
                  </w14:solidFill>
                </w14:textFill>
              </w:rPr>
              <w:t>质保期</w:t>
            </w:r>
            <w:r>
              <w:rPr>
                <w:rFonts w:hint="eastAsia" w:ascii="宋体" w:hAnsi="宋体" w:cs="宋体"/>
                <w:color w:val="000000" w:themeColor="text1"/>
                <w:szCs w:val="21"/>
                <w14:textFill>
                  <w14:solidFill>
                    <w14:schemeClr w14:val="tx1"/>
                  </w14:solidFill>
                </w14:textFill>
              </w:rPr>
              <w:t>见第五部分采购要求。</w:t>
            </w:r>
          </w:p>
        </w:tc>
      </w:tr>
    </w:tbl>
    <w:p>
      <w:pPr>
        <w:widowControl/>
        <w:tabs>
          <w:tab w:val="left" w:pos="4000"/>
        </w:tabs>
        <w:snapToGrid w:val="0"/>
        <w:spacing w:line="300" w:lineRule="auto"/>
        <w:jc w:val="left"/>
        <w:rPr>
          <w:rFonts w:hint="eastAsia"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法定代表人/被授权人（签字）：______________________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pStyle w:val="11"/>
        <w:spacing w:line="480" w:lineRule="auto"/>
        <w:ind w:firstLine="643" w:firstLineChars="200"/>
        <w:jc w:val="center"/>
        <w:rPr>
          <w:rFonts w:hAnsi="宋体" w:eastAsia="宋体" w:cs="宋体"/>
          <w:b/>
          <w:sz w:val="32"/>
        </w:rPr>
      </w:pPr>
      <w:r>
        <w:rPr>
          <w:rFonts w:hint="eastAsia" w:hAnsi="宋体" w:eastAsia="宋体" w:cs="宋体"/>
          <w:b/>
          <w:sz w:val="32"/>
        </w:rPr>
        <w:br w:type="page"/>
      </w:r>
    </w:p>
    <w:p>
      <w:pPr>
        <w:pStyle w:val="4"/>
        <w:bidi w:val="0"/>
      </w:pPr>
      <w:bookmarkStart w:id="78" w:name="_Toc13489"/>
      <w:r>
        <w:rPr>
          <w:rFonts w:hint="eastAsia"/>
          <w:lang w:eastAsia="zh-CN"/>
        </w:rPr>
        <w:t>第三章</w:t>
      </w:r>
      <w:r>
        <w:rPr>
          <w:rFonts w:hint="eastAsia"/>
          <w:lang w:val="en-US" w:eastAsia="zh-CN"/>
        </w:rPr>
        <w:t xml:space="preserve"> </w:t>
      </w:r>
      <w:r>
        <w:rPr>
          <w:rFonts w:hint="eastAsia"/>
        </w:rPr>
        <w:t>分项报价表</w:t>
      </w:r>
      <w:bookmarkEnd w:id="78"/>
    </w:p>
    <w:p>
      <w:pPr>
        <w:widowControl/>
        <w:wordWrap w:val="0"/>
        <w:spacing w:line="360" w:lineRule="auto"/>
        <w:jc w:val="left"/>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西安市长安区医院血栓抽吸控制系统采购项目</w:t>
      </w:r>
    </w:p>
    <w:p>
      <w:pPr>
        <w:pStyle w:val="7"/>
        <w:ind w:firstLine="0"/>
        <w:rPr>
          <w:rFonts w:hint="eastAsia" w:asci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lang w:eastAsia="zh-CN"/>
          <w14:textFill>
            <w14:solidFill>
              <w14:schemeClr w14:val="tx1"/>
            </w14:solidFill>
          </w14:textFill>
        </w:rPr>
        <w:t>SXWZ2022ZB-CAYY-263</w:t>
      </w:r>
    </w:p>
    <w:p>
      <w:pPr>
        <w:widowControl/>
        <w:wordWrap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共</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页，第</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bl>
      <w:tblPr>
        <w:tblStyle w:val="20"/>
        <w:tblpPr w:leftFromText="180" w:rightFromText="180" w:vertAnchor="text" w:horzAnchor="page" w:tblpX="1453" w:tblpY="19"/>
        <w:tblOverlap w:val="never"/>
        <w:tblW w:w="9336" w:type="dxa"/>
        <w:tblInd w:w="0" w:type="dxa"/>
        <w:tblLayout w:type="fixed"/>
        <w:tblCellMar>
          <w:top w:w="0" w:type="dxa"/>
          <w:left w:w="28" w:type="dxa"/>
          <w:bottom w:w="0" w:type="dxa"/>
          <w:right w:w="28" w:type="dxa"/>
        </w:tblCellMar>
      </w:tblPr>
      <w:tblGrid>
        <w:gridCol w:w="1093"/>
        <w:gridCol w:w="504"/>
        <w:gridCol w:w="752"/>
        <w:gridCol w:w="560"/>
        <w:gridCol w:w="1344"/>
        <w:gridCol w:w="1615"/>
        <w:gridCol w:w="966"/>
        <w:gridCol w:w="1251"/>
        <w:gridCol w:w="1251"/>
      </w:tblGrid>
      <w:tr>
        <w:tblPrEx>
          <w:tblCellMar>
            <w:top w:w="0" w:type="dxa"/>
            <w:left w:w="28" w:type="dxa"/>
            <w:bottom w:w="0" w:type="dxa"/>
            <w:right w:w="28" w:type="dxa"/>
          </w:tblCellMar>
        </w:tblPrEx>
        <w:trPr>
          <w:trHeight w:val="1053" w:hRule="atLeast"/>
        </w:trPr>
        <w:tc>
          <w:tcPr>
            <w:tcW w:w="1093" w:type="dxa"/>
            <w:vMerge w:val="restart"/>
            <w:tcBorders>
              <w:top w:val="single" w:color="auto" w:sz="6" w:space="0"/>
              <w:left w:val="single" w:color="auto" w:sz="6" w:space="0"/>
              <w:right w:val="single" w:color="auto" w:sz="4" w:space="0"/>
            </w:tcBorders>
            <w:vAlign w:val="center"/>
          </w:tcPr>
          <w:p>
            <w:pPr>
              <w:jc w:val="left"/>
              <w:rPr>
                <w:rFonts w:ascii="宋体" w:cs="宋体"/>
                <w:sz w:val="24"/>
                <w:szCs w:val="24"/>
              </w:rPr>
            </w:pPr>
            <w:r>
              <w:rPr>
                <w:rFonts w:hint="eastAsia" w:ascii="宋体" w:hAnsi="宋体" w:cs="宋体"/>
                <w:sz w:val="24"/>
                <w:szCs w:val="24"/>
              </w:rPr>
              <w:t>货物费用</w:t>
            </w:r>
          </w:p>
        </w:tc>
        <w:tc>
          <w:tcPr>
            <w:tcW w:w="504" w:type="dxa"/>
            <w:tcBorders>
              <w:top w:val="single" w:color="auto" w:sz="6" w:space="0"/>
              <w:left w:val="single" w:color="auto" w:sz="4" w:space="0"/>
              <w:bottom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序号</w:t>
            </w:r>
          </w:p>
        </w:tc>
        <w:tc>
          <w:tcPr>
            <w:tcW w:w="75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名称</w:t>
            </w:r>
          </w:p>
        </w:tc>
        <w:tc>
          <w:tcPr>
            <w:tcW w:w="560"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4"/>
                <w:szCs w:val="24"/>
              </w:rPr>
            </w:pPr>
            <w:r>
              <w:rPr>
                <w:rFonts w:hint="eastAsia" w:ascii="宋体" w:hAnsi="宋体" w:cs="宋体"/>
                <w:sz w:val="24"/>
                <w:szCs w:val="24"/>
              </w:rPr>
              <w:t>品牌</w:t>
            </w:r>
          </w:p>
        </w:tc>
        <w:tc>
          <w:tcPr>
            <w:tcW w:w="1344"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型号和规格</w:t>
            </w:r>
          </w:p>
        </w:tc>
        <w:tc>
          <w:tcPr>
            <w:tcW w:w="1615"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cs="宋体"/>
                <w:sz w:val="24"/>
                <w:szCs w:val="24"/>
              </w:rPr>
            </w:pPr>
            <w:r>
              <w:rPr>
                <w:rFonts w:hint="eastAsia" w:ascii="宋体" w:hAnsi="宋体" w:cs="宋体"/>
                <w:sz w:val="24"/>
                <w:szCs w:val="24"/>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4"/>
                <w:szCs w:val="24"/>
              </w:rPr>
            </w:pPr>
            <w:r>
              <w:rPr>
                <w:rFonts w:hint="eastAsia" w:ascii="宋体" w:hAnsi="宋体" w:cs="宋体"/>
                <w:sz w:val="24"/>
                <w:szCs w:val="24"/>
              </w:rPr>
              <w:t>数量</w:t>
            </w:r>
          </w:p>
        </w:tc>
        <w:tc>
          <w:tcPr>
            <w:tcW w:w="1251" w:type="dxa"/>
            <w:tcBorders>
              <w:top w:val="single" w:color="auto" w:sz="6" w:space="0"/>
              <w:left w:val="single" w:color="auto" w:sz="6" w:space="0"/>
              <w:bottom w:val="single" w:color="auto" w:sz="6" w:space="0"/>
              <w:right w:val="single" w:color="auto" w:sz="6" w:space="0"/>
            </w:tcBorders>
            <w:vAlign w:val="center"/>
          </w:tcPr>
          <w:p>
            <w:pPr>
              <w:spacing w:after="120"/>
              <w:rPr>
                <w:rFonts w:ascii="宋体" w:cs="宋体"/>
                <w:bCs/>
                <w:sz w:val="24"/>
                <w:szCs w:val="24"/>
              </w:rPr>
            </w:pPr>
            <w:r>
              <w:rPr>
                <w:rFonts w:hint="eastAsia" w:ascii="宋体" w:hAnsi="宋体" w:cs="宋体"/>
                <w:sz w:val="24"/>
                <w:szCs w:val="24"/>
              </w:rPr>
              <w:t>单价（元）</w:t>
            </w:r>
          </w:p>
        </w:tc>
        <w:tc>
          <w:tcPr>
            <w:tcW w:w="1251" w:type="dxa"/>
            <w:tcBorders>
              <w:top w:val="single" w:color="auto" w:sz="6" w:space="0"/>
              <w:left w:val="single" w:color="auto" w:sz="6" w:space="0"/>
              <w:bottom w:val="single" w:color="auto" w:sz="6" w:space="0"/>
              <w:right w:val="single" w:color="auto" w:sz="6" w:space="0"/>
            </w:tcBorders>
            <w:vAlign w:val="center"/>
          </w:tcPr>
          <w:p>
            <w:pPr>
              <w:spacing w:after="120"/>
              <w:rPr>
                <w:rFonts w:ascii="宋体" w:hAnsi="宋体" w:cs="宋体"/>
                <w:sz w:val="24"/>
                <w:szCs w:val="24"/>
              </w:rPr>
            </w:pPr>
            <w:r>
              <w:rPr>
                <w:rFonts w:hint="eastAsia" w:ascii="宋体" w:hAnsi="宋体" w:cs="宋体"/>
                <w:sz w:val="24"/>
                <w:szCs w:val="24"/>
              </w:rPr>
              <w:t>总价（元）</w:t>
            </w:r>
          </w:p>
        </w:tc>
      </w:tr>
      <w:tr>
        <w:tblPrEx>
          <w:tblCellMar>
            <w:top w:w="0" w:type="dxa"/>
            <w:left w:w="28" w:type="dxa"/>
            <w:bottom w:w="0" w:type="dxa"/>
            <w:right w:w="28" w:type="dxa"/>
          </w:tblCellMar>
        </w:tblPrEx>
        <w:trPr>
          <w:trHeight w:val="742"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6" w:space="0"/>
              <w:left w:val="single" w:color="auto" w:sz="4" w:space="0"/>
              <w:bottom w:val="single" w:color="auto" w:sz="4" w:space="0"/>
            </w:tcBorders>
            <w:vAlign w:val="center"/>
          </w:tcPr>
          <w:p>
            <w:pPr>
              <w:spacing w:beforeLines="100"/>
              <w:jc w:val="center"/>
              <w:rPr>
                <w:rFonts w:ascii="宋体" w:hAnsi="宋体" w:cs="宋体"/>
                <w:sz w:val="24"/>
                <w:szCs w:val="24"/>
              </w:rPr>
            </w:pPr>
            <w:r>
              <w:rPr>
                <w:rFonts w:ascii="宋体" w:hAnsi="宋体" w:cs="宋体"/>
                <w:sz w:val="24"/>
                <w:szCs w:val="24"/>
              </w:rPr>
              <w:t>1</w:t>
            </w:r>
          </w:p>
        </w:tc>
        <w:tc>
          <w:tcPr>
            <w:tcW w:w="75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731"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ascii="宋体" w:hAnsi="宋体" w:cs="宋体"/>
                <w:sz w:val="24"/>
                <w:szCs w:val="24"/>
              </w:rPr>
              <w:t>2</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742"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ascii="宋体" w:hAnsi="宋体" w:cs="宋体"/>
                <w:sz w:val="24"/>
                <w:szCs w:val="24"/>
              </w:rPr>
              <w:t>3</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1083" w:hRule="atLeast"/>
        </w:trPr>
        <w:tc>
          <w:tcPr>
            <w:tcW w:w="1093" w:type="dxa"/>
            <w:vMerge w:val="continue"/>
            <w:tcBorders>
              <w:left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cs="宋体"/>
                <w:sz w:val="24"/>
                <w:szCs w:val="24"/>
              </w:rPr>
            </w:pPr>
            <w:r>
              <w:rPr>
                <w:rFonts w:hint="eastAsia" w:ascii="宋体" w:hAnsi="宋体" w:cs="宋体"/>
                <w:sz w:val="24"/>
                <w:szCs w:val="24"/>
              </w:rPr>
              <w:t>……</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1083" w:hRule="atLeast"/>
        </w:trPr>
        <w:tc>
          <w:tcPr>
            <w:tcW w:w="109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cs="宋体"/>
                <w:sz w:val="24"/>
                <w:szCs w:val="24"/>
              </w:rPr>
            </w:pPr>
          </w:p>
        </w:tc>
        <w:tc>
          <w:tcPr>
            <w:tcW w:w="504" w:type="dxa"/>
            <w:tcBorders>
              <w:top w:val="single" w:color="auto" w:sz="4" w:space="0"/>
              <w:left w:val="single" w:color="auto" w:sz="4" w:space="0"/>
              <w:bottom w:val="single" w:color="auto" w:sz="6" w:space="0"/>
            </w:tcBorders>
            <w:vAlign w:val="center"/>
          </w:tcPr>
          <w:p>
            <w:pPr>
              <w:spacing w:beforeLines="100"/>
              <w:jc w:val="center"/>
              <w:rPr>
                <w:rFonts w:ascii="宋体" w:cs="宋体"/>
                <w:b/>
                <w:sz w:val="24"/>
                <w:szCs w:val="24"/>
              </w:rPr>
            </w:pPr>
            <w:r>
              <w:rPr>
                <w:rFonts w:hint="eastAsia" w:ascii="宋体" w:hAnsi="宋体" w:cs="宋体"/>
                <w:sz w:val="24"/>
                <w:szCs w:val="24"/>
              </w:rPr>
              <w:t>……</w:t>
            </w:r>
          </w:p>
        </w:tc>
        <w:tc>
          <w:tcPr>
            <w:tcW w:w="75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560"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cs="宋体"/>
                <w:sz w:val="24"/>
                <w:szCs w:val="24"/>
              </w:rPr>
            </w:pPr>
          </w:p>
        </w:tc>
        <w:tc>
          <w:tcPr>
            <w:tcW w:w="1344"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cs="宋体"/>
                <w:sz w:val="24"/>
                <w:szCs w:val="24"/>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p>
        </w:tc>
      </w:tr>
      <w:tr>
        <w:tblPrEx>
          <w:tblCellMar>
            <w:top w:w="0" w:type="dxa"/>
            <w:left w:w="28" w:type="dxa"/>
            <w:bottom w:w="0" w:type="dxa"/>
            <w:right w:w="28" w:type="dxa"/>
          </w:tblCellMar>
        </w:tblPrEx>
        <w:trPr>
          <w:trHeight w:val="699" w:hRule="atLeast"/>
        </w:trPr>
        <w:tc>
          <w:tcPr>
            <w:tcW w:w="234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其他费用</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1251"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r>
      <w:tr>
        <w:tblPrEx>
          <w:tblCellMar>
            <w:top w:w="0" w:type="dxa"/>
            <w:left w:w="28" w:type="dxa"/>
            <w:bottom w:w="0" w:type="dxa"/>
            <w:right w:w="28" w:type="dxa"/>
          </w:tblCellMar>
        </w:tblPrEx>
        <w:trPr>
          <w:trHeight w:val="699" w:hRule="atLeast"/>
        </w:trPr>
        <w:tc>
          <w:tcPr>
            <w:tcW w:w="2349"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4"/>
                <w:szCs w:val="24"/>
              </w:rPr>
            </w:pPr>
            <w:r>
              <w:rPr>
                <w:rFonts w:hint="eastAsia" w:ascii="宋体" w:hAnsi="宋体" w:cs="宋体"/>
                <w:sz w:val="24"/>
                <w:szCs w:val="24"/>
              </w:rPr>
              <w:t>……</w:t>
            </w:r>
          </w:p>
        </w:tc>
        <w:tc>
          <w:tcPr>
            <w:tcW w:w="1251"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r>
      <w:tr>
        <w:tblPrEx>
          <w:tblCellMar>
            <w:top w:w="0" w:type="dxa"/>
            <w:left w:w="28" w:type="dxa"/>
            <w:bottom w:w="0" w:type="dxa"/>
            <w:right w:w="28" w:type="dxa"/>
          </w:tblCellMar>
        </w:tblPrEx>
        <w:trPr>
          <w:trHeight w:val="732" w:hRule="atLeast"/>
        </w:trPr>
        <w:tc>
          <w:tcPr>
            <w:tcW w:w="2349" w:type="dxa"/>
            <w:gridSpan w:val="3"/>
            <w:tcBorders>
              <w:top w:val="single" w:color="auto" w:sz="4" w:space="0"/>
              <w:left w:val="single" w:color="auto" w:sz="6" w:space="0"/>
              <w:bottom w:val="single" w:color="auto" w:sz="6" w:space="0"/>
            </w:tcBorders>
            <w:vAlign w:val="center"/>
          </w:tcPr>
          <w:p>
            <w:pPr>
              <w:jc w:val="center"/>
              <w:rPr>
                <w:rFonts w:ascii="宋体" w:cs="宋体"/>
                <w:sz w:val="24"/>
                <w:szCs w:val="24"/>
              </w:rPr>
            </w:pPr>
            <w:r>
              <w:rPr>
                <w:rFonts w:hint="eastAsia" w:ascii="宋体" w:hAnsi="宋体" w:cs="宋体"/>
                <w:sz w:val="24"/>
                <w:szCs w:val="24"/>
              </w:rPr>
              <w:t>备注</w:t>
            </w:r>
          </w:p>
        </w:tc>
        <w:tc>
          <w:tcPr>
            <w:tcW w:w="5736" w:type="dxa"/>
            <w:gridSpan w:val="5"/>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cs="宋体"/>
                <w:sz w:val="24"/>
                <w:szCs w:val="24"/>
              </w:rPr>
            </w:pPr>
            <w:r>
              <w:rPr>
                <w:rFonts w:hint="eastAsia" w:ascii="宋体" w:hAnsi="宋体" w:cs="宋体"/>
                <w:spacing w:val="-6"/>
                <w:sz w:val="24"/>
                <w:szCs w:val="24"/>
              </w:rPr>
              <w:t>保留小数点后两位。</w:t>
            </w:r>
          </w:p>
        </w:tc>
        <w:tc>
          <w:tcPr>
            <w:tcW w:w="125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pacing w:val="-6"/>
                <w:sz w:val="24"/>
                <w:szCs w:val="24"/>
              </w:rPr>
            </w:pPr>
          </w:p>
        </w:tc>
      </w:tr>
    </w:tbl>
    <w:p>
      <w:pPr>
        <w:widowControl/>
        <w:wordWrap w:val="0"/>
        <w:spacing w:line="360" w:lineRule="auto"/>
        <w:jc w:val="left"/>
        <w:rPr>
          <w:rFonts w:ascii="宋体" w:cs="宋体"/>
          <w:b/>
          <w:color w:val="000000" w:themeColor="text1"/>
          <w:sz w:val="36"/>
          <w:szCs w:val="36"/>
          <w14:textFill>
            <w14:solidFill>
              <w14:schemeClr w14:val="tx1"/>
            </w14:solidFill>
          </w14:textFill>
        </w:rPr>
      </w:pPr>
    </w:p>
    <w:p>
      <w:pPr>
        <w:bidi w:val="0"/>
      </w:pP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（单位名称及公章）：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被授权人（签字或盖章）：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日期：年</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p>
    <w:p>
      <w:pPr>
        <w:rPr>
          <w:rFonts w:hint="eastAsia" w:ascii="宋体" w:hAnsi="宋体" w:cs="宋体"/>
        </w:rPr>
      </w:pPr>
      <w:bookmarkStart w:id="79" w:name="_Toc11309"/>
      <w:bookmarkStart w:id="80" w:name="OLE_LINK1"/>
      <w:r>
        <w:rPr>
          <w:rFonts w:hint="eastAsia" w:ascii="宋体" w:hAnsi="宋体" w:cs="宋体"/>
        </w:rPr>
        <w:br w:type="page"/>
      </w:r>
    </w:p>
    <w:p>
      <w:pPr>
        <w:pStyle w:val="4"/>
        <w:rPr>
          <w:rFonts w:ascii="宋体" w:hAnsi="宋体" w:cs="宋体"/>
        </w:rPr>
      </w:pPr>
      <w:bookmarkStart w:id="81" w:name="_Toc978"/>
      <w:r>
        <w:rPr>
          <w:rFonts w:hint="eastAsia" w:ascii="宋体" w:hAnsi="宋体" w:cs="宋体"/>
        </w:rPr>
        <w:t>第</w:t>
      </w:r>
      <w:bookmarkEnd w:id="79"/>
      <w:bookmarkEnd w:id="80"/>
      <w:r>
        <w:rPr>
          <w:rFonts w:hint="eastAsia" w:ascii="宋体" w:hAnsi="宋体" w:cs="宋体"/>
          <w:lang w:eastAsia="zh-CN"/>
        </w:rPr>
        <w:t>四章</w:t>
      </w:r>
      <w:r>
        <w:rPr>
          <w:rFonts w:hint="eastAsia" w:ascii="宋体" w:hAnsi="宋体" w:cs="宋体"/>
        </w:rPr>
        <w:t xml:space="preserve"> 供应商资质要求</w:t>
      </w:r>
      <w:bookmarkEnd w:id="81"/>
    </w:p>
    <w:p>
      <w:pPr>
        <w:pStyle w:val="7"/>
        <w:ind w:firstLine="0"/>
        <w:rPr>
          <w:rFonts w:hint="eastAsia" w:ascii="宋体" w:hAnsi="宋体" w:cs="宋体"/>
          <w:b/>
          <w:bCs/>
          <w:color w:val="000000" w:themeColor="text1"/>
          <w:sz w:val="28"/>
          <w:szCs w:val="24"/>
          <w14:textFill>
            <w14:solidFill>
              <w14:schemeClr w14:val="tx1"/>
            </w14:solidFill>
          </w14:textFill>
        </w:rPr>
      </w:pPr>
    </w:p>
    <w:p>
      <w:pPr>
        <w:pStyle w:val="7"/>
        <w:ind w:firstLine="0"/>
        <w:rPr>
          <w:rFonts w:hint="eastAsia" w:ascii="宋体" w:hAnsi="宋体" w:cs="宋体"/>
          <w:b/>
          <w:bCs/>
          <w:color w:val="000000" w:themeColor="text1"/>
          <w:sz w:val="28"/>
          <w:szCs w:val="24"/>
          <w14:textFill>
            <w14:solidFill>
              <w14:schemeClr w14:val="tx1"/>
            </w14:solidFill>
          </w14:textFill>
        </w:rPr>
      </w:pPr>
    </w:p>
    <w:p>
      <w:pPr>
        <w:pStyle w:val="7"/>
        <w:ind w:firstLine="562" w:firstLineChars="200"/>
        <w:rPr>
          <w:rFonts w:hint="eastAsia" w:ascii="宋体" w:hAns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供应商需在此页附</w:t>
      </w:r>
      <w:r>
        <w:rPr>
          <w:rFonts w:hint="eastAsia" w:ascii="宋体" w:hAnsi="宋体" w:cs="宋体"/>
          <w:b/>
          <w:bCs/>
          <w:color w:val="000000" w:themeColor="text1"/>
          <w:sz w:val="28"/>
          <w:szCs w:val="24"/>
          <w:lang w:eastAsia="zh-CN"/>
          <w14:textFill>
            <w14:solidFill>
              <w14:schemeClr w14:val="tx1"/>
            </w14:solidFill>
          </w14:textFill>
        </w:rPr>
        <w:t>谈判</w:t>
      </w:r>
      <w:r>
        <w:rPr>
          <w:rFonts w:hint="eastAsia" w:ascii="宋体" w:hAnsi="宋体" w:cs="宋体"/>
          <w:b/>
          <w:bCs/>
          <w:color w:val="000000" w:themeColor="text1"/>
          <w:sz w:val="28"/>
          <w:szCs w:val="24"/>
          <w14:textFill>
            <w14:solidFill>
              <w14:schemeClr w14:val="tx1"/>
            </w14:solidFill>
          </w14:textFill>
        </w:rPr>
        <w:t>公告或</w:t>
      </w:r>
      <w:r>
        <w:rPr>
          <w:rFonts w:hint="eastAsia" w:ascii="宋体" w:hAnsi="宋体" w:cs="宋体"/>
          <w:b/>
          <w:bCs/>
          <w:color w:val="000000" w:themeColor="text1"/>
          <w:sz w:val="28"/>
          <w:szCs w:val="24"/>
          <w:lang w:eastAsia="zh-CN"/>
          <w14:textFill>
            <w14:solidFill>
              <w14:schemeClr w14:val="tx1"/>
            </w14:solidFill>
          </w14:textFill>
        </w:rPr>
        <w:t>谈判</w:t>
      </w:r>
      <w:r>
        <w:rPr>
          <w:rFonts w:hint="eastAsia" w:ascii="宋体" w:hAnsi="宋体" w:cs="宋体"/>
          <w:b/>
          <w:bCs/>
          <w:color w:val="000000" w:themeColor="text1"/>
          <w:sz w:val="28"/>
          <w:szCs w:val="24"/>
          <w14:textFill>
            <w14:solidFill>
              <w14:schemeClr w14:val="tx1"/>
            </w14:solidFill>
          </w14:textFill>
        </w:rPr>
        <w:t>文件中要求的资质证明文件，响应文件附资质复印件或扫描件加盖供应商公章。格式参考见下页。</w:t>
      </w:r>
    </w:p>
    <w:p>
      <w:pPr>
        <w:rPr>
          <w:rFonts w:hint="eastAsia"/>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br w:type="page"/>
      </w:r>
    </w:p>
    <w:p>
      <w:pPr>
        <w:pStyle w:val="7"/>
        <w:ind w:firstLine="643" w:firstLineChars="20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1、供应商符合《政府采购法》第二十二条规定条件的承诺函</w:t>
      </w:r>
    </w:p>
    <w:p>
      <w:pPr>
        <w:pStyle w:val="10"/>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参加的投标活动，现承诺：</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我公司满足政府采购法第二十二条关于供应商的资格要求：</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（五）参加政府采购活动前三年内，在经营活动中没有重大违法记录；</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10"/>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10"/>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pStyle w:val="7"/>
        <w:ind w:firstLine="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20"/>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bookmarkStart w:id="82" w:name="_Toc5452"/>
            <w:bookmarkStart w:id="83" w:name="_Toc18556"/>
            <w:bookmarkStart w:id="84" w:name="_Toc15823"/>
            <w:bookmarkStart w:id="85" w:name="_Toc29518"/>
            <w:r>
              <w:rPr>
                <w:rFonts w:hint="eastAsia"/>
                <w:color w:val="000000" w:themeColor="text1"/>
                <w:lang w:eastAsia="zh-CN"/>
                <w14:textFill>
                  <w14:solidFill>
                    <w14:schemeClr w14:val="tx1"/>
                  </w14:solidFill>
                </w14:textFill>
              </w:rPr>
              <w:t>供应商</w:t>
            </w:r>
            <w:r>
              <w:rPr>
                <w:rFonts w:hint="eastAsia"/>
                <w:color w:val="000000" w:themeColor="text1"/>
                <w14:textFill>
                  <w14:solidFill>
                    <w14:schemeClr w14:val="tx1"/>
                  </w14:solidFill>
                </w14:textFill>
              </w:rPr>
              <w:t>名称</w:t>
            </w:r>
            <w:bookmarkEnd w:id="82"/>
            <w:bookmarkEnd w:id="83"/>
            <w:bookmarkEnd w:id="84"/>
            <w:bookmarkEnd w:id="85"/>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bookmarkStart w:id="86" w:name="_Toc26127"/>
            <w:bookmarkStart w:id="87" w:name="_Toc15986"/>
            <w:bookmarkStart w:id="88" w:name="_Toc32432"/>
            <w:r>
              <w:rPr>
                <w:rFonts w:hint="eastAsia"/>
                <w:color w:val="000000" w:themeColor="text1"/>
                <w14:textFill>
                  <w14:solidFill>
                    <w14:schemeClr w14:val="tx1"/>
                  </w14:solidFill>
                </w14:textFill>
              </w:rPr>
              <w:t>注册地址</w:t>
            </w:r>
            <w:bookmarkEnd w:id="86"/>
            <w:bookmarkEnd w:id="87"/>
            <w:bookmarkEnd w:id="88"/>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89" w:name="_Toc2965"/>
            <w:bookmarkStart w:id="90" w:name="_Toc5829"/>
            <w:bookmarkStart w:id="91" w:name="_Toc13370"/>
            <w:bookmarkStart w:id="92" w:name="_Toc20217"/>
            <w:r>
              <w:rPr>
                <w:rFonts w:hint="eastAsia"/>
                <w:color w:val="000000" w:themeColor="text1"/>
                <w14:textFill>
                  <w14:solidFill>
                    <w14:schemeClr w14:val="tx1"/>
                  </w14:solidFill>
                </w14:textFill>
              </w:rPr>
              <w:t>邮政编码</w:t>
            </w:r>
            <w:bookmarkEnd w:id="89"/>
            <w:bookmarkEnd w:id="90"/>
            <w:bookmarkEnd w:id="91"/>
            <w:bookmarkEnd w:id="92"/>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93" w:name="_Toc24152"/>
            <w:bookmarkStart w:id="94" w:name="_Toc5933"/>
            <w:bookmarkStart w:id="95" w:name="_Toc14242"/>
            <w:bookmarkStart w:id="96" w:name="_Toc29861"/>
            <w:r>
              <w:rPr>
                <w:rFonts w:hint="eastAsia"/>
                <w:color w:val="000000" w:themeColor="text1"/>
                <w14:textFill>
                  <w14:solidFill>
                    <w14:schemeClr w14:val="tx1"/>
                  </w14:solidFill>
                </w14:textFill>
              </w:rPr>
              <w:t>联系方式</w:t>
            </w:r>
            <w:bookmarkEnd w:id="93"/>
            <w:bookmarkEnd w:id="94"/>
            <w:bookmarkEnd w:id="95"/>
            <w:bookmarkEnd w:id="96"/>
          </w:p>
        </w:tc>
        <w:tc>
          <w:tcPr>
            <w:tcW w:w="1016" w:type="dxa"/>
            <w:vAlign w:val="center"/>
          </w:tcPr>
          <w:p>
            <w:pPr>
              <w:rPr>
                <w:color w:val="000000" w:themeColor="text1"/>
                <w14:textFill>
                  <w14:solidFill>
                    <w14:schemeClr w14:val="tx1"/>
                  </w14:solidFill>
                </w14:textFill>
              </w:rPr>
            </w:pPr>
            <w:bookmarkStart w:id="97" w:name="_Toc32228"/>
            <w:bookmarkStart w:id="98" w:name="_Toc22630"/>
            <w:bookmarkStart w:id="99" w:name="_Toc11708"/>
            <w:bookmarkStart w:id="100" w:name="_Toc23469"/>
            <w:r>
              <w:rPr>
                <w:rFonts w:hint="eastAsia"/>
                <w:color w:val="000000" w:themeColor="text1"/>
                <w14:textFill>
                  <w14:solidFill>
                    <w14:schemeClr w14:val="tx1"/>
                  </w14:solidFill>
                </w14:textFill>
              </w:rPr>
              <w:t>联系人</w:t>
            </w:r>
            <w:bookmarkEnd w:id="97"/>
            <w:bookmarkEnd w:id="98"/>
            <w:bookmarkEnd w:id="99"/>
            <w:bookmarkEnd w:id="100"/>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101" w:name="_Toc28825"/>
            <w:bookmarkStart w:id="102" w:name="_Toc29495"/>
            <w:bookmarkStart w:id="103" w:name="_Toc22121"/>
            <w:bookmarkStart w:id="104" w:name="_Toc31524"/>
            <w:r>
              <w:rPr>
                <w:rFonts w:hint="eastAsia"/>
                <w:color w:val="000000" w:themeColor="text1"/>
                <w14:textFill>
                  <w14:solidFill>
                    <w14:schemeClr w14:val="tx1"/>
                  </w14:solidFill>
                </w14:textFill>
              </w:rPr>
              <w:t>电话</w:t>
            </w:r>
            <w:bookmarkEnd w:id="101"/>
            <w:bookmarkEnd w:id="102"/>
            <w:bookmarkEnd w:id="103"/>
            <w:bookmarkEnd w:id="104"/>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05" w:name="_Toc12754"/>
            <w:bookmarkStart w:id="106" w:name="_Toc27355"/>
            <w:bookmarkStart w:id="107" w:name="_Toc8331"/>
            <w:bookmarkStart w:id="108" w:name="_Toc21326"/>
            <w:r>
              <w:rPr>
                <w:rFonts w:hint="eastAsia"/>
                <w:color w:val="000000" w:themeColor="text1"/>
                <w14:textFill>
                  <w14:solidFill>
                    <w14:schemeClr w14:val="tx1"/>
                  </w14:solidFill>
                </w14:textFill>
              </w:rPr>
              <w:t>组织结构</w:t>
            </w:r>
            <w:bookmarkEnd w:id="105"/>
            <w:bookmarkEnd w:id="106"/>
            <w:bookmarkEnd w:id="107"/>
            <w:bookmarkEnd w:id="108"/>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bookmarkStart w:id="109" w:name="_Toc28736"/>
            <w:bookmarkStart w:id="110" w:name="_Toc29110"/>
            <w:bookmarkStart w:id="111" w:name="_Toc22082"/>
            <w:bookmarkStart w:id="112" w:name="_Toc5018"/>
            <w:r>
              <w:rPr>
                <w:rFonts w:hint="eastAsia"/>
                <w:color w:val="000000" w:themeColor="text1"/>
                <w14:textFill>
                  <w14:solidFill>
                    <w14:schemeClr w14:val="tx1"/>
                  </w14:solidFill>
                </w14:textFill>
              </w:rPr>
              <w:t>法定代表人</w:t>
            </w:r>
            <w:bookmarkEnd w:id="109"/>
            <w:bookmarkEnd w:id="110"/>
            <w:bookmarkEnd w:id="111"/>
            <w:bookmarkEnd w:id="112"/>
          </w:p>
        </w:tc>
        <w:tc>
          <w:tcPr>
            <w:tcW w:w="1016" w:type="dxa"/>
            <w:vAlign w:val="center"/>
          </w:tcPr>
          <w:p>
            <w:pPr>
              <w:rPr>
                <w:color w:val="000000" w:themeColor="text1"/>
                <w14:textFill>
                  <w14:solidFill>
                    <w14:schemeClr w14:val="tx1"/>
                  </w14:solidFill>
                </w14:textFill>
              </w:rPr>
            </w:pPr>
            <w:bookmarkStart w:id="113" w:name="_Toc3509"/>
            <w:bookmarkStart w:id="114" w:name="_Toc8313"/>
            <w:bookmarkStart w:id="115" w:name="_Toc429"/>
            <w:bookmarkStart w:id="116" w:name="_Toc24566"/>
            <w:r>
              <w:rPr>
                <w:rFonts w:hint="eastAsia"/>
                <w:color w:val="000000" w:themeColor="text1"/>
                <w14:textFill>
                  <w14:solidFill>
                    <w14:schemeClr w14:val="tx1"/>
                  </w14:solidFill>
                </w14:textFill>
              </w:rPr>
              <w:t>姓名</w:t>
            </w:r>
            <w:bookmarkEnd w:id="113"/>
            <w:bookmarkEnd w:id="114"/>
            <w:bookmarkEnd w:id="115"/>
            <w:bookmarkEnd w:id="116"/>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17" w:name="_Toc2791"/>
            <w:bookmarkStart w:id="118" w:name="_Toc552"/>
            <w:bookmarkStart w:id="119" w:name="_Toc11392"/>
            <w:bookmarkStart w:id="120" w:name="_Toc5089"/>
            <w:r>
              <w:rPr>
                <w:rFonts w:hint="eastAsia"/>
                <w:color w:val="000000" w:themeColor="text1"/>
                <w14:textFill>
                  <w14:solidFill>
                    <w14:schemeClr w14:val="tx1"/>
                  </w14:solidFill>
                </w14:textFill>
              </w:rPr>
              <w:t>技术职称</w:t>
            </w:r>
            <w:bookmarkEnd w:id="117"/>
            <w:bookmarkEnd w:id="118"/>
            <w:bookmarkEnd w:id="119"/>
            <w:bookmarkEnd w:id="120"/>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121" w:name="_Toc24036"/>
            <w:bookmarkStart w:id="122" w:name="_Toc18413"/>
            <w:bookmarkStart w:id="123" w:name="_Toc21732"/>
            <w:bookmarkStart w:id="124" w:name="_Toc15179"/>
            <w:r>
              <w:rPr>
                <w:rFonts w:hint="eastAsia"/>
                <w:color w:val="000000" w:themeColor="text1"/>
                <w14:textFill>
                  <w14:solidFill>
                    <w14:schemeClr w14:val="tx1"/>
                  </w14:solidFill>
                </w14:textFill>
              </w:rPr>
              <w:t>电话</w:t>
            </w:r>
            <w:bookmarkEnd w:id="121"/>
            <w:bookmarkEnd w:id="122"/>
            <w:bookmarkEnd w:id="123"/>
            <w:bookmarkEnd w:id="124"/>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bookmarkStart w:id="125" w:name="_Toc6397"/>
            <w:bookmarkStart w:id="126" w:name="_Toc832"/>
            <w:bookmarkStart w:id="127" w:name="_Toc18654"/>
            <w:bookmarkStart w:id="128" w:name="_Toc30758"/>
            <w:r>
              <w:rPr>
                <w:rFonts w:hint="eastAsia"/>
                <w:color w:val="000000" w:themeColor="text1"/>
                <w14:textFill>
                  <w14:solidFill>
                    <w14:schemeClr w14:val="tx1"/>
                  </w14:solidFill>
                </w14:textFill>
              </w:rPr>
              <w:t>技术负责人</w:t>
            </w:r>
            <w:bookmarkEnd w:id="125"/>
            <w:bookmarkEnd w:id="126"/>
            <w:bookmarkEnd w:id="127"/>
            <w:bookmarkEnd w:id="128"/>
          </w:p>
        </w:tc>
        <w:tc>
          <w:tcPr>
            <w:tcW w:w="1016" w:type="dxa"/>
            <w:vAlign w:val="center"/>
          </w:tcPr>
          <w:p>
            <w:pPr>
              <w:rPr>
                <w:color w:val="000000" w:themeColor="text1"/>
                <w14:textFill>
                  <w14:solidFill>
                    <w14:schemeClr w14:val="tx1"/>
                  </w14:solidFill>
                </w14:textFill>
              </w:rPr>
            </w:pPr>
            <w:bookmarkStart w:id="129" w:name="_Toc5794"/>
            <w:bookmarkStart w:id="130" w:name="_Toc32237"/>
            <w:bookmarkStart w:id="131" w:name="_Toc6829"/>
            <w:bookmarkStart w:id="132" w:name="_Toc17841"/>
            <w:r>
              <w:rPr>
                <w:rFonts w:hint="eastAsia"/>
                <w:color w:val="000000" w:themeColor="text1"/>
                <w14:textFill>
                  <w14:solidFill>
                    <w14:schemeClr w14:val="tx1"/>
                  </w14:solidFill>
                </w14:textFill>
              </w:rPr>
              <w:t>姓名</w:t>
            </w:r>
            <w:bookmarkEnd w:id="129"/>
            <w:bookmarkEnd w:id="130"/>
            <w:bookmarkEnd w:id="131"/>
            <w:bookmarkEnd w:id="132"/>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33" w:name="_Toc25059"/>
            <w:bookmarkStart w:id="134" w:name="_Toc17957"/>
            <w:bookmarkStart w:id="135" w:name="_Toc25207"/>
            <w:bookmarkStart w:id="136" w:name="_Toc27222"/>
            <w:r>
              <w:rPr>
                <w:rFonts w:hint="eastAsia"/>
                <w:color w:val="000000" w:themeColor="text1"/>
                <w14:textFill>
                  <w14:solidFill>
                    <w14:schemeClr w14:val="tx1"/>
                  </w14:solidFill>
                </w14:textFill>
              </w:rPr>
              <w:t>技术职称</w:t>
            </w:r>
            <w:bookmarkEnd w:id="133"/>
            <w:bookmarkEnd w:id="134"/>
            <w:bookmarkEnd w:id="135"/>
            <w:bookmarkEnd w:id="136"/>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137" w:name="_Toc14501"/>
            <w:bookmarkStart w:id="138" w:name="_Toc12165"/>
            <w:bookmarkStart w:id="139" w:name="_Toc321"/>
            <w:bookmarkStart w:id="140" w:name="_Toc26943"/>
            <w:r>
              <w:rPr>
                <w:rFonts w:hint="eastAsia"/>
                <w:color w:val="000000" w:themeColor="text1"/>
                <w14:textFill>
                  <w14:solidFill>
                    <w14:schemeClr w14:val="tx1"/>
                  </w14:solidFill>
                </w14:textFill>
              </w:rPr>
              <w:t>电话</w:t>
            </w:r>
            <w:bookmarkEnd w:id="137"/>
            <w:bookmarkEnd w:id="138"/>
            <w:bookmarkEnd w:id="139"/>
            <w:bookmarkEnd w:id="140"/>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41" w:name="_Toc13190"/>
            <w:bookmarkStart w:id="142" w:name="_Toc5056"/>
            <w:bookmarkStart w:id="143" w:name="_Toc15849"/>
            <w:bookmarkStart w:id="144" w:name="_Toc1183"/>
            <w:r>
              <w:rPr>
                <w:rFonts w:hint="eastAsia"/>
                <w:color w:val="000000" w:themeColor="text1"/>
                <w14:textFill>
                  <w14:solidFill>
                    <w14:schemeClr w14:val="tx1"/>
                  </w14:solidFill>
                </w14:textFill>
              </w:rPr>
              <w:t>成立时间</w:t>
            </w:r>
            <w:bookmarkEnd w:id="141"/>
            <w:bookmarkEnd w:id="142"/>
            <w:bookmarkEnd w:id="143"/>
            <w:bookmarkEnd w:id="144"/>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bookmarkStart w:id="145" w:name="_Toc9920"/>
            <w:bookmarkStart w:id="146" w:name="_Toc23476"/>
            <w:bookmarkStart w:id="147" w:name="_Toc5918"/>
            <w:bookmarkStart w:id="148" w:name="_Toc7458"/>
            <w:r>
              <w:rPr>
                <w:rFonts w:hint="eastAsia"/>
                <w:color w:val="000000" w:themeColor="text1"/>
                <w14:textFill>
                  <w14:solidFill>
                    <w14:schemeClr w14:val="tx1"/>
                  </w14:solidFill>
                </w14:textFill>
              </w:rPr>
              <w:t>员工总人数：</w:t>
            </w:r>
            <w:bookmarkEnd w:id="145"/>
            <w:bookmarkEnd w:id="146"/>
            <w:bookmarkEnd w:id="147"/>
            <w:bookmarkEnd w:id="14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49" w:name="_Toc19832"/>
            <w:bookmarkStart w:id="150" w:name="_Toc13811"/>
            <w:bookmarkStart w:id="151" w:name="_Toc24347"/>
            <w:bookmarkStart w:id="152" w:name="_Toc2495"/>
            <w:r>
              <w:rPr>
                <w:rFonts w:hint="eastAsia"/>
                <w:color w:val="000000" w:themeColor="text1"/>
                <w14:textFill>
                  <w14:solidFill>
                    <w14:schemeClr w14:val="tx1"/>
                  </w14:solidFill>
                </w14:textFill>
              </w:rPr>
              <w:t>营业执照号</w:t>
            </w:r>
            <w:bookmarkEnd w:id="149"/>
            <w:bookmarkEnd w:id="150"/>
            <w:bookmarkEnd w:id="151"/>
            <w:bookmarkEnd w:id="152"/>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bookmarkStart w:id="153" w:name="_Toc16273"/>
            <w:bookmarkStart w:id="154" w:name="_Toc19894"/>
            <w:bookmarkStart w:id="155" w:name="_Toc13361"/>
            <w:bookmarkStart w:id="156" w:name="_Toc15246"/>
            <w:r>
              <w:rPr>
                <w:rFonts w:hint="eastAsia"/>
                <w:color w:val="000000" w:themeColor="text1"/>
                <w14:textFill>
                  <w14:solidFill>
                    <w14:schemeClr w14:val="tx1"/>
                  </w14:solidFill>
                </w14:textFill>
              </w:rPr>
              <w:t>高级职称人员</w:t>
            </w:r>
            <w:bookmarkEnd w:id="153"/>
            <w:bookmarkEnd w:id="154"/>
            <w:bookmarkEnd w:id="155"/>
            <w:bookmarkEnd w:id="156"/>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57" w:name="_Toc12522"/>
            <w:bookmarkStart w:id="158" w:name="_Toc20237"/>
            <w:bookmarkStart w:id="159" w:name="_Toc30242"/>
            <w:bookmarkStart w:id="160" w:name="_Toc3476"/>
            <w:r>
              <w:rPr>
                <w:rFonts w:hint="eastAsia"/>
                <w:color w:val="000000" w:themeColor="text1"/>
                <w14:textFill>
                  <w14:solidFill>
                    <w14:schemeClr w14:val="tx1"/>
                  </w14:solidFill>
                </w14:textFill>
              </w:rPr>
              <w:t>注册资金</w:t>
            </w:r>
            <w:bookmarkEnd w:id="157"/>
            <w:bookmarkEnd w:id="158"/>
            <w:bookmarkEnd w:id="159"/>
            <w:bookmarkEnd w:id="160"/>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61" w:name="_Toc16642"/>
            <w:bookmarkStart w:id="162" w:name="_Toc30244"/>
            <w:bookmarkStart w:id="163" w:name="_Toc7916"/>
            <w:bookmarkStart w:id="164" w:name="_Toc1834"/>
            <w:r>
              <w:rPr>
                <w:rFonts w:hint="eastAsia"/>
                <w:color w:val="000000" w:themeColor="text1"/>
                <w14:textFill>
                  <w14:solidFill>
                    <w14:schemeClr w14:val="tx1"/>
                  </w14:solidFill>
                </w14:textFill>
              </w:rPr>
              <w:t>中级职称人员</w:t>
            </w:r>
            <w:bookmarkEnd w:id="161"/>
            <w:bookmarkEnd w:id="162"/>
            <w:bookmarkEnd w:id="163"/>
            <w:bookmarkEnd w:id="164"/>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165" w:name="_Toc21663"/>
            <w:bookmarkStart w:id="166" w:name="_Toc18512"/>
            <w:bookmarkStart w:id="167" w:name="_Toc24406"/>
            <w:bookmarkStart w:id="168" w:name="_Toc17149"/>
            <w:r>
              <w:rPr>
                <w:rFonts w:hint="eastAsia"/>
                <w:color w:val="000000" w:themeColor="text1"/>
                <w14:textFill>
                  <w14:solidFill>
                    <w14:schemeClr w14:val="tx1"/>
                  </w14:solidFill>
                </w14:textFill>
              </w:rPr>
              <w:t>开户银行</w:t>
            </w:r>
            <w:bookmarkEnd w:id="165"/>
            <w:bookmarkEnd w:id="166"/>
            <w:bookmarkEnd w:id="167"/>
            <w:bookmarkEnd w:id="168"/>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69" w:name="_Toc12330"/>
            <w:bookmarkStart w:id="170" w:name="_Toc15110"/>
            <w:bookmarkStart w:id="171" w:name="_Toc24761"/>
            <w:bookmarkStart w:id="172" w:name="_Toc23409"/>
            <w:r>
              <w:rPr>
                <w:rFonts w:hint="eastAsia"/>
                <w:color w:val="000000" w:themeColor="text1"/>
                <w14:textFill>
                  <w14:solidFill>
                    <w14:schemeClr w14:val="tx1"/>
                  </w14:solidFill>
                </w14:textFill>
              </w:rPr>
              <w:t>初级职称人员</w:t>
            </w:r>
            <w:bookmarkEnd w:id="169"/>
            <w:bookmarkEnd w:id="170"/>
            <w:bookmarkEnd w:id="171"/>
            <w:bookmarkEnd w:id="172"/>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bookmarkStart w:id="173" w:name="_Toc19211"/>
            <w:bookmarkStart w:id="174" w:name="_Toc7855"/>
            <w:bookmarkStart w:id="175" w:name="_Toc11996"/>
            <w:bookmarkStart w:id="176" w:name="_Toc7482"/>
            <w:r>
              <w:rPr>
                <w:rFonts w:hint="eastAsia"/>
                <w:color w:val="000000" w:themeColor="text1"/>
                <w14:textFill>
                  <w14:solidFill>
                    <w14:schemeClr w14:val="tx1"/>
                  </w14:solidFill>
                </w14:textFill>
              </w:rPr>
              <w:t>账号</w:t>
            </w:r>
            <w:bookmarkEnd w:id="173"/>
            <w:bookmarkEnd w:id="174"/>
            <w:bookmarkEnd w:id="175"/>
            <w:bookmarkEnd w:id="176"/>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177" w:name="_Toc10662"/>
            <w:bookmarkStart w:id="178" w:name="_Toc23890"/>
            <w:bookmarkStart w:id="179" w:name="_Toc16123"/>
            <w:bookmarkStart w:id="180" w:name="_Toc7296"/>
            <w:r>
              <w:rPr>
                <w:rFonts w:hint="eastAsia"/>
                <w:color w:val="000000" w:themeColor="text1"/>
                <w14:textFill>
                  <w14:solidFill>
                    <w14:schemeClr w14:val="tx1"/>
                  </w14:solidFill>
                </w14:textFill>
              </w:rPr>
              <w:t>技工</w:t>
            </w:r>
            <w:bookmarkEnd w:id="177"/>
            <w:bookmarkEnd w:id="178"/>
            <w:bookmarkEnd w:id="179"/>
            <w:bookmarkEnd w:id="180"/>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bookmarkStart w:id="181" w:name="_Toc2745"/>
            <w:bookmarkStart w:id="182" w:name="_Toc516"/>
            <w:bookmarkStart w:id="183" w:name="_Toc19840"/>
            <w:bookmarkStart w:id="184" w:name="_Toc30075"/>
            <w:r>
              <w:rPr>
                <w:rFonts w:hint="eastAsia"/>
                <w:color w:val="000000" w:themeColor="text1"/>
                <w14:textFill>
                  <w14:solidFill>
                    <w14:schemeClr w14:val="tx1"/>
                  </w14:solidFill>
                </w14:textFill>
              </w:rPr>
              <w:t>经营范围</w:t>
            </w:r>
            <w:bookmarkEnd w:id="181"/>
            <w:bookmarkEnd w:id="182"/>
            <w:bookmarkEnd w:id="183"/>
            <w:bookmarkEnd w:id="184"/>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bookmarkStart w:id="185" w:name="_Toc12320"/>
            <w:bookmarkStart w:id="186" w:name="_Toc19290"/>
            <w:bookmarkStart w:id="187" w:name="_Toc26754"/>
            <w:bookmarkStart w:id="188" w:name="_Toc22690"/>
            <w:r>
              <w:rPr>
                <w:rFonts w:hint="eastAsia"/>
                <w:color w:val="000000" w:themeColor="text1"/>
                <w14:textFill>
                  <w14:solidFill>
                    <w14:schemeClr w14:val="tx1"/>
                  </w14:solidFill>
                </w14:textFill>
              </w:rPr>
              <w:t>备注</w:t>
            </w:r>
            <w:bookmarkEnd w:id="185"/>
            <w:bookmarkEnd w:id="186"/>
            <w:bookmarkEnd w:id="187"/>
            <w:bookmarkEnd w:id="188"/>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20"/>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CN"/>
                <w14:textFill>
                  <w14:solidFill>
                    <w14:schemeClr w14:val="tx1"/>
                  </w14:solidFill>
                </w14:textFill>
              </w:rPr>
              <w:t>供应商</w:t>
            </w:r>
            <w:r>
              <w:rPr>
                <w:rFonts w:hint="eastAsia" w:ascii="宋体" w:hAnsi="宋体" w:cs="宋体"/>
                <w:color w:val="000000" w:themeColor="text1"/>
                <w:kern w:val="0"/>
                <w:szCs w:val="21"/>
                <w14:textFill>
                  <w14:solidFill>
                    <w14:schemeClr w14:val="tx1"/>
                  </w14:solidFill>
                </w14:textFill>
              </w:rPr>
              <w:t>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6"/>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1"/>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1"/>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single"/>
          <w14:textFill>
            <w14:solidFill>
              <w14:schemeClr w14:val="tx1"/>
            </w14:solidFill>
          </w14:textFill>
        </w:rPr>
        <w:t>为</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w:t>
      </w:r>
      <w:r>
        <w:rPr>
          <w:rFonts w:hint="eastAsia" w:ascii="宋体" w:hAnsi="宋体" w:cs="宋体"/>
          <w:color w:val="000000" w:themeColor="text1"/>
          <w:sz w:val="24"/>
          <w:u w:val="single"/>
          <w14:textFill>
            <w14:solidFill>
              <w14:schemeClr w14:val="tx1"/>
            </w14:solidFill>
          </w14:textFill>
        </w:rPr>
        <w:t xml:space="preserve">起 </w:t>
      </w:r>
      <w:r>
        <w:rPr>
          <w:rFonts w:hint="eastAsia" w:ascii="宋体" w:hAnsi="宋体" w:cs="宋体"/>
          <w:color w:val="000000" w:themeColor="text1"/>
          <w:sz w:val="24"/>
          <w:u w:val="single"/>
          <w:lang w:val="en-US" w:eastAsia="zh-CN"/>
          <w14:textFill>
            <w14:solidFill>
              <w14:schemeClr w14:val="tx1"/>
            </w14:solidFill>
          </w14:textFill>
        </w:rPr>
        <w:t>90</w:t>
      </w:r>
      <w:r>
        <w:rPr>
          <w:rFonts w:hint="eastAsia" w:ascii="宋体" w:hAnsi="宋体" w:cs="宋体"/>
          <w:color w:val="000000" w:themeColor="text1"/>
          <w:sz w:val="24"/>
          <w:u w:val="single"/>
          <w14:textFill>
            <w14:solidFill>
              <w14:schemeClr w14:val="tx1"/>
            </w14:solidFill>
          </w14:textFill>
        </w:rPr>
        <w:t xml:space="preserve"> 日历天</w:t>
      </w:r>
      <w:r>
        <w:rPr>
          <w:rFonts w:hint="eastAsia" w:ascii="宋体" w:hAnsi="宋体" w:cs="宋体"/>
          <w:color w:val="000000" w:themeColor="text1"/>
          <w:sz w:val="24"/>
          <w14:textFill>
            <w14:solidFill>
              <w14:schemeClr w14:val="tx1"/>
            </w14:solidFill>
          </w14:textFill>
        </w:rPr>
        <w:t>，特此声明。</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1"/>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1"/>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1"/>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0"/>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1"/>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1"/>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w:t>
      </w:r>
      <w:r>
        <w:rPr>
          <w:rFonts w:hint="eastAsia" w:hAnsi="宋体" w:cs="宋体"/>
          <w:color w:val="000000" w:themeColor="text1"/>
          <w:sz w:val="24"/>
          <w:szCs w:val="24"/>
          <w:lang w:val="en-US" w:eastAsia="zh-CN"/>
          <w14:textFill>
            <w14:solidFill>
              <w14:schemeClr w14:val="tx1"/>
            </w14:solidFill>
          </w14:textFill>
        </w:rPr>
        <w:t>90</w:t>
      </w:r>
      <w:r>
        <w:rPr>
          <w:rFonts w:hint="eastAsia" w:hAnsi="宋体" w:cs="宋体"/>
          <w:color w:val="000000" w:themeColor="text1"/>
          <w:sz w:val="24"/>
          <w:szCs w:val="24"/>
          <w14:textFill>
            <w14:solidFill>
              <w14:schemeClr w14:val="tx1"/>
            </w14:solidFill>
          </w14:textFill>
        </w:rPr>
        <w:t>日历日。</w:t>
      </w:r>
    </w:p>
    <w:p>
      <w:pPr>
        <w:pStyle w:val="11"/>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jc w:val="both"/>
        <w:rPr>
          <w:color w:val="000000" w:themeColor="text1"/>
          <w:sz w:val="24"/>
          <w:szCs w:val="28"/>
          <w14:textFill>
            <w14:solidFill>
              <w14:schemeClr w14:val="tx1"/>
            </w14:solidFill>
          </w14:textFill>
        </w:rPr>
      </w:pPr>
      <w:r>
        <w:rPr>
          <w:rFonts w:hint="eastAsia"/>
          <w:color w:val="000000" w:themeColor="text1"/>
          <w:sz w:val="24"/>
          <w:szCs w:val="28"/>
          <w:lang w:val="en-US" w:eastAsia="zh-CN"/>
          <w14:textFill>
            <w14:solidFill>
              <w14:schemeClr w14:val="tx1"/>
            </w14:solidFill>
          </w14:textFill>
        </w:rPr>
        <w:t>4、</w:t>
      </w:r>
      <w:r>
        <w:rPr>
          <w:rFonts w:hint="eastAsia"/>
          <w:color w:val="000000" w:themeColor="text1"/>
          <w:sz w:val="24"/>
          <w:szCs w:val="28"/>
          <w14:textFill>
            <w14:solidFill>
              <w14:schemeClr w14:val="tx1"/>
            </w14:solidFill>
          </w14:textFill>
        </w:rPr>
        <w:t>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竞争性</w:t>
      </w:r>
      <w:r>
        <w:rPr>
          <w:rFonts w:hint="eastAsia" w:ascii="宋体" w:hAnsi="宋体" w:cs="宋体"/>
          <w:color w:val="000000" w:themeColor="text1"/>
          <w:kern w:val="0"/>
          <w:sz w:val="24"/>
          <w:lang w:eastAsia="zh-CN"/>
          <w14:textFill>
            <w14:solidFill>
              <w14:schemeClr w14:val="tx1"/>
            </w14:solidFill>
          </w14:textFill>
        </w:rPr>
        <w:t>谈判</w:t>
      </w:r>
      <w:r>
        <w:rPr>
          <w:rFonts w:hint="eastAsia" w:ascii="宋体" w:hAnsi="宋体" w:cs="宋体"/>
          <w:color w:val="000000" w:themeColor="text1"/>
          <w:kern w:val="0"/>
          <w:sz w:val="24"/>
          <w14:textFill>
            <w14:solidFill>
              <w14:schemeClr w14:val="tx1"/>
            </w14:solidFill>
          </w14:textFill>
        </w:rPr>
        <w:t>，我单位郑重声明：我方参加本项目</w:t>
      </w:r>
      <w:r>
        <w:rPr>
          <w:rFonts w:hint="eastAsia" w:ascii="宋体" w:hAnsi="宋体" w:cs="宋体"/>
          <w:color w:val="000000" w:themeColor="text1"/>
          <w:kern w:val="0"/>
          <w:sz w:val="24"/>
          <w:lang w:eastAsia="zh-CN"/>
          <w14:textFill>
            <w14:solidFill>
              <w14:schemeClr w14:val="tx1"/>
            </w14:solidFill>
          </w14:textFill>
        </w:rPr>
        <w:t>竞争性谈判</w:t>
      </w:r>
      <w:r>
        <w:rPr>
          <w:rFonts w:hint="eastAsia" w:ascii="宋体" w:hAnsi="宋体" w:cs="宋体"/>
          <w:color w:val="000000" w:themeColor="text1"/>
          <w:kern w:val="0"/>
          <w:sz w:val="24"/>
          <w14:textFill>
            <w14:solidFill>
              <w14:schemeClr w14:val="tx1"/>
            </w14:solidFill>
          </w14:textFill>
        </w:rPr>
        <w:t>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1"/>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br w:type="textWrapping"/>
      </w:r>
      <w:r>
        <w:rPr>
          <w:rFonts w:hint="eastAsia" w:hAnsi="宋体" w:cs="宋体"/>
          <w:color w:val="000000" w:themeColor="text1"/>
          <w:kern w:val="0"/>
          <w:sz w:val="24"/>
          <w:lang w:eastAsia="zh-CN"/>
          <w14:textFill>
            <w14:solidFill>
              <w14:schemeClr w14:val="tx1"/>
            </w14:solidFill>
          </w14:textFill>
        </w:rPr>
        <w:t>供应商</w:t>
      </w:r>
      <w:r>
        <w:rPr>
          <w:rFonts w:hint="eastAsia" w:hAnsi="宋体" w:cs="宋体"/>
          <w:color w:val="000000" w:themeColor="text1"/>
          <w:kern w:val="0"/>
          <w:sz w:val="24"/>
          <w14:textFill>
            <w14:solidFill>
              <w14:schemeClr w14:val="tx1"/>
            </w14:solidFill>
          </w14:textFill>
        </w:rPr>
        <w:t>（单位名称及公章）：</w:t>
      </w:r>
    </w:p>
    <w:p>
      <w:pPr>
        <w:pStyle w:val="11"/>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numPr>
          <w:ilvl w:val="0"/>
          <w:numId w:val="0"/>
        </w:numPr>
        <w:spacing w:line="600" w:lineRule="auto"/>
        <w:ind w:leftChars="0"/>
        <w:jc w:val="both"/>
        <w:rPr>
          <w:rFonts w:hint="eastAsia" w:hAnsi="宋体" w:cs="宋体"/>
          <w:color w:val="000000" w:themeColor="text1"/>
          <w:kern w:val="0"/>
          <w:sz w:val="24"/>
          <w:u w:val="single"/>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hAnsi="宋体" w:cs="宋体"/>
          <w:color w:val="000000" w:themeColor="text1"/>
          <w:kern w:val="0"/>
          <w:sz w:val="24"/>
          <w14:textFill>
            <w14:solidFill>
              <w14:schemeClr w14:val="tx1"/>
            </w14:solidFill>
          </w14:textFill>
        </w:rPr>
        <w:t>日    期</w:t>
      </w:r>
      <w:r>
        <w:rPr>
          <w:rFonts w:hint="eastAsia" w:hAnsi="宋体" w:cs="宋体"/>
          <w:color w:val="000000" w:themeColor="text1"/>
          <w:kern w:val="0"/>
          <w:sz w:val="24"/>
          <w:u w:val="single"/>
          <w14:textFill>
            <w14:solidFill>
              <w14:schemeClr w14:val="tx1"/>
            </w14:solidFill>
          </w14:textFill>
        </w:rPr>
        <w:t xml:space="preserve">：             </w:t>
      </w:r>
      <w:r>
        <w:rPr>
          <w:rFonts w:hint="eastAsia" w:hAnsi="宋体" w:cs="宋体"/>
          <w:color w:val="000000" w:themeColor="text1"/>
          <w:kern w:val="0"/>
          <w:sz w:val="24"/>
          <w:u w:val="single"/>
          <w14:textFill>
            <w14:solidFill>
              <w14:schemeClr w14:val="tx1"/>
            </w14:solidFill>
          </w14:textFill>
        </w:rPr>
        <w:br w:type="textWrapping"/>
      </w: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5、社保资金缴纳证明材料</w:t>
      </w: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 xml:space="preserve">6、税收缴纳证明材料： </w:t>
      </w:r>
    </w:p>
    <w:p>
      <w:pPr>
        <w:numPr>
          <w:ilvl w:val="0"/>
          <w:numId w:val="0"/>
        </w:numPr>
        <w:spacing w:line="600" w:lineRule="auto"/>
        <w:ind w:leftChars="0"/>
        <w:jc w:val="both"/>
        <w:rPr>
          <w:rFonts w:hint="eastAsia"/>
          <w:sz w:val="24"/>
          <w:szCs w:val="28"/>
          <w:lang w:val="en-US" w:eastAsia="zh-CN"/>
        </w:rPr>
      </w:pPr>
      <w:r>
        <w:rPr>
          <w:rFonts w:hint="eastAsia"/>
          <w:sz w:val="24"/>
          <w:szCs w:val="28"/>
          <w:lang w:val="en-US" w:eastAsia="zh-CN"/>
        </w:rPr>
        <w:t xml:space="preserve">7、财务状况证明材料：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lang w:val="en-US" w:eastAsia="zh-CN" w:bidi="ar-SA"/>
        </w:rPr>
      </w:pPr>
      <w:bookmarkStart w:id="189" w:name="_Toc30568"/>
      <w:bookmarkStart w:id="190" w:name="_Toc28294"/>
      <w:bookmarkStart w:id="191" w:name="_Toc14991"/>
      <w:r>
        <w:rPr>
          <w:rFonts w:hint="eastAsia" w:ascii="宋体" w:hAnsi="宋体" w:cs="宋体"/>
          <w:bCs/>
          <w:kern w:val="0"/>
          <w:sz w:val="24"/>
          <w:szCs w:val="24"/>
        </w:rPr>
        <w:t>8、</w:t>
      </w:r>
      <w:r>
        <w:rPr>
          <w:rFonts w:hint="eastAsia" w:ascii="宋体" w:hAnsi="宋体" w:eastAsia="宋体" w:cs="宋体"/>
          <w:sz w:val="24"/>
          <w:szCs w:val="24"/>
          <w:highlight w:val="none"/>
          <w:lang w:val="en-US" w:eastAsia="zh-CN" w:bidi="ar-SA"/>
        </w:rPr>
        <w:t>所投产品为进口产品还须提供产品制造厂商针对该产品完整授权链的授权书及进字号医疗器械册证（若注册证有附件的，还须提供附件）；</w:t>
      </w:r>
    </w:p>
    <w:p>
      <w:pPr>
        <w:snapToGrid w:val="0"/>
        <w:spacing w:beforeLines="50" w:line="480" w:lineRule="auto"/>
        <w:jc w:val="left"/>
      </w:pPr>
      <w:r>
        <w:rPr>
          <w:rFonts w:hint="eastAsia" w:ascii="宋体" w:hAnsi="宋体" w:cs="宋体"/>
          <w:sz w:val="24"/>
          <w:szCs w:val="24"/>
          <w:highlight w:val="none"/>
          <w:lang w:val="en-US" w:eastAsia="zh-CN" w:bidi="ar-SA"/>
        </w:rPr>
        <w:t>9、供应商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rPr>
        <w:t>；</w:t>
      </w:r>
    </w:p>
    <w:p>
      <w:pPr>
        <w:spacing w:line="480" w:lineRule="auto"/>
        <w:rPr>
          <w:sz w:val="24"/>
          <w:szCs w:val="28"/>
        </w:rPr>
      </w:pPr>
      <w:r>
        <w:rPr>
          <w:rFonts w:hint="eastAsia"/>
          <w:sz w:val="24"/>
          <w:szCs w:val="28"/>
          <w:lang w:val="en-US" w:eastAsia="zh-CN"/>
        </w:rPr>
        <w:t>10、</w:t>
      </w:r>
      <w:r>
        <w:rPr>
          <w:rFonts w:hint="eastAsia"/>
          <w:sz w:val="24"/>
          <w:szCs w:val="28"/>
        </w:rPr>
        <w:t>非联合体</w:t>
      </w:r>
      <w:r>
        <w:rPr>
          <w:rFonts w:hint="eastAsia"/>
          <w:sz w:val="24"/>
          <w:szCs w:val="28"/>
          <w:lang w:eastAsia="zh-CN"/>
        </w:rPr>
        <w:t>投标</w:t>
      </w:r>
      <w:r>
        <w:rPr>
          <w:rFonts w:hint="eastAsia"/>
          <w:sz w:val="24"/>
          <w:szCs w:val="28"/>
        </w:rPr>
        <w:t>声明</w:t>
      </w:r>
      <w:r>
        <w:rPr>
          <w:rFonts w:hint="eastAsia"/>
          <w:sz w:val="24"/>
          <w:szCs w:val="28"/>
          <w:lang w:eastAsia="zh-CN"/>
        </w:rPr>
        <w:t>函</w:t>
      </w:r>
      <w:r>
        <w:rPr>
          <w:rFonts w:hint="eastAsia"/>
          <w:sz w:val="24"/>
          <w:szCs w:val="28"/>
        </w:rPr>
        <w:t>（格式自拟）；</w:t>
      </w:r>
    </w:p>
    <w:p>
      <w:pPr>
        <w:spacing w:line="480" w:lineRule="auto"/>
        <w:rPr>
          <w:sz w:val="24"/>
          <w:szCs w:val="28"/>
        </w:rPr>
      </w:pPr>
      <w:r>
        <w:rPr>
          <w:rFonts w:hint="eastAsia"/>
          <w:sz w:val="24"/>
          <w:szCs w:val="28"/>
          <w:lang w:val="en-US" w:eastAsia="zh-CN"/>
        </w:rPr>
        <w:t>11</w:t>
      </w:r>
      <w:r>
        <w:rPr>
          <w:rFonts w:hint="eastAsia"/>
          <w:sz w:val="24"/>
          <w:szCs w:val="28"/>
        </w:rPr>
        <w:t>、投标人认为应该提交的其他证明材料；</w:t>
      </w:r>
    </w:p>
    <w:p>
      <w:pPr>
        <w:spacing w:line="48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4"/>
        <w:rPr>
          <w:color w:val="000000" w:themeColor="text1"/>
          <w14:textFill>
            <w14:solidFill>
              <w14:schemeClr w14:val="tx1"/>
            </w14:solidFill>
          </w14:textFill>
        </w:rPr>
      </w:pPr>
      <w:bookmarkStart w:id="192" w:name="_Toc22436"/>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章 商务和技术响应偏离表</w:t>
      </w:r>
      <w:bookmarkEnd w:id="189"/>
      <w:bookmarkEnd w:id="190"/>
      <w:bookmarkEnd w:id="191"/>
      <w:bookmarkEnd w:id="192"/>
    </w:p>
    <w:p>
      <w:pPr>
        <w:kinsoku w:val="0"/>
        <w:spacing w:line="480" w:lineRule="auto"/>
        <w:ind w:left="1232" w:hanging="1232"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20"/>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1"/>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序号</w:t>
            </w:r>
          </w:p>
        </w:tc>
        <w:tc>
          <w:tcPr>
            <w:tcW w:w="1614" w:type="dxa"/>
            <w:vAlign w:val="center"/>
          </w:tcPr>
          <w:p>
            <w:pPr>
              <w:pStyle w:val="11"/>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商务条款</w:t>
            </w:r>
          </w:p>
        </w:tc>
        <w:tc>
          <w:tcPr>
            <w:tcW w:w="1680" w:type="dxa"/>
            <w:vAlign w:val="center"/>
          </w:tcPr>
          <w:p>
            <w:pPr>
              <w:pStyle w:val="11"/>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商务要求内容</w:t>
            </w:r>
          </w:p>
        </w:tc>
        <w:tc>
          <w:tcPr>
            <w:tcW w:w="2448" w:type="dxa"/>
            <w:vAlign w:val="center"/>
          </w:tcPr>
          <w:p>
            <w:pPr>
              <w:pStyle w:val="11"/>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响应文件响应商务内容</w:t>
            </w:r>
          </w:p>
        </w:tc>
        <w:tc>
          <w:tcPr>
            <w:tcW w:w="2042" w:type="dxa"/>
            <w:vAlign w:val="center"/>
          </w:tcPr>
          <w:p>
            <w:pPr>
              <w:pStyle w:val="11"/>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7"/>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填写说明：供应商对本项目付款、交货</w:t>
      </w:r>
      <w:r>
        <w:rPr>
          <w:rFonts w:hint="eastAsia" w:ascii="宋体" w:hAnsi="宋体"/>
          <w:b/>
          <w:bCs/>
          <w:color w:val="000000" w:themeColor="text1"/>
          <w:sz w:val="28"/>
          <w:szCs w:val="28"/>
          <w:lang w:eastAsia="zh-CN"/>
          <w14:textFill>
            <w14:solidFill>
              <w14:schemeClr w14:val="tx1"/>
            </w14:solidFill>
          </w14:textFill>
        </w:rPr>
        <w:t>期</w:t>
      </w:r>
      <w:r>
        <w:rPr>
          <w:rFonts w:hint="eastAsia" w:ascii="宋体" w:hAnsi="宋体"/>
          <w:b/>
          <w:bCs/>
          <w:color w:val="000000" w:themeColor="text1"/>
          <w:sz w:val="28"/>
          <w:szCs w:val="28"/>
          <w14:textFill>
            <w14:solidFill>
              <w14:schemeClr w14:val="tx1"/>
            </w14:solidFill>
          </w14:textFill>
        </w:rPr>
        <w:t>、质保期、履约验收等商务方面进行响应说明，并保证响应的真实性。</w:t>
      </w:r>
    </w:p>
    <w:p>
      <w:pPr>
        <w:pStyle w:val="7"/>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偏差说明填写：正偏离（标明正偏离内容）、符合。</w:t>
      </w:r>
    </w:p>
    <w:p>
      <w:pPr>
        <w:pStyle w:val="7"/>
        <w:ind w:firstLine="0"/>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商务条款不允许负偏离；</w:t>
      </w:r>
    </w:p>
    <w:p>
      <w:pPr>
        <w:adjustRightInd w:val="0"/>
        <w:snapToGrid w:val="0"/>
        <w:spacing w:line="480" w:lineRule="auto"/>
        <w:jc w:val="left"/>
        <w:rPr>
          <w:rFonts w:ascii="宋体" w:hAnsi="宋体" w:cs="宋体"/>
          <w:color w:val="000000" w:themeColor="text1"/>
          <w:sz w:val="28"/>
          <w:szCs w:val="28"/>
          <w14:textFill>
            <w14:solidFill>
              <w14:schemeClr w14:val="tx1"/>
            </w14:solidFill>
          </w14:textFill>
        </w:rPr>
      </w:pPr>
    </w:p>
    <w:p>
      <w:pPr>
        <w:adjustRightInd w:val="0"/>
        <w:snapToGrid w:val="0"/>
        <w:spacing w:line="480" w:lineRule="auto"/>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（单位名称及公章）：</w:t>
      </w:r>
    </w:p>
    <w:p>
      <w:pPr>
        <w:adjustRightInd w:val="0"/>
        <w:snapToGrid w:val="0"/>
        <w:spacing w:line="48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宋体" w:hAnsi="宋体"/>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themeColor="text1"/>
          <w:sz w:val="28"/>
          <w:szCs w:val="28"/>
          <w14:textFill>
            <w14:solidFill>
              <w14:schemeClr w14:val="tx1"/>
            </w14:solidFill>
          </w14:textFill>
        </w:rPr>
        <w:t>日    期：年</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w:t>
      </w:r>
    </w:p>
    <w:p>
      <w:pPr>
        <w:pStyle w:val="19"/>
        <w:ind w:firstLine="28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表2、技术响应偏差表</w:t>
      </w:r>
    </w:p>
    <w:tbl>
      <w:tblPr>
        <w:tblStyle w:val="2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1"/>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序号</w:t>
            </w:r>
          </w:p>
        </w:tc>
        <w:tc>
          <w:tcPr>
            <w:tcW w:w="2864"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谈判</w:t>
            </w:r>
            <w:r>
              <w:rPr>
                <w:rFonts w:hint="eastAsia" w:asciiTheme="minorEastAsia" w:hAnsiTheme="minorEastAsia" w:cstheme="minorEastAsia"/>
                <w:color w:val="000000" w:themeColor="text1"/>
                <w:sz w:val="24"/>
                <w:szCs w:val="24"/>
                <w14:textFill>
                  <w14:solidFill>
                    <w14:schemeClr w14:val="tx1"/>
                  </w14:solidFill>
                </w14:textFill>
              </w:rPr>
              <w:t>文件要求</w:t>
            </w:r>
          </w:p>
          <w:p>
            <w:pPr>
              <w:pStyle w:val="11"/>
              <w:spacing w:line="480" w:lineRule="auto"/>
              <w:ind w:firstLine="480" w:firstLineChars="20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要求</w:t>
            </w:r>
          </w:p>
        </w:tc>
        <w:tc>
          <w:tcPr>
            <w:tcW w:w="2443" w:type="dxa"/>
            <w:vAlign w:val="center"/>
          </w:tcPr>
          <w:p>
            <w:pPr>
              <w:pStyle w:val="11"/>
              <w:spacing w:line="48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响应文件</w:t>
            </w:r>
          </w:p>
          <w:p>
            <w:pPr>
              <w:pStyle w:val="11"/>
              <w:spacing w:line="480" w:lineRule="auto"/>
              <w:ind w:firstLine="720" w:firstLineChars="3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内容</w:t>
            </w:r>
          </w:p>
        </w:tc>
        <w:tc>
          <w:tcPr>
            <w:tcW w:w="1621" w:type="dxa"/>
            <w:vAlign w:val="center"/>
          </w:tcPr>
          <w:p>
            <w:pPr>
              <w:pStyle w:val="11"/>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偏差说明</w:t>
            </w:r>
          </w:p>
        </w:tc>
        <w:tc>
          <w:tcPr>
            <w:tcW w:w="1614" w:type="dxa"/>
            <w:vAlign w:val="center"/>
          </w:tcPr>
          <w:p>
            <w:pPr>
              <w:pStyle w:val="11"/>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vAlign w:val="center"/>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1"/>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11"/>
        <w:ind w:firstLine="562" w:firstLineChars="20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填写说明：</w:t>
      </w:r>
      <w:r>
        <w:rPr>
          <w:rFonts w:hint="eastAsia" w:asciiTheme="minorEastAsia" w:hAnsiTheme="minorEastAsia" w:cstheme="minorEastAsia"/>
          <w:color w:val="000000" w:themeColor="text1"/>
          <w:sz w:val="28"/>
          <w:szCs w:val="28"/>
          <w14:textFill>
            <w14:solidFill>
              <w14:schemeClr w14:val="tx1"/>
            </w14:solidFill>
          </w14:textFill>
        </w:rPr>
        <w:t>请按</w:t>
      </w:r>
      <w:r>
        <w:rPr>
          <w:rFonts w:hint="eastAsia" w:asciiTheme="minorEastAsia" w:hAnsiTheme="minorEastAsia" w:cstheme="minorEastAsia"/>
          <w:color w:val="000000" w:themeColor="text1"/>
          <w:sz w:val="28"/>
          <w:szCs w:val="28"/>
          <w:lang w:eastAsia="zh-CN"/>
          <w14:textFill>
            <w14:solidFill>
              <w14:schemeClr w14:val="tx1"/>
            </w14:solidFill>
          </w14:textFill>
        </w:rPr>
        <w:t>谈判</w:t>
      </w:r>
      <w:r>
        <w:rPr>
          <w:rFonts w:hint="eastAsia" w:asciiTheme="minorEastAsia" w:hAnsiTheme="minorEastAsia" w:cstheme="minorEastAsia"/>
          <w:color w:val="000000" w:themeColor="text1"/>
          <w:sz w:val="28"/>
          <w:szCs w:val="28"/>
          <w14:textFill>
            <w14:solidFill>
              <w14:schemeClr w14:val="tx1"/>
            </w14:solidFill>
          </w14:textFill>
        </w:rPr>
        <w:t>文件要求的实际要求，逐条对应响应文件的“采购要求”中的要求认真填写本表。偏差说明填写：正偏离（标明正偏离内容及正偏离的证明材料的页码）、符合（标明主要技术参数证明材料页码）或负偏离。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color w:val="000000" w:themeColor="text1"/>
          <w:sz w:val="28"/>
          <w:szCs w:val="28"/>
          <w14:textFill>
            <w14:solidFill>
              <w14:schemeClr w14:val="tx1"/>
            </w14:solidFill>
          </w14:textFill>
        </w:rPr>
      </w:pPr>
    </w:p>
    <w:p>
      <w:pPr>
        <w:adjustRightInd w:val="0"/>
        <w:snapToGrid w:val="0"/>
        <w:spacing w:line="480" w:lineRule="auto"/>
        <w:jc w:val="left"/>
        <w:rPr>
          <w:rFonts w:asciiTheme="minorEastAsia" w:hAnsiTheme="minorEastAsia" w:cstheme="minorEastAsia"/>
          <w:color w:val="000000" w:themeColor="text1"/>
          <w:sz w:val="28"/>
          <w:szCs w:val="28"/>
          <w:u w:val="single"/>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Theme="minorEastAsia" w:hAnsiTheme="minorEastAsia" w:cstheme="minorEastAsia"/>
          <w:color w:val="000000" w:themeColor="text1"/>
          <w:sz w:val="28"/>
          <w:szCs w:val="28"/>
          <w14:textFill>
            <w14:solidFill>
              <w14:schemeClr w14:val="tx1"/>
            </w14:solidFill>
          </w14:textFill>
        </w:rPr>
        <w:sectPr>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color w:val="000000" w:themeColor="text1"/>
          <w:sz w:val="28"/>
          <w:szCs w:val="28"/>
          <w14:textFill>
            <w14:solidFill>
              <w14:schemeClr w14:val="tx1"/>
            </w14:solidFill>
          </w14:textFill>
        </w:rPr>
        <w:t>日    期：年</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月</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日</w:t>
      </w:r>
    </w:p>
    <w:p>
      <w:pPr>
        <w:pStyle w:val="4"/>
        <w:spacing w:beforeLines="100" w:afterLines="150" w:line="500" w:lineRule="exact"/>
        <w:jc w:val="center"/>
        <w:rPr>
          <w:rFonts w:asciiTheme="minorEastAsia" w:hAnsiTheme="minorEastAsia" w:eastAsiaTheme="minorEastAsia" w:cstheme="minorEastAsia"/>
          <w:color w:val="000000" w:themeColor="text1"/>
          <w:sz w:val="36"/>
          <w:szCs w:val="36"/>
          <w14:textFill>
            <w14:solidFill>
              <w14:schemeClr w14:val="tx1"/>
            </w14:solidFill>
          </w14:textFill>
        </w:rPr>
      </w:pPr>
      <w:bookmarkStart w:id="193" w:name="_Toc18357"/>
      <w:bookmarkStart w:id="194" w:name="_Toc23483"/>
      <w:bookmarkStart w:id="195" w:name="_Toc8786"/>
      <w:bookmarkStart w:id="196" w:name="_Toc31479"/>
      <w:bookmarkStart w:id="197" w:name="_Toc31024"/>
      <w:r>
        <w:rPr>
          <w:rFonts w:hint="eastAsia" w:asciiTheme="minorEastAsia" w:hAnsiTheme="minorEastAsia" w:eastAsiaTheme="minorEastAsia" w:cstheme="minorEastAsia"/>
          <w:color w:val="000000" w:themeColor="text1"/>
          <w:sz w:val="36"/>
          <w:szCs w:val="36"/>
          <w14:textFill>
            <w14:solidFill>
              <w14:schemeClr w14:val="tx1"/>
            </w14:solidFill>
          </w14:textFill>
        </w:rPr>
        <w:t>第</w:t>
      </w:r>
      <w:r>
        <w:rPr>
          <w:rFonts w:hint="eastAsia" w:asciiTheme="minorEastAsia" w:hAnsiTheme="minorEastAsia" w:eastAsiaTheme="minorEastAsia" w:cstheme="minorEastAsia"/>
          <w:color w:val="000000" w:themeColor="text1"/>
          <w:sz w:val="36"/>
          <w:szCs w:val="36"/>
          <w:lang w:eastAsia="zh-CN"/>
          <w14:textFill>
            <w14:solidFill>
              <w14:schemeClr w14:val="tx1"/>
            </w14:solidFill>
          </w14:textFill>
        </w:rPr>
        <w:t>七</w:t>
      </w:r>
      <w:r>
        <w:rPr>
          <w:rFonts w:hint="eastAsia" w:asciiTheme="minorEastAsia" w:hAnsiTheme="minorEastAsia" w:eastAsiaTheme="minorEastAsia" w:cstheme="minorEastAsia"/>
          <w:color w:val="000000" w:themeColor="text1"/>
          <w:sz w:val="36"/>
          <w:szCs w:val="36"/>
          <w14:textFill>
            <w14:solidFill>
              <w14:schemeClr w14:val="tx1"/>
            </w14:solidFill>
          </w14:textFill>
        </w:rPr>
        <w:t>章</w:t>
      </w:r>
      <w:bookmarkEnd w:id="193"/>
      <w:r>
        <w:rPr>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6"/>
          <w:szCs w:val="36"/>
          <w14:textFill>
            <w14:solidFill>
              <w14:schemeClr w14:val="tx1"/>
            </w14:solidFill>
          </w14:textFill>
        </w:rPr>
        <w:t>技术支持资料</w:t>
      </w:r>
      <w:bookmarkEnd w:id="194"/>
      <w:bookmarkEnd w:id="195"/>
      <w:bookmarkEnd w:id="196"/>
      <w:bookmarkEnd w:id="197"/>
    </w:p>
    <w:p>
      <w:pPr>
        <w:spacing w:line="360" w:lineRule="auto"/>
        <w:rPr>
          <w:rFonts w:ascii="宋体" w:hAnsi="宋体" w:eastAsia="宋体" w:cs="宋体"/>
          <w:sz w:val="24"/>
          <w:szCs w:val="24"/>
        </w:rPr>
      </w:pPr>
      <w:r>
        <w:rPr>
          <w:rFonts w:hint="eastAsia"/>
          <w:b/>
          <w:bCs/>
          <w:color w:val="000000" w:themeColor="text1"/>
          <w:sz w:val="36"/>
          <w:szCs w:val="36"/>
          <w14:textFill>
            <w14:solidFill>
              <w14:schemeClr w14:val="tx1"/>
            </w14:solidFill>
          </w14:textFill>
        </w:rPr>
        <w:t>供应商可根据评审办法自行编写，</w:t>
      </w:r>
      <w:r>
        <w:rPr>
          <w:rFonts w:hint="eastAsia"/>
          <w:b/>
          <w:bCs/>
          <w:color w:val="000000" w:themeColor="text1"/>
          <w:sz w:val="36"/>
          <w:szCs w:val="36"/>
          <w:lang w:eastAsia="zh-CN"/>
          <w14:textFill>
            <w14:solidFill>
              <w14:schemeClr w14:val="tx1"/>
            </w14:solidFill>
          </w14:textFill>
        </w:rPr>
        <w:t>格式不限</w:t>
      </w:r>
      <w:r>
        <w:rPr>
          <w:rFonts w:hint="eastAsia"/>
          <w:b/>
          <w:bCs/>
          <w:color w:val="000000" w:themeColor="text1"/>
          <w:sz w:val="36"/>
          <w:szCs w:val="36"/>
          <w14:textFill>
            <w14:solidFill>
              <w14:schemeClr w14:val="tx1"/>
            </w14:solidFill>
          </w14:textFill>
        </w:rPr>
        <w:t>：</w:t>
      </w:r>
    </w:p>
    <w:p>
      <w:pPr>
        <w:rPr>
          <w:rFonts w:ascii="宋体" w:hAnsi="宋体" w:eastAsia="宋体" w:cs="宋体"/>
        </w:rPr>
        <w:sectPr>
          <w:footerReference r:id="rId9" w:type="default"/>
          <w:pgSz w:w="11906" w:h="16838"/>
          <w:pgMar w:top="1440" w:right="1803" w:bottom="1440" w:left="1803" w:header="851" w:footer="992" w:gutter="0"/>
          <w:cols w:space="0" w:num="1"/>
          <w:docGrid w:type="lines" w:linePitch="317" w:charSpace="0"/>
        </w:sectPr>
      </w:pPr>
    </w:p>
    <w:p>
      <w:pPr>
        <w:pStyle w:val="4"/>
        <w:rPr>
          <w:color w:val="000000" w:themeColor="text1"/>
          <w14:textFill>
            <w14:solidFill>
              <w14:schemeClr w14:val="tx1"/>
            </w14:solidFill>
          </w14:textFill>
        </w:rPr>
      </w:pPr>
      <w:bookmarkStart w:id="198" w:name="_Toc23191"/>
      <w:bookmarkStart w:id="199" w:name="_Toc18245"/>
      <w:bookmarkStart w:id="200" w:name="_Toc11540"/>
      <w:bookmarkStart w:id="201" w:name="_Toc24882"/>
      <w:bookmarkStart w:id="202" w:name="_Toc30768"/>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章 供应商业绩一览表</w:t>
      </w:r>
      <w:bookmarkEnd w:id="198"/>
      <w:bookmarkEnd w:id="199"/>
      <w:bookmarkEnd w:id="200"/>
      <w:bookmarkEnd w:id="201"/>
    </w:p>
    <w:p>
      <w:pPr>
        <w:rPr>
          <w:rFonts w:asciiTheme="minorEastAsia" w:hAnsiTheme="minorEastAsia" w:cstheme="minorEastAsia"/>
          <w:color w:val="000000" w:themeColor="text1"/>
          <w14:textFill>
            <w14:solidFill>
              <w14:schemeClr w14:val="tx1"/>
            </w14:solidFill>
          </w14:textFill>
        </w:rPr>
      </w:pPr>
    </w:p>
    <w:tbl>
      <w:tblPr>
        <w:tblStyle w:val="20"/>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年份</w:t>
            </w: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用户名称</w:t>
            </w: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项目名称</w:t>
            </w: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完成时间</w:t>
            </w:r>
          </w:p>
        </w:tc>
        <w:tc>
          <w:tcPr>
            <w:tcW w:w="1485" w:type="dxa"/>
            <w:vAlign w:val="center"/>
          </w:tcPr>
          <w:p>
            <w:pPr>
              <w:spacing w:line="400" w:lineRule="exact"/>
              <w:ind w:firstLine="105" w:firstLineChars="50"/>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cs="宋体"/>
          <w:sz w:val="24"/>
          <w:szCs w:val="24"/>
          <w:lang w:eastAsia="zh-CN"/>
        </w:rPr>
      </w:pPr>
      <w:r>
        <w:rPr>
          <w:rFonts w:hint="eastAsia" w:asciiTheme="minorEastAsia" w:hAnsiTheme="minorEastAsia" w:cstheme="minorEastAsia"/>
          <w:color w:val="000000" w:themeColor="text1"/>
          <w:sz w:val="24"/>
          <w:szCs w:val="24"/>
          <w14:textFill>
            <w14:solidFill>
              <w14:schemeClr w14:val="tx1"/>
            </w14:solidFill>
          </w14:textFill>
        </w:rPr>
        <w:t xml:space="preserve"> 注：</w:t>
      </w:r>
      <w:r>
        <w:rPr>
          <w:rFonts w:hint="eastAsia" w:ascii="宋体" w:hAnsi="宋体" w:cs="宋体"/>
          <w:sz w:val="24"/>
          <w:szCs w:val="24"/>
          <w:lang w:eastAsia="zh-CN"/>
        </w:rPr>
        <w:t>以上业绩合同是指所投产品的业绩合同，</w:t>
      </w:r>
      <w:r>
        <w:rPr>
          <w:rFonts w:hint="eastAsia" w:ascii="宋体" w:hAnsi="宋体" w:cs="宋体"/>
          <w:sz w:val="24"/>
          <w:szCs w:val="24"/>
        </w:rPr>
        <w:t>需提供采购合同复印件加盖公章</w:t>
      </w:r>
      <w:r>
        <w:rPr>
          <w:rFonts w:hint="eastAsia" w:ascii="宋体" w:hAnsi="宋体" w:cs="宋体"/>
          <w:sz w:val="24"/>
          <w:szCs w:val="24"/>
          <w:lang w:eastAsia="zh-CN"/>
        </w:rPr>
        <w:t>。</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color w:val="000000" w:themeColor="text1"/>
          <w:sz w:val="24"/>
          <w:szCs w:val="24"/>
          <w14:textFill>
            <w14:solidFill>
              <w14:schemeClr w14:val="tx1"/>
            </w14:solidFill>
          </w14:textFill>
        </w:rPr>
      </w:pPr>
    </w:p>
    <w:p>
      <w:pPr>
        <w:spacing w:line="360" w:lineRule="auto"/>
        <w:ind w:left="360"/>
        <w:jc w:val="center"/>
        <w:rPr>
          <w:rFonts w:asciiTheme="minorEastAsia" w:hAnsiTheme="minorEastAsia" w:cstheme="minorEastAsia"/>
          <w:color w:val="000000" w:themeColor="text1"/>
          <w:sz w:val="24"/>
          <w:szCs w:val="24"/>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法定代表人或委托代理人（签字或盖章）：</w:t>
      </w:r>
    </w:p>
    <w:p>
      <w:pPr>
        <w:adjustRightInd w:val="0"/>
        <w:spacing w:line="360" w:lineRule="auto"/>
        <w:ind w:firstLine="420" w:firstLineChars="175"/>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pStyle w:val="4"/>
        <w:rPr>
          <w:color w:val="000000" w:themeColor="text1"/>
          <w14:textFill>
            <w14:solidFill>
              <w14:schemeClr w14:val="tx1"/>
            </w14:solidFill>
          </w14:textFill>
        </w:rPr>
      </w:pPr>
      <w:bookmarkStart w:id="203" w:name="_Toc4580"/>
      <w:bookmarkStart w:id="204" w:name="_Toc29034"/>
      <w:bookmarkStart w:id="205" w:name="_Toc23432"/>
      <w:bookmarkStart w:id="206" w:name="_Toc18894"/>
      <w:bookmarkStart w:id="207" w:name="_Toc31207"/>
      <w:r>
        <w:rPr>
          <w:rFonts w:hint="eastAsia"/>
          <w:color w:val="000000" w:themeColor="text1"/>
          <w14:textFill>
            <w14:solidFill>
              <w14:schemeClr w14:val="tx1"/>
            </w14:solidFill>
          </w14:textFill>
        </w:rPr>
        <w:t>第</w:t>
      </w:r>
      <w:r>
        <w:rPr>
          <w:rFonts w:hint="eastAsia"/>
          <w:color w:val="000000" w:themeColor="text1"/>
          <w:lang w:eastAsia="zh-CN"/>
          <w14:textFill>
            <w14:solidFill>
              <w14:schemeClr w14:val="tx1"/>
            </w14:solidFill>
          </w14:textFill>
        </w:rPr>
        <w:t>九</w:t>
      </w:r>
      <w:r>
        <w:rPr>
          <w:rFonts w:hint="eastAsia"/>
          <w:color w:val="000000" w:themeColor="text1"/>
          <w14:textFill>
            <w14:solidFill>
              <w14:schemeClr w14:val="tx1"/>
            </w14:solidFill>
          </w14:textFill>
        </w:rPr>
        <w:t>章</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供应商认为有必要说明的其他问题</w:t>
      </w:r>
      <w:bookmarkEnd w:id="203"/>
      <w:bookmarkEnd w:id="204"/>
      <w:bookmarkEnd w:id="205"/>
      <w:bookmarkEnd w:id="206"/>
      <w:bookmarkEnd w:id="207"/>
    </w:p>
    <w:p>
      <w:pPr>
        <w:pStyle w:val="7"/>
        <w:rPr>
          <w:color w:val="000000" w:themeColor="text1"/>
          <w14:textFill>
            <w14:solidFill>
              <w14:schemeClr w14:val="tx1"/>
            </w14:solidFill>
          </w14:textFill>
        </w:rPr>
      </w:pPr>
    </w:p>
    <w:p>
      <w:pPr>
        <w:bidi w:val="0"/>
        <w:rPr>
          <w:rFonts w:hint="eastAsia"/>
        </w:rPr>
        <w:sectPr>
          <w:pgSz w:w="11906" w:h="16838"/>
          <w:pgMar w:top="1440" w:right="1803" w:bottom="1440" w:left="1803" w:header="851" w:footer="992" w:gutter="0"/>
          <w:cols w:space="720" w:num="1"/>
          <w:docGrid w:type="lines" w:linePitch="319" w:charSpace="0"/>
        </w:sectPr>
      </w:pPr>
      <w:r>
        <w:rPr>
          <w:rFonts w:hint="eastAsia"/>
        </w:rPr>
        <w:t>供应商可在此处附附件二至附件五的证明材料，如没有提供，视为无。</w:t>
      </w:r>
    </w:p>
    <w:bookmarkEnd w:id="202"/>
    <w:p>
      <w:pPr>
        <w:pStyle w:val="4"/>
        <w:rPr>
          <w:rFonts w:ascii="宋体" w:hAnsi="宋体" w:cs="宋体"/>
        </w:rPr>
      </w:pPr>
      <w:bookmarkStart w:id="208" w:name="_Toc11308"/>
      <w:bookmarkStart w:id="209" w:name="_Toc28654"/>
      <w:bookmarkStart w:id="210" w:name="_Toc10667"/>
      <w:r>
        <w:rPr>
          <w:rFonts w:hint="eastAsia" w:ascii="宋体" w:hAnsi="宋体" w:cs="宋体"/>
        </w:rPr>
        <w:t>第九</w:t>
      </w:r>
      <w:r>
        <w:rPr>
          <w:rFonts w:hint="eastAsia" w:ascii="宋体" w:hAnsi="宋体" w:cs="宋体"/>
          <w:lang w:eastAsia="zh-CN"/>
        </w:rPr>
        <w:t>章</w:t>
      </w:r>
      <w:r>
        <w:rPr>
          <w:rFonts w:hint="eastAsia" w:ascii="宋体" w:hAnsi="宋体" w:cs="宋体"/>
        </w:rPr>
        <w:t xml:space="preserve"> 供应商承诺书</w:t>
      </w:r>
      <w:bookmarkEnd w:id="208"/>
      <w:bookmarkEnd w:id="209"/>
      <w:bookmarkEnd w:id="210"/>
    </w:p>
    <w:p>
      <w:pPr>
        <w:pStyle w:val="11"/>
        <w:ind w:firstLine="562" w:firstLineChars="200"/>
        <w:jc w:val="left"/>
        <w:rPr>
          <w:rFonts w:hAnsi="宋体" w:eastAsia="宋体" w:cs="宋体"/>
          <w:b/>
          <w:bCs/>
          <w:sz w:val="28"/>
          <w:szCs w:val="28"/>
        </w:rPr>
      </w:pPr>
      <w:r>
        <w:rPr>
          <w:rFonts w:hint="eastAsia" w:hAnsi="宋体" w:eastAsia="宋体" w:cs="宋体"/>
          <w:b/>
          <w:bCs/>
          <w:sz w:val="28"/>
          <w:szCs w:val="28"/>
        </w:rPr>
        <w:t>陕西省政府采购供货商拒绝政府采购领域商业贿赂承诺书Ⅰ</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为响应党中央、国务院关于治理政府采购领域商业贿赂行为的号召，我公司在此庄严承诺：</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2、不向政府采购人、代理机构和政府采购评审专家进行任何形式的商业贿赂以谋取交易机会。</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3、不向政府代理机构和采购人提供虚假资质文件或采用虚假应标方式参与政府采购市场竞争并谋取成交。</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5、不采取不正当手段诋毁、排挤其它供货商。</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6、不在提供商品和服务时“偷梁换柱、以次充好”损害采购人的合法权益。</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7、不与采购人、代理机构政府采购评审专家或其它供货商恶意串通，进行质疑和投诉，维护政府采购市场秩序。</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sz w:val="24"/>
        </w:rPr>
        <w:t>法定代表人/被授权人（签字）：______________________</w:t>
      </w:r>
    </w:p>
    <w:p>
      <w:pPr>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时间：</w:t>
      </w:r>
      <w:r>
        <w:rPr>
          <w:rFonts w:hint="eastAsia" w:ascii="宋体" w:hAnsi="宋体" w:eastAsia="宋体" w:cs="宋体"/>
          <w:sz w:val="24"/>
        </w:rPr>
        <w:t>____</w:t>
      </w:r>
      <w:r>
        <w:rPr>
          <w:rFonts w:hint="eastAsia" w:ascii="宋体" w:hAnsi="宋体" w:eastAsia="宋体" w:cs="宋体"/>
          <w:szCs w:val="21"/>
        </w:rPr>
        <w:t>年</w:t>
      </w:r>
      <w:r>
        <w:rPr>
          <w:rFonts w:hint="eastAsia" w:ascii="宋体" w:hAnsi="宋体" w:eastAsia="宋体" w:cs="宋体"/>
          <w:sz w:val="24"/>
        </w:rPr>
        <w:t>____</w:t>
      </w:r>
      <w:r>
        <w:rPr>
          <w:rFonts w:hint="eastAsia" w:ascii="宋体" w:hAnsi="宋体" w:eastAsia="宋体" w:cs="宋体"/>
          <w:szCs w:val="21"/>
        </w:rPr>
        <w:t>月</w:t>
      </w:r>
      <w:r>
        <w:rPr>
          <w:rFonts w:hint="eastAsia" w:ascii="宋体" w:hAnsi="宋体" w:eastAsia="宋体" w:cs="宋体"/>
          <w:sz w:val="24"/>
        </w:rPr>
        <w:t>____</w:t>
      </w:r>
      <w:r>
        <w:rPr>
          <w:rFonts w:hint="eastAsia" w:ascii="宋体" w:hAnsi="宋体" w:eastAsia="宋体" w:cs="宋体"/>
          <w:szCs w:val="21"/>
        </w:rPr>
        <w:t>日</w:t>
      </w:r>
    </w:p>
    <w:p>
      <w:pPr>
        <w:pageBreakBefore/>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承诺书Ⅱ</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西安市长安区医院血栓抽吸控制系统采购项目</w:t>
            </w:r>
            <w:r>
              <w:rPr>
                <w:rFonts w:hint="eastAsia" w:ascii="宋体" w:hAnsi="宋体" w:eastAsia="宋体" w:cs="宋体"/>
                <w:szCs w:val="21"/>
              </w:rPr>
              <w:t xml:space="preserve">的供应商，本公司承诺：在参加本项目谈判之前不存在被依法禁止经营行为、财产被接管或冻结的情况，如有隐瞒实情，愿承担一切责任及后果。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7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7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7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 xml:space="preserve">（签字或盖章） </w:t>
            </w:r>
          </w:p>
        </w:tc>
        <w:tc>
          <w:tcPr>
            <w:tcW w:w="2376"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spacing w:line="360" w:lineRule="atLeast"/>
        <w:ind w:firstLine="843" w:firstLineChars="200"/>
        <w:jc w:val="left"/>
        <w:rPr>
          <w:rFonts w:ascii="宋体" w:hAnsi="宋体" w:eastAsia="宋体" w:cs="宋体"/>
          <w:b/>
          <w:sz w:val="42"/>
          <w:szCs w:val="42"/>
        </w:rPr>
      </w:pPr>
    </w:p>
    <w:p>
      <w:pPr>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承诺书Ⅲ</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西安市长安区医院血栓抽吸控制系统采购项目</w:t>
            </w:r>
            <w:r>
              <w:rPr>
                <w:rFonts w:hint="eastAsia" w:ascii="宋体" w:hAnsi="宋体" w:eastAsia="宋体" w:cs="宋体"/>
                <w:szCs w:val="21"/>
              </w:rPr>
              <w:t>的供应商，本公司郑重申告并承诺：近三年受到有关行政主管部门的行政处理、不良行为记录为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8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87"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8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387"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pageBreakBefore/>
        <w:spacing w:line="360" w:lineRule="atLeast"/>
        <w:ind w:firstLine="482" w:firstLineChars="200"/>
        <w:jc w:val="center"/>
        <w:rPr>
          <w:rFonts w:ascii="宋体" w:hAnsi="宋体" w:eastAsia="宋体" w:cs="宋体"/>
          <w:b/>
          <w:sz w:val="24"/>
          <w:szCs w:val="24"/>
        </w:rPr>
      </w:pPr>
      <w:r>
        <w:rPr>
          <w:rFonts w:hint="eastAsia" w:ascii="宋体" w:hAnsi="宋体" w:eastAsia="宋体" w:cs="宋体"/>
          <w:b/>
          <w:sz w:val="24"/>
          <w:szCs w:val="24"/>
        </w:rPr>
        <w:t>承诺书Ⅳ</w:t>
      </w:r>
    </w:p>
    <w:tbl>
      <w:tblPr>
        <w:tblStyle w:val="2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lang w:eastAsia="zh-CN"/>
              </w:rPr>
              <w:t>西安市长安区医院血栓抽吸控制系统采购项目</w:t>
            </w:r>
            <w:r>
              <w:rPr>
                <w:rFonts w:hint="eastAsia" w:ascii="宋体" w:hAnsi="宋体" w:eastAsia="宋体" w:cs="宋体"/>
                <w:szCs w:val="21"/>
              </w:rPr>
              <w:t>的供应商，本公司郑重申告：近三年因产品供货问题（水货、替代品、次品、翻新品等）的不法行为记录为</w:t>
            </w:r>
            <w:r>
              <w:rPr>
                <w:rFonts w:hint="eastAsia" w:ascii="宋体" w:hAnsi="宋体" w:eastAsia="宋体" w:cs="宋体"/>
                <w:szCs w:val="21"/>
                <w:u w:val="single"/>
              </w:rPr>
              <w:t xml:space="preserve">      </w:t>
            </w:r>
            <w:r>
              <w:rPr>
                <w:rFonts w:hint="eastAsia" w:ascii="宋体" w:hAnsi="宋体" w:eastAsia="宋体" w:cs="宋体"/>
                <w:szCs w:val="21"/>
              </w:rPr>
              <w:t>次（没有填零），如有隐瞒实情，愿承担一切责任及后果。</w:t>
            </w:r>
          </w:p>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本公司承诺：本次谈判产品为正品行货。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46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371"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466"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371"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spacing w:line="360" w:lineRule="auto"/>
        <w:ind w:firstLine="480" w:firstLineChars="200"/>
        <w:jc w:val="left"/>
        <w:rPr>
          <w:rFonts w:ascii="宋体" w:hAnsi="宋体" w:eastAsia="宋体" w:cs="宋体"/>
          <w:sz w:val="24"/>
          <w:szCs w:val="28"/>
        </w:rPr>
      </w:pPr>
    </w:p>
    <w:p>
      <w:pPr>
        <w:spacing w:line="360" w:lineRule="atLeast"/>
        <w:ind w:firstLine="482" w:firstLineChars="200"/>
        <w:jc w:val="center"/>
        <w:rPr>
          <w:rFonts w:ascii="宋体" w:hAnsi="宋体" w:eastAsia="宋体" w:cs="宋体"/>
          <w:b/>
          <w:sz w:val="32"/>
          <w:szCs w:val="32"/>
        </w:rPr>
      </w:pPr>
      <w:r>
        <w:rPr>
          <w:rFonts w:hint="eastAsia" w:ascii="宋体" w:hAnsi="宋体" w:eastAsia="宋体" w:cs="宋体"/>
          <w:b/>
          <w:sz w:val="24"/>
          <w:szCs w:val="24"/>
        </w:rPr>
        <w:t>承诺书</w:t>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 5 \* ROMAN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zh-CN"/>
        </w:rPr>
        <w:t>V</w:t>
      </w:r>
      <w:r>
        <w:rPr>
          <w:rFonts w:hint="eastAsia" w:ascii="宋体" w:hAnsi="宋体" w:eastAsia="宋体" w:cs="宋体"/>
          <w:b/>
          <w:sz w:val="24"/>
          <w:szCs w:val="24"/>
        </w:rPr>
        <w:fldChar w:fldCharType="end"/>
      </w:r>
    </w:p>
    <w:tbl>
      <w:tblPr>
        <w:tblStyle w:val="20"/>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eastAsia="宋体" w:cs="宋体"/>
                <w:szCs w:val="21"/>
              </w:rPr>
            </w:pPr>
            <w:r>
              <w:rPr>
                <w:rFonts w:hint="eastAsia" w:ascii="宋体" w:hAnsi="宋体" w:eastAsia="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作为参加贵公司组织的</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西安市长安区医院血栓抽吸控制系统采购项目</w:t>
            </w:r>
            <w:r>
              <w:rPr>
                <w:rFonts w:hint="eastAsia" w:ascii="宋体" w:hAnsi="宋体" w:eastAsia="宋体" w:cs="宋体"/>
                <w:szCs w:val="21"/>
              </w:rPr>
              <w:t>的供应商，本公司承诺：参加本次谈判提交的所有资质证明文件及业绩证明文件是真实的、有效的，如有隐瞒实情，愿承担一切责任及后果。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供应商</w:t>
            </w:r>
          </w:p>
        </w:tc>
        <w:tc>
          <w:tcPr>
            <w:tcW w:w="353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法定代表人/被授权人</w:t>
            </w:r>
          </w:p>
        </w:tc>
        <w:tc>
          <w:tcPr>
            <w:tcW w:w="241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（公章）</w:t>
            </w:r>
          </w:p>
        </w:tc>
        <w:tc>
          <w:tcPr>
            <w:tcW w:w="3534" w:type="dxa"/>
            <w:vAlign w:val="center"/>
          </w:tcPr>
          <w:p>
            <w:pPr>
              <w:spacing w:line="360" w:lineRule="atLeast"/>
              <w:ind w:firstLine="420" w:firstLineChars="200"/>
              <w:jc w:val="left"/>
              <w:rPr>
                <w:rFonts w:ascii="宋体" w:hAnsi="宋体" w:eastAsia="宋体" w:cs="宋体"/>
                <w:szCs w:val="21"/>
              </w:rPr>
            </w:pPr>
            <w:r>
              <w:rPr>
                <w:rFonts w:hint="eastAsia" w:ascii="宋体" w:hAnsi="宋体" w:eastAsia="宋体" w:cs="宋体"/>
                <w:szCs w:val="21"/>
              </w:rPr>
              <w:t>（签字或盖章）</w:t>
            </w:r>
          </w:p>
        </w:tc>
        <w:tc>
          <w:tcPr>
            <w:tcW w:w="2418" w:type="dxa"/>
            <w:vAlign w:val="center"/>
          </w:tcPr>
          <w:p>
            <w:pPr>
              <w:spacing w:line="360" w:lineRule="atLeas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c>
      </w:tr>
    </w:tbl>
    <w:p>
      <w:pPr>
        <w:pStyle w:val="6"/>
        <w:rPr>
          <w:rFonts w:hint="default"/>
        </w:rPr>
        <w:sectPr>
          <w:pgSz w:w="11906" w:h="16838"/>
          <w:pgMar w:top="1440" w:right="1803" w:bottom="1440" w:left="1803" w:header="851" w:footer="992" w:gutter="0"/>
          <w:cols w:space="0" w:num="1"/>
          <w:docGrid w:type="lines" w:linePitch="317" w:charSpace="0"/>
        </w:sectPr>
      </w:pPr>
    </w:p>
    <w:p>
      <w:pPr>
        <w:pStyle w:val="4"/>
        <w:adjustRightInd w:val="0"/>
        <w:spacing w:line="416" w:lineRule="atLeast"/>
        <w:textAlignment w:val="baseline"/>
        <w:rPr>
          <w:rFonts w:ascii="宋体" w:hAnsi="宋体" w:cs="宋体"/>
        </w:rPr>
      </w:pPr>
      <w:bookmarkStart w:id="211" w:name="_Toc30990"/>
      <w:r>
        <w:rPr>
          <w:rFonts w:hint="eastAsia" w:ascii="宋体" w:hAnsi="宋体" w:cs="宋体"/>
        </w:rPr>
        <w:t>附件一、封袋正面标识式样</w:t>
      </w:r>
      <w:bookmarkEnd w:id="211"/>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谈判响应文件正本封袋正面标识式样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132080</wp:posOffset>
                </wp:positionV>
                <wp:extent cx="6255385" cy="2827020"/>
                <wp:effectExtent l="4445" t="4445" r="7620" b="6985"/>
                <wp:wrapNone/>
                <wp:docPr id="13" name="Text Box 3"/>
                <wp:cNvGraphicFramePr/>
                <a:graphic xmlns:a="http://schemas.openxmlformats.org/drawingml/2006/main">
                  <a:graphicData uri="http://schemas.microsoft.com/office/word/2010/wordprocessingShape">
                    <wps:wsp>
                      <wps:cNvSpPr txBox="1"/>
                      <wps:spPr>
                        <a:xfrm>
                          <a:off x="0" y="0"/>
                          <a:ext cx="6255385" cy="2827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谈判响应文件（正本）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3.35pt;margin-top:10.4pt;height:222.6pt;width:492.55pt;z-index:251660288;mso-width-relative:page;mso-height-relative:page;" fillcolor="#FFFFFF" filled="t" stroked="t" coordsize="21600,21600" o:gfxdata="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rJ6ftkAAAAKAQAADwAAAAAAAAABACAAAAAiAAAAZHJz&#10;L2Rvd25yZXYueG1sUEsBAhQAFAAAAAgAh07iQA74IyIDAgAARQQAAA4AAAAAAAAAAQAgAAAAKA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谈判响应文件（正本）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谈判响应文件副本封袋正面标识式样</w:t>
      </w: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140335</wp:posOffset>
                </wp:positionV>
                <wp:extent cx="6288405" cy="2879725"/>
                <wp:effectExtent l="4445" t="4445" r="12700" b="11430"/>
                <wp:wrapNone/>
                <wp:docPr id="12" name="Text Box 4"/>
                <wp:cNvGraphicFramePr/>
                <a:graphic xmlns:a="http://schemas.openxmlformats.org/drawingml/2006/main">
                  <a:graphicData uri="http://schemas.microsoft.com/office/word/2010/wordprocessingShape">
                    <wps:wsp>
                      <wps:cNvSpPr txBox="1"/>
                      <wps:spPr>
                        <a:xfrm>
                          <a:off x="0" y="0"/>
                          <a:ext cx="6288405"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谈判响应文件（副本）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4" o:spid="_x0000_s1026" o:spt="202" type="#_x0000_t202" style="position:absolute;left:0pt;margin-left:-34.8pt;margin-top:11.05pt;height:226.75pt;width:495.15pt;z-index:251661312;mso-width-relative:page;mso-height-relative:page;" fillcolor="#FFFFFF" filled="t" stroked="t" coordsize="21600,21600" o:gfxdata="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ut16NoAAAAKAQAADwAAAAAAAAABACAAAAAiAAAAZHJz&#10;L2Rvd25yZXYueG1sUEsBAhQAFAAAAAgAh07iQIM0LykCAgAARQQAAA4AAAAAAAAAAQAgAAAAKQ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谈判响应文件（副本）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3" w:bottom="1440" w:left="1803" w:header="851" w:footer="992" w:gutter="0"/>
          <w:cols w:space="0" w:num="1"/>
          <w:docGrid w:type="lines" w:linePitch="317"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-406400</wp:posOffset>
                </wp:positionH>
                <wp:positionV relativeFrom="paragraph">
                  <wp:posOffset>188595</wp:posOffset>
                </wp:positionV>
                <wp:extent cx="6244590" cy="2957195"/>
                <wp:effectExtent l="4445" t="5080" r="18415" b="9525"/>
                <wp:wrapNone/>
                <wp:docPr id="11" name="Text Box 3"/>
                <wp:cNvGraphicFramePr/>
                <a:graphic xmlns:a="http://schemas.openxmlformats.org/drawingml/2006/main">
                  <a:graphicData uri="http://schemas.microsoft.com/office/word/2010/wordprocessingShape">
                    <wps:wsp>
                      <wps:cNvSpPr txBox="1"/>
                      <wps:spPr>
                        <a:xfrm>
                          <a:off x="0" y="0"/>
                          <a:ext cx="6244590" cy="29571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2pt;margin-top:14.85pt;height:232.85pt;width:491.7pt;z-index:251664384;mso-width-relative:page;mso-height-relative:page;" fillcolor="#FFFFFF" filled="t" stroked="t" coordsize="21600,21600" o:gfxdata="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YVH5toAAAAKAQAADwAAAAAAAAABACAAAAAiAAAAZHJz&#10;L2Rvd25yZXYueG1sUEsBAhQAFAAAAAgAh07iQLbcCLACAgAARQQAAA4AAAAAAAAAAQAgAAAAKQ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5408" behindDoc="0" locked="0" layoutInCell="1" allowOverlap="1">
                <wp:simplePos x="0" y="0"/>
                <wp:positionH relativeFrom="column">
                  <wp:posOffset>-425450</wp:posOffset>
                </wp:positionH>
                <wp:positionV relativeFrom="paragraph">
                  <wp:posOffset>55245</wp:posOffset>
                </wp:positionV>
                <wp:extent cx="6351270" cy="2948305"/>
                <wp:effectExtent l="4445" t="5080" r="6985" b="18415"/>
                <wp:wrapNone/>
                <wp:docPr id="10" name="Text Box 3"/>
                <wp:cNvGraphicFramePr/>
                <a:graphic xmlns:a="http://schemas.openxmlformats.org/drawingml/2006/main">
                  <a:graphicData uri="http://schemas.microsoft.com/office/word/2010/wordprocessingShape">
                    <wps:wsp>
                      <wps:cNvSpPr txBox="1"/>
                      <wps:spPr>
                        <a:xfrm>
                          <a:off x="0" y="0"/>
                          <a:ext cx="6455410" cy="2948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color w:val="FF0000"/>
                                <w:sz w:val="28"/>
                                <w:szCs w:val="28"/>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wps:txbx>
                      <wps:bodyPr upright="1"/>
                    </wps:wsp>
                  </a:graphicData>
                </a:graphic>
              </wp:anchor>
            </w:drawing>
          </mc:Choice>
          <mc:Fallback>
            <w:pict>
              <v:shape id="Text Box 3" o:spid="_x0000_s1026" o:spt="202" type="#_x0000_t202" style="position:absolute;left:0pt;margin-left:-33.5pt;margin-top:4.35pt;height:232.15pt;width:500.1pt;z-index:251665408;mso-width-relative:page;mso-height-relative:page;" fillcolor="#FFFFFF" filled="t" stroked="t" coordsize="21600,21600" o:gfxdata="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8Y2bXZAAAACQEAAA8AAAAAAAAAAQAgAAAAIgAAAGRycy9k&#10;b3ducmV2LnhtbFBLAQIUABQAAAAIAIdO4kDFrURPAQIAAEUEAAAOAAAAAAAAAAEAIAAAACg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w:t>
                      </w:r>
                      <w:r>
                        <w:rPr>
                          <w:rFonts w:hint="eastAsia"/>
                          <w:sz w:val="28"/>
                          <w:szCs w:val="28"/>
                          <w:lang w:eastAsia="zh-CN"/>
                        </w:rPr>
                        <w:t>SXWZ2022ZB-CAYY-263</w:t>
                      </w:r>
                      <w:r>
                        <w:rPr>
                          <w:rFonts w:hint="eastAsia"/>
                          <w:sz w:val="28"/>
                          <w:szCs w:val="28"/>
                        </w:rPr>
                        <w:t>项目名称：</w:t>
                      </w:r>
                      <w:r>
                        <w:rPr>
                          <w:rFonts w:hint="eastAsia"/>
                          <w:sz w:val="28"/>
                          <w:szCs w:val="28"/>
                          <w:lang w:eastAsia="zh-CN"/>
                        </w:rPr>
                        <w:t>西安市长安区医院血栓抽吸控制系统采购项目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color w:val="FF0000"/>
                          <w:sz w:val="28"/>
                          <w:szCs w:val="28"/>
                        </w:rPr>
                      </w:pPr>
                      <w:r>
                        <w:rPr>
                          <w:rFonts w:hint="eastAsia"/>
                          <w:sz w:val="28"/>
                          <w:szCs w:val="28"/>
                        </w:rPr>
                        <w:t>供应商（公章）：</w:t>
                      </w:r>
                      <w:r>
                        <w:rPr>
                          <w:rFonts w:hint="eastAsia" w:ascii="宋体" w:hAnsi="宋体" w:eastAsia="宋体" w:cs="宋体"/>
                          <w:sz w:val="24"/>
                        </w:rPr>
                        <w:t>______________________</w:t>
                      </w:r>
                    </w:p>
                    <w:p>
                      <w:pPr>
                        <w:rPr>
                          <w:sz w:val="28"/>
                          <w:szCs w:val="28"/>
                        </w:rPr>
                      </w:pPr>
                      <w:r>
                        <w:rPr>
                          <w:rFonts w:hint="eastAsia"/>
                          <w:sz w:val="28"/>
                          <w:szCs w:val="28"/>
                        </w:rPr>
                        <w:t>时间：</w:t>
                      </w:r>
                      <w:r>
                        <w:rPr>
                          <w:rFonts w:hint="eastAsia" w:ascii="宋体" w:hAnsi="宋体" w:eastAsia="宋体" w:cs="宋体"/>
                          <w:sz w:val="24"/>
                        </w:rPr>
                        <w:t>_____</w:t>
                      </w:r>
                      <w:r>
                        <w:rPr>
                          <w:rFonts w:hint="eastAsia" w:ascii="宋体" w:hAnsi="宋体" w:cs="宋体"/>
                          <w:sz w:val="28"/>
                          <w:szCs w:val="28"/>
                        </w:rPr>
                        <w:t>年</w:t>
                      </w:r>
                      <w:r>
                        <w:rPr>
                          <w:rFonts w:hint="eastAsia" w:ascii="宋体" w:hAnsi="宋体" w:eastAsia="宋体" w:cs="宋体"/>
                          <w:sz w:val="24"/>
                        </w:rPr>
                        <w:t>_____</w:t>
                      </w:r>
                      <w:r>
                        <w:rPr>
                          <w:rFonts w:hint="eastAsia" w:ascii="宋体" w:hAnsi="宋体" w:cs="宋体"/>
                          <w:sz w:val="28"/>
                          <w:szCs w:val="28"/>
                        </w:rPr>
                        <w:t>月</w:t>
                      </w:r>
                      <w:r>
                        <w:rPr>
                          <w:rFonts w:hint="eastAsia" w:ascii="宋体" w:hAnsi="宋体" w:eastAsia="宋体" w:cs="宋体"/>
                          <w:sz w:val="24"/>
                        </w:rPr>
                        <w:t>_____</w:t>
                      </w:r>
                      <w:r>
                        <w:rPr>
                          <w:rFonts w:hint="eastAsia" w:ascii="宋体" w:hAnsi="宋体" w:cs="宋体"/>
                          <w:sz w:val="28"/>
                          <w:szCs w:val="28"/>
                        </w:rPr>
                        <w:t>日</w:t>
                      </w: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cols w:space="0" w:num="1"/>
          <w:docGrid w:type="lines" w:linePitch="317" w:charSpace="0"/>
        </w:sectPr>
      </w:pPr>
    </w:p>
    <w:p>
      <w:pPr>
        <w:pStyle w:val="4"/>
        <w:adjustRightInd w:val="0"/>
        <w:spacing w:line="416" w:lineRule="atLeast"/>
        <w:textAlignment w:val="baseline"/>
        <w:rPr>
          <w:rFonts w:ascii="宋体" w:cs="Times New Roman"/>
        </w:rPr>
      </w:pPr>
      <w:bookmarkStart w:id="212" w:name="_Toc17173"/>
      <w:bookmarkStart w:id="213" w:name="_Toc24777"/>
      <w:bookmarkStart w:id="214" w:name="_Toc8177"/>
      <w:bookmarkStart w:id="215" w:name="_Toc22006"/>
      <w:bookmarkStart w:id="216" w:name="_Toc14775"/>
      <w:bookmarkStart w:id="217" w:name="_Toc25489"/>
      <w:bookmarkStart w:id="218" w:name="_Toc13303"/>
      <w:bookmarkStart w:id="219" w:name="_Toc22153"/>
      <w:bookmarkStart w:id="220" w:name="_Toc14361"/>
      <w:r>
        <w:rPr>
          <w:rFonts w:hint="eastAsia" w:ascii="宋体" w:hAnsi="宋体" w:cs="宋体"/>
        </w:rPr>
        <w:t>附件二、中小企业申明</w:t>
      </w:r>
      <w:bookmarkEnd w:id="212"/>
      <w:bookmarkEnd w:id="213"/>
      <w:bookmarkEnd w:id="214"/>
      <w:bookmarkEnd w:id="215"/>
      <w:bookmarkEnd w:id="216"/>
      <w:bookmarkEnd w:id="217"/>
    </w:p>
    <w:p>
      <w:pPr>
        <w:spacing w:line="588" w:lineRule="exact"/>
        <w:ind w:firstLine="504" w:firstLineChars="200"/>
        <w:rPr>
          <w:rFonts w:ascii="宋体" w:hAnsi="宋体"/>
          <w:spacing w:val="6"/>
          <w:sz w:val="24"/>
        </w:rPr>
      </w:pPr>
      <w:bookmarkStart w:id="221" w:name="_Toc13070"/>
      <w:bookmarkStart w:id="222" w:name="_Toc11130"/>
      <w:bookmarkStart w:id="223" w:name="_Toc2912"/>
      <w:bookmarkStart w:id="224" w:name="_Toc15467"/>
      <w:r>
        <w:rPr>
          <w:rFonts w:hint="eastAsia" w:ascii="宋体" w:hAnsi="宋体"/>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2"/>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29"/>
        <w:numPr>
          <w:ilvl w:val="0"/>
          <w:numId w:val="21"/>
        </w:numPr>
        <w:tabs>
          <w:tab w:val="left" w:pos="1183"/>
          <w:tab w:val="left" w:pos="1484"/>
          <w:tab w:val="left" w:pos="4662"/>
          <w:tab w:val="left" w:pos="6903"/>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9"/>
        <w:numPr>
          <w:ilvl w:val="0"/>
          <w:numId w:val="21"/>
        </w:numPr>
        <w:tabs>
          <w:tab w:val="left" w:pos="1165"/>
          <w:tab w:val="left" w:pos="1183"/>
          <w:tab w:val="left" w:pos="4362"/>
          <w:tab w:val="left" w:pos="6577"/>
        </w:tabs>
        <w:spacing w:line="360" w:lineRule="auto"/>
        <w:ind w:right="169" w:firstLine="504"/>
        <w:jc w:val="left"/>
        <w:rPr>
          <w:rFonts w:ascii="宋体" w:hAnsi="宋体"/>
          <w:color w:val="000000"/>
          <w:spacing w:val="6"/>
          <w:sz w:val="24"/>
        </w:rPr>
      </w:pPr>
      <w:r>
        <w:rPr>
          <w:rFonts w:hint="eastAsia" w:ascii="宋体" w:hAnsi="宋体"/>
          <w:color w:val="000000"/>
          <w:spacing w:val="6"/>
          <w:sz w:val="24"/>
        </w:rPr>
        <w:t xml:space="preserve"> </w:t>
      </w: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
        <w:spacing w:line="360" w:lineRule="auto"/>
        <w:ind w:left="860"/>
        <w:rPr>
          <w:rFonts w:ascii="宋体" w:hAnsi="宋体"/>
          <w:color w:val="000000"/>
          <w:spacing w:val="6"/>
          <w:sz w:val="24"/>
        </w:rPr>
      </w:pPr>
      <w:r>
        <w:rPr>
          <w:rFonts w:hint="eastAsia" w:ascii="宋体" w:hAnsi="宋体"/>
          <w:color w:val="000000"/>
          <w:spacing w:val="6"/>
          <w:sz w:val="24"/>
        </w:rPr>
        <w:t>……</w:t>
      </w:r>
    </w:p>
    <w:p>
      <w:pPr>
        <w:pStyle w:val="2"/>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p>
    <w:p>
      <w:pPr>
        <w:spacing w:line="360" w:lineRule="auto"/>
        <w:jc w:val="left"/>
        <w:rPr>
          <w:rFonts w:hint="eastAsia" w:ascii="宋体" w:hAnsi="宋体" w:eastAsiaTheme="minorEastAsia" w:cstheme="minorBidi"/>
          <w:color w:val="000000"/>
          <w:spacing w:val="6"/>
          <w:kern w:val="2"/>
          <w:sz w:val="24"/>
          <w:szCs w:val="22"/>
          <w:lang w:val="en-US" w:eastAsia="zh-CN" w:bidi="ar-SA"/>
        </w:rPr>
      </w:pPr>
      <w:r>
        <w:rPr>
          <w:rFonts w:hint="eastAsia" w:ascii="宋体" w:hAnsi="宋体" w:eastAsiaTheme="minorEastAsia" w:cstheme="minorBidi"/>
          <w:color w:val="000000"/>
          <w:spacing w:val="6"/>
          <w:kern w:val="2"/>
          <w:sz w:val="24"/>
          <w:szCs w:val="22"/>
          <w:lang w:val="en-US" w:eastAsia="zh-CN" w:bidi="ar-SA"/>
        </w:rPr>
        <w:t>企业名称（盖章）：</w:t>
      </w:r>
    </w:p>
    <w:p>
      <w:pPr>
        <w:bidi w:val="0"/>
        <w:spacing w:line="360" w:lineRule="auto"/>
        <w:rPr>
          <w:rFonts w:hint="eastAsia" w:ascii="宋体" w:hAnsi="宋体" w:eastAsiaTheme="minorEastAsia" w:cstheme="minorBidi"/>
          <w:color w:val="000000"/>
          <w:spacing w:val="6"/>
          <w:kern w:val="2"/>
          <w:sz w:val="24"/>
          <w:szCs w:val="22"/>
          <w:lang w:val="en-US" w:eastAsia="zh-CN" w:bidi="ar-SA"/>
        </w:rPr>
      </w:pPr>
      <w:r>
        <w:rPr>
          <w:rFonts w:hint="eastAsia" w:ascii="宋体" w:hAnsi="宋体" w:eastAsiaTheme="minorEastAsia" w:cstheme="minorBidi"/>
          <w:color w:val="000000"/>
          <w:spacing w:val="6"/>
          <w:kern w:val="2"/>
          <w:sz w:val="24"/>
          <w:szCs w:val="22"/>
          <w:lang w:val="en-US" w:eastAsia="zh-CN" w:bidi="ar-SA"/>
        </w:rPr>
        <w:t>日期：</w:t>
      </w:r>
    </w:p>
    <w:p>
      <w:pPr>
        <w:rPr>
          <w:rFonts w:hint="eastAsia" w:ascii="宋体" w:hAnsi="宋体" w:eastAsia="宋体" w:cs="Times New Roman"/>
          <w:b w:val="0"/>
          <w:color w:val="000000"/>
          <w:spacing w:val="6"/>
          <w:kern w:val="2"/>
          <w:sz w:val="24"/>
          <w:szCs w:val="22"/>
          <w:lang w:val="en-US" w:eastAsia="zh-CN" w:bidi="ar-SA"/>
        </w:rPr>
      </w:pPr>
      <w:r>
        <w:rPr>
          <w:rFonts w:hint="eastAsia" w:ascii="宋体" w:hAnsi="宋体" w:eastAsia="宋体" w:cs="Times New Roman"/>
          <w:b w:val="0"/>
          <w:color w:val="000000"/>
          <w:spacing w:val="6"/>
          <w:kern w:val="2"/>
          <w:sz w:val="24"/>
          <w:szCs w:val="22"/>
          <w:lang w:val="en-US" w:eastAsia="zh-CN" w:bidi="ar-SA"/>
        </w:rPr>
        <w:br w:type="page"/>
      </w:r>
    </w:p>
    <w:p>
      <w:pPr>
        <w:pStyle w:val="4"/>
        <w:adjustRightInd w:val="0"/>
        <w:spacing w:line="416" w:lineRule="atLeast"/>
        <w:textAlignment w:val="baseline"/>
        <w:rPr>
          <w:rFonts w:ascii="宋体" w:cs="Times New Roman"/>
        </w:rPr>
      </w:pPr>
      <w:bookmarkStart w:id="225" w:name="_Toc4644"/>
      <w:r>
        <w:rPr>
          <w:rFonts w:hint="eastAsia" w:ascii="宋体" w:hAnsi="宋体" w:cs="宋体"/>
        </w:rPr>
        <w:t>附件三、残疾人福利性单位声明</w:t>
      </w:r>
      <w:bookmarkEnd w:id="221"/>
      <w:bookmarkEnd w:id="222"/>
      <w:bookmarkEnd w:id="223"/>
      <w:bookmarkEnd w:id="225"/>
    </w:p>
    <w:p>
      <w:pPr>
        <w:spacing w:line="588" w:lineRule="exact"/>
        <w:ind w:firstLine="504" w:firstLineChars="200"/>
        <w:rPr>
          <w:rFonts w:ascii="宋体" w:cs="Times New Roman"/>
          <w:spacing w:val="6"/>
          <w:sz w:val="24"/>
          <w:szCs w:val="24"/>
        </w:rPr>
      </w:pPr>
      <w:r>
        <w:rPr>
          <w:rFonts w:hint="eastAsia" w:ascii="宋体" w:hAnsi="宋体" w:cs="宋体"/>
          <w:spacing w:val="6"/>
          <w:sz w:val="24"/>
          <w:szCs w:val="24"/>
        </w:rPr>
        <w:t>根据《关于促进残疾人就业政府采购政策的通知》财库〔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141</w:t>
      </w:r>
      <w:r>
        <w:rPr>
          <w:rFonts w:hint="eastAsia" w:ascii="宋体" w:hAnsi="宋体" w:cs="宋体"/>
          <w:spacing w:val="6"/>
          <w:sz w:val="24"/>
          <w:szCs w:val="24"/>
        </w:rPr>
        <w:t>号的规定由供应商自行申明，并对声明的真实性负责，如有虚假，将依法承担相应责任。</w:t>
      </w:r>
      <w:bookmarkStart w:id="226" w:name="sendNo"/>
      <w:bookmarkEnd w:id="226"/>
      <w:bookmarkStart w:id="227" w:name="_Toc30536"/>
      <w:bookmarkStart w:id="228" w:name="_Toc30870"/>
    </w:p>
    <w:p>
      <w:pPr>
        <w:pStyle w:val="4"/>
        <w:adjustRightInd w:val="0"/>
        <w:spacing w:line="416" w:lineRule="atLeast"/>
        <w:textAlignment w:val="baseline"/>
        <w:rPr>
          <w:rFonts w:ascii="宋体" w:cs="Times New Roman"/>
        </w:rPr>
      </w:pPr>
      <w:bookmarkStart w:id="229" w:name="_Toc2399"/>
      <w:bookmarkStart w:id="230" w:name="_Toc4796"/>
      <w:r>
        <w:rPr>
          <w:rFonts w:hint="eastAsia" w:ascii="宋体" w:hAnsi="宋体" w:cs="宋体"/>
        </w:rPr>
        <w:t>附件四、监狱企业证明文件</w:t>
      </w:r>
      <w:bookmarkEnd w:id="224"/>
      <w:bookmarkEnd w:id="227"/>
      <w:bookmarkEnd w:id="228"/>
      <w:bookmarkEnd w:id="229"/>
      <w:bookmarkEnd w:id="230"/>
    </w:p>
    <w:p>
      <w:pPr>
        <w:rPr>
          <w:rFonts w:ascii="宋体" w:cs="Times New Roman"/>
        </w:rPr>
      </w:pPr>
    </w:p>
    <w:p>
      <w:pPr>
        <w:snapToGrid w:val="0"/>
        <w:spacing w:line="360" w:lineRule="auto"/>
        <w:ind w:firstLine="504" w:firstLineChars="200"/>
        <w:rPr>
          <w:rFonts w:ascii="宋体" w:cs="Times New Roman"/>
          <w:sz w:val="24"/>
          <w:szCs w:val="24"/>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cs="Times New Roman"/>
        </w:rPr>
      </w:pPr>
      <w:bookmarkStart w:id="231" w:name="_Toc11969"/>
      <w:bookmarkStart w:id="232" w:name="_Toc19004"/>
      <w:bookmarkStart w:id="233" w:name="_Toc13122"/>
      <w:bookmarkStart w:id="234" w:name="_Toc29437"/>
      <w:r>
        <w:rPr>
          <w:rFonts w:hint="eastAsia" w:ascii="宋体" w:hAnsi="宋体" w:cs="宋体"/>
        </w:rPr>
        <w:t>附件五、“节能产品”，“环境标志产品”证明材料</w:t>
      </w:r>
      <w:bookmarkEnd w:id="231"/>
      <w:bookmarkEnd w:id="232"/>
      <w:bookmarkEnd w:id="233"/>
      <w:bookmarkEnd w:id="234"/>
    </w:p>
    <w:p>
      <w:pPr>
        <w:widowControl/>
        <w:spacing w:line="360" w:lineRule="auto"/>
        <w:ind w:firstLine="504" w:firstLineChars="200"/>
        <w:rPr>
          <w:rFonts w:ascii="宋体"/>
          <w:spacing w:val="6"/>
          <w:sz w:val="24"/>
        </w:rPr>
      </w:pPr>
      <w:r>
        <w:rPr>
          <w:rFonts w:ascii="宋体" w:hAnsi="宋体"/>
          <w:spacing w:val="6"/>
          <w:sz w:val="24"/>
        </w:rPr>
        <w:t xml:space="preserve"> </w:t>
      </w:r>
      <w:r>
        <w:rPr>
          <w:rFonts w:hint="eastAsia" w:ascii="宋体" w:hAnsi="宋体"/>
          <w:spacing w:val="6"/>
          <w:sz w:val="24"/>
        </w:rPr>
        <w:t>说明：</w:t>
      </w:r>
    </w:p>
    <w:p>
      <w:pPr>
        <w:widowControl/>
        <w:spacing w:line="360" w:lineRule="auto"/>
        <w:ind w:firstLine="504" w:firstLineChars="200"/>
        <w:rPr>
          <w:rFonts w:ascii="宋体"/>
          <w:spacing w:val="6"/>
          <w:sz w:val="24"/>
        </w:rPr>
      </w:pPr>
      <w:r>
        <w:rPr>
          <w:rFonts w:ascii="宋体" w:hAnsi="宋体"/>
          <w:spacing w:val="6"/>
          <w:sz w:val="24"/>
        </w:rPr>
        <w:t>1</w:t>
      </w:r>
      <w:r>
        <w:rPr>
          <w:rFonts w:hint="eastAsia" w:ascii="宋体" w:hAnsi="宋体"/>
          <w:spacing w:val="6"/>
          <w:sz w:val="24"/>
        </w:rPr>
        <w:t>、以政府采购节能产品、环境标志产品品目清单及国家确定的认证机构出具的、处于有效期之内的节能产品、环境标志产品认证证书</w:t>
      </w:r>
      <w:r>
        <w:rPr>
          <w:rFonts w:ascii="宋体" w:hAnsi="宋体"/>
          <w:spacing w:val="6"/>
          <w:sz w:val="24"/>
        </w:rPr>
        <w:t xml:space="preserve"> </w:t>
      </w:r>
      <w:r>
        <w:rPr>
          <w:rFonts w:hint="eastAsia" w:ascii="宋体" w:hAnsi="宋体"/>
          <w:spacing w:val="6"/>
          <w:sz w:val="24"/>
        </w:rPr>
        <w:t>复印件加盖公章为准。投标人提供所投产品在政府采购节能产品、环境标志产品品目清单的清单截图及相关证书。</w:t>
      </w:r>
    </w:p>
    <w:p>
      <w:pPr>
        <w:widowControl/>
        <w:spacing w:line="360" w:lineRule="auto"/>
        <w:ind w:left="420" w:leftChars="200"/>
        <w:rPr>
          <w:rFonts w:ascii="宋体"/>
          <w:sz w:val="24"/>
          <w:szCs w:val="24"/>
        </w:rPr>
      </w:pPr>
      <w:r>
        <w:rPr>
          <w:rFonts w:ascii="宋体" w:hAnsi="宋体"/>
          <w:spacing w:val="6"/>
          <w:sz w:val="24"/>
        </w:rPr>
        <w:t xml:space="preserve"> </w:t>
      </w:r>
      <w:r>
        <w:rPr>
          <w:rFonts w:ascii="宋体" w:hAnsi="宋体"/>
          <w:sz w:val="24"/>
          <w:szCs w:val="24"/>
        </w:rPr>
        <w:t>2</w:t>
      </w:r>
      <w:r>
        <w:rPr>
          <w:rFonts w:hint="eastAsia" w:ascii="宋体" w:hAnsi="宋体"/>
          <w:sz w:val="24"/>
          <w:szCs w:val="24"/>
        </w:rPr>
        <w:t>、未按照上述要求提供的，评审时不予以考虑。</w:t>
      </w:r>
    </w:p>
    <w:p>
      <w:pPr>
        <w:widowControl/>
        <w:spacing w:line="360" w:lineRule="auto"/>
        <w:ind w:left="420" w:leftChars="200"/>
        <w:rPr>
          <w:rFonts w:ascii="宋体" w:cs="Times New Roman"/>
          <w:sz w:val="24"/>
          <w:szCs w:val="24"/>
        </w:rPr>
      </w:pPr>
    </w:p>
    <w:p>
      <w:pPr>
        <w:snapToGrid w:val="0"/>
        <w:spacing w:line="360" w:lineRule="auto"/>
        <w:ind w:firstLine="480" w:firstLineChars="200"/>
        <w:rPr>
          <w:rFonts w:ascii="宋体" w:cs="Times New Roman"/>
          <w:sz w:val="24"/>
          <w:szCs w:val="24"/>
        </w:rPr>
      </w:pPr>
    </w:p>
    <w:p>
      <w:pPr>
        <w:spacing w:line="588" w:lineRule="exact"/>
        <w:rPr>
          <w:rFonts w:ascii="宋体" w:cs="Times New Roman"/>
        </w:rPr>
        <w:sectPr>
          <w:footerReference r:id="rId10" w:type="default"/>
          <w:pgSz w:w="11906" w:h="16838"/>
          <w:pgMar w:top="1440" w:right="1803" w:bottom="1440" w:left="1803" w:header="851" w:footer="992" w:gutter="0"/>
          <w:cols w:space="0" w:num="1"/>
          <w:docGrid w:type="lines" w:linePitch="317" w:charSpace="0"/>
        </w:sectPr>
      </w:pPr>
    </w:p>
    <w:p>
      <w:pPr>
        <w:pStyle w:val="4"/>
        <w:adjustRightInd w:val="0"/>
        <w:spacing w:line="416" w:lineRule="atLeast"/>
        <w:textAlignment w:val="baseline"/>
        <w:rPr>
          <w:rFonts w:ascii="宋体" w:hAnsi="宋体" w:cs="宋体"/>
        </w:rPr>
      </w:pPr>
      <w:bookmarkStart w:id="235" w:name="_Toc13474"/>
      <w:bookmarkStart w:id="236" w:name="_Toc7477"/>
      <w:bookmarkStart w:id="237" w:name="_Toc11226"/>
      <w:r>
        <w:rPr>
          <w:rFonts w:hint="eastAsia" w:ascii="宋体" w:hAnsi="宋体" w:cs="宋体"/>
        </w:rPr>
        <w:t>附件六、质疑函样本</w:t>
      </w:r>
      <w:bookmarkEnd w:id="235"/>
      <w:bookmarkEnd w:id="236"/>
      <w:bookmarkEnd w:id="237"/>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rPr>
      </w:pPr>
      <w:r>
        <w:rPr>
          <w:rFonts w:ascii="宋体" w:hAnsi="宋体" w:cs="宋体"/>
        </w:rPr>
        <w:br w:type="page"/>
      </w:r>
    </w:p>
    <w:bookmarkEnd w:id="218"/>
    <w:bookmarkEnd w:id="219"/>
    <w:bookmarkEnd w:id="220"/>
    <w:p>
      <w:pPr>
        <w:jc w:val="left"/>
        <w:rPr>
          <w:rFonts w:ascii="宋体" w:hAnsi="宋体" w:eastAsia="宋体" w:cs="宋体"/>
          <w:sz w:val="72"/>
          <w:szCs w:val="72"/>
        </w:rPr>
      </w:pPr>
      <w:r>
        <w:rPr>
          <w:rFonts w:hint="eastAsia" w:ascii="宋体" w:hAnsi="宋体" w:eastAsia="宋体" w:cs="宋体"/>
          <w:b/>
          <w:spacing w:val="48"/>
          <w:sz w:val="72"/>
          <w:szCs w:val="72"/>
        </w:rPr>
        <w:t>公平</w:t>
      </w:r>
    </w:p>
    <w:p>
      <w:pPr>
        <w:jc w:val="left"/>
        <w:rPr>
          <w:rFonts w:ascii="宋体" w:hAnsi="宋体" w:eastAsia="宋体" w:cs="宋体"/>
          <w:sz w:val="72"/>
          <w:szCs w:val="72"/>
        </w:rPr>
      </w:pPr>
    </w:p>
    <w:p>
      <w:pPr>
        <w:jc w:val="left"/>
        <w:rPr>
          <w:rFonts w:ascii="宋体" w:hAnsi="宋体" w:eastAsia="宋体" w:cs="宋体"/>
          <w:sz w:val="72"/>
          <w:szCs w:val="72"/>
        </w:rPr>
      </w:pPr>
    </w:p>
    <w:p>
      <w:pPr>
        <w:jc w:val="center"/>
        <w:rPr>
          <w:rFonts w:ascii="宋体" w:hAnsi="宋体" w:eastAsia="宋体" w:cs="宋体"/>
          <w:b/>
          <w:spacing w:val="48"/>
          <w:sz w:val="72"/>
          <w:szCs w:val="72"/>
        </w:rPr>
      </w:pPr>
    </w:p>
    <w:p>
      <w:pPr>
        <w:jc w:val="center"/>
        <w:rPr>
          <w:rFonts w:ascii="宋体" w:hAnsi="宋体" w:eastAsia="宋体" w:cs="宋体"/>
          <w:b/>
          <w:spacing w:val="48"/>
          <w:sz w:val="72"/>
          <w:szCs w:val="72"/>
        </w:rPr>
      </w:pPr>
      <w:r>
        <w:rPr>
          <w:rFonts w:hint="eastAsia" w:ascii="宋体" w:hAnsi="宋体" w:eastAsia="宋体" w:cs="宋体"/>
          <w:b/>
          <w:spacing w:val="48"/>
          <w:sz w:val="72"/>
          <w:szCs w:val="72"/>
        </w:rPr>
        <w:t>公正</w:t>
      </w:r>
    </w:p>
    <w:p>
      <w:pPr>
        <w:jc w:val="left"/>
        <w:rPr>
          <w:rFonts w:ascii="宋体" w:hAnsi="宋体" w:eastAsia="宋体" w:cs="宋体"/>
          <w:b/>
          <w:spacing w:val="48"/>
          <w:sz w:val="72"/>
          <w:szCs w:val="72"/>
        </w:rPr>
      </w:pPr>
    </w:p>
    <w:p>
      <w:pPr>
        <w:jc w:val="left"/>
        <w:rPr>
          <w:rFonts w:ascii="宋体" w:hAnsi="宋体" w:eastAsia="宋体" w:cs="宋体"/>
          <w:b/>
          <w:spacing w:val="48"/>
          <w:sz w:val="72"/>
          <w:szCs w:val="72"/>
        </w:rPr>
      </w:pPr>
    </w:p>
    <w:p>
      <w:pPr>
        <w:jc w:val="left"/>
        <w:rPr>
          <w:rFonts w:ascii="宋体" w:hAnsi="宋体" w:eastAsia="宋体" w:cs="宋体"/>
          <w:b/>
          <w:spacing w:val="48"/>
          <w:sz w:val="72"/>
          <w:szCs w:val="72"/>
        </w:rPr>
      </w:pPr>
    </w:p>
    <w:p>
      <w:pPr>
        <w:jc w:val="right"/>
        <w:rPr>
          <w:rFonts w:ascii="宋体" w:hAnsi="宋体" w:eastAsia="宋体" w:cs="宋体"/>
          <w:b/>
          <w:spacing w:val="48"/>
          <w:sz w:val="72"/>
          <w:szCs w:val="72"/>
        </w:rPr>
      </w:pPr>
      <w:r>
        <w:rPr>
          <w:rFonts w:hint="eastAsia" w:ascii="宋体" w:hAnsi="宋体" w:eastAsia="宋体" w:cs="宋体"/>
          <w:b/>
          <w:spacing w:val="48"/>
          <w:sz w:val="72"/>
          <w:szCs w:val="72"/>
        </w:rPr>
        <w:t>公开</w:t>
      </w:r>
    </w:p>
    <w:bookmarkEnd w:id="0"/>
    <w:p>
      <w:pPr>
        <w:jc w:val="left"/>
        <w:rPr>
          <w:rFonts w:ascii="宋体" w:hAnsi="宋体" w:eastAsia="宋体" w:cs="宋体"/>
          <w:b/>
          <w:sz w:val="30"/>
          <w:szCs w:val="30"/>
        </w:rPr>
      </w:pPr>
    </w:p>
    <w:p>
      <w:pPr>
        <w:rPr>
          <w:rFonts w:ascii="宋体" w:hAnsi="宋体" w:cs="宋体"/>
          <w:sz w:val="30"/>
          <w:szCs w:val="30"/>
        </w:rPr>
      </w:pPr>
    </w:p>
    <w:p/>
    <w:p/>
    <w:p>
      <w:pPr>
        <w:jc w:val="left"/>
        <w:rPr>
          <w:rFonts w:ascii="宋体" w:hAnsi="宋体" w:eastAsia="宋体" w:cs="宋体"/>
          <w:b/>
          <w:sz w:val="30"/>
          <w:szCs w:val="30"/>
        </w:rPr>
      </w:pPr>
      <w:r>
        <w:rPr>
          <w:rFonts w:hint="eastAsia" w:ascii="宋体" w:hAnsi="宋体" w:eastAsia="宋体" w:cs="宋体"/>
          <w:b/>
          <w:sz w:val="30"/>
          <w:szCs w:val="30"/>
        </w:rPr>
        <w:t>企业名称：陕西万泽招标有限公司</w:t>
      </w:r>
    </w:p>
    <w:p>
      <w:pPr>
        <w:jc w:val="left"/>
        <w:rPr>
          <w:rFonts w:ascii="宋体" w:hAnsi="宋体" w:eastAsia="宋体" w:cs="宋体"/>
          <w:b/>
          <w:sz w:val="30"/>
          <w:szCs w:val="30"/>
        </w:rPr>
      </w:pPr>
      <w:r>
        <w:rPr>
          <w:rFonts w:hint="eastAsia" w:ascii="宋体" w:hAnsi="宋体" w:eastAsia="宋体" w:cs="宋体"/>
          <w:b/>
          <w:sz w:val="30"/>
          <w:szCs w:val="30"/>
        </w:rPr>
        <w:t>地    址：西安市西关正街英达大厦1507室</w:t>
      </w:r>
    </w:p>
    <w:p>
      <w:pPr>
        <w:jc w:val="left"/>
        <w:rPr>
          <w:rFonts w:ascii="宋体" w:hAnsi="宋体" w:eastAsia="宋体" w:cs="宋体"/>
          <w:b/>
          <w:sz w:val="30"/>
          <w:szCs w:val="30"/>
        </w:rPr>
      </w:pPr>
      <w:r>
        <w:rPr>
          <w:rFonts w:hint="eastAsia" w:ascii="宋体" w:hAnsi="宋体" w:eastAsia="宋体" w:cs="宋体"/>
          <w:b/>
          <w:sz w:val="30"/>
          <w:szCs w:val="30"/>
        </w:rPr>
        <w:t>邮政编码：710082</w:t>
      </w:r>
    </w:p>
    <w:p>
      <w:pPr>
        <w:jc w:val="left"/>
        <w:rPr>
          <w:rFonts w:ascii="宋体" w:hAnsi="宋体" w:eastAsia="宋体" w:cs="宋体"/>
          <w:b/>
          <w:sz w:val="30"/>
          <w:szCs w:val="30"/>
        </w:rPr>
      </w:pPr>
      <w:r>
        <w:rPr>
          <w:rFonts w:hint="eastAsia" w:ascii="宋体" w:hAnsi="宋体" w:eastAsia="宋体" w:cs="宋体"/>
          <w:b/>
          <w:sz w:val="30"/>
          <w:szCs w:val="30"/>
        </w:rPr>
        <w:t>电    话：029-88319689</w:t>
      </w:r>
    </w:p>
    <w:p>
      <w:pPr>
        <w:rPr>
          <w:rFonts w:ascii="宋体" w:hAnsi="宋体" w:eastAsia="宋体" w:cs="宋体"/>
        </w:rPr>
      </w:pPr>
      <w:r>
        <w:rPr>
          <w:rFonts w:hint="eastAsia" w:ascii="宋体" w:hAnsi="宋体" w:eastAsia="宋体" w:cs="宋体"/>
          <w:b/>
          <w:sz w:val="30"/>
          <w:szCs w:val="30"/>
        </w:rPr>
        <w:t>传    真：029-88319689</w:t>
      </w:r>
    </w:p>
    <w:sectPr>
      <w:footerReference r:id="rId11" w:type="default"/>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426"/>
      </w:tabs>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eastAsia="宋体"/>
                            </w:rP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rPr>
                        <w:rFonts w:eastAsia="宋体"/>
                      </w:rP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ascii="宋体" w:cs="Times New Roman"/>
      </w:rPr>
      <w:tab/>
    </w:r>
    <w:r>
      <w:rPr>
        <w:rFonts w:ascii="宋体" w:cs="Times New Roman"/>
      </w:rPr>
      <w:tab/>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51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51</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default" w:ascii="宋体" w:hAnsi="宋体" w:cs="宋体" w:eastAsiaTheme="minorEastAsia"/>
        <w:u w:val="single"/>
        <w:lang w:val="en-US" w:eastAsia="zh-CN"/>
      </w:rPr>
    </w:pPr>
    <w:r>
      <w:rPr>
        <w:rFonts w:hint="eastAsia" w:ascii="宋体" w:hAnsi="宋体" w:cs="宋体"/>
        <w:sz w:val="15"/>
        <w:szCs w:val="15"/>
        <w:u w:val="single"/>
      </w:rPr>
      <w:t xml:space="preserve">西安市长安区医院血栓抽吸控制系统采购项目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hint="eastAsia" w:ascii="宋体" w:hAnsi="宋体" w:cs="宋体"/>
        <w:sz w:val="15"/>
        <w:szCs w:val="15"/>
        <w:u w:val="single"/>
        <w:lang w:eastAsia="zh-CN"/>
      </w:rPr>
      <w:t>SXWZ2022ZB-CAYY-2</w:t>
    </w:r>
    <w:r>
      <w:rPr>
        <w:rFonts w:hint="eastAsia" w:ascii="宋体" w:hAnsi="宋体" w:cs="宋体"/>
        <w:sz w:val="15"/>
        <w:szCs w:val="15"/>
        <w:u w:val="single"/>
        <w:lang w:val="en-US" w:eastAsia="zh-CN"/>
      </w:rPr>
      <w:t>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Theme="minorEastAsia"/>
        <w:lang w:eastAsia="zh-CN"/>
      </w:rPr>
    </w:pPr>
    <w:r>
      <w:rPr>
        <w:rFonts w:hint="eastAsia" w:ascii="宋体" w:hAnsi="宋体" w:cs="宋体"/>
        <w:sz w:val="15"/>
        <w:szCs w:val="15"/>
        <w:u w:val="single"/>
        <w:lang w:eastAsia="zh-CN"/>
      </w:rPr>
      <w:t>西安市长安区医院订制被服（工服及床品）采购项目</w:t>
    </w:r>
    <w:r>
      <w:rPr>
        <w:rFonts w:hint="eastAsia" w:ascii="宋体" w:hAnsi="宋体" w:cs="宋体"/>
        <w:sz w:val="15"/>
        <w:szCs w:val="15"/>
        <w:u w:val="single"/>
      </w:rPr>
      <w:t xml:space="preserve">项目（二次）                                                      </w:t>
    </w:r>
    <w:r>
      <w:rPr>
        <w:rFonts w:hint="eastAsia" w:ascii="宋体" w:hAnsi="宋体" w:cs="宋体"/>
        <w:sz w:val="15"/>
        <w:szCs w:val="15"/>
        <w:u w:val="single"/>
        <w:lang w:eastAsia="zh-CN"/>
      </w:rPr>
      <w:t>SXWZ2022ZB-CAYY-223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1">
    <w:nsid w:val="277BBE3F"/>
    <w:multiLevelType w:val="singleLevel"/>
    <w:tmpl w:val="277BBE3F"/>
    <w:lvl w:ilvl="0" w:tentative="0">
      <w:start w:val="6"/>
      <w:numFmt w:val="chineseCounting"/>
      <w:suff w:val="space"/>
      <w:lvlText w:val="第%1部分"/>
      <w:lvlJc w:val="left"/>
      <w:rPr>
        <w:rFonts w:hint="eastAsia"/>
      </w:rPr>
    </w:lvl>
  </w:abstractNum>
  <w:abstractNum w:abstractNumId="2">
    <w:nsid w:val="5530B97F"/>
    <w:multiLevelType w:val="singleLevel"/>
    <w:tmpl w:val="5530B97F"/>
    <w:lvl w:ilvl="0" w:tentative="0">
      <w:start w:val="1"/>
      <w:numFmt w:val="chineseCounting"/>
      <w:suff w:val="nothing"/>
      <w:lvlText w:val="%1、"/>
      <w:lvlJc w:val="left"/>
    </w:lvl>
  </w:abstractNum>
  <w:abstractNum w:abstractNumId="3">
    <w:nsid w:val="559A3799"/>
    <w:multiLevelType w:val="singleLevel"/>
    <w:tmpl w:val="559A3799"/>
    <w:lvl w:ilvl="0" w:tentative="0">
      <w:start w:val="1"/>
      <w:numFmt w:val="decimal"/>
      <w:suff w:val="space"/>
      <w:lvlText w:val="3.%1"/>
      <w:lvlJc w:val="left"/>
      <w:pPr>
        <w:tabs>
          <w:tab w:val="left" w:pos="0"/>
        </w:tabs>
        <w:ind w:left="0" w:firstLine="400"/>
      </w:pPr>
      <w:rPr>
        <w:rFonts w:hint="default" w:ascii="Times New Roman" w:hAnsi="Times New Roman" w:eastAsia="宋体" w:cs="宋体"/>
      </w:rPr>
    </w:lvl>
  </w:abstractNum>
  <w:abstractNum w:abstractNumId="4">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5">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6">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7">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8">
    <w:nsid w:val="58BE5397"/>
    <w:multiLevelType w:val="singleLevel"/>
    <w:tmpl w:val="58BE5397"/>
    <w:lvl w:ilvl="0" w:tentative="0">
      <w:start w:val="1"/>
      <w:numFmt w:val="decimal"/>
      <w:suff w:val="nothing"/>
      <w:lvlText w:val="（%1）"/>
      <w:lvlJc w:val="left"/>
      <w:pPr>
        <w:ind w:left="0" w:firstLine="420"/>
      </w:pPr>
      <w:rPr>
        <w:rFonts w:hint="default"/>
      </w:rPr>
    </w:lvl>
  </w:abstractNum>
  <w:abstractNum w:abstractNumId="9">
    <w:nsid w:val="58BE5425"/>
    <w:multiLevelType w:val="singleLevel"/>
    <w:tmpl w:val="58BE5425"/>
    <w:lvl w:ilvl="0" w:tentative="0">
      <w:start w:val="1"/>
      <w:numFmt w:val="decimal"/>
      <w:suff w:val="nothing"/>
      <w:lvlText w:val="（%1）"/>
      <w:lvlJc w:val="left"/>
      <w:pPr>
        <w:ind w:left="0" w:firstLine="420"/>
      </w:pPr>
      <w:rPr>
        <w:rFonts w:hint="default"/>
      </w:rPr>
    </w:lvl>
  </w:abstractNum>
  <w:abstractNum w:abstractNumId="10">
    <w:nsid w:val="58BE5D1F"/>
    <w:multiLevelType w:val="singleLevel"/>
    <w:tmpl w:val="58BE5D1F"/>
    <w:lvl w:ilvl="0" w:tentative="0">
      <w:start w:val="1"/>
      <w:numFmt w:val="decimal"/>
      <w:suff w:val="nothing"/>
      <w:lvlText w:val="（%1）"/>
      <w:lvlJc w:val="left"/>
      <w:pPr>
        <w:ind w:left="0" w:firstLine="420"/>
      </w:pPr>
      <w:rPr>
        <w:rFonts w:hint="default"/>
      </w:rPr>
    </w:lvl>
  </w:abstractNum>
  <w:abstractNum w:abstractNumId="11">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2">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3">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4">
    <w:nsid w:val="58BE8C85"/>
    <w:multiLevelType w:val="singleLevel"/>
    <w:tmpl w:val="58BE8C85"/>
    <w:lvl w:ilvl="0" w:tentative="0">
      <w:start w:val="1"/>
      <w:numFmt w:val="lowerLetter"/>
      <w:lvlText w:val="%1."/>
      <w:lvlJc w:val="left"/>
      <w:pPr>
        <w:ind w:left="425" w:hanging="425"/>
      </w:pPr>
      <w:rPr>
        <w:rFonts w:hint="default"/>
      </w:rPr>
    </w:lvl>
  </w:abstractNum>
  <w:abstractNum w:abstractNumId="15">
    <w:nsid w:val="58BE8DA8"/>
    <w:multiLevelType w:val="singleLevel"/>
    <w:tmpl w:val="58BE8DA8"/>
    <w:lvl w:ilvl="0" w:tentative="0">
      <w:start w:val="1"/>
      <w:numFmt w:val="decimal"/>
      <w:suff w:val="nothing"/>
      <w:lvlText w:val="（%1）"/>
      <w:lvlJc w:val="left"/>
      <w:pPr>
        <w:ind w:left="0" w:firstLine="420"/>
      </w:pPr>
      <w:rPr>
        <w:rFonts w:hint="default"/>
      </w:rPr>
    </w:lvl>
  </w:abstractNum>
  <w:abstractNum w:abstractNumId="16">
    <w:nsid w:val="58BE9C58"/>
    <w:multiLevelType w:val="singleLevel"/>
    <w:tmpl w:val="58BE9C58"/>
    <w:lvl w:ilvl="0" w:tentative="0">
      <w:start w:val="1"/>
      <w:numFmt w:val="decimal"/>
      <w:suff w:val="nothing"/>
      <w:lvlText w:val="（%1）"/>
      <w:lvlJc w:val="left"/>
      <w:pPr>
        <w:ind w:left="0" w:firstLine="420"/>
      </w:pPr>
      <w:rPr>
        <w:rFonts w:hint="default"/>
      </w:rPr>
    </w:lvl>
  </w:abstractNum>
  <w:abstractNum w:abstractNumId="17">
    <w:nsid w:val="58BFC3B3"/>
    <w:multiLevelType w:val="singleLevel"/>
    <w:tmpl w:val="58BFC3B3"/>
    <w:lvl w:ilvl="0" w:tentative="0">
      <w:start w:val="1"/>
      <w:numFmt w:val="decimal"/>
      <w:suff w:val="nothing"/>
      <w:lvlText w:val="（%1）"/>
      <w:lvlJc w:val="left"/>
      <w:pPr>
        <w:ind w:left="210" w:firstLine="420"/>
      </w:pPr>
      <w:rPr>
        <w:rFonts w:hint="default"/>
      </w:rPr>
    </w:lvl>
  </w:abstractNum>
  <w:abstractNum w:abstractNumId="18">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9">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20">
    <w:nsid w:val="59DADF1A"/>
    <w:multiLevelType w:val="singleLevel"/>
    <w:tmpl w:val="59DADF1A"/>
    <w:lvl w:ilvl="0" w:tentative="0">
      <w:start w:val="1"/>
      <w:numFmt w:val="lowerLetter"/>
      <w:lvlText w:val="%1."/>
      <w:lvlJc w:val="left"/>
      <w:pPr>
        <w:ind w:left="425" w:hanging="425"/>
      </w:pPr>
      <w:rPr>
        <w:rFonts w:hint="default"/>
      </w:rPr>
    </w:lvl>
  </w:abstractNum>
  <w:num w:numId="1">
    <w:abstractNumId w:val="2"/>
  </w:num>
  <w:num w:numId="2">
    <w:abstractNumId w:val="18"/>
  </w:num>
  <w:num w:numId="3">
    <w:abstractNumId w:val="5"/>
  </w:num>
  <w:num w:numId="4">
    <w:abstractNumId w:val="6"/>
  </w:num>
  <w:num w:numId="5">
    <w:abstractNumId w:val="3"/>
  </w:num>
  <w:num w:numId="6">
    <w:abstractNumId w:val="4"/>
  </w:num>
  <w:num w:numId="7">
    <w:abstractNumId w:val="13"/>
  </w:num>
  <w:num w:numId="8">
    <w:abstractNumId w:val="19"/>
  </w:num>
  <w:num w:numId="9">
    <w:abstractNumId w:val="7"/>
  </w:num>
  <w:num w:numId="10">
    <w:abstractNumId w:val="17"/>
  </w:num>
  <w:num w:numId="11">
    <w:abstractNumId w:val="16"/>
  </w:num>
  <w:num w:numId="12">
    <w:abstractNumId w:val="8"/>
  </w:num>
  <w:num w:numId="13">
    <w:abstractNumId w:val="9"/>
  </w:num>
  <w:num w:numId="14">
    <w:abstractNumId w:val="11"/>
  </w:num>
  <w:num w:numId="15">
    <w:abstractNumId w:val="10"/>
  </w:num>
  <w:num w:numId="16">
    <w:abstractNumId w:val="12"/>
  </w:num>
  <w:num w:numId="17">
    <w:abstractNumId w:val="20"/>
  </w:num>
  <w:num w:numId="18">
    <w:abstractNumId w:val="15"/>
  </w:num>
  <w:num w:numId="19">
    <w:abstractNumId w:val="1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73D96FF7"/>
    <w:rsid w:val="000A0DC2"/>
    <w:rsid w:val="000A567D"/>
    <w:rsid w:val="00235885"/>
    <w:rsid w:val="002F54D1"/>
    <w:rsid w:val="00373D75"/>
    <w:rsid w:val="00393EE8"/>
    <w:rsid w:val="00400BF8"/>
    <w:rsid w:val="004F2491"/>
    <w:rsid w:val="005F062D"/>
    <w:rsid w:val="00687D5E"/>
    <w:rsid w:val="006E2CF6"/>
    <w:rsid w:val="00724967"/>
    <w:rsid w:val="007408E6"/>
    <w:rsid w:val="00765691"/>
    <w:rsid w:val="0078407D"/>
    <w:rsid w:val="00910ABD"/>
    <w:rsid w:val="00D54846"/>
    <w:rsid w:val="00D92E2B"/>
    <w:rsid w:val="00E4113A"/>
    <w:rsid w:val="00F1191B"/>
    <w:rsid w:val="01016F77"/>
    <w:rsid w:val="01104981"/>
    <w:rsid w:val="01235CBB"/>
    <w:rsid w:val="0147272E"/>
    <w:rsid w:val="014A4F49"/>
    <w:rsid w:val="014F219D"/>
    <w:rsid w:val="015201AD"/>
    <w:rsid w:val="0156177E"/>
    <w:rsid w:val="015F7291"/>
    <w:rsid w:val="016601B5"/>
    <w:rsid w:val="016C6285"/>
    <w:rsid w:val="01905D4E"/>
    <w:rsid w:val="01944F99"/>
    <w:rsid w:val="01BF446B"/>
    <w:rsid w:val="01C33E75"/>
    <w:rsid w:val="01CF4650"/>
    <w:rsid w:val="01DE0A3D"/>
    <w:rsid w:val="0200205F"/>
    <w:rsid w:val="021A2C53"/>
    <w:rsid w:val="022C6DF2"/>
    <w:rsid w:val="025668F9"/>
    <w:rsid w:val="0257047B"/>
    <w:rsid w:val="025C1F43"/>
    <w:rsid w:val="02691867"/>
    <w:rsid w:val="026D2388"/>
    <w:rsid w:val="026E63F5"/>
    <w:rsid w:val="026F6593"/>
    <w:rsid w:val="027D5FDE"/>
    <w:rsid w:val="0290670B"/>
    <w:rsid w:val="029D3713"/>
    <w:rsid w:val="02A227A1"/>
    <w:rsid w:val="02CF5D26"/>
    <w:rsid w:val="02DA5FCC"/>
    <w:rsid w:val="02FA0069"/>
    <w:rsid w:val="02FB3B23"/>
    <w:rsid w:val="030A3205"/>
    <w:rsid w:val="03366953"/>
    <w:rsid w:val="034A7BA5"/>
    <w:rsid w:val="034C23A0"/>
    <w:rsid w:val="0353555C"/>
    <w:rsid w:val="037E757B"/>
    <w:rsid w:val="038E1A4F"/>
    <w:rsid w:val="039806C0"/>
    <w:rsid w:val="03B43EE7"/>
    <w:rsid w:val="03CF2F3E"/>
    <w:rsid w:val="045B76FC"/>
    <w:rsid w:val="048D0480"/>
    <w:rsid w:val="04B42133"/>
    <w:rsid w:val="04C31C0F"/>
    <w:rsid w:val="04C37E19"/>
    <w:rsid w:val="04E23328"/>
    <w:rsid w:val="051F57D5"/>
    <w:rsid w:val="05372DA4"/>
    <w:rsid w:val="055C337C"/>
    <w:rsid w:val="05A50E7C"/>
    <w:rsid w:val="05D03842"/>
    <w:rsid w:val="05F22180"/>
    <w:rsid w:val="06023542"/>
    <w:rsid w:val="060A48CE"/>
    <w:rsid w:val="0676398F"/>
    <w:rsid w:val="06A628AE"/>
    <w:rsid w:val="06C21663"/>
    <w:rsid w:val="06C771A3"/>
    <w:rsid w:val="06E204D4"/>
    <w:rsid w:val="072E7CDB"/>
    <w:rsid w:val="07467D7E"/>
    <w:rsid w:val="078258E9"/>
    <w:rsid w:val="07A01238"/>
    <w:rsid w:val="084D6823"/>
    <w:rsid w:val="08506783"/>
    <w:rsid w:val="08876803"/>
    <w:rsid w:val="091B4E47"/>
    <w:rsid w:val="093C0A37"/>
    <w:rsid w:val="09B0067D"/>
    <w:rsid w:val="09C52E90"/>
    <w:rsid w:val="0A576742"/>
    <w:rsid w:val="0A8F50B9"/>
    <w:rsid w:val="0A9E0AC8"/>
    <w:rsid w:val="0ACD7171"/>
    <w:rsid w:val="0B58116C"/>
    <w:rsid w:val="0B9510F4"/>
    <w:rsid w:val="0BAB4E0E"/>
    <w:rsid w:val="0BAD6248"/>
    <w:rsid w:val="0BBA3C56"/>
    <w:rsid w:val="0BE360C6"/>
    <w:rsid w:val="0C26495C"/>
    <w:rsid w:val="0C665824"/>
    <w:rsid w:val="0C7A572F"/>
    <w:rsid w:val="0C8D1F69"/>
    <w:rsid w:val="0C943AA2"/>
    <w:rsid w:val="0C984361"/>
    <w:rsid w:val="0CBD09EA"/>
    <w:rsid w:val="0CE41B31"/>
    <w:rsid w:val="0CF301A5"/>
    <w:rsid w:val="0CFE1DB5"/>
    <w:rsid w:val="0CFF064B"/>
    <w:rsid w:val="0CFF0F1B"/>
    <w:rsid w:val="0D8777F6"/>
    <w:rsid w:val="0DA21CAD"/>
    <w:rsid w:val="0DB27CD1"/>
    <w:rsid w:val="0DB713C3"/>
    <w:rsid w:val="0DD405FA"/>
    <w:rsid w:val="0DDD53AC"/>
    <w:rsid w:val="0E1C117D"/>
    <w:rsid w:val="0E2624D8"/>
    <w:rsid w:val="0E3D6A8E"/>
    <w:rsid w:val="0E837DDF"/>
    <w:rsid w:val="0EB8754C"/>
    <w:rsid w:val="0EBE68BC"/>
    <w:rsid w:val="0EDB32C2"/>
    <w:rsid w:val="0EEB7659"/>
    <w:rsid w:val="0EFB59A3"/>
    <w:rsid w:val="0F01175D"/>
    <w:rsid w:val="0F4B4DA6"/>
    <w:rsid w:val="0F7B63A0"/>
    <w:rsid w:val="0F916E5A"/>
    <w:rsid w:val="0F9C0159"/>
    <w:rsid w:val="0FC04A43"/>
    <w:rsid w:val="0FC60E6B"/>
    <w:rsid w:val="0FD03043"/>
    <w:rsid w:val="0FE60143"/>
    <w:rsid w:val="1012509C"/>
    <w:rsid w:val="101476C3"/>
    <w:rsid w:val="10275AEB"/>
    <w:rsid w:val="104A391B"/>
    <w:rsid w:val="10594DE6"/>
    <w:rsid w:val="10675755"/>
    <w:rsid w:val="1080507E"/>
    <w:rsid w:val="108064F2"/>
    <w:rsid w:val="10993435"/>
    <w:rsid w:val="10A56817"/>
    <w:rsid w:val="10B4058D"/>
    <w:rsid w:val="10B54E13"/>
    <w:rsid w:val="10C35B5C"/>
    <w:rsid w:val="10C77FA2"/>
    <w:rsid w:val="10D77C07"/>
    <w:rsid w:val="111B7615"/>
    <w:rsid w:val="11694370"/>
    <w:rsid w:val="116D4893"/>
    <w:rsid w:val="117141C3"/>
    <w:rsid w:val="118F1C4B"/>
    <w:rsid w:val="11A54DB1"/>
    <w:rsid w:val="11C473B7"/>
    <w:rsid w:val="11F93CC8"/>
    <w:rsid w:val="123E07AF"/>
    <w:rsid w:val="124A70DD"/>
    <w:rsid w:val="1261423B"/>
    <w:rsid w:val="128539EB"/>
    <w:rsid w:val="12883761"/>
    <w:rsid w:val="12914B30"/>
    <w:rsid w:val="12B17AA6"/>
    <w:rsid w:val="12C17C08"/>
    <w:rsid w:val="139D6921"/>
    <w:rsid w:val="139D7809"/>
    <w:rsid w:val="13A91C52"/>
    <w:rsid w:val="13AD0596"/>
    <w:rsid w:val="13CB419F"/>
    <w:rsid w:val="13D83775"/>
    <w:rsid w:val="141D790D"/>
    <w:rsid w:val="147501D3"/>
    <w:rsid w:val="15007ACD"/>
    <w:rsid w:val="150F50B2"/>
    <w:rsid w:val="152C383F"/>
    <w:rsid w:val="158F403B"/>
    <w:rsid w:val="15A56175"/>
    <w:rsid w:val="15D5575B"/>
    <w:rsid w:val="15D849FF"/>
    <w:rsid w:val="15E3346A"/>
    <w:rsid w:val="16155EB2"/>
    <w:rsid w:val="161E58CC"/>
    <w:rsid w:val="16B877F8"/>
    <w:rsid w:val="16BC52DE"/>
    <w:rsid w:val="171A2CB4"/>
    <w:rsid w:val="17283764"/>
    <w:rsid w:val="173C04C3"/>
    <w:rsid w:val="176652E8"/>
    <w:rsid w:val="176D0C2A"/>
    <w:rsid w:val="17741B6C"/>
    <w:rsid w:val="177B3894"/>
    <w:rsid w:val="179B7A92"/>
    <w:rsid w:val="17C92852"/>
    <w:rsid w:val="17EA27C8"/>
    <w:rsid w:val="183F12FF"/>
    <w:rsid w:val="184D4A07"/>
    <w:rsid w:val="18C56911"/>
    <w:rsid w:val="18CB0D78"/>
    <w:rsid w:val="18CD2DFE"/>
    <w:rsid w:val="19217C54"/>
    <w:rsid w:val="19247ED6"/>
    <w:rsid w:val="194128BC"/>
    <w:rsid w:val="19612D69"/>
    <w:rsid w:val="196B2692"/>
    <w:rsid w:val="19947705"/>
    <w:rsid w:val="199D21E8"/>
    <w:rsid w:val="19A01A2D"/>
    <w:rsid w:val="19B86659"/>
    <w:rsid w:val="19B95A0C"/>
    <w:rsid w:val="19F70E42"/>
    <w:rsid w:val="1A1B111D"/>
    <w:rsid w:val="1A4E3356"/>
    <w:rsid w:val="1A5D78BC"/>
    <w:rsid w:val="1A651B68"/>
    <w:rsid w:val="1A7B4DAB"/>
    <w:rsid w:val="1AE678F5"/>
    <w:rsid w:val="1B242D7C"/>
    <w:rsid w:val="1B281F85"/>
    <w:rsid w:val="1B32765F"/>
    <w:rsid w:val="1B334486"/>
    <w:rsid w:val="1B381169"/>
    <w:rsid w:val="1B5148C2"/>
    <w:rsid w:val="1B5D0A58"/>
    <w:rsid w:val="1B7145E8"/>
    <w:rsid w:val="1B8018C9"/>
    <w:rsid w:val="1BAB764D"/>
    <w:rsid w:val="1BD549D6"/>
    <w:rsid w:val="1BDF6EB0"/>
    <w:rsid w:val="1BE374A9"/>
    <w:rsid w:val="1C1356AC"/>
    <w:rsid w:val="1C1C3E85"/>
    <w:rsid w:val="1CAF7990"/>
    <w:rsid w:val="1CC33031"/>
    <w:rsid w:val="1CD157D9"/>
    <w:rsid w:val="1CDF1CFC"/>
    <w:rsid w:val="1CEF51F6"/>
    <w:rsid w:val="1D3B78D9"/>
    <w:rsid w:val="1D7840F1"/>
    <w:rsid w:val="1D7F49E1"/>
    <w:rsid w:val="1D836679"/>
    <w:rsid w:val="1DA8571B"/>
    <w:rsid w:val="1DBC07EE"/>
    <w:rsid w:val="1DBE1337"/>
    <w:rsid w:val="1DC30CA2"/>
    <w:rsid w:val="1E0D50FB"/>
    <w:rsid w:val="1E536B13"/>
    <w:rsid w:val="1E557FB0"/>
    <w:rsid w:val="1E853844"/>
    <w:rsid w:val="1E972E16"/>
    <w:rsid w:val="1E9F14A3"/>
    <w:rsid w:val="1EBC3110"/>
    <w:rsid w:val="1ECE2E43"/>
    <w:rsid w:val="1EE51DD3"/>
    <w:rsid w:val="1EEB2BDF"/>
    <w:rsid w:val="1EFE1D7A"/>
    <w:rsid w:val="1F066F88"/>
    <w:rsid w:val="1F254E7A"/>
    <w:rsid w:val="1F36152B"/>
    <w:rsid w:val="1F6E76AE"/>
    <w:rsid w:val="1F772657"/>
    <w:rsid w:val="1F7D3C04"/>
    <w:rsid w:val="1F89674E"/>
    <w:rsid w:val="1FB168A4"/>
    <w:rsid w:val="1FCA7CDE"/>
    <w:rsid w:val="1FE3716A"/>
    <w:rsid w:val="202D7E73"/>
    <w:rsid w:val="202F4E7D"/>
    <w:rsid w:val="2037677D"/>
    <w:rsid w:val="2077242B"/>
    <w:rsid w:val="209803B2"/>
    <w:rsid w:val="20B62ECB"/>
    <w:rsid w:val="20F52E31"/>
    <w:rsid w:val="20FA64C2"/>
    <w:rsid w:val="21283873"/>
    <w:rsid w:val="21430515"/>
    <w:rsid w:val="21A85F9F"/>
    <w:rsid w:val="21AB2FC8"/>
    <w:rsid w:val="21B5407C"/>
    <w:rsid w:val="21DD6CCE"/>
    <w:rsid w:val="222923C1"/>
    <w:rsid w:val="222C5132"/>
    <w:rsid w:val="224F3B68"/>
    <w:rsid w:val="22547778"/>
    <w:rsid w:val="22745C5B"/>
    <w:rsid w:val="227F1D33"/>
    <w:rsid w:val="22A56E76"/>
    <w:rsid w:val="22AB4434"/>
    <w:rsid w:val="22B63BE8"/>
    <w:rsid w:val="230C3B84"/>
    <w:rsid w:val="231A43B2"/>
    <w:rsid w:val="23280C8D"/>
    <w:rsid w:val="23302798"/>
    <w:rsid w:val="239D1668"/>
    <w:rsid w:val="239E1028"/>
    <w:rsid w:val="23AB3BDD"/>
    <w:rsid w:val="23B41069"/>
    <w:rsid w:val="23C16104"/>
    <w:rsid w:val="23CB460C"/>
    <w:rsid w:val="23DD33CC"/>
    <w:rsid w:val="23E16E04"/>
    <w:rsid w:val="240C32C9"/>
    <w:rsid w:val="24132D46"/>
    <w:rsid w:val="242817F7"/>
    <w:rsid w:val="247714D3"/>
    <w:rsid w:val="249220C6"/>
    <w:rsid w:val="24A9239B"/>
    <w:rsid w:val="24AF1021"/>
    <w:rsid w:val="24D526FD"/>
    <w:rsid w:val="24E76BE8"/>
    <w:rsid w:val="252546C3"/>
    <w:rsid w:val="252B0BB3"/>
    <w:rsid w:val="252E7189"/>
    <w:rsid w:val="25645475"/>
    <w:rsid w:val="25722BAF"/>
    <w:rsid w:val="25850F7B"/>
    <w:rsid w:val="258E7B7F"/>
    <w:rsid w:val="25A55A28"/>
    <w:rsid w:val="25AA1C32"/>
    <w:rsid w:val="25CE1F4F"/>
    <w:rsid w:val="260B0B0B"/>
    <w:rsid w:val="262C35F3"/>
    <w:rsid w:val="26574779"/>
    <w:rsid w:val="26720AE8"/>
    <w:rsid w:val="26722DF5"/>
    <w:rsid w:val="2697687A"/>
    <w:rsid w:val="26A42276"/>
    <w:rsid w:val="26B048CF"/>
    <w:rsid w:val="26CF5E3B"/>
    <w:rsid w:val="26D95C81"/>
    <w:rsid w:val="26FB1935"/>
    <w:rsid w:val="27070CA1"/>
    <w:rsid w:val="271158BD"/>
    <w:rsid w:val="271A039A"/>
    <w:rsid w:val="272804A6"/>
    <w:rsid w:val="273F53E1"/>
    <w:rsid w:val="27965380"/>
    <w:rsid w:val="27FC6AB7"/>
    <w:rsid w:val="281A3B7F"/>
    <w:rsid w:val="281D4CB6"/>
    <w:rsid w:val="28212236"/>
    <w:rsid w:val="28225114"/>
    <w:rsid w:val="28414907"/>
    <w:rsid w:val="28641DDC"/>
    <w:rsid w:val="286D7311"/>
    <w:rsid w:val="287C121A"/>
    <w:rsid w:val="288663F2"/>
    <w:rsid w:val="288D1679"/>
    <w:rsid w:val="28983BDF"/>
    <w:rsid w:val="28994044"/>
    <w:rsid w:val="28BA778B"/>
    <w:rsid w:val="28CF7855"/>
    <w:rsid w:val="292852C2"/>
    <w:rsid w:val="29487607"/>
    <w:rsid w:val="29922FD2"/>
    <w:rsid w:val="29BE73CC"/>
    <w:rsid w:val="29C17764"/>
    <w:rsid w:val="2A0E227A"/>
    <w:rsid w:val="2A1829D0"/>
    <w:rsid w:val="2A1F0EA2"/>
    <w:rsid w:val="2A3C4DFE"/>
    <w:rsid w:val="2A6074C3"/>
    <w:rsid w:val="2A9C4475"/>
    <w:rsid w:val="2AA03DAB"/>
    <w:rsid w:val="2AE13EFE"/>
    <w:rsid w:val="2AE74455"/>
    <w:rsid w:val="2AED5527"/>
    <w:rsid w:val="2AEE3A39"/>
    <w:rsid w:val="2B4D7F9A"/>
    <w:rsid w:val="2B8D373E"/>
    <w:rsid w:val="2BE84F13"/>
    <w:rsid w:val="2BF81A9F"/>
    <w:rsid w:val="2C0C1A2C"/>
    <w:rsid w:val="2C494E79"/>
    <w:rsid w:val="2C4F375B"/>
    <w:rsid w:val="2C5A7AC4"/>
    <w:rsid w:val="2C682DF7"/>
    <w:rsid w:val="2C6C1C2D"/>
    <w:rsid w:val="2C8829FF"/>
    <w:rsid w:val="2CAF0151"/>
    <w:rsid w:val="2CBD3C19"/>
    <w:rsid w:val="2D1A6B8B"/>
    <w:rsid w:val="2D3C7A1B"/>
    <w:rsid w:val="2D400C03"/>
    <w:rsid w:val="2D504622"/>
    <w:rsid w:val="2D713318"/>
    <w:rsid w:val="2D9B2B4F"/>
    <w:rsid w:val="2DAA3BA2"/>
    <w:rsid w:val="2DCF7CDF"/>
    <w:rsid w:val="2DF511F5"/>
    <w:rsid w:val="2E004BE0"/>
    <w:rsid w:val="2E4466C3"/>
    <w:rsid w:val="2E5B6B4B"/>
    <w:rsid w:val="2E9236A2"/>
    <w:rsid w:val="2EF03F92"/>
    <w:rsid w:val="2EF7784D"/>
    <w:rsid w:val="2EF82D13"/>
    <w:rsid w:val="2F06540D"/>
    <w:rsid w:val="2F362D1D"/>
    <w:rsid w:val="2F3E1D3D"/>
    <w:rsid w:val="2F520D6A"/>
    <w:rsid w:val="2F983C4C"/>
    <w:rsid w:val="2FC811E9"/>
    <w:rsid w:val="2FF53720"/>
    <w:rsid w:val="30557C22"/>
    <w:rsid w:val="306E5BF5"/>
    <w:rsid w:val="30811BCF"/>
    <w:rsid w:val="30852C88"/>
    <w:rsid w:val="312225A7"/>
    <w:rsid w:val="314E5250"/>
    <w:rsid w:val="314F336F"/>
    <w:rsid w:val="317D7AB6"/>
    <w:rsid w:val="31AA7C21"/>
    <w:rsid w:val="31B643EF"/>
    <w:rsid w:val="31BB428D"/>
    <w:rsid w:val="31D811CD"/>
    <w:rsid w:val="31EC7C82"/>
    <w:rsid w:val="322B52E9"/>
    <w:rsid w:val="324C7ED8"/>
    <w:rsid w:val="32AD7628"/>
    <w:rsid w:val="33097A2D"/>
    <w:rsid w:val="33137B9F"/>
    <w:rsid w:val="333B417A"/>
    <w:rsid w:val="33415A8D"/>
    <w:rsid w:val="33586AFB"/>
    <w:rsid w:val="337B73ED"/>
    <w:rsid w:val="339A55B4"/>
    <w:rsid w:val="34041022"/>
    <w:rsid w:val="34352795"/>
    <w:rsid w:val="34541FE0"/>
    <w:rsid w:val="34756687"/>
    <w:rsid w:val="347E5715"/>
    <w:rsid w:val="34897728"/>
    <w:rsid w:val="34AC3731"/>
    <w:rsid w:val="34DB4661"/>
    <w:rsid w:val="34E410C4"/>
    <w:rsid w:val="34EF0B9B"/>
    <w:rsid w:val="34F333CE"/>
    <w:rsid w:val="350668B2"/>
    <w:rsid w:val="351211E7"/>
    <w:rsid w:val="35270760"/>
    <w:rsid w:val="35335936"/>
    <w:rsid w:val="355557F2"/>
    <w:rsid w:val="3562627B"/>
    <w:rsid w:val="3567286F"/>
    <w:rsid w:val="358556C3"/>
    <w:rsid w:val="35A973B1"/>
    <w:rsid w:val="35C70E9A"/>
    <w:rsid w:val="360C4565"/>
    <w:rsid w:val="36124F93"/>
    <w:rsid w:val="36514DFC"/>
    <w:rsid w:val="365A592A"/>
    <w:rsid w:val="366571C7"/>
    <w:rsid w:val="36A73099"/>
    <w:rsid w:val="36E253DC"/>
    <w:rsid w:val="37257AC4"/>
    <w:rsid w:val="375F69DD"/>
    <w:rsid w:val="37647EF5"/>
    <w:rsid w:val="37A07100"/>
    <w:rsid w:val="37A406E4"/>
    <w:rsid w:val="37D6300B"/>
    <w:rsid w:val="37DE3C9F"/>
    <w:rsid w:val="37E34E12"/>
    <w:rsid w:val="38010FF7"/>
    <w:rsid w:val="38196824"/>
    <w:rsid w:val="385345AE"/>
    <w:rsid w:val="38631B62"/>
    <w:rsid w:val="3869690E"/>
    <w:rsid w:val="38750FF3"/>
    <w:rsid w:val="38BD74B9"/>
    <w:rsid w:val="38CF1AFF"/>
    <w:rsid w:val="39015C75"/>
    <w:rsid w:val="390943EF"/>
    <w:rsid w:val="391D14E6"/>
    <w:rsid w:val="39340E5C"/>
    <w:rsid w:val="393B5AA8"/>
    <w:rsid w:val="39405883"/>
    <w:rsid w:val="39AC580A"/>
    <w:rsid w:val="39BA0AB8"/>
    <w:rsid w:val="39C63022"/>
    <w:rsid w:val="39FD7375"/>
    <w:rsid w:val="39FE7EC6"/>
    <w:rsid w:val="3A5B049C"/>
    <w:rsid w:val="3A8B1791"/>
    <w:rsid w:val="3AD73F6C"/>
    <w:rsid w:val="3AEC2F68"/>
    <w:rsid w:val="3B18212D"/>
    <w:rsid w:val="3B4018AB"/>
    <w:rsid w:val="3B6766AF"/>
    <w:rsid w:val="3B9C6C07"/>
    <w:rsid w:val="3BA20E92"/>
    <w:rsid w:val="3BBE43C5"/>
    <w:rsid w:val="3BE01215"/>
    <w:rsid w:val="3C015CC0"/>
    <w:rsid w:val="3C143A01"/>
    <w:rsid w:val="3C720169"/>
    <w:rsid w:val="3C8C4E40"/>
    <w:rsid w:val="3CC32992"/>
    <w:rsid w:val="3D0C725A"/>
    <w:rsid w:val="3D161F09"/>
    <w:rsid w:val="3D6A6209"/>
    <w:rsid w:val="3DA24227"/>
    <w:rsid w:val="3DA93405"/>
    <w:rsid w:val="3DC6046B"/>
    <w:rsid w:val="3DDA621C"/>
    <w:rsid w:val="3E142590"/>
    <w:rsid w:val="3E292AC9"/>
    <w:rsid w:val="3E2E7003"/>
    <w:rsid w:val="3E485AF6"/>
    <w:rsid w:val="3E521D31"/>
    <w:rsid w:val="3E6727A9"/>
    <w:rsid w:val="3E7C7D6E"/>
    <w:rsid w:val="3E8C6133"/>
    <w:rsid w:val="3E9B7344"/>
    <w:rsid w:val="3ED668C3"/>
    <w:rsid w:val="3EF935E4"/>
    <w:rsid w:val="3F281D35"/>
    <w:rsid w:val="3F281DC2"/>
    <w:rsid w:val="3F297732"/>
    <w:rsid w:val="3F4732B9"/>
    <w:rsid w:val="3F4944A8"/>
    <w:rsid w:val="3FC5148A"/>
    <w:rsid w:val="3FFA4413"/>
    <w:rsid w:val="400859C2"/>
    <w:rsid w:val="401972B4"/>
    <w:rsid w:val="405B5800"/>
    <w:rsid w:val="407133FF"/>
    <w:rsid w:val="40A01669"/>
    <w:rsid w:val="40CB6648"/>
    <w:rsid w:val="41112483"/>
    <w:rsid w:val="41480453"/>
    <w:rsid w:val="41571710"/>
    <w:rsid w:val="416B49EF"/>
    <w:rsid w:val="417444DF"/>
    <w:rsid w:val="41A40996"/>
    <w:rsid w:val="41B572E1"/>
    <w:rsid w:val="41CB616E"/>
    <w:rsid w:val="41E974C9"/>
    <w:rsid w:val="41FC0FA7"/>
    <w:rsid w:val="420743E3"/>
    <w:rsid w:val="421D11FF"/>
    <w:rsid w:val="423F1CC9"/>
    <w:rsid w:val="42417305"/>
    <w:rsid w:val="424B600F"/>
    <w:rsid w:val="42A57FF2"/>
    <w:rsid w:val="42B3458F"/>
    <w:rsid w:val="42C10E48"/>
    <w:rsid w:val="42CA44EA"/>
    <w:rsid w:val="42EF792C"/>
    <w:rsid w:val="42F223AD"/>
    <w:rsid w:val="431E55F4"/>
    <w:rsid w:val="4370627C"/>
    <w:rsid w:val="43713A92"/>
    <w:rsid w:val="437D03C2"/>
    <w:rsid w:val="439E46C5"/>
    <w:rsid w:val="43DB72E5"/>
    <w:rsid w:val="43E52ADD"/>
    <w:rsid w:val="43F354D7"/>
    <w:rsid w:val="44046EB0"/>
    <w:rsid w:val="440A1946"/>
    <w:rsid w:val="44162084"/>
    <w:rsid w:val="44505E3E"/>
    <w:rsid w:val="44832F7B"/>
    <w:rsid w:val="449204BA"/>
    <w:rsid w:val="44C804E0"/>
    <w:rsid w:val="4507271E"/>
    <w:rsid w:val="452A10C4"/>
    <w:rsid w:val="455A64B5"/>
    <w:rsid w:val="457F3D61"/>
    <w:rsid w:val="45927E77"/>
    <w:rsid w:val="45965327"/>
    <w:rsid w:val="45F30C02"/>
    <w:rsid w:val="460A3EB2"/>
    <w:rsid w:val="460B7E0C"/>
    <w:rsid w:val="461812ED"/>
    <w:rsid w:val="46223A8A"/>
    <w:rsid w:val="46314DBD"/>
    <w:rsid w:val="465B1FC3"/>
    <w:rsid w:val="46D804AF"/>
    <w:rsid w:val="46D908D3"/>
    <w:rsid w:val="470D0391"/>
    <w:rsid w:val="471662CD"/>
    <w:rsid w:val="47462CC7"/>
    <w:rsid w:val="47752F9E"/>
    <w:rsid w:val="47777325"/>
    <w:rsid w:val="477C0DDF"/>
    <w:rsid w:val="47801AB2"/>
    <w:rsid w:val="47905265"/>
    <w:rsid w:val="4795235B"/>
    <w:rsid w:val="47E567CE"/>
    <w:rsid w:val="47E80223"/>
    <w:rsid w:val="480379E4"/>
    <w:rsid w:val="481903DC"/>
    <w:rsid w:val="486F44A0"/>
    <w:rsid w:val="48894303"/>
    <w:rsid w:val="489A466A"/>
    <w:rsid w:val="48B078A1"/>
    <w:rsid w:val="48EF57D7"/>
    <w:rsid w:val="49072A64"/>
    <w:rsid w:val="493731EA"/>
    <w:rsid w:val="49506714"/>
    <w:rsid w:val="49834D90"/>
    <w:rsid w:val="49891E90"/>
    <w:rsid w:val="49935F6C"/>
    <w:rsid w:val="49AF4B75"/>
    <w:rsid w:val="49E16843"/>
    <w:rsid w:val="49EC1A0A"/>
    <w:rsid w:val="49F40B18"/>
    <w:rsid w:val="4A343D33"/>
    <w:rsid w:val="4A8166C5"/>
    <w:rsid w:val="4A8803F3"/>
    <w:rsid w:val="4A9F523E"/>
    <w:rsid w:val="4A9F776C"/>
    <w:rsid w:val="4ABD14F2"/>
    <w:rsid w:val="4ADB2C8C"/>
    <w:rsid w:val="4B0706EF"/>
    <w:rsid w:val="4B1032AC"/>
    <w:rsid w:val="4B196D56"/>
    <w:rsid w:val="4B2E5F87"/>
    <w:rsid w:val="4B3423D0"/>
    <w:rsid w:val="4B3814C1"/>
    <w:rsid w:val="4BC3464C"/>
    <w:rsid w:val="4BF65473"/>
    <w:rsid w:val="4BF65A39"/>
    <w:rsid w:val="4C1C5ED1"/>
    <w:rsid w:val="4C243D45"/>
    <w:rsid w:val="4C296DFE"/>
    <w:rsid w:val="4C4308E7"/>
    <w:rsid w:val="4C53486C"/>
    <w:rsid w:val="4C5F554A"/>
    <w:rsid w:val="4C8D7864"/>
    <w:rsid w:val="4CA2136F"/>
    <w:rsid w:val="4CC330C3"/>
    <w:rsid w:val="4CC72AFC"/>
    <w:rsid w:val="4CF25575"/>
    <w:rsid w:val="4D1F46E6"/>
    <w:rsid w:val="4D5946E2"/>
    <w:rsid w:val="4D5B4DFE"/>
    <w:rsid w:val="4D6543A8"/>
    <w:rsid w:val="4D704AFD"/>
    <w:rsid w:val="4D8D7BF0"/>
    <w:rsid w:val="4DB017E2"/>
    <w:rsid w:val="4DBB674D"/>
    <w:rsid w:val="4DCF705B"/>
    <w:rsid w:val="4DEB371E"/>
    <w:rsid w:val="4DEE42BB"/>
    <w:rsid w:val="4DF06083"/>
    <w:rsid w:val="4E0F6509"/>
    <w:rsid w:val="4E173610"/>
    <w:rsid w:val="4E1C6E78"/>
    <w:rsid w:val="4E4C2F10"/>
    <w:rsid w:val="4E50554E"/>
    <w:rsid w:val="4E922C96"/>
    <w:rsid w:val="4EA62219"/>
    <w:rsid w:val="4EB9101B"/>
    <w:rsid w:val="4EDF533B"/>
    <w:rsid w:val="4F046328"/>
    <w:rsid w:val="4F0A38E9"/>
    <w:rsid w:val="4F0C1D27"/>
    <w:rsid w:val="4F1360B6"/>
    <w:rsid w:val="4F1763A9"/>
    <w:rsid w:val="4F244236"/>
    <w:rsid w:val="4F3139CE"/>
    <w:rsid w:val="4FA52BCF"/>
    <w:rsid w:val="4FA709C3"/>
    <w:rsid w:val="4FF5614D"/>
    <w:rsid w:val="50456945"/>
    <w:rsid w:val="506D7517"/>
    <w:rsid w:val="507B2AF5"/>
    <w:rsid w:val="507C0F0A"/>
    <w:rsid w:val="507C3A71"/>
    <w:rsid w:val="5086682B"/>
    <w:rsid w:val="50987303"/>
    <w:rsid w:val="50A74F10"/>
    <w:rsid w:val="50EA7095"/>
    <w:rsid w:val="50F97200"/>
    <w:rsid w:val="511B597F"/>
    <w:rsid w:val="513D7C0C"/>
    <w:rsid w:val="514A4278"/>
    <w:rsid w:val="516F5BB5"/>
    <w:rsid w:val="5171015E"/>
    <w:rsid w:val="517360A5"/>
    <w:rsid w:val="51876787"/>
    <w:rsid w:val="51C12281"/>
    <w:rsid w:val="51E6161A"/>
    <w:rsid w:val="51E86261"/>
    <w:rsid w:val="523429DF"/>
    <w:rsid w:val="52446638"/>
    <w:rsid w:val="526762D2"/>
    <w:rsid w:val="52A10892"/>
    <w:rsid w:val="52B453D9"/>
    <w:rsid w:val="52B925C9"/>
    <w:rsid w:val="52E36449"/>
    <w:rsid w:val="52EF5B8A"/>
    <w:rsid w:val="530F0D59"/>
    <w:rsid w:val="53157BAA"/>
    <w:rsid w:val="531B14AC"/>
    <w:rsid w:val="532631EC"/>
    <w:rsid w:val="5349426B"/>
    <w:rsid w:val="535B075B"/>
    <w:rsid w:val="538D6EA3"/>
    <w:rsid w:val="53C77635"/>
    <w:rsid w:val="53C82084"/>
    <w:rsid w:val="53F824B7"/>
    <w:rsid w:val="543437C0"/>
    <w:rsid w:val="54572022"/>
    <w:rsid w:val="54581443"/>
    <w:rsid w:val="545D4177"/>
    <w:rsid w:val="5478018A"/>
    <w:rsid w:val="54B666D4"/>
    <w:rsid w:val="54D142AB"/>
    <w:rsid w:val="551822B1"/>
    <w:rsid w:val="552C3E22"/>
    <w:rsid w:val="553E1633"/>
    <w:rsid w:val="554910C3"/>
    <w:rsid w:val="5565794F"/>
    <w:rsid w:val="556D4F3D"/>
    <w:rsid w:val="55866B82"/>
    <w:rsid w:val="55A53803"/>
    <w:rsid w:val="55B66503"/>
    <w:rsid w:val="55CC7FEC"/>
    <w:rsid w:val="55E2397B"/>
    <w:rsid w:val="56124EA8"/>
    <w:rsid w:val="562D14FF"/>
    <w:rsid w:val="56312E45"/>
    <w:rsid w:val="56C1389A"/>
    <w:rsid w:val="56C70E4C"/>
    <w:rsid w:val="56E629BF"/>
    <w:rsid w:val="570C3BBB"/>
    <w:rsid w:val="57667D4E"/>
    <w:rsid w:val="576A47B0"/>
    <w:rsid w:val="576D2BA0"/>
    <w:rsid w:val="57700F1E"/>
    <w:rsid w:val="57A11AC9"/>
    <w:rsid w:val="57BA6A69"/>
    <w:rsid w:val="57C96BB6"/>
    <w:rsid w:val="57CA16F3"/>
    <w:rsid w:val="57D60F67"/>
    <w:rsid w:val="57DE6F4C"/>
    <w:rsid w:val="58823D7B"/>
    <w:rsid w:val="58873070"/>
    <w:rsid w:val="58B57CAD"/>
    <w:rsid w:val="590239D6"/>
    <w:rsid w:val="59142FC5"/>
    <w:rsid w:val="594D1EB7"/>
    <w:rsid w:val="59534961"/>
    <w:rsid w:val="59A374A2"/>
    <w:rsid w:val="59BF4E8F"/>
    <w:rsid w:val="59C13365"/>
    <w:rsid w:val="59FF3DD5"/>
    <w:rsid w:val="5A1C0059"/>
    <w:rsid w:val="5A2D5907"/>
    <w:rsid w:val="5A2E40F8"/>
    <w:rsid w:val="5A2E6302"/>
    <w:rsid w:val="5A3D1617"/>
    <w:rsid w:val="5A3E3CD2"/>
    <w:rsid w:val="5A4532B2"/>
    <w:rsid w:val="5A9E14BA"/>
    <w:rsid w:val="5AAF18B6"/>
    <w:rsid w:val="5AE01549"/>
    <w:rsid w:val="5AF25320"/>
    <w:rsid w:val="5AFC2F2F"/>
    <w:rsid w:val="5B0C3813"/>
    <w:rsid w:val="5B32783C"/>
    <w:rsid w:val="5B8F114B"/>
    <w:rsid w:val="5B9736F3"/>
    <w:rsid w:val="5BA849E6"/>
    <w:rsid w:val="5BD30C98"/>
    <w:rsid w:val="5BD36A0F"/>
    <w:rsid w:val="5BDA6D7F"/>
    <w:rsid w:val="5BF155A1"/>
    <w:rsid w:val="5C1667D9"/>
    <w:rsid w:val="5C2B4972"/>
    <w:rsid w:val="5C625955"/>
    <w:rsid w:val="5C843E95"/>
    <w:rsid w:val="5CA54AB0"/>
    <w:rsid w:val="5CE8602D"/>
    <w:rsid w:val="5D002351"/>
    <w:rsid w:val="5D207458"/>
    <w:rsid w:val="5D3B7CB5"/>
    <w:rsid w:val="5D560EE3"/>
    <w:rsid w:val="5D5962B6"/>
    <w:rsid w:val="5D600B2F"/>
    <w:rsid w:val="5D754025"/>
    <w:rsid w:val="5DE272CE"/>
    <w:rsid w:val="5DE646D3"/>
    <w:rsid w:val="5DFD5D57"/>
    <w:rsid w:val="5E0B1330"/>
    <w:rsid w:val="5E1A2D19"/>
    <w:rsid w:val="5EAC341B"/>
    <w:rsid w:val="5ECA3D86"/>
    <w:rsid w:val="5EDF3CD6"/>
    <w:rsid w:val="5EFF3BB3"/>
    <w:rsid w:val="5F175BD3"/>
    <w:rsid w:val="5F6A2CAD"/>
    <w:rsid w:val="5F8E65CB"/>
    <w:rsid w:val="60247767"/>
    <w:rsid w:val="60734876"/>
    <w:rsid w:val="60A22725"/>
    <w:rsid w:val="60F6534A"/>
    <w:rsid w:val="61343B02"/>
    <w:rsid w:val="613D4CE3"/>
    <w:rsid w:val="613D6DF3"/>
    <w:rsid w:val="616D1CC8"/>
    <w:rsid w:val="61700C15"/>
    <w:rsid w:val="61833763"/>
    <w:rsid w:val="61B94090"/>
    <w:rsid w:val="61F01591"/>
    <w:rsid w:val="62136433"/>
    <w:rsid w:val="62254142"/>
    <w:rsid w:val="62353C0D"/>
    <w:rsid w:val="62522A10"/>
    <w:rsid w:val="625247BE"/>
    <w:rsid w:val="627067B2"/>
    <w:rsid w:val="62826BDB"/>
    <w:rsid w:val="628E7E3E"/>
    <w:rsid w:val="62A63415"/>
    <w:rsid w:val="62A96AD4"/>
    <w:rsid w:val="62BD06F1"/>
    <w:rsid w:val="62F345C8"/>
    <w:rsid w:val="62FB2FAD"/>
    <w:rsid w:val="6319602F"/>
    <w:rsid w:val="632F672B"/>
    <w:rsid w:val="634B4589"/>
    <w:rsid w:val="63737E4E"/>
    <w:rsid w:val="63A03BCB"/>
    <w:rsid w:val="63B1112C"/>
    <w:rsid w:val="63B81F47"/>
    <w:rsid w:val="63D802E2"/>
    <w:rsid w:val="63DC2FBF"/>
    <w:rsid w:val="63E72F74"/>
    <w:rsid w:val="63EA73A4"/>
    <w:rsid w:val="63FC70D8"/>
    <w:rsid w:val="64081316"/>
    <w:rsid w:val="642D1726"/>
    <w:rsid w:val="64511A60"/>
    <w:rsid w:val="646F17B8"/>
    <w:rsid w:val="64A1252C"/>
    <w:rsid w:val="64E9238A"/>
    <w:rsid w:val="64EF0725"/>
    <w:rsid w:val="65796E95"/>
    <w:rsid w:val="65A74A29"/>
    <w:rsid w:val="6655160C"/>
    <w:rsid w:val="665E7BD6"/>
    <w:rsid w:val="66647BB6"/>
    <w:rsid w:val="668039D7"/>
    <w:rsid w:val="66930774"/>
    <w:rsid w:val="66986334"/>
    <w:rsid w:val="66B44E00"/>
    <w:rsid w:val="66C80FC5"/>
    <w:rsid w:val="66D51D4D"/>
    <w:rsid w:val="66D974CE"/>
    <w:rsid w:val="66EC6F90"/>
    <w:rsid w:val="66F9067A"/>
    <w:rsid w:val="67573614"/>
    <w:rsid w:val="677C6D6C"/>
    <w:rsid w:val="6784366C"/>
    <w:rsid w:val="678C3314"/>
    <w:rsid w:val="67B20FA6"/>
    <w:rsid w:val="67D70A67"/>
    <w:rsid w:val="67F269B3"/>
    <w:rsid w:val="67F379B8"/>
    <w:rsid w:val="681C56E8"/>
    <w:rsid w:val="68595677"/>
    <w:rsid w:val="68B17662"/>
    <w:rsid w:val="68C609BD"/>
    <w:rsid w:val="68DF4E92"/>
    <w:rsid w:val="690D7691"/>
    <w:rsid w:val="692312B4"/>
    <w:rsid w:val="69556DF3"/>
    <w:rsid w:val="69AA76EB"/>
    <w:rsid w:val="69B73E54"/>
    <w:rsid w:val="69CF5B6C"/>
    <w:rsid w:val="6A18009C"/>
    <w:rsid w:val="6A18437A"/>
    <w:rsid w:val="6A2161D7"/>
    <w:rsid w:val="6A2E1384"/>
    <w:rsid w:val="6A364250"/>
    <w:rsid w:val="6A455DEE"/>
    <w:rsid w:val="6AF30FB6"/>
    <w:rsid w:val="6B43120A"/>
    <w:rsid w:val="6B74291B"/>
    <w:rsid w:val="6B8B0B5D"/>
    <w:rsid w:val="6BD6293B"/>
    <w:rsid w:val="6BF608B1"/>
    <w:rsid w:val="6C17681A"/>
    <w:rsid w:val="6C2D1D98"/>
    <w:rsid w:val="6C7D068A"/>
    <w:rsid w:val="6C7D7C51"/>
    <w:rsid w:val="6CD50D91"/>
    <w:rsid w:val="6CD51390"/>
    <w:rsid w:val="6CDB1F80"/>
    <w:rsid w:val="6D054E50"/>
    <w:rsid w:val="6D1D3500"/>
    <w:rsid w:val="6D1D796E"/>
    <w:rsid w:val="6D306281"/>
    <w:rsid w:val="6D4570DF"/>
    <w:rsid w:val="6D671614"/>
    <w:rsid w:val="6D6802ED"/>
    <w:rsid w:val="6DA8216A"/>
    <w:rsid w:val="6DAE22C1"/>
    <w:rsid w:val="6E0063F0"/>
    <w:rsid w:val="6E273271"/>
    <w:rsid w:val="6E5129EF"/>
    <w:rsid w:val="6E677B1D"/>
    <w:rsid w:val="6E694D2F"/>
    <w:rsid w:val="6E6B2E90"/>
    <w:rsid w:val="6E6F6773"/>
    <w:rsid w:val="6E7F3A9C"/>
    <w:rsid w:val="6E8B6A19"/>
    <w:rsid w:val="6E8D0BAC"/>
    <w:rsid w:val="6E8D18D4"/>
    <w:rsid w:val="6E996F51"/>
    <w:rsid w:val="6EAB3BD4"/>
    <w:rsid w:val="6ED00480"/>
    <w:rsid w:val="6ED92F8E"/>
    <w:rsid w:val="6EDE238A"/>
    <w:rsid w:val="6EEE0563"/>
    <w:rsid w:val="6EF74565"/>
    <w:rsid w:val="6EF966EE"/>
    <w:rsid w:val="6EFC2AE2"/>
    <w:rsid w:val="6F1572A0"/>
    <w:rsid w:val="6F1E3EFE"/>
    <w:rsid w:val="6F655B31"/>
    <w:rsid w:val="6F8B4B86"/>
    <w:rsid w:val="6FBE188C"/>
    <w:rsid w:val="6FCE4375"/>
    <w:rsid w:val="6FD3032B"/>
    <w:rsid w:val="6FDB55D0"/>
    <w:rsid w:val="7001090D"/>
    <w:rsid w:val="702D6286"/>
    <w:rsid w:val="7035211A"/>
    <w:rsid w:val="70812FE7"/>
    <w:rsid w:val="709779C9"/>
    <w:rsid w:val="70A1703D"/>
    <w:rsid w:val="70D139DD"/>
    <w:rsid w:val="70D77260"/>
    <w:rsid w:val="70D80585"/>
    <w:rsid w:val="70E05BBA"/>
    <w:rsid w:val="70E4517B"/>
    <w:rsid w:val="71335E3C"/>
    <w:rsid w:val="71383E8B"/>
    <w:rsid w:val="713E4E22"/>
    <w:rsid w:val="71455E8F"/>
    <w:rsid w:val="714E7A47"/>
    <w:rsid w:val="714F2E79"/>
    <w:rsid w:val="71630796"/>
    <w:rsid w:val="71663ED4"/>
    <w:rsid w:val="7168465C"/>
    <w:rsid w:val="718304F0"/>
    <w:rsid w:val="719B43F2"/>
    <w:rsid w:val="71EC4E43"/>
    <w:rsid w:val="71F50C85"/>
    <w:rsid w:val="720C5B89"/>
    <w:rsid w:val="722D1F6D"/>
    <w:rsid w:val="7240030F"/>
    <w:rsid w:val="72613DF1"/>
    <w:rsid w:val="727147ED"/>
    <w:rsid w:val="72953A77"/>
    <w:rsid w:val="72B03567"/>
    <w:rsid w:val="72C60B5E"/>
    <w:rsid w:val="72DC52F8"/>
    <w:rsid w:val="72EF181B"/>
    <w:rsid w:val="731F509A"/>
    <w:rsid w:val="73443457"/>
    <w:rsid w:val="73666540"/>
    <w:rsid w:val="73782115"/>
    <w:rsid w:val="73A23474"/>
    <w:rsid w:val="73B57597"/>
    <w:rsid w:val="73D96FF7"/>
    <w:rsid w:val="740407FC"/>
    <w:rsid w:val="74261FB2"/>
    <w:rsid w:val="742E4AE5"/>
    <w:rsid w:val="743401C8"/>
    <w:rsid w:val="743B0372"/>
    <w:rsid w:val="74556998"/>
    <w:rsid w:val="745B2C64"/>
    <w:rsid w:val="74647BCD"/>
    <w:rsid w:val="74C20CFC"/>
    <w:rsid w:val="74DB41A1"/>
    <w:rsid w:val="75070556"/>
    <w:rsid w:val="75091655"/>
    <w:rsid w:val="750B6E06"/>
    <w:rsid w:val="751C658E"/>
    <w:rsid w:val="752862B7"/>
    <w:rsid w:val="753A2F94"/>
    <w:rsid w:val="758607FD"/>
    <w:rsid w:val="75862CA5"/>
    <w:rsid w:val="75984460"/>
    <w:rsid w:val="760A0E21"/>
    <w:rsid w:val="760A5684"/>
    <w:rsid w:val="761634C4"/>
    <w:rsid w:val="765E32DA"/>
    <w:rsid w:val="76967C55"/>
    <w:rsid w:val="76B34156"/>
    <w:rsid w:val="76D72FE7"/>
    <w:rsid w:val="76E72756"/>
    <w:rsid w:val="77104A47"/>
    <w:rsid w:val="771C2541"/>
    <w:rsid w:val="774E5DAF"/>
    <w:rsid w:val="77950C6E"/>
    <w:rsid w:val="77AA1EDD"/>
    <w:rsid w:val="77C1059D"/>
    <w:rsid w:val="77F67257"/>
    <w:rsid w:val="77FC131B"/>
    <w:rsid w:val="77FC3B0E"/>
    <w:rsid w:val="780358A9"/>
    <w:rsid w:val="78143870"/>
    <w:rsid w:val="786B4979"/>
    <w:rsid w:val="78853661"/>
    <w:rsid w:val="7892370F"/>
    <w:rsid w:val="78A43B6E"/>
    <w:rsid w:val="78A830C7"/>
    <w:rsid w:val="78AB4BB7"/>
    <w:rsid w:val="78D0048E"/>
    <w:rsid w:val="78E05550"/>
    <w:rsid w:val="78F348F2"/>
    <w:rsid w:val="79076B50"/>
    <w:rsid w:val="79163429"/>
    <w:rsid w:val="791826F9"/>
    <w:rsid w:val="792B2D45"/>
    <w:rsid w:val="79312F28"/>
    <w:rsid w:val="79970C64"/>
    <w:rsid w:val="79984FFC"/>
    <w:rsid w:val="79AC3305"/>
    <w:rsid w:val="79B43785"/>
    <w:rsid w:val="79CE6DF0"/>
    <w:rsid w:val="7A1C17B7"/>
    <w:rsid w:val="7A2C501E"/>
    <w:rsid w:val="7A301ED1"/>
    <w:rsid w:val="7A5B6EF4"/>
    <w:rsid w:val="7A9573C9"/>
    <w:rsid w:val="7A984577"/>
    <w:rsid w:val="7AB00950"/>
    <w:rsid w:val="7AB93AD6"/>
    <w:rsid w:val="7ABF22A2"/>
    <w:rsid w:val="7AE371F5"/>
    <w:rsid w:val="7B0A4D75"/>
    <w:rsid w:val="7B460C77"/>
    <w:rsid w:val="7B540BE2"/>
    <w:rsid w:val="7B5468E1"/>
    <w:rsid w:val="7B676B0E"/>
    <w:rsid w:val="7B866719"/>
    <w:rsid w:val="7BBC7F06"/>
    <w:rsid w:val="7BE06E4C"/>
    <w:rsid w:val="7BE76AAF"/>
    <w:rsid w:val="7C22419B"/>
    <w:rsid w:val="7C292921"/>
    <w:rsid w:val="7C381A6A"/>
    <w:rsid w:val="7C414133"/>
    <w:rsid w:val="7C43369E"/>
    <w:rsid w:val="7C754ED8"/>
    <w:rsid w:val="7C9024FF"/>
    <w:rsid w:val="7CAE6553"/>
    <w:rsid w:val="7CC145C3"/>
    <w:rsid w:val="7CD4218E"/>
    <w:rsid w:val="7CE706DB"/>
    <w:rsid w:val="7CFE7B27"/>
    <w:rsid w:val="7D261E57"/>
    <w:rsid w:val="7D29174B"/>
    <w:rsid w:val="7D32766A"/>
    <w:rsid w:val="7DB16FCC"/>
    <w:rsid w:val="7DBB1D68"/>
    <w:rsid w:val="7DC110DB"/>
    <w:rsid w:val="7DDF2D9D"/>
    <w:rsid w:val="7E114527"/>
    <w:rsid w:val="7E1D580B"/>
    <w:rsid w:val="7E4052A5"/>
    <w:rsid w:val="7E42189C"/>
    <w:rsid w:val="7E7A3AFF"/>
    <w:rsid w:val="7E876B53"/>
    <w:rsid w:val="7F511596"/>
    <w:rsid w:val="7F7165C8"/>
    <w:rsid w:val="7FCB7C32"/>
    <w:rsid w:val="7FD6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7">
    <w:name w:val="Normal Indent"/>
    <w:basedOn w:val="1"/>
    <w:qFormat/>
    <w:uiPriority w:val="0"/>
    <w:pPr>
      <w:ind w:firstLine="420"/>
    </w:p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qFormat/>
    <w:uiPriority w:val="0"/>
    <w:pPr>
      <w:jc w:val="left"/>
    </w:pPr>
  </w:style>
  <w:style w:type="paragraph" w:styleId="10">
    <w:name w:val="Body Text Indent"/>
    <w:basedOn w:val="1"/>
    <w:qFormat/>
    <w:uiPriority w:val="0"/>
    <w:pPr>
      <w:spacing w:after="120"/>
      <w:ind w:left="420" w:leftChars="200"/>
    </w:pPr>
  </w:style>
  <w:style w:type="paragraph" w:styleId="11">
    <w:name w:val="Plain Text"/>
    <w:basedOn w:val="1"/>
    <w:link w:val="26"/>
    <w:qFormat/>
    <w:uiPriority w:val="0"/>
    <w:pPr>
      <w:spacing w:line="324" w:lineRule="auto"/>
    </w:pPr>
    <w:rPr>
      <w:rFonts w:ascii="宋体" w:hAnsi="Courier New" w:cs="Courier New"/>
      <w:szCs w:val="21"/>
    </w:rPr>
  </w:style>
  <w:style w:type="paragraph" w:styleId="12">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Body Text First Indent"/>
    <w:basedOn w:val="2"/>
    <w:unhideWhenUsed/>
    <w:qFormat/>
    <w:uiPriority w:val="99"/>
    <w:pPr>
      <w:ind w:firstLine="420" w:firstLineChars="100"/>
    </w:pPr>
    <w:rPr>
      <w:rFonts w:ascii="Times New Roman" w:hAnsi="Times New Roman"/>
      <w:sz w:val="18"/>
      <w:szCs w:val="18"/>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qFormat/>
    <w:uiPriority w:val="0"/>
    <w:rPr>
      <w:rFonts w:hint="eastAsia" w:ascii="宋体" w:hAnsi="宋体" w:eastAsia="宋体" w:cs="宋体"/>
      <w:color w:val="000000"/>
      <w:sz w:val="18"/>
      <w:szCs w:val="18"/>
      <w:u w:val="none"/>
    </w:rPr>
  </w:style>
  <w:style w:type="character" w:styleId="24">
    <w:name w:val="Hyperlink"/>
    <w:basedOn w:val="22"/>
    <w:qFormat/>
    <w:uiPriority w:val="0"/>
    <w:rPr>
      <w:rFonts w:hint="eastAsia" w:ascii="宋体" w:hAnsi="宋体" w:eastAsia="宋体" w:cs="宋体"/>
      <w:color w:val="000000"/>
      <w:sz w:val="18"/>
      <w:szCs w:val="18"/>
      <w:u w:val="none"/>
    </w:rPr>
  </w:style>
  <w:style w:type="character" w:styleId="25">
    <w:name w:val="annotation reference"/>
    <w:basedOn w:val="22"/>
    <w:qFormat/>
    <w:uiPriority w:val="0"/>
    <w:rPr>
      <w:sz w:val="21"/>
      <w:szCs w:val="21"/>
    </w:rPr>
  </w:style>
  <w:style w:type="character" w:customStyle="1" w:styleId="26">
    <w:name w:val="纯文本 字符"/>
    <w:link w:val="11"/>
    <w:qFormat/>
    <w:uiPriority w:val="0"/>
    <w:rPr>
      <w:rFonts w:ascii="宋体" w:hAnsi="Courier New" w:cs="Courier New"/>
      <w:szCs w:val="21"/>
    </w:rPr>
  </w:style>
  <w:style w:type="character" w:customStyle="1" w:styleId="27">
    <w:name w:val="font41"/>
    <w:basedOn w:val="22"/>
    <w:qFormat/>
    <w:uiPriority w:val="0"/>
    <w:rPr>
      <w:rFonts w:hint="eastAsia" w:ascii="宋体" w:hAnsi="宋体" w:eastAsia="宋体" w:cs="宋体"/>
      <w:color w:val="000000"/>
      <w:sz w:val="22"/>
      <w:szCs w:val="22"/>
      <w:u w:val="none"/>
    </w:rPr>
  </w:style>
  <w:style w:type="character" w:customStyle="1" w:styleId="28">
    <w:name w:val="font11"/>
    <w:basedOn w:val="22"/>
    <w:qFormat/>
    <w:uiPriority w:val="0"/>
    <w:rPr>
      <w:rFonts w:hint="eastAsia" w:ascii="宋体" w:hAnsi="宋体" w:eastAsia="宋体" w:cs="宋体"/>
      <w:b/>
      <w:color w:val="000000"/>
      <w:sz w:val="22"/>
      <w:szCs w:val="22"/>
      <w:u w:val="none"/>
    </w:rPr>
  </w:style>
  <w:style w:type="paragraph" w:styleId="29">
    <w:name w:val="List Paragraph"/>
    <w:basedOn w:val="1"/>
    <w:unhideWhenUsed/>
    <w:qFormat/>
    <w:uiPriority w:val="99"/>
    <w:pPr>
      <w:ind w:firstLine="420" w:firstLineChars="200"/>
    </w:pPr>
  </w:style>
  <w:style w:type="character" w:customStyle="1" w:styleId="30">
    <w:name w:val="apple-converted-space"/>
    <w:basedOn w:val="22"/>
    <w:qFormat/>
    <w:uiPriority w:val="0"/>
  </w:style>
  <w:style w:type="character" w:customStyle="1" w:styleId="31">
    <w:name w:val="font31"/>
    <w:basedOn w:val="22"/>
    <w:qFormat/>
    <w:uiPriority w:val="0"/>
    <w:rPr>
      <w:rFonts w:hint="eastAsia" w:ascii="宋体" w:hAnsi="宋体" w:eastAsia="宋体" w:cs="宋体"/>
      <w:color w:val="000000"/>
      <w:sz w:val="22"/>
      <w:szCs w:val="22"/>
      <w:u w:val="none"/>
    </w:rPr>
  </w:style>
  <w:style w:type="paragraph" w:customStyle="1" w:styleId="32">
    <w:name w:val="列出段落1"/>
    <w:basedOn w:val="1"/>
    <w:qFormat/>
    <w:uiPriority w:val="99"/>
    <w:pPr>
      <w:ind w:firstLine="420" w:firstLineChars="200"/>
    </w:pPr>
  </w:style>
  <w:style w:type="character" w:customStyle="1" w:styleId="33">
    <w:name w:val="批注框文本 字符"/>
    <w:basedOn w:val="22"/>
    <w:link w:val="13"/>
    <w:qFormat/>
    <w:uiPriority w:val="0"/>
    <w:rPr>
      <w:rFonts w:asciiTheme="minorHAnsi" w:hAnsiTheme="minorHAnsi" w:eastAsiaTheme="minorEastAsia" w:cstheme="minorBidi"/>
      <w:kern w:val="2"/>
      <w:sz w:val="18"/>
      <w:szCs w:val="18"/>
    </w:rPr>
  </w:style>
  <w:style w:type="character" w:customStyle="1" w:styleId="34">
    <w:name w:val="font01"/>
    <w:basedOn w:val="22"/>
    <w:qFormat/>
    <w:uiPriority w:val="0"/>
    <w:rPr>
      <w:rFonts w:hint="eastAsia" w:ascii="宋体" w:hAnsi="宋体" w:eastAsia="宋体" w:cs="宋体"/>
      <w:color w:val="000000"/>
      <w:sz w:val="20"/>
      <w:szCs w:val="20"/>
      <w:u w:val="none"/>
    </w:rPr>
  </w:style>
  <w:style w:type="paragraph" w:customStyle="1" w:styleId="35">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paragraph" w:customStyle="1" w:styleId="36">
    <w:name w:val="招标第一章"/>
    <w:basedOn w:val="1"/>
    <w:qFormat/>
    <w:uiPriority w:val="0"/>
    <w:pPr>
      <w:keepNext/>
      <w:spacing w:line="460" w:lineRule="exact"/>
      <w:jc w:val="center"/>
      <w:outlineLvl w:val="0"/>
    </w:pPr>
    <w:rPr>
      <w:sz w:val="28"/>
    </w:rPr>
  </w:style>
  <w:style w:type="paragraph" w:customStyle="1" w:styleId="37">
    <w:name w:val="正文首行缩进两字符"/>
    <w:basedOn w:val="1"/>
    <w:qFormat/>
    <w:uiPriority w:val="0"/>
    <w:pPr>
      <w:autoSpaceDE w:val="0"/>
      <w:autoSpaceDN w:val="0"/>
      <w:adjustRightInd w:val="0"/>
      <w:spacing w:line="360" w:lineRule="atLeast"/>
      <w:ind w:firstLine="200"/>
    </w:pPr>
    <w:rPr>
      <w:rFonts w:ascii="Times New Roman" w:hAnsi="Times New Roman" w:eastAsia="宋体" w:cs="Times New Roman"/>
      <w:kern w:val="0"/>
      <w:szCs w:val="21"/>
    </w:rPr>
  </w:style>
  <w:style w:type="paragraph" w:customStyle="1" w:styleId="38">
    <w:name w:val="Default"/>
    <w:qFormat/>
    <w:uiPriority w:val="0"/>
    <w:pPr>
      <w:autoSpaceDE w:val="0"/>
      <w:autoSpaceDN w:val="0"/>
      <w:adjustRightInd w:val="0"/>
    </w:pPr>
    <w:rPr>
      <w:rFonts w:ascii="Arial" w:hAnsi="Arial" w:eastAsia="宋体" w:cs="Arial"/>
      <w:color w:val="000000"/>
      <w:sz w:val="24"/>
      <w:szCs w:val="24"/>
      <w:lang w:val="da-DK" w:eastAsia="zh-CN" w:bidi="ar-SA"/>
    </w:rPr>
  </w:style>
  <w:style w:type="character" w:customStyle="1" w:styleId="39">
    <w:name w:val="font81"/>
    <w:basedOn w:val="22"/>
    <w:qFormat/>
    <w:uiPriority w:val="0"/>
    <w:rPr>
      <w:rFonts w:hint="eastAsia" w:ascii="宋体" w:hAnsi="宋体" w:eastAsia="宋体" w:cs="宋体"/>
      <w:color w:val="000000"/>
      <w:sz w:val="18"/>
      <w:szCs w:val="18"/>
      <w:u w:val="none"/>
    </w:rPr>
  </w:style>
  <w:style w:type="character" w:customStyle="1" w:styleId="40">
    <w:name w:val="font91"/>
    <w:basedOn w:val="22"/>
    <w:qFormat/>
    <w:uiPriority w:val="0"/>
    <w:rPr>
      <w:rFonts w:hint="eastAsia" w:ascii="宋体" w:hAnsi="宋体" w:eastAsia="宋体" w:cs="宋体"/>
      <w:color w:val="000000"/>
      <w:sz w:val="18"/>
      <w:szCs w:val="18"/>
      <w:u w:val="none"/>
    </w:rPr>
  </w:style>
  <w:style w:type="character" w:customStyle="1" w:styleId="41">
    <w:name w:val="font51"/>
    <w:basedOn w:val="22"/>
    <w:qFormat/>
    <w:uiPriority w:val="0"/>
    <w:rPr>
      <w:rFonts w:hint="default" w:ascii="Times New Roman" w:hAnsi="Times New Roman" w:cs="Times New Roman"/>
      <w:color w:val="000000"/>
      <w:sz w:val="18"/>
      <w:szCs w:val="18"/>
      <w:u w:val="none"/>
    </w:rPr>
  </w:style>
  <w:style w:type="paragraph" w:customStyle="1" w:styleId="42">
    <w:name w:val="样式 10 磅"/>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43">
    <w:name w:val="Footer"/>
    <w:basedOn w:val="1"/>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F7D8C-6FC9-4BBE-B3BE-E9EB2DF7B6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21162</Words>
  <Characters>22300</Characters>
  <Lines>186</Lines>
  <Paragraphs>52</Paragraphs>
  <TotalTime>27</TotalTime>
  <ScaleCrop>false</ScaleCrop>
  <LinksUpToDate>false</LinksUpToDate>
  <CharactersWithSpaces>24134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许芳芳</cp:lastModifiedBy>
  <cp:lastPrinted>2021-10-13T02:59:00Z</cp:lastPrinted>
  <dcterms:modified xsi:type="dcterms:W3CDTF">2023-03-06T08:59:56Z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5A55338E83DC4813A5F035CC2AC712F8</vt:lpwstr>
  </property>
</Properties>
</file>