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48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合同条款</w:t>
      </w:r>
    </w:p>
    <w:p>
      <w:pPr>
        <w:jc w:val="both"/>
        <w:rPr>
          <w:rFonts w:hint="eastAsia" w:eastAsia="宋体" w:cs="宋体"/>
          <w:b/>
          <w:bCs/>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合同编号：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签订地点：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签订时间：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采购人（甲方）：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lang w:eastAsia="zh-CN"/>
        </w:rPr>
        <w:t>成交</w:t>
      </w:r>
      <w:r>
        <w:rPr>
          <w:rFonts w:hint="eastAsia" w:ascii="宋体" w:hAnsi="宋体" w:eastAsia="宋体" w:cs="Times New Roman"/>
          <w:sz w:val="24"/>
          <w:highlight w:val="none"/>
        </w:rPr>
        <w:t>人（乙方）：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一、合同格式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西安市阎良区民政局社会工作指导中心运营服务项目</w:t>
      </w:r>
      <w:r>
        <w:rPr>
          <w:rFonts w:hint="eastAsia" w:ascii="宋体" w:hAnsi="宋体" w:cs="Times New Roman"/>
          <w:sz w:val="24"/>
          <w:highlight w:val="none"/>
          <w:lang w:eastAsia="zh-CN"/>
        </w:rPr>
        <w:t>（二次）</w:t>
      </w:r>
      <w:r>
        <w:rPr>
          <w:rFonts w:hint="eastAsia" w:ascii="宋体" w:hAnsi="宋体" w:eastAsia="宋体" w:cs="Times New Roman"/>
          <w:sz w:val="24"/>
          <w:highlight w:val="none"/>
        </w:rPr>
        <w:t xml:space="preserve"> (项目编号：</w:t>
      </w:r>
      <w:r>
        <w:rPr>
          <w:rFonts w:hint="eastAsia" w:ascii="宋体" w:hAnsi="宋体" w:eastAsia="宋体" w:cs="Times New Roman"/>
          <w:sz w:val="24"/>
          <w:highlight w:val="none"/>
          <w:lang w:eastAsia="zh-CN"/>
        </w:rPr>
        <w:t>SDZC2023-</w:t>
      </w:r>
      <w:r>
        <w:rPr>
          <w:rFonts w:hint="eastAsia" w:ascii="宋体" w:hAnsi="宋体" w:cs="Times New Roman"/>
          <w:sz w:val="24"/>
          <w:highlight w:val="none"/>
          <w:lang w:val="en-US" w:eastAsia="zh-CN"/>
        </w:rPr>
        <w:t>252</w:t>
      </w:r>
      <w:bookmarkStart w:id="0" w:name="_GoBack"/>
      <w:bookmarkEnd w:id="0"/>
      <w:r>
        <w:rPr>
          <w:rFonts w:hint="eastAsia" w:ascii="宋体" w:hAnsi="宋体" w:eastAsia="宋体" w:cs="Times New Roman"/>
          <w:sz w:val="24"/>
          <w:highlight w:val="none"/>
        </w:rPr>
        <w:t>)，在</w:t>
      </w:r>
      <w:r>
        <w:rPr>
          <w:rFonts w:hint="eastAsia" w:ascii="宋体" w:hAnsi="宋体" w:cs="Times New Roman"/>
          <w:sz w:val="24"/>
          <w:highlight w:val="none"/>
          <w:lang w:eastAsia="zh-CN"/>
        </w:rPr>
        <w:t>西安市阎良区</w:t>
      </w:r>
      <w:r>
        <w:rPr>
          <w:rFonts w:hint="eastAsia" w:ascii="宋体" w:hAnsi="宋体" w:eastAsia="宋体" w:cs="Times New Roman"/>
          <w:sz w:val="24"/>
          <w:highlight w:val="none"/>
        </w:rPr>
        <w:t>财政局的监督管理下，由陕西上德招标有限公司组织</w:t>
      </w:r>
      <w:r>
        <w:rPr>
          <w:rFonts w:hint="eastAsia" w:ascii="宋体" w:hAnsi="宋体" w:eastAsia="宋体" w:cs="Times New Roman"/>
          <w:sz w:val="24"/>
          <w:highlight w:val="none"/>
          <w:lang w:eastAsia="zh-CN"/>
        </w:rPr>
        <w:t>竞争性</w:t>
      </w:r>
      <w:r>
        <w:rPr>
          <w:rFonts w:hint="eastAsia" w:ascii="宋体" w:hAnsi="宋体" w:cs="Times New Roman"/>
          <w:sz w:val="24"/>
          <w:highlight w:val="none"/>
          <w:lang w:eastAsia="zh-CN"/>
        </w:rPr>
        <w:t>谈判</w:t>
      </w:r>
      <w:r>
        <w:rPr>
          <w:rFonts w:hint="eastAsia" w:ascii="宋体" w:hAnsi="宋体" w:eastAsia="宋体" w:cs="Times New Roman"/>
          <w:sz w:val="24"/>
          <w:highlight w:val="none"/>
        </w:rPr>
        <w:t>。西安市阎良区民政局(以下简称“甲方”)确定 (</w:t>
      </w:r>
      <w:r>
        <w:rPr>
          <w:rFonts w:hint="eastAsia" w:ascii="宋体" w:hAnsi="宋体" w:eastAsia="宋体" w:cs="Times New Roman"/>
          <w:sz w:val="24"/>
          <w:highlight w:val="none"/>
          <w:u w:val="single"/>
          <w:lang w:eastAsia="zh-CN"/>
        </w:rPr>
        <w:t>成交</w:t>
      </w:r>
      <w:r>
        <w:rPr>
          <w:rFonts w:hint="eastAsia" w:ascii="宋体" w:hAnsi="宋体" w:eastAsia="宋体" w:cs="Times New Roman"/>
          <w:sz w:val="24"/>
          <w:highlight w:val="none"/>
          <w:u w:val="single"/>
        </w:rPr>
        <w:t xml:space="preserve">单位名称) </w:t>
      </w:r>
      <w:r>
        <w:rPr>
          <w:rFonts w:hint="eastAsia" w:ascii="宋体" w:hAnsi="宋体" w:eastAsia="宋体" w:cs="Times New Roman"/>
          <w:sz w:val="24"/>
          <w:highlight w:val="none"/>
        </w:rPr>
        <w:t>（以下简称“乙方”）为</w:t>
      </w:r>
      <w:r>
        <w:rPr>
          <w:rFonts w:hint="eastAsia" w:ascii="宋体" w:hAnsi="宋体" w:eastAsia="宋体" w:cs="Times New Roman"/>
          <w:sz w:val="24"/>
          <w:highlight w:val="none"/>
          <w:lang w:eastAsia="zh-CN"/>
        </w:rPr>
        <w:t>成交</w:t>
      </w:r>
      <w:r>
        <w:rPr>
          <w:rFonts w:hint="eastAsia" w:ascii="宋体" w:hAnsi="宋体" w:eastAsia="宋体" w:cs="Times New Roman"/>
          <w:sz w:val="24"/>
          <w:highlight w:val="none"/>
        </w:rPr>
        <w:t>单位。</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依据《中华人民共和国民法典》和《中华人民共和国政府采购法》《中华人民共和国政府采购法实施条例》，甲方通过</w:t>
      </w:r>
      <w:r>
        <w:rPr>
          <w:rFonts w:hint="eastAsia" w:ascii="宋体" w:hAnsi="宋体" w:eastAsia="宋体" w:cs="Times New Roman"/>
          <w:sz w:val="24"/>
          <w:highlight w:val="none"/>
          <w:lang w:eastAsia="zh-CN"/>
        </w:rPr>
        <w:t>竞争性</w:t>
      </w:r>
      <w:r>
        <w:rPr>
          <w:rFonts w:hint="eastAsia" w:ascii="宋体" w:hAnsi="宋体" w:cs="Times New Roman"/>
          <w:sz w:val="24"/>
          <w:highlight w:val="none"/>
          <w:lang w:eastAsia="zh-CN"/>
        </w:rPr>
        <w:t>谈判</w:t>
      </w:r>
      <w:r>
        <w:rPr>
          <w:rFonts w:hint="eastAsia" w:ascii="宋体" w:hAnsi="宋体" w:eastAsia="宋体" w:cs="Times New Roman"/>
          <w:sz w:val="24"/>
          <w:highlight w:val="none"/>
        </w:rPr>
        <w:t>采购（服务名称） ，并接受了乙方以价格(</w:t>
      </w:r>
      <w:r>
        <w:rPr>
          <w:rFonts w:hint="eastAsia" w:ascii="宋体" w:hAnsi="宋体" w:eastAsia="宋体" w:cs="Times New Roman"/>
          <w:sz w:val="24"/>
          <w:highlight w:val="none"/>
          <w:lang w:eastAsia="zh-CN"/>
        </w:rPr>
        <w:t>成交</w:t>
      </w:r>
      <w:r>
        <w:rPr>
          <w:rFonts w:hint="eastAsia" w:ascii="宋体" w:hAnsi="宋体" w:eastAsia="宋体" w:cs="Times New Roman"/>
          <w:sz w:val="24"/>
          <w:highlight w:val="none"/>
        </w:rPr>
        <w:t>金额大写)(以下简称“合同价”)提供的产品及服务。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本合同在此声明如下：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1.本合同中的词语和术语的含义与合同条款中定义的相同。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2.下述文件是本合同的一部分，并与本合同一起阅读和解释：</w:t>
      </w:r>
    </w:p>
    <w:p>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2.1</w:t>
      </w:r>
      <w:r>
        <w:rPr>
          <w:rFonts w:hint="eastAsia" w:ascii="宋体" w:hAnsi="宋体"/>
          <w:sz w:val="24"/>
          <w:highlight w:val="none"/>
        </w:rPr>
        <w:t>合同条款</w:t>
      </w:r>
    </w:p>
    <w:p>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2.2</w:t>
      </w:r>
      <w:r>
        <w:rPr>
          <w:rFonts w:hint="eastAsia" w:ascii="宋体" w:hAnsi="宋体"/>
          <w:sz w:val="24"/>
          <w:highlight w:val="none"/>
        </w:rPr>
        <w:t>合同条款附件</w:t>
      </w:r>
    </w:p>
    <w:p>
      <w:pPr>
        <w:spacing w:line="520" w:lineRule="exact"/>
        <w:ind w:firstLine="840" w:firstLineChars="350"/>
        <w:rPr>
          <w:rFonts w:hint="eastAsia" w:ascii="宋体" w:hAnsi="宋体"/>
          <w:sz w:val="24"/>
          <w:highlight w:val="none"/>
        </w:rPr>
      </w:pPr>
      <w:r>
        <w:rPr>
          <w:rFonts w:hint="eastAsia" w:ascii="宋体" w:hAnsi="宋体"/>
          <w:sz w:val="24"/>
          <w:highlight w:val="none"/>
        </w:rPr>
        <w:t>附件1—实施方案及保证措施</w:t>
      </w:r>
    </w:p>
    <w:p>
      <w:pPr>
        <w:spacing w:line="520" w:lineRule="exact"/>
        <w:ind w:firstLine="840" w:firstLineChars="350"/>
        <w:rPr>
          <w:rFonts w:hint="eastAsia" w:ascii="宋体" w:hAnsi="宋体"/>
          <w:sz w:val="24"/>
          <w:highlight w:val="none"/>
        </w:rPr>
      </w:pPr>
      <w:r>
        <w:rPr>
          <w:rFonts w:hint="eastAsia" w:ascii="宋体" w:hAnsi="宋体"/>
          <w:sz w:val="24"/>
          <w:highlight w:val="none"/>
        </w:rPr>
        <w:t>附件2—</w:t>
      </w:r>
      <w:r>
        <w:rPr>
          <w:rFonts w:hint="eastAsia" w:ascii="宋体" w:hAnsi="宋体" w:eastAsia="宋体" w:cs="宋体"/>
          <w:sz w:val="24"/>
          <w:szCs w:val="24"/>
          <w:highlight w:val="none"/>
        </w:rPr>
        <w:t>项目实施的主要组成人员</w:t>
      </w:r>
    </w:p>
    <w:p>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2.3</w:t>
      </w:r>
      <w:r>
        <w:rPr>
          <w:rFonts w:hint="eastAsia" w:ascii="宋体" w:hAnsi="宋体"/>
          <w:sz w:val="24"/>
          <w:highlight w:val="none"/>
        </w:rPr>
        <w:t>成交通知书</w:t>
      </w:r>
    </w:p>
    <w:p>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2.4</w:t>
      </w:r>
      <w:r>
        <w:rPr>
          <w:rFonts w:hint="eastAsia" w:ascii="宋体" w:hAnsi="宋体"/>
          <w:sz w:val="24"/>
          <w:highlight w:val="none"/>
        </w:rPr>
        <w:t>竞争性</w:t>
      </w:r>
      <w:r>
        <w:rPr>
          <w:rFonts w:hint="eastAsia" w:ascii="宋体" w:hAnsi="宋体"/>
          <w:sz w:val="24"/>
          <w:highlight w:val="none"/>
          <w:lang w:eastAsia="zh-CN"/>
        </w:rPr>
        <w:t>谈判</w:t>
      </w:r>
      <w:r>
        <w:rPr>
          <w:rFonts w:hint="eastAsia" w:ascii="宋体" w:hAnsi="宋体"/>
          <w:sz w:val="24"/>
          <w:highlight w:val="none"/>
        </w:rPr>
        <w:t>文件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sz w:val="24"/>
          <w:highlight w:val="none"/>
        </w:rPr>
      </w:pPr>
      <w:r>
        <w:rPr>
          <w:rFonts w:hint="eastAsia" w:ascii="宋体" w:hAnsi="宋体"/>
          <w:sz w:val="24"/>
          <w:highlight w:val="none"/>
          <w:lang w:val="en-US" w:eastAsia="zh-CN"/>
        </w:rPr>
        <w:t>2.5</w:t>
      </w:r>
      <w:r>
        <w:rPr>
          <w:rFonts w:hint="eastAsia" w:ascii="宋体" w:hAnsi="宋体"/>
          <w:sz w:val="24"/>
          <w:highlight w:val="none"/>
        </w:rPr>
        <w:t>竞争性</w:t>
      </w:r>
      <w:r>
        <w:rPr>
          <w:rFonts w:hint="eastAsia" w:ascii="宋体" w:hAnsi="宋体"/>
          <w:sz w:val="24"/>
          <w:highlight w:val="none"/>
          <w:lang w:eastAsia="zh-CN"/>
        </w:rPr>
        <w:t>谈判</w:t>
      </w:r>
      <w:r>
        <w:rPr>
          <w:rFonts w:hint="eastAsia" w:ascii="宋体" w:hAnsi="宋体"/>
          <w:sz w:val="24"/>
          <w:highlight w:val="none"/>
        </w:rPr>
        <w:t>响应文件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3.考虑到甲方将按照本合同向乙方支付货款，乙方在此保证全部按照合同的规定向甲方提供服务，并修补缺陷。</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4.考虑到乙方提供的服务并修补缺陷，甲方在此保证按照合同规定的时间和方式向乙方支付合同价或其他按合同规定应支付的金额。</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5.付款方式：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6.服务</w:t>
      </w:r>
      <w:r>
        <w:rPr>
          <w:rFonts w:hint="eastAsia" w:ascii="宋体" w:hAnsi="宋体" w:eastAsia="宋体" w:cs="Times New Roman"/>
          <w:sz w:val="24"/>
          <w:highlight w:val="none"/>
          <w:lang w:eastAsia="zh-CN"/>
        </w:rPr>
        <w:t>期限</w:t>
      </w:r>
      <w:r>
        <w:rPr>
          <w:rFonts w:hint="eastAsia" w:ascii="宋体" w:hAnsi="宋体" w:eastAsia="宋体" w:cs="Times New Roman"/>
          <w:sz w:val="24"/>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  服务地点：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7.本合同一式伍份，其中，甲方贰份，乙方贰份，</w:t>
      </w:r>
      <w:r>
        <w:rPr>
          <w:rFonts w:hint="eastAsia" w:ascii="宋体" w:hAnsi="宋体" w:cs="Times New Roman"/>
          <w:sz w:val="24"/>
          <w:highlight w:val="none"/>
          <w:lang w:eastAsia="zh-CN"/>
        </w:rPr>
        <w:t>西安</w:t>
      </w:r>
      <w:r>
        <w:rPr>
          <w:rFonts w:hint="eastAsia" w:ascii="宋体" w:hAnsi="宋体" w:eastAsia="宋体" w:cs="Times New Roman"/>
          <w:sz w:val="24"/>
          <w:highlight w:val="none"/>
          <w:lang w:eastAsia="zh-CN"/>
        </w:rPr>
        <w:t>市</w:t>
      </w:r>
      <w:r>
        <w:rPr>
          <w:rFonts w:hint="eastAsia" w:ascii="宋体" w:hAnsi="宋体" w:cs="Times New Roman"/>
          <w:sz w:val="24"/>
          <w:highlight w:val="none"/>
          <w:lang w:eastAsia="zh-CN"/>
        </w:rPr>
        <w:t>阎良区</w:t>
      </w:r>
      <w:r>
        <w:rPr>
          <w:rFonts w:hint="eastAsia" w:ascii="宋体" w:hAnsi="宋体" w:eastAsia="宋体" w:cs="Times New Roman"/>
          <w:sz w:val="24"/>
          <w:highlight w:val="none"/>
        </w:rPr>
        <w:t>财政局备案壹份。</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8.本合同由甲乙双方共同签字盖章之日起生效。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9.政府采购信用担保及信用融资政策</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pacing w:val="-11"/>
          <w:sz w:val="24"/>
          <w:highlight w:val="none"/>
        </w:rPr>
      </w:pPr>
      <w:r>
        <w:rPr>
          <w:rFonts w:hint="eastAsia" w:ascii="宋体" w:hAnsi="宋体" w:eastAsia="宋体" w:cs="Times New Roman"/>
          <w:sz w:val="24"/>
          <w:highlight w:val="none"/>
        </w:rPr>
        <w:t>乙方如果需要融资贷款服务需求的，可凭</w:t>
      </w:r>
      <w:r>
        <w:rPr>
          <w:rFonts w:hint="eastAsia" w:ascii="宋体" w:hAnsi="宋体" w:eastAsia="宋体" w:cs="Times New Roman"/>
          <w:sz w:val="24"/>
          <w:highlight w:val="none"/>
          <w:lang w:eastAsia="zh-CN"/>
        </w:rPr>
        <w:t>成交</w:t>
      </w:r>
      <w:r>
        <w:rPr>
          <w:rFonts w:hint="eastAsia" w:ascii="宋体" w:hAnsi="宋体" w:eastAsia="宋体" w:cs="Times New Roman"/>
          <w:sz w:val="24"/>
          <w:highlight w:val="none"/>
        </w:rPr>
        <w:t>通知书、政府采购合同等相关资料，按照文件规定的相关政策、业务流程申请办理，具体规定可登陆陕西省政</w:t>
      </w:r>
      <w:r>
        <w:rPr>
          <w:rFonts w:hint="eastAsia" w:ascii="宋体" w:hAnsi="宋体" w:eastAsia="宋体" w:cs="Times New Roman"/>
          <w:spacing w:val="-11"/>
          <w:sz w:val="24"/>
          <w:highlight w:val="none"/>
        </w:rPr>
        <w:t>府采购信用融资平台（http://www.ccgp-shaanxi.gov.cn/zcdservice/zcd/shanxi/）查询了解。</w:t>
      </w:r>
    </w:p>
    <w:tbl>
      <w:tblPr>
        <w:tblStyle w:val="4"/>
        <w:tblpPr w:leftFromText="180" w:rightFromText="180" w:vertAnchor="text" w:horzAnchor="page" w:tblpX="1731" w:tblpY="209"/>
        <w:tblOverlap w:val="never"/>
        <w:tblW w:w="0" w:type="auto"/>
        <w:tblInd w:w="0" w:type="dxa"/>
        <w:tblLayout w:type="fixed"/>
        <w:tblCellMar>
          <w:top w:w="0" w:type="dxa"/>
          <w:left w:w="108" w:type="dxa"/>
          <w:bottom w:w="0" w:type="dxa"/>
          <w:right w:w="108" w:type="dxa"/>
        </w:tblCellMar>
      </w:tblPr>
      <w:tblGrid>
        <w:gridCol w:w="4424"/>
        <w:gridCol w:w="3935"/>
      </w:tblGrid>
      <w:tr>
        <w:tblPrEx>
          <w:tblCellMar>
            <w:top w:w="0" w:type="dxa"/>
            <w:left w:w="108" w:type="dxa"/>
            <w:bottom w:w="0" w:type="dxa"/>
            <w:right w:w="108" w:type="dxa"/>
          </w:tblCellMar>
        </w:tblPrEx>
        <w:trPr>
          <w:trHeight w:val="3606" w:hRule="atLeast"/>
        </w:trPr>
        <w:tc>
          <w:tcPr>
            <w:tcW w:w="4424" w:type="dxa"/>
            <w:noWrap w:val="0"/>
            <w:tcMar>
              <w:top w:w="113" w:type="dxa"/>
              <w:left w:w="113" w:type="dxa"/>
              <w:bottom w:w="113" w:type="dxa"/>
              <w:right w:w="113" w:type="dxa"/>
            </w:tcMar>
            <w:vAlign w:val="top"/>
          </w:tcPr>
          <w:p>
            <w:pPr>
              <w:autoSpaceDE w:val="0"/>
              <w:autoSpaceDN w:val="0"/>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甲方名称</w:t>
            </w:r>
            <w:r>
              <w:rPr>
                <w:rFonts w:hint="eastAsia" w:ascii="宋体" w:hAnsi="宋体" w:eastAsia="宋体" w:cs="宋体"/>
                <w:sz w:val="24"/>
                <w:szCs w:val="24"/>
                <w:highlight w:val="none"/>
                <w:lang w:eastAsia="zh-CN"/>
              </w:rPr>
              <w:t>（盖章）</w:t>
            </w:r>
            <w:r>
              <w:rPr>
                <w:rFonts w:hint="eastAsia" w:ascii="宋体" w:hAnsi="宋体" w:eastAsia="宋体" w:cs="宋体"/>
                <w:color w:val="auto"/>
                <w:sz w:val="24"/>
                <w:szCs w:val="24"/>
                <w:highlight w:val="none"/>
              </w:rPr>
              <w:t xml:space="preserve">： </w:t>
            </w:r>
          </w:p>
          <w:p>
            <w:pPr>
              <w:autoSpaceDE w:val="0"/>
              <w:autoSpaceDN w:val="0"/>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 </w:t>
            </w:r>
          </w:p>
          <w:p>
            <w:pPr>
              <w:autoSpaceDE w:val="0"/>
              <w:autoSpaceDN w:val="0"/>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p>
            <w:pPr>
              <w:autoSpaceDE w:val="0"/>
              <w:autoSpaceDN w:val="0"/>
              <w:spacing w:line="460" w:lineRule="exact"/>
              <w:ind w:left="210" w:leftChars="100"/>
              <w:rPr>
                <w:rFonts w:hint="eastAsia" w:ascii="宋体" w:hAnsi="宋体" w:eastAsia="宋体" w:cs="宋体"/>
                <w:color w:val="auto"/>
                <w:sz w:val="24"/>
                <w:szCs w:val="24"/>
                <w:highlight w:val="none"/>
              </w:rPr>
            </w:pPr>
          </w:p>
          <w:p>
            <w:pPr>
              <w:autoSpaceDE w:val="0"/>
              <w:autoSpaceDN w:val="0"/>
              <w:spacing w:line="460" w:lineRule="exact"/>
              <w:ind w:left="210" w:leftChars="100"/>
              <w:rPr>
                <w:rFonts w:hint="eastAsia" w:ascii="宋体" w:hAnsi="宋体" w:eastAsia="宋体" w:cs="宋体"/>
                <w:color w:val="auto"/>
                <w:sz w:val="24"/>
                <w:szCs w:val="24"/>
                <w:highlight w:val="none"/>
              </w:rPr>
            </w:pPr>
          </w:p>
          <w:p>
            <w:pPr>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r>
              <w:rPr>
                <w:rFonts w:hint="eastAsia" w:ascii="宋体" w:hAnsi="宋体" w:eastAsia="宋体" w:cs="宋体"/>
                <w:color w:val="auto"/>
                <w:sz w:val="24"/>
                <w:szCs w:val="24"/>
                <w:highlight w:val="none"/>
              </w:rPr>
              <w:t>：</w:t>
            </w:r>
          </w:p>
          <w:p>
            <w:pPr>
              <w:autoSpaceDE w:val="0"/>
              <w:autoSpaceDN w:val="0"/>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      </w:t>
            </w:r>
          </w:p>
          <w:p>
            <w:pPr>
              <w:autoSpaceDE w:val="0"/>
              <w:autoSpaceDN w:val="0"/>
              <w:spacing w:line="4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3935" w:type="dxa"/>
            <w:noWrap w:val="0"/>
            <w:tcMar>
              <w:top w:w="113" w:type="dxa"/>
              <w:left w:w="113" w:type="dxa"/>
              <w:bottom w:w="113" w:type="dxa"/>
              <w:right w:w="113" w:type="dxa"/>
            </w:tcMar>
            <w:vAlign w:val="top"/>
          </w:tcPr>
          <w:p>
            <w:pPr>
              <w:autoSpaceDE w:val="0"/>
              <w:autoSpaceDN w:val="0"/>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乙方名称</w:t>
            </w:r>
            <w:r>
              <w:rPr>
                <w:rFonts w:hint="eastAsia" w:ascii="宋体" w:hAnsi="宋体" w:eastAsia="宋体" w:cs="宋体"/>
                <w:sz w:val="24"/>
                <w:szCs w:val="24"/>
                <w:highlight w:val="none"/>
                <w:lang w:eastAsia="zh-CN"/>
              </w:rPr>
              <w:t>（盖章）</w:t>
            </w:r>
            <w:r>
              <w:rPr>
                <w:rFonts w:hint="eastAsia" w:ascii="宋体" w:hAnsi="宋体" w:eastAsia="宋体" w:cs="宋体"/>
                <w:color w:val="auto"/>
                <w:sz w:val="24"/>
                <w:szCs w:val="24"/>
                <w:highlight w:val="none"/>
              </w:rPr>
              <w:t>：</w:t>
            </w:r>
          </w:p>
          <w:p>
            <w:pPr>
              <w:autoSpaceDE w:val="0"/>
              <w:autoSpaceDN w:val="0"/>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 </w:t>
            </w:r>
          </w:p>
          <w:p>
            <w:pPr>
              <w:autoSpaceDE w:val="0"/>
              <w:autoSpaceDN w:val="0"/>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    话： </w:t>
            </w:r>
          </w:p>
          <w:p>
            <w:pPr>
              <w:autoSpaceDE w:val="0"/>
              <w:autoSpaceDN w:val="0"/>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pPr>
              <w:autoSpaceDE w:val="0"/>
              <w:autoSpaceDN w:val="0"/>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帐    号：</w:t>
            </w:r>
          </w:p>
          <w:p>
            <w:pPr>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代表签字</w:t>
            </w:r>
            <w:r>
              <w:rPr>
                <w:rFonts w:hint="eastAsia" w:ascii="宋体" w:hAnsi="宋体" w:eastAsia="宋体" w:cs="宋体"/>
                <w:sz w:val="24"/>
                <w:szCs w:val="24"/>
                <w:highlight w:val="none"/>
                <w:lang w:eastAsia="zh-CN"/>
              </w:rPr>
              <w:t>或盖章</w:t>
            </w:r>
            <w:r>
              <w:rPr>
                <w:rFonts w:hint="eastAsia" w:ascii="宋体" w:hAnsi="宋体" w:eastAsia="宋体" w:cs="宋体"/>
                <w:color w:val="auto"/>
                <w:sz w:val="24"/>
                <w:szCs w:val="24"/>
                <w:highlight w:val="none"/>
              </w:rPr>
              <w:t>：</w:t>
            </w:r>
          </w:p>
          <w:p>
            <w:pPr>
              <w:spacing w:line="460" w:lineRule="exact"/>
              <w:ind w:left="210" w:left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年  月  日</w:t>
            </w:r>
          </w:p>
        </w:tc>
      </w:tr>
    </w:tbl>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二、合同条款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第一条 本着平等互惠、互相支持、共同发展的原则，就甲方针对本项目的事宜， 经甲乙双方友好协商，共同签署本合同，以资共同遵守。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第二条 服务定义：根据甲方需要，乙方为甲方提供该项目的服务等业务。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第四条 甲方的权利</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1.甲方有权享有乙方按照上述约定提供的服务。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4.除本合同约定的服务费用外，乙方不得向甲方及其甲方人员收取其他任何费用，如甲方发现乙方有此类行为，甲方有权要求乙方清退所收费用，退还利息并支付违约金；</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5.对乙方成果的所有权、使用权和著作权归属的约定：归甲方所有。乙方不得以任何借口留存，否则承担由此产生的一切法律和经济责任。未经甲方允许，任何单位和个人不得转让和使用本项目的成果。</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第五条 甲方的义务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1.在服务实施过程中，甲方应为乙方提供必要的工作便利与指导，配合乙方履行职责。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2.甲方不得将本合同的内容向甲乙双方以外的、与签订和履行本合同无关的任何第三方透露，不得泄露乙方的商业秘密（包括本合同及其附件和合同签订前的各项方案）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第六条 任何一方违反或擅自变更本合同的约定，应当承担由此给对方造成的经济损失和相关责任。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第七条</w:t>
      </w:r>
      <w:r>
        <w:rPr>
          <w:rFonts w:hint="eastAsia" w:ascii="宋体" w:hAnsi="宋体" w:eastAsia="宋体" w:cs="Times New Roman"/>
          <w:sz w:val="24"/>
          <w:highlight w:val="none"/>
          <w:lang w:val="en-US" w:eastAsia="zh-CN"/>
        </w:rPr>
        <w:t xml:space="preserve"> </w:t>
      </w:r>
      <w:r>
        <w:rPr>
          <w:rFonts w:hint="eastAsia" w:ascii="宋体" w:hAnsi="宋体" w:eastAsia="宋体" w:cs="Times New Roman"/>
          <w:sz w:val="24"/>
          <w:highlight w:val="none"/>
        </w:rPr>
        <w:t>甲方违约责任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1.由于甲方的原因或因不可抗力的自然因素影响，则服务周期顺延。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2.对于乙方提供的图纸等资料以及属于乙方的成果，甲方有义务保密，不得向第三方提供或用于本合同以外的项目，否则乙方有权要求甲方按本合同项目款总额的20%赔偿损失。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第八条乙方违约责任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1.合同签订后，如乙方擅自中途停止或解除合同，乙方应向甲方双倍返还定金。没有约定定金的，乙方向甲方赔偿服务价款的。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2.在甲方提供了必要的工作、生活条件，并且保证了项目款按时到位，乙方未能按合同规定的日期提交成果时，应向甲方赔偿拖期损失费，每天的拖期损失费按合同约定的项目总造价款的。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3.因天气、交通、政府行为、甲方提供的资料不准确等客观原因造成的周期拖期，乙方不承担赔偿责任。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4.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5.乙方有责任按甲方要求分期提交项目阶段性成果。如乙方未能按规定的设计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6.乙方提供的服务成果质量不合格的，乙方应负责无偿予以重测或采取补救措施，以达到质量要求。因服务成果最终不符合合同要求（而又非甲方提供的资料原因所致）造成后果时，乙方应对因此造成的直接损失负赔偿责任，并承担相应的法律责任（由于甲方提供的图纸资料原因产生的责任由甲方自己负责）。</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返工周期为    天，到   年  月  日前完成，并向甲方提供成果。由于返工造成逾期交付成果的，按延误服务周期偿付逾期违约金。若返工后还无法通过验收，甲方有权单方解除合同，并追回所付项目款。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7.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8.乙方不得将本项目的任何部分转包或分包给其他任何单位和个人。若擅自转包或分包本合同标的，甲方有权解除合同，并可要求乙方偿付预算工程费30%的违约金，同时追究其法律责任。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 济赔偿；如违约方对违约金或赔偿金额有异议，应在收到通知后七个工作日内通知对方，双方应在收到对方的通知或答复后尽快协商明确 违约责任。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第十条 因执行本合同发生的一切争议，双方应首先友好协商解决。经协商不能解决，应向甲方所在地人民法院提起诉讼。在诉讼 期间，除必须在诉讼过程中进行解决的问题外，合同其余部分应继续 履行。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第十一条 甲、乙双方有一方有正当理由要求变更本合同，须提前一个月以书面形式通知对方并协商解决，双方应签署变更合同。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 xml:space="preserve">第十二条 本合同期满双方不再续约或者因一方违约导致本合同无法履行，则本合同终止。但合同的终止不得损害第三方的利益，双方应为此做出合理安排。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第十三条 未经对方同意，甲乙任何一方不得将本合同部分或全部权利和义务转让给第三方。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sz w:val="24"/>
          <w:highlight w:val="none"/>
        </w:rPr>
      </w:pPr>
      <w:r>
        <w:rPr>
          <w:rFonts w:hint="eastAsia" w:ascii="宋体" w:hAnsi="宋体" w:eastAsia="宋体" w:cs="Times New Roman"/>
          <w:sz w:val="24"/>
          <w:highlight w:val="none"/>
        </w:rPr>
        <w:t>第十四条 本合同中涉及的所有“通知”、“同意”、“确认” 等事项均应以书面形式做出，并作为依据。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highlight w:val="none"/>
        </w:rPr>
      </w:pPr>
      <w:r>
        <w:rPr>
          <w:rFonts w:hint="eastAsia" w:ascii="宋体" w:hAnsi="宋体" w:eastAsia="宋体" w:cs="Times New Roman"/>
          <w:sz w:val="24"/>
          <w:highlight w:val="none"/>
        </w:rPr>
        <w:t xml:space="preserve">第十五条 本合同有关附件及补充合同是本合同不可分割的组成部分，与本合同具有同等法律效力；本合同未尽事宜，双方另行协商并签署补充合同，作为本合同的附件，具有同等法律效力。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5EDE1FE1"/>
    <w:rsid w:val="1CCD526E"/>
    <w:rsid w:val="5EDE1FE1"/>
    <w:rsid w:val="63245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beforeLines="0" w:after="330" w:afterLines="0" w:line="576"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 10 磅31114"/>
    <w:next w:val="1"/>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2023-09-06T09:13:00Z</dcterms:created>
  <dc:creator>李艳洁</dc:creator>
  <cp:lastModifiedBy>李艳洁</cp:lastModifiedBy>
  <dcterms:modified xsi:type="dcterms:W3CDTF">2023-09-19T06:43:34Z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E7BFD3F0081C4B7FA3678A13DC9FE576_11</vt:lpwstr>
  </property>
</Properties>
</file>