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textAlignment w:val="auto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/>
          <w:b/>
          <w:sz w:val="28"/>
          <w:szCs w:val="28"/>
        </w:rPr>
        <w:t>采购内容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清单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513"/>
        <w:gridCol w:w="1331"/>
        <w:gridCol w:w="1612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等驾坡街道社区全民健身设施清单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所属行业（工业）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二位太空漫步机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骑马机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双人坐蹬器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平步机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棋牌桌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上肢牵引器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腰背按摩器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腹肌架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钟摆器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划船器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跷跷板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扭腰器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伸腰伸背器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腿部按摩器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室外乒乓球台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告示牌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太极揉推器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二位单杠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双杠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背肌引体训练器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双人大转轮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休闲椅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移动式羽毛球柱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羽毛球场运动地板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、技术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参数</w:t>
      </w:r>
      <w:r>
        <w:rPr>
          <w:rFonts w:hint="eastAsia" w:ascii="仿宋" w:hAnsi="仿宋" w:eastAsia="仿宋"/>
          <w:b/>
          <w:sz w:val="28"/>
          <w:szCs w:val="28"/>
        </w:rPr>
        <w:t>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13"/>
        <w:gridCol w:w="880"/>
        <w:gridCol w:w="105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二位太空漫步机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bidi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3mm的国标钢管；外扣式钢制顶端盖帽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摆臂管材直径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3mm的国标钢管，摆臂与立柱间距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60mm，与踏板直接焊接，牢固耐用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踏板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4mm厚冷板冲压，表面并设有防滑凸台和排水孔，踏板前后安装缓冲胶垫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扶手管直径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2.5mm的国标钢管，与立柱焊接连接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骑马机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坐板管材直径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3mm的国标钢管把手立管及踩踏横管直径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3mm的国标钢管，双脚踩踏处设有防滑装置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双人坐蹬器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座椅、靠背上表面边缘R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3mm的圆弧过渡；座椅下部、靠背后侧棱边应圆滑过渡；</w:t>
            </w:r>
          </w:p>
          <w:p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摆杆规格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Φ60mm×3mm；</w:t>
            </w:r>
          </w:p>
          <w:p>
            <w:pPr>
              <w:spacing w:line="360" w:lineRule="exact"/>
              <w:ind w:left="0" w:leftChars="0"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坐板一次冲压成形，板材壁厚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4mm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平步机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3mm的国标钢管，主立柱横梁直径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8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扶手直径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2.5mm的国标钢管，连接杆直径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棋牌桌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3mm的国标钢管，棋牌桌板面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1.0mm厚304不锈钢腐蚀而成，坐椅直径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285mm，高度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22mm，厚度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4mm的冷板冲压成型，周圈倒角，立管直径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3.0mm的国标钢管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上肢牵引器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立柱横梁直径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3mm的国标钢管，主架弯管直径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腰背按摩器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腰部左右扶手管直径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3mm的国标钢管； 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腰部半圆管直径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3.0mm的国标钢管; 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背部按摩棒连接管直径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3.0mm的国标钢管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腹肌架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主要承载横梁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腹肌板面整体封闭焊接，板面厚度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1.8mm厚的冷板，与支撑管全面焊接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钟摆器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摆臂管材60*60mm方管，壁厚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踏板为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厚度≥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4mm钢板冲压，周圈倒圆角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划船器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2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要承载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3mm的国标方管，坐椅横管、脚踏杆材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管，双脚踩踏处设有防滑装置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跷跷板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3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3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横梁直径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□100×80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3mm的国标钢管，扶手管材直径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2.5mm的国标钢管，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厚度≥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4mm钢板冲压，周圈倒圆角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扭腰器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3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扶手直径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42mm，壁厚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3mm的国标钢管 焊接而成；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转腰盘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厚度≥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4mm钢板冲压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伸腰伸背器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3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伸腰器扶手弯管直径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2.5mm的国标钢管； 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器材板面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厚度≥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冷板卷板而成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腿部按摩器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9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9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扶手管材直径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mm的国标钢管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室外乒乓球台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4376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台面尺寸规格：2740mm×1576mm,台高912mm，配置铁制球网高150mm，长1570mm，符合标准要求。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球台台面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材料：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SMC材料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承受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力：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500N；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底架结构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彩虹腿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弯管直径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：≥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60mm，壁厚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3mm优质钢管；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告示牌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横梁采用规格直径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的钢管；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说明牌版面厚度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mm不锈钢板双面腐蚀而成，边框尖角采用1mm的圆角过渡。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太极揉推器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4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4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悬臂管材直径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4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转盘采用全封闭式，无勾挂，外圈直径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2mm，一次冲压成型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二位单杠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3mm的标准国际钢管,杠面直径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3mm的无缝钢管；</w:t>
            </w:r>
          </w:p>
          <w:p>
            <w:pPr>
              <w:pStyle w:val="11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单杠有效宽度1220mm，两柱立柱中心距离1350mm；杠面直径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32mm，杠面高度（高2015mm，低1663mm），符合GB19272-2011国标要求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双杠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3mm的国标钢管;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主要承载横梁直径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3mm的无缝钢管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两杠内侧距离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564 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纵向立柱中心距杠长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1400mm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杠面高度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1404 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立柱横向间距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654mm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横杠直径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42mm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3mm的国标钢管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pStyle w:val="10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支撑管直径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48mm，厚度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3mm国标钢管，符合GB19272-2011国标要求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5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5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主要承载横梁直径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mm的国标钢管；</w:t>
            </w:r>
          </w:p>
          <w:p>
            <w:pPr>
              <w:pStyle w:val="15"/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扶手直径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2.5mm的国标钢管，坐板厚度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4mm的冷板冲压成型，周圈倒角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云梯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3mm的国标钢管，支撑横管直径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3mm的国标钢管，主架弯直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径60mm，壁厚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3mm的标准国际钢管，符合合国标要求；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背肌引体训练器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bidi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3mm的国标钢管；背部支撑管直径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mm，壁厚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mm的国标钢管；支撑面板整体封闭焊接，板面厚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mm厚度的冷板，与支撑管全面焊接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双人大转轮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</w:tcPr>
          <w:p>
            <w:pPr>
              <w:pStyle w:val="14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直埋式，主立柱直径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3mm的国标钢管；</w:t>
            </w:r>
          </w:p>
          <w:p>
            <w:pPr>
              <w:pStyle w:val="14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横梁管材直径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2.5mm的国标钢管；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转轮国标钢管压圆而成，中间直径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25mm，壁厚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2.5mm国标钢管支撑，外圈钢管直径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42mm壁厚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休闲椅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4376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1.5米，带靠背，塑木椅面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移动式羽毛球柱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437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户外带轮可移动。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羽毛球场运动地板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4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产品参数：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1、地板规格：</w:t>
            </w:r>
            <w:r>
              <w:rPr>
                <w:rFonts w:hint="default" w:ascii="Arial" w:hAnsi="Arial" w:eastAsia="仿宋" w:cs="Arial"/>
                <w:sz w:val="24"/>
                <w:szCs w:val="24"/>
                <w:vertAlign w:val="baseline"/>
                <w:lang w:val="en-US" w:eastAsia="zh-CN"/>
              </w:rPr>
              <w:t>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30.48*30.48cm，地板厚度</w:t>
            </w:r>
            <w:r>
              <w:rPr>
                <w:rFonts w:hint="default" w:ascii="Arial" w:hAnsi="Arial" w:eastAsia="仿宋" w:cs="Arial"/>
                <w:sz w:val="24"/>
                <w:szCs w:val="24"/>
                <w:vertAlign w:val="baseline"/>
                <w:lang w:val="en-US" w:eastAsia="zh-CN"/>
              </w:rPr>
              <w:t>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1.58cm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2、冲击强度：≥0.3%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3、耐低温：（-50℃，24h），试验后无龟裂、无明显色差；耐高温：（100℃，24h），试验后无融化、无明显色差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4、抗滑值（干测）：80-110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5、球类反弹率：≥95%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6、甲醛72h释放量：≤0.1 mg/m³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7、苯72h释放量：≤0.1 mg/m³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8、★为保证产品的耐盐腐蚀性（如雨水，汗水等），中性盐雾试验不低于6500h后且报告须附带CMA标识，拉伸强度≥0.4MPa；断裂伸长率≥40%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9、★臭氧老化不低于9500h后且报告须附带CMA和CNAS标识，邵氏硬度依据GB/T531.1-2008检测标准≥70 Shore A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10、★自然光老化不低于30个月后且报告须附带CMA和CNAS标识，垂直变形符合GB36246-2018标准0.6-3.0mm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11、★耐酸雨老化不低于5000h后且报告须附带CMA和CNAS标识，球反弹依据GB/T14833-2020检测标准≥95%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12、运动地板画线辅料（油墨）依据HJ371-2018标准且报告须附带CMA标识，苯、甲苯，重金属铅镉：未检出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以上加★项为实质响应项，未满足按无效处理，投标时须提供国家认可的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第三方检测机构出具的检测报告复印件或扫描件（加盖供应商公章，内容须清晰可见）。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ind w:firstLine="482" w:firstLineChars="2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备注：1-23项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所投产品须符合（GB19272-2011)《室外健身器材的安全通用要求》，同时提供NSCC国体认证证书。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MmM1NDFjNDE4ZDQwODEwNTI1OTc4YWVkYmVjZDMifQ=="/>
  </w:docVars>
  <w:rsids>
    <w:rsidRoot w:val="00000000"/>
    <w:rsid w:val="01167F7E"/>
    <w:rsid w:val="50CB04CD"/>
    <w:rsid w:val="53C53643"/>
    <w:rsid w:val="71914CD0"/>
    <w:rsid w:val="7C6C4ACA"/>
    <w:rsid w:val="7F4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/>
      <w:spacing w:before="340" w:beforeLines="0" w:after="330" w:afterLines="0" w:line="576" w:lineRule="auto"/>
      <w:jc w:val="center"/>
      <w:outlineLvl w:val="0"/>
    </w:pPr>
    <w:rPr>
      <w:rFonts w:ascii="Times New Roman" w:hAnsi="Times New Roman" w:eastAsia="宋体"/>
      <w:b/>
      <w:bCs/>
      <w:kern w:val="36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9"/>
    <w:rPr>
      <w:rFonts w:ascii="Times New Roman" w:hAnsi="Times New Roman" w:eastAsia="宋体"/>
      <w:b/>
      <w:bCs/>
      <w:kern w:val="36"/>
      <w:sz w:val="30"/>
      <w:szCs w:val="44"/>
      <w:lang w:val="en-US" w:eastAsia="zh-CN" w:bidi="ar-SA"/>
    </w:rPr>
  </w:style>
  <w:style w:type="paragraph" w:customStyle="1" w:styleId="8">
    <w:name w:val="列出段落6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9">
    <w:name w:val="列出段落7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0">
    <w:name w:val="列出段落3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2">
    <w:name w:val="列出段落5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列出段落4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2020-07-20T12:51:00Z</dcterms:created>
  <dc:creator>11158</dc:creator>
  <cp:lastModifiedBy>-Arr</cp:lastModifiedBy>
  <dcterms:modified xsi:type="dcterms:W3CDTF">2023-11-03T08:20:13Z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4E059060D91641B5A8CEDA123439559F_12</vt:lpwstr>
  </property>
</Properties>
</file>