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hAnsi="宋体" w:eastAsia="宋体" w:cs="宋体"/>
          <w:b/>
          <w:bCs/>
          <w:sz w:val="36"/>
          <w:szCs w:val="36"/>
          <w:lang w:eastAsia="zh-CN"/>
        </w:rPr>
      </w:pPr>
      <w:r>
        <w:rPr>
          <w:rFonts w:hint="eastAsia" w:hAnsi="宋体" w:cs="宋体"/>
          <w:b/>
          <w:bCs/>
          <w:sz w:val="36"/>
          <w:szCs w:val="36"/>
        </w:rPr>
        <w:t>项目编号:SXWXZBDL2023-ZC-GK100</w:t>
      </w:r>
      <w:r>
        <w:rPr>
          <w:rFonts w:hint="eastAsia" w:hAnsi="宋体" w:cs="宋体"/>
          <w:b/>
          <w:bCs/>
          <w:sz w:val="36"/>
          <w:szCs w:val="36"/>
          <w:lang w:val="en-US" w:eastAsia="zh-CN"/>
        </w:rPr>
        <w:t>4</w:t>
      </w:r>
    </w:p>
    <w:p>
      <w:pPr>
        <w:rPr>
          <w:rFonts w:hAnsi="宋体" w:cs="宋体"/>
          <w:b/>
          <w:sz w:val="36"/>
        </w:rPr>
      </w:pPr>
    </w:p>
    <w:p>
      <w:pPr>
        <w:rPr>
          <w:rFonts w:hAnsi="宋体" w:cs="宋体"/>
          <w:b/>
          <w:sz w:val="36"/>
        </w:rPr>
      </w:pPr>
    </w:p>
    <w:p>
      <w:pPr>
        <w:tabs>
          <w:tab w:val="left" w:pos="3375"/>
        </w:tabs>
        <w:rPr>
          <w:rFonts w:hAnsi="宋体" w:cs="宋体"/>
        </w:rPr>
      </w:pPr>
      <w:r>
        <w:rPr>
          <w:rFonts w:hint="eastAsia" w:hAnsi="宋体" w:cs="宋体"/>
        </w:rPr>
        <w:tab/>
      </w:r>
    </w:p>
    <w:p>
      <w:pPr>
        <w:jc w:val="center"/>
        <w:rPr>
          <w:rFonts w:hAnsi="宋体" w:cs="宋体"/>
          <w:b/>
          <w:sz w:val="52"/>
          <w:szCs w:val="52"/>
        </w:rPr>
      </w:pPr>
    </w:p>
    <w:p>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Ansi="宋体" w:cs="宋体"/>
          <w:b/>
          <w:sz w:val="48"/>
          <w:szCs w:val="48"/>
        </w:rPr>
      </w:pPr>
      <w:r>
        <w:rPr>
          <w:rFonts w:hint="eastAsia" w:hAnsi="宋体" w:cs="宋体"/>
          <w:b/>
          <w:sz w:val="48"/>
          <w:szCs w:val="48"/>
        </w:rPr>
        <w:t>西安市公安局未央分局2023年中省指挥、刑侦派出所警用装备、办公设备项目</w:t>
      </w:r>
    </w:p>
    <w:p>
      <w:pPr>
        <w:tabs>
          <w:tab w:val="left" w:pos="4065"/>
        </w:tabs>
        <w:rPr>
          <w:rFonts w:hAnsi="宋体" w:cs="宋体"/>
          <w:b/>
          <w:sz w:val="36"/>
          <w:szCs w:val="36"/>
        </w:rPr>
      </w:pPr>
      <w:r>
        <w:rPr>
          <w:rFonts w:hAnsi="宋体" w:cs="宋体"/>
          <w:b/>
          <w:sz w:val="36"/>
          <w:szCs w:val="36"/>
        </w:rPr>
        <w:tab/>
      </w:r>
    </w:p>
    <w:p>
      <w:pPr>
        <w:spacing w:line="780" w:lineRule="auto"/>
        <w:jc w:val="center"/>
        <w:rPr>
          <w:rFonts w:hAnsi="宋体" w:cs="宋体"/>
          <w:b/>
          <w:sz w:val="88"/>
          <w:szCs w:val="88"/>
        </w:rPr>
      </w:pPr>
    </w:p>
    <w:p>
      <w:pPr>
        <w:spacing w:line="780" w:lineRule="auto"/>
        <w:jc w:val="center"/>
        <w:rPr>
          <w:rFonts w:hAnsi="宋体" w:cs="宋体"/>
          <w:b/>
          <w:sz w:val="84"/>
          <w:szCs w:val="84"/>
        </w:rPr>
      </w:pPr>
      <w:r>
        <w:rPr>
          <w:rFonts w:hint="eastAsia" w:hAnsi="宋体" w:cs="宋体"/>
          <w:b/>
          <w:sz w:val="84"/>
          <w:szCs w:val="84"/>
        </w:rPr>
        <w:t>招 标 文 件</w:t>
      </w:r>
    </w:p>
    <w:p>
      <w:pPr>
        <w:rPr>
          <w:rFonts w:hAnsi="宋体" w:cs="宋体"/>
        </w:rPr>
      </w:pPr>
      <w:bookmarkStart w:id="0" w:name="_Toc363463325"/>
    </w:p>
    <w:p>
      <w:pPr>
        <w:rPr>
          <w:rFonts w:hAnsi="宋体" w:cs="宋体"/>
        </w:rPr>
      </w:pPr>
    </w:p>
    <w:p>
      <w:pPr>
        <w:rPr>
          <w:rFonts w:hAnsi="宋体" w:cs="宋体"/>
        </w:rPr>
      </w:pPr>
    </w:p>
    <w:bookmarkEnd w:id="0"/>
    <w:p>
      <w:pPr>
        <w:rPr>
          <w:rFonts w:hAnsi="宋体" w:cs="宋体"/>
          <w:sz w:val="18"/>
          <w:szCs w:val="18"/>
        </w:rPr>
      </w:pPr>
    </w:p>
    <w:p>
      <w:pPr>
        <w:rPr>
          <w:rFonts w:hAnsi="宋体" w:cs="宋体"/>
          <w:sz w:val="18"/>
          <w:szCs w:val="18"/>
        </w:rPr>
      </w:pPr>
    </w:p>
    <w:p>
      <w:pPr>
        <w:rPr>
          <w:rFonts w:hAnsi="宋体" w:cs="宋体"/>
          <w:sz w:val="18"/>
          <w:szCs w:val="18"/>
        </w:rPr>
      </w:pPr>
    </w:p>
    <w:p>
      <w:pPr>
        <w:rPr>
          <w:rFonts w:hAnsi="宋体" w:cs="宋体"/>
          <w:sz w:val="18"/>
          <w:szCs w:val="18"/>
        </w:rPr>
      </w:pPr>
    </w:p>
    <w:p>
      <w:pPr>
        <w:rPr>
          <w:rFonts w:hAnsi="宋体" w:cs="宋体"/>
          <w:sz w:val="18"/>
          <w:szCs w:val="18"/>
        </w:rPr>
      </w:pPr>
    </w:p>
    <w:p>
      <w:pPr>
        <w:rPr>
          <w:rFonts w:hAnsi="宋体" w:cs="宋体"/>
          <w:sz w:val="18"/>
          <w:szCs w:val="18"/>
        </w:rPr>
      </w:pPr>
    </w:p>
    <w:p>
      <w:pPr>
        <w:rPr>
          <w:rFonts w:hAnsi="宋体" w:cs="宋体"/>
          <w:sz w:val="18"/>
          <w:szCs w:val="18"/>
        </w:rPr>
      </w:pPr>
    </w:p>
    <w:p>
      <w:pPr>
        <w:rPr>
          <w:rFonts w:hAnsi="宋体" w:cs="宋体"/>
          <w:sz w:val="18"/>
          <w:szCs w:val="18"/>
        </w:rPr>
      </w:pPr>
    </w:p>
    <w:p>
      <w:pPr>
        <w:jc w:val="center"/>
        <w:rPr>
          <w:rFonts w:hAnsi="宋体" w:cs="宋体"/>
          <w:b/>
          <w:bCs/>
          <w:sz w:val="36"/>
          <w:szCs w:val="36"/>
        </w:rPr>
      </w:pPr>
      <w:r>
        <w:rPr>
          <w:rFonts w:hint="eastAsia" w:hAnsi="宋体" w:cs="宋体"/>
          <w:b/>
          <w:bCs/>
          <w:sz w:val="36"/>
          <w:szCs w:val="36"/>
        </w:rPr>
        <w:t>陕西万兴招标代理有限公司</w:t>
      </w:r>
    </w:p>
    <w:p>
      <w:pPr>
        <w:tabs>
          <w:tab w:val="left" w:pos="525"/>
        </w:tabs>
        <w:jc w:val="center"/>
        <w:rPr>
          <w:rFonts w:hAnsi="宋体" w:cs="宋体"/>
          <w:b/>
          <w:bCs/>
          <w:sz w:val="36"/>
          <w:szCs w:val="36"/>
        </w:rPr>
      </w:pPr>
      <w:r>
        <w:rPr>
          <w:rFonts w:hint="eastAsia" w:hAnsi="宋体" w:cs="宋体"/>
          <w:b/>
          <w:bCs/>
          <w:sz w:val="36"/>
          <w:szCs w:val="36"/>
        </w:rPr>
        <w:t>二零二三年</w:t>
      </w:r>
      <w:r>
        <w:rPr>
          <w:rFonts w:hint="eastAsia" w:hAnsi="宋体" w:cs="宋体"/>
          <w:b/>
          <w:bCs/>
          <w:sz w:val="36"/>
          <w:szCs w:val="36"/>
          <w:lang w:eastAsia="zh-CN"/>
        </w:rPr>
        <w:t>六</w:t>
      </w:r>
      <w:r>
        <w:rPr>
          <w:rFonts w:hint="eastAsia" w:hAnsi="宋体" w:cs="宋体"/>
          <w:b/>
          <w:bCs/>
          <w:sz w:val="36"/>
          <w:szCs w:val="36"/>
        </w:rPr>
        <w:t>月</w:t>
      </w:r>
    </w:p>
    <w:p>
      <w:pPr>
        <w:rPr>
          <w:rFonts w:hAnsi="宋体" w:cs="宋体"/>
          <w:b/>
          <w:bCs/>
          <w:sz w:val="32"/>
          <w:szCs w:val="32"/>
        </w:rPr>
        <w:sectPr>
          <w:headerReference r:id="rId4" w:type="first"/>
          <w:footerReference r:id="rId6" w:type="first"/>
          <w:headerReference r:id="rId3" w:type="default"/>
          <w:footerReference r:id="rId5" w:type="default"/>
          <w:pgSz w:w="11906" w:h="16838"/>
          <w:pgMar w:top="1417" w:right="1134" w:bottom="1417" w:left="1417" w:header="1134" w:footer="992" w:gutter="0"/>
          <w:pgNumType w:start="1"/>
          <w:cols w:space="720" w:num="1"/>
          <w:docGrid w:type="lines" w:linePitch="333" w:charSpace="0"/>
        </w:sectPr>
      </w:pPr>
    </w:p>
    <w:p>
      <w:pPr>
        <w:pStyle w:val="19"/>
        <w:jc w:val="center"/>
        <w:rPr>
          <w:rFonts w:hAnsi="宋体" w:cs="宋体"/>
          <w:b/>
          <w:bCs/>
          <w:sz w:val="36"/>
          <w:szCs w:val="36"/>
        </w:rPr>
      </w:pPr>
      <w:r>
        <w:rPr>
          <w:rFonts w:hint="eastAsia" w:hAnsi="宋体" w:cs="宋体"/>
          <w:b/>
          <w:bCs/>
          <w:sz w:val="36"/>
          <w:szCs w:val="36"/>
        </w:rPr>
        <w:t>特别提示</w:t>
      </w:r>
    </w:p>
    <w:p>
      <w:pPr>
        <w:spacing w:line="520" w:lineRule="exact"/>
        <w:rPr>
          <w:rFonts w:cs="仿宋" w:asciiTheme="minorEastAsia" w:hAnsiTheme="minorEastAsia" w:eastAsiaTheme="minorEastAsia"/>
          <w:szCs w:val="24"/>
        </w:rPr>
      </w:pPr>
      <w:r>
        <w:rPr>
          <w:rFonts w:hint="eastAsia" w:cs="仿宋" w:asciiTheme="minorEastAsia" w:hAnsiTheme="minorEastAsia" w:eastAsiaTheme="minorEastAsia"/>
          <w:szCs w:val="24"/>
        </w:rPr>
        <w:t>各供应商，在此我们特别提醒您注意以下事项：</w:t>
      </w:r>
    </w:p>
    <w:p>
      <w:pPr>
        <w:spacing w:line="360" w:lineRule="auto"/>
        <w:rPr>
          <w:rFonts w:hint="eastAsia" w:hAnsi="宋体" w:cs="宋体"/>
          <w:b/>
          <w:szCs w:val="24"/>
        </w:rPr>
      </w:pPr>
      <w:r>
        <w:rPr>
          <w:rFonts w:hint="eastAsia" w:hAnsi="宋体" w:cs="宋体"/>
          <w:b/>
          <w:szCs w:val="24"/>
        </w:rPr>
        <w:t>一、有关投标文件：</w:t>
      </w:r>
    </w:p>
    <w:p>
      <w:pPr>
        <w:spacing w:line="360" w:lineRule="auto"/>
        <w:ind w:firstLine="480" w:firstLineChars="200"/>
        <w:rPr>
          <w:rFonts w:hint="eastAsia" w:hAnsi="宋体" w:cs="宋体"/>
          <w:szCs w:val="24"/>
        </w:rPr>
      </w:pPr>
      <w:r>
        <w:rPr>
          <w:rFonts w:hint="eastAsia" w:hAnsi="宋体" w:cs="宋体"/>
          <w:szCs w:val="24"/>
        </w:rPr>
        <w:t>1.请仔细阅读招标文件并正确理解招标文件中各项具体要求。如您对招标文件有疑问，请在招标文件规定的时间内以书面形式提出，逾期将被拒绝受理。</w:t>
      </w:r>
    </w:p>
    <w:p>
      <w:pPr>
        <w:spacing w:line="360" w:lineRule="auto"/>
        <w:ind w:firstLine="480" w:firstLineChars="200"/>
        <w:rPr>
          <w:rFonts w:hint="eastAsia" w:hAnsi="宋体" w:cs="宋体"/>
          <w:szCs w:val="24"/>
        </w:rPr>
      </w:pPr>
      <w:r>
        <w:rPr>
          <w:rFonts w:hint="eastAsia" w:hAnsi="宋体" w:cs="宋体"/>
          <w:szCs w:val="24"/>
        </w:rPr>
        <w:t>2.请仔细核对投标文件是否已按照招标文件的要求签字、签章和加盖单位公章，实质性条款是否满足招标文件要求，投标文件中所附资格证明等资料是否齐全、有效且是否满足招标文件要求。</w:t>
      </w:r>
    </w:p>
    <w:p>
      <w:pPr>
        <w:spacing w:line="360" w:lineRule="auto"/>
        <w:rPr>
          <w:rFonts w:hint="eastAsia" w:hAnsi="宋体" w:cs="宋体"/>
          <w:b/>
          <w:szCs w:val="24"/>
        </w:rPr>
      </w:pPr>
      <w:r>
        <w:rPr>
          <w:rFonts w:hint="eastAsia" w:hAnsi="宋体" w:cs="宋体"/>
          <w:b/>
          <w:szCs w:val="24"/>
        </w:rPr>
        <w:t>二、关于弃标的说明：</w:t>
      </w:r>
    </w:p>
    <w:p>
      <w:pPr>
        <w:spacing w:line="360" w:lineRule="auto"/>
        <w:ind w:firstLine="482" w:firstLineChars="200"/>
        <w:rPr>
          <w:rFonts w:hint="eastAsia" w:hAnsi="宋体" w:cs="宋体"/>
          <w:b/>
          <w:szCs w:val="24"/>
        </w:rPr>
      </w:pPr>
      <w:r>
        <w:rPr>
          <w:rFonts w:hint="eastAsia" w:hAnsi="宋体" w:cs="宋体"/>
          <w:b/>
          <w:szCs w:val="24"/>
        </w:rPr>
        <w:t>按照《西安市财政局关于促进政府采购公平竞争优化营商环境的通知》（市财函〔2021</w:t>
      </w:r>
      <w:r>
        <w:rPr>
          <w:rFonts w:hAnsi="宋体" w:cs="宋体"/>
          <w:b/>
          <w:szCs w:val="24"/>
        </w:rPr>
        <w:t>〕</w:t>
      </w:r>
      <w:r>
        <w:rPr>
          <w:rFonts w:hint="eastAsia" w:hAnsi="宋体" w:cs="宋体"/>
          <w:b/>
          <w:szCs w:val="24"/>
        </w:rPr>
        <w:t>431号）规定：供应商登记免费领取招标文件的，如不参与项目投标，应在递交投标文件截止时间前一日以书面形式告知采购代理机构。否则，采购代理机构可以向财政部门反映情况并提供相应的佐证。供应商一年内累计出现三次该情形，将被监管部门记录为失信行为。</w:t>
      </w:r>
    </w:p>
    <w:p>
      <w:pPr>
        <w:spacing w:line="360" w:lineRule="auto"/>
        <w:rPr>
          <w:rFonts w:hint="eastAsia" w:hAnsi="宋体" w:cs="宋体"/>
        </w:rPr>
      </w:pPr>
      <w:r>
        <w:rPr>
          <w:rFonts w:hint="eastAsia" w:hAnsi="宋体" w:cs="宋体"/>
          <w:b/>
        </w:rPr>
        <w:t>三、关于供应商注册登记提醒：</w:t>
      </w:r>
    </w:p>
    <w:p>
      <w:pPr>
        <w:spacing w:line="360" w:lineRule="auto"/>
        <w:ind w:firstLine="480" w:firstLineChars="200"/>
        <w:rPr>
          <w:rFonts w:hint="eastAsia" w:hAnsi="宋体" w:cs="宋体"/>
        </w:rPr>
      </w:pPr>
      <w:r>
        <w:rPr>
          <w:rFonts w:hint="eastAsia" w:hAnsi="宋体" w:cs="宋体"/>
        </w:rPr>
        <w:t>根据陕西省财政厅关于政府采购供应商注册登记有关事项的通知，如所投本项目的供应商未在陕西省政府采购网（</w:t>
      </w:r>
      <w:r>
        <w:fldChar w:fldCharType="begin"/>
      </w:r>
      <w:r>
        <w:instrText xml:space="preserve"> HYPERLINK "http://www.ccgp-shaanxi.gov.cn/" \h </w:instrText>
      </w:r>
      <w:r>
        <w:fldChar w:fldCharType="separate"/>
      </w:r>
      <w:r>
        <w:rPr>
          <w:rStyle w:val="55"/>
          <w:rFonts w:hint="default"/>
          <w:sz w:val="24"/>
          <w:szCs w:val="24"/>
        </w:rPr>
        <w:t>http://www.ccgp-shaanxi.gov.cn/</w:t>
      </w:r>
      <w:r>
        <w:rPr>
          <w:rStyle w:val="55"/>
          <w:rFonts w:hint="default"/>
          <w:sz w:val="24"/>
          <w:szCs w:val="24"/>
        </w:rPr>
        <w:fldChar w:fldCharType="end"/>
      </w:r>
      <w:r>
        <w:rPr>
          <w:rFonts w:hint="eastAsia" w:hAnsi="宋体" w:cs="宋体"/>
        </w:rPr>
        <w:t>）注册登记加入陕西省政府采购供应商库的，应按要求及时办理注册登记，并接受财政部门监督管理。</w:t>
      </w:r>
    </w:p>
    <w:p>
      <w:pPr>
        <w:spacing w:line="520" w:lineRule="exact"/>
        <w:ind w:firstLine="480" w:firstLineChars="200"/>
        <w:rPr>
          <w:rFonts w:hAnsi="宋体" w:cs="宋体"/>
          <w:b/>
          <w:bCs/>
          <w:szCs w:val="24"/>
        </w:rPr>
      </w:pPr>
      <w:r>
        <w:rPr>
          <w:rFonts w:hint="eastAsia" w:hAnsi="宋体" w:cs="宋体"/>
        </w:rPr>
        <w:t>请各投标单位仔细阅读上述提示。如需帮助，请您与我们的工作人员联系，我们将非常高兴地为您服务。</w:t>
      </w:r>
    </w:p>
    <w:p>
      <w:pPr>
        <w:spacing w:before="166" w:beforeLines="50" w:line="360" w:lineRule="auto"/>
        <w:jc w:val="center"/>
        <w:rPr>
          <w:rFonts w:hAnsi="宋体" w:cs="宋体"/>
          <w:b/>
          <w:sz w:val="44"/>
          <w:szCs w:val="44"/>
        </w:rPr>
      </w:pPr>
      <w:r>
        <w:rPr>
          <w:rFonts w:hint="eastAsia" w:hAnsi="宋体" w:cs="宋体"/>
          <w:b/>
          <w:sz w:val="44"/>
          <w:szCs w:val="44"/>
        </w:rPr>
        <w:br w:type="page"/>
      </w:r>
    </w:p>
    <w:p>
      <w:pPr>
        <w:tabs>
          <w:tab w:val="left" w:pos="1395"/>
        </w:tabs>
        <w:spacing w:before="166" w:beforeLines="50" w:line="360" w:lineRule="auto"/>
        <w:rPr>
          <w:rFonts w:hAnsi="宋体" w:cs="宋体"/>
          <w:b/>
          <w:sz w:val="48"/>
          <w:szCs w:val="48"/>
        </w:rPr>
      </w:pPr>
      <w:r>
        <w:rPr>
          <w:rFonts w:hAnsi="宋体" w:cs="宋体"/>
          <w:b/>
          <w:sz w:val="48"/>
          <w:szCs w:val="48"/>
        </w:rPr>
        <w:tab/>
      </w:r>
    </w:p>
    <w:p>
      <w:pPr>
        <w:spacing w:before="166" w:beforeLines="50" w:line="360" w:lineRule="auto"/>
        <w:jc w:val="center"/>
        <w:rPr>
          <w:rFonts w:hAnsi="宋体" w:cs="宋体"/>
          <w:b/>
          <w:sz w:val="48"/>
          <w:szCs w:val="48"/>
        </w:rPr>
      </w:pPr>
      <w:r>
        <w:rPr>
          <w:rFonts w:hint="eastAsia" w:hAnsi="宋体" w:cs="宋体"/>
          <w:b/>
          <w:sz w:val="48"/>
          <w:szCs w:val="48"/>
        </w:rPr>
        <w:t>目   录</w:t>
      </w:r>
    </w:p>
    <w:p>
      <w:pPr>
        <w:pStyle w:val="32"/>
        <w:tabs>
          <w:tab w:val="right" w:leader="dot" w:pos="9355"/>
          <w:tab w:val="clear" w:pos="1418"/>
          <w:tab w:val="clear" w:pos="8302"/>
        </w:tabs>
        <w:spacing w:line="1000" w:lineRule="exact"/>
        <w:rPr>
          <w:rFonts w:hAnsi="宋体" w:cs="宋体"/>
          <w:sz w:val="32"/>
          <w:szCs w:val="32"/>
        </w:rPr>
      </w:pPr>
      <w:bookmarkStart w:id="1" w:name="_Toc21518"/>
      <w:bookmarkStart w:id="2" w:name="_Toc389582033"/>
      <w:bookmarkStart w:id="3" w:name="_Toc20858"/>
      <w:bookmarkStart w:id="4" w:name="_Toc5293"/>
      <w:bookmarkStart w:id="5" w:name="_Toc20652"/>
      <w:bookmarkStart w:id="6" w:name="_Toc16218"/>
      <w:bookmarkStart w:id="7" w:name="_Toc19886"/>
      <w:bookmarkStart w:id="8" w:name="_Toc426457691"/>
      <w:bookmarkStart w:id="9" w:name="_Toc363473971"/>
      <w:bookmarkStart w:id="10" w:name="_Toc403077638"/>
      <w:bookmarkStart w:id="11" w:name="_Toc363474016"/>
      <w:r>
        <w:rPr>
          <w:rFonts w:hint="eastAsia" w:hAnsi="宋体" w:cs="宋体"/>
          <w:sz w:val="32"/>
          <w:szCs w:val="32"/>
        </w:rPr>
        <w:fldChar w:fldCharType="begin"/>
      </w:r>
      <w:r>
        <w:rPr>
          <w:rFonts w:hint="eastAsia" w:hAnsi="宋体" w:cs="宋体"/>
          <w:sz w:val="32"/>
          <w:szCs w:val="32"/>
        </w:rPr>
        <w:instrText xml:space="preserve">TOC \o "1-3" \h \u </w:instrText>
      </w:r>
      <w:r>
        <w:rPr>
          <w:rFonts w:hint="eastAsia" w:hAnsi="宋体" w:cs="宋体"/>
          <w:sz w:val="32"/>
          <w:szCs w:val="32"/>
        </w:rPr>
        <w:fldChar w:fldCharType="separate"/>
      </w:r>
      <w:r>
        <w:fldChar w:fldCharType="begin"/>
      </w:r>
      <w:r>
        <w:instrText xml:space="preserve"> HYPERLINK \l "_Toc3899" </w:instrText>
      </w:r>
      <w:r>
        <w:fldChar w:fldCharType="separate"/>
      </w:r>
      <w:r>
        <w:rPr>
          <w:rFonts w:hint="eastAsia" w:hAnsi="宋体" w:cs="宋体"/>
          <w:sz w:val="32"/>
          <w:szCs w:val="32"/>
        </w:rPr>
        <w:t>第一章  招标公告</w:t>
      </w:r>
      <w:r>
        <w:rPr>
          <w:rFonts w:hint="eastAsia" w:hAnsi="宋体" w:cs="宋体"/>
          <w:sz w:val="32"/>
          <w:szCs w:val="32"/>
        </w:rPr>
        <w:tab/>
      </w:r>
      <w:r>
        <w:rPr>
          <w:rFonts w:hint="eastAsia" w:hAnsi="宋体" w:cs="宋体"/>
          <w:sz w:val="32"/>
          <w:szCs w:val="32"/>
        </w:rPr>
        <w:t>1</w:t>
      </w:r>
      <w:r>
        <w:rPr>
          <w:rFonts w:hint="eastAsia" w:hAnsi="宋体" w:cs="宋体"/>
          <w:sz w:val="32"/>
          <w:szCs w:val="32"/>
        </w:rPr>
        <w:fldChar w:fldCharType="end"/>
      </w:r>
    </w:p>
    <w:p>
      <w:pPr>
        <w:pStyle w:val="32"/>
        <w:tabs>
          <w:tab w:val="right" w:leader="dot" w:pos="9355"/>
          <w:tab w:val="clear" w:pos="1418"/>
          <w:tab w:val="clear" w:pos="8302"/>
        </w:tabs>
        <w:spacing w:line="1000" w:lineRule="exact"/>
        <w:rPr>
          <w:rFonts w:hAnsi="宋体" w:cs="宋体"/>
          <w:sz w:val="32"/>
          <w:szCs w:val="32"/>
        </w:rPr>
      </w:pPr>
      <w:r>
        <w:fldChar w:fldCharType="begin"/>
      </w:r>
      <w:r>
        <w:instrText xml:space="preserve"> HYPERLINK \l "_Toc7261" </w:instrText>
      </w:r>
      <w:r>
        <w:fldChar w:fldCharType="separate"/>
      </w:r>
      <w:r>
        <w:rPr>
          <w:rFonts w:hint="eastAsia" w:hAnsi="宋体" w:cs="宋体"/>
          <w:sz w:val="32"/>
          <w:szCs w:val="32"/>
        </w:rPr>
        <w:t>第二章  供应商须知</w:t>
      </w:r>
      <w:r>
        <w:rPr>
          <w:rFonts w:hint="eastAsia" w:hAnsi="宋体" w:cs="宋体"/>
          <w:sz w:val="32"/>
          <w:szCs w:val="32"/>
        </w:rPr>
        <w:tab/>
      </w:r>
      <w:r>
        <w:rPr>
          <w:rFonts w:hint="eastAsia" w:hAnsi="宋体" w:cs="宋体"/>
          <w:sz w:val="32"/>
          <w:szCs w:val="32"/>
        </w:rPr>
        <w:fldChar w:fldCharType="begin"/>
      </w:r>
      <w:r>
        <w:rPr>
          <w:rFonts w:hint="eastAsia" w:hAnsi="宋体" w:cs="宋体"/>
          <w:sz w:val="32"/>
          <w:szCs w:val="32"/>
        </w:rPr>
        <w:instrText xml:space="preserve"> PAGEREF _Toc7261 </w:instrText>
      </w:r>
      <w:r>
        <w:rPr>
          <w:rFonts w:hint="eastAsia" w:hAnsi="宋体" w:cs="宋体"/>
          <w:sz w:val="32"/>
          <w:szCs w:val="32"/>
        </w:rPr>
        <w:fldChar w:fldCharType="separate"/>
      </w:r>
      <w:r>
        <w:rPr>
          <w:rFonts w:hint="eastAsia" w:hAnsi="宋体" w:cs="宋体"/>
          <w:sz w:val="32"/>
          <w:szCs w:val="32"/>
        </w:rPr>
        <w:t>8</w:t>
      </w:r>
      <w:r>
        <w:rPr>
          <w:rFonts w:hint="eastAsia" w:hAnsi="宋体" w:cs="宋体"/>
          <w:sz w:val="32"/>
          <w:szCs w:val="32"/>
        </w:rPr>
        <w:fldChar w:fldCharType="end"/>
      </w:r>
      <w:r>
        <w:rPr>
          <w:rFonts w:hint="eastAsia" w:hAnsi="宋体" w:cs="宋体"/>
          <w:sz w:val="32"/>
          <w:szCs w:val="32"/>
        </w:rPr>
        <w:fldChar w:fldCharType="end"/>
      </w:r>
    </w:p>
    <w:p>
      <w:pPr>
        <w:pStyle w:val="32"/>
        <w:tabs>
          <w:tab w:val="right" w:leader="dot" w:pos="9355"/>
          <w:tab w:val="clear" w:pos="1418"/>
          <w:tab w:val="clear" w:pos="8302"/>
        </w:tabs>
        <w:spacing w:line="1000" w:lineRule="exact"/>
        <w:rPr>
          <w:rFonts w:hAnsi="宋体" w:cs="宋体"/>
          <w:sz w:val="32"/>
          <w:szCs w:val="32"/>
        </w:rPr>
      </w:pPr>
      <w:r>
        <w:fldChar w:fldCharType="begin"/>
      </w:r>
      <w:r>
        <w:instrText xml:space="preserve"> HYPERLINK \l "_Toc26389" </w:instrText>
      </w:r>
      <w:r>
        <w:fldChar w:fldCharType="separate"/>
      </w:r>
      <w:r>
        <w:rPr>
          <w:rFonts w:hint="eastAsia" w:hAnsi="宋体" w:cs="宋体"/>
          <w:kern w:val="2"/>
          <w:sz w:val="32"/>
          <w:szCs w:val="32"/>
        </w:rPr>
        <w:t>第三章  合同条款及格式</w:t>
      </w:r>
      <w:r>
        <w:rPr>
          <w:rFonts w:hint="eastAsia" w:hAnsi="宋体" w:cs="宋体"/>
          <w:sz w:val="32"/>
          <w:szCs w:val="32"/>
        </w:rPr>
        <w:tab/>
      </w:r>
      <w:r>
        <w:rPr>
          <w:rFonts w:hint="eastAsia" w:hAnsi="宋体" w:cs="宋体"/>
          <w:sz w:val="32"/>
          <w:szCs w:val="32"/>
        </w:rPr>
        <w:fldChar w:fldCharType="begin"/>
      </w:r>
      <w:r>
        <w:rPr>
          <w:rFonts w:hint="eastAsia" w:hAnsi="宋体" w:cs="宋体"/>
          <w:sz w:val="32"/>
          <w:szCs w:val="32"/>
        </w:rPr>
        <w:instrText xml:space="preserve"> PAGEREF _Toc26389 </w:instrText>
      </w:r>
      <w:r>
        <w:rPr>
          <w:rFonts w:hint="eastAsia" w:hAnsi="宋体" w:cs="宋体"/>
          <w:sz w:val="32"/>
          <w:szCs w:val="32"/>
        </w:rPr>
        <w:fldChar w:fldCharType="separate"/>
      </w:r>
      <w:r>
        <w:rPr>
          <w:rFonts w:hint="eastAsia" w:hAnsi="宋体" w:cs="宋体"/>
          <w:sz w:val="32"/>
          <w:szCs w:val="32"/>
        </w:rPr>
        <w:t>37</w:t>
      </w:r>
      <w:r>
        <w:rPr>
          <w:rFonts w:hint="eastAsia" w:hAnsi="宋体" w:cs="宋体"/>
          <w:sz w:val="32"/>
          <w:szCs w:val="32"/>
        </w:rPr>
        <w:fldChar w:fldCharType="end"/>
      </w:r>
      <w:r>
        <w:rPr>
          <w:rFonts w:hint="eastAsia" w:hAnsi="宋体" w:cs="宋体"/>
          <w:sz w:val="32"/>
          <w:szCs w:val="32"/>
        </w:rPr>
        <w:fldChar w:fldCharType="end"/>
      </w:r>
    </w:p>
    <w:p>
      <w:pPr>
        <w:pStyle w:val="32"/>
        <w:tabs>
          <w:tab w:val="right" w:leader="dot" w:pos="9355"/>
          <w:tab w:val="clear" w:pos="1418"/>
          <w:tab w:val="clear" w:pos="8302"/>
        </w:tabs>
        <w:spacing w:line="1000" w:lineRule="exact"/>
        <w:rPr>
          <w:rFonts w:hAnsi="宋体" w:cs="宋体"/>
          <w:sz w:val="32"/>
          <w:szCs w:val="32"/>
        </w:rPr>
      </w:pPr>
      <w:r>
        <w:fldChar w:fldCharType="begin"/>
      </w:r>
      <w:r>
        <w:instrText xml:space="preserve"> HYPERLINK \l "_Toc10474" </w:instrText>
      </w:r>
      <w:r>
        <w:fldChar w:fldCharType="separate"/>
      </w:r>
      <w:r>
        <w:rPr>
          <w:rFonts w:hint="eastAsia" w:hAnsi="宋体" w:cs="宋体"/>
          <w:kern w:val="2"/>
          <w:sz w:val="32"/>
          <w:szCs w:val="32"/>
        </w:rPr>
        <w:t>第四章 采购内容及技术要求</w:t>
      </w:r>
      <w:r>
        <w:rPr>
          <w:rFonts w:hint="eastAsia" w:hAnsi="宋体" w:cs="宋体"/>
          <w:sz w:val="32"/>
          <w:szCs w:val="32"/>
        </w:rPr>
        <w:tab/>
      </w:r>
      <w:r>
        <w:rPr>
          <w:rFonts w:hint="eastAsia" w:hAnsi="宋体" w:cs="宋体"/>
          <w:sz w:val="32"/>
          <w:szCs w:val="32"/>
        </w:rPr>
        <w:fldChar w:fldCharType="begin"/>
      </w:r>
      <w:r>
        <w:rPr>
          <w:rFonts w:hint="eastAsia" w:hAnsi="宋体" w:cs="宋体"/>
          <w:sz w:val="32"/>
          <w:szCs w:val="32"/>
        </w:rPr>
        <w:instrText xml:space="preserve"> PAGEREF _Toc10474 </w:instrText>
      </w:r>
      <w:r>
        <w:rPr>
          <w:rFonts w:hint="eastAsia" w:hAnsi="宋体" w:cs="宋体"/>
          <w:sz w:val="32"/>
          <w:szCs w:val="32"/>
        </w:rPr>
        <w:fldChar w:fldCharType="separate"/>
      </w:r>
      <w:r>
        <w:rPr>
          <w:rFonts w:hint="eastAsia" w:hAnsi="宋体" w:cs="宋体"/>
          <w:sz w:val="32"/>
          <w:szCs w:val="32"/>
        </w:rPr>
        <w:t>43</w:t>
      </w:r>
      <w:r>
        <w:rPr>
          <w:rFonts w:hint="eastAsia" w:hAnsi="宋体" w:cs="宋体"/>
          <w:sz w:val="32"/>
          <w:szCs w:val="32"/>
        </w:rPr>
        <w:fldChar w:fldCharType="end"/>
      </w:r>
      <w:r>
        <w:rPr>
          <w:rFonts w:hint="eastAsia" w:hAnsi="宋体" w:cs="宋体"/>
          <w:sz w:val="32"/>
          <w:szCs w:val="32"/>
        </w:rPr>
        <w:fldChar w:fldCharType="end"/>
      </w:r>
    </w:p>
    <w:p>
      <w:pPr>
        <w:pStyle w:val="32"/>
        <w:tabs>
          <w:tab w:val="right" w:leader="dot" w:pos="9355"/>
          <w:tab w:val="clear" w:pos="1418"/>
          <w:tab w:val="clear" w:pos="8302"/>
        </w:tabs>
        <w:spacing w:line="1000" w:lineRule="exact"/>
        <w:rPr>
          <w:rFonts w:hAnsi="宋体" w:cs="宋体"/>
          <w:sz w:val="32"/>
          <w:szCs w:val="32"/>
        </w:rPr>
      </w:pPr>
      <w:r>
        <w:fldChar w:fldCharType="begin"/>
      </w:r>
      <w:r>
        <w:instrText xml:space="preserve"> HYPERLINK \l "_Toc29624" </w:instrText>
      </w:r>
      <w:r>
        <w:fldChar w:fldCharType="separate"/>
      </w:r>
      <w:r>
        <w:rPr>
          <w:rFonts w:hint="eastAsia" w:hAnsi="宋体" w:cs="宋体"/>
          <w:bCs/>
          <w:sz w:val="32"/>
          <w:szCs w:val="32"/>
        </w:rPr>
        <w:t>第五章 评标方法</w:t>
      </w:r>
      <w:r>
        <w:rPr>
          <w:rFonts w:hint="eastAsia" w:hAnsi="宋体" w:cs="宋体"/>
          <w:sz w:val="32"/>
          <w:szCs w:val="32"/>
        </w:rPr>
        <w:tab/>
      </w:r>
      <w:r>
        <w:rPr>
          <w:rFonts w:hint="eastAsia" w:hAnsi="宋体" w:cs="宋体"/>
          <w:sz w:val="32"/>
          <w:szCs w:val="32"/>
        </w:rPr>
        <w:fldChar w:fldCharType="begin"/>
      </w:r>
      <w:r>
        <w:rPr>
          <w:rFonts w:hint="eastAsia" w:hAnsi="宋体" w:cs="宋体"/>
          <w:sz w:val="32"/>
          <w:szCs w:val="32"/>
        </w:rPr>
        <w:instrText xml:space="preserve"> PAGEREF _Toc29624 </w:instrText>
      </w:r>
      <w:r>
        <w:rPr>
          <w:rFonts w:hint="eastAsia" w:hAnsi="宋体" w:cs="宋体"/>
          <w:sz w:val="32"/>
          <w:szCs w:val="32"/>
        </w:rPr>
        <w:fldChar w:fldCharType="separate"/>
      </w:r>
      <w:r>
        <w:rPr>
          <w:rFonts w:hint="eastAsia" w:hAnsi="宋体" w:cs="宋体"/>
          <w:sz w:val="32"/>
          <w:szCs w:val="32"/>
        </w:rPr>
        <w:t>107</w:t>
      </w:r>
      <w:r>
        <w:rPr>
          <w:rFonts w:hint="eastAsia" w:hAnsi="宋体" w:cs="宋体"/>
          <w:sz w:val="32"/>
          <w:szCs w:val="32"/>
        </w:rPr>
        <w:fldChar w:fldCharType="end"/>
      </w:r>
      <w:r>
        <w:rPr>
          <w:rFonts w:hint="eastAsia" w:hAnsi="宋体" w:cs="宋体"/>
          <w:sz w:val="32"/>
          <w:szCs w:val="32"/>
        </w:rPr>
        <w:fldChar w:fldCharType="end"/>
      </w:r>
    </w:p>
    <w:p>
      <w:pPr>
        <w:pStyle w:val="32"/>
        <w:tabs>
          <w:tab w:val="right" w:leader="dot" w:pos="9355"/>
          <w:tab w:val="clear" w:pos="1418"/>
          <w:tab w:val="clear" w:pos="8302"/>
        </w:tabs>
        <w:spacing w:line="1000" w:lineRule="exact"/>
        <w:rPr>
          <w:rFonts w:hAnsi="宋体" w:cs="宋体"/>
          <w:sz w:val="32"/>
          <w:szCs w:val="32"/>
        </w:rPr>
      </w:pPr>
      <w:r>
        <w:fldChar w:fldCharType="begin"/>
      </w:r>
      <w:r>
        <w:instrText xml:space="preserve"> HYPERLINK \l "_Toc31555" </w:instrText>
      </w:r>
      <w:r>
        <w:fldChar w:fldCharType="separate"/>
      </w:r>
      <w:r>
        <w:rPr>
          <w:rFonts w:hint="eastAsia" w:hAnsi="宋体" w:cs="宋体"/>
          <w:bCs/>
          <w:sz w:val="32"/>
          <w:szCs w:val="32"/>
        </w:rPr>
        <w:t>第六章 投标文件构成及格式</w:t>
      </w:r>
      <w:r>
        <w:rPr>
          <w:rFonts w:hint="eastAsia" w:hAnsi="宋体" w:cs="宋体"/>
          <w:sz w:val="32"/>
          <w:szCs w:val="32"/>
        </w:rPr>
        <w:tab/>
      </w:r>
      <w:r>
        <w:rPr>
          <w:rFonts w:hint="eastAsia" w:hAnsi="宋体" w:cs="宋体"/>
          <w:sz w:val="32"/>
          <w:szCs w:val="32"/>
        </w:rPr>
        <w:fldChar w:fldCharType="begin"/>
      </w:r>
      <w:r>
        <w:rPr>
          <w:rFonts w:hint="eastAsia" w:hAnsi="宋体" w:cs="宋体"/>
          <w:sz w:val="32"/>
          <w:szCs w:val="32"/>
        </w:rPr>
        <w:instrText xml:space="preserve"> PAGEREF _Toc31555 </w:instrText>
      </w:r>
      <w:r>
        <w:rPr>
          <w:rFonts w:hint="eastAsia" w:hAnsi="宋体" w:cs="宋体"/>
          <w:sz w:val="32"/>
          <w:szCs w:val="32"/>
        </w:rPr>
        <w:fldChar w:fldCharType="separate"/>
      </w:r>
      <w:r>
        <w:rPr>
          <w:rFonts w:hint="eastAsia" w:hAnsi="宋体" w:cs="宋体"/>
          <w:sz w:val="32"/>
          <w:szCs w:val="32"/>
        </w:rPr>
        <w:t>118</w:t>
      </w:r>
      <w:r>
        <w:rPr>
          <w:rFonts w:hint="eastAsia" w:hAnsi="宋体" w:cs="宋体"/>
          <w:sz w:val="32"/>
          <w:szCs w:val="32"/>
        </w:rPr>
        <w:fldChar w:fldCharType="end"/>
      </w:r>
      <w:r>
        <w:rPr>
          <w:rFonts w:hint="eastAsia" w:hAnsi="宋体" w:cs="宋体"/>
          <w:sz w:val="32"/>
          <w:szCs w:val="32"/>
        </w:rPr>
        <w:fldChar w:fldCharType="end"/>
      </w:r>
    </w:p>
    <w:p>
      <w:pPr>
        <w:pStyle w:val="32"/>
        <w:spacing w:line="360" w:lineRule="auto"/>
        <w:rPr>
          <w:rFonts w:hAnsi="宋体" w:cs="宋体"/>
        </w:rPr>
      </w:pPr>
      <w:r>
        <w:rPr>
          <w:rFonts w:hint="eastAsia" w:hAnsi="宋体" w:cs="宋体"/>
          <w:sz w:val="32"/>
          <w:szCs w:val="32"/>
        </w:rPr>
        <w:fldChar w:fldCharType="end"/>
      </w:r>
    </w:p>
    <w:p>
      <w:pPr>
        <w:tabs>
          <w:tab w:val="left" w:pos="525"/>
        </w:tabs>
        <w:spacing w:line="560" w:lineRule="exact"/>
        <w:jc w:val="center"/>
        <w:rPr>
          <w:rFonts w:hAnsi="宋体" w:cs="宋体"/>
        </w:rPr>
        <w:sectPr>
          <w:headerReference r:id="rId8" w:type="first"/>
          <w:headerReference r:id="rId7" w:type="default"/>
          <w:pgSz w:w="11906" w:h="16838"/>
          <w:pgMar w:top="1417" w:right="1134" w:bottom="1417" w:left="1417" w:header="1134" w:footer="992" w:gutter="0"/>
          <w:pgNumType w:start="1"/>
          <w:cols w:space="720" w:num="1"/>
          <w:titlePg/>
          <w:docGrid w:type="lines" w:linePitch="333" w:charSpace="0"/>
        </w:sectPr>
      </w:pPr>
    </w:p>
    <w:bookmarkEnd w:id="1"/>
    <w:bookmarkEnd w:id="2"/>
    <w:bookmarkEnd w:id="3"/>
    <w:bookmarkEnd w:id="4"/>
    <w:bookmarkEnd w:id="5"/>
    <w:bookmarkEnd w:id="6"/>
    <w:bookmarkEnd w:id="7"/>
    <w:bookmarkEnd w:id="8"/>
    <w:p>
      <w:pPr>
        <w:pStyle w:val="3"/>
        <w:keepNext w:val="0"/>
        <w:keepLines/>
        <w:pageBreakBefore/>
        <w:spacing w:before="156" w:beforeLines="50" w:after="156" w:afterLines="50" w:line="460" w:lineRule="exact"/>
        <w:jc w:val="center"/>
        <w:rPr>
          <w:rFonts w:asciiTheme="minorEastAsia" w:hAnsiTheme="minorEastAsia" w:eastAsiaTheme="minorEastAsia"/>
          <w:bCs/>
          <w:sz w:val="36"/>
          <w:szCs w:val="36"/>
        </w:rPr>
      </w:pPr>
      <w:r>
        <w:rPr>
          <w:rFonts w:hint="eastAsia" w:asciiTheme="minorEastAsia" w:hAnsiTheme="minorEastAsia" w:eastAsiaTheme="minorEastAsia"/>
          <w:bCs/>
          <w:sz w:val="36"/>
          <w:szCs w:val="36"/>
        </w:rPr>
        <w:t>第一章  招标公告</w:t>
      </w:r>
    </w:p>
    <w:tbl>
      <w:tblPr>
        <w:tblStyle w:val="47"/>
        <w:tblW w:w="525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7" w:hRule="atLeast"/>
        </w:trPr>
        <w:tc>
          <w:tcPr>
            <w:tcW w:w="5000" w:type="pct"/>
          </w:tcPr>
          <w:p>
            <w:pPr>
              <w:widowControl/>
              <w:shd w:val="clear" w:color="auto" w:fill="FFFFFF"/>
              <w:spacing w:line="360" w:lineRule="auto"/>
              <w:textAlignment w:val="baseline"/>
              <w:rPr>
                <w:rFonts w:cs="宋体" w:asciiTheme="minorEastAsia" w:hAnsiTheme="minorEastAsia" w:eastAsiaTheme="minorEastAsia"/>
                <w:szCs w:val="24"/>
              </w:rPr>
            </w:pPr>
            <w:r>
              <w:rPr>
                <w:rFonts w:cs="宋体" w:asciiTheme="minorEastAsia" w:hAnsiTheme="minorEastAsia" w:eastAsiaTheme="minorEastAsia"/>
                <w:b/>
                <w:bCs/>
                <w:szCs w:val="24"/>
              </w:rPr>
              <w:t>项目概况</w:t>
            </w:r>
          </w:p>
          <w:p>
            <w:pPr>
              <w:widowControl/>
              <w:spacing w:line="360" w:lineRule="auto"/>
              <w:ind w:firstLine="480" w:firstLineChars="200"/>
              <w:textAlignment w:val="baseline"/>
              <w:rPr>
                <w:rFonts w:cs="宋体" w:asciiTheme="minorEastAsia" w:hAnsiTheme="minorEastAsia"/>
                <w:szCs w:val="24"/>
              </w:rPr>
            </w:pPr>
            <w:r>
              <w:rPr>
                <w:rFonts w:hint="eastAsia" w:cs="宋体" w:asciiTheme="minorEastAsia" w:hAnsiTheme="minorEastAsia" w:eastAsiaTheme="minorEastAsia"/>
                <w:szCs w:val="24"/>
                <w:lang w:eastAsia="zh-CN"/>
              </w:rPr>
              <w:t>西安市公安局未央分局2023年中省指挥、刑侦派出所警用装备、办公设备项目</w:t>
            </w:r>
            <w:r>
              <w:rPr>
                <w:rFonts w:cs="宋体" w:asciiTheme="minorEastAsia" w:hAnsiTheme="minorEastAsia" w:eastAsiaTheme="minorEastAsia"/>
                <w:szCs w:val="24"/>
              </w:rPr>
              <w:t>的潜在投标人应在全国公共资源交易平台（陕西省·西安市）网站〖首页〉电子交易平台〉陕西政府采购交易系统〉企业端〗</w:t>
            </w:r>
            <w:r>
              <w:rPr>
                <w:rFonts w:hint="eastAsia" w:cs="宋体" w:asciiTheme="minorEastAsia" w:hAnsiTheme="minorEastAsia" w:eastAsiaTheme="minorEastAsia"/>
                <w:szCs w:val="24"/>
              </w:rPr>
              <w:t>获取招标文件。并</w:t>
            </w:r>
            <w:r>
              <w:rPr>
                <w:rFonts w:hint="eastAsia" w:cs="宋体" w:asciiTheme="minorEastAsia" w:hAnsiTheme="minorEastAsia" w:eastAsiaTheme="minorEastAsia"/>
                <w:color w:val="auto"/>
                <w:szCs w:val="24"/>
              </w:rPr>
              <w:t>于 2023年0</w:t>
            </w:r>
            <w:r>
              <w:rPr>
                <w:rFonts w:hint="eastAsia" w:cs="宋体" w:asciiTheme="minorEastAsia" w:hAnsiTheme="minorEastAsia" w:eastAsiaTheme="minorEastAsia"/>
                <w:color w:val="auto"/>
                <w:szCs w:val="24"/>
                <w:lang w:val="en-US" w:eastAsia="zh-CN"/>
              </w:rPr>
              <w:t>7</w:t>
            </w:r>
            <w:r>
              <w:rPr>
                <w:rFonts w:hint="eastAsia" w:cs="宋体" w:asciiTheme="minorEastAsia" w:hAnsiTheme="minorEastAsia" w:eastAsiaTheme="minorEastAsia"/>
                <w:color w:val="auto"/>
                <w:szCs w:val="24"/>
              </w:rPr>
              <w:t>月</w:t>
            </w:r>
            <w:r>
              <w:rPr>
                <w:rFonts w:hint="eastAsia" w:cs="宋体" w:asciiTheme="minorEastAsia" w:hAnsiTheme="minorEastAsia" w:eastAsiaTheme="minorEastAsia"/>
                <w:color w:val="auto"/>
                <w:szCs w:val="24"/>
                <w:lang w:val="en-US" w:eastAsia="zh-CN"/>
              </w:rPr>
              <w:t>14</w:t>
            </w:r>
            <w:r>
              <w:rPr>
                <w:rFonts w:hint="eastAsia" w:cs="宋体" w:asciiTheme="minorEastAsia" w:hAnsiTheme="minorEastAsia" w:eastAsiaTheme="minorEastAsia"/>
                <w:color w:val="auto"/>
                <w:szCs w:val="24"/>
              </w:rPr>
              <w:t xml:space="preserve">日 </w:t>
            </w:r>
            <w:r>
              <w:rPr>
                <w:rFonts w:hint="eastAsia" w:cs="宋体" w:asciiTheme="minorEastAsia" w:hAnsiTheme="minorEastAsia" w:eastAsiaTheme="minorEastAsia"/>
                <w:color w:val="auto"/>
                <w:szCs w:val="24"/>
                <w:lang w:val="en-US" w:eastAsia="zh-CN"/>
              </w:rPr>
              <w:t>09</w:t>
            </w:r>
            <w:r>
              <w:rPr>
                <w:rFonts w:hint="eastAsia" w:cs="宋体" w:asciiTheme="minorEastAsia" w:hAnsiTheme="minorEastAsia" w:eastAsiaTheme="minorEastAsia"/>
                <w:color w:val="auto"/>
                <w:szCs w:val="24"/>
              </w:rPr>
              <w:t>时</w:t>
            </w:r>
            <w:r>
              <w:rPr>
                <w:rFonts w:hint="eastAsia" w:cs="宋体" w:asciiTheme="minorEastAsia" w:hAnsiTheme="minorEastAsia" w:eastAsiaTheme="minorEastAsia"/>
                <w:color w:val="auto"/>
                <w:szCs w:val="24"/>
                <w:lang w:val="en-US" w:eastAsia="zh-CN"/>
              </w:rPr>
              <w:t>00</w:t>
            </w:r>
            <w:r>
              <w:rPr>
                <w:rFonts w:hint="eastAsia" w:cs="宋体" w:asciiTheme="minorEastAsia" w:hAnsiTheme="minorEastAsia" w:eastAsiaTheme="minorEastAsia"/>
                <w:color w:val="auto"/>
                <w:szCs w:val="24"/>
              </w:rPr>
              <w:t xml:space="preserve">分00秒 </w:t>
            </w:r>
            <w:r>
              <w:rPr>
                <w:rFonts w:hint="eastAsia" w:cs="宋体" w:asciiTheme="minorEastAsia" w:hAnsiTheme="minorEastAsia" w:eastAsiaTheme="minorEastAsia"/>
                <w:szCs w:val="24"/>
              </w:rPr>
              <w:t>（北京时间）前递交投标文件。</w:t>
            </w:r>
          </w:p>
        </w:tc>
      </w:tr>
    </w:tbl>
    <w:p>
      <w:pPr>
        <w:widowControl/>
        <w:shd w:val="clear" w:color="auto" w:fill="FFFFFF"/>
        <w:spacing w:line="360" w:lineRule="auto"/>
        <w:textAlignment w:val="baseline"/>
        <w:rPr>
          <w:rFonts w:cs="宋体" w:asciiTheme="minorEastAsia" w:hAnsiTheme="minorEastAsia" w:eastAsiaTheme="minorEastAsia"/>
          <w:szCs w:val="24"/>
        </w:rPr>
      </w:pPr>
      <w:r>
        <w:rPr>
          <w:rFonts w:cs="宋体" w:asciiTheme="minorEastAsia" w:hAnsiTheme="minorEastAsia" w:eastAsiaTheme="minorEastAsia"/>
          <w:b/>
          <w:bCs/>
          <w:szCs w:val="24"/>
        </w:rPr>
        <w:t>一、项目基本情况</w:t>
      </w:r>
    </w:p>
    <w:p>
      <w:pPr>
        <w:widowControl/>
        <w:shd w:val="clear" w:color="auto" w:fill="FFFFFF"/>
        <w:spacing w:line="360" w:lineRule="auto"/>
        <w:ind w:firstLine="480" w:firstLineChars="200"/>
        <w:textAlignment w:val="baseline"/>
        <w:rPr>
          <w:rFonts w:hint="eastAsia" w:cs="宋体" w:asciiTheme="minorEastAsia" w:hAnsiTheme="minorEastAsia" w:eastAsiaTheme="minorEastAsia"/>
          <w:szCs w:val="24"/>
          <w:lang w:eastAsia="zh-CN"/>
        </w:rPr>
      </w:pPr>
      <w:r>
        <w:rPr>
          <w:rFonts w:cs="宋体" w:asciiTheme="minorEastAsia" w:hAnsiTheme="minorEastAsia" w:eastAsiaTheme="minorEastAsia"/>
          <w:szCs w:val="24"/>
        </w:rPr>
        <w:t>项目编号：</w:t>
      </w:r>
      <w:r>
        <w:rPr>
          <w:rFonts w:hint="eastAsia" w:cs="宋体" w:asciiTheme="minorEastAsia" w:hAnsiTheme="minorEastAsia" w:eastAsiaTheme="minorEastAsia"/>
          <w:szCs w:val="24"/>
          <w:lang w:eastAsia="zh-CN"/>
        </w:rPr>
        <w:t>SXWXZBDL2023-ZC-GK100</w:t>
      </w:r>
      <w:r>
        <w:rPr>
          <w:rFonts w:hint="eastAsia" w:cs="宋体" w:asciiTheme="minorEastAsia" w:hAnsiTheme="minorEastAsia" w:eastAsiaTheme="minorEastAsia"/>
          <w:szCs w:val="24"/>
          <w:lang w:val="en-US" w:eastAsia="zh-CN"/>
        </w:rPr>
        <w:t>4</w:t>
      </w:r>
    </w:p>
    <w:p>
      <w:pPr>
        <w:widowControl/>
        <w:shd w:val="clear" w:color="auto" w:fill="FFFFFF"/>
        <w:spacing w:line="360" w:lineRule="auto"/>
        <w:ind w:firstLine="480" w:firstLineChars="200"/>
        <w:textAlignment w:val="baseline"/>
        <w:rPr>
          <w:rFonts w:hint="eastAsia" w:cs="宋体" w:asciiTheme="minorEastAsia" w:hAnsiTheme="minorEastAsia" w:eastAsiaTheme="minorEastAsia"/>
          <w:szCs w:val="24"/>
          <w:lang w:eastAsia="zh-CN"/>
        </w:rPr>
      </w:pPr>
      <w:r>
        <w:rPr>
          <w:rFonts w:cs="宋体" w:asciiTheme="minorEastAsia" w:hAnsiTheme="minorEastAsia" w:eastAsiaTheme="minorEastAsia"/>
          <w:szCs w:val="24"/>
        </w:rPr>
        <w:t>项目名称：</w:t>
      </w:r>
      <w:r>
        <w:rPr>
          <w:rFonts w:hint="eastAsia" w:cs="宋体" w:asciiTheme="minorEastAsia" w:hAnsiTheme="minorEastAsia" w:eastAsiaTheme="minorEastAsia"/>
          <w:szCs w:val="24"/>
          <w:lang w:eastAsia="zh-CN"/>
        </w:rPr>
        <w:t>西安市公安局未央分局2023年中省指挥、刑侦派出所警用装备、办公设备项目</w:t>
      </w:r>
    </w:p>
    <w:p>
      <w:pPr>
        <w:widowControl/>
        <w:shd w:val="clear" w:color="auto" w:fill="FFFFFF"/>
        <w:spacing w:line="360" w:lineRule="auto"/>
        <w:ind w:firstLine="480" w:firstLineChars="200"/>
        <w:textAlignment w:val="baseline"/>
        <w:rPr>
          <w:rFonts w:cs="宋体" w:asciiTheme="minorEastAsia" w:hAnsiTheme="minorEastAsia" w:eastAsiaTheme="minorEastAsia"/>
          <w:szCs w:val="24"/>
        </w:rPr>
      </w:pPr>
      <w:r>
        <w:rPr>
          <w:rFonts w:cs="宋体" w:asciiTheme="minorEastAsia" w:hAnsiTheme="minorEastAsia" w:eastAsiaTheme="minorEastAsia"/>
          <w:szCs w:val="24"/>
        </w:rPr>
        <w:t>采购方式：公开招标</w:t>
      </w:r>
    </w:p>
    <w:p>
      <w:pPr>
        <w:widowControl/>
        <w:shd w:val="clear" w:color="auto" w:fill="FFFFFF"/>
        <w:spacing w:line="360" w:lineRule="auto"/>
        <w:ind w:firstLine="480" w:firstLineChars="200"/>
        <w:textAlignment w:val="baseline"/>
        <w:rPr>
          <w:rFonts w:cs="宋体" w:asciiTheme="minorEastAsia" w:hAnsiTheme="minorEastAsia" w:eastAsiaTheme="minorEastAsia"/>
          <w:szCs w:val="24"/>
        </w:rPr>
      </w:pPr>
      <w:r>
        <w:rPr>
          <w:rFonts w:cs="宋体" w:asciiTheme="minorEastAsia" w:hAnsiTheme="minorEastAsia" w:eastAsiaTheme="minorEastAsia"/>
          <w:szCs w:val="24"/>
        </w:rPr>
        <w:t>预算金额：2,872,000.00元</w:t>
      </w:r>
    </w:p>
    <w:p>
      <w:pPr>
        <w:widowControl/>
        <w:shd w:val="clear" w:color="auto" w:fill="FFFFFF"/>
        <w:spacing w:line="360" w:lineRule="auto"/>
        <w:ind w:firstLine="480" w:firstLineChars="200"/>
        <w:textAlignment w:val="baseline"/>
        <w:rPr>
          <w:rFonts w:cs="宋体" w:asciiTheme="minorEastAsia" w:hAnsiTheme="minorEastAsia" w:eastAsiaTheme="minorEastAsia"/>
          <w:szCs w:val="24"/>
        </w:rPr>
      </w:pPr>
      <w:r>
        <w:rPr>
          <w:rFonts w:cs="宋体" w:asciiTheme="minorEastAsia" w:hAnsiTheme="minorEastAsia" w:eastAsiaTheme="minorEastAsia"/>
          <w:szCs w:val="24"/>
        </w:rPr>
        <w:t>采购需求：</w:t>
      </w:r>
    </w:p>
    <w:p>
      <w:pPr>
        <w:widowControl/>
        <w:shd w:val="clear" w:color="auto" w:fill="FFFFFF"/>
        <w:spacing w:line="360" w:lineRule="auto"/>
        <w:ind w:firstLine="480" w:firstLineChars="200"/>
        <w:textAlignment w:val="baseline"/>
        <w:rPr>
          <w:rFonts w:cs="宋体" w:asciiTheme="minorEastAsia" w:hAnsiTheme="minorEastAsia" w:eastAsiaTheme="minorEastAsia"/>
          <w:szCs w:val="24"/>
        </w:rPr>
      </w:pPr>
      <w:r>
        <w:rPr>
          <w:rFonts w:cs="宋体" w:asciiTheme="minorEastAsia" w:hAnsiTheme="minorEastAsia" w:eastAsiaTheme="minorEastAsia"/>
          <w:szCs w:val="24"/>
        </w:rPr>
        <w:t>合同包1(</w:t>
      </w:r>
      <w:r>
        <w:rPr>
          <w:rFonts w:hint="eastAsia" w:cs="宋体" w:asciiTheme="minorEastAsia" w:hAnsiTheme="minorEastAsia" w:eastAsiaTheme="minorEastAsia"/>
          <w:szCs w:val="24"/>
        </w:rPr>
        <w:t>刑侦技术设备</w:t>
      </w:r>
      <w:r>
        <w:rPr>
          <w:rFonts w:cs="宋体" w:asciiTheme="minorEastAsia" w:hAnsiTheme="minorEastAsia"/>
          <w:szCs w:val="24"/>
        </w:rPr>
        <w:t>)：</w:t>
      </w:r>
    </w:p>
    <w:p>
      <w:pPr>
        <w:widowControl/>
        <w:shd w:val="clear" w:color="auto" w:fill="FFFFFF"/>
        <w:spacing w:line="360" w:lineRule="auto"/>
        <w:ind w:firstLine="480" w:firstLineChars="200"/>
        <w:textAlignment w:val="baseline"/>
        <w:rPr>
          <w:rFonts w:cs="宋体" w:asciiTheme="minorEastAsia" w:hAnsiTheme="minorEastAsia" w:eastAsiaTheme="minorEastAsia"/>
          <w:szCs w:val="24"/>
        </w:rPr>
      </w:pPr>
      <w:r>
        <w:rPr>
          <w:rFonts w:cs="宋体" w:asciiTheme="minorEastAsia" w:hAnsiTheme="minorEastAsia" w:eastAsiaTheme="minorEastAsia"/>
          <w:szCs w:val="24"/>
        </w:rPr>
        <w:t>合同包预算金额：</w:t>
      </w:r>
      <w:r>
        <w:rPr>
          <w:rFonts w:hint="eastAsia" w:cs="宋体" w:asciiTheme="minorEastAsia" w:hAnsiTheme="minorEastAsia" w:eastAsiaTheme="minorEastAsia"/>
          <w:szCs w:val="24"/>
          <w:lang w:val="en-US" w:eastAsia="zh-CN"/>
        </w:rPr>
        <w:t>586</w:t>
      </w:r>
      <w:r>
        <w:rPr>
          <w:rFonts w:hint="eastAsia" w:cs="宋体" w:asciiTheme="minorEastAsia" w:hAnsiTheme="minorEastAsia" w:eastAsiaTheme="minorEastAsia"/>
          <w:szCs w:val="24"/>
        </w:rPr>
        <w:t>，</w:t>
      </w:r>
      <w:r>
        <w:rPr>
          <w:rFonts w:hint="eastAsia" w:cs="宋体" w:asciiTheme="minorEastAsia" w:hAnsiTheme="minorEastAsia" w:eastAsiaTheme="minorEastAsia"/>
          <w:szCs w:val="24"/>
          <w:lang w:val="en-US" w:eastAsia="zh-CN"/>
        </w:rPr>
        <w:t>3</w:t>
      </w:r>
      <w:r>
        <w:rPr>
          <w:rFonts w:cs="宋体" w:asciiTheme="minorEastAsia" w:hAnsiTheme="minorEastAsia" w:eastAsiaTheme="minorEastAsia"/>
          <w:szCs w:val="24"/>
        </w:rPr>
        <w:t>00.00元</w:t>
      </w:r>
    </w:p>
    <w:p>
      <w:pPr>
        <w:pStyle w:val="2"/>
        <w:ind w:firstLine="480" w:firstLineChars="200"/>
        <w:rPr>
          <w:rFonts w:cs="宋体" w:asciiTheme="minorEastAsia" w:hAnsiTheme="minorEastAsia" w:eastAsiaTheme="minorEastAsia"/>
          <w:kern w:val="0"/>
          <w:sz w:val="24"/>
          <w:szCs w:val="24"/>
          <w:lang w:val="en-US" w:eastAsia="zh-CN" w:bidi="ar-SA"/>
        </w:rPr>
      </w:pPr>
      <w:r>
        <w:rPr>
          <w:rFonts w:cs="宋体" w:asciiTheme="minorEastAsia" w:hAnsiTheme="minorEastAsia" w:eastAsiaTheme="minorEastAsia"/>
          <w:kern w:val="0"/>
          <w:sz w:val="24"/>
          <w:szCs w:val="24"/>
          <w:lang w:val="en-US" w:eastAsia="zh-CN" w:bidi="ar-SA"/>
        </w:rPr>
        <w:t>合同包最高限价：</w:t>
      </w:r>
      <w:r>
        <w:rPr>
          <w:rFonts w:hint="eastAsia" w:cs="宋体" w:asciiTheme="minorEastAsia" w:hAnsiTheme="minorEastAsia" w:eastAsiaTheme="minorEastAsia"/>
          <w:kern w:val="0"/>
          <w:sz w:val="24"/>
          <w:szCs w:val="24"/>
          <w:lang w:val="en-US" w:eastAsia="zh-CN" w:bidi="ar-SA"/>
        </w:rPr>
        <w:t>586，3</w:t>
      </w:r>
      <w:r>
        <w:rPr>
          <w:rFonts w:cs="宋体" w:asciiTheme="minorEastAsia" w:hAnsiTheme="minorEastAsia" w:eastAsiaTheme="minorEastAsia"/>
          <w:kern w:val="0"/>
          <w:sz w:val="24"/>
          <w:szCs w:val="24"/>
          <w:lang w:val="en-US" w:eastAsia="zh-CN" w:bidi="ar-SA"/>
        </w:rPr>
        <w:t>00.00</w:t>
      </w:r>
      <w:r>
        <w:rPr>
          <w:rFonts w:hint="eastAsia" w:cs="宋体" w:asciiTheme="minorEastAsia" w:hAnsiTheme="minorEastAsia" w:eastAsiaTheme="minorEastAsia"/>
          <w:kern w:val="0"/>
          <w:sz w:val="24"/>
          <w:szCs w:val="24"/>
          <w:lang w:val="en-US" w:eastAsia="zh-CN" w:bidi="ar-SA"/>
        </w:rPr>
        <w:t>元</w:t>
      </w:r>
    </w:p>
    <w:tbl>
      <w:tblPr>
        <w:tblStyle w:val="46"/>
        <w:tblW w:w="5484" w:type="pct"/>
        <w:tblInd w:w="0" w:type="dxa"/>
        <w:tblLayout w:type="fixed"/>
        <w:tblCellMar>
          <w:top w:w="0" w:type="dxa"/>
          <w:left w:w="0" w:type="dxa"/>
          <w:bottom w:w="0" w:type="dxa"/>
          <w:right w:w="0" w:type="dxa"/>
        </w:tblCellMar>
      </w:tblPr>
      <w:tblGrid>
        <w:gridCol w:w="1012"/>
        <w:gridCol w:w="1341"/>
        <w:gridCol w:w="1337"/>
        <w:gridCol w:w="1185"/>
        <w:gridCol w:w="1932"/>
        <w:gridCol w:w="1857"/>
        <w:gridCol w:w="1548"/>
      </w:tblGrid>
      <w:tr>
        <w:tblPrEx>
          <w:tblCellMar>
            <w:top w:w="0" w:type="dxa"/>
            <w:left w:w="0" w:type="dxa"/>
            <w:bottom w:w="0" w:type="dxa"/>
            <w:right w:w="0" w:type="dxa"/>
          </w:tblCellMar>
        </w:tblPrEx>
        <w:trPr>
          <w:trHeight w:val="728" w:hRule="atLeast"/>
          <w:tblHeader/>
        </w:trPr>
        <w:tc>
          <w:tcPr>
            <w:tcW w:w="49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b/>
                <w:bCs/>
                <w:szCs w:val="24"/>
              </w:rPr>
            </w:pPr>
            <w:r>
              <w:rPr>
                <w:rFonts w:cs="宋体" w:asciiTheme="minorEastAsia" w:hAnsiTheme="minorEastAsia" w:eastAsiaTheme="minorEastAsia"/>
                <w:b/>
                <w:bCs/>
                <w:szCs w:val="24"/>
              </w:rPr>
              <w:t>品目号</w:t>
            </w:r>
          </w:p>
        </w:tc>
        <w:tc>
          <w:tcPr>
            <w:tcW w:w="65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b/>
                <w:bCs/>
                <w:szCs w:val="24"/>
              </w:rPr>
            </w:pPr>
            <w:r>
              <w:rPr>
                <w:rFonts w:cs="宋体" w:asciiTheme="minorEastAsia" w:hAnsiTheme="minorEastAsia" w:eastAsiaTheme="minorEastAsia"/>
                <w:b/>
                <w:bCs/>
                <w:szCs w:val="24"/>
              </w:rPr>
              <w:t>品目名称</w:t>
            </w:r>
          </w:p>
        </w:tc>
        <w:tc>
          <w:tcPr>
            <w:tcW w:w="65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b/>
                <w:bCs/>
                <w:szCs w:val="24"/>
              </w:rPr>
            </w:pPr>
            <w:r>
              <w:rPr>
                <w:rFonts w:cs="宋体" w:asciiTheme="minorEastAsia" w:hAnsiTheme="minorEastAsia" w:eastAsiaTheme="minorEastAsia"/>
                <w:b/>
                <w:bCs/>
                <w:szCs w:val="24"/>
              </w:rPr>
              <w:t>采购标的</w:t>
            </w:r>
          </w:p>
        </w:tc>
        <w:tc>
          <w:tcPr>
            <w:tcW w:w="58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b/>
                <w:bCs/>
                <w:szCs w:val="24"/>
              </w:rPr>
            </w:pPr>
            <w:r>
              <w:rPr>
                <w:rFonts w:cs="宋体" w:asciiTheme="minorEastAsia" w:hAnsiTheme="minorEastAsia" w:eastAsiaTheme="minorEastAsia"/>
                <w:b/>
                <w:bCs/>
                <w:szCs w:val="24"/>
              </w:rPr>
              <w:t>数量</w:t>
            </w:r>
          </w:p>
          <w:p>
            <w:pPr>
              <w:widowControl/>
              <w:spacing w:line="360" w:lineRule="auto"/>
              <w:jc w:val="center"/>
              <w:rPr>
                <w:rFonts w:cs="宋体" w:asciiTheme="minorEastAsia" w:hAnsiTheme="minorEastAsia" w:eastAsiaTheme="minorEastAsia"/>
                <w:b/>
                <w:bCs/>
                <w:szCs w:val="24"/>
              </w:rPr>
            </w:pPr>
            <w:r>
              <w:rPr>
                <w:rFonts w:cs="宋体" w:asciiTheme="minorEastAsia" w:hAnsiTheme="minorEastAsia" w:eastAsiaTheme="minorEastAsia"/>
                <w:b/>
                <w:bCs/>
                <w:szCs w:val="24"/>
              </w:rPr>
              <w:t>（单位）</w:t>
            </w:r>
          </w:p>
        </w:tc>
        <w:tc>
          <w:tcPr>
            <w:tcW w:w="94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b/>
                <w:bCs/>
                <w:szCs w:val="24"/>
              </w:rPr>
            </w:pPr>
            <w:r>
              <w:rPr>
                <w:rFonts w:cs="宋体" w:asciiTheme="minorEastAsia" w:hAnsiTheme="minorEastAsia" w:eastAsiaTheme="minorEastAsia"/>
                <w:b/>
                <w:bCs/>
                <w:szCs w:val="24"/>
              </w:rPr>
              <w:t>技术规格、参数及要求</w:t>
            </w:r>
          </w:p>
        </w:tc>
        <w:tc>
          <w:tcPr>
            <w:tcW w:w="90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b/>
                <w:bCs/>
                <w:szCs w:val="24"/>
              </w:rPr>
            </w:pPr>
            <w:r>
              <w:rPr>
                <w:rFonts w:cs="宋体" w:asciiTheme="minorEastAsia" w:hAnsiTheme="minorEastAsia" w:eastAsiaTheme="minorEastAsia"/>
                <w:b/>
                <w:bCs/>
                <w:szCs w:val="24"/>
              </w:rPr>
              <w:t>品目预算</w:t>
            </w:r>
          </w:p>
          <w:p>
            <w:pPr>
              <w:widowControl/>
              <w:spacing w:line="360" w:lineRule="auto"/>
              <w:jc w:val="center"/>
              <w:rPr>
                <w:rFonts w:cs="宋体" w:asciiTheme="minorEastAsia" w:hAnsiTheme="minorEastAsia" w:eastAsiaTheme="minorEastAsia"/>
                <w:b/>
                <w:bCs/>
                <w:szCs w:val="24"/>
              </w:rPr>
            </w:pPr>
            <w:r>
              <w:rPr>
                <w:rFonts w:cs="宋体" w:asciiTheme="minorEastAsia" w:hAnsiTheme="minorEastAsia" w:eastAsiaTheme="minorEastAsia"/>
                <w:b/>
                <w:bCs/>
                <w:szCs w:val="24"/>
              </w:rPr>
              <w:t>(元)</w:t>
            </w:r>
          </w:p>
        </w:tc>
        <w:tc>
          <w:tcPr>
            <w:tcW w:w="7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b/>
                <w:bCs/>
                <w:szCs w:val="24"/>
              </w:rPr>
            </w:pPr>
            <w:r>
              <w:rPr>
                <w:rFonts w:cs="宋体" w:asciiTheme="minorEastAsia" w:hAnsiTheme="minorEastAsia" w:eastAsiaTheme="minorEastAsia"/>
                <w:b/>
                <w:bCs/>
                <w:szCs w:val="24"/>
              </w:rPr>
              <w:t>最高限价(元)</w:t>
            </w:r>
          </w:p>
        </w:tc>
      </w:tr>
      <w:tr>
        <w:tblPrEx>
          <w:tblCellMar>
            <w:top w:w="0" w:type="dxa"/>
            <w:left w:w="0" w:type="dxa"/>
            <w:bottom w:w="0" w:type="dxa"/>
            <w:right w:w="0" w:type="dxa"/>
          </w:tblCellMar>
        </w:tblPrEx>
        <w:trPr>
          <w:trHeight w:val="480" w:hRule="atLeast"/>
        </w:trPr>
        <w:tc>
          <w:tcPr>
            <w:tcW w:w="49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szCs w:val="24"/>
              </w:rPr>
            </w:pPr>
            <w:r>
              <w:rPr>
                <w:rFonts w:cs="宋体" w:asciiTheme="minorEastAsia" w:hAnsiTheme="minorEastAsia" w:eastAsiaTheme="minorEastAsia"/>
                <w:szCs w:val="24"/>
              </w:rPr>
              <w:t>1-1</w:t>
            </w:r>
          </w:p>
        </w:tc>
        <w:tc>
          <w:tcPr>
            <w:tcW w:w="656"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hint="eastAsia" w:cs="宋体" w:asciiTheme="minorEastAsia" w:hAnsiTheme="minorEastAsia" w:eastAsiaTheme="minorEastAsia"/>
                <w:szCs w:val="24"/>
                <w:lang w:eastAsia="zh-CN"/>
              </w:rPr>
            </w:pPr>
            <w:r>
              <w:rPr>
                <w:rFonts w:hint="eastAsia" w:cs="宋体" w:asciiTheme="minorEastAsia" w:hAnsiTheme="minorEastAsia" w:eastAsiaTheme="minorEastAsia"/>
                <w:szCs w:val="24"/>
                <w:lang w:eastAsia="zh-CN"/>
              </w:rPr>
              <w:t>警械设备</w:t>
            </w:r>
          </w:p>
        </w:tc>
        <w:tc>
          <w:tcPr>
            <w:tcW w:w="654"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szCs w:val="24"/>
              </w:rPr>
            </w:pPr>
            <w:r>
              <w:rPr>
                <w:rFonts w:cs="宋体" w:asciiTheme="minorEastAsia" w:hAnsiTheme="minorEastAsia" w:eastAsiaTheme="minorEastAsia"/>
                <w:szCs w:val="24"/>
              </w:rPr>
              <w:t>刑侦技术设备</w:t>
            </w:r>
          </w:p>
        </w:tc>
        <w:tc>
          <w:tcPr>
            <w:tcW w:w="58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szCs w:val="24"/>
              </w:rPr>
            </w:pPr>
            <w:r>
              <w:rPr>
                <w:rFonts w:cs="宋体" w:asciiTheme="minorEastAsia" w:hAnsiTheme="minorEastAsia" w:eastAsiaTheme="minorEastAsia"/>
                <w:szCs w:val="24"/>
              </w:rPr>
              <w:t>1(</w:t>
            </w:r>
            <w:r>
              <w:rPr>
                <w:rFonts w:hint="eastAsia" w:cs="宋体" w:asciiTheme="minorEastAsia" w:hAnsiTheme="minorEastAsia" w:eastAsiaTheme="minorEastAsia"/>
                <w:szCs w:val="24"/>
              </w:rPr>
              <w:t>项</w:t>
            </w:r>
            <w:r>
              <w:rPr>
                <w:rFonts w:cs="宋体" w:asciiTheme="minorEastAsia" w:hAnsiTheme="minorEastAsia" w:eastAsiaTheme="minorEastAsia"/>
                <w:szCs w:val="24"/>
              </w:rPr>
              <w:t>)</w:t>
            </w:r>
          </w:p>
        </w:tc>
        <w:tc>
          <w:tcPr>
            <w:tcW w:w="94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szCs w:val="24"/>
              </w:rPr>
            </w:pPr>
            <w:r>
              <w:rPr>
                <w:rFonts w:cs="宋体" w:asciiTheme="minorEastAsia" w:hAnsiTheme="minorEastAsia" w:eastAsiaTheme="minorEastAsia"/>
                <w:szCs w:val="24"/>
              </w:rPr>
              <w:t>详见</w:t>
            </w:r>
            <w:r>
              <w:rPr>
                <w:rFonts w:hint="eastAsia" w:cs="宋体" w:asciiTheme="minorEastAsia" w:hAnsiTheme="minorEastAsia" w:eastAsiaTheme="minorEastAsia"/>
                <w:szCs w:val="24"/>
              </w:rPr>
              <w:t>招标</w:t>
            </w:r>
            <w:r>
              <w:rPr>
                <w:rFonts w:cs="宋体" w:asciiTheme="minorEastAsia" w:hAnsiTheme="minorEastAsia" w:eastAsiaTheme="minorEastAsia"/>
                <w:szCs w:val="24"/>
              </w:rPr>
              <w:t>文件</w:t>
            </w:r>
          </w:p>
        </w:tc>
        <w:tc>
          <w:tcPr>
            <w:tcW w:w="90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szCs w:val="24"/>
              </w:rPr>
            </w:pPr>
            <w:r>
              <w:rPr>
                <w:rFonts w:hint="eastAsia" w:cs="宋体" w:asciiTheme="minorEastAsia" w:hAnsiTheme="minorEastAsia" w:eastAsiaTheme="minorEastAsia"/>
                <w:szCs w:val="24"/>
                <w:lang w:val="en-US" w:eastAsia="zh-CN"/>
              </w:rPr>
              <w:t>586</w:t>
            </w:r>
            <w:r>
              <w:rPr>
                <w:rFonts w:hint="eastAsia" w:cs="宋体" w:asciiTheme="minorEastAsia" w:hAnsiTheme="minorEastAsia" w:eastAsiaTheme="minorEastAsia"/>
                <w:szCs w:val="24"/>
              </w:rPr>
              <w:t>，</w:t>
            </w:r>
            <w:r>
              <w:rPr>
                <w:rFonts w:hint="eastAsia" w:cs="宋体" w:asciiTheme="minorEastAsia" w:hAnsiTheme="minorEastAsia" w:eastAsiaTheme="minorEastAsia"/>
                <w:szCs w:val="24"/>
                <w:lang w:val="en-US" w:eastAsia="zh-CN"/>
              </w:rPr>
              <w:t>3</w:t>
            </w:r>
            <w:r>
              <w:rPr>
                <w:rFonts w:cs="宋体" w:asciiTheme="minorEastAsia" w:hAnsiTheme="minorEastAsia" w:eastAsiaTheme="minorEastAsia"/>
                <w:szCs w:val="24"/>
              </w:rPr>
              <w:t>00.00</w:t>
            </w:r>
          </w:p>
        </w:tc>
        <w:tc>
          <w:tcPr>
            <w:tcW w:w="75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szCs w:val="24"/>
              </w:rPr>
            </w:pPr>
            <w:r>
              <w:rPr>
                <w:rFonts w:hint="eastAsia" w:cs="宋体" w:asciiTheme="minorEastAsia" w:hAnsiTheme="minorEastAsia" w:eastAsiaTheme="minorEastAsia"/>
                <w:szCs w:val="24"/>
                <w:lang w:val="en-US" w:eastAsia="zh-CN"/>
              </w:rPr>
              <w:t>586</w:t>
            </w:r>
            <w:r>
              <w:rPr>
                <w:rFonts w:hint="eastAsia" w:cs="宋体" w:asciiTheme="minorEastAsia" w:hAnsiTheme="minorEastAsia" w:eastAsiaTheme="minorEastAsia"/>
                <w:szCs w:val="24"/>
              </w:rPr>
              <w:t>，</w:t>
            </w:r>
            <w:r>
              <w:rPr>
                <w:rFonts w:hint="eastAsia" w:cs="宋体" w:asciiTheme="minorEastAsia" w:hAnsiTheme="minorEastAsia" w:eastAsiaTheme="minorEastAsia"/>
                <w:szCs w:val="24"/>
                <w:lang w:val="en-US" w:eastAsia="zh-CN"/>
              </w:rPr>
              <w:t>3</w:t>
            </w:r>
            <w:r>
              <w:rPr>
                <w:rFonts w:cs="宋体" w:asciiTheme="minorEastAsia" w:hAnsiTheme="minorEastAsia" w:eastAsiaTheme="minorEastAsia"/>
                <w:szCs w:val="24"/>
              </w:rPr>
              <w:t>00.00</w:t>
            </w:r>
          </w:p>
        </w:tc>
      </w:tr>
    </w:tbl>
    <w:p>
      <w:pPr>
        <w:widowControl/>
        <w:shd w:val="clear" w:color="auto" w:fill="FFFFFF"/>
        <w:spacing w:line="360" w:lineRule="auto"/>
        <w:ind w:firstLine="480" w:firstLineChars="200"/>
        <w:textAlignment w:val="baseline"/>
        <w:rPr>
          <w:rFonts w:cs="宋体" w:asciiTheme="minorEastAsia" w:hAnsiTheme="minorEastAsia" w:eastAsiaTheme="minorEastAsia"/>
          <w:szCs w:val="24"/>
        </w:rPr>
      </w:pPr>
      <w:r>
        <w:rPr>
          <w:rFonts w:cs="宋体" w:asciiTheme="minorEastAsia" w:hAnsiTheme="minorEastAsia" w:eastAsiaTheme="minorEastAsia"/>
          <w:szCs w:val="24"/>
        </w:rPr>
        <w:t>本合同包不接受联合体投标</w:t>
      </w:r>
    </w:p>
    <w:p>
      <w:pPr>
        <w:widowControl/>
        <w:shd w:val="clear" w:color="auto" w:fill="FFFFFF"/>
        <w:spacing w:line="360" w:lineRule="auto"/>
        <w:ind w:firstLine="480" w:firstLineChars="200"/>
        <w:textAlignment w:val="baseline"/>
        <w:rPr>
          <w:rFonts w:hint="eastAsia" w:hAnsi="宋体"/>
          <w:color w:val="auto"/>
        </w:rPr>
      </w:pPr>
      <w:r>
        <w:rPr>
          <w:rFonts w:cs="宋体" w:asciiTheme="minorEastAsia" w:hAnsiTheme="minorEastAsia" w:eastAsiaTheme="minorEastAsia"/>
          <w:color w:val="auto"/>
          <w:szCs w:val="24"/>
        </w:rPr>
        <w:t>合同履行期限：</w:t>
      </w:r>
      <w:r>
        <w:rPr>
          <w:rFonts w:hint="eastAsia" w:hAnsi="宋体"/>
          <w:color w:val="auto"/>
        </w:rPr>
        <w:t>自合同签订之日起</w:t>
      </w:r>
      <w:r>
        <w:rPr>
          <w:rFonts w:hint="eastAsia" w:hAnsi="宋体"/>
          <w:color w:val="auto"/>
          <w:lang w:val="en-US" w:eastAsia="zh-CN"/>
        </w:rPr>
        <w:t>20</w:t>
      </w:r>
      <w:r>
        <w:rPr>
          <w:rFonts w:hint="eastAsia" w:hAnsi="宋体"/>
          <w:color w:val="auto"/>
        </w:rPr>
        <w:t>个日历日内完成全部项目内容，并交付采购人验收合格。</w:t>
      </w:r>
    </w:p>
    <w:p>
      <w:pPr>
        <w:widowControl/>
        <w:shd w:val="clear" w:color="auto" w:fill="FFFFFF"/>
        <w:spacing w:line="360" w:lineRule="auto"/>
        <w:ind w:firstLine="480" w:firstLineChars="200"/>
        <w:textAlignment w:val="baseline"/>
        <w:rPr>
          <w:rFonts w:cs="宋体" w:asciiTheme="minorEastAsia" w:hAnsiTheme="minorEastAsia" w:eastAsiaTheme="minorEastAsia"/>
          <w:szCs w:val="24"/>
        </w:rPr>
      </w:pPr>
      <w:r>
        <w:rPr>
          <w:rFonts w:cs="宋体" w:asciiTheme="minorEastAsia" w:hAnsiTheme="minorEastAsia" w:eastAsiaTheme="minorEastAsia"/>
          <w:color w:val="auto"/>
          <w:szCs w:val="24"/>
        </w:rPr>
        <w:t>合同包</w:t>
      </w:r>
      <w:r>
        <w:rPr>
          <w:rFonts w:hint="eastAsia" w:cs="宋体" w:asciiTheme="minorEastAsia" w:hAnsiTheme="minorEastAsia" w:eastAsiaTheme="minorEastAsia"/>
          <w:color w:val="auto"/>
          <w:szCs w:val="24"/>
          <w:lang w:val="en-US" w:eastAsia="zh-CN"/>
        </w:rPr>
        <w:t>2</w:t>
      </w:r>
      <w:r>
        <w:rPr>
          <w:rFonts w:cs="宋体" w:asciiTheme="minorEastAsia" w:hAnsiTheme="minorEastAsia" w:eastAsiaTheme="minorEastAsia"/>
          <w:color w:val="auto"/>
          <w:szCs w:val="24"/>
        </w:rPr>
        <w:t>(</w:t>
      </w:r>
      <w:r>
        <w:rPr>
          <w:rFonts w:hint="eastAsia" w:cs="宋体" w:asciiTheme="minorEastAsia" w:hAnsiTheme="minorEastAsia" w:eastAsiaTheme="minorEastAsia"/>
          <w:color w:val="auto"/>
          <w:szCs w:val="24"/>
        </w:rPr>
        <w:t>中省</w:t>
      </w:r>
      <w:r>
        <w:rPr>
          <w:rFonts w:hint="eastAsia" w:cs="宋体" w:asciiTheme="minorEastAsia" w:hAnsiTheme="minorEastAsia" w:eastAsiaTheme="minorEastAsia"/>
          <w:szCs w:val="24"/>
        </w:rPr>
        <w:t>办公设备</w:t>
      </w:r>
      <w:r>
        <w:rPr>
          <w:rFonts w:cs="宋体" w:asciiTheme="minorEastAsia" w:hAnsiTheme="minorEastAsia"/>
          <w:szCs w:val="24"/>
        </w:rPr>
        <w:t>)：</w:t>
      </w:r>
    </w:p>
    <w:p>
      <w:pPr>
        <w:widowControl/>
        <w:shd w:val="clear" w:color="auto" w:fill="FFFFFF"/>
        <w:spacing w:line="360" w:lineRule="auto"/>
        <w:ind w:firstLine="480" w:firstLineChars="200"/>
        <w:textAlignment w:val="baseline"/>
        <w:rPr>
          <w:rFonts w:cs="宋体" w:asciiTheme="minorEastAsia" w:hAnsiTheme="minorEastAsia" w:eastAsiaTheme="minorEastAsia"/>
          <w:szCs w:val="24"/>
        </w:rPr>
      </w:pPr>
      <w:r>
        <w:rPr>
          <w:rFonts w:cs="宋体" w:asciiTheme="minorEastAsia" w:hAnsiTheme="minorEastAsia" w:eastAsiaTheme="minorEastAsia"/>
          <w:szCs w:val="24"/>
        </w:rPr>
        <w:t>合同包预算金额：</w:t>
      </w:r>
      <w:r>
        <w:rPr>
          <w:rFonts w:hint="eastAsia" w:cs="宋体" w:asciiTheme="minorEastAsia" w:hAnsiTheme="minorEastAsia" w:eastAsiaTheme="minorEastAsia"/>
          <w:szCs w:val="24"/>
          <w:lang w:val="en-US" w:eastAsia="zh-CN"/>
        </w:rPr>
        <w:t>1，488</w:t>
      </w:r>
      <w:r>
        <w:rPr>
          <w:rFonts w:hint="eastAsia" w:cs="宋体" w:asciiTheme="minorEastAsia" w:hAnsiTheme="minorEastAsia" w:eastAsiaTheme="minorEastAsia"/>
          <w:szCs w:val="24"/>
        </w:rPr>
        <w:t>，</w:t>
      </w:r>
      <w:r>
        <w:rPr>
          <w:rFonts w:hint="eastAsia" w:cs="宋体" w:asciiTheme="minorEastAsia" w:hAnsiTheme="minorEastAsia" w:eastAsiaTheme="minorEastAsia"/>
          <w:szCs w:val="24"/>
          <w:lang w:val="en-US" w:eastAsia="zh-CN"/>
        </w:rPr>
        <w:t>0</w:t>
      </w:r>
      <w:r>
        <w:rPr>
          <w:rFonts w:cs="宋体" w:asciiTheme="minorEastAsia" w:hAnsiTheme="minorEastAsia" w:eastAsiaTheme="minorEastAsia"/>
          <w:szCs w:val="24"/>
        </w:rPr>
        <w:t>00.00元</w:t>
      </w:r>
    </w:p>
    <w:p>
      <w:pPr>
        <w:pStyle w:val="2"/>
        <w:ind w:firstLine="480" w:firstLineChars="200"/>
        <w:rPr>
          <w:rFonts w:cs="宋体" w:asciiTheme="minorEastAsia" w:hAnsiTheme="minorEastAsia" w:eastAsiaTheme="minorEastAsia"/>
          <w:kern w:val="0"/>
          <w:sz w:val="24"/>
          <w:szCs w:val="24"/>
          <w:lang w:val="en-US" w:eastAsia="zh-CN" w:bidi="ar-SA"/>
        </w:rPr>
      </w:pPr>
      <w:r>
        <w:rPr>
          <w:rFonts w:cs="宋体" w:asciiTheme="minorEastAsia" w:hAnsiTheme="minorEastAsia" w:eastAsiaTheme="minorEastAsia"/>
          <w:kern w:val="0"/>
          <w:sz w:val="24"/>
          <w:szCs w:val="24"/>
          <w:lang w:val="en-US" w:eastAsia="zh-CN" w:bidi="ar-SA"/>
        </w:rPr>
        <w:t>合同包最高限价：</w:t>
      </w:r>
      <w:r>
        <w:rPr>
          <w:rFonts w:hint="eastAsia" w:cs="宋体" w:asciiTheme="minorEastAsia" w:hAnsiTheme="minorEastAsia" w:eastAsiaTheme="minorEastAsia"/>
          <w:kern w:val="0"/>
          <w:sz w:val="24"/>
          <w:szCs w:val="24"/>
          <w:lang w:val="en-US" w:eastAsia="zh-CN" w:bidi="ar-SA"/>
        </w:rPr>
        <w:t>1，488，0</w:t>
      </w:r>
      <w:r>
        <w:rPr>
          <w:rFonts w:cs="宋体" w:asciiTheme="minorEastAsia" w:hAnsiTheme="minorEastAsia" w:eastAsiaTheme="minorEastAsia"/>
          <w:kern w:val="0"/>
          <w:sz w:val="24"/>
          <w:szCs w:val="24"/>
          <w:lang w:val="en-US" w:eastAsia="zh-CN" w:bidi="ar-SA"/>
        </w:rPr>
        <w:t>00.00</w:t>
      </w:r>
      <w:r>
        <w:rPr>
          <w:rFonts w:hint="eastAsia" w:cs="宋体" w:asciiTheme="minorEastAsia" w:hAnsiTheme="minorEastAsia" w:eastAsiaTheme="minorEastAsia"/>
          <w:kern w:val="0"/>
          <w:sz w:val="24"/>
          <w:szCs w:val="24"/>
          <w:lang w:val="en-US" w:eastAsia="zh-CN" w:bidi="ar-SA"/>
        </w:rPr>
        <w:t>元</w:t>
      </w:r>
    </w:p>
    <w:tbl>
      <w:tblPr>
        <w:tblStyle w:val="46"/>
        <w:tblW w:w="5595" w:type="pct"/>
        <w:tblInd w:w="0" w:type="dxa"/>
        <w:tblLayout w:type="fixed"/>
        <w:tblCellMar>
          <w:top w:w="0" w:type="dxa"/>
          <w:left w:w="0" w:type="dxa"/>
          <w:bottom w:w="0" w:type="dxa"/>
          <w:right w:w="0" w:type="dxa"/>
        </w:tblCellMar>
      </w:tblPr>
      <w:tblGrid>
        <w:gridCol w:w="1012"/>
        <w:gridCol w:w="1341"/>
        <w:gridCol w:w="1337"/>
        <w:gridCol w:w="1185"/>
        <w:gridCol w:w="1932"/>
        <w:gridCol w:w="1857"/>
        <w:gridCol w:w="1756"/>
      </w:tblGrid>
      <w:tr>
        <w:tblPrEx>
          <w:tblCellMar>
            <w:top w:w="0" w:type="dxa"/>
            <w:left w:w="0" w:type="dxa"/>
            <w:bottom w:w="0" w:type="dxa"/>
            <w:right w:w="0" w:type="dxa"/>
          </w:tblCellMar>
        </w:tblPrEx>
        <w:trPr>
          <w:trHeight w:val="728" w:hRule="atLeast"/>
          <w:tblHeader/>
        </w:trPr>
        <w:tc>
          <w:tcPr>
            <w:tcW w:w="48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b/>
                <w:bCs/>
                <w:szCs w:val="24"/>
              </w:rPr>
            </w:pPr>
            <w:r>
              <w:rPr>
                <w:rFonts w:cs="宋体" w:asciiTheme="minorEastAsia" w:hAnsiTheme="minorEastAsia" w:eastAsiaTheme="minorEastAsia"/>
                <w:b/>
                <w:bCs/>
                <w:szCs w:val="24"/>
              </w:rPr>
              <w:t>品目号</w:t>
            </w:r>
          </w:p>
        </w:tc>
        <w:tc>
          <w:tcPr>
            <w:tcW w:w="64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b/>
                <w:bCs/>
                <w:szCs w:val="24"/>
              </w:rPr>
            </w:pPr>
            <w:r>
              <w:rPr>
                <w:rFonts w:cs="宋体" w:asciiTheme="minorEastAsia" w:hAnsiTheme="minorEastAsia" w:eastAsiaTheme="minorEastAsia"/>
                <w:b/>
                <w:bCs/>
                <w:szCs w:val="24"/>
              </w:rPr>
              <w:t>品目名称</w:t>
            </w:r>
          </w:p>
        </w:tc>
        <w:tc>
          <w:tcPr>
            <w:tcW w:w="64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b/>
                <w:bCs/>
                <w:szCs w:val="24"/>
              </w:rPr>
            </w:pPr>
            <w:r>
              <w:rPr>
                <w:rFonts w:cs="宋体" w:asciiTheme="minorEastAsia" w:hAnsiTheme="minorEastAsia" w:eastAsiaTheme="minorEastAsia"/>
                <w:b/>
                <w:bCs/>
                <w:szCs w:val="24"/>
              </w:rPr>
              <w:t>采购标的</w:t>
            </w:r>
          </w:p>
        </w:tc>
        <w:tc>
          <w:tcPr>
            <w:tcW w:w="56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b/>
                <w:bCs/>
                <w:szCs w:val="24"/>
              </w:rPr>
            </w:pPr>
            <w:r>
              <w:rPr>
                <w:rFonts w:cs="宋体" w:asciiTheme="minorEastAsia" w:hAnsiTheme="minorEastAsia" w:eastAsiaTheme="minorEastAsia"/>
                <w:b/>
                <w:bCs/>
                <w:szCs w:val="24"/>
              </w:rPr>
              <w:t>数量</w:t>
            </w:r>
          </w:p>
          <w:p>
            <w:pPr>
              <w:widowControl/>
              <w:spacing w:line="360" w:lineRule="auto"/>
              <w:jc w:val="center"/>
              <w:rPr>
                <w:rFonts w:cs="宋体" w:asciiTheme="minorEastAsia" w:hAnsiTheme="minorEastAsia" w:eastAsiaTheme="minorEastAsia"/>
                <w:b/>
                <w:bCs/>
                <w:szCs w:val="24"/>
              </w:rPr>
            </w:pPr>
            <w:r>
              <w:rPr>
                <w:rFonts w:cs="宋体" w:asciiTheme="minorEastAsia" w:hAnsiTheme="minorEastAsia" w:eastAsiaTheme="minorEastAsia"/>
                <w:b/>
                <w:bCs/>
                <w:szCs w:val="24"/>
              </w:rPr>
              <w:t>（单位）</w:t>
            </w:r>
          </w:p>
        </w:tc>
        <w:tc>
          <w:tcPr>
            <w:tcW w:w="92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b/>
                <w:bCs/>
                <w:szCs w:val="24"/>
              </w:rPr>
            </w:pPr>
            <w:r>
              <w:rPr>
                <w:rFonts w:cs="宋体" w:asciiTheme="minorEastAsia" w:hAnsiTheme="minorEastAsia" w:eastAsiaTheme="minorEastAsia"/>
                <w:b/>
                <w:bCs/>
                <w:szCs w:val="24"/>
              </w:rPr>
              <w:t>技术规格、参数及要求</w:t>
            </w:r>
          </w:p>
        </w:tc>
        <w:tc>
          <w:tcPr>
            <w:tcW w:w="89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b/>
                <w:bCs/>
                <w:szCs w:val="24"/>
              </w:rPr>
            </w:pPr>
            <w:r>
              <w:rPr>
                <w:rFonts w:cs="宋体" w:asciiTheme="minorEastAsia" w:hAnsiTheme="minorEastAsia" w:eastAsiaTheme="minorEastAsia"/>
                <w:b/>
                <w:bCs/>
                <w:szCs w:val="24"/>
              </w:rPr>
              <w:t>品目预算</w:t>
            </w:r>
          </w:p>
          <w:p>
            <w:pPr>
              <w:widowControl/>
              <w:spacing w:line="360" w:lineRule="auto"/>
              <w:jc w:val="center"/>
              <w:rPr>
                <w:rFonts w:cs="宋体" w:asciiTheme="minorEastAsia" w:hAnsiTheme="minorEastAsia" w:eastAsiaTheme="minorEastAsia"/>
                <w:b/>
                <w:bCs/>
                <w:szCs w:val="24"/>
              </w:rPr>
            </w:pPr>
            <w:r>
              <w:rPr>
                <w:rFonts w:cs="宋体" w:asciiTheme="minorEastAsia" w:hAnsiTheme="minorEastAsia" w:eastAsiaTheme="minorEastAsia"/>
                <w:b/>
                <w:bCs/>
                <w:szCs w:val="24"/>
              </w:rPr>
              <w:t>(元)</w:t>
            </w:r>
          </w:p>
        </w:tc>
        <w:tc>
          <w:tcPr>
            <w:tcW w:w="84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b/>
                <w:bCs/>
                <w:szCs w:val="24"/>
              </w:rPr>
            </w:pPr>
            <w:r>
              <w:rPr>
                <w:rFonts w:cs="宋体" w:asciiTheme="minorEastAsia" w:hAnsiTheme="minorEastAsia" w:eastAsiaTheme="minorEastAsia"/>
                <w:b/>
                <w:bCs/>
                <w:szCs w:val="24"/>
              </w:rPr>
              <w:t>最高限价(元)</w:t>
            </w:r>
          </w:p>
        </w:tc>
      </w:tr>
      <w:tr>
        <w:tblPrEx>
          <w:tblCellMar>
            <w:top w:w="0" w:type="dxa"/>
            <w:left w:w="0" w:type="dxa"/>
            <w:bottom w:w="0" w:type="dxa"/>
            <w:right w:w="0" w:type="dxa"/>
          </w:tblCellMar>
        </w:tblPrEx>
        <w:trPr>
          <w:trHeight w:val="480" w:hRule="atLeast"/>
        </w:trPr>
        <w:tc>
          <w:tcPr>
            <w:tcW w:w="48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szCs w:val="24"/>
              </w:rPr>
            </w:pPr>
            <w:r>
              <w:rPr>
                <w:rFonts w:hint="eastAsia" w:cs="宋体" w:asciiTheme="minorEastAsia" w:hAnsiTheme="minorEastAsia" w:eastAsiaTheme="minorEastAsia"/>
                <w:szCs w:val="24"/>
                <w:lang w:val="en-US" w:eastAsia="zh-CN"/>
              </w:rPr>
              <w:t>2</w:t>
            </w:r>
            <w:r>
              <w:rPr>
                <w:rFonts w:cs="宋体" w:asciiTheme="minorEastAsia" w:hAnsiTheme="minorEastAsia" w:eastAsiaTheme="minorEastAsia"/>
                <w:szCs w:val="24"/>
              </w:rPr>
              <w:t>-1</w:t>
            </w:r>
          </w:p>
        </w:tc>
        <w:tc>
          <w:tcPr>
            <w:tcW w:w="64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hint="eastAsia" w:cs="宋体" w:asciiTheme="minorEastAsia" w:hAnsiTheme="minorEastAsia" w:eastAsiaTheme="minorEastAsia"/>
                <w:szCs w:val="24"/>
                <w:lang w:eastAsia="zh-CN"/>
              </w:rPr>
            </w:pPr>
            <w:r>
              <w:rPr>
                <w:rFonts w:hint="eastAsia" w:cs="宋体" w:asciiTheme="minorEastAsia" w:hAnsiTheme="minorEastAsia" w:eastAsiaTheme="minorEastAsia"/>
                <w:szCs w:val="24"/>
                <w:lang w:eastAsia="zh-CN"/>
              </w:rPr>
              <w:t>警械设备</w:t>
            </w:r>
          </w:p>
        </w:tc>
        <w:tc>
          <w:tcPr>
            <w:tcW w:w="64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szCs w:val="24"/>
              </w:rPr>
            </w:pPr>
            <w:r>
              <w:rPr>
                <w:rFonts w:hint="eastAsia" w:cs="宋体" w:asciiTheme="minorEastAsia" w:hAnsiTheme="minorEastAsia" w:eastAsiaTheme="minorEastAsia"/>
                <w:szCs w:val="24"/>
              </w:rPr>
              <w:t>中省办公设备</w:t>
            </w:r>
          </w:p>
        </w:tc>
        <w:tc>
          <w:tcPr>
            <w:tcW w:w="56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szCs w:val="24"/>
              </w:rPr>
            </w:pPr>
            <w:r>
              <w:rPr>
                <w:rFonts w:cs="宋体" w:asciiTheme="minorEastAsia" w:hAnsiTheme="minorEastAsia" w:eastAsiaTheme="minorEastAsia"/>
                <w:szCs w:val="24"/>
              </w:rPr>
              <w:t>1(</w:t>
            </w:r>
            <w:r>
              <w:rPr>
                <w:rFonts w:hint="eastAsia" w:cs="宋体" w:asciiTheme="minorEastAsia" w:hAnsiTheme="minorEastAsia" w:eastAsiaTheme="minorEastAsia"/>
                <w:szCs w:val="24"/>
              </w:rPr>
              <w:t>项</w:t>
            </w:r>
            <w:r>
              <w:rPr>
                <w:rFonts w:cs="宋体" w:asciiTheme="minorEastAsia" w:hAnsiTheme="minorEastAsia" w:eastAsiaTheme="minorEastAsia"/>
                <w:szCs w:val="24"/>
              </w:rPr>
              <w:t>)</w:t>
            </w:r>
          </w:p>
        </w:tc>
        <w:tc>
          <w:tcPr>
            <w:tcW w:w="92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szCs w:val="24"/>
              </w:rPr>
            </w:pPr>
            <w:r>
              <w:rPr>
                <w:rFonts w:cs="宋体" w:asciiTheme="minorEastAsia" w:hAnsiTheme="minorEastAsia" w:eastAsiaTheme="minorEastAsia"/>
                <w:szCs w:val="24"/>
              </w:rPr>
              <w:t>详见</w:t>
            </w:r>
            <w:r>
              <w:rPr>
                <w:rFonts w:hint="eastAsia" w:cs="宋体" w:asciiTheme="minorEastAsia" w:hAnsiTheme="minorEastAsia" w:eastAsiaTheme="minorEastAsia"/>
                <w:szCs w:val="24"/>
              </w:rPr>
              <w:t>招标</w:t>
            </w:r>
            <w:r>
              <w:rPr>
                <w:rFonts w:cs="宋体" w:asciiTheme="minorEastAsia" w:hAnsiTheme="minorEastAsia" w:eastAsiaTheme="minorEastAsia"/>
                <w:szCs w:val="24"/>
              </w:rPr>
              <w:t>文件</w:t>
            </w:r>
          </w:p>
        </w:tc>
        <w:tc>
          <w:tcPr>
            <w:tcW w:w="89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szCs w:val="24"/>
              </w:rPr>
            </w:pPr>
            <w:r>
              <w:rPr>
                <w:rFonts w:hint="eastAsia" w:cs="宋体" w:asciiTheme="minorEastAsia" w:hAnsiTheme="minorEastAsia" w:eastAsiaTheme="minorEastAsia"/>
                <w:szCs w:val="24"/>
                <w:lang w:val="en-US" w:eastAsia="zh-CN"/>
              </w:rPr>
              <w:t>1，488</w:t>
            </w:r>
            <w:r>
              <w:rPr>
                <w:rFonts w:hint="eastAsia" w:cs="宋体" w:asciiTheme="minorEastAsia" w:hAnsiTheme="minorEastAsia" w:eastAsiaTheme="minorEastAsia"/>
                <w:szCs w:val="24"/>
              </w:rPr>
              <w:t>，</w:t>
            </w:r>
            <w:r>
              <w:rPr>
                <w:rFonts w:hint="eastAsia" w:cs="宋体" w:asciiTheme="minorEastAsia" w:hAnsiTheme="minorEastAsia" w:eastAsiaTheme="minorEastAsia"/>
                <w:szCs w:val="24"/>
                <w:lang w:val="en-US" w:eastAsia="zh-CN"/>
              </w:rPr>
              <w:t>0</w:t>
            </w:r>
            <w:r>
              <w:rPr>
                <w:rFonts w:cs="宋体" w:asciiTheme="minorEastAsia" w:hAnsiTheme="minorEastAsia" w:eastAsiaTheme="minorEastAsia"/>
                <w:szCs w:val="24"/>
              </w:rPr>
              <w:t>00.00</w:t>
            </w:r>
          </w:p>
        </w:tc>
        <w:tc>
          <w:tcPr>
            <w:tcW w:w="84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szCs w:val="24"/>
              </w:rPr>
            </w:pPr>
            <w:r>
              <w:rPr>
                <w:rFonts w:hint="eastAsia" w:cs="宋体" w:asciiTheme="minorEastAsia" w:hAnsiTheme="minorEastAsia" w:eastAsiaTheme="minorEastAsia"/>
                <w:szCs w:val="24"/>
                <w:lang w:val="en-US" w:eastAsia="zh-CN"/>
              </w:rPr>
              <w:t>1，488</w:t>
            </w:r>
            <w:r>
              <w:rPr>
                <w:rFonts w:hint="eastAsia" w:cs="宋体" w:asciiTheme="minorEastAsia" w:hAnsiTheme="minorEastAsia" w:eastAsiaTheme="minorEastAsia"/>
                <w:szCs w:val="24"/>
              </w:rPr>
              <w:t>，</w:t>
            </w:r>
            <w:r>
              <w:rPr>
                <w:rFonts w:hint="eastAsia" w:cs="宋体" w:asciiTheme="minorEastAsia" w:hAnsiTheme="minorEastAsia" w:eastAsiaTheme="minorEastAsia"/>
                <w:szCs w:val="24"/>
                <w:lang w:val="en-US" w:eastAsia="zh-CN"/>
              </w:rPr>
              <w:t>0</w:t>
            </w:r>
            <w:r>
              <w:rPr>
                <w:rFonts w:cs="宋体" w:asciiTheme="minorEastAsia" w:hAnsiTheme="minorEastAsia" w:eastAsiaTheme="minorEastAsia"/>
                <w:szCs w:val="24"/>
              </w:rPr>
              <w:t>00.00</w:t>
            </w:r>
          </w:p>
        </w:tc>
      </w:tr>
    </w:tbl>
    <w:p>
      <w:pPr>
        <w:widowControl/>
        <w:shd w:val="clear" w:color="auto" w:fill="FFFFFF"/>
        <w:spacing w:line="360" w:lineRule="auto"/>
        <w:ind w:firstLine="480" w:firstLineChars="200"/>
        <w:textAlignment w:val="baseline"/>
        <w:rPr>
          <w:rFonts w:cs="宋体" w:asciiTheme="minorEastAsia" w:hAnsiTheme="minorEastAsia" w:eastAsiaTheme="minorEastAsia"/>
          <w:szCs w:val="24"/>
        </w:rPr>
      </w:pPr>
      <w:r>
        <w:rPr>
          <w:rFonts w:cs="宋体" w:asciiTheme="minorEastAsia" w:hAnsiTheme="minorEastAsia" w:eastAsiaTheme="minorEastAsia"/>
          <w:szCs w:val="24"/>
        </w:rPr>
        <w:t>本合同包不接受联合体投标</w:t>
      </w:r>
    </w:p>
    <w:p>
      <w:pPr>
        <w:widowControl/>
        <w:shd w:val="clear" w:color="auto" w:fill="FFFFFF"/>
        <w:spacing w:line="360" w:lineRule="auto"/>
        <w:ind w:firstLine="480" w:firstLineChars="200"/>
        <w:textAlignment w:val="baseline"/>
        <w:rPr>
          <w:rFonts w:cs="宋体" w:asciiTheme="minorEastAsia" w:hAnsiTheme="minorEastAsia" w:eastAsiaTheme="minorEastAsia"/>
          <w:color w:val="auto"/>
          <w:kern w:val="0"/>
          <w:sz w:val="24"/>
          <w:szCs w:val="24"/>
          <w:lang w:val="en-US" w:eastAsia="zh-CN" w:bidi="ar-SA"/>
        </w:rPr>
      </w:pPr>
      <w:r>
        <w:rPr>
          <w:rFonts w:cs="宋体" w:asciiTheme="minorEastAsia" w:hAnsiTheme="minorEastAsia" w:eastAsiaTheme="minorEastAsia"/>
          <w:color w:val="auto"/>
          <w:szCs w:val="24"/>
          <w:lang w:val="en-US" w:eastAsia="zh-CN"/>
        </w:rPr>
        <w:t>合同履行期限：</w:t>
      </w:r>
      <w:r>
        <w:rPr>
          <w:rFonts w:hint="eastAsia" w:cs="宋体" w:asciiTheme="minorEastAsia" w:hAnsiTheme="minorEastAsia" w:eastAsiaTheme="minorEastAsia"/>
          <w:color w:val="auto"/>
          <w:szCs w:val="24"/>
          <w:lang w:val="en-US" w:eastAsia="zh-CN"/>
        </w:rPr>
        <w:t>自合同签订之日起20个日历日内完成全部项目内容，并交付采购人验收合格。</w:t>
      </w:r>
    </w:p>
    <w:p>
      <w:pPr>
        <w:widowControl/>
        <w:shd w:val="clear" w:color="auto" w:fill="FFFFFF"/>
        <w:spacing w:line="360" w:lineRule="auto"/>
        <w:ind w:firstLine="480" w:firstLineChars="200"/>
        <w:textAlignment w:val="baseline"/>
        <w:rPr>
          <w:rFonts w:cs="宋体" w:asciiTheme="minorEastAsia" w:hAnsiTheme="minorEastAsia" w:eastAsiaTheme="minorEastAsia"/>
          <w:szCs w:val="24"/>
        </w:rPr>
      </w:pPr>
      <w:r>
        <w:rPr>
          <w:rFonts w:cs="宋体" w:asciiTheme="minorEastAsia" w:hAnsiTheme="minorEastAsia" w:eastAsiaTheme="minorEastAsia"/>
          <w:szCs w:val="24"/>
        </w:rPr>
        <w:t>合同包</w:t>
      </w:r>
      <w:r>
        <w:rPr>
          <w:rFonts w:hint="eastAsia" w:cs="宋体" w:asciiTheme="minorEastAsia" w:hAnsiTheme="minorEastAsia" w:eastAsiaTheme="minorEastAsia"/>
          <w:szCs w:val="24"/>
          <w:lang w:val="en-US" w:eastAsia="zh-CN"/>
        </w:rPr>
        <w:t>3</w:t>
      </w:r>
      <w:r>
        <w:rPr>
          <w:rFonts w:cs="宋体" w:asciiTheme="minorEastAsia" w:hAnsiTheme="minorEastAsia" w:eastAsiaTheme="minorEastAsia"/>
          <w:szCs w:val="24"/>
        </w:rPr>
        <w:t>(</w:t>
      </w:r>
      <w:r>
        <w:rPr>
          <w:rFonts w:hint="eastAsia" w:cs="宋体" w:asciiTheme="minorEastAsia" w:hAnsiTheme="minorEastAsia" w:eastAsiaTheme="minorEastAsia"/>
          <w:szCs w:val="24"/>
        </w:rPr>
        <w:t>警用装备</w:t>
      </w:r>
      <w:r>
        <w:rPr>
          <w:rFonts w:cs="宋体" w:asciiTheme="minorEastAsia" w:hAnsiTheme="minorEastAsia"/>
          <w:szCs w:val="24"/>
        </w:rPr>
        <w:t>)：</w:t>
      </w:r>
    </w:p>
    <w:p>
      <w:pPr>
        <w:widowControl/>
        <w:shd w:val="clear" w:color="auto" w:fill="FFFFFF"/>
        <w:spacing w:line="360" w:lineRule="auto"/>
        <w:ind w:firstLine="480" w:firstLineChars="200"/>
        <w:textAlignment w:val="baseline"/>
        <w:rPr>
          <w:rFonts w:cs="宋体" w:asciiTheme="minorEastAsia" w:hAnsiTheme="minorEastAsia" w:eastAsiaTheme="minorEastAsia"/>
          <w:szCs w:val="24"/>
        </w:rPr>
      </w:pPr>
      <w:r>
        <w:rPr>
          <w:rFonts w:cs="宋体" w:asciiTheme="minorEastAsia" w:hAnsiTheme="minorEastAsia" w:eastAsiaTheme="minorEastAsia"/>
          <w:szCs w:val="24"/>
        </w:rPr>
        <w:t>合同包预算金额：</w:t>
      </w:r>
      <w:r>
        <w:rPr>
          <w:rFonts w:hint="eastAsia" w:cs="宋体" w:asciiTheme="minorEastAsia" w:hAnsiTheme="minorEastAsia" w:eastAsiaTheme="minorEastAsia"/>
          <w:szCs w:val="24"/>
          <w:lang w:val="en-US" w:eastAsia="zh-CN"/>
        </w:rPr>
        <w:t>797</w:t>
      </w:r>
      <w:r>
        <w:rPr>
          <w:rFonts w:hint="eastAsia" w:cs="宋体" w:asciiTheme="minorEastAsia" w:hAnsiTheme="minorEastAsia" w:eastAsiaTheme="minorEastAsia"/>
          <w:szCs w:val="24"/>
        </w:rPr>
        <w:t>，</w:t>
      </w:r>
      <w:r>
        <w:rPr>
          <w:rFonts w:hint="eastAsia" w:cs="宋体" w:asciiTheme="minorEastAsia" w:hAnsiTheme="minorEastAsia" w:eastAsiaTheme="minorEastAsia"/>
          <w:szCs w:val="24"/>
          <w:lang w:val="en-US" w:eastAsia="zh-CN"/>
        </w:rPr>
        <w:t>7</w:t>
      </w:r>
      <w:r>
        <w:rPr>
          <w:rFonts w:cs="宋体" w:asciiTheme="minorEastAsia" w:hAnsiTheme="minorEastAsia" w:eastAsiaTheme="minorEastAsia"/>
          <w:szCs w:val="24"/>
        </w:rPr>
        <w:t>00.00元</w:t>
      </w:r>
    </w:p>
    <w:p>
      <w:pPr>
        <w:pStyle w:val="2"/>
        <w:ind w:firstLine="480" w:firstLineChars="200"/>
        <w:rPr>
          <w:rFonts w:cs="宋体" w:asciiTheme="minorEastAsia" w:hAnsiTheme="minorEastAsia" w:eastAsiaTheme="minorEastAsia"/>
          <w:kern w:val="0"/>
          <w:sz w:val="24"/>
          <w:szCs w:val="24"/>
          <w:lang w:val="en-US" w:eastAsia="zh-CN" w:bidi="ar-SA"/>
        </w:rPr>
      </w:pPr>
      <w:r>
        <w:rPr>
          <w:rFonts w:cs="宋体" w:asciiTheme="minorEastAsia" w:hAnsiTheme="minorEastAsia" w:eastAsiaTheme="minorEastAsia"/>
          <w:kern w:val="0"/>
          <w:sz w:val="24"/>
          <w:szCs w:val="24"/>
          <w:lang w:val="en-US" w:eastAsia="zh-CN" w:bidi="ar-SA"/>
        </w:rPr>
        <w:t>合同包最高限价：</w:t>
      </w:r>
      <w:r>
        <w:rPr>
          <w:rFonts w:hint="eastAsia" w:cs="宋体" w:asciiTheme="minorEastAsia" w:hAnsiTheme="minorEastAsia" w:eastAsiaTheme="minorEastAsia"/>
          <w:kern w:val="0"/>
          <w:sz w:val="24"/>
          <w:szCs w:val="24"/>
          <w:lang w:val="en-US" w:eastAsia="zh-CN" w:bidi="ar-SA"/>
        </w:rPr>
        <w:t>797，7</w:t>
      </w:r>
      <w:r>
        <w:rPr>
          <w:rFonts w:cs="宋体" w:asciiTheme="minorEastAsia" w:hAnsiTheme="minorEastAsia" w:eastAsiaTheme="minorEastAsia"/>
          <w:kern w:val="0"/>
          <w:sz w:val="24"/>
          <w:szCs w:val="24"/>
          <w:lang w:val="en-US" w:eastAsia="zh-CN" w:bidi="ar-SA"/>
        </w:rPr>
        <w:t>00.00</w:t>
      </w:r>
      <w:r>
        <w:rPr>
          <w:rFonts w:hint="eastAsia" w:cs="宋体" w:asciiTheme="minorEastAsia" w:hAnsiTheme="minorEastAsia" w:eastAsiaTheme="minorEastAsia"/>
          <w:kern w:val="0"/>
          <w:sz w:val="24"/>
          <w:szCs w:val="24"/>
          <w:lang w:val="en-US" w:eastAsia="zh-CN" w:bidi="ar-SA"/>
        </w:rPr>
        <w:t>元</w:t>
      </w:r>
    </w:p>
    <w:tbl>
      <w:tblPr>
        <w:tblStyle w:val="46"/>
        <w:tblW w:w="5595" w:type="pct"/>
        <w:tblInd w:w="0" w:type="dxa"/>
        <w:tblLayout w:type="fixed"/>
        <w:tblCellMar>
          <w:top w:w="0" w:type="dxa"/>
          <w:left w:w="0" w:type="dxa"/>
          <w:bottom w:w="0" w:type="dxa"/>
          <w:right w:w="0" w:type="dxa"/>
        </w:tblCellMar>
      </w:tblPr>
      <w:tblGrid>
        <w:gridCol w:w="1012"/>
        <w:gridCol w:w="1341"/>
        <w:gridCol w:w="1337"/>
        <w:gridCol w:w="1185"/>
        <w:gridCol w:w="1932"/>
        <w:gridCol w:w="1857"/>
        <w:gridCol w:w="1756"/>
      </w:tblGrid>
      <w:tr>
        <w:tblPrEx>
          <w:tblCellMar>
            <w:top w:w="0" w:type="dxa"/>
            <w:left w:w="0" w:type="dxa"/>
            <w:bottom w:w="0" w:type="dxa"/>
            <w:right w:w="0" w:type="dxa"/>
          </w:tblCellMar>
        </w:tblPrEx>
        <w:trPr>
          <w:trHeight w:val="728" w:hRule="atLeast"/>
          <w:tblHeader/>
        </w:trPr>
        <w:tc>
          <w:tcPr>
            <w:tcW w:w="48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b/>
                <w:bCs/>
                <w:szCs w:val="24"/>
              </w:rPr>
            </w:pPr>
            <w:r>
              <w:rPr>
                <w:rFonts w:cs="宋体" w:asciiTheme="minorEastAsia" w:hAnsiTheme="minorEastAsia" w:eastAsiaTheme="minorEastAsia"/>
                <w:b/>
                <w:bCs/>
                <w:szCs w:val="24"/>
              </w:rPr>
              <w:t>品目号</w:t>
            </w:r>
          </w:p>
        </w:tc>
        <w:tc>
          <w:tcPr>
            <w:tcW w:w="64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b/>
                <w:bCs/>
                <w:szCs w:val="24"/>
              </w:rPr>
            </w:pPr>
            <w:r>
              <w:rPr>
                <w:rFonts w:cs="宋体" w:asciiTheme="minorEastAsia" w:hAnsiTheme="minorEastAsia" w:eastAsiaTheme="minorEastAsia"/>
                <w:b/>
                <w:bCs/>
                <w:szCs w:val="24"/>
              </w:rPr>
              <w:t>品目名称</w:t>
            </w:r>
          </w:p>
        </w:tc>
        <w:tc>
          <w:tcPr>
            <w:tcW w:w="64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b/>
                <w:bCs/>
                <w:szCs w:val="24"/>
              </w:rPr>
            </w:pPr>
            <w:r>
              <w:rPr>
                <w:rFonts w:cs="宋体" w:asciiTheme="minorEastAsia" w:hAnsiTheme="minorEastAsia" w:eastAsiaTheme="minorEastAsia"/>
                <w:b/>
                <w:bCs/>
                <w:szCs w:val="24"/>
              </w:rPr>
              <w:t>采购标的</w:t>
            </w:r>
          </w:p>
        </w:tc>
        <w:tc>
          <w:tcPr>
            <w:tcW w:w="56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b/>
                <w:bCs/>
                <w:szCs w:val="24"/>
              </w:rPr>
            </w:pPr>
            <w:r>
              <w:rPr>
                <w:rFonts w:cs="宋体" w:asciiTheme="minorEastAsia" w:hAnsiTheme="minorEastAsia" w:eastAsiaTheme="minorEastAsia"/>
                <w:b/>
                <w:bCs/>
                <w:szCs w:val="24"/>
              </w:rPr>
              <w:t>数量</w:t>
            </w:r>
          </w:p>
          <w:p>
            <w:pPr>
              <w:widowControl/>
              <w:spacing w:line="360" w:lineRule="auto"/>
              <w:jc w:val="center"/>
              <w:rPr>
                <w:rFonts w:cs="宋体" w:asciiTheme="minorEastAsia" w:hAnsiTheme="minorEastAsia" w:eastAsiaTheme="minorEastAsia"/>
                <w:b/>
                <w:bCs/>
                <w:szCs w:val="24"/>
              </w:rPr>
            </w:pPr>
            <w:r>
              <w:rPr>
                <w:rFonts w:cs="宋体" w:asciiTheme="minorEastAsia" w:hAnsiTheme="minorEastAsia" w:eastAsiaTheme="minorEastAsia"/>
                <w:b/>
                <w:bCs/>
                <w:szCs w:val="24"/>
              </w:rPr>
              <w:t>（单位）</w:t>
            </w:r>
          </w:p>
        </w:tc>
        <w:tc>
          <w:tcPr>
            <w:tcW w:w="92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b/>
                <w:bCs/>
                <w:szCs w:val="24"/>
              </w:rPr>
            </w:pPr>
            <w:r>
              <w:rPr>
                <w:rFonts w:cs="宋体" w:asciiTheme="minorEastAsia" w:hAnsiTheme="minorEastAsia" w:eastAsiaTheme="minorEastAsia"/>
                <w:b/>
                <w:bCs/>
                <w:szCs w:val="24"/>
              </w:rPr>
              <w:t>技术规格、参数及要求</w:t>
            </w:r>
          </w:p>
        </w:tc>
        <w:tc>
          <w:tcPr>
            <w:tcW w:w="89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b/>
                <w:bCs/>
                <w:szCs w:val="24"/>
              </w:rPr>
            </w:pPr>
            <w:r>
              <w:rPr>
                <w:rFonts w:cs="宋体" w:asciiTheme="minorEastAsia" w:hAnsiTheme="minorEastAsia" w:eastAsiaTheme="minorEastAsia"/>
                <w:b/>
                <w:bCs/>
                <w:szCs w:val="24"/>
              </w:rPr>
              <w:t>品目预算</w:t>
            </w:r>
          </w:p>
          <w:p>
            <w:pPr>
              <w:widowControl/>
              <w:spacing w:line="360" w:lineRule="auto"/>
              <w:jc w:val="center"/>
              <w:rPr>
                <w:rFonts w:cs="宋体" w:asciiTheme="minorEastAsia" w:hAnsiTheme="minorEastAsia" w:eastAsiaTheme="minorEastAsia"/>
                <w:b/>
                <w:bCs/>
                <w:szCs w:val="24"/>
              </w:rPr>
            </w:pPr>
            <w:r>
              <w:rPr>
                <w:rFonts w:cs="宋体" w:asciiTheme="minorEastAsia" w:hAnsiTheme="minorEastAsia" w:eastAsiaTheme="minorEastAsia"/>
                <w:b/>
                <w:bCs/>
                <w:szCs w:val="24"/>
              </w:rPr>
              <w:t>(元)</w:t>
            </w:r>
          </w:p>
        </w:tc>
        <w:tc>
          <w:tcPr>
            <w:tcW w:w="84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b/>
                <w:bCs/>
                <w:szCs w:val="24"/>
              </w:rPr>
            </w:pPr>
            <w:r>
              <w:rPr>
                <w:rFonts w:cs="宋体" w:asciiTheme="minorEastAsia" w:hAnsiTheme="minorEastAsia" w:eastAsiaTheme="minorEastAsia"/>
                <w:b/>
                <w:bCs/>
                <w:szCs w:val="24"/>
              </w:rPr>
              <w:t>最高限价(元)</w:t>
            </w:r>
          </w:p>
        </w:tc>
      </w:tr>
      <w:tr>
        <w:tblPrEx>
          <w:tblCellMar>
            <w:top w:w="0" w:type="dxa"/>
            <w:left w:w="0" w:type="dxa"/>
            <w:bottom w:w="0" w:type="dxa"/>
            <w:right w:w="0" w:type="dxa"/>
          </w:tblCellMar>
        </w:tblPrEx>
        <w:trPr>
          <w:trHeight w:val="480" w:hRule="atLeast"/>
        </w:trPr>
        <w:tc>
          <w:tcPr>
            <w:tcW w:w="48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szCs w:val="24"/>
              </w:rPr>
            </w:pPr>
            <w:r>
              <w:rPr>
                <w:rFonts w:hint="eastAsia" w:cs="宋体" w:asciiTheme="minorEastAsia" w:hAnsiTheme="minorEastAsia" w:eastAsiaTheme="minorEastAsia"/>
                <w:szCs w:val="24"/>
                <w:lang w:val="en-US" w:eastAsia="zh-CN"/>
              </w:rPr>
              <w:t>3</w:t>
            </w:r>
            <w:r>
              <w:rPr>
                <w:rFonts w:cs="宋体" w:asciiTheme="minorEastAsia" w:hAnsiTheme="minorEastAsia" w:eastAsiaTheme="minorEastAsia"/>
                <w:szCs w:val="24"/>
              </w:rPr>
              <w:t>-1</w:t>
            </w:r>
          </w:p>
        </w:tc>
        <w:tc>
          <w:tcPr>
            <w:tcW w:w="643"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hint="eastAsia" w:cs="宋体" w:asciiTheme="minorEastAsia" w:hAnsiTheme="minorEastAsia" w:eastAsiaTheme="minorEastAsia"/>
                <w:szCs w:val="24"/>
                <w:lang w:eastAsia="zh-CN"/>
              </w:rPr>
            </w:pPr>
            <w:r>
              <w:rPr>
                <w:rFonts w:hint="eastAsia" w:cs="宋体" w:asciiTheme="minorEastAsia" w:hAnsiTheme="minorEastAsia" w:eastAsiaTheme="minorEastAsia"/>
                <w:szCs w:val="24"/>
                <w:lang w:eastAsia="zh-CN"/>
              </w:rPr>
              <w:t>警械设备</w:t>
            </w:r>
          </w:p>
        </w:tc>
        <w:tc>
          <w:tcPr>
            <w:tcW w:w="64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szCs w:val="24"/>
              </w:rPr>
            </w:pPr>
            <w:r>
              <w:rPr>
                <w:rFonts w:hint="eastAsia" w:cs="宋体" w:asciiTheme="minorEastAsia" w:hAnsiTheme="minorEastAsia" w:eastAsiaTheme="minorEastAsia"/>
                <w:szCs w:val="24"/>
              </w:rPr>
              <w:t>警用装备</w:t>
            </w:r>
          </w:p>
        </w:tc>
        <w:tc>
          <w:tcPr>
            <w:tcW w:w="56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szCs w:val="24"/>
              </w:rPr>
            </w:pPr>
            <w:r>
              <w:rPr>
                <w:rFonts w:cs="宋体" w:asciiTheme="minorEastAsia" w:hAnsiTheme="minorEastAsia" w:eastAsiaTheme="minorEastAsia"/>
                <w:szCs w:val="24"/>
              </w:rPr>
              <w:t>1(</w:t>
            </w:r>
            <w:r>
              <w:rPr>
                <w:rFonts w:hint="eastAsia" w:cs="宋体" w:asciiTheme="minorEastAsia" w:hAnsiTheme="minorEastAsia" w:eastAsiaTheme="minorEastAsia"/>
                <w:szCs w:val="24"/>
              </w:rPr>
              <w:t>项</w:t>
            </w:r>
            <w:r>
              <w:rPr>
                <w:rFonts w:cs="宋体" w:asciiTheme="minorEastAsia" w:hAnsiTheme="minorEastAsia" w:eastAsiaTheme="minorEastAsia"/>
                <w:szCs w:val="24"/>
              </w:rPr>
              <w:t>)</w:t>
            </w:r>
          </w:p>
        </w:tc>
        <w:tc>
          <w:tcPr>
            <w:tcW w:w="92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szCs w:val="24"/>
              </w:rPr>
            </w:pPr>
            <w:r>
              <w:rPr>
                <w:rFonts w:cs="宋体" w:asciiTheme="minorEastAsia" w:hAnsiTheme="minorEastAsia" w:eastAsiaTheme="minorEastAsia"/>
                <w:szCs w:val="24"/>
              </w:rPr>
              <w:t>详见</w:t>
            </w:r>
            <w:r>
              <w:rPr>
                <w:rFonts w:hint="eastAsia" w:cs="宋体" w:asciiTheme="minorEastAsia" w:hAnsiTheme="minorEastAsia" w:eastAsiaTheme="minorEastAsia"/>
                <w:szCs w:val="24"/>
              </w:rPr>
              <w:t>招标</w:t>
            </w:r>
            <w:r>
              <w:rPr>
                <w:rFonts w:cs="宋体" w:asciiTheme="minorEastAsia" w:hAnsiTheme="minorEastAsia" w:eastAsiaTheme="minorEastAsia"/>
                <w:szCs w:val="24"/>
              </w:rPr>
              <w:t>文件</w:t>
            </w:r>
          </w:p>
        </w:tc>
        <w:tc>
          <w:tcPr>
            <w:tcW w:w="89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szCs w:val="24"/>
              </w:rPr>
            </w:pPr>
            <w:r>
              <w:rPr>
                <w:rFonts w:hint="eastAsia" w:cs="宋体" w:asciiTheme="minorEastAsia" w:hAnsiTheme="minorEastAsia" w:eastAsiaTheme="minorEastAsia"/>
                <w:szCs w:val="24"/>
                <w:lang w:val="en-US" w:eastAsia="zh-CN"/>
              </w:rPr>
              <w:t>797</w:t>
            </w:r>
            <w:r>
              <w:rPr>
                <w:rFonts w:hint="eastAsia" w:cs="宋体" w:asciiTheme="minorEastAsia" w:hAnsiTheme="minorEastAsia" w:eastAsiaTheme="minorEastAsia"/>
                <w:szCs w:val="24"/>
              </w:rPr>
              <w:t>，</w:t>
            </w:r>
            <w:r>
              <w:rPr>
                <w:rFonts w:hint="eastAsia" w:cs="宋体" w:asciiTheme="minorEastAsia" w:hAnsiTheme="minorEastAsia" w:eastAsiaTheme="minorEastAsia"/>
                <w:szCs w:val="24"/>
                <w:lang w:val="en-US" w:eastAsia="zh-CN"/>
              </w:rPr>
              <w:t>7</w:t>
            </w:r>
            <w:r>
              <w:rPr>
                <w:rFonts w:cs="宋体" w:asciiTheme="minorEastAsia" w:hAnsiTheme="minorEastAsia" w:eastAsiaTheme="minorEastAsia"/>
                <w:szCs w:val="24"/>
              </w:rPr>
              <w:t>00.00</w:t>
            </w:r>
          </w:p>
        </w:tc>
        <w:tc>
          <w:tcPr>
            <w:tcW w:w="84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widowControl/>
              <w:spacing w:line="360" w:lineRule="auto"/>
              <w:jc w:val="center"/>
              <w:rPr>
                <w:rFonts w:cs="宋体" w:asciiTheme="minorEastAsia" w:hAnsiTheme="minorEastAsia" w:eastAsiaTheme="minorEastAsia"/>
                <w:szCs w:val="24"/>
              </w:rPr>
            </w:pPr>
            <w:r>
              <w:rPr>
                <w:rFonts w:hint="eastAsia" w:cs="宋体" w:asciiTheme="minorEastAsia" w:hAnsiTheme="minorEastAsia" w:eastAsiaTheme="minorEastAsia"/>
                <w:szCs w:val="24"/>
              </w:rPr>
              <w:t>797，700.00</w:t>
            </w:r>
          </w:p>
        </w:tc>
      </w:tr>
    </w:tbl>
    <w:p>
      <w:pPr>
        <w:widowControl/>
        <w:shd w:val="clear" w:color="auto" w:fill="FFFFFF"/>
        <w:spacing w:line="360" w:lineRule="auto"/>
        <w:ind w:firstLine="480" w:firstLineChars="200"/>
        <w:textAlignment w:val="baseline"/>
        <w:rPr>
          <w:rFonts w:cs="宋体" w:asciiTheme="minorEastAsia" w:hAnsiTheme="minorEastAsia" w:eastAsiaTheme="minorEastAsia"/>
          <w:szCs w:val="24"/>
        </w:rPr>
      </w:pPr>
      <w:r>
        <w:rPr>
          <w:rFonts w:cs="宋体" w:asciiTheme="minorEastAsia" w:hAnsiTheme="minorEastAsia" w:eastAsiaTheme="minorEastAsia"/>
          <w:szCs w:val="24"/>
        </w:rPr>
        <w:t>本合同包不接受联合体投标</w:t>
      </w:r>
    </w:p>
    <w:p>
      <w:pPr>
        <w:widowControl/>
        <w:shd w:val="clear" w:color="auto" w:fill="FFFFFF"/>
        <w:spacing w:line="520" w:lineRule="exact"/>
        <w:ind w:firstLine="480" w:firstLineChars="200"/>
        <w:textAlignment w:val="baseline"/>
        <w:rPr>
          <w:rFonts w:cs="宋体" w:asciiTheme="minorEastAsia" w:hAnsiTheme="minorEastAsia" w:eastAsiaTheme="minorEastAsia"/>
          <w:b/>
          <w:bCs/>
          <w:color w:val="auto"/>
          <w:szCs w:val="24"/>
        </w:rPr>
      </w:pPr>
      <w:r>
        <w:rPr>
          <w:rFonts w:cs="宋体" w:asciiTheme="minorEastAsia" w:hAnsiTheme="minorEastAsia" w:eastAsiaTheme="minorEastAsia"/>
          <w:color w:val="auto"/>
          <w:szCs w:val="24"/>
          <w:lang w:val="en-US" w:eastAsia="zh-CN"/>
        </w:rPr>
        <w:t>合同履行期限：</w:t>
      </w:r>
      <w:r>
        <w:rPr>
          <w:rFonts w:hint="eastAsia" w:cs="宋体" w:asciiTheme="minorEastAsia" w:hAnsiTheme="minorEastAsia" w:eastAsiaTheme="minorEastAsia"/>
          <w:color w:val="auto"/>
          <w:szCs w:val="24"/>
          <w:lang w:val="en-US" w:eastAsia="zh-CN"/>
        </w:rPr>
        <w:t>自合同签订之日起20个日历日内完成全部项目内容，并交付采购人验收合格。</w:t>
      </w:r>
    </w:p>
    <w:p>
      <w:pPr>
        <w:widowControl/>
        <w:shd w:val="clear" w:color="auto" w:fill="FFFFFF"/>
        <w:spacing w:line="520" w:lineRule="exact"/>
        <w:textAlignment w:val="baseline"/>
        <w:rPr>
          <w:rFonts w:cs="宋体" w:asciiTheme="minorEastAsia" w:hAnsiTheme="minorEastAsia" w:eastAsiaTheme="minorEastAsia"/>
          <w:szCs w:val="24"/>
        </w:rPr>
      </w:pPr>
      <w:r>
        <w:rPr>
          <w:rFonts w:cs="宋体" w:asciiTheme="minorEastAsia" w:hAnsiTheme="minorEastAsia" w:eastAsiaTheme="minorEastAsia"/>
          <w:b/>
          <w:bCs/>
          <w:color w:val="auto"/>
          <w:szCs w:val="24"/>
        </w:rPr>
        <w:t>二、申请人的资格</w:t>
      </w:r>
      <w:r>
        <w:rPr>
          <w:rFonts w:cs="宋体" w:asciiTheme="minorEastAsia" w:hAnsiTheme="minorEastAsia" w:eastAsiaTheme="minorEastAsia"/>
          <w:b/>
          <w:bCs/>
          <w:szCs w:val="24"/>
        </w:rPr>
        <w:t>要求：</w:t>
      </w:r>
    </w:p>
    <w:p>
      <w:pPr>
        <w:widowControl/>
        <w:shd w:val="clear" w:color="auto" w:fill="FFFFFF"/>
        <w:spacing w:line="520" w:lineRule="exact"/>
        <w:ind w:firstLine="480" w:firstLineChars="200"/>
        <w:textAlignment w:val="baseline"/>
        <w:rPr>
          <w:rFonts w:cs="宋体" w:asciiTheme="minorEastAsia" w:hAnsiTheme="minorEastAsia" w:eastAsiaTheme="minorEastAsia"/>
          <w:szCs w:val="24"/>
        </w:rPr>
      </w:pPr>
      <w:r>
        <w:rPr>
          <w:rFonts w:cs="宋体" w:asciiTheme="minorEastAsia" w:hAnsiTheme="minorEastAsia" w:eastAsiaTheme="minorEastAsia"/>
          <w:szCs w:val="24"/>
        </w:rPr>
        <w:t>1.满足《中华人民共和国政府</w:t>
      </w:r>
      <w:r>
        <w:rPr>
          <w:rFonts w:hint="eastAsia" w:cs="宋体" w:asciiTheme="minorEastAsia" w:hAnsiTheme="minorEastAsia" w:eastAsiaTheme="minorEastAsia"/>
          <w:szCs w:val="24"/>
        </w:rPr>
        <w:t>采</w:t>
      </w:r>
      <w:r>
        <w:rPr>
          <w:rFonts w:cs="宋体" w:asciiTheme="minorEastAsia" w:hAnsiTheme="minorEastAsia" w:eastAsiaTheme="minorEastAsia"/>
          <w:szCs w:val="24"/>
        </w:rPr>
        <w:t>购法》第二十二条规定</w:t>
      </w:r>
      <w:r>
        <w:rPr>
          <w:rFonts w:hint="eastAsia" w:cs="宋体" w:asciiTheme="minorEastAsia" w:hAnsiTheme="minorEastAsia" w:eastAsiaTheme="minorEastAsia"/>
          <w:szCs w:val="24"/>
        </w:rPr>
        <w:t>；</w:t>
      </w:r>
    </w:p>
    <w:p>
      <w:pPr>
        <w:widowControl/>
        <w:shd w:val="clear" w:color="auto" w:fill="FFFFFF"/>
        <w:spacing w:line="520" w:lineRule="exact"/>
        <w:ind w:firstLine="480" w:firstLineChars="200"/>
        <w:textAlignment w:val="baseline"/>
        <w:rPr>
          <w:rFonts w:cs="宋体" w:asciiTheme="minorEastAsia" w:hAnsiTheme="minorEastAsia" w:eastAsiaTheme="minorEastAsia"/>
          <w:szCs w:val="24"/>
        </w:rPr>
      </w:pPr>
      <w:r>
        <w:rPr>
          <w:rFonts w:cs="宋体" w:asciiTheme="minorEastAsia" w:hAnsiTheme="minorEastAsia" w:eastAsiaTheme="minorEastAsia"/>
          <w:szCs w:val="24"/>
        </w:rPr>
        <w:t>2.落实政府采购政策需满足的资格要求：</w:t>
      </w:r>
    </w:p>
    <w:p>
      <w:pPr>
        <w:widowControl/>
        <w:shd w:val="clear" w:color="auto" w:fill="FFFFFF"/>
        <w:spacing w:line="520" w:lineRule="exact"/>
        <w:ind w:firstLine="480" w:firstLineChars="200"/>
        <w:textAlignment w:val="baseline"/>
        <w:rPr>
          <w:rFonts w:hAnsi="宋体" w:cs="宋体"/>
          <w:szCs w:val="24"/>
        </w:rPr>
      </w:pPr>
      <w:r>
        <w:rPr>
          <w:rFonts w:hint="eastAsia" w:hAnsi="宋体" w:cs="宋体"/>
          <w:szCs w:val="24"/>
        </w:rPr>
        <w:t>（1）《政府采购促进中小企业发展管理办法》（财库〔2020〕46号）；</w:t>
      </w:r>
    </w:p>
    <w:p>
      <w:pPr>
        <w:widowControl/>
        <w:shd w:val="clear" w:color="auto" w:fill="FFFFFF"/>
        <w:spacing w:line="520" w:lineRule="exact"/>
        <w:ind w:firstLine="480" w:firstLineChars="200"/>
        <w:textAlignment w:val="baseline"/>
        <w:rPr>
          <w:rFonts w:hAnsi="宋体" w:cs="宋体"/>
          <w:szCs w:val="24"/>
        </w:rPr>
      </w:pPr>
      <w:r>
        <w:rPr>
          <w:rFonts w:hint="eastAsia" w:hAnsi="宋体" w:cs="宋体"/>
          <w:szCs w:val="24"/>
        </w:rPr>
        <w:t>（2）《财政部司法部关于政府采购支持监狱企业发展有关问题的通知》（财库〔2014〕68号）；</w:t>
      </w:r>
    </w:p>
    <w:p>
      <w:pPr>
        <w:widowControl/>
        <w:shd w:val="clear" w:color="auto" w:fill="FFFFFF"/>
        <w:spacing w:line="520" w:lineRule="exact"/>
        <w:ind w:firstLine="480" w:firstLineChars="200"/>
        <w:textAlignment w:val="baseline"/>
        <w:rPr>
          <w:rFonts w:hAnsi="宋体" w:cs="宋体"/>
          <w:szCs w:val="24"/>
        </w:rPr>
      </w:pPr>
      <w:r>
        <w:rPr>
          <w:rFonts w:hint="eastAsia" w:hAnsi="宋体" w:cs="宋体"/>
          <w:szCs w:val="24"/>
        </w:rPr>
        <w:t>（3）《国务院办公厅关于建立政府强制采购节能产品制度的通知》（国发办〔2007〕51号）；</w:t>
      </w:r>
    </w:p>
    <w:p>
      <w:pPr>
        <w:widowControl/>
        <w:shd w:val="clear" w:color="auto" w:fill="FFFFFF"/>
        <w:spacing w:line="520" w:lineRule="exact"/>
        <w:ind w:firstLine="480" w:firstLineChars="200"/>
        <w:textAlignment w:val="baseline"/>
        <w:rPr>
          <w:rFonts w:hAnsi="宋体" w:cs="宋体"/>
          <w:szCs w:val="24"/>
        </w:rPr>
      </w:pPr>
      <w:r>
        <w:rPr>
          <w:rFonts w:hint="eastAsia" w:hAnsi="宋体" w:cs="宋体"/>
          <w:szCs w:val="24"/>
        </w:rPr>
        <w:t>（4）《节能产品政府采购实施意见》（财库〔2004〕185号）；</w:t>
      </w:r>
    </w:p>
    <w:p>
      <w:pPr>
        <w:widowControl/>
        <w:shd w:val="clear" w:color="auto" w:fill="FFFFFF"/>
        <w:spacing w:line="520" w:lineRule="exact"/>
        <w:ind w:firstLine="480" w:firstLineChars="200"/>
        <w:textAlignment w:val="baseline"/>
        <w:rPr>
          <w:rFonts w:hAnsi="宋体" w:cs="宋体"/>
          <w:szCs w:val="24"/>
        </w:rPr>
      </w:pPr>
      <w:r>
        <w:rPr>
          <w:rFonts w:hint="eastAsia" w:hAnsi="宋体" w:cs="宋体"/>
          <w:szCs w:val="24"/>
        </w:rPr>
        <w:t>（5）《环境标志产品政府采购实施的意见》（财库〔2006〕90号）；</w:t>
      </w:r>
    </w:p>
    <w:p>
      <w:pPr>
        <w:widowControl/>
        <w:shd w:val="clear" w:color="auto" w:fill="FFFFFF"/>
        <w:spacing w:line="520" w:lineRule="exact"/>
        <w:ind w:firstLine="480" w:firstLineChars="200"/>
        <w:textAlignment w:val="baseline"/>
        <w:rPr>
          <w:rFonts w:hAnsi="宋体" w:cs="宋体"/>
          <w:szCs w:val="24"/>
        </w:rPr>
      </w:pPr>
      <w:r>
        <w:rPr>
          <w:rFonts w:hint="eastAsia" w:hAnsi="宋体" w:cs="宋体"/>
          <w:szCs w:val="24"/>
        </w:rPr>
        <w:t>（6）《三部门联合发布关于促进残疾人就业政府采购政策的通知》（财库〔2017〕141号）；</w:t>
      </w:r>
    </w:p>
    <w:p>
      <w:pPr>
        <w:widowControl/>
        <w:shd w:val="clear" w:color="auto" w:fill="FFFFFF"/>
        <w:spacing w:line="520" w:lineRule="exact"/>
        <w:ind w:firstLine="480" w:firstLineChars="200"/>
        <w:textAlignment w:val="baseline"/>
        <w:rPr>
          <w:rFonts w:hAnsi="宋体" w:cs="宋体"/>
          <w:szCs w:val="24"/>
        </w:rPr>
      </w:pPr>
      <w:r>
        <w:rPr>
          <w:rFonts w:hint="eastAsia" w:hAnsi="宋体" w:cs="宋体"/>
          <w:szCs w:val="24"/>
        </w:rPr>
        <w:t>（7）《财政部发展改革委生态环境部市场监管总局关于调整优化节能产品、环境标志产品政府采购执行机制的通知》（财库〔2019〕9号）；</w:t>
      </w:r>
    </w:p>
    <w:p>
      <w:pPr>
        <w:widowControl/>
        <w:shd w:val="clear" w:color="auto" w:fill="FFFFFF"/>
        <w:spacing w:line="520" w:lineRule="exact"/>
        <w:ind w:firstLine="480" w:firstLineChars="200"/>
        <w:textAlignment w:val="baseline"/>
        <w:rPr>
          <w:rFonts w:hAnsi="宋体" w:cs="宋体"/>
          <w:szCs w:val="24"/>
        </w:rPr>
      </w:pPr>
      <w:r>
        <w:rPr>
          <w:rFonts w:hint="eastAsia" w:hAnsi="宋体" w:cs="宋体"/>
          <w:szCs w:val="24"/>
        </w:rPr>
        <w:t>（8）陕西省财政厅关于印发《陕西省中小企业政府采购信用融资办法》（陕财办采〔2018〕23号）；</w:t>
      </w:r>
    </w:p>
    <w:p>
      <w:pPr>
        <w:widowControl/>
        <w:shd w:val="clear" w:color="auto" w:fill="FFFFFF"/>
        <w:spacing w:line="520" w:lineRule="exact"/>
        <w:ind w:firstLine="480" w:firstLineChars="200"/>
        <w:textAlignment w:val="baseline"/>
        <w:rPr>
          <w:rFonts w:hAnsi="宋体" w:cs="宋体"/>
          <w:szCs w:val="24"/>
        </w:rPr>
      </w:pPr>
      <w:r>
        <w:rPr>
          <w:rFonts w:hint="eastAsia" w:hAnsi="宋体" w:cs="宋体"/>
          <w:szCs w:val="24"/>
        </w:rPr>
        <w:t>（9）《财政部农业农村部国家乡村振兴局关于运用政府采购政策支持乡村产业振兴的通知》（财库〔2021〕19号）；</w:t>
      </w:r>
    </w:p>
    <w:p>
      <w:pPr>
        <w:widowControl/>
        <w:shd w:val="clear" w:color="auto" w:fill="FFFFFF"/>
        <w:spacing w:line="520" w:lineRule="exact"/>
        <w:ind w:firstLine="480" w:firstLineChars="200"/>
        <w:textAlignment w:val="baseline"/>
        <w:rPr>
          <w:rFonts w:hAnsi="宋体" w:cs="宋体"/>
          <w:szCs w:val="24"/>
        </w:rPr>
      </w:pPr>
      <w:r>
        <w:rPr>
          <w:rFonts w:hint="eastAsia" w:hAnsi="宋体" w:cs="宋体"/>
          <w:szCs w:val="24"/>
        </w:rPr>
        <w:t>（10）《财政部农业农村部国家乡村振兴局中华全国供销合作总社关于印发&lt;关于深入开展政府采购脱贫地区农副产品工作推进乡村产业振兴的实施意见&gt;的通知》（财库〔2021〕20号）；</w:t>
      </w:r>
    </w:p>
    <w:p>
      <w:pPr>
        <w:widowControl/>
        <w:shd w:val="clear" w:color="auto" w:fill="FFFFFF"/>
        <w:spacing w:line="520" w:lineRule="exact"/>
        <w:ind w:firstLine="480" w:firstLineChars="200"/>
        <w:textAlignment w:val="baseline"/>
        <w:rPr>
          <w:rFonts w:hAnsi="宋体" w:cs="宋体"/>
          <w:szCs w:val="24"/>
        </w:rPr>
      </w:pPr>
      <w:r>
        <w:rPr>
          <w:rFonts w:hint="eastAsia" w:hAnsi="宋体" w:cs="宋体"/>
          <w:szCs w:val="24"/>
        </w:rPr>
        <w:t>（11）《陕西省财政厅关于进一步加强政府绿色采购有关问题的通知》（陕财办采〔2021〕29号）；</w:t>
      </w:r>
    </w:p>
    <w:p>
      <w:pPr>
        <w:widowControl/>
        <w:shd w:val="clear" w:color="auto" w:fill="FFFFFF"/>
        <w:spacing w:line="520" w:lineRule="exact"/>
        <w:ind w:firstLine="480" w:firstLineChars="200"/>
        <w:textAlignment w:val="baseline"/>
        <w:rPr>
          <w:rFonts w:hAnsi="宋体" w:cs="宋体"/>
          <w:szCs w:val="24"/>
        </w:rPr>
      </w:pPr>
      <w:r>
        <w:rPr>
          <w:rFonts w:hint="eastAsia" w:hAnsi="宋体" w:cs="宋体"/>
          <w:szCs w:val="24"/>
        </w:rPr>
        <w:t>（12）《财政部关于在政府采购活动中落实平等对待内外资企业有关政策的通知》（财库〔2021〕35号）；</w:t>
      </w:r>
    </w:p>
    <w:p>
      <w:pPr>
        <w:widowControl/>
        <w:shd w:val="clear" w:color="auto" w:fill="FFFFFF"/>
        <w:spacing w:line="520" w:lineRule="exact"/>
        <w:ind w:firstLine="480" w:firstLineChars="200"/>
        <w:textAlignment w:val="baseline"/>
        <w:rPr>
          <w:rFonts w:hAnsi="宋体" w:cs="宋体"/>
          <w:szCs w:val="24"/>
        </w:rPr>
      </w:pPr>
      <w:r>
        <w:rPr>
          <w:rFonts w:hint="eastAsia" w:hAnsi="宋体" w:cs="宋体"/>
          <w:szCs w:val="24"/>
        </w:rPr>
        <w:t>（13）陕西省财政厅《关于加快推进我省中小企业政府采购信用融资工作的通知》（陕财办采〔2020〕15号）；</w:t>
      </w:r>
    </w:p>
    <w:p>
      <w:pPr>
        <w:widowControl/>
        <w:shd w:val="clear" w:color="auto" w:fill="FFFFFF"/>
        <w:spacing w:line="520" w:lineRule="exact"/>
        <w:ind w:firstLine="480" w:firstLineChars="200"/>
        <w:textAlignment w:val="baseline"/>
        <w:rPr>
          <w:rFonts w:hAnsi="宋体" w:cs="宋体"/>
          <w:szCs w:val="24"/>
        </w:rPr>
      </w:pPr>
      <w:r>
        <w:rPr>
          <w:rFonts w:hint="eastAsia" w:hAnsi="宋体" w:cs="宋体"/>
          <w:szCs w:val="24"/>
        </w:rPr>
        <w:t>（14）《关于进一步加大政府采购支持中小企业力度的通知》（财库〔2022〕19号）；</w:t>
      </w:r>
    </w:p>
    <w:p>
      <w:pPr>
        <w:widowControl/>
        <w:shd w:val="clear" w:color="auto" w:fill="FFFFFF"/>
        <w:spacing w:line="520" w:lineRule="exact"/>
        <w:ind w:firstLine="480" w:firstLineChars="200"/>
        <w:textAlignment w:val="baseline"/>
        <w:rPr>
          <w:rFonts w:cs="宋体" w:asciiTheme="minorEastAsia" w:hAnsiTheme="minorEastAsia" w:eastAsiaTheme="minorEastAsia"/>
          <w:szCs w:val="24"/>
        </w:rPr>
      </w:pPr>
      <w:r>
        <w:rPr>
          <w:rFonts w:hint="eastAsia" w:cs="宋体"/>
        </w:rPr>
        <w:t>（15）其他需要落实的政府采购政策，详见招标文件。</w:t>
      </w:r>
    </w:p>
    <w:p>
      <w:pPr>
        <w:widowControl/>
        <w:shd w:val="clear" w:color="auto" w:fill="FFFFFF"/>
        <w:spacing w:line="520" w:lineRule="exact"/>
        <w:ind w:firstLine="480" w:firstLineChars="200"/>
        <w:textAlignment w:val="baseline"/>
        <w:rPr>
          <w:rFonts w:cs="宋体" w:asciiTheme="minorEastAsia" w:hAnsiTheme="minorEastAsia" w:eastAsiaTheme="minorEastAsia"/>
          <w:szCs w:val="24"/>
        </w:rPr>
      </w:pPr>
      <w:r>
        <w:rPr>
          <w:rFonts w:cs="宋体" w:asciiTheme="minorEastAsia" w:hAnsiTheme="minorEastAsia" w:eastAsiaTheme="minorEastAsia"/>
          <w:szCs w:val="24"/>
        </w:rPr>
        <w:t>3.本项目的特定资格要求：</w:t>
      </w:r>
    </w:p>
    <w:p>
      <w:pPr>
        <w:widowControl/>
        <w:shd w:val="clear" w:color="auto" w:fill="FFFFFF"/>
        <w:spacing w:line="520" w:lineRule="exact"/>
        <w:ind w:firstLine="480" w:firstLineChars="200"/>
        <w:textAlignment w:val="baseline"/>
        <w:rPr>
          <w:rFonts w:cs="宋体" w:asciiTheme="minorEastAsia" w:hAnsiTheme="minorEastAsia" w:eastAsiaTheme="minorEastAsia"/>
          <w:szCs w:val="24"/>
        </w:rPr>
      </w:pPr>
      <w:r>
        <w:rPr>
          <w:rFonts w:cs="宋体" w:asciiTheme="minorEastAsia" w:hAnsiTheme="minorEastAsia" w:eastAsiaTheme="minorEastAsia"/>
          <w:szCs w:val="24"/>
        </w:rPr>
        <w:t>合同包1</w:t>
      </w:r>
      <w:r>
        <w:rPr>
          <w:rFonts w:hint="eastAsia" w:cs="宋体" w:asciiTheme="minorEastAsia" w:hAnsiTheme="minorEastAsia" w:eastAsiaTheme="minorEastAsia"/>
          <w:szCs w:val="24"/>
          <w:lang w:eastAsia="zh-CN"/>
        </w:rPr>
        <w:t>（</w:t>
      </w:r>
      <w:r>
        <w:rPr>
          <w:rFonts w:hint="eastAsia" w:cs="宋体" w:asciiTheme="minorEastAsia" w:hAnsiTheme="minorEastAsia" w:eastAsiaTheme="minorEastAsia"/>
          <w:szCs w:val="24"/>
        </w:rPr>
        <w:t>刑侦技术设备</w:t>
      </w:r>
      <w:r>
        <w:rPr>
          <w:rFonts w:cs="宋体" w:asciiTheme="minorEastAsia" w:hAnsiTheme="minorEastAsia" w:eastAsiaTheme="minorEastAsia"/>
          <w:szCs w:val="24"/>
        </w:rPr>
        <w:t>)特定资格要求如下</w:t>
      </w:r>
      <w:r>
        <w:rPr>
          <w:rFonts w:hint="eastAsia" w:cs="宋体" w:asciiTheme="minorEastAsia" w:hAnsiTheme="minorEastAsia" w:eastAsiaTheme="minorEastAsia"/>
          <w:szCs w:val="24"/>
        </w:rPr>
        <w:t>：</w:t>
      </w:r>
    </w:p>
    <w:p>
      <w:pPr>
        <w:widowControl/>
        <w:shd w:val="clear" w:color="auto" w:fill="FFFFFF"/>
        <w:spacing w:line="520" w:lineRule="exact"/>
        <w:ind w:firstLine="480" w:firstLineChars="200"/>
        <w:textAlignment w:val="baseline"/>
        <w:rPr>
          <w:rFonts w:hAnsi="宋体" w:cs="宋体"/>
          <w:szCs w:val="24"/>
        </w:rPr>
      </w:pPr>
      <w:r>
        <w:rPr>
          <w:rFonts w:hint="eastAsia" w:hAnsi="宋体" w:cs="宋体"/>
          <w:szCs w:val="24"/>
        </w:rPr>
        <w:t>（1）法定代表人授权书（附法定代表人、被授权人身份证复印件）</w:t>
      </w:r>
      <w:r>
        <w:rPr>
          <w:rFonts w:hint="eastAsia" w:hAnsi="宋体" w:cs="宋体"/>
          <w:szCs w:val="24"/>
          <w:lang w:eastAsia="zh-CN"/>
        </w:rPr>
        <w:t>，</w:t>
      </w:r>
      <w:r>
        <w:rPr>
          <w:rFonts w:hint="eastAsia" w:hAnsi="宋体" w:cs="宋体"/>
          <w:szCs w:val="24"/>
        </w:rPr>
        <w:t>法定代表人直接参加投标，须提供法定代表人身份证明及身份证</w:t>
      </w:r>
      <w:r>
        <w:rPr>
          <w:rFonts w:hint="eastAsia" w:hAnsi="宋体" w:cs="宋体"/>
          <w:szCs w:val="24"/>
          <w:lang w:eastAsia="zh-CN"/>
        </w:rPr>
        <w:t>复印件</w:t>
      </w:r>
      <w:r>
        <w:rPr>
          <w:rFonts w:hint="eastAsia" w:hAnsi="宋体" w:cs="宋体"/>
          <w:szCs w:val="24"/>
        </w:rPr>
        <w:t>；</w:t>
      </w:r>
    </w:p>
    <w:p>
      <w:pPr>
        <w:widowControl/>
        <w:shd w:val="clear" w:color="auto" w:fill="FFFFFF"/>
        <w:spacing w:line="520" w:lineRule="exact"/>
        <w:ind w:firstLine="480" w:firstLineChars="200"/>
        <w:textAlignment w:val="baseline"/>
        <w:rPr>
          <w:rFonts w:cs="宋体" w:asciiTheme="minorEastAsia" w:hAnsiTheme="minorEastAsia" w:eastAsiaTheme="minorEastAsia"/>
          <w:szCs w:val="24"/>
        </w:rPr>
      </w:pPr>
      <w:r>
        <w:rPr>
          <w:rFonts w:hint="eastAsia" w:hAnsi="宋体" w:cs="宋体"/>
          <w:szCs w:val="24"/>
        </w:rPr>
        <w:t>（2）供应商不得为“信用中国”网站（www.creditchina.gov.cn）中列入失信被执行人（中国执行信息公开网http：//zxgk.court.gov.cn）和重大税收违法失信主体名单的供应商，不得为中国政府采购网（www.ccgp.gov.cn）政府采购严重违法失信行为记录名单中被财政部门禁止参加政府采购活动的供应商；</w:t>
      </w:r>
    </w:p>
    <w:p>
      <w:pPr>
        <w:widowControl/>
        <w:shd w:val="clear" w:color="auto" w:fill="FFFFFF"/>
        <w:spacing w:line="520" w:lineRule="exact"/>
        <w:ind w:firstLine="480" w:firstLineChars="200"/>
        <w:textAlignment w:val="baseline"/>
        <w:rPr>
          <w:rFonts w:cs="宋体" w:asciiTheme="minorEastAsia" w:hAnsiTheme="minorEastAsia" w:eastAsiaTheme="minorEastAsia"/>
          <w:szCs w:val="24"/>
        </w:rPr>
      </w:pPr>
      <w:r>
        <w:rPr>
          <w:rFonts w:hint="eastAsia" w:cs="宋体" w:asciiTheme="minorEastAsia" w:hAnsiTheme="minorEastAsia" w:eastAsiaTheme="minorEastAsia"/>
          <w:szCs w:val="24"/>
        </w:rPr>
        <w:t>（3）本项目不接受联合体投标。</w:t>
      </w:r>
    </w:p>
    <w:p>
      <w:pPr>
        <w:widowControl/>
        <w:shd w:val="clear" w:color="auto" w:fill="FFFFFF"/>
        <w:spacing w:line="520" w:lineRule="exact"/>
        <w:ind w:firstLine="480" w:firstLineChars="200"/>
        <w:textAlignment w:val="baseline"/>
        <w:rPr>
          <w:rFonts w:cs="宋体" w:asciiTheme="minorEastAsia" w:hAnsiTheme="minorEastAsia" w:eastAsiaTheme="minorEastAsia"/>
          <w:szCs w:val="24"/>
        </w:rPr>
      </w:pPr>
      <w:r>
        <w:rPr>
          <w:rFonts w:cs="宋体" w:asciiTheme="minorEastAsia" w:hAnsiTheme="minorEastAsia" w:eastAsiaTheme="minorEastAsia"/>
          <w:szCs w:val="24"/>
        </w:rPr>
        <w:t>合同包</w:t>
      </w:r>
      <w:r>
        <w:rPr>
          <w:rFonts w:hint="eastAsia" w:cs="宋体" w:asciiTheme="minorEastAsia" w:hAnsiTheme="minorEastAsia" w:eastAsiaTheme="minorEastAsia"/>
          <w:szCs w:val="24"/>
          <w:lang w:val="en-US" w:eastAsia="zh-CN"/>
        </w:rPr>
        <w:t>2（中省办公设备</w:t>
      </w:r>
      <w:r>
        <w:rPr>
          <w:rFonts w:cs="宋体" w:asciiTheme="minorEastAsia" w:hAnsiTheme="minorEastAsia" w:eastAsiaTheme="minorEastAsia"/>
          <w:szCs w:val="24"/>
        </w:rPr>
        <w:t>)特定资格要求如下</w:t>
      </w:r>
      <w:r>
        <w:rPr>
          <w:rFonts w:hint="eastAsia" w:cs="宋体" w:asciiTheme="minorEastAsia" w:hAnsiTheme="minorEastAsia" w:eastAsiaTheme="minorEastAsia"/>
          <w:szCs w:val="24"/>
        </w:rPr>
        <w:t>：</w:t>
      </w:r>
    </w:p>
    <w:p>
      <w:pPr>
        <w:widowControl/>
        <w:shd w:val="clear" w:color="auto" w:fill="FFFFFF"/>
        <w:spacing w:line="520" w:lineRule="exact"/>
        <w:ind w:firstLine="480" w:firstLineChars="200"/>
        <w:textAlignment w:val="baseline"/>
        <w:rPr>
          <w:rFonts w:hAnsi="宋体" w:cs="宋体"/>
          <w:szCs w:val="24"/>
        </w:rPr>
      </w:pPr>
      <w:r>
        <w:rPr>
          <w:rFonts w:hint="eastAsia" w:hAnsi="宋体" w:cs="宋体"/>
          <w:szCs w:val="24"/>
        </w:rPr>
        <w:t>（1）法定代表人授权书（附法定代表人、被授权人身份证复印件）</w:t>
      </w:r>
      <w:r>
        <w:rPr>
          <w:rFonts w:hint="eastAsia" w:hAnsi="宋体" w:cs="宋体"/>
          <w:szCs w:val="24"/>
          <w:lang w:eastAsia="zh-CN"/>
        </w:rPr>
        <w:t>，</w:t>
      </w:r>
      <w:r>
        <w:rPr>
          <w:rFonts w:hint="eastAsia" w:hAnsi="宋体" w:cs="宋体"/>
          <w:szCs w:val="24"/>
        </w:rPr>
        <w:t>法定代表人直接参加投标，须提供法定代表人身份证明及身份证</w:t>
      </w:r>
      <w:r>
        <w:rPr>
          <w:rFonts w:hint="eastAsia" w:hAnsi="宋体" w:cs="宋体"/>
          <w:szCs w:val="24"/>
          <w:lang w:eastAsia="zh-CN"/>
        </w:rPr>
        <w:t>复印件</w:t>
      </w:r>
      <w:r>
        <w:rPr>
          <w:rFonts w:hint="eastAsia" w:hAnsi="宋体" w:cs="宋体"/>
          <w:szCs w:val="24"/>
        </w:rPr>
        <w:t>；</w:t>
      </w:r>
    </w:p>
    <w:p>
      <w:pPr>
        <w:widowControl/>
        <w:shd w:val="clear" w:color="auto" w:fill="FFFFFF"/>
        <w:spacing w:line="520" w:lineRule="exact"/>
        <w:ind w:firstLine="480" w:firstLineChars="200"/>
        <w:textAlignment w:val="baseline"/>
        <w:rPr>
          <w:rFonts w:hint="eastAsia" w:hAnsi="宋体" w:cs="宋体"/>
          <w:szCs w:val="24"/>
        </w:rPr>
      </w:pPr>
      <w:r>
        <w:rPr>
          <w:rFonts w:hint="eastAsia" w:hAnsi="宋体" w:cs="宋体"/>
          <w:szCs w:val="24"/>
        </w:rPr>
        <w:t>（2）供应商不得为“信用中国”网站（www.creditchina.gov.cn）中列入失信被执行人（中国执行信息公开网http：//zxgk.court.gov.cn）和重大税收违法失信主体名单的供应商，不得为中国政府采购网（www.ccgp.gov.cn）政府采购严重违法失信行为记录名单中被财政部门禁止参加政府采购活动的供应商；</w:t>
      </w:r>
    </w:p>
    <w:p>
      <w:pPr>
        <w:widowControl/>
        <w:shd w:val="clear" w:color="auto" w:fill="FFFFFF"/>
        <w:spacing w:line="520" w:lineRule="exact"/>
        <w:ind w:firstLine="480" w:firstLineChars="200"/>
        <w:textAlignment w:val="baseline"/>
        <w:rPr>
          <w:rFonts w:hint="eastAsia" w:hAnsi="宋体" w:cs="宋体"/>
          <w:szCs w:val="24"/>
        </w:rPr>
      </w:pPr>
      <w:r>
        <w:rPr>
          <w:rFonts w:hint="eastAsia" w:hAnsi="宋体" w:cs="宋体"/>
          <w:szCs w:val="24"/>
        </w:rPr>
        <w:t>（3）本项目不接受联合体投标。</w:t>
      </w:r>
    </w:p>
    <w:p>
      <w:pPr>
        <w:widowControl/>
        <w:shd w:val="clear" w:color="auto" w:fill="FFFFFF"/>
        <w:spacing w:line="520" w:lineRule="exact"/>
        <w:ind w:firstLine="480" w:firstLineChars="200"/>
        <w:textAlignment w:val="baseline"/>
        <w:rPr>
          <w:rFonts w:cs="宋体" w:asciiTheme="minorEastAsia" w:hAnsiTheme="minorEastAsia" w:eastAsiaTheme="minorEastAsia"/>
          <w:szCs w:val="24"/>
        </w:rPr>
      </w:pPr>
      <w:r>
        <w:rPr>
          <w:rFonts w:cs="宋体" w:asciiTheme="minorEastAsia" w:hAnsiTheme="minorEastAsia" w:eastAsiaTheme="minorEastAsia"/>
          <w:szCs w:val="24"/>
        </w:rPr>
        <w:t>合同包</w:t>
      </w:r>
      <w:r>
        <w:rPr>
          <w:rFonts w:hint="eastAsia" w:cs="宋体" w:asciiTheme="minorEastAsia" w:hAnsiTheme="minorEastAsia" w:eastAsiaTheme="minorEastAsia"/>
          <w:szCs w:val="24"/>
          <w:lang w:val="en-US" w:eastAsia="zh-CN"/>
        </w:rPr>
        <w:t>3（警用装备</w:t>
      </w:r>
      <w:r>
        <w:rPr>
          <w:rFonts w:cs="宋体" w:asciiTheme="minorEastAsia" w:hAnsiTheme="minorEastAsia" w:eastAsiaTheme="minorEastAsia"/>
          <w:szCs w:val="24"/>
        </w:rPr>
        <w:t>)特定资格要求如下</w:t>
      </w:r>
      <w:r>
        <w:rPr>
          <w:rFonts w:hint="eastAsia" w:cs="宋体" w:asciiTheme="minorEastAsia" w:hAnsiTheme="minorEastAsia" w:eastAsiaTheme="minorEastAsia"/>
          <w:szCs w:val="24"/>
        </w:rPr>
        <w:t>：</w:t>
      </w:r>
    </w:p>
    <w:p>
      <w:pPr>
        <w:widowControl/>
        <w:shd w:val="clear" w:color="auto" w:fill="FFFFFF"/>
        <w:spacing w:line="520" w:lineRule="exact"/>
        <w:ind w:firstLine="480" w:firstLineChars="200"/>
        <w:textAlignment w:val="baseline"/>
        <w:rPr>
          <w:rFonts w:hAnsi="宋体" w:cs="宋体"/>
          <w:szCs w:val="24"/>
        </w:rPr>
      </w:pPr>
      <w:r>
        <w:rPr>
          <w:rFonts w:hint="eastAsia" w:hAnsi="宋体" w:cs="宋体"/>
          <w:szCs w:val="24"/>
        </w:rPr>
        <w:t>（1）法定代表人授权书（附法定代表人、被授权人身份证复印件）</w:t>
      </w:r>
      <w:r>
        <w:rPr>
          <w:rFonts w:hint="eastAsia" w:hAnsi="宋体" w:cs="宋体"/>
          <w:szCs w:val="24"/>
          <w:lang w:eastAsia="zh-CN"/>
        </w:rPr>
        <w:t>，</w:t>
      </w:r>
      <w:r>
        <w:rPr>
          <w:rFonts w:hint="eastAsia" w:hAnsi="宋体" w:cs="宋体"/>
          <w:szCs w:val="24"/>
        </w:rPr>
        <w:t>法定代表人直接参加投标，须提供法定代表人身份证明及身份证</w:t>
      </w:r>
      <w:r>
        <w:rPr>
          <w:rFonts w:hint="eastAsia" w:hAnsi="宋体" w:cs="宋体"/>
          <w:szCs w:val="24"/>
          <w:lang w:eastAsia="zh-CN"/>
        </w:rPr>
        <w:t>复印件</w:t>
      </w:r>
      <w:r>
        <w:rPr>
          <w:rFonts w:hint="eastAsia" w:hAnsi="宋体" w:cs="宋体"/>
          <w:szCs w:val="24"/>
        </w:rPr>
        <w:t>；</w:t>
      </w:r>
    </w:p>
    <w:p>
      <w:pPr>
        <w:widowControl/>
        <w:shd w:val="clear" w:color="auto" w:fill="FFFFFF"/>
        <w:spacing w:line="520" w:lineRule="exact"/>
        <w:ind w:firstLine="480" w:firstLineChars="200"/>
        <w:textAlignment w:val="baseline"/>
        <w:rPr>
          <w:rFonts w:hint="eastAsia" w:hAnsi="宋体" w:cs="宋体"/>
          <w:szCs w:val="24"/>
        </w:rPr>
      </w:pPr>
      <w:r>
        <w:rPr>
          <w:rFonts w:hint="eastAsia" w:hAnsi="宋体" w:cs="宋体"/>
          <w:szCs w:val="24"/>
        </w:rPr>
        <w:t>（2）供应商不得为“信用中国”网站（www.creditchina.gov.cn）中列入失信被执行人（中国执行信息公开网http：//zxgk.court.gov.cn）和重大税收违法失信主体名单的供应商，不得为中国政府采购网（www.ccgp.gov.cn）政府采购严重违法失信行为记录名单中被财政部门禁止参加政府采购活动的供应商；</w:t>
      </w:r>
    </w:p>
    <w:p>
      <w:pPr>
        <w:widowControl/>
        <w:shd w:val="clear" w:color="auto" w:fill="FFFFFF"/>
        <w:spacing w:line="520" w:lineRule="exact"/>
        <w:ind w:firstLine="480" w:firstLineChars="200"/>
        <w:textAlignment w:val="baseline"/>
        <w:rPr>
          <w:rFonts w:cs="宋体" w:asciiTheme="minorEastAsia" w:hAnsiTheme="minorEastAsia" w:eastAsiaTheme="minorEastAsia"/>
          <w:b/>
          <w:bCs/>
          <w:color w:val="auto"/>
          <w:szCs w:val="24"/>
        </w:rPr>
      </w:pPr>
      <w:r>
        <w:rPr>
          <w:rFonts w:hint="eastAsia" w:hAnsi="宋体" w:cs="宋体"/>
          <w:szCs w:val="24"/>
        </w:rPr>
        <w:t>（3）本</w:t>
      </w:r>
      <w:r>
        <w:rPr>
          <w:rFonts w:hint="eastAsia" w:hAnsi="宋体" w:cs="宋体"/>
          <w:color w:val="auto"/>
          <w:szCs w:val="24"/>
        </w:rPr>
        <w:t>项目不接受联合体投标。</w:t>
      </w:r>
    </w:p>
    <w:p>
      <w:pPr>
        <w:widowControl/>
        <w:shd w:val="clear" w:color="auto" w:fill="FFFFFF"/>
        <w:spacing w:line="360" w:lineRule="auto"/>
        <w:textAlignment w:val="baseline"/>
        <w:rPr>
          <w:rFonts w:cs="宋体" w:asciiTheme="minorEastAsia" w:hAnsiTheme="minorEastAsia" w:eastAsiaTheme="minorEastAsia"/>
          <w:color w:val="auto"/>
          <w:szCs w:val="24"/>
        </w:rPr>
      </w:pPr>
      <w:r>
        <w:rPr>
          <w:rFonts w:cs="宋体" w:asciiTheme="minorEastAsia" w:hAnsiTheme="minorEastAsia" w:eastAsiaTheme="minorEastAsia"/>
          <w:b/>
          <w:bCs/>
          <w:color w:val="auto"/>
          <w:szCs w:val="24"/>
        </w:rPr>
        <w:t>三、获取招标文件</w:t>
      </w:r>
    </w:p>
    <w:p>
      <w:pPr>
        <w:widowControl/>
        <w:shd w:val="clear" w:color="auto" w:fill="FFFFFF"/>
        <w:spacing w:line="360" w:lineRule="auto"/>
        <w:ind w:firstLine="480" w:firstLineChars="200"/>
        <w:textAlignment w:val="baseline"/>
        <w:rPr>
          <w:rFonts w:cs="宋体" w:asciiTheme="minorEastAsia" w:hAnsiTheme="minorEastAsia" w:eastAsiaTheme="minorEastAsia"/>
          <w:color w:val="auto"/>
          <w:szCs w:val="24"/>
        </w:rPr>
      </w:pPr>
      <w:r>
        <w:rPr>
          <w:rFonts w:cs="宋体" w:asciiTheme="minorEastAsia" w:hAnsiTheme="minorEastAsia" w:eastAsiaTheme="minorEastAsia"/>
          <w:color w:val="auto"/>
          <w:szCs w:val="24"/>
        </w:rPr>
        <w:t>时间</w:t>
      </w:r>
      <w:r>
        <w:rPr>
          <w:rFonts w:hint="eastAsia" w:cs="宋体" w:asciiTheme="minorEastAsia" w:hAnsiTheme="minorEastAsia" w:eastAsiaTheme="minorEastAsia"/>
          <w:color w:val="auto"/>
          <w:szCs w:val="24"/>
        </w:rPr>
        <w:t>：</w:t>
      </w:r>
      <w:r>
        <w:rPr>
          <w:rFonts w:cs="宋体" w:asciiTheme="minorEastAsia" w:hAnsiTheme="minorEastAsia" w:eastAsiaTheme="minorEastAsia"/>
          <w:color w:val="auto"/>
          <w:szCs w:val="24"/>
        </w:rPr>
        <w:t>2023年</w:t>
      </w:r>
      <w:r>
        <w:rPr>
          <w:rFonts w:hint="eastAsia" w:cs="宋体" w:asciiTheme="minorEastAsia" w:hAnsiTheme="minorEastAsia" w:eastAsiaTheme="minorEastAsia"/>
          <w:color w:val="auto"/>
          <w:szCs w:val="24"/>
        </w:rPr>
        <w:t>0</w:t>
      </w:r>
      <w:r>
        <w:rPr>
          <w:rFonts w:hint="eastAsia" w:cs="宋体" w:asciiTheme="minorEastAsia" w:hAnsiTheme="minorEastAsia" w:eastAsiaTheme="minorEastAsia"/>
          <w:color w:val="auto"/>
          <w:szCs w:val="24"/>
          <w:lang w:val="en-US" w:eastAsia="zh-CN"/>
        </w:rPr>
        <w:t>6</w:t>
      </w:r>
      <w:r>
        <w:rPr>
          <w:rFonts w:cs="宋体" w:asciiTheme="minorEastAsia" w:hAnsiTheme="minorEastAsia" w:eastAsiaTheme="minorEastAsia"/>
          <w:color w:val="auto"/>
          <w:szCs w:val="24"/>
        </w:rPr>
        <w:t>月</w:t>
      </w:r>
      <w:r>
        <w:rPr>
          <w:rFonts w:hint="eastAsia" w:cs="宋体" w:asciiTheme="minorEastAsia" w:hAnsiTheme="minorEastAsia" w:eastAsiaTheme="minorEastAsia"/>
          <w:color w:val="auto"/>
          <w:szCs w:val="24"/>
          <w:lang w:val="en-US" w:eastAsia="zh-CN"/>
        </w:rPr>
        <w:t>22</w:t>
      </w:r>
      <w:r>
        <w:rPr>
          <w:rFonts w:cs="宋体" w:asciiTheme="minorEastAsia" w:hAnsiTheme="minorEastAsia" w:eastAsiaTheme="minorEastAsia"/>
          <w:color w:val="auto"/>
          <w:szCs w:val="24"/>
        </w:rPr>
        <w:t>日至2023年</w:t>
      </w:r>
      <w:r>
        <w:rPr>
          <w:rFonts w:hint="eastAsia" w:cs="宋体" w:asciiTheme="minorEastAsia" w:hAnsiTheme="minorEastAsia" w:eastAsiaTheme="minorEastAsia"/>
          <w:color w:val="auto"/>
          <w:szCs w:val="24"/>
        </w:rPr>
        <w:t>0</w:t>
      </w:r>
      <w:r>
        <w:rPr>
          <w:rFonts w:hint="eastAsia" w:cs="宋体" w:asciiTheme="minorEastAsia" w:hAnsiTheme="minorEastAsia" w:eastAsiaTheme="minorEastAsia"/>
          <w:color w:val="auto"/>
          <w:szCs w:val="24"/>
          <w:lang w:val="en-US" w:eastAsia="zh-CN"/>
        </w:rPr>
        <w:t>6</w:t>
      </w:r>
      <w:r>
        <w:rPr>
          <w:rFonts w:cs="宋体" w:asciiTheme="minorEastAsia" w:hAnsiTheme="minorEastAsia" w:eastAsiaTheme="minorEastAsia"/>
          <w:color w:val="auto"/>
          <w:szCs w:val="24"/>
        </w:rPr>
        <w:t>月</w:t>
      </w:r>
      <w:r>
        <w:rPr>
          <w:rFonts w:hint="eastAsia" w:cs="宋体" w:asciiTheme="minorEastAsia" w:hAnsiTheme="minorEastAsia" w:eastAsiaTheme="minorEastAsia"/>
          <w:color w:val="auto"/>
          <w:szCs w:val="24"/>
          <w:lang w:val="en-US" w:eastAsia="zh-CN"/>
        </w:rPr>
        <w:t>29</w:t>
      </w:r>
      <w:r>
        <w:rPr>
          <w:rFonts w:cs="宋体" w:asciiTheme="minorEastAsia" w:hAnsiTheme="minorEastAsia" w:eastAsiaTheme="minorEastAsia"/>
          <w:color w:val="auto"/>
          <w:szCs w:val="24"/>
        </w:rPr>
        <w:t>日，每天上午</w:t>
      </w:r>
      <w:r>
        <w:rPr>
          <w:rFonts w:hint="eastAsia" w:cs="宋体" w:asciiTheme="minorEastAsia" w:hAnsiTheme="minorEastAsia" w:eastAsiaTheme="minorEastAsia"/>
          <w:color w:val="auto"/>
          <w:szCs w:val="24"/>
        </w:rPr>
        <w:t>00:00:00至12:00:00，下午12:00:00至23:59:59（北京时间）</w:t>
      </w:r>
    </w:p>
    <w:p>
      <w:pPr>
        <w:widowControl/>
        <w:shd w:val="clear" w:color="auto" w:fill="FFFFFF"/>
        <w:spacing w:line="360" w:lineRule="auto"/>
        <w:ind w:firstLine="480" w:firstLineChars="200"/>
        <w:textAlignment w:val="baseline"/>
        <w:rPr>
          <w:rFonts w:cs="宋体" w:asciiTheme="minorEastAsia" w:hAnsiTheme="minorEastAsia" w:eastAsiaTheme="minorEastAsia"/>
          <w:szCs w:val="24"/>
        </w:rPr>
      </w:pPr>
      <w:r>
        <w:rPr>
          <w:rFonts w:hint="eastAsia" w:cs="宋体" w:asciiTheme="minorEastAsia" w:hAnsiTheme="minorEastAsia" w:eastAsiaTheme="minorEastAsia"/>
          <w:color w:val="auto"/>
          <w:szCs w:val="24"/>
        </w:rPr>
        <w:t>途径</w:t>
      </w:r>
      <w:r>
        <w:rPr>
          <w:rFonts w:cs="宋体" w:asciiTheme="minorEastAsia" w:hAnsiTheme="minorEastAsia" w:eastAsiaTheme="minorEastAsia"/>
          <w:color w:val="auto"/>
          <w:szCs w:val="24"/>
        </w:rPr>
        <w:t>：全国公共资源交易平台(陕西省·西安市)</w:t>
      </w:r>
      <w:r>
        <w:rPr>
          <w:rFonts w:cs="宋体" w:asciiTheme="minorEastAsia" w:hAnsiTheme="minorEastAsia" w:eastAsiaTheme="minorEastAsia"/>
          <w:szCs w:val="24"/>
        </w:rPr>
        <w:t>网站〖首页&gt;电子交易平台&gt;陕西政府采购交易系统&gt;企业端〗</w:t>
      </w:r>
    </w:p>
    <w:p>
      <w:pPr>
        <w:widowControl/>
        <w:shd w:val="clear" w:color="auto" w:fill="FFFFFF"/>
        <w:spacing w:line="360" w:lineRule="auto"/>
        <w:ind w:firstLine="480" w:firstLineChars="200"/>
        <w:textAlignment w:val="baseline"/>
        <w:rPr>
          <w:rFonts w:cs="宋体" w:asciiTheme="minorEastAsia" w:hAnsiTheme="minorEastAsia" w:eastAsiaTheme="minorEastAsia"/>
          <w:szCs w:val="24"/>
        </w:rPr>
      </w:pPr>
      <w:r>
        <w:rPr>
          <w:rFonts w:cs="宋体" w:asciiTheme="minorEastAsia" w:hAnsiTheme="minorEastAsia" w:eastAsiaTheme="minorEastAsia"/>
          <w:szCs w:val="24"/>
        </w:rPr>
        <w:t>方式：在线获取</w:t>
      </w:r>
    </w:p>
    <w:p>
      <w:pPr>
        <w:widowControl/>
        <w:shd w:val="clear" w:color="auto" w:fill="FFFFFF"/>
        <w:tabs>
          <w:tab w:val="left" w:pos="282"/>
        </w:tabs>
        <w:spacing w:line="360" w:lineRule="auto"/>
        <w:ind w:firstLine="480" w:firstLineChars="200"/>
        <w:textAlignment w:val="baseline"/>
        <w:rPr>
          <w:rFonts w:cs="宋体" w:asciiTheme="minorEastAsia" w:hAnsiTheme="minorEastAsia" w:eastAsiaTheme="minorEastAsia"/>
          <w:szCs w:val="24"/>
        </w:rPr>
      </w:pPr>
      <w:r>
        <w:rPr>
          <w:rFonts w:cs="宋体" w:asciiTheme="minorEastAsia" w:hAnsiTheme="minorEastAsia" w:eastAsiaTheme="minorEastAsia"/>
          <w:szCs w:val="24"/>
        </w:rPr>
        <w:t>售价：</w:t>
      </w:r>
      <w:r>
        <w:rPr>
          <w:rFonts w:hint="eastAsia" w:cs="宋体" w:asciiTheme="minorEastAsia" w:hAnsiTheme="minorEastAsia" w:eastAsiaTheme="minorEastAsia"/>
          <w:szCs w:val="24"/>
        </w:rPr>
        <w:t>0元</w:t>
      </w:r>
    </w:p>
    <w:p>
      <w:pPr>
        <w:widowControl/>
        <w:shd w:val="clear" w:color="auto" w:fill="FFFFFF"/>
        <w:spacing w:line="360" w:lineRule="auto"/>
        <w:textAlignment w:val="baseline"/>
        <w:rPr>
          <w:rFonts w:cs="宋体" w:asciiTheme="minorEastAsia" w:hAnsiTheme="minorEastAsia" w:eastAsiaTheme="minorEastAsia"/>
          <w:szCs w:val="24"/>
        </w:rPr>
      </w:pPr>
      <w:r>
        <w:rPr>
          <w:rFonts w:cs="宋体" w:asciiTheme="minorEastAsia" w:hAnsiTheme="minorEastAsia" w:eastAsiaTheme="minorEastAsia"/>
          <w:b/>
          <w:bCs/>
          <w:szCs w:val="24"/>
        </w:rPr>
        <w:t>四、提交投标文件截止时间、开标时间和地点</w:t>
      </w:r>
    </w:p>
    <w:p>
      <w:pPr>
        <w:widowControl/>
        <w:shd w:val="clear" w:color="auto" w:fill="FFFFFF"/>
        <w:spacing w:line="360" w:lineRule="auto"/>
        <w:ind w:firstLine="480" w:firstLineChars="200"/>
        <w:textAlignment w:val="baseline"/>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时间：2023年</w:t>
      </w:r>
      <w:r>
        <w:rPr>
          <w:rFonts w:hint="eastAsia" w:cs="宋体" w:asciiTheme="minorEastAsia" w:hAnsiTheme="minorEastAsia" w:eastAsiaTheme="minorEastAsia"/>
          <w:color w:val="auto"/>
          <w:szCs w:val="24"/>
          <w:lang w:val="en-US" w:eastAsia="zh-CN"/>
        </w:rPr>
        <w:t>07</w:t>
      </w:r>
      <w:r>
        <w:rPr>
          <w:rFonts w:hint="eastAsia" w:cs="宋体" w:asciiTheme="minorEastAsia" w:hAnsiTheme="minorEastAsia" w:eastAsiaTheme="minorEastAsia"/>
          <w:color w:val="auto"/>
          <w:szCs w:val="24"/>
        </w:rPr>
        <w:t>月</w:t>
      </w:r>
      <w:r>
        <w:rPr>
          <w:rFonts w:hint="eastAsia" w:cs="宋体" w:asciiTheme="minorEastAsia" w:hAnsiTheme="minorEastAsia" w:eastAsiaTheme="minorEastAsia"/>
          <w:color w:val="auto"/>
          <w:szCs w:val="24"/>
          <w:lang w:val="en-US" w:eastAsia="zh-CN"/>
        </w:rPr>
        <w:t>14</w:t>
      </w:r>
      <w:r>
        <w:rPr>
          <w:rFonts w:hint="eastAsia" w:cs="宋体" w:asciiTheme="minorEastAsia" w:hAnsiTheme="minorEastAsia" w:eastAsiaTheme="minorEastAsia"/>
          <w:color w:val="auto"/>
          <w:szCs w:val="24"/>
        </w:rPr>
        <w:t>日09时00分00秒（北京时间）</w:t>
      </w:r>
    </w:p>
    <w:p>
      <w:pPr>
        <w:widowControl/>
        <w:shd w:val="clear" w:color="auto" w:fill="FFFFFF"/>
        <w:spacing w:line="360" w:lineRule="auto"/>
        <w:ind w:firstLine="480" w:firstLineChars="200"/>
        <w:textAlignment w:val="baseline"/>
        <w:rPr>
          <w:rFonts w:cs="宋体" w:asciiTheme="minorEastAsia" w:hAnsiTheme="minorEastAsia" w:eastAsiaTheme="minorEastAsia"/>
          <w:color w:val="auto"/>
          <w:szCs w:val="24"/>
        </w:rPr>
      </w:pPr>
      <w:r>
        <w:rPr>
          <w:rFonts w:hint="eastAsia" w:cs="宋体" w:asciiTheme="minorEastAsia" w:hAnsiTheme="minorEastAsia" w:eastAsiaTheme="minorEastAsia"/>
          <w:color w:val="auto"/>
          <w:szCs w:val="24"/>
        </w:rPr>
        <w:t>提交投标文件</w:t>
      </w:r>
      <w:r>
        <w:rPr>
          <w:rFonts w:cs="宋体" w:asciiTheme="minorEastAsia" w:hAnsiTheme="minorEastAsia" w:eastAsiaTheme="minorEastAsia"/>
          <w:color w:val="auto"/>
          <w:szCs w:val="24"/>
        </w:rPr>
        <w:t>地点：全国公共资源交易平台（陕西省·西安市）</w:t>
      </w:r>
    </w:p>
    <w:p>
      <w:pPr>
        <w:widowControl/>
        <w:shd w:val="clear" w:color="auto" w:fill="FFFFFF"/>
        <w:spacing w:line="360" w:lineRule="auto"/>
        <w:textAlignment w:val="baseline"/>
        <w:rPr>
          <w:rFonts w:cs="宋体" w:asciiTheme="minorEastAsia" w:hAnsiTheme="minorEastAsia" w:eastAsiaTheme="minorEastAsia"/>
          <w:b/>
          <w:bCs/>
          <w:szCs w:val="24"/>
        </w:rPr>
      </w:pPr>
      <w:r>
        <w:rPr>
          <w:rFonts w:hint="eastAsia" w:cs="宋体" w:asciiTheme="minorEastAsia" w:hAnsiTheme="minorEastAsia" w:eastAsiaTheme="minorEastAsia"/>
          <w:b/>
          <w:bCs/>
          <w:color w:val="auto"/>
          <w:szCs w:val="24"/>
        </w:rPr>
        <w:t xml:space="preserve"> </w:t>
      </w:r>
      <w:r>
        <w:rPr>
          <w:rFonts w:cs="宋体" w:asciiTheme="minorEastAsia" w:hAnsiTheme="minorEastAsia" w:eastAsiaTheme="minorEastAsia"/>
          <w:b/>
          <w:bCs/>
          <w:color w:val="auto"/>
          <w:szCs w:val="24"/>
        </w:rPr>
        <w:t xml:space="preserve">   </w:t>
      </w:r>
      <w:r>
        <w:rPr>
          <w:rFonts w:hint="eastAsia" w:cs="宋体" w:asciiTheme="minorEastAsia" w:hAnsiTheme="minorEastAsia" w:eastAsiaTheme="minorEastAsia"/>
          <w:color w:val="auto"/>
          <w:szCs w:val="24"/>
        </w:rPr>
        <w:t>开标地点：全国公共资源交易平台（陕西省·西安市）西</w:t>
      </w:r>
      <w:r>
        <w:rPr>
          <w:rFonts w:hint="eastAsia" w:cs="宋体" w:asciiTheme="minorEastAsia" w:hAnsiTheme="minorEastAsia" w:eastAsiaTheme="minorEastAsia"/>
          <w:szCs w:val="24"/>
        </w:rPr>
        <w:t>安市公共资源交易不见面开标大厅</w:t>
      </w:r>
    </w:p>
    <w:p>
      <w:pPr>
        <w:widowControl/>
        <w:shd w:val="clear" w:color="auto" w:fill="FFFFFF"/>
        <w:spacing w:line="360" w:lineRule="auto"/>
        <w:textAlignment w:val="baseline"/>
        <w:rPr>
          <w:rFonts w:cs="宋体" w:asciiTheme="minorEastAsia" w:hAnsiTheme="minorEastAsia" w:eastAsiaTheme="minorEastAsia"/>
          <w:szCs w:val="24"/>
        </w:rPr>
      </w:pPr>
      <w:r>
        <w:rPr>
          <w:rFonts w:cs="宋体" w:asciiTheme="minorEastAsia" w:hAnsiTheme="minorEastAsia" w:eastAsiaTheme="minorEastAsia"/>
          <w:b/>
          <w:bCs/>
          <w:szCs w:val="24"/>
        </w:rPr>
        <w:t>五、公告期限</w:t>
      </w:r>
    </w:p>
    <w:p>
      <w:pPr>
        <w:widowControl/>
        <w:shd w:val="clear" w:color="auto" w:fill="FFFFFF"/>
        <w:spacing w:line="360" w:lineRule="auto"/>
        <w:ind w:firstLine="480" w:firstLineChars="200"/>
        <w:textAlignment w:val="baseline"/>
        <w:rPr>
          <w:rFonts w:cs="宋体" w:asciiTheme="minorEastAsia" w:hAnsiTheme="minorEastAsia" w:eastAsiaTheme="minorEastAsia"/>
          <w:szCs w:val="24"/>
        </w:rPr>
      </w:pPr>
      <w:r>
        <w:rPr>
          <w:rFonts w:cs="宋体" w:asciiTheme="minorEastAsia" w:hAnsiTheme="minorEastAsia" w:eastAsiaTheme="minorEastAsia"/>
          <w:szCs w:val="24"/>
        </w:rPr>
        <w:t>自本公告发布之日起5个工作日。</w:t>
      </w:r>
    </w:p>
    <w:p>
      <w:pPr>
        <w:widowControl/>
        <w:shd w:val="clear" w:color="auto" w:fill="FFFFFF"/>
        <w:spacing w:line="360" w:lineRule="auto"/>
        <w:textAlignment w:val="baseline"/>
        <w:rPr>
          <w:rFonts w:cs="宋体" w:asciiTheme="minorEastAsia" w:hAnsiTheme="minorEastAsia" w:eastAsiaTheme="minorEastAsia"/>
          <w:szCs w:val="24"/>
        </w:rPr>
      </w:pPr>
      <w:r>
        <w:rPr>
          <w:rFonts w:cs="宋体" w:asciiTheme="minorEastAsia" w:hAnsiTheme="minorEastAsia" w:eastAsiaTheme="minorEastAsia"/>
          <w:b/>
          <w:bCs/>
          <w:szCs w:val="24"/>
        </w:rPr>
        <w:t>六、其他补充事宜</w:t>
      </w:r>
    </w:p>
    <w:p>
      <w:pPr>
        <w:widowControl/>
        <w:shd w:val="clear" w:color="auto" w:fill="FFFFFF"/>
        <w:spacing w:line="520" w:lineRule="exact"/>
        <w:ind w:firstLine="482" w:firstLineChars="200"/>
        <w:textAlignment w:val="baseline"/>
        <w:rPr>
          <w:rFonts w:cs="宋体" w:asciiTheme="minorEastAsia" w:hAnsiTheme="minorEastAsia" w:eastAsiaTheme="minorEastAsia"/>
          <w:b/>
          <w:bCs/>
          <w:szCs w:val="24"/>
          <w:lang w:val="en-US" w:eastAsia="zh-CN"/>
        </w:rPr>
      </w:pPr>
      <w:r>
        <w:rPr>
          <w:rFonts w:hint="eastAsia" w:cs="宋体" w:asciiTheme="minorEastAsia" w:hAnsiTheme="minorEastAsia" w:eastAsiaTheme="minorEastAsia"/>
          <w:b/>
          <w:bCs/>
          <w:szCs w:val="24"/>
          <w:lang w:val="en-US" w:eastAsia="zh-CN"/>
        </w:rPr>
        <w:t>注：本项目非专门面向中小企业采购。</w:t>
      </w:r>
    </w:p>
    <w:p>
      <w:pPr>
        <w:pStyle w:val="42"/>
        <w:spacing w:before="0" w:beforeAutospacing="0" w:after="0" w:afterAutospacing="0" w:line="360" w:lineRule="auto"/>
        <w:ind w:firstLine="480" w:firstLineChars="200"/>
        <w:jc w:val="both"/>
        <w:rPr>
          <w:rFonts w:hint="eastAsia" w:cs="宋体"/>
          <w:kern w:val="2"/>
        </w:rPr>
      </w:pPr>
      <w:r>
        <w:rPr>
          <w:rFonts w:hint="eastAsia" w:cs="宋体"/>
          <w:kern w:val="2"/>
        </w:rPr>
        <w:t>1</w:t>
      </w:r>
      <w:r>
        <w:rPr>
          <w:rFonts w:cs="宋体"/>
          <w:kern w:val="2"/>
        </w:rPr>
        <w:t>.</w:t>
      </w:r>
      <w:r>
        <w:rPr>
          <w:rFonts w:hint="eastAsia" w:cs="宋体"/>
          <w:kern w:val="2"/>
        </w:rPr>
        <w:t>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1</w:t>
      </w:r>
    </w:p>
    <w:p>
      <w:pPr>
        <w:pStyle w:val="42"/>
        <w:spacing w:before="0" w:beforeAutospacing="0" w:after="0" w:afterAutospacing="0" w:line="360" w:lineRule="auto"/>
        <w:ind w:firstLine="480" w:firstLineChars="200"/>
        <w:jc w:val="both"/>
        <w:rPr>
          <w:rFonts w:hint="eastAsia" w:cs="宋体"/>
          <w:kern w:val="2"/>
        </w:rPr>
      </w:pPr>
      <w:r>
        <w:rPr>
          <w:rFonts w:hint="eastAsia" w:cs="宋体"/>
          <w:kern w:val="2"/>
        </w:rPr>
        <w:t>2</w:t>
      </w:r>
      <w:r>
        <w:rPr>
          <w:rFonts w:cs="宋体"/>
          <w:kern w:val="2"/>
        </w:rPr>
        <w:t>.</w:t>
      </w:r>
      <w:r>
        <w:rPr>
          <w:rFonts w:hint="eastAsia" w:cs="宋体"/>
          <w:kern w:val="2"/>
        </w:rPr>
        <w:t>投标人初次使用交易平台，须先完成诚信入库登记、CA锁认证及企业信息绑定。本次项目采用不见面开标模式，相关操作流程详见全国公共资源交易平台（西安市）网站〖首页·〉服务指南·〉下载专区〗中的《西安市市级单位电子化政府采购项目投标指南》、《西安公共资源交易不见面开标大厅供应商操作手册》。技术支持电话：4009280095、4009980000。</w:t>
      </w:r>
    </w:p>
    <w:p>
      <w:pPr>
        <w:pStyle w:val="42"/>
        <w:spacing w:before="0" w:beforeAutospacing="0" w:after="0" w:afterAutospacing="0" w:line="360" w:lineRule="auto"/>
        <w:ind w:firstLine="480" w:firstLineChars="200"/>
        <w:jc w:val="both"/>
        <w:rPr>
          <w:rFonts w:hint="eastAsia" w:cs="宋体"/>
          <w:kern w:val="2"/>
        </w:rPr>
      </w:pPr>
      <w:r>
        <w:rPr>
          <w:rFonts w:hint="eastAsia" w:cs="宋体"/>
          <w:kern w:val="2"/>
        </w:rPr>
        <w:t>3</w:t>
      </w:r>
      <w:r>
        <w:rPr>
          <w:rFonts w:cs="宋体"/>
          <w:kern w:val="2"/>
        </w:rPr>
        <w:t>.</w:t>
      </w:r>
      <w:r>
        <w:rPr>
          <w:rFonts w:hint="eastAsia" w:cs="宋体"/>
          <w:kern w:val="2"/>
        </w:rPr>
        <w:t>请供应商按照陕西省财政厅关于政府采购供应商注册登记有关事项的通知中的要求，通过陕西省政府采购网（http://www.ccgp-shaanxi.gov.cn/）注册登记加入陕西省政府采购供应商库。</w:t>
      </w:r>
    </w:p>
    <w:p>
      <w:pPr>
        <w:pStyle w:val="42"/>
        <w:spacing w:before="0" w:beforeAutospacing="0" w:after="0" w:afterAutospacing="0" w:line="360" w:lineRule="auto"/>
        <w:ind w:firstLine="480" w:firstLineChars="200"/>
        <w:jc w:val="both"/>
        <w:rPr>
          <w:rFonts w:hint="eastAsia" w:cs="宋体"/>
          <w:kern w:val="2"/>
        </w:rPr>
      </w:pPr>
      <w:r>
        <w:rPr>
          <w:rFonts w:hint="eastAsia" w:cs="宋体"/>
          <w:kern w:val="2"/>
        </w:rPr>
        <w:t>4</w:t>
      </w:r>
      <w:r>
        <w:rPr>
          <w:rFonts w:cs="宋体"/>
          <w:kern w:val="2"/>
        </w:rPr>
        <w:t>.</w:t>
      </w:r>
      <w:r>
        <w:rPr>
          <w:rFonts w:hint="eastAsia" w:cs="宋体"/>
          <w:kern w:val="2"/>
        </w:rPr>
        <w:t>供应商于文件发售时间内登录全国公共资源交易平台（陕西省·西安市）系统（http：//sxggzyjy.xa.gov.cn/），选择本项目点击“我要投标”，参与投标活动；网上报名成功后，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下载通道将关闭，未及时下载招标文件将会影响投标文件编制及后续投标活动。</w:t>
      </w:r>
    </w:p>
    <w:p>
      <w:pPr>
        <w:pStyle w:val="42"/>
        <w:spacing w:before="0" w:beforeAutospacing="0" w:after="0" w:afterAutospacing="0" w:line="360" w:lineRule="auto"/>
        <w:ind w:firstLine="480" w:firstLineChars="200"/>
        <w:jc w:val="both"/>
        <w:rPr>
          <w:rFonts w:hint="eastAsia" w:cs="宋体"/>
          <w:kern w:val="2"/>
        </w:rPr>
      </w:pPr>
      <w:r>
        <w:rPr>
          <w:rFonts w:hint="eastAsia" w:cs="宋体"/>
          <w:kern w:val="2"/>
        </w:rPr>
        <w:t>5</w:t>
      </w:r>
      <w:r>
        <w:rPr>
          <w:rFonts w:cs="宋体"/>
          <w:kern w:val="2"/>
        </w:rPr>
        <w:t>.</w:t>
      </w:r>
      <w:r>
        <w:rPr>
          <w:rFonts w:hint="eastAsia" w:cs="宋体"/>
          <w:kern w:val="2"/>
        </w:rPr>
        <w:t>制作电子投标文件（*.SXSTF）需要使用专用制作工具进行编制，编制完成后使用CA锁对电子投标文件进行签章、加密递交电子投标文件。软件下载及操作说明详见西安市公共资源交易平台〖首页·〉服务指南·〉下载专区〗中的《政府采购项目投标文件制作软件及操作手册》。提交电子投标文件：在提交投标文件截止时间前及时提交加密后电子投标文件，逾期提交的，系统将会拒收。</w:t>
      </w:r>
    </w:p>
    <w:p>
      <w:pPr>
        <w:pStyle w:val="42"/>
        <w:spacing w:before="0" w:beforeAutospacing="0" w:after="0" w:afterAutospacing="0" w:line="360" w:lineRule="auto"/>
        <w:ind w:firstLine="482" w:firstLineChars="200"/>
        <w:jc w:val="both"/>
        <w:rPr>
          <w:rFonts w:hint="eastAsia" w:cs="宋体"/>
          <w:kern w:val="2"/>
        </w:rPr>
      </w:pPr>
      <w:r>
        <w:rPr>
          <w:rFonts w:hint="eastAsia" w:cs="宋体"/>
          <w:b/>
          <w:bCs/>
          <w:kern w:val="2"/>
        </w:rPr>
        <w:t>6</w:t>
      </w:r>
      <w:r>
        <w:rPr>
          <w:rFonts w:cs="宋体"/>
          <w:b/>
          <w:bCs/>
          <w:kern w:val="2"/>
        </w:rPr>
        <w:t>.</w:t>
      </w:r>
      <w:r>
        <w:rPr>
          <w:rFonts w:hint="eastAsia" w:cs="宋体"/>
          <w:b/>
          <w:bCs/>
          <w:kern w:val="2"/>
        </w:rPr>
        <w:t>提交投标文件截止时间前，供应商应随时留意〖陕西省政府采购网〗、〖全国公区资源交易平台（陕西省·西安市）〗上可能发布的变更公告。</w:t>
      </w:r>
      <w:r>
        <w:rPr>
          <w:rFonts w:hint="eastAsia" w:cs="宋体"/>
          <w:kern w:val="2"/>
        </w:rPr>
        <w:t>若变更公告中明确注明本项目提供有变更文件的，供应商应登录企业端后，从〖项目流程·&gt;项目管理·&gt;答疑文件下载〗获取更新后的电子招标文件（*.SXSCF）,使用旧版电子招标文件制作的电子投标文件（*.SXSTF），系统将拒绝接收。</w:t>
      </w:r>
    </w:p>
    <w:p>
      <w:pPr>
        <w:pStyle w:val="42"/>
        <w:spacing w:before="0" w:beforeAutospacing="0" w:after="0" w:afterAutospacing="0" w:line="360" w:lineRule="auto"/>
        <w:ind w:firstLine="480" w:firstLineChars="200"/>
        <w:jc w:val="both"/>
        <w:rPr>
          <w:rFonts w:hint="eastAsia" w:cs="宋体"/>
          <w:kern w:val="2"/>
        </w:rPr>
      </w:pPr>
      <w:r>
        <w:rPr>
          <w:rFonts w:hint="eastAsia" w:cs="宋体"/>
          <w:kern w:val="2"/>
        </w:rPr>
        <w:t>7</w:t>
      </w:r>
      <w:r>
        <w:rPr>
          <w:rFonts w:cs="宋体"/>
          <w:kern w:val="2"/>
        </w:rPr>
        <w:t>.</w:t>
      </w:r>
      <w:r>
        <w:rPr>
          <w:rFonts w:hint="eastAsia" w:cs="宋体"/>
          <w:kern w:val="2"/>
        </w:rPr>
        <w:t>本项目采用“不见面开标”方式，供应商无须到达开标现场，即可在网上直接参与开标活动。不见面开标大厅登录方式为：全国公共资源交易平台（陕西省·西安市）→不见面开标系统。相关操作流程详见全国公共资源交易平台（西安市）网站〖首页·〉服务指南·〉下载专区〗中的《西安公共资源交易不见面开标大厅供应商操作手册》。</w:t>
      </w:r>
    </w:p>
    <w:p>
      <w:pPr>
        <w:pStyle w:val="42"/>
        <w:spacing w:before="0" w:beforeAutospacing="0" w:after="0" w:afterAutospacing="0" w:line="360" w:lineRule="auto"/>
        <w:ind w:firstLine="480" w:firstLineChars="200"/>
        <w:jc w:val="both"/>
        <w:rPr>
          <w:rFonts w:cs="宋体"/>
          <w:kern w:val="2"/>
        </w:rPr>
      </w:pPr>
      <w:r>
        <w:rPr>
          <w:rFonts w:hint="eastAsia" w:cs="宋体"/>
          <w:kern w:val="2"/>
        </w:rPr>
        <w:t>8</w:t>
      </w:r>
      <w:r>
        <w:rPr>
          <w:rFonts w:cs="宋体"/>
          <w:kern w:val="2"/>
        </w:rPr>
        <w:t>.</w:t>
      </w:r>
      <w:r>
        <w:rPr>
          <w:rFonts w:hint="eastAsia" w:cs="宋体"/>
          <w:kern w:val="2"/>
        </w:rPr>
        <w:t>因投标人自身设施故障或自身原因导致无法完成签到、解密或投标的，由投标人自行承担后果。</w:t>
      </w:r>
    </w:p>
    <w:p>
      <w:pPr>
        <w:pStyle w:val="42"/>
        <w:spacing w:before="0" w:beforeAutospacing="0" w:after="0" w:afterAutospacing="0" w:line="360" w:lineRule="auto"/>
        <w:ind w:firstLine="480" w:firstLineChars="200"/>
        <w:jc w:val="both"/>
        <w:rPr>
          <w:rFonts w:hint="eastAsia" w:cs="宋体"/>
          <w:kern w:val="2"/>
        </w:rPr>
      </w:pPr>
      <w:r>
        <w:rPr>
          <w:rFonts w:hint="eastAsia" w:cs="宋体"/>
          <w:kern w:val="2"/>
        </w:rPr>
        <w:t>9</w:t>
      </w:r>
      <w:r>
        <w:rPr>
          <w:rFonts w:cs="宋体"/>
          <w:kern w:val="2"/>
        </w:rPr>
        <w:t>.</w:t>
      </w:r>
      <w:r>
        <w:rPr>
          <w:rFonts w:hint="eastAsia" w:cs="宋体"/>
        </w:rPr>
        <w:t>中标（结果）公告发布后由中标人在领取中标通知书时提供纸质投标文件一正两副用于备案。采用电子化评审系统的采购项目，其纸质投标文件应从政府采购项目投标文件制作软件中导出，分别装订成册。项目分标段的，应按所投标段分别准备投标文件。</w:t>
      </w:r>
      <w:r>
        <w:rPr>
          <w:rFonts w:hint="eastAsia" w:cs="宋体"/>
          <w:kern w:val="2"/>
        </w:rPr>
        <w:t>中标人应保持投标文件纸质版内容与电子版内容完全一致，否则将承担一切法律责任。</w:t>
      </w:r>
    </w:p>
    <w:p>
      <w:pPr>
        <w:widowControl/>
        <w:shd w:val="clear" w:color="auto" w:fill="FFFFFF"/>
        <w:spacing w:line="520" w:lineRule="exact"/>
        <w:ind w:firstLine="480" w:firstLineChars="200"/>
        <w:textAlignment w:val="baseline"/>
        <w:rPr>
          <w:rFonts w:hint="eastAsia" w:cs="宋体" w:asciiTheme="minorEastAsia" w:hAnsiTheme="minorEastAsia" w:eastAsiaTheme="minorEastAsia"/>
          <w:b w:val="0"/>
          <w:bCs w:val="0"/>
          <w:szCs w:val="24"/>
        </w:rPr>
      </w:pPr>
      <w:r>
        <w:rPr>
          <w:rFonts w:cs="宋体"/>
        </w:rPr>
        <w:t>10.</w:t>
      </w:r>
      <w:r>
        <w:rPr>
          <w:rFonts w:hint="eastAsia" w:cs="宋体"/>
        </w:rPr>
        <w:t>其他事项见本项目招标文件。</w:t>
      </w:r>
    </w:p>
    <w:p>
      <w:pPr>
        <w:widowControl/>
        <w:shd w:val="clear" w:color="auto" w:fill="FFFFFF"/>
        <w:spacing w:line="360" w:lineRule="auto"/>
        <w:textAlignment w:val="baseline"/>
        <w:rPr>
          <w:rFonts w:cs="宋体" w:asciiTheme="minorEastAsia" w:hAnsiTheme="minorEastAsia" w:eastAsiaTheme="minorEastAsia"/>
          <w:szCs w:val="24"/>
        </w:rPr>
      </w:pPr>
      <w:r>
        <w:rPr>
          <w:rFonts w:cs="宋体" w:asciiTheme="minorEastAsia" w:hAnsiTheme="minorEastAsia" w:eastAsiaTheme="minorEastAsia"/>
          <w:b/>
          <w:bCs/>
          <w:szCs w:val="24"/>
        </w:rPr>
        <w:t>七、对本次招标提出询问，请按以下方式联系。</w:t>
      </w:r>
    </w:p>
    <w:p>
      <w:pPr>
        <w:widowControl/>
        <w:shd w:val="clear" w:color="auto" w:fill="FFFFFF"/>
        <w:spacing w:line="360" w:lineRule="auto"/>
        <w:ind w:firstLine="480" w:firstLineChars="200"/>
        <w:textAlignment w:val="baseline"/>
        <w:rPr>
          <w:rFonts w:cs="宋体" w:asciiTheme="minorEastAsia" w:hAnsiTheme="minorEastAsia" w:eastAsiaTheme="minorEastAsia"/>
          <w:szCs w:val="24"/>
        </w:rPr>
      </w:pPr>
      <w:r>
        <w:rPr>
          <w:rFonts w:hint="eastAsia" w:cs="宋体" w:asciiTheme="minorEastAsia" w:hAnsiTheme="minorEastAsia" w:eastAsiaTheme="minorEastAsia"/>
          <w:szCs w:val="24"/>
        </w:rPr>
        <w:t>1.采购人信息：</w:t>
      </w:r>
      <w:r>
        <w:rPr>
          <w:rFonts w:cs="宋体" w:asciiTheme="minorEastAsia" w:hAnsiTheme="minorEastAsia" w:eastAsiaTheme="minorEastAsia"/>
          <w:szCs w:val="24"/>
        </w:rPr>
        <w:t xml:space="preserve"> </w:t>
      </w:r>
    </w:p>
    <w:p>
      <w:pPr>
        <w:widowControl/>
        <w:shd w:val="clear" w:color="auto" w:fill="FFFFFF"/>
        <w:spacing w:line="360" w:lineRule="auto"/>
        <w:ind w:firstLine="480" w:firstLineChars="200"/>
        <w:textAlignment w:val="baseline"/>
        <w:rPr>
          <w:rFonts w:cs="宋体" w:asciiTheme="minorEastAsia" w:hAnsiTheme="minorEastAsia" w:eastAsiaTheme="minorEastAsia"/>
          <w:szCs w:val="24"/>
        </w:rPr>
      </w:pPr>
      <w:r>
        <w:rPr>
          <w:rFonts w:hint="eastAsia" w:cs="宋体" w:asciiTheme="minorEastAsia" w:hAnsiTheme="minorEastAsia" w:eastAsiaTheme="minorEastAsia"/>
          <w:szCs w:val="24"/>
        </w:rPr>
        <w:t>名称：西安市公安局未央分局</w:t>
      </w:r>
    </w:p>
    <w:p>
      <w:pPr>
        <w:widowControl/>
        <w:shd w:val="clear" w:color="auto" w:fill="FFFFFF"/>
        <w:spacing w:line="360" w:lineRule="auto"/>
        <w:ind w:firstLine="480" w:firstLineChars="200"/>
        <w:textAlignment w:val="baseline"/>
        <w:rPr>
          <w:rFonts w:cs="宋体" w:asciiTheme="minorEastAsia" w:hAnsiTheme="minorEastAsia" w:eastAsiaTheme="minorEastAsia"/>
          <w:szCs w:val="24"/>
        </w:rPr>
      </w:pPr>
      <w:r>
        <w:rPr>
          <w:rFonts w:hint="eastAsia" w:cs="宋体" w:asciiTheme="minorEastAsia" w:hAnsiTheme="minorEastAsia" w:eastAsiaTheme="minorEastAsia"/>
          <w:szCs w:val="24"/>
        </w:rPr>
        <w:t>地址：西安市未央区政法巷21号</w:t>
      </w:r>
    </w:p>
    <w:p>
      <w:pPr>
        <w:widowControl/>
        <w:shd w:val="clear" w:color="auto" w:fill="FFFFFF"/>
        <w:spacing w:line="360" w:lineRule="auto"/>
        <w:ind w:firstLine="480" w:firstLineChars="200"/>
        <w:textAlignment w:val="baseline"/>
        <w:rPr>
          <w:rFonts w:cs="宋体" w:asciiTheme="minorEastAsia" w:hAnsiTheme="minorEastAsia" w:eastAsiaTheme="minorEastAsia"/>
          <w:szCs w:val="24"/>
        </w:rPr>
      </w:pPr>
      <w:r>
        <w:rPr>
          <w:rFonts w:hint="eastAsia" w:cs="宋体" w:asciiTheme="minorEastAsia" w:hAnsiTheme="minorEastAsia" w:eastAsiaTheme="minorEastAsia"/>
          <w:szCs w:val="24"/>
        </w:rPr>
        <w:t>联系方式：029-86757826</w:t>
      </w:r>
    </w:p>
    <w:p>
      <w:pPr>
        <w:widowControl/>
        <w:shd w:val="clear" w:color="auto" w:fill="FFFFFF"/>
        <w:spacing w:line="360" w:lineRule="auto"/>
        <w:ind w:firstLine="480" w:firstLineChars="200"/>
        <w:textAlignment w:val="baseline"/>
        <w:rPr>
          <w:rFonts w:cs="宋体" w:asciiTheme="minorEastAsia" w:hAnsiTheme="minorEastAsia" w:eastAsiaTheme="minorEastAsia"/>
          <w:szCs w:val="24"/>
        </w:rPr>
      </w:pPr>
      <w:r>
        <w:rPr>
          <w:rFonts w:hint="eastAsia" w:cs="宋体" w:asciiTheme="minorEastAsia" w:hAnsiTheme="minorEastAsia" w:eastAsiaTheme="minorEastAsia"/>
          <w:szCs w:val="24"/>
        </w:rPr>
        <w:t>2.采购代理机构信息</w:t>
      </w:r>
    </w:p>
    <w:p>
      <w:pPr>
        <w:widowControl/>
        <w:shd w:val="clear" w:color="auto" w:fill="FFFFFF"/>
        <w:spacing w:line="360" w:lineRule="auto"/>
        <w:ind w:firstLine="480" w:firstLineChars="200"/>
        <w:textAlignment w:val="baseline"/>
        <w:rPr>
          <w:rFonts w:cs="宋体" w:asciiTheme="minorEastAsia" w:hAnsiTheme="minorEastAsia" w:eastAsiaTheme="minorEastAsia"/>
          <w:szCs w:val="24"/>
        </w:rPr>
      </w:pPr>
      <w:r>
        <w:rPr>
          <w:rFonts w:hint="eastAsia" w:cs="宋体" w:asciiTheme="minorEastAsia" w:hAnsiTheme="minorEastAsia" w:eastAsiaTheme="minorEastAsia"/>
          <w:szCs w:val="24"/>
        </w:rPr>
        <w:t>名称：陕西万兴招标代理有限公司</w:t>
      </w:r>
    </w:p>
    <w:p>
      <w:pPr>
        <w:widowControl/>
        <w:shd w:val="clear" w:color="auto" w:fill="FFFFFF"/>
        <w:spacing w:line="360" w:lineRule="auto"/>
        <w:ind w:firstLine="480" w:firstLineChars="200"/>
        <w:textAlignment w:val="baseline"/>
        <w:rPr>
          <w:rFonts w:cs="宋体" w:asciiTheme="minorEastAsia" w:hAnsiTheme="minorEastAsia" w:eastAsiaTheme="minorEastAsia"/>
          <w:szCs w:val="24"/>
        </w:rPr>
      </w:pPr>
      <w:r>
        <w:rPr>
          <w:rFonts w:hint="eastAsia" w:cs="宋体" w:asciiTheme="minorEastAsia" w:hAnsiTheme="minorEastAsia" w:eastAsiaTheme="minorEastAsia"/>
          <w:szCs w:val="24"/>
        </w:rPr>
        <w:t>地址：西安市新城区解放路77号裕朗国际1303室</w:t>
      </w:r>
    </w:p>
    <w:p>
      <w:pPr>
        <w:widowControl/>
        <w:shd w:val="clear" w:color="auto" w:fill="FFFFFF"/>
        <w:spacing w:line="360" w:lineRule="auto"/>
        <w:ind w:firstLine="480" w:firstLineChars="200"/>
        <w:textAlignment w:val="baseline"/>
        <w:rPr>
          <w:rFonts w:cs="宋体" w:asciiTheme="minorEastAsia" w:hAnsiTheme="minorEastAsia" w:eastAsiaTheme="minorEastAsia"/>
          <w:szCs w:val="24"/>
        </w:rPr>
      </w:pPr>
      <w:r>
        <w:rPr>
          <w:rFonts w:hint="eastAsia" w:cs="宋体" w:asciiTheme="minorEastAsia" w:hAnsiTheme="minorEastAsia" w:eastAsiaTheme="minorEastAsia"/>
          <w:szCs w:val="24"/>
        </w:rPr>
        <w:t>联系方式：</w:t>
      </w:r>
      <w:r>
        <w:rPr>
          <w:rFonts w:cs="宋体" w:asciiTheme="minorEastAsia" w:hAnsiTheme="minorEastAsia" w:eastAsiaTheme="minorEastAsia"/>
          <w:szCs w:val="24"/>
        </w:rPr>
        <w:t>029-89627187</w:t>
      </w:r>
    </w:p>
    <w:p>
      <w:pPr>
        <w:widowControl/>
        <w:shd w:val="clear" w:color="auto" w:fill="FFFFFF"/>
        <w:spacing w:line="360" w:lineRule="auto"/>
        <w:ind w:firstLine="480" w:firstLineChars="200"/>
        <w:textAlignment w:val="baseline"/>
        <w:rPr>
          <w:rFonts w:cs="宋体" w:asciiTheme="minorEastAsia" w:hAnsiTheme="minorEastAsia" w:eastAsiaTheme="minorEastAsia"/>
          <w:szCs w:val="24"/>
        </w:rPr>
      </w:pPr>
      <w:r>
        <w:rPr>
          <w:rFonts w:hint="eastAsia" w:cs="宋体" w:asciiTheme="minorEastAsia" w:hAnsiTheme="minorEastAsia" w:eastAsiaTheme="minorEastAsia"/>
          <w:szCs w:val="24"/>
        </w:rPr>
        <w:t>3.项目联系方式</w:t>
      </w:r>
    </w:p>
    <w:p>
      <w:pPr>
        <w:widowControl/>
        <w:shd w:val="clear" w:color="auto" w:fill="FFFFFF"/>
        <w:spacing w:line="360" w:lineRule="auto"/>
        <w:ind w:firstLine="480" w:firstLineChars="200"/>
        <w:textAlignment w:val="baseline"/>
        <w:rPr>
          <w:rFonts w:cs="宋体" w:asciiTheme="minorEastAsia" w:hAnsiTheme="minorEastAsia" w:eastAsiaTheme="minorEastAsia"/>
          <w:szCs w:val="24"/>
        </w:rPr>
      </w:pPr>
      <w:r>
        <w:rPr>
          <w:rFonts w:hint="eastAsia" w:cs="宋体" w:asciiTheme="minorEastAsia" w:hAnsiTheme="minorEastAsia" w:eastAsiaTheme="minorEastAsia"/>
          <w:szCs w:val="24"/>
        </w:rPr>
        <w:t>项目联系人：董工</w:t>
      </w:r>
    </w:p>
    <w:p>
      <w:pPr>
        <w:widowControl/>
        <w:shd w:val="clear" w:color="auto" w:fill="FFFFFF"/>
        <w:spacing w:line="360" w:lineRule="auto"/>
        <w:ind w:firstLine="480" w:firstLineChars="200"/>
        <w:textAlignment w:val="baseline"/>
        <w:rPr>
          <w:rFonts w:cs="宋体" w:asciiTheme="minorEastAsia" w:hAnsiTheme="minorEastAsia" w:eastAsiaTheme="minorEastAsia"/>
          <w:szCs w:val="24"/>
        </w:rPr>
      </w:pPr>
      <w:r>
        <w:rPr>
          <w:rFonts w:hint="eastAsia" w:cs="宋体" w:asciiTheme="minorEastAsia" w:hAnsiTheme="minorEastAsia" w:eastAsiaTheme="minorEastAsia"/>
          <w:szCs w:val="24"/>
        </w:rPr>
        <w:t>电话：</w:t>
      </w:r>
      <w:r>
        <w:rPr>
          <w:rFonts w:cs="宋体" w:asciiTheme="minorEastAsia" w:hAnsiTheme="minorEastAsia" w:eastAsiaTheme="minorEastAsia"/>
          <w:szCs w:val="24"/>
        </w:rPr>
        <w:t>029-89627187</w:t>
      </w:r>
    </w:p>
    <w:p>
      <w:pPr>
        <w:widowControl/>
        <w:shd w:val="clear" w:color="auto" w:fill="FFFFFF"/>
        <w:spacing w:line="360" w:lineRule="auto"/>
        <w:jc w:val="right"/>
        <w:textAlignment w:val="baseline"/>
        <w:rPr>
          <w:rFonts w:cs="宋体" w:asciiTheme="minorEastAsia" w:hAnsiTheme="minorEastAsia"/>
          <w:szCs w:val="24"/>
        </w:rPr>
      </w:pPr>
    </w:p>
    <w:p>
      <w:pPr>
        <w:widowControl/>
        <w:shd w:val="clear" w:color="auto" w:fill="FFFFFF"/>
        <w:spacing w:line="360" w:lineRule="auto"/>
        <w:jc w:val="right"/>
        <w:textAlignment w:val="baseline"/>
        <w:rPr>
          <w:rFonts w:cs="宋体" w:asciiTheme="minorEastAsia" w:hAnsiTheme="minorEastAsia" w:eastAsiaTheme="minorEastAsia"/>
          <w:szCs w:val="24"/>
        </w:rPr>
      </w:pPr>
      <w:r>
        <w:rPr>
          <w:rFonts w:hint="eastAsia" w:cs="宋体" w:asciiTheme="minorEastAsia" w:hAnsiTheme="minorEastAsia"/>
          <w:szCs w:val="24"/>
        </w:rPr>
        <w:t>陕西万兴招标代理有限公司</w:t>
      </w:r>
    </w:p>
    <w:p>
      <w:pPr>
        <w:jc w:val="right"/>
        <w:outlineLvl w:val="0"/>
        <w:rPr>
          <w:rFonts w:cs="宋体" w:asciiTheme="minorEastAsia" w:hAnsiTheme="minorEastAsia" w:eastAsiaTheme="minorEastAsia"/>
          <w:color w:val="auto"/>
          <w:szCs w:val="24"/>
        </w:rPr>
        <w:sectPr>
          <w:footerReference r:id="rId9" w:type="default"/>
          <w:pgSz w:w="11906" w:h="16838"/>
          <w:pgMar w:top="1417" w:right="1418" w:bottom="1417" w:left="1417" w:header="1134" w:footer="850" w:gutter="0"/>
          <w:pgNumType w:start="1"/>
          <w:cols w:space="720" w:num="1"/>
          <w:docGrid w:type="lines" w:linePitch="312" w:charSpace="0"/>
        </w:sectPr>
      </w:pPr>
      <w:r>
        <w:rPr>
          <w:rFonts w:cs="宋体" w:asciiTheme="minorEastAsia" w:hAnsiTheme="minorEastAsia" w:eastAsiaTheme="minorEastAsia"/>
          <w:color w:val="auto"/>
          <w:szCs w:val="24"/>
        </w:rPr>
        <w:t>2023年0</w:t>
      </w:r>
      <w:r>
        <w:rPr>
          <w:rFonts w:hint="eastAsia" w:cs="宋体" w:asciiTheme="minorEastAsia" w:hAnsiTheme="minorEastAsia" w:eastAsiaTheme="minorEastAsia"/>
          <w:color w:val="auto"/>
          <w:szCs w:val="24"/>
          <w:lang w:val="en-US" w:eastAsia="zh-CN"/>
        </w:rPr>
        <w:t>6</w:t>
      </w:r>
      <w:r>
        <w:rPr>
          <w:rFonts w:cs="宋体" w:asciiTheme="minorEastAsia" w:hAnsiTheme="minorEastAsia" w:eastAsiaTheme="minorEastAsia"/>
          <w:color w:val="auto"/>
          <w:szCs w:val="24"/>
        </w:rPr>
        <w:t>月</w:t>
      </w:r>
      <w:r>
        <w:rPr>
          <w:rFonts w:hint="eastAsia" w:cs="宋体" w:asciiTheme="minorEastAsia" w:hAnsiTheme="minorEastAsia" w:eastAsiaTheme="minorEastAsia"/>
          <w:color w:val="auto"/>
          <w:szCs w:val="24"/>
          <w:lang w:val="en-US" w:eastAsia="zh-CN"/>
        </w:rPr>
        <w:t>21</w:t>
      </w:r>
      <w:r>
        <w:rPr>
          <w:rFonts w:cs="宋体" w:asciiTheme="minorEastAsia" w:hAnsiTheme="minorEastAsia" w:eastAsiaTheme="minorEastAsia"/>
          <w:color w:val="auto"/>
          <w:szCs w:val="24"/>
        </w:rPr>
        <w:t>日</w:t>
      </w:r>
    </w:p>
    <w:p>
      <w:pPr>
        <w:spacing w:line="360" w:lineRule="auto"/>
        <w:jc w:val="center"/>
        <w:rPr>
          <w:rStyle w:val="62"/>
          <w:rFonts w:ascii="宋体" w:eastAsia="宋体" w:cs="宋体"/>
          <w:sz w:val="36"/>
          <w:szCs w:val="36"/>
        </w:rPr>
      </w:pPr>
      <w:bookmarkStart w:id="12" w:name="_Toc389582035"/>
      <w:bookmarkStart w:id="13" w:name="_Toc2929"/>
      <w:bookmarkStart w:id="14" w:name="_Toc426457692"/>
      <w:bookmarkStart w:id="15" w:name="_Toc7261"/>
      <w:bookmarkStart w:id="16" w:name="_Toc30304"/>
      <w:r>
        <w:rPr>
          <w:rStyle w:val="62"/>
          <w:rFonts w:hint="eastAsia" w:ascii="宋体" w:eastAsia="宋体" w:cs="宋体"/>
          <w:sz w:val="36"/>
          <w:szCs w:val="36"/>
        </w:rPr>
        <w:t xml:space="preserve">第二章  </w:t>
      </w:r>
      <w:bookmarkEnd w:id="12"/>
      <w:bookmarkEnd w:id="13"/>
      <w:r>
        <w:rPr>
          <w:rStyle w:val="62"/>
          <w:rFonts w:hint="eastAsia" w:eastAsia="宋体" w:cs="宋体"/>
          <w:sz w:val="36"/>
          <w:szCs w:val="36"/>
        </w:rPr>
        <w:t>供应商</w:t>
      </w:r>
      <w:r>
        <w:rPr>
          <w:rStyle w:val="62"/>
          <w:rFonts w:hint="eastAsia" w:ascii="宋体" w:eastAsia="宋体" w:cs="宋体"/>
          <w:sz w:val="36"/>
          <w:szCs w:val="36"/>
        </w:rPr>
        <w:t>须知</w:t>
      </w:r>
      <w:bookmarkEnd w:id="14"/>
    </w:p>
    <w:bookmarkEnd w:id="15"/>
    <w:bookmarkEnd w:id="16"/>
    <w:p>
      <w:pPr>
        <w:pStyle w:val="4"/>
        <w:spacing w:before="120" w:after="120"/>
        <w:jc w:val="center"/>
        <w:rPr>
          <w:rFonts w:ascii="宋体" w:hAnsi="宋体" w:cs="宋体"/>
          <w:sz w:val="32"/>
        </w:rPr>
      </w:pPr>
      <w:bookmarkStart w:id="17" w:name="_Toc30222"/>
      <w:bookmarkStart w:id="18" w:name="_Toc23108"/>
      <w:bookmarkStart w:id="19" w:name="_Toc11975"/>
      <w:bookmarkStart w:id="20" w:name="_Toc1690"/>
      <w:bookmarkStart w:id="21" w:name="_Toc426457693"/>
      <w:bookmarkStart w:id="22" w:name="_Toc7400"/>
      <w:r>
        <w:rPr>
          <w:rFonts w:hint="eastAsia" w:ascii="宋体" w:hAnsi="宋体" w:cs="宋体"/>
          <w:sz w:val="32"/>
        </w:rPr>
        <w:t>供应商须知前附表</w:t>
      </w:r>
      <w:bookmarkEnd w:id="17"/>
      <w:bookmarkEnd w:id="18"/>
      <w:bookmarkEnd w:id="19"/>
      <w:bookmarkEnd w:id="20"/>
      <w:bookmarkEnd w:id="21"/>
      <w:bookmarkEnd w:id="22"/>
    </w:p>
    <w:tbl>
      <w:tblPr>
        <w:tblStyle w:val="46"/>
        <w:tblW w:w="945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245"/>
        <w:gridCol w:w="2071"/>
        <w:gridCol w:w="614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04" w:hRule="atLeast"/>
          <w:tblHeader/>
          <w:jc w:val="center"/>
        </w:trPr>
        <w:tc>
          <w:tcPr>
            <w:tcW w:w="1245" w:type="dxa"/>
            <w:vAlign w:val="center"/>
          </w:tcPr>
          <w:p>
            <w:pPr>
              <w:spacing w:before="163" w:line="360" w:lineRule="auto"/>
              <w:jc w:val="center"/>
              <w:rPr>
                <w:rFonts w:hAnsi="宋体" w:cs="宋体"/>
                <w:b/>
                <w:szCs w:val="24"/>
              </w:rPr>
            </w:pPr>
            <w:r>
              <w:rPr>
                <w:rFonts w:hint="eastAsia" w:hAnsi="宋体" w:cs="宋体"/>
                <w:b/>
                <w:szCs w:val="24"/>
              </w:rPr>
              <w:t>条款号</w:t>
            </w:r>
          </w:p>
        </w:tc>
        <w:tc>
          <w:tcPr>
            <w:tcW w:w="2071" w:type="dxa"/>
            <w:vAlign w:val="center"/>
          </w:tcPr>
          <w:p>
            <w:pPr>
              <w:spacing w:before="163" w:line="360" w:lineRule="auto"/>
              <w:jc w:val="center"/>
              <w:rPr>
                <w:rFonts w:hAnsi="宋体" w:cs="宋体"/>
                <w:b/>
                <w:szCs w:val="24"/>
              </w:rPr>
            </w:pPr>
            <w:r>
              <w:rPr>
                <w:rFonts w:hint="eastAsia" w:hAnsi="宋体" w:cs="宋体"/>
                <w:b/>
                <w:szCs w:val="24"/>
              </w:rPr>
              <w:t>条款内容提示</w:t>
            </w:r>
          </w:p>
        </w:tc>
        <w:tc>
          <w:tcPr>
            <w:tcW w:w="6142" w:type="dxa"/>
            <w:vAlign w:val="center"/>
          </w:tcPr>
          <w:p>
            <w:pPr>
              <w:spacing w:before="163" w:line="360" w:lineRule="auto"/>
              <w:jc w:val="center"/>
              <w:rPr>
                <w:rFonts w:hAnsi="宋体" w:cs="宋体"/>
                <w:b/>
                <w:szCs w:val="24"/>
              </w:rPr>
            </w:pPr>
            <w:r>
              <w:rPr>
                <w:rFonts w:hint="eastAsia" w:hAnsi="宋体" w:cs="宋体"/>
                <w:b/>
                <w:szCs w:val="24"/>
              </w:rPr>
              <w:t>编 列 内 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0" w:hRule="atLeast"/>
          <w:jc w:val="center"/>
        </w:trPr>
        <w:tc>
          <w:tcPr>
            <w:tcW w:w="1245" w:type="dxa"/>
            <w:vAlign w:val="center"/>
          </w:tcPr>
          <w:p>
            <w:pPr>
              <w:spacing w:line="360" w:lineRule="auto"/>
              <w:jc w:val="center"/>
              <w:rPr>
                <w:rFonts w:hAnsi="宋体" w:cs="宋体"/>
                <w:szCs w:val="24"/>
              </w:rPr>
            </w:pPr>
            <w:r>
              <w:rPr>
                <w:rFonts w:hint="eastAsia" w:hAnsi="宋体" w:cs="宋体"/>
                <w:szCs w:val="24"/>
              </w:rPr>
              <w:t>2.1</w:t>
            </w:r>
          </w:p>
        </w:tc>
        <w:tc>
          <w:tcPr>
            <w:tcW w:w="2071" w:type="dxa"/>
            <w:vAlign w:val="center"/>
          </w:tcPr>
          <w:p>
            <w:pPr>
              <w:spacing w:line="360" w:lineRule="auto"/>
              <w:jc w:val="center"/>
              <w:rPr>
                <w:rFonts w:hAnsi="宋体" w:cs="宋体"/>
                <w:szCs w:val="24"/>
              </w:rPr>
            </w:pPr>
            <w:r>
              <w:rPr>
                <w:rFonts w:hint="eastAsia" w:hAnsi="宋体" w:cs="宋体"/>
                <w:szCs w:val="24"/>
              </w:rPr>
              <w:t>采购人</w:t>
            </w:r>
          </w:p>
        </w:tc>
        <w:tc>
          <w:tcPr>
            <w:tcW w:w="6142" w:type="dxa"/>
          </w:tcPr>
          <w:p>
            <w:pPr>
              <w:spacing w:line="360" w:lineRule="auto"/>
              <w:ind w:left="360" w:hanging="360" w:hangingChars="150"/>
              <w:rPr>
                <w:rFonts w:hAnsi="宋体"/>
                <w:szCs w:val="21"/>
              </w:rPr>
            </w:pPr>
            <w:r>
              <w:rPr>
                <w:rFonts w:hint="eastAsia" w:hAnsi="宋体"/>
                <w:szCs w:val="21"/>
              </w:rPr>
              <w:t>名称：西安市公安局未央分局</w:t>
            </w:r>
          </w:p>
          <w:p>
            <w:pPr>
              <w:spacing w:line="360" w:lineRule="auto"/>
              <w:rPr>
                <w:rFonts w:hAnsi="宋体" w:cs="宋体"/>
                <w:szCs w:val="24"/>
              </w:rPr>
            </w:pPr>
            <w:r>
              <w:rPr>
                <w:rFonts w:hint="eastAsia" w:hAnsi="宋体" w:cs="宋体"/>
                <w:szCs w:val="24"/>
              </w:rPr>
              <w:t>地址：西安市未央区政法巷21号</w:t>
            </w:r>
          </w:p>
          <w:p>
            <w:pPr>
              <w:spacing w:line="360" w:lineRule="auto"/>
              <w:rPr>
                <w:rFonts w:hAnsi="宋体" w:cs="宋体"/>
                <w:szCs w:val="24"/>
              </w:rPr>
            </w:pPr>
            <w:r>
              <w:rPr>
                <w:rFonts w:hint="eastAsia" w:hAnsi="宋体" w:cs="宋体"/>
                <w:szCs w:val="24"/>
              </w:rPr>
              <w:t>联系人：梁警官</w:t>
            </w:r>
          </w:p>
          <w:p>
            <w:pPr>
              <w:spacing w:line="360" w:lineRule="auto"/>
              <w:rPr>
                <w:rFonts w:hAnsi="宋体" w:cs="宋体"/>
                <w:szCs w:val="24"/>
              </w:rPr>
            </w:pPr>
            <w:r>
              <w:rPr>
                <w:rFonts w:hint="eastAsia" w:hAnsi="宋体" w:cs="宋体"/>
                <w:szCs w:val="24"/>
              </w:rPr>
              <w:t>电话：029-86757826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0" w:hRule="atLeast"/>
          <w:jc w:val="center"/>
        </w:trPr>
        <w:tc>
          <w:tcPr>
            <w:tcW w:w="1245" w:type="dxa"/>
            <w:vAlign w:val="center"/>
          </w:tcPr>
          <w:p>
            <w:pPr>
              <w:spacing w:line="360" w:lineRule="auto"/>
              <w:jc w:val="center"/>
              <w:rPr>
                <w:rFonts w:hAnsi="宋体" w:cs="宋体"/>
                <w:szCs w:val="24"/>
              </w:rPr>
            </w:pPr>
            <w:r>
              <w:rPr>
                <w:rFonts w:hint="eastAsia" w:hAnsi="宋体" w:cs="宋体"/>
                <w:szCs w:val="24"/>
              </w:rPr>
              <w:t>2.2</w:t>
            </w:r>
          </w:p>
        </w:tc>
        <w:tc>
          <w:tcPr>
            <w:tcW w:w="2071" w:type="dxa"/>
            <w:vAlign w:val="center"/>
          </w:tcPr>
          <w:p>
            <w:pPr>
              <w:spacing w:line="360" w:lineRule="auto"/>
              <w:jc w:val="center"/>
              <w:rPr>
                <w:rFonts w:hAnsi="宋体" w:cs="宋体"/>
                <w:szCs w:val="24"/>
              </w:rPr>
            </w:pPr>
            <w:r>
              <w:rPr>
                <w:rFonts w:hint="eastAsia" w:hAnsi="宋体" w:cs="宋体"/>
                <w:szCs w:val="24"/>
              </w:rPr>
              <w:t>采购代理机构</w:t>
            </w:r>
          </w:p>
        </w:tc>
        <w:tc>
          <w:tcPr>
            <w:tcW w:w="6142" w:type="dxa"/>
          </w:tcPr>
          <w:p>
            <w:pPr>
              <w:spacing w:line="360" w:lineRule="auto"/>
              <w:rPr>
                <w:rFonts w:hAnsi="宋体"/>
                <w:szCs w:val="21"/>
              </w:rPr>
            </w:pPr>
            <w:r>
              <w:rPr>
                <w:rFonts w:hint="eastAsia" w:hAnsi="宋体"/>
                <w:szCs w:val="21"/>
              </w:rPr>
              <w:t>名称：陕西万兴招标代理有限公司</w:t>
            </w:r>
          </w:p>
          <w:p>
            <w:pPr>
              <w:spacing w:line="360" w:lineRule="auto"/>
              <w:rPr>
                <w:rFonts w:hAnsi="宋体"/>
                <w:szCs w:val="21"/>
              </w:rPr>
            </w:pPr>
            <w:r>
              <w:rPr>
                <w:rFonts w:hint="eastAsia" w:hAnsi="宋体"/>
                <w:szCs w:val="21"/>
              </w:rPr>
              <w:t>地址：西安市新城区解放路77号裕朗国际1303室</w:t>
            </w:r>
          </w:p>
          <w:p>
            <w:pPr>
              <w:spacing w:line="360" w:lineRule="auto"/>
              <w:rPr>
                <w:rFonts w:hAnsi="宋体"/>
                <w:szCs w:val="21"/>
              </w:rPr>
            </w:pPr>
            <w:r>
              <w:rPr>
                <w:rFonts w:hint="eastAsia" w:hAnsi="宋体"/>
                <w:szCs w:val="21"/>
              </w:rPr>
              <w:t>联系人：董雪</w:t>
            </w:r>
          </w:p>
          <w:p>
            <w:pPr>
              <w:spacing w:line="360" w:lineRule="auto"/>
              <w:rPr>
                <w:rFonts w:hAnsi="宋体" w:cs="宋体"/>
                <w:szCs w:val="24"/>
              </w:rPr>
            </w:pPr>
            <w:r>
              <w:rPr>
                <w:rFonts w:hint="eastAsia" w:hAnsi="宋体"/>
                <w:szCs w:val="21"/>
              </w:rPr>
              <w:t>联系方式：029-89627187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0" w:hRule="atLeast"/>
          <w:jc w:val="center"/>
        </w:trPr>
        <w:tc>
          <w:tcPr>
            <w:tcW w:w="1245" w:type="dxa"/>
            <w:vAlign w:val="center"/>
          </w:tcPr>
          <w:p>
            <w:pPr>
              <w:spacing w:line="360" w:lineRule="auto"/>
              <w:ind w:left="48" w:leftChars="20"/>
              <w:jc w:val="center"/>
              <w:rPr>
                <w:rFonts w:hint="eastAsia" w:hAnsi="宋体" w:eastAsia="宋体" w:cs="宋体"/>
                <w:szCs w:val="24"/>
                <w:lang w:eastAsia="zh-CN"/>
              </w:rPr>
            </w:pPr>
            <w:r>
              <w:rPr>
                <w:rFonts w:hint="eastAsia"/>
                <w:szCs w:val="24"/>
              </w:rPr>
              <w:t>3.</w:t>
            </w:r>
            <w:r>
              <w:rPr>
                <w:rFonts w:hint="eastAsia"/>
                <w:szCs w:val="24"/>
                <w:lang w:val="en-US" w:eastAsia="zh-CN"/>
              </w:rPr>
              <w:t>6</w:t>
            </w:r>
          </w:p>
        </w:tc>
        <w:tc>
          <w:tcPr>
            <w:tcW w:w="2071" w:type="dxa"/>
            <w:vAlign w:val="center"/>
          </w:tcPr>
          <w:p>
            <w:pPr>
              <w:spacing w:line="360" w:lineRule="auto"/>
              <w:ind w:left="48" w:leftChars="20"/>
              <w:jc w:val="center"/>
              <w:rPr>
                <w:rFonts w:hAnsi="宋体" w:cs="宋体"/>
                <w:szCs w:val="24"/>
              </w:rPr>
            </w:pPr>
            <w:r>
              <w:rPr>
                <w:rFonts w:hint="eastAsia" w:hAnsi="宋体"/>
                <w:szCs w:val="24"/>
              </w:rPr>
              <w:t>联合体投标</w:t>
            </w:r>
          </w:p>
        </w:tc>
        <w:tc>
          <w:tcPr>
            <w:tcW w:w="6142" w:type="dxa"/>
            <w:vAlign w:val="center"/>
          </w:tcPr>
          <w:p>
            <w:pPr>
              <w:pStyle w:val="2"/>
              <w:spacing w:line="360" w:lineRule="auto"/>
              <w:jc w:val="left"/>
              <w:rPr>
                <w:rFonts w:hAnsi="宋体"/>
                <w:kern w:val="0"/>
                <w:sz w:val="24"/>
                <w:szCs w:val="22"/>
              </w:rPr>
            </w:pPr>
            <w:r>
              <w:rPr>
                <w:rFonts w:hint="eastAsia" w:hAnsi="宋体"/>
                <w:kern w:val="0"/>
                <w:sz w:val="24"/>
                <w:szCs w:val="22"/>
              </w:rPr>
              <w:t>□ 接受</w:t>
            </w:r>
          </w:p>
          <w:p>
            <w:pPr>
              <w:spacing w:line="360" w:lineRule="auto"/>
              <w:rPr>
                <w:rFonts w:hAnsi="宋体"/>
                <w:szCs w:val="21"/>
              </w:rPr>
            </w:pPr>
            <w:r>
              <w:rPr>
                <w:rFonts w:ascii="Segoe UI Symbol" w:hAnsi="Segoe UI Symbol" w:cs="Segoe UI Symbol"/>
              </w:rPr>
              <w:t>☑</w:t>
            </w:r>
            <w:r>
              <w:rPr>
                <w:rFonts w:ascii="Times New Roman"/>
                <w:b/>
              </w:rPr>
              <w:t xml:space="preserve"> </w:t>
            </w:r>
            <w:r>
              <w:rPr>
                <w:rFonts w:hint="eastAsia" w:ascii="Times New Roman"/>
              </w:rPr>
              <w:t>不接受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23" w:hRule="atLeast"/>
          <w:jc w:val="center"/>
        </w:trPr>
        <w:tc>
          <w:tcPr>
            <w:tcW w:w="1245" w:type="dxa"/>
            <w:vAlign w:val="center"/>
          </w:tcPr>
          <w:p>
            <w:pPr>
              <w:spacing w:line="360" w:lineRule="auto"/>
              <w:jc w:val="center"/>
              <w:rPr>
                <w:rFonts w:hAnsi="宋体" w:cs="宋体"/>
                <w:szCs w:val="24"/>
              </w:rPr>
            </w:pPr>
            <w:r>
              <w:rPr>
                <w:rFonts w:hint="eastAsia" w:hAnsi="宋体" w:cs="宋体"/>
                <w:szCs w:val="24"/>
                <w:lang w:val="en-US" w:eastAsia="zh-CN"/>
              </w:rPr>
              <w:t>9</w:t>
            </w:r>
            <w:r>
              <w:rPr>
                <w:rFonts w:hint="eastAsia" w:hAnsi="宋体" w:cs="宋体"/>
                <w:szCs w:val="24"/>
              </w:rPr>
              <w:t>.2</w:t>
            </w:r>
          </w:p>
        </w:tc>
        <w:tc>
          <w:tcPr>
            <w:tcW w:w="2071" w:type="dxa"/>
            <w:vAlign w:val="center"/>
          </w:tcPr>
          <w:p>
            <w:pPr>
              <w:spacing w:line="360" w:lineRule="auto"/>
              <w:jc w:val="center"/>
              <w:rPr>
                <w:rFonts w:hAnsi="宋体" w:cs="宋体"/>
                <w:szCs w:val="24"/>
              </w:rPr>
            </w:pPr>
            <w:r>
              <w:rPr>
                <w:rFonts w:hint="eastAsia" w:hAnsi="宋体"/>
                <w:szCs w:val="24"/>
              </w:rPr>
              <w:t>是否允许备选方案</w:t>
            </w:r>
          </w:p>
        </w:tc>
        <w:tc>
          <w:tcPr>
            <w:tcW w:w="6142" w:type="dxa"/>
            <w:vAlign w:val="center"/>
          </w:tcPr>
          <w:p>
            <w:pPr>
              <w:spacing w:line="360" w:lineRule="auto"/>
              <w:ind w:left="48" w:leftChars="20"/>
              <w:rPr>
                <w:rFonts w:hAnsi="宋体" w:cs="宋体"/>
                <w:szCs w:val="24"/>
              </w:rPr>
            </w:pPr>
            <w:r>
              <w:rPr>
                <w:rFonts w:hint="eastAsia" w:hAnsi="宋体" w:cs="宋体"/>
                <w:szCs w:val="24"/>
              </w:rPr>
              <w:sym w:font="Wingdings" w:char="00A8"/>
            </w:r>
            <w:r>
              <w:rPr>
                <w:rFonts w:hint="eastAsia" w:hAnsi="宋体" w:cs="宋体"/>
                <w:szCs w:val="24"/>
              </w:rPr>
              <w:t>允许</w:t>
            </w:r>
          </w:p>
          <w:p>
            <w:pPr>
              <w:spacing w:line="360" w:lineRule="auto"/>
              <w:rPr>
                <w:rFonts w:hAnsi="宋体" w:cs="宋体"/>
                <w:szCs w:val="24"/>
              </w:rPr>
            </w:pPr>
            <w:r>
              <w:rPr>
                <w:rFonts w:hint="eastAsia" w:hAnsi="宋体" w:cs="宋体"/>
                <w:szCs w:val="24"/>
              </w:rPr>
              <w:sym w:font="Wingdings" w:char="00FE"/>
            </w:r>
            <w:r>
              <w:rPr>
                <w:rFonts w:hint="eastAsia" w:hAnsi="宋体" w:cs="宋体"/>
                <w:szCs w:val="24"/>
              </w:rPr>
              <w:t>不允许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376" w:hRule="atLeast"/>
          <w:jc w:val="center"/>
        </w:trPr>
        <w:tc>
          <w:tcPr>
            <w:tcW w:w="1245" w:type="dxa"/>
            <w:vAlign w:val="center"/>
          </w:tcPr>
          <w:p>
            <w:pPr>
              <w:spacing w:line="360" w:lineRule="auto"/>
              <w:jc w:val="center"/>
              <w:rPr>
                <w:rFonts w:hAnsi="宋体" w:cs="宋体"/>
                <w:szCs w:val="24"/>
              </w:rPr>
            </w:pPr>
            <w:r>
              <w:rPr>
                <w:rFonts w:hint="eastAsia" w:hAnsi="宋体" w:cs="宋体"/>
                <w:szCs w:val="24"/>
                <w:lang w:val="en-US" w:eastAsia="zh-CN"/>
              </w:rPr>
              <w:t>9</w:t>
            </w:r>
            <w:r>
              <w:rPr>
                <w:rFonts w:hint="eastAsia" w:hAnsi="宋体" w:cs="宋体"/>
                <w:szCs w:val="24"/>
              </w:rPr>
              <w:t>.3</w:t>
            </w:r>
          </w:p>
        </w:tc>
        <w:tc>
          <w:tcPr>
            <w:tcW w:w="2071" w:type="dxa"/>
            <w:vAlign w:val="center"/>
          </w:tcPr>
          <w:p>
            <w:pPr>
              <w:spacing w:line="360" w:lineRule="auto"/>
              <w:jc w:val="center"/>
              <w:rPr>
                <w:rFonts w:hAnsi="宋体" w:cs="宋体"/>
                <w:szCs w:val="24"/>
              </w:rPr>
            </w:pPr>
            <w:r>
              <w:rPr>
                <w:rFonts w:hint="eastAsia" w:hAnsi="宋体"/>
                <w:szCs w:val="24"/>
              </w:rPr>
              <w:t>本次投标的最小单元</w:t>
            </w:r>
          </w:p>
        </w:tc>
        <w:tc>
          <w:tcPr>
            <w:tcW w:w="6142" w:type="dxa"/>
          </w:tcPr>
          <w:p>
            <w:pPr>
              <w:spacing w:line="360" w:lineRule="auto"/>
              <w:rPr>
                <w:szCs w:val="24"/>
              </w:rPr>
            </w:pPr>
            <w:r>
              <w:rPr>
                <w:rFonts w:hint="eastAsia" w:hAnsi="宋体"/>
                <w:szCs w:val="24"/>
              </w:rPr>
              <w:t>本次投标的最小单元为“项目全部内容”，任何不完全的投标将按照无效投标处理。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18" w:hRule="atLeast"/>
          <w:jc w:val="center"/>
        </w:trPr>
        <w:tc>
          <w:tcPr>
            <w:tcW w:w="1245" w:type="dxa"/>
            <w:vAlign w:val="center"/>
          </w:tcPr>
          <w:p>
            <w:pPr>
              <w:spacing w:line="360" w:lineRule="auto"/>
              <w:jc w:val="center"/>
              <w:rPr>
                <w:rFonts w:hAnsi="宋体" w:cs="宋体"/>
                <w:szCs w:val="24"/>
              </w:rPr>
            </w:pPr>
            <w:r>
              <w:rPr>
                <w:rFonts w:hint="eastAsia" w:hAnsi="宋体" w:cs="宋体"/>
                <w:szCs w:val="24"/>
                <w:lang w:val="en-US" w:eastAsia="zh-CN"/>
              </w:rPr>
              <w:t>11</w:t>
            </w:r>
            <w:r>
              <w:rPr>
                <w:rFonts w:hint="eastAsia" w:hAnsi="宋体" w:cs="宋体"/>
                <w:szCs w:val="24"/>
              </w:rPr>
              <w:t>.1</w:t>
            </w:r>
          </w:p>
        </w:tc>
        <w:tc>
          <w:tcPr>
            <w:tcW w:w="2071" w:type="dxa"/>
            <w:vAlign w:val="center"/>
          </w:tcPr>
          <w:p>
            <w:pPr>
              <w:spacing w:line="360" w:lineRule="auto"/>
              <w:jc w:val="center"/>
              <w:rPr>
                <w:rFonts w:hAnsi="宋体" w:cs="宋体"/>
                <w:szCs w:val="24"/>
              </w:rPr>
            </w:pPr>
            <w:r>
              <w:rPr>
                <w:rFonts w:hint="eastAsia" w:hAnsi="宋体" w:cs="宋体"/>
                <w:szCs w:val="24"/>
              </w:rPr>
              <w:t>投标报价</w:t>
            </w:r>
          </w:p>
        </w:tc>
        <w:tc>
          <w:tcPr>
            <w:tcW w:w="6142" w:type="dxa"/>
          </w:tcPr>
          <w:p>
            <w:pPr>
              <w:spacing w:line="360" w:lineRule="auto"/>
              <w:rPr>
                <w:rFonts w:hAnsi="宋体" w:cs="宋体"/>
                <w:szCs w:val="24"/>
              </w:rPr>
            </w:pPr>
            <w:r>
              <w:rPr>
                <w:rFonts w:hint="eastAsia" w:hAnsi="宋体" w:cs="宋体"/>
                <w:szCs w:val="24"/>
              </w:rPr>
              <w:t>投标报价：</w:t>
            </w:r>
            <w:bookmarkStart w:id="23" w:name="OLE_LINK11"/>
            <w:r>
              <w:rPr>
                <w:rFonts w:hint="eastAsia" w:hAnsi="宋体"/>
                <w:szCs w:val="24"/>
              </w:rPr>
              <w:t>供应商应在投标报价表中标明完成本次招标所要求的货物、服务且验收合格的所有费用，包括但不限于整体裸车价格、运输费用、上牌费用、技术服务、培训、售后服务、采购代理服务费、税金等其他一切相关费用。投标报价表中标明本次服务的所有单项价格和总价，任何有选择的报价将不予接受，否则按无效投标处理。</w:t>
            </w:r>
            <w:bookmarkEnd w:id="23"/>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245" w:type="dxa"/>
            <w:vAlign w:val="center"/>
          </w:tcPr>
          <w:p>
            <w:pPr>
              <w:spacing w:line="360" w:lineRule="auto"/>
              <w:jc w:val="center"/>
              <w:rPr>
                <w:rFonts w:hAnsi="宋体" w:cs="宋体"/>
                <w:szCs w:val="24"/>
              </w:rPr>
            </w:pPr>
            <w:r>
              <w:rPr>
                <w:rFonts w:hint="eastAsia" w:hAnsi="宋体" w:cs="宋体"/>
                <w:szCs w:val="24"/>
              </w:rPr>
              <w:t>13.1</w:t>
            </w:r>
          </w:p>
        </w:tc>
        <w:tc>
          <w:tcPr>
            <w:tcW w:w="2071" w:type="dxa"/>
            <w:vAlign w:val="center"/>
          </w:tcPr>
          <w:p>
            <w:pPr>
              <w:spacing w:line="360" w:lineRule="auto"/>
              <w:ind w:firstLine="480"/>
              <w:jc w:val="center"/>
              <w:rPr>
                <w:rFonts w:hAnsi="宋体"/>
                <w:szCs w:val="21"/>
              </w:rPr>
            </w:pPr>
          </w:p>
          <w:p>
            <w:pPr>
              <w:spacing w:line="360" w:lineRule="auto"/>
              <w:jc w:val="center"/>
              <w:rPr>
                <w:rFonts w:hAnsi="宋体" w:cs="宋体"/>
                <w:b/>
                <w:bCs/>
                <w:szCs w:val="24"/>
              </w:rPr>
            </w:pPr>
            <w:r>
              <w:rPr>
                <w:rFonts w:hint="eastAsia" w:hAnsi="宋体"/>
                <w:szCs w:val="21"/>
              </w:rPr>
              <w:t>供应商资格证明文件</w:t>
            </w:r>
          </w:p>
        </w:tc>
        <w:tc>
          <w:tcPr>
            <w:tcW w:w="6142" w:type="dxa"/>
          </w:tcPr>
          <w:p>
            <w:pPr>
              <w:spacing w:line="360" w:lineRule="auto"/>
              <w:rPr>
                <w:rFonts w:hAnsi="宋体" w:cs="宋体"/>
                <w:szCs w:val="24"/>
              </w:rPr>
            </w:pPr>
            <w:r>
              <w:rPr>
                <w:rFonts w:hint="eastAsia" w:hAnsi="宋体" w:cs="宋体"/>
                <w:b/>
                <w:bCs/>
                <w:szCs w:val="24"/>
              </w:rPr>
              <w:t>1.基本资格条件：符合《中华人民共和国政府采购法》第二十二条的规定，并提供以下资料；</w:t>
            </w:r>
          </w:p>
          <w:p>
            <w:pPr>
              <w:spacing w:line="360" w:lineRule="auto"/>
              <w:rPr>
                <w:rFonts w:hAnsi="宋体" w:cs="宋体"/>
                <w:szCs w:val="24"/>
              </w:rPr>
            </w:pPr>
            <w:r>
              <w:rPr>
                <w:rFonts w:hint="eastAsia" w:cs="宋体" w:asciiTheme="minorEastAsia" w:hAnsiTheme="minorEastAsia" w:eastAsiaTheme="minorEastAsia"/>
                <w:szCs w:val="24"/>
              </w:rPr>
              <w:t>（1）</w:t>
            </w:r>
            <w:r>
              <w:rPr>
                <w:rFonts w:hint="eastAsia" w:hAnsi="宋体" w:cs="宋体"/>
                <w:szCs w:val="24"/>
              </w:rPr>
              <w:t>提供合格有效的法人或者其他组织的营业执照等证明文件，自然人的身份证明；</w:t>
            </w:r>
          </w:p>
          <w:p>
            <w:pPr>
              <w:spacing w:line="360" w:lineRule="auto"/>
              <w:rPr>
                <w:rFonts w:cs="宋体" w:asciiTheme="minorEastAsia" w:hAnsiTheme="minorEastAsia" w:eastAsiaTheme="minorEastAsia"/>
                <w:szCs w:val="24"/>
              </w:rPr>
            </w:pPr>
            <w:r>
              <w:rPr>
                <w:rFonts w:hint="eastAsia" w:hAnsi="宋体" w:cs="宋体"/>
                <w:szCs w:val="24"/>
              </w:rPr>
              <w:t>供应商是法人或其他组织的应提供营业执照等证明文件，供应商是自然人的应提供有效的自然人身份证明。</w:t>
            </w:r>
          </w:p>
          <w:p>
            <w:pPr>
              <w:spacing w:line="360" w:lineRule="auto"/>
              <w:rPr>
                <w:rFonts w:cs="宋体" w:asciiTheme="minorEastAsia" w:hAnsiTheme="minorEastAsia" w:eastAsiaTheme="minorEastAsia"/>
                <w:szCs w:val="24"/>
              </w:rPr>
            </w:pPr>
            <w:r>
              <w:rPr>
                <w:rFonts w:hint="eastAsia" w:cs="宋体" w:asciiTheme="minorEastAsia" w:hAnsiTheme="minorEastAsia" w:eastAsiaTheme="minorEastAsia"/>
                <w:szCs w:val="24"/>
              </w:rPr>
              <w:t>（2）</w:t>
            </w:r>
            <w:r>
              <w:rPr>
                <w:rFonts w:hint="eastAsia" w:hAnsi="宋体" w:cs="宋体"/>
                <w:szCs w:val="24"/>
              </w:rPr>
              <w:t>提供2021年或2</w:t>
            </w:r>
            <w:r>
              <w:rPr>
                <w:rFonts w:hAnsi="宋体" w:cs="宋体"/>
                <w:szCs w:val="24"/>
              </w:rPr>
              <w:t>022</w:t>
            </w:r>
            <w:r>
              <w:rPr>
                <w:rFonts w:hint="eastAsia" w:hAnsi="宋体" w:cs="宋体"/>
                <w:szCs w:val="24"/>
              </w:rPr>
              <w:t>年度经审计的完整财务报告（成立时间至提交投标文件截止时间不足一年的可提供成立后任意时段的资产负债表），或其基本存款账户开户银行出具的资信证明；</w:t>
            </w:r>
          </w:p>
          <w:p>
            <w:pPr>
              <w:spacing w:line="360" w:lineRule="auto"/>
            </w:pPr>
            <w:r>
              <w:rPr>
                <w:rFonts w:hint="eastAsia"/>
                <w:highlight w:val="none"/>
              </w:rPr>
              <w:t>（3）</w:t>
            </w:r>
            <w:r>
              <w:rPr>
                <w:rFonts w:hint="eastAsia" w:hAnsi="宋体" w:cs="宋体"/>
                <w:szCs w:val="24"/>
              </w:rPr>
              <w:t>提供具有履行合同所必需的设备和专业技术能力的承诺；</w:t>
            </w:r>
            <w:r>
              <w:rPr>
                <w:rFonts w:hint="eastAsia"/>
              </w:rPr>
              <w:t xml:space="preserve"> </w:t>
            </w:r>
          </w:p>
          <w:p>
            <w:pPr>
              <w:spacing w:line="360" w:lineRule="auto"/>
            </w:pPr>
            <w:r>
              <w:rPr>
                <w:rFonts w:hint="eastAsia"/>
              </w:rPr>
              <w:t>（4）提供</w:t>
            </w:r>
            <w:r>
              <w:rPr>
                <w:rFonts w:hint="eastAsia" w:hAnsi="宋体" w:cs="宋体"/>
                <w:szCs w:val="24"/>
              </w:rPr>
              <w:t>投标</w:t>
            </w:r>
            <w:r>
              <w:rPr>
                <w:rFonts w:hint="eastAsia"/>
              </w:rPr>
              <w:t>截止日前一年内已缴纳的至少一个月的纳税证明或完税证明（增值税、印花税、城市维护建设费、企业所得税等一种或多种税种）；</w:t>
            </w:r>
          </w:p>
          <w:p>
            <w:pPr>
              <w:spacing w:line="360" w:lineRule="auto"/>
            </w:pPr>
            <w:r>
              <w:rPr>
                <w:rFonts w:hint="eastAsia"/>
                <w:highlight w:val="none"/>
              </w:rPr>
              <w:t>（5）</w:t>
            </w:r>
            <w:r>
              <w:rPr>
                <w:rFonts w:hint="eastAsia"/>
              </w:rPr>
              <w:t>提供</w:t>
            </w:r>
            <w:r>
              <w:rPr>
                <w:rFonts w:hint="eastAsia" w:hAnsi="宋体" w:cs="宋体"/>
                <w:szCs w:val="24"/>
              </w:rPr>
              <w:t>投标</w:t>
            </w:r>
            <w:r>
              <w:rPr>
                <w:rFonts w:hint="eastAsia"/>
              </w:rPr>
              <w:t>截止日前一年内已缴存的至少一个月的社会保障资金缴存单据或社保机构开具的社会保险参保缴费情况证明，依法不需要缴纳社会保障资金的单位应提供相关证明材料；</w:t>
            </w:r>
          </w:p>
          <w:p>
            <w:pPr>
              <w:pStyle w:val="19"/>
              <w:spacing w:after="0" w:line="360" w:lineRule="auto"/>
              <w:rPr>
                <w:rFonts w:cs="宋体" w:asciiTheme="minorEastAsia" w:hAnsiTheme="minorEastAsia" w:eastAsiaTheme="minorEastAsia"/>
                <w:sz w:val="24"/>
                <w:szCs w:val="24"/>
              </w:rPr>
            </w:pPr>
            <w:r>
              <w:rPr>
                <w:rFonts w:hint="eastAsia" w:ascii="宋体"/>
                <w:kern w:val="0"/>
                <w:sz w:val="24"/>
              </w:rPr>
              <w:t>（6）参加政府采购活动前三年内，在经营活动中没有重大违法记录的书面声明。</w:t>
            </w:r>
          </w:p>
          <w:p>
            <w:pPr>
              <w:spacing w:line="360" w:lineRule="auto"/>
              <w:rPr>
                <w:rFonts w:hAnsi="宋体" w:cs="宋体"/>
                <w:b/>
                <w:bCs/>
                <w:szCs w:val="24"/>
              </w:rPr>
            </w:pPr>
            <w:r>
              <w:rPr>
                <w:rFonts w:hAnsi="宋体" w:cs="宋体"/>
                <w:b/>
                <w:bCs/>
                <w:szCs w:val="24"/>
              </w:rPr>
              <w:t>2</w:t>
            </w:r>
            <w:r>
              <w:rPr>
                <w:rFonts w:hint="eastAsia" w:hAnsi="宋体" w:cs="宋体"/>
                <w:b/>
                <w:bCs/>
                <w:szCs w:val="24"/>
              </w:rPr>
              <w:t>.特定资格条件：</w:t>
            </w:r>
          </w:p>
          <w:p>
            <w:pPr>
              <w:spacing w:line="360" w:lineRule="auto"/>
              <w:ind w:left="48" w:leftChars="20"/>
            </w:pPr>
            <w:r>
              <w:rPr>
                <w:rFonts w:hint="eastAsia" w:hAnsi="宋体" w:cs="宋体"/>
                <w:szCs w:val="24"/>
                <w:shd w:val="clear" w:color="auto" w:fill="FFFFFF"/>
              </w:rPr>
              <w:t>（1）法定代表人授权书（附法定代表人、被授权人身份证复印件）</w:t>
            </w:r>
            <w:r>
              <w:rPr>
                <w:rFonts w:hint="eastAsia" w:hAnsi="宋体" w:cs="宋体"/>
                <w:szCs w:val="24"/>
                <w:shd w:val="clear" w:color="auto" w:fill="FFFFFF"/>
                <w:lang w:eastAsia="zh-CN"/>
              </w:rPr>
              <w:t>，</w:t>
            </w:r>
            <w:r>
              <w:rPr>
                <w:rFonts w:hint="eastAsia" w:hAnsi="宋体" w:cs="宋体"/>
                <w:szCs w:val="24"/>
                <w:shd w:val="clear" w:color="auto" w:fill="FFFFFF"/>
              </w:rPr>
              <w:t>法定代表人直接参加投标，须提供法定代表人身份证明及身份证</w:t>
            </w:r>
            <w:r>
              <w:rPr>
                <w:rFonts w:hint="eastAsia" w:hAnsi="宋体" w:cs="宋体"/>
                <w:szCs w:val="24"/>
                <w:shd w:val="clear" w:color="auto" w:fill="FFFFFF"/>
                <w:lang w:eastAsia="zh-CN"/>
              </w:rPr>
              <w:t>复印件</w:t>
            </w:r>
            <w:r>
              <w:rPr>
                <w:rFonts w:hint="eastAsia" w:hAnsi="宋体" w:cs="宋体"/>
                <w:szCs w:val="24"/>
                <w:shd w:val="clear" w:color="auto" w:fill="FFFFFF"/>
              </w:rPr>
              <w:t>；</w:t>
            </w:r>
          </w:p>
          <w:p>
            <w:pPr>
              <w:spacing w:line="360" w:lineRule="auto"/>
              <w:jc w:val="left"/>
              <w:rPr>
                <w:rFonts w:hAnsi="宋体" w:cs="宋体"/>
                <w:szCs w:val="24"/>
              </w:rPr>
            </w:pPr>
            <w:r>
              <w:rPr>
                <w:rFonts w:hint="eastAsia"/>
              </w:rPr>
              <w:t>（2）供应商不得为“信用中国”网站（www.creditchina.gov.cn）中列入失信被执行人（中国执行信息公开网http：//zxgk.court.gov.cn）和重大税收违法失信主体名单的供应商，不得为中国政府采购网（www.ccgp.gov.cn）政府采购严重违法失信行为记录名单中被财政部门禁止参加政府采购活动的供应商；</w:t>
            </w:r>
          </w:p>
          <w:p>
            <w:pPr>
              <w:spacing w:line="360" w:lineRule="auto"/>
            </w:pPr>
            <w:r>
              <w:rPr>
                <w:rFonts w:hint="eastAsia" w:hAnsi="宋体" w:cs="宋体"/>
                <w:szCs w:val="24"/>
              </w:rPr>
              <w:t>（3）本项目不接受联合体投标。</w:t>
            </w:r>
          </w:p>
          <w:p>
            <w:pPr>
              <w:spacing w:line="360" w:lineRule="auto"/>
              <w:ind w:firstLine="480"/>
              <w:rPr>
                <w:rFonts w:hAnsi="宋体" w:cs="宋体"/>
                <w:szCs w:val="24"/>
              </w:rPr>
            </w:pPr>
            <w:r>
              <w:rPr>
                <w:rFonts w:hint="eastAsia" w:hAnsi="宋体" w:cs="宋体"/>
                <w:b/>
              </w:rPr>
              <w:t>以上为必备资质，缺一项或某项达不到要求，按无效投标处理。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2" w:hRule="atLeast"/>
          <w:jc w:val="center"/>
        </w:trPr>
        <w:tc>
          <w:tcPr>
            <w:tcW w:w="1245" w:type="dxa"/>
            <w:vAlign w:val="center"/>
          </w:tcPr>
          <w:p>
            <w:pPr>
              <w:spacing w:line="360" w:lineRule="auto"/>
              <w:jc w:val="center"/>
              <w:rPr>
                <w:rFonts w:hAnsi="宋体" w:cs="宋体"/>
                <w:szCs w:val="24"/>
              </w:rPr>
            </w:pPr>
            <w:r>
              <w:rPr>
                <w:rFonts w:hint="eastAsia" w:hAnsi="宋体" w:cs="宋体"/>
                <w:szCs w:val="24"/>
              </w:rPr>
              <w:t>1</w:t>
            </w:r>
            <w:r>
              <w:rPr>
                <w:rFonts w:hint="eastAsia" w:hAnsi="宋体" w:cs="宋体"/>
                <w:szCs w:val="24"/>
                <w:lang w:val="en-US" w:eastAsia="zh-CN"/>
              </w:rPr>
              <w:t>5</w:t>
            </w:r>
            <w:r>
              <w:rPr>
                <w:rFonts w:hint="eastAsia" w:hAnsi="宋体" w:cs="宋体"/>
                <w:szCs w:val="24"/>
              </w:rPr>
              <w:t>.1</w:t>
            </w:r>
          </w:p>
        </w:tc>
        <w:tc>
          <w:tcPr>
            <w:tcW w:w="2071" w:type="dxa"/>
            <w:vAlign w:val="center"/>
          </w:tcPr>
          <w:p>
            <w:pPr>
              <w:spacing w:line="360" w:lineRule="auto"/>
              <w:jc w:val="center"/>
              <w:rPr>
                <w:rFonts w:hAnsi="宋体" w:cs="宋体"/>
                <w:szCs w:val="24"/>
              </w:rPr>
            </w:pPr>
            <w:r>
              <w:rPr>
                <w:rFonts w:hint="eastAsia" w:hAnsi="宋体" w:cs="宋体"/>
                <w:szCs w:val="24"/>
              </w:rPr>
              <w:t>投标有效期</w:t>
            </w:r>
          </w:p>
        </w:tc>
        <w:tc>
          <w:tcPr>
            <w:tcW w:w="6142" w:type="dxa"/>
          </w:tcPr>
          <w:p>
            <w:pPr>
              <w:spacing w:line="360" w:lineRule="auto"/>
              <w:rPr>
                <w:rFonts w:hAnsi="宋体" w:cs="宋体"/>
                <w:szCs w:val="24"/>
              </w:rPr>
            </w:pPr>
            <w:r>
              <w:rPr>
                <w:rFonts w:hint="eastAsia" w:hAnsi="宋体" w:cs="宋体"/>
                <w:szCs w:val="24"/>
                <w:lang w:eastAsia="zh-CN"/>
              </w:rPr>
              <w:t>自</w:t>
            </w:r>
            <w:r>
              <w:rPr>
                <w:rFonts w:hint="eastAsia" w:hAnsi="宋体" w:cs="宋体"/>
                <w:szCs w:val="24"/>
              </w:rPr>
              <w:t>投标文件的递交截止之日起</w:t>
            </w:r>
            <w:r>
              <w:rPr>
                <w:rFonts w:hint="eastAsia" w:hAnsi="宋体" w:cs="宋体"/>
                <w:szCs w:val="24"/>
                <w:u w:val="single"/>
              </w:rPr>
              <w:t>90</w:t>
            </w:r>
            <w:r>
              <w:rPr>
                <w:rFonts w:hint="eastAsia" w:hAnsi="宋体" w:cs="宋体"/>
                <w:szCs w:val="24"/>
              </w:rPr>
              <w:t>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5" w:hRule="atLeast"/>
          <w:jc w:val="center"/>
        </w:trPr>
        <w:tc>
          <w:tcPr>
            <w:tcW w:w="1245" w:type="dxa"/>
            <w:vAlign w:val="center"/>
          </w:tcPr>
          <w:p>
            <w:pPr>
              <w:spacing w:line="360" w:lineRule="auto"/>
              <w:jc w:val="center"/>
              <w:rPr>
                <w:rFonts w:hint="eastAsia" w:hAnsi="宋体" w:eastAsia="宋体" w:cs="宋体"/>
                <w:szCs w:val="24"/>
                <w:lang w:eastAsia="zh-CN"/>
              </w:rPr>
            </w:pPr>
            <w:r>
              <w:rPr>
                <w:rFonts w:hint="eastAsia" w:hAnsi="宋体" w:cs="宋体"/>
                <w:szCs w:val="24"/>
              </w:rPr>
              <w:t>17.</w:t>
            </w:r>
            <w:r>
              <w:rPr>
                <w:rFonts w:hint="eastAsia" w:hAnsi="宋体" w:cs="宋体"/>
                <w:szCs w:val="24"/>
                <w:lang w:val="en-US" w:eastAsia="zh-CN"/>
              </w:rPr>
              <w:t>1</w:t>
            </w:r>
          </w:p>
        </w:tc>
        <w:tc>
          <w:tcPr>
            <w:tcW w:w="2071" w:type="dxa"/>
            <w:vAlign w:val="center"/>
          </w:tcPr>
          <w:p>
            <w:pPr>
              <w:spacing w:line="360" w:lineRule="auto"/>
              <w:ind w:left="48" w:leftChars="20"/>
              <w:jc w:val="center"/>
              <w:rPr>
                <w:rFonts w:hAnsi="宋体" w:cs="宋体"/>
                <w:b/>
                <w:bCs/>
                <w:szCs w:val="24"/>
              </w:rPr>
            </w:pPr>
            <w:r>
              <w:rPr>
                <w:rFonts w:hint="eastAsia" w:ascii="宋体" w:hAnsi="宋体" w:cs="宋体"/>
                <w:color w:val="auto"/>
                <w:sz w:val="24"/>
                <w:szCs w:val="24"/>
              </w:rPr>
              <w:t>是否提供纸质投标文件</w:t>
            </w:r>
          </w:p>
        </w:tc>
        <w:tc>
          <w:tcPr>
            <w:tcW w:w="6142" w:type="dxa"/>
            <w:vAlign w:val="top"/>
          </w:tcPr>
          <w:p>
            <w:pPr>
              <w:pStyle w:val="2"/>
              <w:spacing w:line="360" w:lineRule="auto"/>
              <w:jc w:val="left"/>
              <w:rPr>
                <w:rFonts w:hAnsi="宋体" w:cs="宋体"/>
                <w:color w:val="auto"/>
                <w:kern w:val="0"/>
                <w:sz w:val="24"/>
                <w:szCs w:val="24"/>
              </w:rPr>
            </w:pPr>
            <w:r>
              <w:rPr>
                <w:rFonts w:hint="eastAsia" w:hAnsi="宋体" w:cs="Segoe UI Symbol"/>
                <w:color w:val="auto"/>
                <w:kern w:val="0"/>
                <w:sz w:val="24"/>
                <w:szCs w:val="24"/>
              </w:rPr>
              <w:t>□</w:t>
            </w:r>
            <w:r>
              <w:rPr>
                <w:rFonts w:hint="eastAsia" w:hAnsi="宋体" w:cs="宋体"/>
                <w:color w:val="auto"/>
                <w:kern w:val="0"/>
                <w:sz w:val="24"/>
                <w:szCs w:val="24"/>
              </w:rPr>
              <w:t xml:space="preserve"> 是</w:t>
            </w:r>
          </w:p>
          <w:p>
            <w:pPr>
              <w:spacing w:line="360" w:lineRule="auto"/>
              <w:ind w:left="48" w:leftChars="20"/>
              <w:rPr>
                <w:rFonts w:hAnsi="宋体" w:cs="宋体"/>
                <w:szCs w:val="24"/>
              </w:rPr>
            </w:pPr>
            <w:r>
              <w:rPr>
                <w:rFonts w:ascii="Segoe UI Symbol" w:hAnsi="Segoe UI Symbol" w:cs="Segoe UI Symbol"/>
                <w:color w:val="auto"/>
                <w:sz w:val="24"/>
                <w:szCs w:val="24"/>
              </w:rPr>
              <w:t>☑</w:t>
            </w:r>
            <w:r>
              <w:rPr>
                <w:rFonts w:hint="eastAsia" w:ascii="宋体" w:hAnsi="宋体" w:cs="宋体"/>
                <w:color w:val="auto"/>
                <w:sz w:val="24"/>
                <w:szCs w:val="24"/>
              </w:rPr>
              <w:t xml:space="preserve"> 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372" w:hRule="atLeast"/>
          <w:jc w:val="center"/>
        </w:trPr>
        <w:tc>
          <w:tcPr>
            <w:tcW w:w="1245" w:type="dxa"/>
            <w:vAlign w:val="center"/>
          </w:tcPr>
          <w:p>
            <w:pPr>
              <w:spacing w:line="360" w:lineRule="auto"/>
              <w:jc w:val="center"/>
              <w:rPr>
                <w:rFonts w:hint="eastAsia" w:hAnsi="宋体" w:eastAsia="宋体" w:cs="宋体"/>
                <w:szCs w:val="24"/>
                <w:lang w:eastAsia="zh-CN"/>
              </w:rPr>
            </w:pPr>
            <w:r>
              <w:rPr>
                <w:rFonts w:hint="eastAsia" w:hAnsi="宋体" w:cs="宋体"/>
                <w:szCs w:val="24"/>
                <w:lang w:val="en-US" w:eastAsia="zh-CN"/>
              </w:rPr>
              <w:t>17</w:t>
            </w:r>
            <w:r>
              <w:rPr>
                <w:rFonts w:hint="eastAsia" w:hAnsi="宋体" w:cs="宋体"/>
                <w:szCs w:val="24"/>
              </w:rPr>
              <w:t>.</w:t>
            </w:r>
            <w:r>
              <w:rPr>
                <w:rFonts w:hint="eastAsia" w:hAnsi="宋体" w:cs="宋体"/>
                <w:szCs w:val="24"/>
                <w:lang w:val="en-US" w:eastAsia="zh-CN"/>
              </w:rPr>
              <w:t>2</w:t>
            </w:r>
          </w:p>
        </w:tc>
        <w:tc>
          <w:tcPr>
            <w:tcW w:w="2071" w:type="dxa"/>
            <w:vAlign w:val="center"/>
          </w:tcPr>
          <w:p>
            <w:pPr>
              <w:spacing w:line="360" w:lineRule="auto"/>
              <w:jc w:val="center"/>
              <w:rPr>
                <w:rFonts w:hAnsi="宋体" w:cs="宋体"/>
                <w:szCs w:val="24"/>
              </w:rPr>
            </w:pPr>
            <w:r>
              <w:rPr>
                <w:rFonts w:hint="eastAsia" w:hAnsi="宋体"/>
                <w:szCs w:val="21"/>
              </w:rPr>
              <w:t>投标文件的递交</w:t>
            </w:r>
          </w:p>
        </w:tc>
        <w:tc>
          <w:tcPr>
            <w:tcW w:w="6142" w:type="dxa"/>
          </w:tcPr>
          <w:p>
            <w:pPr>
              <w:spacing w:line="360" w:lineRule="auto"/>
              <w:rPr>
                <w:rFonts w:hAnsi="宋体" w:cs="宋体"/>
                <w:szCs w:val="24"/>
              </w:rPr>
            </w:pPr>
            <w:r>
              <w:rPr>
                <w:rFonts w:hint="eastAsia" w:hAnsi="宋体" w:cs="宋体"/>
                <w:szCs w:val="24"/>
              </w:rPr>
              <w:t>投标文件递交截止时间：详见招标公告。</w:t>
            </w:r>
          </w:p>
          <w:p>
            <w:pPr>
              <w:spacing w:line="360" w:lineRule="auto"/>
              <w:rPr>
                <w:rFonts w:hAnsi="宋体" w:cs="宋体"/>
                <w:szCs w:val="24"/>
              </w:rPr>
            </w:pPr>
            <w:r>
              <w:rPr>
                <w:rFonts w:hint="eastAsia" w:hAnsi="宋体" w:cs="宋体"/>
                <w:szCs w:val="24"/>
              </w:rPr>
              <w:t>投标文件递交地址：详见招标公告。</w:t>
            </w:r>
          </w:p>
          <w:p>
            <w:pPr>
              <w:spacing w:line="360" w:lineRule="auto"/>
              <w:rPr>
                <w:rFonts w:hAnsi="宋体" w:cs="宋体"/>
                <w:szCs w:val="24"/>
              </w:rPr>
            </w:pPr>
            <w:r>
              <w:rPr>
                <w:rFonts w:hint="eastAsia" w:hAnsi="宋体" w:cs="宋体"/>
                <w:szCs w:val="24"/>
              </w:rPr>
              <w:t>投标文件接收人：陕西万兴招标代理有限公司。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35" w:hRule="atLeast"/>
          <w:jc w:val="center"/>
        </w:trPr>
        <w:tc>
          <w:tcPr>
            <w:tcW w:w="1245" w:type="dxa"/>
            <w:vAlign w:val="center"/>
          </w:tcPr>
          <w:p>
            <w:pPr>
              <w:spacing w:line="360" w:lineRule="auto"/>
              <w:jc w:val="center"/>
              <w:rPr>
                <w:rFonts w:hAnsi="宋体" w:cs="宋体"/>
                <w:szCs w:val="24"/>
              </w:rPr>
            </w:pPr>
            <w:r>
              <w:rPr>
                <w:rFonts w:hint="eastAsia" w:hAnsi="宋体" w:cs="宋体"/>
                <w:szCs w:val="24"/>
              </w:rPr>
              <w:t>22</w:t>
            </w:r>
          </w:p>
        </w:tc>
        <w:tc>
          <w:tcPr>
            <w:tcW w:w="2071" w:type="dxa"/>
            <w:vAlign w:val="center"/>
          </w:tcPr>
          <w:p>
            <w:pPr>
              <w:spacing w:line="360" w:lineRule="auto"/>
              <w:jc w:val="center"/>
              <w:rPr>
                <w:rFonts w:hAnsi="宋体" w:cs="宋体"/>
                <w:szCs w:val="24"/>
              </w:rPr>
            </w:pPr>
            <w:r>
              <w:rPr>
                <w:rFonts w:hint="eastAsia" w:hAnsi="宋体"/>
                <w:szCs w:val="21"/>
              </w:rPr>
              <w:t>开标时间和地点</w:t>
            </w:r>
          </w:p>
        </w:tc>
        <w:tc>
          <w:tcPr>
            <w:tcW w:w="6142" w:type="dxa"/>
          </w:tcPr>
          <w:p>
            <w:pPr>
              <w:spacing w:line="360" w:lineRule="auto"/>
              <w:rPr>
                <w:rFonts w:hAnsi="宋体" w:cs="宋体"/>
                <w:szCs w:val="24"/>
              </w:rPr>
            </w:pPr>
            <w:r>
              <w:rPr>
                <w:rFonts w:hint="eastAsia" w:hAnsi="宋体" w:cs="宋体"/>
                <w:szCs w:val="24"/>
              </w:rPr>
              <w:t>开标时间：详见招标公告。</w:t>
            </w:r>
          </w:p>
          <w:p>
            <w:pPr>
              <w:spacing w:line="360" w:lineRule="auto"/>
              <w:rPr>
                <w:rFonts w:hAnsi="宋体" w:cs="宋体"/>
                <w:szCs w:val="24"/>
              </w:rPr>
            </w:pPr>
            <w:r>
              <w:rPr>
                <w:rFonts w:hint="eastAsia" w:hAnsi="宋体" w:cs="宋体"/>
                <w:szCs w:val="24"/>
              </w:rPr>
              <w:t>开标地点：详见招标公告。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30" w:hRule="atLeast"/>
          <w:jc w:val="center"/>
        </w:trPr>
        <w:tc>
          <w:tcPr>
            <w:tcW w:w="1245" w:type="dxa"/>
            <w:vAlign w:val="center"/>
          </w:tcPr>
          <w:p>
            <w:pPr>
              <w:spacing w:line="360" w:lineRule="auto"/>
              <w:jc w:val="center"/>
              <w:rPr>
                <w:rFonts w:hAnsi="宋体" w:cs="宋体"/>
                <w:szCs w:val="24"/>
              </w:rPr>
            </w:pPr>
            <w:r>
              <w:rPr>
                <w:rFonts w:hint="eastAsia" w:hAnsi="宋体" w:cs="宋体"/>
                <w:szCs w:val="24"/>
              </w:rPr>
              <w:t>2</w:t>
            </w:r>
            <w:r>
              <w:rPr>
                <w:rFonts w:hint="eastAsia" w:hAnsi="宋体" w:cs="宋体"/>
                <w:szCs w:val="24"/>
                <w:lang w:val="en-US" w:eastAsia="zh-CN"/>
              </w:rPr>
              <w:t>6</w:t>
            </w:r>
            <w:r>
              <w:rPr>
                <w:rFonts w:hint="eastAsia" w:hAnsi="宋体" w:cs="宋体"/>
                <w:szCs w:val="24"/>
              </w:rPr>
              <w:t>.1</w:t>
            </w:r>
          </w:p>
        </w:tc>
        <w:tc>
          <w:tcPr>
            <w:tcW w:w="2071" w:type="dxa"/>
            <w:vAlign w:val="center"/>
          </w:tcPr>
          <w:p>
            <w:pPr>
              <w:spacing w:line="360" w:lineRule="auto"/>
              <w:jc w:val="center"/>
              <w:rPr>
                <w:rFonts w:hAnsi="宋体" w:cs="宋体"/>
                <w:szCs w:val="24"/>
              </w:rPr>
            </w:pPr>
            <w:r>
              <w:rPr>
                <w:rFonts w:hint="eastAsia" w:hAnsi="宋体" w:cs="宋体"/>
                <w:szCs w:val="24"/>
              </w:rPr>
              <w:t>评标方法</w:t>
            </w:r>
          </w:p>
        </w:tc>
        <w:tc>
          <w:tcPr>
            <w:tcW w:w="6142" w:type="dxa"/>
            <w:vAlign w:val="center"/>
          </w:tcPr>
          <w:p>
            <w:pPr>
              <w:spacing w:line="360" w:lineRule="auto"/>
              <w:jc w:val="left"/>
              <w:rPr>
                <w:rFonts w:hAnsi="宋体" w:cs="宋体"/>
                <w:szCs w:val="24"/>
              </w:rPr>
            </w:pPr>
            <w:r>
              <w:rPr>
                <w:rFonts w:hint="eastAsia" w:hAnsi="宋体" w:cs="宋体"/>
                <w:szCs w:val="24"/>
              </w:rPr>
              <w:t>综合评分法（详见第五章）。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2" w:hRule="atLeast"/>
          <w:jc w:val="center"/>
        </w:trPr>
        <w:tc>
          <w:tcPr>
            <w:tcW w:w="1245" w:type="dxa"/>
            <w:vAlign w:val="center"/>
          </w:tcPr>
          <w:p>
            <w:pPr>
              <w:spacing w:line="360" w:lineRule="auto"/>
              <w:jc w:val="center"/>
              <w:rPr>
                <w:rFonts w:hint="eastAsia" w:hAnsi="宋体" w:eastAsia="宋体" w:cs="宋体"/>
                <w:szCs w:val="24"/>
                <w:lang w:eastAsia="zh-CN"/>
              </w:rPr>
            </w:pPr>
            <w:r>
              <w:rPr>
                <w:rFonts w:hint="eastAsia" w:hAnsi="宋体" w:cs="宋体"/>
                <w:szCs w:val="24"/>
              </w:rPr>
              <w:t>3</w:t>
            </w:r>
            <w:r>
              <w:rPr>
                <w:rFonts w:hint="eastAsia" w:hAnsi="宋体" w:cs="宋体"/>
                <w:szCs w:val="24"/>
                <w:lang w:val="en-US" w:eastAsia="zh-CN"/>
              </w:rPr>
              <w:t>1</w:t>
            </w:r>
          </w:p>
        </w:tc>
        <w:tc>
          <w:tcPr>
            <w:tcW w:w="2071" w:type="dxa"/>
            <w:vAlign w:val="center"/>
          </w:tcPr>
          <w:p>
            <w:pPr>
              <w:spacing w:line="360" w:lineRule="auto"/>
              <w:jc w:val="center"/>
              <w:rPr>
                <w:rFonts w:hAnsi="宋体" w:cs="宋体"/>
                <w:szCs w:val="24"/>
              </w:rPr>
            </w:pPr>
            <w:r>
              <w:rPr>
                <w:rFonts w:hint="eastAsia" w:hAnsi="宋体" w:cs="宋体"/>
                <w:szCs w:val="24"/>
              </w:rPr>
              <w:t>招标代理服务费</w:t>
            </w:r>
          </w:p>
        </w:tc>
        <w:tc>
          <w:tcPr>
            <w:tcW w:w="6142" w:type="dxa"/>
            <w:vAlign w:val="center"/>
          </w:tcPr>
          <w:p>
            <w:pPr>
              <w:spacing w:line="360" w:lineRule="auto"/>
              <w:rPr>
                <w:rFonts w:hAnsi="宋体" w:cs="宋体"/>
                <w:szCs w:val="24"/>
              </w:rPr>
            </w:pPr>
            <w:r>
              <w:rPr>
                <w:rFonts w:hint="eastAsia" w:hAnsi="宋体" w:cs="宋体"/>
                <w:szCs w:val="24"/>
              </w:rPr>
              <w:t>参照国家计委颁发的《招标代理服务收费管理暂行办法》（计价格[2002]1980号）和国家发展改革委员会办公厅颁发的《关于招标代理服务收费有关问题的通知》（发改办价格[2003]857号）的有关规定执行。</w:t>
            </w:r>
            <w:r>
              <w:rPr>
                <w:rFonts w:hint="eastAsia"/>
                <w:szCs w:val="24"/>
              </w:rPr>
              <w:t>不足5000元的，按5000元收取。</w:t>
            </w:r>
          </w:p>
          <w:p>
            <w:pPr>
              <w:spacing w:line="360" w:lineRule="auto"/>
              <w:rPr>
                <w:rFonts w:hint="eastAsia" w:ascii="宋体" w:hAnsi="宋体" w:eastAsia="宋体" w:cs="宋体"/>
                <w:sz w:val="24"/>
                <w:szCs w:val="24"/>
              </w:rPr>
            </w:pPr>
            <w:r>
              <w:rPr>
                <w:rFonts w:hint="eastAsia" w:ascii="宋体" w:hAnsi="宋体" w:eastAsia="宋体" w:cs="宋体"/>
                <w:sz w:val="24"/>
                <w:szCs w:val="24"/>
              </w:rPr>
              <w:t>在公告中标（成交）结果的同时，代理机构在线向中标（成交）供应商发出中标（成交）通知书，供应商可登录【全国公共资源交易平台（陕西省•西安市）】网站〖首页〉电子交易平台〉企业端〗后，在〖我的项目/项目流程〗模块中点击下载“中标（成交）通知书”。</w:t>
            </w:r>
          </w:p>
          <w:p>
            <w:pPr>
              <w:spacing w:line="360" w:lineRule="auto"/>
              <w:rPr>
                <w:rFonts w:hAnsi="宋体" w:cs="宋体"/>
                <w:szCs w:val="24"/>
              </w:rPr>
            </w:pPr>
            <w:r>
              <w:rPr>
                <w:rFonts w:hint="eastAsia" w:ascii="宋体" w:hAnsi="宋体" w:eastAsia="宋体" w:cs="宋体"/>
                <w:sz w:val="24"/>
                <w:szCs w:val="24"/>
              </w:rPr>
              <w:t>开标时供应商无需提交纸质投标文件，中标（结果）公告发布后由中标人在领取中标通知书时提供纸质投标文件一正两副用于备案。采用电子化评审系统的采购项目，其纸质投标文件应从政府采购项目投标文件制作软件中导出，分别装订成册。项目分标段的，应按所投标段分别准备投标文件。中标人应保持投标文件纸质版内容与电子版内容完全一致，否则将承担一切法律责任。项目分标段的，应按所投标段分别准备投标文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2" w:hRule="atLeast"/>
          <w:jc w:val="center"/>
        </w:trPr>
        <w:tc>
          <w:tcPr>
            <w:tcW w:w="1245" w:type="dxa"/>
            <w:vAlign w:val="center"/>
          </w:tcPr>
          <w:p>
            <w:pPr>
              <w:spacing w:line="360" w:lineRule="auto"/>
              <w:jc w:val="center"/>
              <w:rPr>
                <w:rFonts w:hint="default" w:hAnsi="宋体" w:eastAsia="宋体" w:cs="宋体"/>
                <w:szCs w:val="24"/>
                <w:lang w:val="en-US" w:eastAsia="zh-CN"/>
              </w:rPr>
            </w:pPr>
            <w:r>
              <w:rPr>
                <w:rFonts w:hint="eastAsia" w:hAnsi="宋体" w:cs="宋体"/>
                <w:szCs w:val="24"/>
                <w:lang w:val="en-US" w:eastAsia="zh-CN"/>
              </w:rPr>
              <w:t>32</w:t>
            </w:r>
          </w:p>
        </w:tc>
        <w:tc>
          <w:tcPr>
            <w:tcW w:w="2071" w:type="dxa"/>
            <w:vAlign w:val="center"/>
          </w:tcPr>
          <w:p>
            <w:pPr>
              <w:spacing w:line="360" w:lineRule="auto"/>
              <w:jc w:val="center"/>
              <w:rPr>
                <w:rFonts w:hAnsi="宋体" w:cs="宋体"/>
                <w:szCs w:val="24"/>
              </w:rPr>
            </w:pPr>
            <w:r>
              <w:rPr>
                <w:rFonts w:hint="eastAsia" w:hAnsi="宋体" w:cs="宋体"/>
                <w:szCs w:val="24"/>
              </w:rPr>
              <w:t>履约验收</w:t>
            </w:r>
          </w:p>
        </w:tc>
        <w:tc>
          <w:tcPr>
            <w:tcW w:w="6142" w:type="dxa"/>
            <w:vAlign w:val="center"/>
          </w:tcPr>
          <w:p>
            <w:pPr>
              <w:spacing w:line="360" w:lineRule="auto"/>
              <w:ind w:left="48" w:leftChars="20"/>
              <w:rPr>
                <w:szCs w:val="24"/>
              </w:rPr>
            </w:pPr>
            <w:r>
              <w:rPr>
                <w:rFonts w:hint="eastAsia"/>
                <w:szCs w:val="24"/>
              </w:rPr>
              <w:t>是否委托采购代理机构组织履约验收：</w:t>
            </w:r>
          </w:p>
          <w:p>
            <w:pPr>
              <w:spacing w:line="360" w:lineRule="auto"/>
              <w:ind w:left="48" w:leftChars="20"/>
              <w:rPr>
                <w:szCs w:val="24"/>
              </w:rPr>
            </w:pPr>
            <w:r>
              <w:rPr>
                <w:rFonts w:hint="eastAsia"/>
                <w:szCs w:val="24"/>
              </w:rPr>
              <w:t>□是，验收费用由采购人/成交供应商支付，费用标准按成交金额的5‰计算，不足5000元的，按5000元收取。</w:t>
            </w:r>
          </w:p>
          <w:p>
            <w:pPr>
              <w:spacing w:line="360" w:lineRule="auto"/>
              <w:rPr>
                <w:rFonts w:hAnsi="宋体" w:cs="宋体"/>
                <w:szCs w:val="24"/>
              </w:rPr>
            </w:pPr>
            <w:r>
              <w:rPr>
                <w:rFonts w:ascii="Segoe UI Symbol" w:hAnsi="Segoe UI Symbol" w:cs="Segoe UI Symbol"/>
                <w:szCs w:val="24"/>
              </w:rPr>
              <w:t>☑</w:t>
            </w:r>
            <w:r>
              <w:rPr>
                <w:rFonts w:hint="eastAsia"/>
                <w:szCs w:val="24"/>
              </w:rPr>
              <w:t>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013" w:hRule="atLeast"/>
          <w:jc w:val="center"/>
        </w:trPr>
        <w:tc>
          <w:tcPr>
            <w:tcW w:w="1245" w:type="dxa"/>
            <w:vAlign w:val="center"/>
          </w:tcPr>
          <w:p>
            <w:pPr>
              <w:spacing w:line="360" w:lineRule="auto"/>
              <w:jc w:val="center"/>
              <w:rPr>
                <w:rFonts w:hAnsi="宋体" w:cs="宋体"/>
                <w:szCs w:val="24"/>
              </w:rPr>
            </w:pPr>
            <w:r>
              <w:rPr>
                <w:rFonts w:hint="eastAsia" w:hAnsi="宋体" w:cs="宋体"/>
                <w:b/>
                <w:bCs/>
                <w:szCs w:val="24"/>
              </w:rPr>
              <w:t>/</w:t>
            </w:r>
          </w:p>
        </w:tc>
        <w:tc>
          <w:tcPr>
            <w:tcW w:w="2071" w:type="dxa"/>
            <w:vAlign w:val="center"/>
          </w:tcPr>
          <w:p>
            <w:pPr>
              <w:spacing w:line="360" w:lineRule="auto"/>
              <w:jc w:val="center"/>
              <w:rPr>
                <w:rFonts w:hAnsi="宋体" w:cs="宋体"/>
                <w:szCs w:val="24"/>
              </w:rPr>
            </w:pPr>
            <w:r>
              <w:rPr>
                <w:rFonts w:hint="eastAsia" w:hAnsi="宋体" w:cs="宋体"/>
                <w:szCs w:val="24"/>
              </w:rPr>
              <w:t>招标代理服务费账户</w:t>
            </w:r>
          </w:p>
        </w:tc>
        <w:tc>
          <w:tcPr>
            <w:tcW w:w="6142" w:type="dxa"/>
            <w:vAlign w:val="center"/>
          </w:tcPr>
          <w:p>
            <w:pPr>
              <w:spacing w:line="360" w:lineRule="auto"/>
              <w:rPr>
                <w:rFonts w:hAnsi="宋体" w:cs="宋体"/>
                <w:szCs w:val="24"/>
              </w:rPr>
            </w:pPr>
            <w:r>
              <w:rPr>
                <w:rFonts w:hint="eastAsia" w:hAnsi="宋体" w:cs="宋体"/>
                <w:szCs w:val="24"/>
              </w:rPr>
              <w:t>户名：陕西万兴招标代理有限公司</w:t>
            </w:r>
          </w:p>
          <w:p>
            <w:pPr>
              <w:spacing w:line="360" w:lineRule="auto"/>
              <w:rPr>
                <w:rFonts w:hAnsi="宋体" w:cs="宋体"/>
                <w:szCs w:val="24"/>
              </w:rPr>
            </w:pPr>
            <w:r>
              <w:rPr>
                <w:rFonts w:hint="eastAsia" w:hAnsi="宋体" w:cs="宋体"/>
                <w:szCs w:val="24"/>
              </w:rPr>
              <w:t>开户行：北京银行股份有限公司西安大明宫支行</w:t>
            </w:r>
          </w:p>
          <w:p>
            <w:pPr>
              <w:spacing w:line="360" w:lineRule="auto"/>
              <w:rPr>
                <w:rFonts w:hAnsi="宋体" w:cs="宋体"/>
                <w:szCs w:val="24"/>
              </w:rPr>
            </w:pPr>
            <w:r>
              <w:rPr>
                <w:rFonts w:hint="eastAsia" w:hAnsi="宋体" w:cs="宋体"/>
                <w:szCs w:val="24"/>
              </w:rPr>
              <w:t>账号：2000 0034 4675 0001 6437 653</w:t>
            </w:r>
          </w:p>
          <w:p>
            <w:pPr>
              <w:spacing w:line="360" w:lineRule="auto"/>
              <w:ind w:firstLine="480" w:firstLineChars="200"/>
              <w:rPr>
                <w:rFonts w:hAnsi="宋体" w:cs="宋体"/>
                <w:szCs w:val="24"/>
              </w:rPr>
            </w:pPr>
            <w:r>
              <w:rPr>
                <w:rFonts w:hint="eastAsia" w:hAnsi="宋体" w:cs="宋体"/>
                <w:szCs w:val="24"/>
              </w:rPr>
              <w:t>请中标供应商按照要求将招标代理服务费转入以上指定账户，如因自身原因发生错误，产生的不利后果均由供应商自行承担。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3" w:hRule="atLeast"/>
          <w:jc w:val="center"/>
        </w:trPr>
        <w:tc>
          <w:tcPr>
            <w:tcW w:w="1245" w:type="dxa"/>
            <w:vAlign w:val="center"/>
          </w:tcPr>
          <w:p>
            <w:pPr>
              <w:spacing w:line="360" w:lineRule="auto"/>
              <w:jc w:val="center"/>
              <w:rPr>
                <w:rFonts w:hAnsi="宋体" w:cs="宋体"/>
                <w:szCs w:val="24"/>
              </w:rPr>
            </w:pPr>
            <w:r>
              <w:rPr>
                <w:rFonts w:hint="eastAsia" w:hAnsi="宋体" w:cs="宋体"/>
                <w:szCs w:val="24"/>
              </w:rPr>
              <w:t>/</w:t>
            </w:r>
          </w:p>
        </w:tc>
        <w:tc>
          <w:tcPr>
            <w:tcW w:w="2071" w:type="dxa"/>
            <w:vAlign w:val="center"/>
          </w:tcPr>
          <w:p>
            <w:pPr>
              <w:spacing w:line="360" w:lineRule="auto"/>
              <w:ind w:left="48" w:leftChars="20"/>
              <w:jc w:val="center"/>
              <w:rPr>
                <w:rFonts w:hAnsi="宋体" w:cs="宋体"/>
                <w:szCs w:val="24"/>
              </w:rPr>
            </w:pPr>
            <w:r>
              <w:rPr>
                <w:rFonts w:hint="eastAsia" w:hAnsi="宋体" w:cs="宋体"/>
                <w:szCs w:val="24"/>
              </w:rPr>
              <w:t>履约担保</w:t>
            </w:r>
          </w:p>
        </w:tc>
        <w:tc>
          <w:tcPr>
            <w:tcW w:w="6142" w:type="dxa"/>
            <w:vAlign w:val="center"/>
          </w:tcPr>
          <w:p>
            <w:pPr>
              <w:spacing w:line="360" w:lineRule="auto"/>
              <w:ind w:left="48" w:leftChars="20"/>
              <w:rPr>
                <w:rFonts w:hAnsi="宋体" w:cs="宋体"/>
                <w:szCs w:val="24"/>
              </w:rPr>
            </w:pPr>
            <w:r>
              <w:rPr>
                <w:rFonts w:ascii="Segoe UI Symbol" w:hAnsi="Segoe UI Symbol" w:cs="Segoe UI Symbol"/>
                <w:szCs w:val="24"/>
              </w:rPr>
              <w:t>☑</w:t>
            </w:r>
            <w:r>
              <w:rPr>
                <w:rFonts w:hint="eastAsia" w:hAnsi="宋体" w:cs="宋体"/>
                <w:szCs w:val="24"/>
              </w:rPr>
              <w:t>不要求提供</w:t>
            </w:r>
          </w:p>
          <w:p>
            <w:pPr>
              <w:spacing w:line="360" w:lineRule="auto"/>
              <w:ind w:left="48" w:leftChars="20"/>
              <w:rPr>
                <w:rFonts w:hAnsi="宋体"/>
                <w:b/>
                <w:bCs/>
                <w:szCs w:val="24"/>
              </w:rPr>
            </w:pPr>
            <w:r>
              <w:rPr>
                <w:rFonts w:hint="eastAsia" w:hAnsi="宋体" w:cs="宋体"/>
                <w:szCs w:val="24"/>
              </w:rPr>
              <w:t>□要求提供，本采购项目履约保证金为合同金额的</w:t>
            </w:r>
            <w:r>
              <w:rPr>
                <w:rFonts w:hAnsi="宋体" w:cs="宋体"/>
                <w:szCs w:val="24"/>
              </w:rPr>
              <w:t>5</w:t>
            </w:r>
            <w:r>
              <w:rPr>
                <w:rFonts w:hint="eastAsia" w:hAnsi="宋体" w:cs="宋体"/>
                <w:szCs w:val="24"/>
              </w:rPr>
              <w:t>%，提交方式为：转账、电汇、担保机构保函。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84" w:hRule="atLeast"/>
          <w:jc w:val="center"/>
        </w:trPr>
        <w:tc>
          <w:tcPr>
            <w:tcW w:w="1245" w:type="dxa"/>
            <w:vAlign w:val="center"/>
          </w:tcPr>
          <w:p>
            <w:pPr>
              <w:spacing w:line="360" w:lineRule="auto"/>
              <w:jc w:val="center"/>
              <w:rPr>
                <w:rFonts w:hAnsi="宋体" w:cs="宋体"/>
                <w:szCs w:val="24"/>
              </w:rPr>
            </w:pPr>
            <w:r>
              <w:rPr>
                <w:rFonts w:hint="eastAsia" w:hAnsi="宋体" w:cs="宋体"/>
                <w:szCs w:val="24"/>
              </w:rPr>
              <w:t>/</w:t>
            </w:r>
          </w:p>
        </w:tc>
        <w:tc>
          <w:tcPr>
            <w:tcW w:w="2071" w:type="dxa"/>
            <w:vAlign w:val="center"/>
          </w:tcPr>
          <w:p>
            <w:pPr>
              <w:pStyle w:val="19"/>
              <w:spacing w:after="0" w:line="360" w:lineRule="auto"/>
              <w:jc w:val="center"/>
              <w:rPr>
                <w:rFonts w:ascii="宋体" w:hAnsi="宋体" w:cs="宋体"/>
                <w:kern w:val="0"/>
                <w:sz w:val="24"/>
                <w:szCs w:val="24"/>
              </w:rPr>
            </w:pPr>
            <w:r>
              <w:rPr>
                <w:rFonts w:hint="eastAsia" w:ascii="宋体" w:hAnsi="宋体" w:cs="宋体"/>
                <w:kern w:val="0"/>
                <w:sz w:val="24"/>
                <w:szCs w:val="24"/>
              </w:rPr>
              <w:t>现场踏勘</w:t>
            </w:r>
          </w:p>
        </w:tc>
        <w:tc>
          <w:tcPr>
            <w:tcW w:w="6142" w:type="dxa"/>
            <w:vAlign w:val="center"/>
          </w:tcPr>
          <w:p>
            <w:pPr>
              <w:pStyle w:val="19"/>
              <w:spacing w:after="0" w:line="360" w:lineRule="auto"/>
              <w:rPr>
                <w:rFonts w:ascii="宋体" w:hAnsi="宋体" w:cs="宋体"/>
                <w:kern w:val="0"/>
                <w:sz w:val="24"/>
                <w:szCs w:val="24"/>
              </w:rPr>
            </w:pPr>
            <w:r>
              <w:rPr>
                <w:rFonts w:hint="eastAsia" w:ascii="宋体" w:hAnsi="宋体" w:cs="宋体"/>
                <w:kern w:val="0"/>
                <w:sz w:val="24"/>
                <w:szCs w:val="24"/>
              </w:rPr>
              <w:t>不踏勘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62" w:hRule="atLeast"/>
          <w:jc w:val="center"/>
        </w:trPr>
        <w:tc>
          <w:tcPr>
            <w:tcW w:w="1245" w:type="dxa"/>
            <w:vAlign w:val="center"/>
          </w:tcPr>
          <w:p>
            <w:pPr>
              <w:spacing w:line="360" w:lineRule="auto"/>
              <w:jc w:val="center"/>
              <w:rPr>
                <w:rFonts w:hAnsi="宋体" w:cs="宋体"/>
                <w:szCs w:val="24"/>
              </w:rPr>
            </w:pPr>
            <w:r>
              <w:rPr>
                <w:rFonts w:hint="eastAsia" w:hAnsi="宋体" w:cs="宋体"/>
                <w:szCs w:val="24"/>
              </w:rPr>
              <w:t>/</w:t>
            </w:r>
          </w:p>
        </w:tc>
        <w:tc>
          <w:tcPr>
            <w:tcW w:w="2071" w:type="dxa"/>
            <w:vAlign w:val="center"/>
          </w:tcPr>
          <w:p>
            <w:pPr>
              <w:pStyle w:val="19"/>
              <w:spacing w:after="0" w:line="360" w:lineRule="auto"/>
              <w:jc w:val="center"/>
              <w:rPr>
                <w:rFonts w:ascii="宋体" w:hAnsi="宋体" w:cs="宋体"/>
                <w:kern w:val="0"/>
                <w:sz w:val="24"/>
                <w:szCs w:val="24"/>
              </w:rPr>
            </w:pPr>
            <w:r>
              <w:rPr>
                <w:rFonts w:hint="eastAsia" w:ascii="宋体" w:hAnsi="宋体" w:cs="宋体"/>
                <w:kern w:val="0"/>
                <w:sz w:val="24"/>
                <w:szCs w:val="24"/>
              </w:rPr>
              <w:t>进口产品</w:t>
            </w:r>
          </w:p>
        </w:tc>
        <w:tc>
          <w:tcPr>
            <w:tcW w:w="6142" w:type="dxa"/>
            <w:vAlign w:val="center"/>
          </w:tcPr>
          <w:p>
            <w:pPr>
              <w:pStyle w:val="19"/>
              <w:spacing w:after="0" w:line="360" w:lineRule="auto"/>
              <w:rPr>
                <w:rFonts w:ascii="宋体" w:hAnsi="宋体" w:cs="宋体"/>
                <w:kern w:val="0"/>
                <w:sz w:val="24"/>
                <w:szCs w:val="24"/>
              </w:rPr>
            </w:pPr>
            <w:r>
              <w:rPr>
                <w:rFonts w:hint="eastAsia" w:ascii="宋体" w:hAnsi="宋体" w:cs="宋体"/>
                <w:kern w:val="0"/>
                <w:sz w:val="24"/>
                <w:szCs w:val="24"/>
              </w:rPr>
              <w:t>本采购项目拒绝进口产品参加投标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62" w:hRule="atLeast"/>
          <w:jc w:val="center"/>
        </w:trPr>
        <w:tc>
          <w:tcPr>
            <w:tcW w:w="1245" w:type="dxa"/>
            <w:vAlign w:val="center"/>
          </w:tcPr>
          <w:p>
            <w:pPr>
              <w:spacing w:line="360" w:lineRule="auto"/>
              <w:jc w:val="center"/>
              <w:rPr>
                <w:rFonts w:hAnsi="宋体" w:cs="宋体"/>
                <w:szCs w:val="24"/>
              </w:rPr>
            </w:pPr>
            <w:r>
              <w:rPr>
                <w:rFonts w:hint="eastAsia" w:hAnsi="宋体" w:cs="宋体"/>
                <w:szCs w:val="24"/>
              </w:rPr>
              <w:t>/</w:t>
            </w:r>
          </w:p>
        </w:tc>
        <w:tc>
          <w:tcPr>
            <w:tcW w:w="2071" w:type="dxa"/>
            <w:vAlign w:val="center"/>
          </w:tcPr>
          <w:p>
            <w:pPr>
              <w:pStyle w:val="19"/>
              <w:spacing w:after="0" w:line="360" w:lineRule="auto"/>
              <w:jc w:val="center"/>
              <w:rPr>
                <w:rFonts w:ascii="宋体" w:hAnsi="宋体" w:cs="宋体"/>
                <w:color w:val="auto"/>
                <w:kern w:val="0"/>
                <w:sz w:val="24"/>
                <w:szCs w:val="24"/>
              </w:rPr>
            </w:pPr>
            <w:r>
              <w:rPr>
                <w:rFonts w:hint="eastAsia" w:ascii="宋体" w:hAnsi="宋体" w:cs="宋体"/>
                <w:color w:val="auto"/>
                <w:kern w:val="0"/>
                <w:sz w:val="24"/>
                <w:szCs w:val="24"/>
              </w:rPr>
              <w:t>核心产品</w:t>
            </w:r>
          </w:p>
        </w:tc>
        <w:tc>
          <w:tcPr>
            <w:tcW w:w="6142" w:type="dxa"/>
            <w:vAlign w:val="center"/>
          </w:tcPr>
          <w:p>
            <w:pPr>
              <w:spacing w:line="360" w:lineRule="auto"/>
              <w:rPr>
                <w:rFonts w:hint="eastAsia"/>
                <w:color w:val="auto"/>
                <w:lang w:eastAsia="zh-CN"/>
              </w:rPr>
            </w:pPr>
            <w:r>
              <w:rPr>
                <w:rFonts w:hint="eastAsia"/>
                <w:color w:val="auto"/>
                <w:lang w:eastAsia="zh-CN"/>
              </w:rPr>
              <w:t>第一包：</w:t>
            </w:r>
            <w:r>
              <w:rPr>
                <w:rFonts w:hint="eastAsia"/>
                <w:color w:val="auto"/>
                <w:lang w:val="en-US" w:eastAsia="zh-CN"/>
              </w:rPr>
              <w:t>恢复大师—应用模块</w:t>
            </w:r>
          </w:p>
          <w:p>
            <w:pPr>
              <w:spacing w:line="360" w:lineRule="auto"/>
              <w:rPr>
                <w:rFonts w:hint="eastAsia"/>
                <w:color w:val="auto"/>
                <w:lang w:eastAsia="zh-CN"/>
              </w:rPr>
            </w:pPr>
            <w:r>
              <w:rPr>
                <w:rFonts w:hint="eastAsia"/>
                <w:color w:val="auto"/>
                <w:lang w:eastAsia="zh-CN"/>
              </w:rPr>
              <w:t>第二包：台式电脑</w:t>
            </w:r>
          </w:p>
          <w:p>
            <w:pPr>
              <w:spacing w:line="360" w:lineRule="auto"/>
              <w:rPr>
                <w:rFonts w:hint="eastAsia" w:hAnsi="宋体" w:cs="宋体"/>
                <w:color w:val="auto"/>
                <w:szCs w:val="24"/>
                <w:lang w:eastAsia="zh-CN"/>
              </w:rPr>
            </w:pPr>
            <w:r>
              <w:rPr>
                <w:rFonts w:hint="eastAsia"/>
                <w:color w:val="auto"/>
                <w:lang w:eastAsia="zh-CN"/>
              </w:rPr>
              <w:t>第三包：</w:t>
            </w:r>
            <w:r>
              <w:rPr>
                <w:rFonts w:hint="eastAsia"/>
                <w:color w:val="auto"/>
                <w:lang w:val="en-US" w:eastAsia="zh-CN"/>
              </w:rPr>
              <w:t>执法记录仪</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26" w:hRule="atLeast"/>
          <w:jc w:val="center"/>
        </w:trPr>
        <w:tc>
          <w:tcPr>
            <w:tcW w:w="1245" w:type="dxa"/>
            <w:vAlign w:val="center"/>
          </w:tcPr>
          <w:p>
            <w:pPr>
              <w:spacing w:line="360" w:lineRule="auto"/>
              <w:jc w:val="center"/>
              <w:rPr>
                <w:rFonts w:hAnsi="宋体" w:cs="宋体"/>
                <w:szCs w:val="24"/>
              </w:rPr>
            </w:pPr>
            <w:r>
              <w:rPr>
                <w:rFonts w:hint="eastAsia" w:hAnsi="宋体" w:cs="宋体"/>
                <w:szCs w:val="24"/>
              </w:rPr>
              <w:t>/</w:t>
            </w:r>
          </w:p>
        </w:tc>
        <w:tc>
          <w:tcPr>
            <w:tcW w:w="2071" w:type="dxa"/>
            <w:vAlign w:val="center"/>
          </w:tcPr>
          <w:p>
            <w:pPr>
              <w:pStyle w:val="19"/>
              <w:spacing w:after="0" w:line="360" w:lineRule="auto"/>
              <w:jc w:val="center"/>
              <w:rPr>
                <w:rFonts w:ascii="宋体" w:hAnsi="宋体" w:cs="宋体"/>
                <w:kern w:val="0"/>
                <w:sz w:val="24"/>
                <w:szCs w:val="24"/>
              </w:rPr>
            </w:pPr>
            <w:r>
              <w:rPr>
                <w:rFonts w:hint="eastAsia" w:ascii="宋体" w:hAnsi="宋体" w:cs="宋体"/>
                <w:kern w:val="0"/>
                <w:sz w:val="24"/>
                <w:szCs w:val="24"/>
              </w:rPr>
              <w:t>一致性</w:t>
            </w:r>
          </w:p>
        </w:tc>
        <w:tc>
          <w:tcPr>
            <w:tcW w:w="6142" w:type="dxa"/>
            <w:vAlign w:val="center"/>
          </w:tcPr>
          <w:p>
            <w:pPr>
              <w:pStyle w:val="19"/>
              <w:spacing w:after="0" w:line="360" w:lineRule="auto"/>
              <w:rPr>
                <w:rFonts w:ascii="宋体" w:hAnsi="宋体" w:cs="宋体"/>
                <w:kern w:val="0"/>
                <w:sz w:val="24"/>
                <w:szCs w:val="24"/>
              </w:rPr>
            </w:pPr>
            <w:r>
              <w:rPr>
                <w:rFonts w:hint="eastAsia" w:ascii="宋体" w:hAnsi="宋体" w:cs="宋体"/>
                <w:kern w:val="0"/>
                <w:sz w:val="24"/>
                <w:szCs w:val="24"/>
              </w:rPr>
              <w:t>供应商须知前附表和须知不一致的地方，以前附表为准。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26" w:hRule="atLeast"/>
          <w:jc w:val="center"/>
        </w:trPr>
        <w:tc>
          <w:tcPr>
            <w:tcW w:w="1245" w:type="dxa"/>
            <w:vAlign w:val="center"/>
          </w:tcPr>
          <w:p>
            <w:pPr>
              <w:spacing w:line="360" w:lineRule="auto"/>
              <w:jc w:val="center"/>
              <w:rPr>
                <w:rFonts w:hAnsi="宋体" w:cs="宋体"/>
                <w:szCs w:val="24"/>
              </w:rPr>
            </w:pPr>
            <w:r>
              <w:rPr>
                <w:rFonts w:hint="eastAsia" w:hAnsi="宋体" w:cs="宋体"/>
                <w:szCs w:val="24"/>
              </w:rPr>
              <w:t>/</w:t>
            </w:r>
          </w:p>
        </w:tc>
        <w:tc>
          <w:tcPr>
            <w:tcW w:w="2071" w:type="dxa"/>
            <w:vAlign w:val="center"/>
          </w:tcPr>
          <w:p>
            <w:pPr>
              <w:pStyle w:val="19"/>
              <w:spacing w:after="0" w:line="360" w:lineRule="auto"/>
              <w:jc w:val="center"/>
              <w:rPr>
                <w:rFonts w:ascii="宋体" w:hAnsi="宋体" w:cs="宋体"/>
                <w:kern w:val="0"/>
                <w:sz w:val="24"/>
                <w:szCs w:val="24"/>
              </w:rPr>
            </w:pPr>
            <w:r>
              <w:rPr>
                <w:rFonts w:hint="eastAsia" w:ascii="宋体" w:hAnsi="宋体" w:cs="宋体"/>
                <w:kern w:val="0"/>
                <w:sz w:val="24"/>
                <w:szCs w:val="24"/>
              </w:rPr>
              <w:t>其他</w:t>
            </w:r>
          </w:p>
        </w:tc>
        <w:tc>
          <w:tcPr>
            <w:tcW w:w="6142" w:type="dxa"/>
            <w:vAlign w:val="center"/>
          </w:tcPr>
          <w:p>
            <w:pPr>
              <w:numPr>
                <w:ilvl w:val="0"/>
                <w:numId w:val="5"/>
              </w:numPr>
              <w:spacing w:line="360" w:lineRule="auto"/>
              <w:ind w:left="0"/>
              <w:rPr>
                <w:rFonts w:hAnsi="宋体" w:cs="宋体"/>
                <w:szCs w:val="22"/>
              </w:rPr>
            </w:pPr>
            <w:r>
              <w:rPr>
                <w:rFonts w:hint="eastAsia"/>
                <w:szCs w:val="22"/>
              </w:rPr>
              <w:t>本项目非专门面向中小</w:t>
            </w:r>
            <w:r>
              <w:rPr>
                <w:rFonts w:hint="eastAsia" w:hAnsi="宋体" w:cs="宋体"/>
                <w:szCs w:val="22"/>
              </w:rPr>
              <w:t>企业采购。</w:t>
            </w:r>
          </w:p>
          <w:p>
            <w:pPr>
              <w:numPr>
                <w:ilvl w:val="0"/>
                <w:numId w:val="5"/>
              </w:numPr>
              <w:spacing w:line="360" w:lineRule="auto"/>
              <w:ind w:left="0"/>
              <w:rPr>
                <w:rFonts w:hAnsi="宋体" w:cs="宋体"/>
                <w:szCs w:val="22"/>
              </w:rPr>
            </w:pPr>
            <w:r>
              <w:rPr>
                <w:rFonts w:hint="eastAsia" w:hAnsi="宋体" w:cs="宋体"/>
                <w:szCs w:val="22"/>
              </w:rPr>
              <w:t>本项目属性为</w:t>
            </w:r>
            <w:r>
              <w:rPr>
                <w:rFonts w:hint="eastAsia"/>
              </w:rPr>
              <w:t>货物</w:t>
            </w:r>
            <w:r>
              <w:rPr>
                <w:rFonts w:hint="eastAsia" w:hAnsi="宋体" w:cs="宋体"/>
                <w:szCs w:val="22"/>
              </w:rPr>
              <w:t>。</w:t>
            </w:r>
          </w:p>
          <w:p>
            <w:pPr>
              <w:pStyle w:val="19"/>
              <w:spacing w:after="0" w:line="360" w:lineRule="auto"/>
              <w:rPr>
                <w:rFonts w:ascii="宋体" w:hAnsi="宋体" w:cs="宋体"/>
                <w:kern w:val="0"/>
                <w:sz w:val="24"/>
                <w:szCs w:val="24"/>
              </w:rPr>
            </w:pPr>
            <w:r>
              <w:rPr>
                <w:rFonts w:hint="eastAsia" w:ascii="宋体" w:hAnsi="宋体" w:cs="宋体"/>
                <w:sz w:val="24"/>
                <w:szCs w:val="24"/>
              </w:rPr>
              <w:t>3、本</w:t>
            </w:r>
            <w:r>
              <w:rPr>
                <w:rFonts w:hint="eastAsia" w:ascii="宋体" w:hAnsi="宋体" w:cs="宋体"/>
                <w:kern w:val="0"/>
                <w:sz w:val="24"/>
                <w:szCs w:val="24"/>
              </w:rPr>
              <w:t>项目</w:t>
            </w:r>
            <w:r>
              <w:rPr>
                <w:rFonts w:hint="eastAsia" w:ascii="宋体"/>
                <w:kern w:val="0"/>
                <w:sz w:val="24"/>
                <w:szCs w:val="22"/>
              </w:rPr>
              <w:t>采购标的所属行业为：</w:t>
            </w:r>
            <w:r>
              <w:rPr>
                <w:rFonts w:hint="eastAsia" w:ascii="宋体"/>
                <w:kern w:val="0"/>
                <w:sz w:val="24"/>
                <w:szCs w:val="22"/>
                <w:u w:val="single"/>
              </w:rPr>
              <w:t xml:space="preserve"> 工业  </w:t>
            </w:r>
            <w:r>
              <w:rPr>
                <w:rFonts w:hint="eastAsia" w:ascii="宋体"/>
                <w:kern w:val="0"/>
                <w:sz w:val="24"/>
                <w:szCs w:val="22"/>
              </w:rPr>
              <w:t>。</w:t>
            </w:r>
          </w:p>
        </w:tc>
      </w:tr>
    </w:tbl>
    <w:p>
      <w:pPr>
        <w:pStyle w:val="5"/>
        <w:ind w:firstLine="640"/>
        <w:rPr>
          <w:rFonts w:ascii="宋体" w:hAnsi="宋体" w:cs="宋体"/>
          <w:sz w:val="32"/>
        </w:rPr>
      </w:pPr>
    </w:p>
    <w:p>
      <w:pPr>
        <w:spacing w:before="166" w:beforeLines="50" w:line="360" w:lineRule="auto"/>
        <w:jc w:val="center"/>
        <w:outlineLvl w:val="1"/>
        <w:rPr>
          <w:rFonts w:hAnsi="宋体" w:cs="宋体"/>
          <w:sz w:val="32"/>
          <w:szCs w:val="32"/>
        </w:rPr>
      </w:pPr>
      <w:r>
        <w:rPr>
          <w:rFonts w:hint="eastAsia" w:hAnsi="宋体" w:cs="宋体"/>
        </w:rPr>
        <w:br w:type="page"/>
      </w:r>
      <w:bookmarkEnd w:id="9"/>
      <w:bookmarkEnd w:id="10"/>
      <w:bookmarkEnd w:id="11"/>
      <w:bookmarkStart w:id="24" w:name="_Toc403077639"/>
      <w:bookmarkStart w:id="25" w:name="_Toc15533"/>
      <w:bookmarkStart w:id="26" w:name="_Toc363473972"/>
      <w:bookmarkStart w:id="27" w:name="_Toc20968"/>
      <w:bookmarkStart w:id="28" w:name="_Toc363474017"/>
      <w:r>
        <w:rPr>
          <w:rFonts w:hint="eastAsia" w:hAnsi="宋体" w:cs="宋体"/>
          <w:b/>
          <w:sz w:val="32"/>
          <w:szCs w:val="32"/>
        </w:rPr>
        <w:t>一、总  则</w:t>
      </w:r>
      <w:bookmarkEnd w:id="24"/>
      <w:bookmarkEnd w:id="25"/>
      <w:bookmarkEnd w:id="26"/>
      <w:bookmarkEnd w:id="27"/>
      <w:bookmarkEnd w:id="28"/>
    </w:p>
    <w:p>
      <w:pPr>
        <w:spacing w:line="360" w:lineRule="auto"/>
        <w:outlineLvl w:val="1"/>
        <w:rPr>
          <w:rFonts w:hint="eastAsia" w:hAnsi="宋体" w:cs="宋体"/>
          <w:b/>
          <w:szCs w:val="24"/>
        </w:rPr>
      </w:pPr>
      <w:bookmarkStart w:id="29" w:name="_Toc12540"/>
      <w:bookmarkStart w:id="30" w:name="_Toc27824"/>
      <w:bookmarkStart w:id="31" w:name="_Toc363474023"/>
      <w:r>
        <w:rPr>
          <w:rFonts w:hint="eastAsia" w:hAnsi="宋体" w:cs="宋体"/>
          <w:b/>
          <w:szCs w:val="24"/>
        </w:rPr>
        <w:t>1.资金来源</w:t>
      </w:r>
      <w:bookmarkEnd w:id="29"/>
      <w:bookmarkEnd w:id="30"/>
    </w:p>
    <w:p>
      <w:pPr>
        <w:spacing w:line="360" w:lineRule="auto"/>
        <w:ind w:firstLine="480" w:firstLineChars="200"/>
        <w:outlineLvl w:val="2"/>
        <w:rPr>
          <w:rFonts w:hint="eastAsia" w:hAnsi="宋体" w:cs="宋体"/>
          <w:szCs w:val="24"/>
        </w:rPr>
      </w:pPr>
      <w:r>
        <w:rPr>
          <w:rFonts w:hint="eastAsia" w:hAnsi="宋体" w:cs="宋体"/>
          <w:szCs w:val="24"/>
        </w:rPr>
        <w:t>1.1本次招标采购所签合同使用财政资金支付，资金已落实到位。</w:t>
      </w:r>
    </w:p>
    <w:p>
      <w:pPr>
        <w:numPr>
          <w:ilvl w:val="0"/>
          <w:numId w:val="6"/>
        </w:numPr>
        <w:spacing w:line="360" w:lineRule="auto"/>
        <w:outlineLvl w:val="1"/>
        <w:rPr>
          <w:rFonts w:hint="eastAsia" w:hAnsi="宋体" w:cs="宋体"/>
          <w:b/>
          <w:szCs w:val="24"/>
        </w:rPr>
      </w:pPr>
      <w:bookmarkStart w:id="32" w:name="_Toc8378"/>
      <w:bookmarkStart w:id="33" w:name="_Toc13182"/>
      <w:r>
        <w:rPr>
          <w:rFonts w:hint="eastAsia" w:hAnsi="宋体" w:cs="宋体"/>
          <w:b/>
          <w:szCs w:val="24"/>
        </w:rPr>
        <w:t>名词解释</w:t>
      </w:r>
      <w:bookmarkEnd w:id="32"/>
      <w:bookmarkEnd w:id="33"/>
    </w:p>
    <w:p>
      <w:pPr>
        <w:spacing w:line="360" w:lineRule="auto"/>
        <w:ind w:firstLine="480" w:firstLineChars="200"/>
        <w:rPr>
          <w:rFonts w:hint="eastAsia" w:hAnsi="宋体" w:cs="宋体"/>
          <w:szCs w:val="24"/>
        </w:rPr>
      </w:pPr>
      <w:r>
        <w:rPr>
          <w:rFonts w:hint="eastAsia" w:hAnsi="宋体" w:cs="宋体"/>
          <w:szCs w:val="24"/>
        </w:rPr>
        <w:t>2.1采购人：</w:t>
      </w:r>
    </w:p>
    <w:p>
      <w:pPr>
        <w:spacing w:line="360" w:lineRule="auto"/>
        <w:ind w:firstLine="480" w:firstLineChars="200"/>
        <w:rPr>
          <w:rFonts w:hint="eastAsia" w:hAnsi="宋体" w:cs="宋体"/>
          <w:szCs w:val="24"/>
        </w:rPr>
      </w:pPr>
      <w:r>
        <w:rPr>
          <w:rFonts w:hint="eastAsia" w:hAnsi="宋体" w:cs="宋体"/>
          <w:szCs w:val="24"/>
        </w:rPr>
        <w:t>2.2监督机构：同级人民政府财政部门</w:t>
      </w:r>
    </w:p>
    <w:p>
      <w:pPr>
        <w:tabs>
          <w:tab w:val="left" w:pos="7665"/>
        </w:tabs>
        <w:spacing w:line="360" w:lineRule="auto"/>
        <w:ind w:firstLine="480" w:firstLineChars="200"/>
        <w:rPr>
          <w:rFonts w:hint="eastAsia" w:hAnsi="宋体" w:cs="宋体"/>
        </w:rPr>
      </w:pPr>
      <w:r>
        <w:rPr>
          <w:rFonts w:hint="eastAsia" w:hAnsi="宋体" w:cs="宋体"/>
        </w:rPr>
        <w:t>2.3采购代理机构：</w:t>
      </w:r>
    </w:p>
    <w:p>
      <w:pPr>
        <w:tabs>
          <w:tab w:val="left" w:pos="7665"/>
        </w:tabs>
        <w:spacing w:line="360" w:lineRule="auto"/>
        <w:ind w:firstLine="480" w:firstLineChars="200"/>
        <w:rPr>
          <w:rFonts w:hint="eastAsia" w:hAnsi="宋体" w:cs="宋体"/>
        </w:rPr>
      </w:pPr>
      <w:r>
        <w:rPr>
          <w:rFonts w:hint="eastAsia" w:hAnsi="宋体" w:cs="宋体"/>
        </w:rPr>
        <w:t>2.4供应商：是指响应和符合招标文件规定资格条件且参与投标竞争的法人、其他组织或者自然人。</w:t>
      </w:r>
    </w:p>
    <w:p>
      <w:pPr>
        <w:tabs>
          <w:tab w:val="left" w:pos="7665"/>
        </w:tabs>
        <w:spacing w:line="360" w:lineRule="auto"/>
        <w:ind w:firstLine="480" w:firstLineChars="200"/>
        <w:rPr>
          <w:rFonts w:hint="eastAsia" w:hAnsi="宋体" w:cs="宋体"/>
          <w:color w:val="000000"/>
        </w:rPr>
      </w:pPr>
      <w:r>
        <w:rPr>
          <w:rFonts w:hint="eastAsia" w:hAnsi="宋体" w:cs="宋体"/>
          <w:color w:val="000000"/>
        </w:rPr>
        <w:t>2.5西安市公共资源交易平台：即【全国公共资源交易平台（陕西省·西安市）】的简称，官网地址</w:t>
      </w:r>
      <w:r>
        <w:fldChar w:fldCharType="begin"/>
      </w:r>
      <w:r>
        <w:instrText xml:space="preserve"> HYPERLINK "http://sxggzyjy.xa.gov.cn/" </w:instrText>
      </w:r>
      <w:r>
        <w:fldChar w:fldCharType="separate"/>
      </w:r>
      <w:r>
        <w:rPr>
          <w:rFonts w:hint="eastAsia" w:hAnsi="宋体" w:cs="宋体"/>
          <w:color w:val="000000"/>
        </w:rPr>
        <w:t>http：//sxggzyjy.xa.gov.cn/</w:t>
      </w:r>
      <w:r>
        <w:rPr>
          <w:rFonts w:hint="eastAsia" w:hAnsi="宋体" w:cs="宋体"/>
          <w:color w:val="000000"/>
        </w:rPr>
        <w:fldChar w:fldCharType="end"/>
      </w:r>
      <w:r>
        <w:rPr>
          <w:rFonts w:hint="eastAsia" w:hAnsi="宋体" w:cs="宋体"/>
          <w:color w:val="000000"/>
        </w:rPr>
        <w:t>。</w:t>
      </w:r>
    </w:p>
    <w:p>
      <w:pPr>
        <w:tabs>
          <w:tab w:val="left" w:pos="7665"/>
        </w:tabs>
        <w:spacing w:line="360" w:lineRule="auto"/>
        <w:ind w:firstLine="480" w:firstLineChars="200"/>
        <w:rPr>
          <w:rFonts w:hint="eastAsia" w:hAnsi="宋体" w:cs="宋体"/>
          <w:color w:val="000000"/>
        </w:rPr>
      </w:pPr>
      <w:r>
        <w:rPr>
          <w:rFonts w:hint="eastAsia" w:hAnsi="宋体" w:cs="宋体"/>
          <w:color w:val="000000"/>
        </w:rPr>
        <w:t>2.6</w:t>
      </w:r>
      <w:r>
        <w:rPr>
          <w:rFonts w:hint="eastAsia" w:hAnsi="宋体" w:cs="宋体"/>
          <w:color w:val="000000"/>
          <w:spacing w:val="-11"/>
        </w:rPr>
        <w:t>企业端：指西安市公共资源交易平台〖首页·〉电子交易平台·〉陕西政府采购交易系统·〉企业端〗，快捷登录网址</w:t>
      </w:r>
      <w:r>
        <w:fldChar w:fldCharType="begin"/>
      </w:r>
      <w:r>
        <w:instrText xml:space="preserve"> HYPERLINK "http://www.sxggzyjy.cn:9002/TPBidder/memberLogin" </w:instrText>
      </w:r>
      <w:r>
        <w:fldChar w:fldCharType="separate"/>
      </w:r>
      <w:r>
        <w:rPr>
          <w:rFonts w:hint="eastAsia" w:hAnsi="宋体" w:cs="宋体"/>
          <w:color w:val="000000"/>
          <w:spacing w:val="-11"/>
        </w:rPr>
        <w:t>http：//www.sxggzyjy.cn：9002/TPBidder/memberLogin</w:t>
      </w:r>
      <w:r>
        <w:rPr>
          <w:rFonts w:hint="eastAsia" w:hAnsi="宋体" w:cs="宋体"/>
          <w:color w:val="000000"/>
          <w:spacing w:val="-11"/>
        </w:rPr>
        <w:fldChar w:fldCharType="end"/>
      </w:r>
      <w:r>
        <w:rPr>
          <w:rFonts w:hint="eastAsia" w:hAnsi="宋体" w:cs="宋体"/>
          <w:color w:val="000000"/>
          <w:spacing w:val="-11"/>
        </w:rPr>
        <w:t>。</w:t>
      </w:r>
    </w:p>
    <w:p>
      <w:pPr>
        <w:tabs>
          <w:tab w:val="left" w:pos="7665"/>
        </w:tabs>
        <w:spacing w:line="360" w:lineRule="auto"/>
        <w:ind w:firstLine="480" w:firstLineChars="200"/>
        <w:rPr>
          <w:rFonts w:hAnsi="宋体" w:cs="宋体"/>
          <w:color w:val="000000"/>
        </w:rPr>
      </w:pPr>
      <w:r>
        <w:rPr>
          <w:rFonts w:hint="eastAsia" w:hAnsi="宋体" w:cs="宋体"/>
          <w:color w:val="000000"/>
        </w:rPr>
        <w:t>2.7产品是指本招标文件中第四章所述所有产品。</w:t>
      </w:r>
    </w:p>
    <w:p>
      <w:pPr>
        <w:tabs>
          <w:tab w:val="left" w:pos="7665"/>
        </w:tabs>
        <w:spacing w:line="360" w:lineRule="auto"/>
        <w:ind w:firstLine="480" w:firstLineChars="200"/>
        <w:rPr>
          <w:rFonts w:hint="eastAsia" w:hAnsi="宋体" w:cs="宋体"/>
          <w:color w:val="000000"/>
        </w:rPr>
      </w:pPr>
      <w:r>
        <w:rPr>
          <w:rFonts w:hint="eastAsia" w:hAnsi="宋体" w:cs="宋体"/>
          <w:color w:val="000000"/>
        </w:rPr>
        <w:t>2.8服务是指供应商为满足招标文件要求而提供的服务。</w:t>
      </w:r>
    </w:p>
    <w:p>
      <w:pPr>
        <w:spacing w:line="360" w:lineRule="auto"/>
        <w:ind w:firstLine="480" w:firstLineChars="200"/>
        <w:rPr>
          <w:rFonts w:hint="eastAsia" w:hAnsi="宋体" w:cs="宋体"/>
        </w:rPr>
      </w:pPr>
      <w:r>
        <w:rPr>
          <w:rFonts w:hint="eastAsia" w:hAnsi="宋体" w:cs="宋体"/>
        </w:rPr>
        <w:t>2.9节能产品或者环保产品是指财政部发布的《节能产品政府采购清单》或《环境标志产品政府采购清单》的产品。</w:t>
      </w:r>
    </w:p>
    <w:p>
      <w:pPr>
        <w:spacing w:line="360" w:lineRule="auto"/>
        <w:ind w:firstLine="480" w:firstLineChars="200"/>
        <w:rPr>
          <w:rFonts w:hint="eastAsia" w:hAnsi="宋体" w:cs="宋体"/>
        </w:rPr>
      </w:pPr>
      <w:r>
        <w:rPr>
          <w:rFonts w:hint="eastAsia" w:hAnsi="宋体" w:cs="宋体"/>
        </w:rPr>
        <w:t>2.10进口产品是指通过中国海关报关验放进入中国境内且产自关境外的产品，详见《关于政府采购进口产品管理有关问题的通知》(财库[2007]119号)。</w:t>
      </w:r>
    </w:p>
    <w:p>
      <w:pPr>
        <w:spacing w:line="360" w:lineRule="auto"/>
        <w:ind w:firstLine="480" w:firstLineChars="200"/>
        <w:rPr>
          <w:rFonts w:hint="eastAsia" w:hAnsi="宋体" w:cs="宋体"/>
        </w:rPr>
      </w:pPr>
      <w:r>
        <w:rPr>
          <w:rFonts w:hint="eastAsia" w:hAnsi="宋体" w:cs="宋体"/>
        </w:rPr>
        <w:t>2.11中小企业是指符合《工业和信息化部、国家统计局、国家发展和改革委员会、财政部关于印发中小企业划型标准规定的通知》（工信部联企业[2011]300号）规定的对中小企业的划分标准的企业。</w:t>
      </w:r>
    </w:p>
    <w:p>
      <w:pPr>
        <w:spacing w:line="360" w:lineRule="auto"/>
        <w:ind w:firstLine="480" w:firstLineChars="200"/>
        <w:rPr>
          <w:rFonts w:hint="eastAsia" w:hAnsi="宋体" w:cs="宋体"/>
        </w:rPr>
      </w:pPr>
      <w:r>
        <w:rPr>
          <w:rFonts w:hint="eastAsia" w:hAnsi="宋体" w:cs="宋体"/>
        </w:rPr>
        <w:t>2.12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uto"/>
        <w:ind w:firstLine="480" w:firstLineChars="200"/>
        <w:rPr>
          <w:rFonts w:hint="eastAsia" w:hAnsi="宋体" w:cs="宋体"/>
        </w:rPr>
      </w:pPr>
      <w:r>
        <w:rPr>
          <w:rFonts w:hint="eastAsia" w:hAnsi="宋体" w:cs="宋体"/>
        </w:rPr>
        <w:t>2.13残疾人福利性单位是指符合《三部门联合发布关于促进残疾人就业政府采购政策的通知》财库〔2017〕141号规定的对残疾人福利性单位划分标准的单位。</w:t>
      </w:r>
    </w:p>
    <w:p>
      <w:pPr>
        <w:spacing w:line="360" w:lineRule="auto"/>
        <w:outlineLvl w:val="1"/>
        <w:rPr>
          <w:rFonts w:hint="eastAsia" w:hAnsi="宋体" w:cs="宋体"/>
          <w:b/>
          <w:szCs w:val="24"/>
        </w:rPr>
      </w:pPr>
      <w:bookmarkStart w:id="34" w:name="_Toc14860"/>
      <w:bookmarkStart w:id="35" w:name="_Toc14290"/>
      <w:r>
        <w:rPr>
          <w:rFonts w:hint="eastAsia" w:hAnsi="宋体" w:cs="宋体"/>
          <w:b/>
          <w:szCs w:val="24"/>
        </w:rPr>
        <w:t>3.合格的供应商</w:t>
      </w:r>
      <w:bookmarkEnd w:id="34"/>
      <w:bookmarkEnd w:id="35"/>
    </w:p>
    <w:p>
      <w:pPr>
        <w:spacing w:line="360" w:lineRule="auto"/>
        <w:ind w:firstLine="480" w:firstLineChars="200"/>
        <w:rPr>
          <w:rFonts w:hint="eastAsia" w:hAnsi="宋体" w:cs="宋体"/>
          <w:szCs w:val="24"/>
        </w:rPr>
      </w:pPr>
      <w:r>
        <w:rPr>
          <w:rFonts w:hint="eastAsia" w:hAnsi="宋体" w:cs="宋体"/>
          <w:szCs w:val="24"/>
        </w:rPr>
        <w:t>3.1满足《中华人民共和国政府采购法》第二十二条规定，并提供下列材料：见供应商须知前附表。</w:t>
      </w:r>
    </w:p>
    <w:p>
      <w:pPr>
        <w:spacing w:line="360" w:lineRule="auto"/>
        <w:ind w:firstLine="480" w:firstLineChars="200"/>
        <w:rPr>
          <w:rFonts w:hint="eastAsia" w:hAnsi="宋体" w:cs="宋体"/>
          <w:szCs w:val="24"/>
        </w:rPr>
      </w:pPr>
      <w:r>
        <w:rPr>
          <w:rFonts w:hint="eastAsia" w:hAnsi="宋体" w:cs="宋体"/>
          <w:szCs w:val="24"/>
        </w:rPr>
        <w:t>3.2落实政府采购政策需满足的资格要求：见供应商须知前附表。</w:t>
      </w:r>
    </w:p>
    <w:p>
      <w:pPr>
        <w:spacing w:line="360" w:lineRule="auto"/>
        <w:ind w:firstLine="480" w:firstLineChars="200"/>
        <w:rPr>
          <w:rFonts w:hint="eastAsia" w:hAnsi="宋体" w:cs="宋体"/>
          <w:szCs w:val="24"/>
        </w:rPr>
      </w:pPr>
      <w:r>
        <w:rPr>
          <w:rFonts w:hint="eastAsia" w:hAnsi="宋体" w:cs="宋体"/>
          <w:szCs w:val="24"/>
        </w:rPr>
        <w:t>3.3本项目的特定资格要求：见供应商须知前附表。</w:t>
      </w:r>
    </w:p>
    <w:p>
      <w:pPr>
        <w:spacing w:line="360" w:lineRule="auto"/>
        <w:ind w:firstLine="480" w:firstLineChars="200"/>
        <w:rPr>
          <w:rFonts w:hint="eastAsia" w:hAnsi="宋体" w:cs="宋体"/>
          <w:szCs w:val="24"/>
        </w:rPr>
      </w:pPr>
      <w:r>
        <w:rPr>
          <w:rFonts w:hint="eastAsia" w:hAnsi="宋体" w:cs="宋体"/>
          <w:szCs w:val="24"/>
        </w:rPr>
        <w:t>3.4供应商不得直接或间接地与采购人或采购代理机构有任何关联，亦不得是采购人或采购代理机构的附属机构。如果供应商在投标中隐瞒了上述关系，一经证实，则该投标无效。</w:t>
      </w:r>
    </w:p>
    <w:p>
      <w:pPr>
        <w:spacing w:line="360" w:lineRule="auto"/>
        <w:ind w:firstLine="480" w:firstLineChars="200"/>
        <w:outlineLvl w:val="2"/>
        <w:rPr>
          <w:rFonts w:hint="eastAsia" w:hAnsi="宋体" w:cs="宋体"/>
          <w:szCs w:val="24"/>
        </w:rPr>
      </w:pPr>
      <w:bookmarkStart w:id="36" w:name="OLE_LINK33"/>
      <w:r>
        <w:rPr>
          <w:rFonts w:hint="eastAsia" w:hAnsi="宋体" w:cs="宋体"/>
          <w:szCs w:val="24"/>
        </w:rPr>
        <w:t>3.5供应商投标流程</w:t>
      </w:r>
    </w:p>
    <w:p>
      <w:pPr>
        <w:spacing w:line="360" w:lineRule="auto"/>
        <w:ind w:firstLine="480" w:firstLineChars="200"/>
        <w:rPr>
          <w:rFonts w:hint="eastAsia" w:hAnsi="宋体" w:cs="宋体"/>
          <w:szCs w:val="24"/>
        </w:rPr>
      </w:pPr>
      <w:r>
        <w:rPr>
          <w:rFonts w:hint="eastAsia" w:hAnsi="宋体" w:cs="宋体"/>
          <w:szCs w:val="24"/>
        </w:rPr>
        <w:t>使用电子交易系统的采购项目（即线上项目），将同时提供WORD</w:t>
      </w:r>
      <w:r>
        <w:rPr>
          <w:rFonts w:hAnsi="宋体" w:cs="宋体"/>
          <w:szCs w:val="24"/>
        </w:rPr>
        <w:t>/</w:t>
      </w:r>
      <w:r>
        <w:rPr>
          <w:rFonts w:hint="eastAsia" w:hAnsi="宋体" w:cs="宋体"/>
          <w:szCs w:val="24"/>
        </w:rPr>
        <w:t>PDF格式（仅用于预览）和SXSZF格式（用于制作电子投标文件）两个版本，文件内容一致。</w:t>
      </w:r>
    </w:p>
    <w:p>
      <w:pPr>
        <w:spacing w:line="360" w:lineRule="auto"/>
        <w:ind w:firstLine="480" w:firstLineChars="200"/>
        <w:rPr>
          <w:rFonts w:hint="eastAsia" w:hAnsi="宋体" w:cs="宋体"/>
          <w:szCs w:val="24"/>
        </w:rPr>
      </w:pPr>
      <w:r>
        <w:rPr>
          <w:rFonts w:hint="eastAsia" w:hAnsi="宋体" w:cs="宋体"/>
          <w:szCs w:val="24"/>
        </w:rPr>
        <w:t>3.5.1预览采购文件：打开西安市公共资源交易平台〖首页·〉交易大厅·〉政府采购〗栏目，下载和阅读本项目采购文件的预览版本（WORD\PDF格式）；</w:t>
      </w:r>
    </w:p>
    <w:p>
      <w:pPr>
        <w:spacing w:line="360" w:lineRule="auto"/>
        <w:ind w:firstLine="480" w:firstLineChars="200"/>
        <w:outlineLvl w:val="3"/>
        <w:rPr>
          <w:rFonts w:hint="eastAsia" w:hAnsi="宋体" w:cs="宋体"/>
          <w:szCs w:val="24"/>
        </w:rPr>
      </w:pPr>
      <w:r>
        <w:rPr>
          <w:rFonts w:hint="eastAsia" w:hAnsi="宋体" w:cs="宋体"/>
          <w:szCs w:val="24"/>
        </w:rPr>
        <w:t>3.5.2办理注册登记（针对初次使用电子交易系统的用户）：</w:t>
      </w:r>
    </w:p>
    <w:p>
      <w:pPr>
        <w:spacing w:line="360" w:lineRule="auto"/>
        <w:ind w:firstLine="480" w:firstLineChars="200"/>
        <w:rPr>
          <w:rFonts w:hint="eastAsia" w:hAnsi="宋体" w:cs="宋体"/>
          <w:szCs w:val="24"/>
        </w:rPr>
      </w:pPr>
      <w:r>
        <w:rPr>
          <w:rFonts w:hint="eastAsia" w:hAnsi="宋体" w:cs="宋体"/>
          <w:szCs w:val="24"/>
        </w:rPr>
        <w:t>（1）办理诚信入库注册：在决定参加本项目采购活动后，供应商应先在西安市公共资源交易平台上完成“诚信入库登记”；</w:t>
      </w:r>
    </w:p>
    <w:p>
      <w:pPr>
        <w:spacing w:line="360" w:lineRule="auto"/>
        <w:ind w:firstLine="480" w:firstLineChars="200"/>
        <w:rPr>
          <w:rFonts w:hint="eastAsia" w:hAnsi="宋体" w:cs="宋体"/>
          <w:szCs w:val="24"/>
        </w:rPr>
      </w:pPr>
      <w:r>
        <w:rPr>
          <w:rFonts w:hint="eastAsia" w:hAnsi="宋体" w:cs="宋体"/>
          <w:szCs w:val="24"/>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pPr>
        <w:spacing w:line="360" w:lineRule="auto"/>
        <w:ind w:firstLine="480" w:firstLineChars="200"/>
        <w:rPr>
          <w:rFonts w:hint="eastAsia" w:hAnsi="宋体" w:cs="宋体"/>
          <w:szCs w:val="24"/>
        </w:rPr>
      </w:pPr>
      <w:r>
        <w:rPr>
          <w:rFonts w:hint="eastAsia" w:hAnsi="宋体" w:cs="宋体"/>
          <w:szCs w:val="24"/>
        </w:rPr>
        <w:t>办理须知：http://www.snca.com.cn/channel/show/27.html</w:t>
      </w:r>
    </w:p>
    <w:p>
      <w:pPr>
        <w:spacing w:line="360" w:lineRule="auto"/>
        <w:ind w:firstLine="480" w:firstLineChars="200"/>
        <w:rPr>
          <w:rFonts w:hint="eastAsia" w:hAnsi="宋体" w:cs="宋体"/>
          <w:szCs w:val="24"/>
        </w:rPr>
      </w:pPr>
      <w:r>
        <w:rPr>
          <w:rFonts w:hint="eastAsia" w:hAnsi="宋体" w:cs="宋体"/>
          <w:szCs w:val="24"/>
        </w:rPr>
        <w:t>（3）绑定和激活CA：将数字证书与诚信库中的供应商账户进行绑定。</w:t>
      </w:r>
    </w:p>
    <w:p>
      <w:pPr>
        <w:spacing w:line="360" w:lineRule="auto"/>
        <w:ind w:firstLine="480" w:firstLineChars="200"/>
        <w:rPr>
          <w:rFonts w:hint="eastAsia" w:hAnsi="宋体" w:cs="宋体"/>
          <w:szCs w:val="24"/>
        </w:rPr>
      </w:pPr>
      <w:r>
        <w:rPr>
          <w:rFonts w:hint="eastAsia" w:hAnsi="宋体" w:cs="宋体"/>
          <w:szCs w:val="24"/>
        </w:rPr>
        <w:t>3.5.3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w:t>
      </w:r>
      <w:r>
        <w:rPr>
          <w:rFonts w:hint="eastAsia" w:hAnsi="宋体" w:cs="宋体"/>
          <w:b/>
          <w:bCs/>
          <w:szCs w:val="24"/>
        </w:rPr>
        <w:t>逾期无法再下载</w:t>
      </w:r>
      <w:r>
        <w:rPr>
          <w:rFonts w:hint="eastAsia" w:hAnsi="宋体" w:cs="宋体"/>
          <w:szCs w:val="24"/>
        </w:rPr>
        <w:t>。</w:t>
      </w:r>
    </w:p>
    <w:p>
      <w:pPr>
        <w:spacing w:line="360" w:lineRule="auto"/>
        <w:ind w:firstLine="480" w:firstLineChars="200"/>
        <w:rPr>
          <w:rFonts w:hint="eastAsia" w:hAnsi="宋体" w:cs="宋体"/>
          <w:szCs w:val="24"/>
        </w:rPr>
      </w:pPr>
      <w:r>
        <w:rPr>
          <w:rFonts w:hint="eastAsia" w:hAnsi="宋体" w:cs="宋体"/>
          <w:szCs w:val="24"/>
        </w:rPr>
        <w:t>3.5.4制作电子投标文件：需要使用专用制作软件“新点投标文件制作软件（陕西公共资源）”进行编制，编制完成后使用CA锁对电子投标文件进行签章、加密。详见本章中的“投标文件”相关内容。</w:t>
      </w:r>
    </w:p>
    <w:p>
      <w:pPr>
        <w:spacing w:line="360" w:lineRule="auto"/>
        <w:ind w:firstLine="480" w:firstLineChars="200"/>
        <w:rPr>
          <w:rFonts w:hint="eastAsia" w:hAnsi="宋体" w:cs="宋体"/>
          <w:szCs w:val="24"/>
        </w:rPr>
      </w:pPr>
      <w:r>
        <w:rPr>
          <w:rFonts w:hint="eastAsia" w:hAnsi="宋体" w:cs="宋体"/>
          <w:szCs w:val="24"/>
        </w:rPr>
        <w:t>3.5.5提交电子投标文件：在提交投标文件截止时间前及时提交加密后电子投标文件，逾期提交的，系统将会拒收；</w:t>
      </w:r>
    </w:p>
    <w:p>
      <w:pPr>
        <w:spacing w:line="360" w:lineRule="auto"/>
        <w:ind w:firstLine="480" w:firstLineChars="200"/>
        <w:rPr>
          <w:rFonts w:hint="eastAsia" w:hAnsi="宋体" w:cs="宋体"/>
          <w:szCs w:val="24"/>
        </w:rPr>
      </w:pPr>
      <w:r>
        <w:rPr>
          <w:rFonts w:hint="eastAsia" w:hAnsi="宋体" w:cs="宋体"/>
          <w:szCs w:val="24"/>
        </w:rPr>
        <w:t>3.5.6在线参加开标大会：开标当日，供应商法定代表人或其授权代表需提前登录“不见面开标”系统，收到主持人“开始解密”指令后，使用CA锁（</w:t>
      </w:r>
      <w:r>
        <w:rPr>
          <w:rFonts w:hint="eastAsia" w:hAnsi="宋体" w:cs="宋体"/>
          <w:b/>
          <w:bCs/>
          <w:szCs w:val="24"/>
        </w:rPr>
        <w:t>必须与加密文件时的CA锁为同一把锁</w:t>
      </w:r>
      <w:r>
        <w:rPr>
          <w:rFonts w:hint="eastAsia" w:hAnsi="宋体" w:cs="宋体"/>
          <w:szCs w:val="24"/>
        </w:rPr>
        <w:t>）在线对电子投标文件进行解密。采用“不见面开标”系统后，供应商无需到达开标现场，即可在线参与整个开标过程。相关技术问题，请咨询软件开发商。</w:t>
      </w:r>
    </w:p>
    <w:p>
      <w:pPr>
        <w:spacing w:line="360" w:lineRule="auto"/>
        <w:ind w:firstLine="480" w:firstLineChars="200"/>
        <w:rPr>
          <w:rFonts w:hint="eastAsia" w:hAnsi="宋体" w:cs="宋体"/>
          <w:szCs w:val="24"/>
        </w:rPr>
      </w:pPr>
      <w:r>
        <w:rPr>
          <w:rFonts w:hint="eastAsia" w:hAnsi="宋体" w:cs="宋体"/>
          <w:szCs w:val="24"/>
        </w:rPr>
        <w:t>3.5.7等待专家评审：评审期间，可能需要对评审专家提出的问题进行澄清或答复。在主持人宣布评审结束前，供应商请勿擅自离席，否则由此造成的不利后果，由供应商自行承担。</w:t>
      </w:r>
    </w:p>
    <w:p>
      <w:pPr>
        <w:spacing w:line="360" w:lineRule="auto"/>
        <w:ind w:firstLine="480" w:firstLineChars="200"/>
        <w:rPr>
          <w:rFonts w:hint="eastAsia" w:hAnsi="宋体" w:cs="宋体"/>
          <w:szCs w:val="24"/>
        </w:rPr>
      </w:pPr>
      <w:r>
        <w:rPr>
          <w:rFonts w:hint="eastAsia" w:hAnsi="宋体" w:cs="宋体"/>
          <w:szCs w:val="24"/>
        </w:rPr>
        <w:t>3.5.8中标供应商注册：按照陕西省政府采购监管部门的要求，采购代理机构在发布中标公告前，应由中标供应商在陕西省政府采购网上完成注册。</w:t>
      </w:r>
    </w:p>
    <w:p>
      <w:pPr>
        <w:spacing w:line="360" w:lineRule="auto"/>
        <w:ind w:firstLine="480" w:firstLineChars="200"/>
        <w:outlineLvl w:val="2"/>
        <w:rPr>
          <w:rFonts w:hint="eastAsia" w:hAnsi="宋体" w:cs="宋体"/>
          <w:szCs w:val="24"/>
        </w:rPr>
      </w:pPr>
      <w:r>
        <w:rPr>
          <w:rFonts w:hint="eastAsia" w:hAnsi="宋体" w:cs="宋体"/>
          <w:szCs w:val="24"/>
        </w:rPr>
        <w:t>3.</w:t>
      </w:r>
      <w:bookmarkEnd w:id="36"/>
      <w:r>
        <w:rPr>
          <w:rFonts w:hint="eastAsia" w:hAnsi="宋体" w:cs="宋体"/>
          <w:szCs w:val="24"/>
        </w:rPr>
        <w:t>6联合体投标</w:t>
      </w:r>
    </w:p>
    <w:p>
      <w:pPr>
        <w:spacing w:line="360" w:lineRule="auto"/>
        <w:ind w:firstLine="480" w:firstLineChars="200"/>
        <w:rPr>
          <w:rFonts w:hint="eastAsia" w:hAnsi="宋体" w:cs="宋体"/>
          <w:szCs w:val="24"/>
        </w:rPr>
      </w:pPr>
      <w:r>
        <w:rPr>
          <w:rFonts w:hint="eastAsia" w:hAnsi="宋体" w:cs="宋体"/>
          <w:szCs w:val="24"/>
        </w:rPr>
        <w:t>3.6.1如果在招标文件中接受联合体投标（见供应商须知前附表），则两个以上供应商可以组成一个投标联合体，以一个供应商的身份投标。以联合体形式参加投标的，联合体各方均应当符合</w:t>
      </w:r>
      <w:r>
        <w:rPr>
          <w:rFonts w:hint="eastAsia" w:hAnsi="宋体" w:cs="宋体"/>
        </w:rPr>
        <w:t>《中华人民共和国政府采购法》及实施条例规定的条件</w:t>
      </w:r>
      <w:r>
        <w:rPr>
          <w:rFonts w:hint="eastAsia" w:hAnsi="宋体" w:cs="宋体"/>
          <w:szCs w:val="24"/>
        </w:rPr>
        <w:t>。采购人根据采购项目的特殊要求规定供应商特定条件的，联合体各方中至少应当有一方符合采购人规定的特定条件。</w:t>
      </w:r>
    </w:p>
    <w:p>
      <w:pPr>
        <w:spacing w:line="360" w:lineRule="auto"/>
        <w:ind w:firstLine="468" w:firstLineChars="195"/>
        <w:rPr>
          <w:rFonts w:hint="eastAsia" w:hAnsi="宋体" w:cs="宋体"/>
          <w:szCs w:val="24"/>
        </w:rPr>
      </w:pPr>
      <w:r>
        <w:rPr>
          <w:rFonts w:hint="eastAsia" w:hAnsi="宋体" w:cs="宋体"/>
          <w:szCs w:val="24"/>
        </w:rPr>
        <w:t>3.6.2联合体各方之间应当签订共同投标协议，明确约定联合体各方承担的工作和相应的责任，并将共同投标协议连同投标文件一并提交</w:t>
      </w:r>
      <w:r>
        <w:rPr>
          <w:rFonts w:hint="eastAsia" w:hAnsi="宋体" w:cs="宋体"/>
        </w:rPr>
        <w:t>采购代理机构</w:t>
      </w:r>
      <w:r>
        <w:rPr>
          <w:rFonts w:hint="eastAsia" w:hAnsi="宋体" w:cs="宋体"/>
          <w:szCs w:val="24"/>
        </w:rPr>
        <w:t>。联合体各方签订共同投标协议后，不得再以自己名义单独在同一项目中投标，也不得组成新的联合体参加同一项目投标。</w:t>
      </w:r>
    </w:p>
    <w:p>
      <w:pPr>
        <w:pStyle w:val="20"/>
        <w:spacing w:line="360" w:lineRule="auto"/>
        <w:ind w:firstLine="480" w:firstLineChars="200"/>
        <w:rPr>
          <w:rFonts w:hint="eastAsia" w:ascii="宋体" w:hAnsi="宋体" w:cs="宋体"/>
          <w:szCs w:val="24"/>
        </w:rPr>
      </w:pPr>
      <w:r>
        <w:rPr>
          <w:rFonts w:hint="eastAsia" w:ascii="宋体" w:hAnsi="宋体" w:cs="宋体"/>
          <w:sz w:val="24"/>
          <w:szCs w:val="24"/>
        </w:rPr>
        <w:t>3.6.3联合体各方应当共同与采购人签订采购合同，就采购合同约定的事项对采购人承担连带责任。</w:t>
      </w:r>
    </w:p>
    <w:p>
      <w:pPr>
        <w:spacing w:line="360" w:lineRule="auto"/>
        <w:ind w:firstLine="480" w:firstLineChars="200"/>
        <w:rPr>
          <w:rFonts w:hint="eastAsia" w:hAnsi="宋体" w:cs="宋体"/>
          <w:szCs w:val="24"/>
        </w:rPr>
      </w:pPr>
      <w:r>
        <w:rPr>
          <w:rFonts w:hint="eastAsia" w:hAnsi="宋体" w:cs="宋体"/>
          <w:szCs w:val="24"/>
        </w:rPr>
        <w:t>3.7投标费用自理。不论投标的结果如何，供应商均应自行承担所有与参加投标有关的费用。</w:t>
      </w:r>
    </w:p>
    <w:p>
      <w:pPr>
        <w:tabs>
          <w:tab w:val="left" w:pos="747"/>
        </w:tabs>
        <w:snapToGrid w:val="0"/>
        <w:spacing w:line="360" w:lineRule="auto"/>
        <w:outlineLvl w:val="1"/>
        <w:rPr>
          <w:rFonts w:hint="eastAsia" w:hAnsi="宋体" w:cs="宋体"/>
          <w:b/>
          <w:bCs/>
        </w:rPr>
      </w:pPr>
      <w:bookmarkStart w:id="37" w:name="_Toc786"/>
      <w:bookmarkStart w:id="38" w:name="_Toc17877"/>
      <w:r>
        <w:rPr>
          <w:rFonts w:hint="eastAsia" w:hAnsi="宋体" w:cs="宋体"/>
          <w:b/>
          <w:bCs/>
        </w:rPr>
        <w:t>4.</w:t>
      </w:r>
      <w:bookmarkEnd w:id="37"/>
      <w:bookmarkEnd w:id="38"/>
      <w:r>
        <w:rPr>
          <w:rFonts w:hint="eastAsia" w:hAnsi="宋体" w:cs="宋体"/>
          <w:b/>
          <w:bCs/>
        </w:rPr>
        <w:t>合格的货物（产品）和服务</w:t>
      </w:r>
    </w:p>
    <w:p>
      <w:pPr>
        <w:tabs>
          <w:tab w:val="left" w:pos="747"/>
        </w:tabs>
        <w:snapToGrid w:val="0"/>
        <w:spacing w:line="360" w:lineRule="auto"/>
        <w:ind w:firstLine="480" w:firstLineChars="200"/>
        <w:rPr>
          <w:rFonts w:hint="eastAsia" w:hAnsi="宋体" w:cs="宋体"/>
        </w:rPr>
      </w:pPr>
      <w:r>
        <w:rPr>
          <w:rFonts w:hint="eastAsia" w:hAnsi="宋体" w:cs="宋体"/>
        </w:rPr>
        <w:t>4.1供应商提供的所有货物和服务，必须是合法生产、合法来源，符合国家有关标准要求，并满足招标文件规定的规格、参数、质量、有效期、售后服务及供应商须承担的运输、安装、技术具备、培训和招标文件规定的其它伴随服务等要求。</w:t>
      </w:r>
    </w:p>
    <w:p>
      <w:pPr>
        <w:tabs>
          <w:tab w:val="left" w:pos="747"/>
        </w:tabs>
        <w:snapToGrid w:val="0"/>
        <w:spacing w:line="360" w:lineRule="auto"/>
        <w:ind w:firstLine="480" w:firstLineChars="200"/>
        <w:rPr>
          <w:rFonts w:hint="eastAsia" w:hAnsi="宋体" w:cs="宋体"/>
          <w:szCs w:val="24"/>
        </w:rPr>
      </w:pPr>
      <w:r>
        <w:rPr>
          <w:rFonts w:hint="eastAsia" w:hAnsi="宋体" w:cs="宋体"/>
        </w:rPr>
        <w:t>4.2采购人有权拒绝接受任何不合格的产品和服务，由此产生的费用及相关后果均由供应商自行承担。</w:t>
      </w:r>
    </w:p>
    <w:p>
      <w:pPr>
        <w:spacing w:line="360" w:lineRule="auto"/>
        <w:outlineLvl w:val="1"/>
        <w:rPr>
          <w:rFonts w:hint="eastAsia" w:hAnsi="宋体" w:cs="宋体"/>
          <w:b/>
          <w:szCs w:val="24"/>
        </w:rPr>
      </w:pPr>
      <w:bookmarkStart w:id="39" w:name="_Toc6934"/>
      <w:bookmarkStart w:id="40" w:name="_Toc15646"/>
      <w:r>
        <w:rPr>
          <w:rFonts w:hint="eastAsia" w:hAnsi="宋体" w:cs="宋体"/>
          <w:b/>
          <w:szCs w:val="24"/>
        </w:rPr>
        <w:t>5.投标文件内容的真实性</w:t>
      </w:r>
      <w:bookmarkEnd w:id="39"/>
      <w:bookmarkEnd w:id="40"/>
    </w:p>
    <w:p>
      <w:pPr>
        <w:spacing w:line="360" w:lineRule="auto"/>
        <w:ind w:firstLine="480" w:firstLineChars="200"/>
        <w:rPr>
          <w:rFonts w:hint="eastAsia" w:hAnsi="宋体" w:cs="宋体"/>
        </w:rPr>
      </w:pPr>
      <w:r>
        <w:rPr>
          <w:rFonts w:hint="eastAsia" w:hAnsi="宋体" w:cs="宋体"/>
          <w:szCs w:val="24"/>
        </w:rPr>
        <w:t>5.1供应商应保证其投标文件中所提供的所有投标资料、信息是真实的，并且来源于合法的渠道。因投标文件中所提供的投标资料、信息不真实或者其来源不合法而导致的所有法律责任，由供应商自行承担。</w:t>
      </w:r>
    </w:p>
    <w:p>
      <w:pPr>
        <w:spacing w:line="360" w:lineRule="auto"/>
        <w:jc w:val="center"/>
        <w:outlineLvl w:val="2"/>
        <w:rPr>
          <w:rFonts w:hint="eastAsia" w:hAnsi="宋体" w:cs="宋体"/>
          <w:b/>
          <w:sz w:val="32"/>
          <w:szCs w:val="32"/>
        </w:rPr>
      </w:pPr>
      <w:bookmarkStart w:id="41" w:name="_Toc363473973"/>
      <w:bookmarkStart w:id="42" w:name="_Toc363474018"/>
      <w:bookmarkStart w:id="43" w:name="_Toc403077640"/>
      <w:r>
        <w:rPr>
          <w:rFonts w:hint="eastAsia" w:hAnsi="宋体" w:cs="宋体"/>
          <w:b/>
          <w:sz w:val="32"/>
          <w:szCs w:val="32"/>
        </w:rPr>
        <w:t>二、招标文件</w:t>
      </w:r>
      <w:bookmarkEnd w:id="41"/>
      <w:bookmarkEnd w:id="42"/>
      <w:bookmarkEnd w:id="43"/>
    </w:p>
    <w:p>
      <w:pPr>
        <w:spacing w:line="360" w:lineRule="auto"/>
        <w:outlineLvl w:val="1"/>
        <w:rPr>
          <w:rFonts w:hint="eastAsia" w:hAnsi="宋体" w:cs="宋体"/>
          <w:b/>
          <w:szCs w:val="24"/>
        </w:rPr>
      </w:pPr>
      <w:bookmarkStart w:id="44" w:name="_Toc3603"/>
      <w:bookmarkStart w:id="45" w:name="_Toc29157"/>
      <w:r>
        <w:rPr>
          <w:rFonts w:hint="eastAsia" w:hAnsi="宋体" w:cs="宋体"/>
          <w:b/>
          <w:szCs w:val="24"/>
        </w:rPr>
        <w:t>6.招标文件构成</w:t>
      </w:r>
      <w:bookmarkEnd w:id="44"/>
      <w:bookmarkEnd w:id="45"/>
    </w:p>
    <w:p>
      <w:pPr>
        <w:spacing w:line="360" w:lineRule="auto"/>
        <w:ind w:firstLine="480" w:firstLineChars="200"/>
        <w:rPr>
          <w:rFonts w:hint="eastAsia" w:hAnsi="宋体" w:cs="宋体"/>
          <w:szCs w:val="24"/>
        </w:rPr>
      </w:pPr>
      <w:r>
        <w:rPr>
          <w:rFonts w:hint="eastAsia" w:hAnsi="宋体" w:cs="宋体"/>
          <w:szCs w:val="24"/>
        </w:rPr>
        <w:t>6.1招标文件要求提供的货物、服务，招标程序和合同条件在招标文件中均有说明。招标文件共六章，内容如下：</w:t>
      </w:r>
    </w:p>
    <w:p>
      <w:pPr>
        <w:spacing w:line="360" w:lineRule="auto"/>
        <w:ind w:firstLine="480" w:firstLineChars="200"/>
        <w:rPr>
          <w:rFonts w:hint="eastAsia" w:hAnsi="宋体" w:cs="宋体"/>
          <w:szCs w:val="24"/>
        </w:rPr>
      </w:pPr>
      <w:r>
        <w:rPr>
          <w:rFonts w:hint="eastAsia" w:hAnsi="宋体" w:cs="宋体"/>
          <w:szCs w:val="24"/>
        </w:rPr>
        <w:t>第一章 招标公告</w:t>
      </w:r>
    </w:p>
    <w:p>
      <w:pPr>
        <w:spacing w:line="360" w:lineRule="auto"/>
        <w:ind w:firstLine="480" w:firstLineChars="200"/>
        <w:rPr>
          <w:rFonts w:hint="eastAsia" w:hAnsi="宋体" w:cs="宋体"/>
          <w:szCs w:val="24"/>
        </w:rPr>
      </w:pPr>
      <w:r>
        <w:rPr>
          <w:rFonts w:hint="eastAsia" w:hAnsi="宋体" w:cs="宋体"/>
          <w:szCs w:val="24"/>
        </w:rPr>
        <w:t>第二章 供应商须知</w:t>
      </w:r>
    </w:p>
    <w:p>
      <w:pPr>
        <w:spacing w:line="360" w:lineRule="auto"/>
        <w:ind w:firstLine="480" w:firstLineChars="200"/>
        <w:rPr>
          <w:rFonts w:hint="eastAsia" w:hAnsi="宋体" w:cs="宋体"/>
          <w:szCs w:val="24"/>
        </w:rPr>
      </w:pPr>
      <w:r>
        <w:rPr>
          <w:rFonts w:hint="eastAsia" w:hAnsi="宋体" w:cs="宋体"/>
          <w:szCs w:val="24"/>
        </w:rPr>
        <w:t>第三章 合同条款及格式</w:t>
      </w:r>
    </w:p>
    <w:p>
      <w:pPr>
        <w:spacing w:line="360" w:lineRule="auto"/>
        <w:ind w:firstLine="480" w:firstLineChars="200"/>
        <w:rPr>
          <w:rFonts w:hint="eastAsia" w:hAnsi="宋体" w:cs="宋体"/>
          <w:szCs w:val="24"/>
        </w:rPr>
      </w:pPr>
      <w:r>
        <w:rPr>
          <w:rFonts w:hint="eastAsia" w:hAnsi="宋体" w:cs="宋体"/>
          <w:szCs w:val="24"/>
        </w:rPr>
        <w:t>第四章 采购内容及技术要求</w:t>
      </w:r>
    </w:p>
    <w:p>
      <w:pPr>
        <w:spacing w:line="360" w:lineRule="auto"/>
        <w:ind w:firstLine="480" w:firstLineChars="200"/>
        <w:rPr>
          <w:rFonts w:hint="eastAsia" w:hAnsi="宋体" w:cs="宋体"/>
          <w:szCs w:val="24"/>
        </w:rPr>
      </w:pPr>
      <w:r>
        <w:rPr>
          <w:rFonts w:hint="eastAsia" w:hAnsi="宋体" w:cs="宋体"/>
          <w:szCs w:val="24"/>
        </w:rPr>
        <w:t>第五章 评标方法</w:t>
      </w:r>
    </w:p>
    <w:p>
      <w:pPr>
        <w:spacing w:line="360" w:lineRule="auto"/>
        <w:ind w:firstLine="480" w:firstLineChars="200"/>
        <w:rPr>
          <w:rFonts w:hint="eastAsia" w:hAnsi="宋体" w:cs="宋体"/>
          <w:szCs w:val="24"/>
        </w:rPr>
      </w:pPr>
      <w:r>
        <w:rPr>
          <w:rFonts w:hint="eastAsia" w:hAnsi="宋体" w:cs="宋体"/>
          <w:szCs w:val="24"/>
        </w:rPr>
        <w:t>第六章 投标文件构成及格式</w:t>
      </w:r>
    </w:p>
    <w:p>
      <w:pPr>
        <w:spacing w:line="360" w:lineRule="auto"/>
        <w:ind w:firstLine="480" w:firstLineChars="200"/>
        <w:rPr>
          <w:rFonts w:hint="eastAsia" w:hAnsi="宋体" w:cs="宋体"/>
          <w:szCs w:val="24"/>
        </w:rPr>
      </w:pPr>
      <w:r>
        <w:rPr>
          <w:rFonts w:hint="eastAsia" w:hAnsi="宋体" w:cs="宋体"/>
          <w:szCs w:val="24"/>
        </w:rPr>
        <w:t>6.2供应商应认真阅读招标文件中所有的事项、格式、条款和规范等要求。如果供应商没有按照招标文件要求提交全部资料，或者投标文件没有对招标文件在各方面都做出实质性响应，由此带来不利于供应商的评标结果，其风险由供应商承担。</w:t>
      </w:r>
    </w:p>
    <w:p>
      <w:pPr>
        <w:spacing w:line="360" w:lineRule="auto"/>
        <w:ind w:firstLine="480" w:firstLineChars="200"/>
        <w:rPr>
          <w:rFonts w:hint="eastAsia" w:hAnsi="宋体" w:cs="宋体"/>
          <w:szCs w:val="24"/>
        </w:rPr>
      </w:pPr>
      <w:r>
        <w:rPr>
          <w:rFonts w:hint="eastAsia" w:hAnsi="宋体" w:cs="宋体"/>
          <w:szCs w:val="24"/>
        </w:rPr>
        <w:t>6.3本招标文件的解释权归</w:t>
      </w:r>
      <w:r>
        <w:rPr>
          <w:rFonts w:hint="eastAsia" w:hAnsi="宋体" w:cs="宋体"/>
          <w:szCs w:val="24"/>
          <w:u w:val="single"/>
          <w:lang w:eastAsia="zh-CN"/>
        </w:rPr>
        <w:t>陕西万兴招标代理有限公司</w:t>
      </w:r>
      <w:r>
        <w:rPr>
          <w:rFonts w:hint="eastAsia" w:hAnsi="宋体" w:cs="宋体"/>
          <w:szCs w:val="24"/>
        </w:rPr>
        <w:t>，如发现招标文件内容与现行法律法规不相符的情况，以现行法律法规为准。</w:t>
      </w:r>
    </w:p>
    <w:p>
      <w:pPr>
        <w:spacing w:line="360" w:lineRule="auto"/>
        <w:outlineLvl w:val="1"/>
        <w:rPr>
          <w:rFonts w:hint="eastAsia" w:hAnsi="宋体" w:cs="宋体"/>
          <w:b/>
          <w:szCs w:val="24"/>
        </w:rPr>
      </w:pPr>
      <w:bookmarkStart w:id="46" w:name="_Toc8856"/>
      <w:bookmarkStart w:id="47" w:name="_Toc11382"/>
      <w:r>
        <w:rPr>
          <w:rFonts w:hint="eastAsia" w:hAnsi="宋体" w:cs="宋体"/>
          <w:b/>
          <w:szCs w:val="24"/>
        </w:rPr>
        <w:t>7.招标文件的修改和澄清</w:t>
      </w:r>
      <w:bookmarkEnd w:id="46"/>
      <w:bookmarkEnd w:id="47"/>
    </w:p>
    <w:p>
      <w:pPr>
        <w:tabs>
          <w:tab w:val="left" w:pos="720"/>
        </w:tabs>
        <w:spacing w:line="360" w:lineRule="auto"/>
        <w:ind w:firstLine="480" w:firstLineChars="200"/>
        <w:rPr>
          <w:rFonts w:hint="eastAsia" w:hAnsi="宋体" w:cs="宋体"/>
        </w:rPr>
      </w:pPr>
      <w:bookmarkStart w:id="48" w:name="_Toc403077641"/>
      <w:bookmarkStart w:id="49" w:name="_Toc363474019"/>
      <w:bookmarkStart w:id="50" w:name="_Toc363473974"/>
      <w:r>
        <w:rPr>
          <w:rFonts w:hint="eastAsia" w:hAnsi="宋体" w:cs="宋体"/>
        </w:rPr>
        <w:t>7.1在投标截止时间前，采购代理机构无论出于何种原因，可以对已发出招标文件进行必要的澄清或者修改，但不得修改采购标的和资格条件。</w:t>
      </w:r>
    </w:p>
    <w:p>
      <w:pPr>
        <w:spacing w:line="360" w:lineRule="auto"/>
        <w:ind w:firstLine="480" w:firstLineChars="200"/>
        <w:rPr>
          <w:rFonts w:hint="eastAsia" w:hAnsi="宋体" w:cs="宋体"/>
        </w:rPr>
      </w:pPr>
      <w:r>
        <w:rPr>
          <w:rFonts w:hint="eastAsia" w:hAnsi="宋体" w:cs="宋体"/>
        </w:rPr>
        <w:t>7.2澄清或者修改的内容可能影响投标文件编制的，采购代理机构应当在投标文件截止时间</w:t>
      </w:r>
      <w:r>
        <w:rPr>
          <w:rFonts w:hint="eastAsia" w:hAnsi="宋体" w:cs="宋体"/>
          <w:b/>
        </w:rPr>
        <w:t>15</w:t>
      </w:r>
      <w:r>
        <w:rPr>
          <w:rFonts w:hint="eastAsia" w:hAnsi="宋体" w:cs="宋体"/>
        </w:rPr>
        <w:t>日前，以书面形式将澄清或者修改的内容通知所有获取招标文件的潜在供应商，同时在原信息发布媒体上发布变更公告。该澄清或者修改的内容为招标文件的组成部分。如果澄清或者修改发出的时间距规定的投标截止时间不足</w:t>
      </w:r>
      <w:r>
        <w:rPr>
          <w:rFonts w:hint="eastAsia" w:hAnsi="宋体" w:cs="宋体"/>
          <w:b/>
        </w:rPr>
        <w:t>15</w:t>
      </w:r>
      <w:r>
        <w:rPr>
          <w:rFonts w:hint="eastAsia" w:hAnsi="宋体" w:cs="宋体"/>
        </w:rPr>
        <w:t>日，将相应顺延投标截止时间。</w:t>
      </w:r>
    </w:p>
    <w:p>
      <w:pPr>
        <w:pStyle w:val="19"/>
        <w:spacing w:after="0" w:line="360" w:lineRule="auto"/>
        <w:ind w:firstLine="480" w:firstLineChars="200"/>
        <w:rPr>
          <w:rFonts w:hint="eastAsia" w:ascii="宋体" w:hAnsi="宋体" w:eastAsia="宋体" w:cs="宋体"/>
          <w:kern w:val="0"/>
          <w:sz w:val="24"/>
          <w:lang w:val="en-US" w:eastAsia="zh-CN" w:bidi="ar-SA"/>
        </w:rPr>
      </w:pPr>
      <w:r>
        <w:rPr>
          <w:rFonts w:hint="eastAsia" w:ascii="宋体" w:hAnsi="宋体" w:eastAsia="宋体" w:cs="宋体"/>
          <w:kern w:val="0"/>
          <w:sz w:val="24"/>
          <w:lang w:val="en-US" w:eastAsia="zh-CN" w:bidi="ar-SA"/>
        </w:rPr>
        <w:t>7.3澄清或修改的内容可能影响投标文件编制时，采购代理机构将在发布变更公告的同时，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pPr>
        <w:spacing w:line="360" w:lineRule="auto"/>
        <w:ind w:firstLine="482" w:firstLineChars="200"/>
        <w:rPr>
          <w:rFonts w:hint="eastAsia" w:hAnsi="宋体" w:cs="宋体"/>
          <w:szCs w:val="22"/>
        </w:rPr>
      </w:pPr>
      <w:r>
        <w:rPr>
          <w:rFonts w:hint="eastAsia" w:hAnsi="宋体" w:cs="宋体"/>
          <w:b/>
          <w:bCs/>
          <w:szCs w:val="22"/>
        </w:rPr>
        <w:t>7.4请各供应商在提交投标文件截止时间之前，务必随时关注“政府采购信息发布媒体”上发布的变更公告，采购代理机构不再另行通知，因供应商未及时关注所造成的一切后果由供应商自行承担</w:t>
      </w:r>
      <w:r>
        <w:rPr>
          <w:rFonts w:hint="eastAsia" w:hAnsi="宋体" w:cs="宋体"/>
          <w:szCs w:val="22"/>
        </w:rPr>
        <w:t>：</w:t>
      </w:r>
    </w:p>
    <w:p>
      <w:pPr>
        <w:spacing w:line="360" w:lineRule="auto"/>
        <w:ind w:firstLine="240" w:firstLineChars="100"/>
        <w:rPr>
          <w:rFonts w:hint="eastAsia" w:hAnsi="宋体" w:cs="宋体"/>
          <w:szCs w:val="22"/>
        </w:rPr>
      </w:pPr>
      <w:r>
        <w:rPr>
          <w:rFonts w:hint="eastAsia" w:hAnsi="宋体" w:cs="宋体"/>
          <w:szCs w:val="22"/>
        </w:rPr>
        <w:t>（1）【</w:t>
      </w:r>
      <w:r>
        <w:fldChar w:fldCharType="begin"/>
      </w:r>
      <w:r>
        <w:instrText xml:space="preserve"> HYPERLINK "http://www.ccgp-shaanxi.gov.cn" </w:instrText>
      </w:r>
      <w:r>
        <w:fldChar w:fldCharType="separate"/>
      </w:r>
      <w:r>
        <w:rPr>
          <w:rFonts w:hint="eastAsia" w:hAnsi="宋体" w:cs="宋体"/>
          <w:szCs w:val="22"/>
        </w:rPr>
        <w:t>陕西省政府采购网</w:t>
      </w:r>
      <w:r>
        <w:rPr>
          <w:rFonts w:hint="eastAsia" w:hAnsi="宋体" w:cs="宋体"/>
          <w:szCs w:val="22"/>
        </w:rPr>
        <w:fldChar w:fldCharType="end"/>
      </w:r>
      <w:r>
        <w:rPr>
          <w:rFonts w:hint="eastAsia" w:hAnsi="宋体" w:cs="宋体"/>
          <w:szCs w:val="22"/>
        </w:rPr>
        <w:t>】（</w:t>
      </w:r>
      <w:r>
        <w:fldChar w:fldCharType="begin"/>
      </w:r>
      <w:r>
        <w:instrText xml:space="preserve"> HYPERLINK "http://www.ccgp-shaanxi.gov.cn/" </w:instrText>
      </w:r>
      <w:r>
        <w:fldChar w:fldCharType="separate"/>
      </w:r>
      <w:r>
        <w:rPr>
          <w:rFonts w:hint="eastAsia" w:hAnsi="宋体" w:cs="宋体"/>
          <w:szCs w:val="22"/>
        </w:rPr>
        <w:t>http://www.ccgp-shaanxi.gov.cn/</w:t>
      </w:r>
      <w:r>
        <w:rPr>
          <w:rFonts w:hint="eastAsia" w:hAnsi="宋体" w:cs="宋体"/>
          <w:szCs w:val="22"/>
        </w:rPr>
        <w:fldChar w:fldCharType="end"/>
      </w:r>
      <w:r>
        <w:rPr>
          <w:rFonts w:hint="eastAsia" w:hAnsi="宋体" w:cs="宋体"/>
          <w:szCs w:val="22"/>
        </w:rPr>
        <w:t>）中的〖首页·〉信息公告·〉市级·〉西安市〗；</w:t>
      </w:r>
    </w:p>
    <w:p>
      <w:pPr>
        <w:spacing w:line="360" w:lineRule="auto"/>
        <w:ind w:firstLine="240" w:firstLineChars="100"/>
        <w:rPr>
          <w:rFonts w:hint="eastAsia" w:hAnsi="宋体" w:cs="宋体"/>
          <w:szCs w:val="22"/>
        </w:rPr>
      </w:pPr>
      <w:r>
        <w:rPr>
          <w:rFonts w:hint="eastAsia" w:hAnsi="宋体" w:cs="宋体"/>
          <w:szCs w:val="22"/>
        </w:rPr>
        <w:t>（2）【</w:t>
      </w:r>
      <w:r>
        <w:fldChar w:fldCharType="begin"/>
      </w:r>
      <w:r>
        <w:instrText xml:space="preserve"> HYPERLINK "http://xa.sxggzyjy.cn/" </w:instrText>
      </w:r>
      <w:r>
        <w:fldChar w:fldCharType="separate"/>
      </w:r>
      <w:r>
        <w:rPr>
          <w:rFonts w:hint="eastAsia" w:hAnsi="宋体" w:cs="宋体"/>
          <w:szCs w:val="22"/>
        </w:rPr>
        <w:t>全国公共资源交易网（陕西省·西安市）</w:t>
      </w:r>
      <w:r>
        <w:rPr>
          <w:rFonts w:hint="eastAsia" w:hAnsi="宋体" w:cs="宋体"/>
          <w:szCs w:val="22"/>
        </w:rPr>
        <w:fldChar w:fldCharType="end"/>
      </w:r>
      <w:r>
        <w:rPr>
          <w:rFonts w:hint="eastAsia" w:hAnsi="宋体" w:cs="宋体"/>
          <w:szCs w:val="22"/>
        </w:rPr>
        <w:t>】（</w:t>
      </w:r>
      <w:r>
        <w:fldChar w:fldCharType="begin"/>
      </w:r>
      <w:r>
        <w:instrText xml:space="preserve"> HYPERLINK "http://sxggzyjy.xa.gov.cn/" </w:instrText>
      </w:r>
      <w:r>
        <w:fldChar w:fldCharType="separate"/>
      </w:r>
      <w:r>
        <w:rPr>
          <w:rFonts w:hint="eastAsia" w:hAnsi="宋体" w:cs="宋体"/>
          <w:szCs w:val="22"/>
        </w:rPr>
        <w:t>http://sxggzyjy.xa.gov.cn/</w:t>
      </w:r>
      <w:r>
        <w:rPr>
          <w:rFonts w:hint="eastAsia" w:hAnsi="宋体" w:cs="宋体"/>
          <w:szCs w:val="22"/>
        </w:rPr>
        <w:fldChar w:fldCharType="end"/>
      </w:r>
      <w:r>
        <w:rPr>
          <w:rFonts w:hint="eastAsia" w:hAnsi="宋体" w:cs="宋体"/>
          <w:szCs w:val="22"/>
        </w:rPr>
        <w:t>）中的〖首页·〉交易大厅·〉政府采购〗。</w:t>
      </w:r>
    </w:p>
    <w:p>
      <w:pPr>
        <w:pStyle w:val="19"/>
        <w:spacing w:after="0" w:line="360" w:lineRule="auto"/>
        <w:ind w:firstLine="480" w:firstLineChars="20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7.5在投标文件递交截止时间前，采购代理机构可以视采购具体情况，延长投标截止时间和开标时间并在财政部门指定的媒体上发布变更公告，同时将变更时间书面通知获取招标文件的潜在供应商（具体以全国公共资源交易网（陕西省·西安市）政府采购线上项目要求为准）。</w:t>
      </w:r>
    </w:p>
    <w:p>
      <w:pPr>
        <w:spacing w:line="360" w:lineRule="auto"/>
        <w:ind w:firstLine="480" w:firstLineChars="200"/>
        <w:rPr>
          <w:rFonts w:hint="eastAsia" w:hAnsi="宋体" w:cs="宋体"/>
          <w:szCs w:val="24"/>
        </w:rPr>
      </w:pPr>
      <w:r>
        <w:rPr>
          <w:rFonts w:hint="eastAsia" w:hAnsi="宋体" w:cs="宋体"/>
          <w:szCs w:val="24"/>
        </w:rPr>
        <w:t>7.6已经领取招标文件的供应商对招标文件有疑问的，均应在领取招标文件后7个工作日内以书面形式向采购代理机构提出。采购代理机构视情况采用适当方式予以澄清或以书面形式予以答复，涉及变更的内容在财政部门指定的媒体上发布变更公告，并以书面形式通知所有领取招标文件的潜在供应商，且作为招标文件的组成部分。</w:t>
      </w:r>
    </w:p>
    <w:p>
      <w:pPr>
        <w:spacing w:line="360" w:lineRule="auto"/>
        <w:ind w:firstLine="480" w:firstLineChars="200"/>
        <w:outlineLvl w:val="2"/>
        <w:rPr>
          <w:rFonts w:hint="eastAsia" w:hAnsi="宋体" w:cs="宋体"/>
        </w:rPr>
      </w:pPr>
      <w:r>
        <w:rPr>
          <w:rFonts w:hint="eastAsia" w:hAnsi="宋体" w:cs="宋体"/>
          <w:szCs w:val="24"/>
        </w:rPr>
        <w:t>7.7</w:t>
      </w:r>
      <w:r>
        <w:rPr>
          <w:rFonts w:hint="eastAsia" w:hAnsi="宋体" w:cs="宋体"/>
        </w:rPr>
        <w:t>供应商在收到上述通知后，应立即向采购代理机构回函确认。</w:t>
      </w:r>
    </w:p>
    <w:p>
      <w:pPr>
        <w:spacing w:line="360" w:lineRule="auto"/>
        <w:jc w:val="center"/>
        <w:outlineLvl w:val="3"/>
        <w:rPr>
          <w:rFonts w:hint="eastAsia" w:hAnsi="宋体" w:cs="宋体"/>
          <w:b/>
          <w:sz w:val="32"/>
          <w:szCs w:val="32"/>
        </w:rPr>
      </w:pPr>
      <w:r>
        <w:rPr>
          <w:rFonts w:hint="eastAsia" w:hAnsi="宋体" w:cs="宋体"/>
          <w:b/>
          <w:sz w:val="32"/>
          <w:szCs w:val="32"/>
        </w:rPr>
        <w:t>三、投标文件的编制</w:t>
      </w:r>
      <w:bookmarkEnd w:id="48"/>
      <w:bookmarkEnd w:id="49"/>
      <w:bookmarkEnd w:id="50"/>
    </w:p>
    <w:p>
      <w:pPr>
        <w:spacing w:line="360" w:lineRule="auto"/>
        <w:outlineLvl w:val="1"/>
        <w:rPr>
          <w:rFonts w:hint="eastAsia" w:hAnsi="宋体" w:cs="宋体"/>
          <w:b/>
          <w:szCs w:val="24"/>
        </w:rPr>
      </w:pPr>
      <w:bookmarkStart w:id="51" w:name="_Toc204"/>
      <w:bookmarkStart w:id="52" w:name="_Toc14267"/>
      <w:r>
        <w:rPr>
          <w:rFonts w:hint="eastAsia" w:hAnsi="宋体" w:cs="宋体"/>
          <w:b/>
          <w:szCs w:val="24"/>
        </w:rPr>
        <w:t>8.投标语言和投标货币</w:t>
      </w:r>
      <w:bookmarkEnd w:id="51"/>
      <w:bookmarkEnd w:id="52"/>
    </w:p>
    <w:p>
      <w:pPr>
        <w:spacing w:line="360" w:lineRule="auto"/>
        <w:ind w:firstLine="480" w:firstLineChars="200"/>
        <w:rPr>
          <w:rFonts w:hint="eastAsia" w:hAnsi="宋体" w:cs="宋体"/>
          <w:b/>
          <w:szCs w:val="24"/>
        </w:rPr>
      </w:pPr>
      <w:r>
        <w:rPr>
          <w:rFonts w:hint="eastAsia" w:hAnsi="宋体" w:cs="宋体"/>
          <w:szCs w:val="24"/>
        </w:rPr>
        <w:t>8.1供应商提交的投标文件以及供应商与采购代理机构就有关投标的所有来往函电均应使用简体中文。</w:t>
      </w:r>
    </w:p>
    <w:p>
      <w:pPr>
        <w:spacing w:line="360" w:lineRule="auto"/>
        <w:ind w:firstLine="480" w:firstLineChars="200"/>
        <w:rPr>
          <w:rFonts w:hint="eastAsia" w:hAnsi="宋体" w:cs="宋体"/>
          <w:szCs w:val="24"/>
        </w:rPr>
      </w:pPr>
      <w:r>
        <w:rPr>
          <w:rFonts w:hint="eastAsia" w:hAnsi="宋体" w:cs="宋体"/>
          <w:szCs w:val="24"/>
        </w:rPr>
        <w:t>8.2投标应以人民币报价。任何包含非人民币报价的投标将按无效投标处理。</w:t>
      </w:r>
    </w:p>
    <w:p>
      <w:pPr>
        <w:spacing w:line="360" w:lineRule="auto"/>
        <w:outlineLvl w:val="1"/>
        <w:rPr>
          <w:rFonts w:hint="eastAsia" w:hAnsi="宋体" w:cs="宋体"/>
          <w:b/>
          <w:szCs w:val="24"/>
        </w:rPr>
      </w:pPr>
      <w:bookmarkStart w:id="53" w:name="_Toc15666"/>
      <w:bookmarkStart w:id="54" w:name="_Toc15635"/>
      <w:r>
        <w:rPr>
          <w:rFonts w:hint="eastAsia" w:hAnsi="宋体" w:cs="宋体"/>
          <w:b/>
          <w:szCs w:val="24"/>
        </w:rPr>
        <w:t>9.投标文件的构成</w:t>
      </w:r>
      <w:bookmarkEnd w:id="53"/>
      <w:bookmarkEnd w:id="54"/>
    </w:p>
    <w:p>
      <w:pPr>
        <w:spacing w:line="360" w:lineRule="auto"/>
        <w:ind w:firstLine="480" w:firstLineChars="200"/>
        <w:outlineLvl w:val="2"/>
        <w:rPr>
          <w:rFonts w:hint="eastAsia" w:hAnsi="宋体" w:cs="宋体"/>
          <w:szCs w:val="24"/>
        </w:rPr>
      </w:pPr>
      <w:r>
        <w:rPr>
          <w:rFonts w:hint="eastAsia" w:hAnsi="宋体" w:cs="宋体"/>
          <w:szCs w:val="24"/>
        </w:rPr>
        <w:t>9.1供应商提交的投标文件应包括下列部分的内容：</w:t>
      </w:r>
    </w:p>
    <w:p>
      <w:pPr>
        <w:spacing w:line="360" w:lineRule="auto"/>
        <w:ind w:firstLine="480" w:firstLineChars="200"/>
        <w:rPr>
          <w:rFonts w:hint="eastAsia" w:hAnsi="宋体" w:cs="宋体"/>
          <w:szCs w:val="24"/>
        </w:rPr>
      </w:pPr>
      <w:r>
        <w:rPr>
          <w:rFonts w:hint="eastAsia" w:hAnsi="宋体" w:cs="宋体"/>
          <w:szCs w:val="24"/>
        </w:rPr>
        <w:t>（1）按照供应商须知的要求和招标文件规定的格式填写的投标函、开标一览表、法定代表人授权书。</w:t>
      </w:r>
    </w:p>
    <w:p>
      <w:pPr>
        <w:spacing w:line="360" w:lineRule="auto"/>
        <w:ind w:firstLine="480" w:firstLineChars="200"/>
        <w:outlineLvl w:val="3"/>
        <w:rPr>
          <w:rFonts w:hint="eastAsia" w:hAnsi="宋体" w:cs="宋体"/>
          <w:szCs w:val="24"/>
        </w:rPr>
      </w:pPr>
      <w:r>
        <w:rPr>
          <w:rFonts w:hint="eastAsia" w:hAnsi="宋体" w:cs="宋体"/>
          <w:szCs w:val="24"/>
        </w:rPr>
        <w:t>（2）按照招标文件的要求编制的投标方案。</w:t>
      </w:r>
    </w:p>
    <w:p>
      <w:pPr>
        <w:spacing w:line="360" w:lineRule="auto"/>
        <w:ind w:firstLine="480" w:firstLineChars="200"/>
        <w:rPr>
          <w:rFonts w:hint="eastAsia" w:hAnsi="宋体" w:cs="宋体"/>
          <w:szCs w:val="24"/>
        </w:rPr>
      </w:pPr>
      <w:r>
        <w:rPr>
          <w:rFonts w:hint="eastAsia" w:hAnsi="宋体" w:cs="宋体"/>
          <w:szCs w:val="24"/>
        </w:rPr>
        <w:t>（3）按照招标文件供应商须知前附表的要求提交的资格证明文件；</w:t>
      </w:r>
    </w:p>
    <w:p>
      <w:pPr>
        <w:spacing w:line="360" w:lineRule="auto"/>
        <w:ind w:firstLine="480" w:firstLineChars="200"/>
        <w:outlineLvl w:val="3"/>
        <w:rPr>
          <w:rFonts w:hint="eastAsia" w:hAnsi="宋体" w:cs="宋体"/>
          <w:szCs w:val="24"/>
        </w:rPr>
      </w:pPr>
      <w:r>
        <w:rPr>
          <w:rFonts w:hint="eastAsia" w:hAnsi="宋体" w:cs="宋体"/>
          <w:szCs w:val="24"/>
        </w:rPr>
        <w:t>（4）招标文件中要求的其他证明文件。</w:t>
      </w:r>
    </w:p>
    <w:p>
      <w:pPr>
        <w:spacing w:line="360" w:lineRule="auto"/>
        <w:ind w:firstLine="480" w:firstLineChars="200"/>
        <w:rPr>
          <w:rFonts w:hint="eastAsia" w:hAnsi="宋体" w:cs="宋体"/>
          <w:szCs w:val="24"/>
        </w:rPr>
      </w:pPr>
      <w:r>
        <w:rPr>
          <w:rFonts w:hint="eastAsia" w:hAnsi="宋体" w:cs="宋体"/>
          <w:szCs w:val="24"/>
        </w:rPr>
        <w:t>9.2如果在招标文件中没有允许提供备选方案，则每个供应商只允许提交一个投标方案，否则，其投标将按照无效投标处理。</w:t>
      </w:r>
    </w:p>
    <w:p>
      <w:pPr>
        <w:spacing w:line="360" w:lineRule="auto"/>
        <w:ind w:firstLine="480" w:firstLineChars="200"/>
        <w:rPr>
          <w:rFonts w:hint="eastAsia" w:hAnsi="宋体" w:cs="宋体"/>
          <w:szCs w:val="24"/>
        </w:rPr>
      </w:pPr>
      <w:r>
        <w:rPr>
          <w:rFonts w:hint="eastAsia" w:hAnsi="宋体" w:cs="宋体"/>
          <w:szCs w:val="24"/>
        </w:rPr>
        <w:t>9.3本次投标的最小单元为“项目”，供应商可根据自身的资质情况和经营范围对本次项目进行投标，不得将其子目再行分解或只对本次项目中的各品目进行不完全投标，任何不完全的响应将会被拒绝。</w:t>
      </w:r>
    </w:p>
    <w:p>
      <w:pPr>
        <w:spacing w:line="360" w:lineRule="auto"/>
        <w:outlineLvl w:val="1"/>
        <w:rPr>
          <w:rFonts w:hint="eastAsia" w:hAnsi="宋体" w:cs="宋体"/>
          <w:b/>
          <w:szCs w:val="24"/>
        </w:rPr>
      </w:pPr>
      <w:bookmarkStart w:id="55" w:name="_Toc28265"/>
      <w:bookmarkStart w:id="56" w:name="_Toc17674"/>
      <w:r>
        <w:rPr>
          <w:rFonts w:hint="eastAsia" w:hAnsi="宋体" w:cs="宋体"/>
          <w:b/>
          <w:szCs w:val="24"/>
        </w:rPr>
        <w:t>10.投标文件格式</w:t>
      </w:r>
      <w:bookmarkEnd w:id="55"/>
      <w:bookmarkEnd w:id="56"/>
    </w:p>
    <w:p>
      <w:pPr>
        <w:spacing w:line="360" w:lineRule="auto"/>
        <w:ind w:firstLine="480" w:firstLineChars="200"/>
        <w:rPr>
          <w:rFonts w:hint="eastAsia" w:hAnsi="宋体" w:cs="宋体"/>
          <w:szCs w:val="24"/>
        </w:rPr>
      </w:pPr>
      <w:r>
        <w:rPr>
          <w:rFonts w:hint="eastAsia" w:hAnsi="宋体" w:cs="宋体"/>
          <w:szCs w:val="24"/>
        </w:rPr>
        <w:t>10.1供应商应按照招标文件中第六章所提供的格式和要求制作投标文件，明确表达投标意愿，详细说明投标方案、承诺及价格。</w:t>
      </w:r>
    </w:p>
    <w:p>
      <w:pPr>
        <w:spacing w:line="360" w:lineRule="auto"/>
        <w:ind w:firstLine="480" w:firstLineChars="200"/>
        <w:rPr>
          <w:rFonts w:hint="eastAsia" w:hAnsi="宋体" w:cs="宋体"/>
          <w:szCs w:val="24"/>
        </w:rPr>
      </w:pPr>
      <w:r>
        <w:rPr>
          <w:rFonts w:hint="eastAsia" w:hAnsi="宋体" w:cs="宋体"/>
          <w:szCs w:val="24"/>
        </w:rPr>
        <w:t>10.2按招标文件第9条的内容及要求和第六章提供的格式和要求编写其投标文件，供应商不得缺少或留空任何招标文件要求填写的表格或提交的资料。</w:t>
      </w:r>
    </w:p>
    <w:p>
      <w:pPr>
        <w:spacing w:line="360" w:lineRule="auto"/>
        <w:outlineLvl w:val="1"/>
        <w:rPr>
          <w:rFonts w:hint="eastAsia" w:hAnsi="宋体" w:cs="宋体"/>
          <w:b/>
          <w:szCs w:val="24"/>
        </w:rPr>
      </w:pPr>
      <w:bookmarkStart w:id="57" w:name="_Toc12195"/>
      <w:bookmarkStart w:id="58" w:name="_Toc29298"/>
      <w:r>
        <w:rPr>
          <w:rFonts w:hint="eastAsia" w:hAnsi="宋体" w:cs="宋体"/>
          <w:b/>
          <w:szCs w:val="24"/>
        </w:rPr>
        <w:t>11.投标报价</w:t>
      </w:r>
      <w:bookmarkEnd w:id="57"/>
      <w:bookmarkEnd w:id="58"/>
    </w:p>
    <w:p>
      <w:pPr>
        <w:spacing w:line="360" w:lineRule="auto"/>
        <w:ind w:firstLine="480" w:firstLineChars="200"/>
        <w:rPr>
          <w:rFonts w:hint="eastAsia" w:hAnsi="宋体" w:cs="宋体"/>
          <w:kern w:val="2"/>
          <w:szCs w:val="24"/>
        </w:rPr>
      </w:pPr>
      <w:r>
        <w:rPr>
          <w:rFonts w:hint="eastAsia" w:hAnsi="宋体" w:cs="宋体"/>
          <w:szCs w:val="24"/>
        </w:rPr>
        <w:t>11.1投标报价：</w:t>
      </w:r>
      <w:r>
        <w:rPr>
          <w:rFonts w:hint="eastAsia" w:hAnsi="宋体" w:cs="宋体"/>
          <w:kern w:val="2"/>
          <w:szCs w:val="24"/>
        </w:rPr>
        <w:t>供应商应在投标报价表中标明完成本次招标所要求的服务且验收合格的所有费用，包括但不限于体裸车价格、运输费用、上牌费用、技术服务、培训、售后服务、采购代理服务费、税金</w:t>
      </w:r>
      <w:r>
        <w:rPr>
          <w:rFonts w:hint="eastAsia" w:hAnsi="宋体" w:cs="宋体"/>
          <w:szCs w:val="24"/>
        </w:rPr>
        <w:t>等其他一切相关费用。</w:t>
      </w:r>
      <w:r>
        <w:rPr>
          <w:rFonts w:hint="eastAsia" w:hAnsi="宋体" w:cs="宋体"/>
          <w:kern w:val="2"/>
          <w:szCs w:val="24"/>
        </w:rPr>
        <w:t>投标报价表中标明本次服务的所有单项价格和总价，任何有选择的报价将不予接受，否则按无效投标处理。</w:t>
      </w:r>
    </w:p>
    <w:p>
      <w:pPr>
        <w:spacing w:line="360" w:lineRule="auto"/>
        <w:ind w:firstLine="480" w:firstLineChars="200"/>
        <w:rPr>
          <w:rFonts w:hint="eastAsia" w:hAnsi="宋体" w:cs="宋体"/>
          <w:kern w:val="2"/>
          <w:szCs w:val="24"/>
        </w:rPr>
      </w:pPr>
      <w:bookmarkStart w:id="59" w:name="_Toc26432"/>
      <w:r>
        <w:rPr>
          <w:rFonts w:hint="eastAsia" w:hAnsi="宋体" w:cs="宋体"/>
          <w:kern w:val="2"/>
          <w:szCs w:val="24"/>
        </w:rPr>
        <w:t>注：政府采购合同履行中，采购人需追加与合同标的相同服务的，在不改变合同其他条款的前提下，可以与供应商协商签订补充合同，但所有补充合同的采购金额不得超过原合同采购金额的10%。</w:t>
      </w:r>
    </w:p>
    <w:p>
      <w:pPr>
        <w:spacing w:line="360" w:lineRule="auto"/>
        <w:outlineLvl w:val="1"/>
        <w:rPr>
          <w:rFonts w:hint="eastAsia" w:hAnsi="宋体" w:cs="宋体"/>
          <w:b/>
          <w:szCs w:val="24"/>
        </w:rPr>
      </w:pPr>
      <w:bookmarkStart w:id="60" w:name="_Toc24645"/>
      <w:r>
        <w:rPr>
          <w:rFonts w:hint="eastAsia" w:hAnsi="宋体" w:cs="宋体"/>
          <w:b/>
          <w:bCs/>
          <w:szCs w:val="24"/>
        </w:rPr>
        <w:t>12.投标文</w:t>
      </w:r>
      <w:r>
        <w:rPr>
          <w:rFonts w:hint="eastAsia" w:hAnsi="宋体" w:cs="宋体"/>
          <w:b/>
          <w:szCs w:val="24"/>
        </w:rPr>
        <w:t>件的制作</w:t>
      </w:r>
      <w:bookmarkEnd w:id="59"/>
      <w:bookmarkEnd w:id="60"/>
    </w:p>
    <w:p>
      <w:pPr>
        <w:spacing w:line="360" w:lineRule="auto"/>
        <w:ind w:firstLine="480" w:firstLineChars="200"/>
        <w:rPr>
          <w:rFonts w:hint="eastAsia" w:hAnsi="宋体" w:cs="宋体"/>
          <w:szCs w:val="24"/>
          <w:lang w:val="zh-CN"/>
        </w:rPr>
      </w:pPr>
      <w:r>
        <w:rPr>
          <w:rFonts w:hint="eastAsia" w:hAnsi="宋体" w:cs="宋体"/>
          <w:szCs w:val="24"/>
        </w:rPr>
        <w:t>12.1</w:t>
      </w:r>
      <w:r>
        <w:rPr>
          <w:rFonts w:hint="eastAsia" w:hAnsi="宋体" w:cs="宋体"/>
          <w:szCs w:val="24"/>
          <w:lang w:val="zh-CN"/>
        </w:rPr>
        <w:t>电子投标文件（*.SXSTF）需要使用专用制作软件——“新点投标文件制作软件（陕西公共资源）”进行编制。软件下载地址及操作手册：见西安市公共资源交易平台〖首页〉服务指南〉下载专区〗中的《政府采购项目投标文件制作软件及操作手册》。</w:t>
      </w:r>
    </w:p>
    <w:p>
      <w:pPr>
        <w:spacing w:line="360" w:lineRule="auto"/>
        <w:ind w:firstLine="480" w:firstLineChars="200"/>
        <w:rPr>
          <w:rFonts w:hint="eastAsia" w:hAnsi="宋体" w:cs="宋体"/>
          <w:szCs w:val="24"/>
          <w:lang w:val="zh-CN"/>
        </w:rPr>
      </w:pPr>
      <w:r>
        <w:rPr>
          <w:rFonts w:hint="eastAsia" w:hAnsi="宋体" w:cs="宋体"/>
          <w:szCs w:val="24"/>
          <w:lang w:val="zh-CN"/>
        </w:rPr>
        <w:t>链接地址：</w:t>
      </w:r>
    </w:p>
    <w:p>
      <w:pPr>
        <w:spacing w:line="360" w:lineRule="auto"/>
        <w:ind w:firstLine="480" w:firstLineChars="200"/>
        <w:rPr>
          <w:rFonts w:hint="eastAsia" w:hAnsi="宋体" w:cs="宋体"/>
          <w:szCs w:val="24"/>
          <w:lang w:val="zh-CN"/>
        </w:rPr>
      </w:pPr>
      <w:r>
        <w:fldChar w:fldCharType="begin"/>
      </w:r>
      <w:r>
        <w:instrText xml:space="preserve"> HYPERLINK "http://sxggzyjy.xa.gov.cn/fwzn/004003/20181115/4d59c184-e8f6-4d5a-a416-c2f6b0601e66.html" </w:instrText>
      </w:r>
      <w:r>
        <w:fldChar w:fldCharType="separate"/>
      </w:r>
      <w:r>
        <w:rPr>
          <w:rFonts w:hint="eastAsia" w:hAnsi="宋体" w:cs="宋体"/>
          <w:szCs w:val="24"/>
          <w:lang w:val="zh-CN"/>
        </w:rPr>
        <w:t>http://sxggzyjy.xa.gov.cn/fwzn/004003/20181115/4d59c184-e8f6-4d5a-a416-c2f6b0601e66.html</w:t>
      </w:r>
      <w:r>
        <w:rPr>
          <w:rFonts w:hint="eastAsia" w:hAnsi="宋体" w:cs="宋体"/>
          <w:szCs w:val="24"/>
          <w:lang w:val="zh-CN"/>
        </w:rPr>
        <w:fldChar w:fldCharType="end"/>
      </w:r>
    </w:p>
    <w:p>
      <w:pPr>
        <w:spacing w:line="360" w:lineRule="auto"/>
        <w:ind w:firstLine="480" w:firstLineChars="200"/>
        <w:rPr>
          <w:rFonts w:hint="eastAsia" w:hAnsi="宋体" w:cs="宋体"/>
          <w:szCs w:val="24"/>
          <w:lang w:val="zh-CN"/>
        </w:rPr>
      </w:pPr>
      <w:r>
        <w:rPr>
          <w:rFonts w:hint="eastAsia" w:hAnsi="宋体" w:cs="宋体"/>
          <w:szCs w:val="24"/>
        </w:rPr>
        <w:t>12.2</w:t>
      </w:r>
      <w:r>
        <w:rPr>
          <w:rFonts w:hint="eastAsia" w:hAnsi="宋体" w:cs="宋体"/>
          <w:szCs w:val="24"/>
          <w:lang w:val="zh-CN"/>
        </w:rPr>
        <w:t>编制电子投标文件前，务必先做好电子招标文件的备份工作。然后按操作手册中给出的方法将电子招标文件（*.SXSZF）或答疑文件（*.SXSCF，即更新后的电子招标文件）导入制作软件，最后按照章节分别编制投标文件各个部分。</w:t>
      </w:r>
    </w:p>
    <w:p>
      <w:pPr>
        <w:spacing w:line="360" w:lineRule="auto"/>
        <w:ind w:firstLine="482" w:firstLineChars="200"/>
        <w:rPr>
          <w:rFonts w:hint="eastAsia" w:hAnsi="宋体" w:cs="宋体"/>
          <w:szCs w:val="24"/>
          <w:lang w:val="zh-CN"/>
        </w:rPr>
      </w:pPr>
      <w:r>
        <w:rPr>
          <w:rFonts w:hint="eastAsia" w:hAnsi="宋体" w:cs="宋体"/>
          <w:b/>
          <w:bCs/>
          <w:szCs w:val="24"/>
          <w:lang w:val="zh-CN"/>
        </w:rPr>
        <w:t>再次提醒：</w:t>
      </w:r>
      <w:r>
        <w:rPr>
          <w:rFonts w:hint="eastAsia" w:hAnsi="宋体" w:cs="宋体"/>
          <w:szCs w:val="24"/>
          <w:lang w:val="zh-CN"/>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使用旧版电子招标文件制作的电子投标文件（*.SXSTF），系统将拒绝接收。</w:t>
      </w:r>
    </w:p>
    <w:p>
      <w:pPr>
        <w:spacing w:line="360" w:lineRule="auto"/>
        <w:outlineLvl w:val="1"/>
        <w:rPr>
          <w:rFonts w:hint="eastAsia" w:hAnsi="宋体" w:cs="宋体"/>
          <w:b/>
          <w:szCs w:val="24"/>
        </w:rPr>
      </w:pPr>
      <w:bookmarkStart w:id="61" w:name="_Toc27384"/>
      <w:bookmarkStart w:id="62" w:name="_Toc22686"/>
      <w:r>
        <w:rPr>
          <w:rFonts w:hint="eastAsia" w:hAnsi="宋体" w:cs="宋体"/>
          <w:b/>
          <w:szCs w:val="24"/>
        </w:rPr>
        <w:t>13.证明供应商合格和资格的文件</w:t>
      </w:r>
      <w:bookmarkEnd w:id="61"/>
      <w:bookmarkEnd w:id="62"/>
    </w:p>
    <w:p>
      <w:pPr>
        <w:spacing w:line="360" w:lineRule="auto"/>
        <w:ind w:firstLine="480" w:firstLineChars="200"/>
        <w:rPr>
          <w:rFonts w:hint="eastAsia" w:hAnsi="宋体" w:cs="宋体"/>
          <w:szCs w:val="24"/>
        </w:rPr>
      </w:pPr>
      <w:r>
        <w:rPr>
          <w:rFonts w:hint="eastAsia" w:hAnsi="宋体" w:cs="宋体"/>
          <w:szCs w:val="24"/>
        </w:rPr>
        <w:t>13.1供应商应按照招标文件“供应商须知前附表”的要求，在投标文件中提交合格的资格证明文件。如果资格证明文件不齐全或不合格的，其投标将按无效投标处理。</w:t>
      </w:r>
    </w:p>
    <w:p>
      <w:pPr>
        <w:spacing w:line="360" w:lineRule="auto"/>
        <w:outlineLvl w:val="1"/>
        <w:rPr>
          <w:rFonts w:hAnsi="宋体" w:cs="宋体"/>
          <w:b/>
          <w:szCs w:val="24"/>
        </w:rPr>
      </w:pPr>
      <w:bookmarkStart w:id="63" w:name="_Toc24013"/>
      <w:bookmarkStart w:id="64" w:name="_Toc23365"/>
      <w:r>
        <w:rPr>
          <w:rFonts w:hint="eastAsia" w:hAnsi="宋体" w:cs="宋体"/>
          <w:b/>
          <w:szCs w:val="24"/>
        </w:rPr>
        <w:t>14.证明货物（含伴随服务）符合招标文件规定的文件</w:t>
      </w:r>
    </w:p>
    <w:p>
      <w:pPr>
        <w:spacing w:line="360" w:lineRule="auto"/>
        <w:ind w:firstLine="480" w:firstLineChars="200"/>
        <w:rPr>
          <w:rFonts w:hint="eastAsia" w:hAnsi="宋体" w:cs="宋体"/>
          <w:szCs w:val="24"/>
        </w:rPr>
      </w:pPr>
      <w:r>
        <w:rPr>
          <w:rFonts w:hint="eastAsia" w:hAnsi="宋体" w:cs="宋体"/>
          <w:szCs w:val="24"/>
        </w:rPr>
        <w:t>14.1供应商应在投标文件中提交产品和服务满足招标文件要求并符合国家法律法规、行业管理部门要求的其他强制性标准的证明文件。缺少证明文件或证明文件不合格的投标，与招标文件要求有重大偏离的投标，不符合国家法律法规、行业管理部门要求的其他强制性标准的投标将按无效投标处理。</w:t>
      </w:r>
    </w:p>
    <w:p>
      <w:pPr>
        <w:spacing w:line="360" w:lineRule="auto"/>
        <w:ind w:firstLine="480" w:firstLineChars="200"/>
        <w:rPr>
          <w:rFonts w:hint="eastAsia" w:hAnsi="宋体" w:cs="宋体"/>
          <w:szCs w:val="24"/>
        </w:rPr>
      </w:pPr>
      <w:r>
        <w:rPr>
          <w:rFonts w:hint="eastAsia" w:hAnsi="宋体" w:cs="宋体"/>
          <w:szCs w:val="24"/>
        </w:rPr>
        <w:t>14.2上述证明文件可以是文字资料、图纸、图片、数据、宣传彩页等，所有证明文件表达意思必须统一（如需供应商提供样品，样品必须与投标文件的表述完全符合）。包括：</w:t>
      </w:r>
    </w:p>
    <w:p>
      <w:pPr>
        <w:spacing w:line="360" w:lineRule="auto"/>
        <w:ind w:firstLine="480" w:firstLineChars="200"/>
        <w:rPr>
          <w:rFonts w:hint="eastAsia" w:hAnsi="宋体" w:cs="宋体"/>
          <w:szCs w:val="24"/>
        </w:rPr>
      </w:pPr>
      <w:r>
        <w:rPr>
          <w:rFonts w:hint="eastAsia" w:hAnsi="宋体" w:cs="宋体"/>
          <w:szCs w:val="24"/>
        </w:rPr>
        <w:t>(1)产品的详细说明；</w:t>
      </w:r>
    </w:p>
    <w:p>
      <w:pPr>
        <w:spacing w:line="360" w:lineRule="auto"/>
        <w:ind w:firstLine="480" w:firstLineChars="200"/>
        <w:rPr>
          <w:rFonts w:hint="eastAsia" w:hAnsi="宋体" w:cs="宋体"/>
          <w:szCs w:val="24"/>
        </w:rPr>
      </w:pPr>
      <w:r>
        <w:rPr>
          <w:rFonts w:hint="eastAsia" w:hAnsi="宋体" w:cs="宋体"/>
          <w:szCs w:val="24"/>
        </w:rPr>
        <w:t>(2)逐条对招标文件提出的技术要求和商务要求进行应答，说明所提供的产品和服务对招标的技术和商务要求是否做出了实质性响应并提供具备文件；</w:t>
      </w:r>
    </w:p>
    <w:p>
      <w:pPr>
        <w:spacing w:line="360" w:lineRule="auto"/>
        <w:ind w:firstLine="480" w:firstLineChars="200"/>
        <w:rPr>
          <w:rFonts w:hint="eastAsia" w:hAnsi="宋体" w:cs="宋体"/>
          <w:szCs w:val="24"/>
        </w:rPr>
      </w:pPr>
      <w:r>
        <w:rPr>
          <w:rFonts w:hint="eastAsia" w:hAnsi="宋体" w:cs="宋体"/>
          <w:szCs w:val="24"/>
        </w:rPr>
        <w:t>(3)供货范围和服务内容的详细说明。</w:t>
      </w:r>
    </w:p>
    <w:p>
      <w:pPr>
        <w:spacing w:line="360" w:lineRule="auto"/>
        <w:outlineLvl w:val="1"/>
        <w:rPr>
          <w:rFonts w:hint="eastAsia" w:hAnsi="宋体" w:cs="宋体"/>
          <w:b/>
          <w:szCs w:val="24"/>
        </w:rPr>
      </w:pPr>
      <w:r>
        <w:rPr>
          <w:rFonts w:hint="eastAsia" w:hAnsi="宋体" w:cs="宋体"/>
          <w:b/>
          <w:szCs w:val="24"/>
        </w:rPr>
        <w:t>15.投标有效期</w:t>
      </w:r>
      <w:bookmarkEnd w:id="63"/>
      <w:bookmarkEnd w:id="64"/>
    </w:p>
    <w:p>
      <w:pPr>
        <w:spacing w:line="360" w:lineRule="auto"/>
        <w:ind w:firstLine="480" w:firstLineChars="200"/>
        <w:rPr>
          <w:rFonts w:hint="eastAsia" w:hAnsi="宋体" w:cs="宋体"/>
          <w:szCs w:val="24"/>
        </w:rPr>
      </w:pPr>
      <w:r>
        <w:rPr>
          <w:rFonts w:hint="eastAsia" w:hAnsi="宋体" w:cs="宋体"/>
          <w:szCs w:val="24"/>
        </w:rPr>
        <w:t>15.1投标有效期从递交投标文件截止之日起</w:t>
      </w:r>
      <w:r>
        <w:rPr>
          <w:rFonts w:hint="eastAsia" w:hAnsi="宋体" w:cs="宋体"/>
          <w:szCs w:val="24"/>
          <w:u w:val="single"/>
        </w:rPr>
        <w:t>90</w:t>
      </w:r>
      <w:r>
        <w:rPr>
          <w:rFonts w:hint="eastAsia" w:hAnsi="宋体" w:cs="宋体"/>
          <w:szCs w:val="24"/>
        </w:rPr>
        <w:t>日历天。投标文件应在投标有效期内保持有效。投标有效期不满足规定有效期的投标文件将被视为无效投标而拒绝。</w:t>
      </w:r>
    </w:p>
    <w:p>
      <w:pPr>
        <w:spacing w:line="360" w:lineRule="auto"/>
        <w:ind w:firstLine="480" w:firstLineChars="200"/>
        <w:rPr>
          <w:rFonts w:hint="eastAsia" w:hAnsi="宋体" w:cs="宋体"/>
          <w:szCs w:val="24"/>
        </w:rPr>
      </w:pPr>
      <w:r>
        <w:rPr>
          <w:rFonts w:hint="eastAsia" w:hAnsi="宋体" w:cs="宋体"/>
          <w:szCs w:val="24"/>
        </w:rPr>
        <w:t>15.2特殊情况下，在原投标有效期期满之前，采购代理机构可向供应商提出延长投标有效期的要求。这种要求与答复均应以书面的形式。同意延长的供应商既不能要求也不允许修改其投标文件。</w:t>
      </w:r>
    </w:p>
    <w:p>
      <w:pPr>
        <w:spacing w:line="360" w:lineRule="auto"/>
        <w:outlineLvl w:val="1"/>
        <w:rPr>
          <w:rFonts w:hint="eastAsia" w:hAnsi="宋体" w:cs="宋体"/>
          <w:b/>
          <w:szCs w:val="24"/>
        </w:rPr>
      </w:pPr>
      <w:bookmarkStart w:id="65" w:name="_Toc31776"/>
      <w:bookmarkStart w:id="66" w:name="_Toc12527"/>
      <w:r>
        <w:rPr>
          <w:rFonts w:hint="eastAsia" w:hAnsi="宋体" w:cs="宋体"/>
          <w:b/>
          <w:szCs w:val="24"/>
        </w:rPr>
        <w:t>16.投标文件的式样和签署</w:t>
      </w:r>
      <w:bookmarkEnd w:id="65"/>
      <w:bookmarkEnd w:id="66"/>
    </w:p>
    <w:p>
      <w:pPr>
        <w:spacing w:line="360" w:lineRule="auto"/>
        <w:ind w:firstLine="480" w:firstLineChars="200"/>
        <w:rPr>
          <w:rFonts w:hint="eastAsia" w:hAnsi="宋体" w:cs="宋体"/>
          <w:szCs w:val="24"/>
        </w:rPr>
      </w:pPr>
      <w:r>
        <w:rPr>
          <w:rFonts w:hint="eastAsia" w:hAnsi="宋体" w:cs="宋体"/>
          <w:szCs w:val="24"/>
        </w:rPr>
        <w:t>16.1投标文件需由供应商法定代表人或经法定代表人正式授权的代表签字。授权代表须将按招标文件规定的格式出具的“法定代表人授权书”附在投标文件中。电子投标文件制作过程中，需要法定代表人签字或盖章的地方，请使用“法人CA锁”进行签章；需要加盖供应商公章的地方，请使用“企业CA锁”进行签章。若导出的PDF文件里看不到签章，请尝试使用专用制作软件中的“查看投标文件工具”打开未加密的电子投标文件重新导出。在制作过程中，如有其他技术性问题，请先翻阅操作手册，或致电软件开发商。</w:t>
      </w:r>
    </w:p>
    <w:p>
      <w:pPr>
        <w:spacing w:line="360" w:lineRule="auto"/>
        <w:ind w:firstLine="480" w:firstLineChars="200"/>
        <w:rPr>
          <w:rFonts w:hint="eastAsia" w:hAnsi="宋体" w:cs="宋体"/>
          <w:szCs w:val="24"/>
        </w:rPr>
      </w:pPr>
      <w:r>
        <w:rPr>
          <w:rFonts w:hint="eastAsia" w:hAnsi="宋体" w:cs="宋体"/>
          <w:szCs w:val="24"/>
        </w:rPr>
        <w:t>16.2任何行间插字、涂改和增删，必须由供应商的法定代表人或其授权代表在旁边签字方有效。</w:t>
      </w:r>
    </w:p>
    <w:p>
      <w:pPr>
        <w:spacing w:line="360" w:lineRule="auto"/>
        <w:ind w:firstLine="482" w:firstLineChars="200"/>
        <w:rPr>
          <w:rFonts w:hint="eastAsia" w:hAnsi="宋体" w:cs="宋体"/>
          <w:b/>
          <w:bCs/>
        </w:rPr>
      </w:pPr>
      <w:r>
        <w:rPr>
          <w:rFonts w:hint="eastAsia" w:hAnsi="宋体" w:cs="宋体"/>
          <w:b/>
          <w:bCs/>
        </w:rPr>
        <w:t>16.3供应商名称应填写全称，投标文件按招标文件要求加盖供应商公章。</w:t>
      </w:r>
    </w:p>
    <w:p>
      <w:pPr>
        <w:spacing w:line="360" w:lineRule="auto"/>
        <w:ind w:firstLine="480" w:firstLineChars="200"/>
        <w:rPr>
          <w:rFonts w:hint="eastAsia" w:hAnsi="宋体" w:cs="宋体"/>
          <w:szCs w:val="24"/>
        </w:rPr>
      </w:pPr>
      <w:r>
        <w:rPr>
          <w:rFonts w:hint="eastAsia" w:hAnsi="宋体" w:cs="宋体"/>
          <w:bCs/>
          <w:szCs w:val="24"/>
        </w:rPr>
        <w:t>16.4</w:t>
      </w:r>
      <w:r>
        <w:rPr>
          <w:rFonts w:hint="eastAsia" w:hAnsi="宋体" w:cs="宋体"/>
          <w:szCs w:val="24"/>
        </w:rPr>
        <w:t>因字迹潦草、表述不清或不按招标文件格式编制的投标文件，所引起的对供应商不利的后果，由供应商自行负责。</w:t>
      </w:r>
    </w:p>
    <w:p>
      <w:pPr>
        <w:spacing w:line="360" w:lineRule="auto"/>
        <w:jc w:val="center"/>
        <w:outlineLvl w:val="2"/>
        <w:rPr>
          <w:rFonts w:hint="eastAsia" w:hAnsi="宋体" w:cs="宋体"/>
          <w:b/>
          <w:sz w:val="32"/>
          <w:szCs w:val="32"/>
        </w:rPr>
      </w:pPr>
      <w:bookmarkStart w:id="67" w:name="_Toc363474020"/>
      <w:bookmarkStart w:id="68" w:name="_Toc363473975"/>
      <w:bookmarkStart w:id="69" w:name="_Toc403077642"/>
      <w:r>
        <w:rPr>
          <w:rFonts w:hint="eastAsia" w:hAnsi="宋体" w:cs="宋体"/>
          <w:b/>
          <w:sz w:val="32"/>
          <w:szCs w:val="32"/>
        </w:rPr>
        <w:t>四、投标文件的递交</w:t>
      </w:r>
      <w:bookmarkEnd w:id="67"/>
      <w:bookmarkEnd w:id="68"/>
      <w:bookmarkEnd w:id="69"/>
    </w:p>
    <w:p>
      <w:pPr>
        <w:spacing w:line="360" w:lineRule="auto"/>
        <w:outlineLvl w:val="1"/>
        <w:rPr>
          <w:rFonts w:hint="eastAsia" w:hAnsi="宋体" w:cs="宋体"/>
          <w:b/>
          <w:szCs w:val="24"/>
        </w:rPr>
      </w:pPr>
      <w:bookmarkStart w:id="70" w:name="_Toc3781"/>
      <w:bookmarkStart w:id="71" w:name="_Toc29957"/>
      <w:r>
        <w:rPr>
          <w:rFonts w:hint="eastAsia" w:hAnsi="宋体" w:cs="宋体"/>
          <w:b/>
          <w:szCs w:val="24"/>
        </w:rPr>
        <w:t>17.投标文件的密封和标记</w:t>
      </w:r>
      <w:bookmarkEnd w:id="70"/>
      <w:bookmarkEnd w:id="71"/>
    </w:p>
    <w:p>
      <w:pPr>
        <w:spacing w:line="360" w:lineRule="auto"/>
        <w:ind w:firstLine="480" w:firstLineChars="200"/>
        <w:rPr>
          <w:rFonts w:hint="eastAsia" w:hAnsi="宋体" w:cs="宋体"/>
          <w:szCs w:val="24"/>
        </w:rPr>
      </w:pPr>
      <w:r>
        <w:rPr>
          <w:rFonts w:hint="eastAsia" w:hAnsi="宋体" w:cs="宋体"/>
          <w:szCs w:val="24"/>
        </w:rPr>
        <w:t>17.1在生成电子投标文件时，需要使用CA锁对投标文件进行加密。</w:t>
      </w:r>
    </w:p>
    <w:p>
      <w:pPr>
        <w:spacing w:line="360" w:lineRule="auto"/>
        <w:ind w:firstLine="482" w:firstLineChars="200"/>
        <w:rPr>
          <w:rFonts w:hint="eastAsia" w:hAnsi="宋体" w:cs="宋体"/>
          <w:szCs w:val="24"/>
        </w:rPr>
      </w:pPr>
      <w:r>
        <w:rPr>
          <w:rFonts w:hint="eastAsia" w:hAnsi="宋体" w:cs="宋体"/>
          <w:b/>
          <w:bCs/>
          <w:szCs w:val="24"/>
        </w:rPr>
        <w:t>注意：加密投标文件和开标时解密投标文件应当使用同一CA，否则将会导致解密失败。</w:t>
      </w:r>
    </w:p>
    <w:p>
      <w:pPr>
        <w:spacing w:line="360" w:lineRule="auto"/>
        <w:ind w:firstLine="480" w:firstLineChars="200"/>
        <w:rPr>
          <w:rFonts w:hint="eastAsia" w:hAnsi="宋体" w:cs="宋体"/>
          <w:szCs w:val="24"/>
        </w:rPr>
      </w:pPr>
      <w:r>
        <w:rPr>
          <w:rFonts w:hint="eastAsia" w:hAnsi="宋体" w:cs="宋体"/>
          <w:szCs w:val="24"/>
        </w:rPr>
        <w:t>17.2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pPr>
        <w:spacing w:line="360" w:lineRule="auto"/>
        <w:ind w:firstLine="480" w:firstLineChars="200"/>
        <w:rPr>
          <w:rFonts w:hint="eastAsia" w:hAnsi="宋体" w:cs="宋体"/>
          <w:szCs w:val="24"/>
        </w:rPr>
      </w:pPr>
      <w:r>
        <w:rPr>
          <w:rFonts w:hint="eastAsia" w:hAnsi="宋体" w:cs="宋体"/>
          <w:szCs w:val="24"/>
        </w:rPr>
        <w:t>17.3上传文件有误或需要重新提交的，可先撤销已经上传的文件，然后重新上传新文件。</w:t>
      </w:r>
      <w:r>
        <w:rPr>
          <w:rFonts w:hint="eastAsia" w:hAnsi="宋体" w:cs="宋体"/>
          <w:b/>
          <w:bCs/>
          <w:szCs w:val="24"/>
        </w:rPr>
        <w:t>中标后提交的纸质文件（备案用）应从专用制作软件中直接打印，与电子投标文件保持一致，不允许补充和修改。</w:t>
      </w:r>
    </w:p>
    <w:p>
      <w:pPr>
        <w:spacing w:line="360" w:lineRule="auto"/>
        <w:outlineLvl w:val="1"/>
        <w:rPr>
          <w:rFonts w:hint="eastAsia" w:hAnsi="宋体" w:cs="宋体"/>
          <w:b/>
          <w:szCs w:val="24"/>
        </w:rPr>
      </w:pPr>
      <w:bookmarkStart w:id="72" w:name="_Toc9576"/>
      <w:bookmarkStart w:id="73" w:name="_Toc32694"/>
      <w:bookmarkStart w:id="74" w:name="_Toc403077643"/>
      <w:bookmarkStart w:id="75" w:name="_Toc363474021"/>
      <w:bookmarkStart w:id="76" w:name="_Toc363473976"/>
      <w:r>
        <w:rPr>
          <w:rFonts w:hint="eastAsia" w:hAnsi="宋体" w:cs="宋体"/>
          <w:b/>
          <w:szCs w:val="24"/>
        </w:rPr>
        <w:t>18.投标文件的补充、修改和撤回</w:t>
      </w:r>
      <w:bookmarkEnd w:id="72"/>
      <w:bookmarkEnd w:id="73"/>
    </w:p>
    <w:p>
      <w:pPr>
        <w:spacing w:line="360" w:lineRule="auto"/>
        <w:ind w:firstLine="480" w:firstLineChars="200"/>
        <w:rPr>
          <w:rFonts w:hint="eastAsia" w:hAnsi="宋体" w:cs="宋体"/>
          <w:szCs w:val="24"/>
        </w:rPr>
      </w:pPr>
      <w:r>
        <w:rPr>
          <w:rFonts w:hint="eastAsia" w:hAnsi="宋体" w:cs="宋体"/>
          <w:szCs w:val="24"/>
        </w:rPr>
        <w:t>18.1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pPr>
        <w:spacing w:line="360" w:lineRule="auto"/>
        <w:ind w:firstLine="480" w:firstLineChars="200"/>
        <w:rPr>
          <w:rFonts w:hint="eastAsia" w:hAnsi="宋体" w:cs="宋体"/>
          <w:szCs w:val="24"/>
        </w:rPr>
      </w:pPr>
      <w:r>
        <w:rPr>
          <w:rFonts w:hint="eastAsia" w:hAnsi="宋体" w:cs="宋体"/>
          <w:szCs w:val="24"/>
        </w:rPr>
        <w:t>18.2供应商在提交投标文件截止时间后，撤回投标文件的，投标保证金不予退还。</w:t>
      </w:r>
    </w:p>
    <w:p>
      <w:pPr>
        <w:spacing w:line="360" w:lineRule="auto"/>
        <w:ind w:firstLine="480" w:firstLineChars="200"/>
        <w:rPr>
          <w:rFonts w:hint="eastAsia" w:hAnsi="宋体" w:cs="宋体"/>
          <w:szCs w:val="24"/>
        </w:rPr>
      </w:pPr>
      <w:r>
        <w:rPr>
          <w:rFonts w:hint="eastAsia" w:hAnsi="宋体" w:cs="宋体"/>
          <w:szCs w:val="24"/>
        </w:rPr>
        <w:t>18.3对已提交的电子投标文件进行补充、修改的，应先从电子交易平台上撤回旧文件，再重新提交新文件；</w:t>
      </w:r>
    </w:p>
    <w:p>
      <w:pPr>
        <w:spacing w:line="360" w:lineRule="auto"/>
        <w:outlineLvl w:val="1"/>
        <w:rPr>
          <w:rFonts w:hint="eastAsia" w:hAnsi="宋体" w:cs="宋体"/>
          <w:b/>
          <w:szCs w:val="24"/>
        </w:rPr>
      </w:pPr>
      <w:bookmarkStart w:id="77" w:name="_Toc28536"/>
      <w:bookmarkStart w:id="78" w:name="_Toc10294"/>
      <w:r>
        <w:rPr>
          <w:rFonts w:hint="eastAsia" w:hAnsi="宋体" w:cs="宋体"/>
          <w:b/>
          <w:szCs w:val="24"/>
        </w:rPr>
        <w:t>19.关于投标文件的雷同性分析</w:t>
      </w:r>
      <w:bookmarkEnd w:id="77"/>
      <w:bookmarkEnd w:id="78"/>
    </w:p>
    <w:p>
      <w:pPr>
        <w:spacing w:line="360" w:lineRule="auto"/>
        <w:ind w:firstLine="480" w:firstLineChars="200"/>
        <w:rPr>
          <w:rFonts w:hint="eastAsia" w:hAnsi="宋体" w:cs="宋体"/>
          <w:szCs w:val="24"/>
        </w:rPr>
      </w:pPr>
      <w:r>
        <w:rPr>
          <w:rFonts w:hint="eastAsia" w:hAnsi="宋体" w:cs="宋体"/>
          <w:szCs w:val="24"/>
        </w:rPr>
        <w:t>19.1根据陕西省公共资源交易中心2021年07月22日印发的《关于在政府采购交易系统中开通标书雷同性分析功能的通知》，在符合性审查环节，将由评标委员会在评标系统中对供应商的电子投标文件进行雷同性分析。</w:t>
      </w:r>
    </w:p>
    <w:p>
      <w:pPr>
        <w:spacing w:line="360" w:lineRule="auto"/>
        <w:ind w:firstLine="480" w:firstLineChars="200"/>
        <w:rPr>
          <w:rFonts w:hint="eastAsia" w:hAnsi="宋体" w:cs="宋体"/>
          <w:szCs w:val="24"/>
        </w:rPr>
      </w:pPr>
      <w:r>
        <w:rPr>
          <w:rFonts w:hint="eastAsia" w:hAnsi="宋体" w:cs="宋体"/>
          <w:szCs w:val="24"/>
        </w:rPr>
        <w:t>19.2雷同性分析由两项指标组成，分别是“文件制作机器码”和“文件创建标识码”。其中，前者通过验证电子投标文件制作设备的特征信息（如MAC地址、硬盘序列号、CPU编号、主板号等），判断电子投标文件是否出自同一台设备。</w:t>
      </w:r>
    </w:p>
    <w:p>
      <w:pPr>
        <w:spacing w:line="360" w:lineRule="auto"/>
        <w:ind w:firstLine="480" w:firstLineChars="200"/>
        <w:rPr>
          <w:rFonts w:hint="eastAsia" w:hAnsi="宋体" w:cs="宋体"/>
          <w:szCs w:val="24"/>
        </w:rPr>
      </w:pPr>
      <w:r>
        <w:rPr>
          <w:rFonts w:hint="eastAsia" w:hAnsi="宋体" w:cs="宋体"/>
          <w:szCs w:val="24"/>
        </w:rPr>
        <w:t>19.3若“文件制作机器码”一致，</w:t>
      </w:r>
      <w:r>
        <w:rPr>
          <w:rFonts w:hint="eastAsia" w:hAnsi="宋体" w:cs="宋体"/>
          <w:b/>
          <w:bCs/>
          <w:szCs w:val="24"/>
        </w:rPr>
        <w:t>则表明不同投标供应商的电子投标文件出自同一台制作设备</w:t>
      </w:r>
      <w:r>
        <w:rPr>
          <w:rFonts w:hint="eastAsia" w:hAnsi="宋体" w:cs="宋体"/>
          <w:szCs w:val="24"/>
        </w:rPr>
        <w:t>，根据《陕西省财政厅关于政府采购有关政策的复函》（陕财办采函〔2019〕18号），该情形可以视为投标供应商串通投标，其投标无效。</w:t>
      </w:r>
    </w:p>
    <w:p>
      <w:pPr>
        <w:spacing w:line="360" w:lineRule="auto"/>
        <w:ind w:firstLine="480" w:firstLineChars="200"/>
        <w:rPr>
          <w:rFonts w:hint="eastAsia" w:hAnsi="宋体" w:cs="宋体"/>
          <w:szCs w:val="24"/>
        </w:rPr>
      </w:pPr>
      <w:r>
        <w:rPr>
          <w:rFonts w:hint="eastAsia" w:hAnsi="宋体" w:cs="宋体"/>
          <w:szCs w:val="24"/>
        </w:rPr>
        <w:t>19.4若“文件创建标识码”一致，</w:t>
      </w:r>
      <w:r>
        <w:rPr>
          <w:rFonts w:hint="eastAsia" w:hAnsi="宋体" w:cs="宋体"/>
          <w:b/>
          <w:bCs/>
          <w:szCs w:val="24"/>
        </w:rPr>
        <w:t>则表示不同投标供应商使用投标文件制作软件时，使用同一源工程文件</w:t>
      </w:r>
      <w:r>
        <w:rPr>
          <w:rFonts w:hint="eastAsia" w:hAnsi="宋体" w:cs="宋体"/>
          <w:szCs w:val="24"/>
        </w:rPr>
        <w:t>，该情形建议由评标委员会结合项目情况综合判定。</w:t>
      </w:r>
    </w:p>
    <w:p>
      <w:pPr>
        <w:spacing w:line="360" w:lineRule="auto"/>
        <w:outlineLvl w:val="1"/>
        <w:rPr>
          <w:rFonts w:hint="eastAsia" w:hAnsi="宋体" w:cs="宋体"/>
          <w:b/>
          <w:szCs w:val="24"/>
        </w:rPr>
      </w:pPr>
      <w:bookmarkStart w:id="79" w:name="_Toc14929"/>
      <w:bookmarkStart w:id="80" w:name="_Toc11440"/>
      <w:r>
        <w:rPr>
          <w:rFonts w:hint="eastAsia" w:hAnsi="宋体" w:cs="宋体"/>
          <w:b/>
          <w:szCs w:val="24"/>
        </w:rPr>
        <w:t>20.投标文件被拒绝接收的情形</w:t>
      </w:r>
      <w:bookmarkEnd w:id="79"/>
      <w:bookmarkEnd w:id="80"/>
    </w:p>
    <w:p>
      <w:pPr>
        <w:spacing w:line="360" w:lineRule="auto"/>
        <w:ind w:firstLine="480" w:firstLineChars="200"/>
        <w:rPr>
          <w:rFonts w:hint="eastAsia" w:hAnsi="宋体" w:cs="宋体"/>
          <w:szCs w:val="24"/>
        </w:rPr>
      </w:pPr>
      <w:r>
        <w:rPr>
          <w:rFonts w:hint="eastAsia" w:hAnsi="宋体" w:cs="宋体"/>
          <w:szCs w:val="24"/>
        </w:rPr>
        <w:t>20.1误投的或采用旧版电子招标文件制作的；</w:t>
      </w:r>
    </w:p>
    <w:p>
      <w:pPr>
        <w:spacing w:line="360" w:lineRule="auto"/>
        <w:ind w:firstLine="480" w:firstLineChars="200"/>
        <w:rPr>
          <w:rFonts w:hint="eastAsia" w:hAnsi="宋体" w:cs="宋体"/>
          <w:szCs w:val="24"/>
        </w:rPr>
      </w:pPr>
      <w:r>
        <w:rPr>
          <w:rFonts w:hint="eastAsia" w:hAnsi="宋体" w:cs="宋体"/>
          <w:szCs w:val="24"/>
        </w:rPr>
        <w:t>20.2逾期提交电子投标文件的。</w:t>
      </w:r>
    </w:p>
    <w:p>
      <w:pPr>
        <w:spacing w:line="360" w:lineRule="auto"/>
        <w:jc w:val="center"/>
        <w:outlineLvl w:val="2"/>
        <w:rPr>
          <w:rFonts w:hint="eastAsia" w:hAnsi="宋体" w:cs="宋体"/>
          <w:b/>
          <w:sz w:val="32"/>
          <w:szCs w:val="32"/>
        </w:rPr>
      </w:pPr>
      <w:r>
        <w:rPr>
          <w:rFonts w:hint="eastAsia" w:hAnsi="宋体" w:cs="宋体"/>
          <w:b/>
          <w:sz w:val="32"/>
          <w:szCs w:val="32"/>
        </w:rPr>
        <w:t>五、开标与评标</w:t>
      </w:r>
      <w:bookmarkEnd w:id="74"/>
      <w:bookmarkEnd w:id="75"/>
      <w:bookmarkEnd w:id="76"/>
    </w:p>
    <w:p>
      <w:pPr>
        <w:spacing w:line="360" w:lineRule="auto"/>
        <w:outlineLvl w:val="1"/>
        <w:rPr>
          <w:rFonts w:hint="eastAsia" w:hAnsi="宋体" w:cs="宋体"/>
          <w:b/>
          <w:szCs w:val="24"/>
        </w:rPr>
      </w:pPr>
      <w:bookmarkStart w:id="81" w:name="_Toc24133"/>
      <w:bookmarkStart w:id="82" w:name="_Toc9693"/>
      <w:r>
        <w:rPr>
          <w:rFonts w:hint="eastAsia" w:hAnsi="宋体" w:cs="宋体"/>
          <w:b/>
          <w:szCs w:val="24"/>
        </w:rPr>
        <w:t>21.开标</w:t>
      </w:r>
      <w:bookmarkEnd w:id="81"/>
      <w:bookmarkEnd w:id="82"/>
    </w:p>
    <w:p>
      <w:pPr>
        <w:spacing w:line="360" w:lineRule="auto"/>
        <w:ind w:firstLine="480" w:firstLineChars="200"/>
        <w:rPr>
          <w:rFonts w:hint="eastAsia" w:hAnsi="宋体" w:cs="宋体"/>
          <w:szCs w:val="24"/>
        </w:rPr>
      </w:pPr>
      <w:r>
        <w:rPr>
          <w:rFonts w:hint="eastAsia" w:hAnsi="宋体" w:cs="宋体"/>
          <w:szCs w:val="24"/>
        </w:rPr>
        <w:t>21</w:t>
      </w:r>
      <w:r>
        <w:rPr>
          <w:rFonts w:hAnsi="宋体" w:cs="宋体"/>
          <w:szCs w:val="24"/>
        </w:rPr>
        <w:t>.1</w:t>
      </w:r>
      <w:r>
        <w:rPr>
          <w:rFonts w:hint="eastAsia" w:hAnsi="宋体" w:cs="宋体"/>
          <w:szCs w:val="24"/>
        </w:rPr>
        <w:t>开标工作由采购代理机构组织实施，整个过程受同级政府采购监管机构的监督、管理。</w:t>
      </w:r>
    </w:p>
    <w:p>
      <w:pPr>
        <w:spacing w:line="360" w:lineRule="auto"/>
        <w:ind w:firstLine="482" w:firstLineChars="200"/>
        <w:rPr>
          <w:rFonts w:hint="eastAsia" w:hAnsi="宋体" w:cs="宋体"/>
          <w:b/>
          <w:bCs/>
          <w:szCs w:val="24"/>
        </w:rPr>
      </w:pPr>
      <w:r>
        <w:rPr>
          <w:rFonts w:hAnsi="宋体" w:cs="宋体"/>
          <w:b/>
          <w:bCs/>
          <w:szCs w:val="24"/>
        </w:rPr>
        <w:t>2</w:t>
      </w:r>
      <w:r>
        <w:rPr>
          <w:rFonts w:hint="eastAsia" w:hAnsi="宋体" w:cs="宋体"/>
          <w:b/>
          <w:bCs/>
          <w:szCs w:val="24"/>
        </w:rPr>
        <w:t>1</w:t>
      </w:r>
      <w:r>
        <w:rPr>
          <w:rFonts w:hAnsi="宋体" w:cs="宋体"/>
          <w:b/>
          <w:bCs/>
          <w:szCs w:val="24"/>
        </w:rPr>
        <w:t>.2</w:t>
      </w:r>
      <w:r>
        <w:rPr>
          <w:rFonts w:hint="eastAsia" w:hAnsi="宋体" w:cs="宋体"/>
          <w:b/>
          <w:bCs/>
          <w:szCs w:val="24"/>
        </w:rPr>
        <w:t>“不见面开标”基本流程：</w:t>
      </w:r>
      <w:r>
        <w:rPr>
          <w:rFonts w:hint="eastAsia" w:hAnsi="宋体" w:cs="宋体"/>
          <w:szCs w:val="24"/>
        </w:rPr>
        <w:t>“不见面开标”是依托政府采购云平台实现的供应商在线参与开标的一种组织形式。供应商无需抵达开标现场，即可在线实现开标、解密、澄清等操作。</w:t>
      </w:r>
    </w:p>
    <w:p>
      <w:pPr>
        <w:spacing w:line="360" w:lineRule="auto"/>
        <w:ind w:firstLine="480" w:firstLineChars="200"/>
        <w:rPr>
          <w:rFonts w:hint="eastAsia" w:hAnsi="宋体" w:cs="宋体"/>
          <w:szCs w:val="24"/>
        </w:rPr>
      </w:pPr>
      <w:r>
        <w:rPr>
          <w:rFonts w:hint="eastAsia" w:hAnsi="宋体" w:cs="宋体"/>
          <w:szCs w:val="24"/>
        </w:rPr>
        <w:t>21.</w:t>
      </w:r>
      <w:r>
        <w:rPr>
          <w:rFonts w:hAnsi="宋体" w:cs="宋体"/>
          <w:szCs w:val="24"/>
        </w:rPr>
        <w:t>3</w:t>
      </w:r>
      <w:r>
        <w:rPr>
          <w:rFonts w:hint="eastAsia" w:hAnsi="宋体" w:cs="宋体"/>
          <w:szCs w:val="24"/>
        </w:rPr>
        <w:t>供应商登录：开标前，请各供应商至少提前半小时登录西安市公共资源交易平台〖首页·〉不见面开标〗系统。</w:t>
      </w:r>
    </w:p>
    <w:p>
      <w:pPr>
        <w:spacing w:line="360" w:lineRule="auto"/>
        <w:ind w:firstLine="480" w:firstLineChars="200"/>
        <w:rPr>
          <w:rFonts w:hint="eastAsia" w:hAnsi="宋体" w:cs="宋体"/>
          <w:szCs w:val="24"/>
        </w:rPr>
      </w:pPr>
      <w:r>
        <w:rPr>
          <w:rFonts w:hint="eastAsia" w:hAnsi="宋体" w:cs="宋体"/>
          <w:szCs w:val="24"/>
        </w:rPr>
        <w:t>21.</w:t>
      </w:r>
      <w:r>
        <w:rPr>
          <w:rFonts w:hAnsi="宋体" w:cs="宋体"/>
          <w:szCs w:val="24"/>
        </w:rPr>
        <w:t>4</w:t>
      </w:r>
      <w:r>
        <w:rPr>
          <w:rFonts w:hint="eastAsia" w:hAnsi="宋体" w:cs="宋体"/>
          <w:szCs w:val="24"/>
        </w:rPr>
        <w:t>主持人宣布开标：提交投标文件截止时间过后，系统将不再接收任何投标文件。</w:t>
      </w:r>
    </w:p>
    <w:p>
      <w:pPr>
        <w:spacing w:line="360" w:lineRule="auto"/>
        <w:ind w:firstLine="480" w:firstLineChars="200"/>
        <w:rPr>
          <w:rFonts w:hint="eastAsia" w:hAnsi="宋体" w:cs="宋体"/>
          <w:szCs w:val="24"/>
        </w:rPr>
      </w:pPr>
      <w:r>
        <w:rPr>
          <w:rFonts w:hint="eastAsia" w:hAnsi="宋体" w:cs="宋体"/>
          <w:szCs w:val="24"/>
        </w:rPr>
        <w:t>21.</w:t>
      </w:r>
      <w:r>
        <w:rPr>
          <w:rFonts w:hAnsi="宋体" w:cs="宋体"/>
          <w:szCs w:val="24"/>
        </w:rPr>
        <w:t>5</w:t>
      </w:r>
      <w:r>
        <w:rPr>
          <w:rFonts w:hint="eastAsia" w:hAnsi="宋体" w:cs="宋体"/>
          <w:szCs w:val="24"/>
        </w:rPr>
        <w:t>解密投标文件：供应商在收到主持人“开始解密”指令后，应使用“加密该投标文件的CA锁（必须是同一把锁）”在线完成投标文件解密。除因【西安市公共资源交易中心】断电、断网、系统故障及其他不可抗力等因素，导致“不见面开标”系统无法正常运行外，供应商应在规定的解密时间内完成解密。</w:t>
      </w:r>
    </w:p>
    <w:p>
      <w:pPr>
        <w:spacing w:line="360" w:lineRule="auto"/>
        <w:ind w:firstLine="480" w:firstLineChars="200"/>
        <w:rPr>
          <w:rFonts w:hint="eastAsia" w:hAnsi="宋体" w:cs="宋体"/>
          <w:szCs w:val="24"/>
        </w:rPr>
      </w:pPr>
      <w:r>
        <w:rPr>
          <w:rFonts w:hint="eastAsia" w:hAnsi="宋体" w:cs="宋体"/>
          <w:szCs w:val="24"/>
        </w:rPr>
        <w:t>21.</w:t>
      </w:r>
      <w:r>
        <w:rPr>
          <w:rFonts w:hAnsi="宋体" w:cs="宋体"/>
          <w:szCs w:val="24"/>
        </w:rPr>
        <w:t>6</w:t>
      </w:r>
      <w:r>
        <w:rPr>
          <w:rFonts w:hint="eastAsia" w:hAnsi="宋体" w:cs="宋体"/>
          <w:szCs w:val="24"/>
        </w:rPr>
        <w:t>唱标：对于公开招标项目，“不见面开标”系统将自动展示供应商名单及其投标报价。</w:t>
      </w:r>
    </w:p>
    <w:p>
      <w:pPr>
        <w:spacing w:line="360" w:lineRule="auto"/>
        <w:ind w:firstLine="480" w:firstLineChars="200"/>
        <w:rPr>
          <w:rFonts w:hint="eastAsia" w:hAnsi="宋体" w:cs="宋体"/>
          <w:szCs w:val="24"/>
        </w:rPr>
      </w:pPr>
      <w:r>
        <w:rPr>
          <w:rFonts w:hint="eastAsia" w:hAnsi="宋体" w:cs="宋体"/>
          <w:szCs w:val="24"/>
        </w:rPr>
        <w:t>21.</w:t>
      </w:r>
      <w:r>
        <w:rPr>
          <w:rFonts w:hAnsi="宋体" w:cs="宋体"/>
          <w:szCs w:val="24"/>
        </w:rPr>
        <w:t>7</w:t>
      </w:r>
      <w:r>
        <w:rPr>
          <w:rFonts w:hint="eastAsia" w:hAnsi="宋体" w:cs="宋体"/>
          <w:szCs w:val="24"/>
        </w:rPr>
        <w:t>开标结束：进入评审环节。供应商请保持在线，评审期间评标委员会可能会要求供应商做相应的澄清。因供应商擅自离席造成的不利后果，由供应商自行承担。</w:t>
      </w:r>
    </w:p>
    <w:p>
      <w:pPr>
        <w:spacing w:line="360" w:lineRule="auto"/>
        <w:ind w:firstLine="480" w:firstLineChars="200"/>
        <w:rPr>
          <w:rFonts w:hint="eastAsia" w:hAnsi="宋体" w:cs="宋体"/>
          <w:szCs w:val="24"/>
        </w:rPr>
      </w:pPr>
      <w:r>
        <w:rPr>
          <w:rFonts w:hint="eastAsia" w:hAnsi="宋体" w:cs="宋体"/>
          <w:szCs w:val="24"/>
        </w:rPr>
        <w:t>“不见面开标”系统操作说明：详见西安市公共资源交易平台〖首页·〉服务指南·〉下载专区〗中的《西安公共资源交易不见面开标大厅供应商操作手册》。</w:t>
      </w:r>
    </w:p>
    <w:p>
      <w:pPr>
        <w:spacing w:line="360" w:lineRule="auto"/>
        <w:ind w:firstLine="480" w:firstLineChars="200"/>
        <w:jc w:val="left"/>
        <w:rPr>
          <w:rFonts w:hint="eastAsia" w:hAnsi="宋体" w:cs="宋体"/>
          <w:szCs w:val="24"/>
        </w:rPr>
      </w:pPr>
      <w:r>
        <w:rPr>
          <w:rFonts w:hint="eastAsia" w:hAnsi="宋体" w:cs="宋体"/>
          <w:szCs w:val="24"/>
        </w:rPr>
        <w:t>链接地址：</w:t>
      </w:r>
      <w:r>
        <w:fldChar w:fldCharType="begin"/>
      </w:r>
      <w:r>
        <w:instrText xml:space="preserve"> HYPERLINK "http://sxggzyjy.xa.gov.cn/fwzn/004003/20200426/bc8b2c1e-abe2-4168-913c-68ff93345faf.html" </w:instrText>
      </w:r>
      <w:r>
        <w:fldChar w:fldCharType="separate"/>
      </w:r>
      <w:r>
        <w:rPr>
          <w:rFonts w:hint="eastAsia" w:hAnsi="宋体" w:cs="宋体"/>
          <w:szCs w:val="24"/>
        </w:rPr>
        <w:t>http：//sxggzyjy.xa.gov.cn/fwzn/004003/20200426/bc8b2c1e-abe2-4168-913c-68ff93345faf.html</w:t>
      </w:r>
      <w:r>
        <w:rPr>
          <w:rFonts w:hint="eastAsia" w:hAnsi="宋体" w:cs="宋体"/>
          <w:szCs w:val="24"/>
        </w:rPr>
        <w:fldChar w:fldCharType="end"/>
      </w:r>
    </w:p>
    <w:p>
      <w:pPr>
        <w:spacing w:line="360" w:lineRule="auto"/>
        <w:outlineLvl w:val="1"/>
        <w:rPr>
          <w:rFonts w:hint="eastAsia" w:hAnsi="宋体" w:cs="宋体"/>
          <w:b/>
          <w:szCs w:val="24"/>
        </w:rPr>
      </w:pPr>
      <w:bookmarkStart w:id="83" w:name="_Toc26976"/>
      <w:bookmarkStart w:id="84" w:name="_Toc8618"/>
      <w:r>
        <w:rPr>
          <w:rFonts w:hint="eastAsia" w:hAnsi="宋体" w:cs="宋体"/>
          <w:b/>
          <w:szCs w:val="24"/>
        </w:rPr>
        <w:t>22.开标环节投标文件视为无效的情形</w:t>
      </w:r>
      <w:bookmarkEnd w:id="83"/>
      <w:bookmarkEnd w:id="84"/>
    </w:p>
    <w:p>
      <w:pPr>
        <w:spacing w:line="360" w:lineRule="auto"/>
        <w:ind w:firstLine="480" w:firstLineChars="200"/>
        <w:outlineLvl w:val="2"/>
        <w:rPr>
          <w:rFonts w:hint="eastAsia" w:hAnsi="宋体" w:cs="宋体"/>
          <w:szCs w:val="24"/>
        </w:rPr>
      </w:pPr>
      <w:r>
        <w:rPr>
          <w:rFonts w:hint="eastAsia" w:hAnsi="宋体" w:cs="宋体"/>
          <w:szCs w:val="24"/>
        </w:rPr>
        <w:t>22.1供应商放弃或拒绝对电子投标文件进行解密的；</w:t>
      </w:r>
    </w:p>
    <w:p>
      <w:pPr>
        <w:spacing w:line="360" w:lineRule="auto"/>
        <w:ind w:firstLine="480" w:firstLineChars="200"/>
        <w:rPr>
          <w:rFonts w:hint="eastAsia" w:hAnsi="宋体" w:cs="宋体"/>
          <w:szCs w:val="24"/>
        </w:rPr>
      </w:pPr>
      <w:r>
        <w:rPr>
          <w:rFonts w:hint="eastAsia" w:hAnsi="宋体" w:cs="宋体"/>
          <w:szCs w:val="24"/>
        </w:rPr>
        <w:t>22.2因供应商自身原因，导致未在规定的解密时限内完整解密的，如忘带CA锁、或携带的CA锁与加密文件的CA锁不同、或使用旧版招标文件编制投标文件等情形；</w:t>
      </w:r>
    </w:p>
    <w:p>
      <w:pPr>
        <w:spacing w:line="360" w:lineRule="auto"/>
        <w:ind w:firstLine="480" w:firstLineChars="200"/>
        <w:rPr>
          <w:rFonts w:hint="eastAsia" w:hAnsi="宋体" w:cs="宋体"/>
          <w:szCs w:val="24"/>
        </w:rPr>
      </w:pPr>
      <w:r>
        <w:rPr>
          <w:rFonts w:hint="eastAsia" w:hAnsi="宋体" w:cs="宋体"/>
          <w:szCs w:val="24"/>
        </w:rPr>
        <w:t>22.3上传的电子投标文件无法正常打开的；</w:t>
      </w:r>
    </w:p>
    <w:p>
      <w:pPr>
        <w:spacing w:line="360" w:lineRule="auto"/>
        <w:ind w:firstLine="480" w:firstLineChars="200"/>
        <w:rPr>
          <w:rFonts w:hint="eastAsia" w:hAnsi="宋体" w:cs="宋体"/>
          <w:szCs w:val="24"/>
        </w:rPr>
      </w:pPr>
      <w:r>
        <w:rPr>
          <w:rFonts w:hint="eastAsia" w:hAnsi="宋体" w:cs="宋体"/>
          <w:szCs w:val="24"/>
        </w:rPr>
        <w:t>22.4政府采购法律法规规定的其他无效情形。</w:t>
      </w:r>
    </w:p>
    <w:p>
      <w:pPr>
        <w:spacing w:line="360" w:lineRule="auto"/>
        <w:outlineLvl w:val="1"/>
        <w:rPr>
          <w:rFonts w:hint="eastAsia" w:hAnsi="宋体" w:cs="宋体"/>
          <w:b/>
          <w:szCs w:val="24"/>
        </w:rPr>
      </w:pPr>
      <w:bookmarkStart w:id="85" w:name="_Toc3344"/>
      <w:bookmarkStart w:id="86" w:name="_Toc20349"/>
      <w:r>
        <w:rPr>
          <w:rFonts w:hint="eastAsia" w:hAnsi="宋体" w:cs="宋体"/>
          <w:b/>
          <w:szCs w:val="24"/>
        </w:rPr>
        <w:t>23.突发状况的应急处置</w:t>
      </w:r>
      <w:bookmarkEnd w:id="85"/>
      <w:bookmarkEnd w:id="86"/>
    </w:p>
    <w:p>
      <w:pPr>
        <w:spacing w:line="360" w:lineRule="auto"/>
        <w:ind w:firstLine="480" w:firstLineChars="200"/>
        <w:rPr>
          <w:rFonts w:hint="eastAsia" w:hAnsi="宋体" w:cs="宋体"/>
          <w:szCs w:val="24"/>
        </w:rPr>
      </w:pPr>
      <w:r>
        <w:rPr>
          <w:rFonts w:hint="eastAsia" w:hAnsi="宋体" w:cs="宋体"/>
          <w:szCs w:val="24"/>
        </w:rPr>
        <w:t>在开评标过程中，如因停电、断网、电子化系统故障等特殊原因导致电子化开、评标工作无法正常进行时，采购代理机构将及时汇报政府采购监管部门，并等待或中止后续活动。</w:t>
      </w:r>
    </w:p>
    <w:p>
      <w:pPr>
        <w:spacing w:line="360" w:lineRule="auto"/>
        <w:outlineLvl w:val="1"/>
        <w:rPr>
          <w:rFonts w:hint="eastAsia" w:hAnsi="宋体" w:cs="宋体"/>
          <w:b/>
          <w:szCs w:val="24"/>
        </w:rPr>
      </w:pPr>
      <w:bookmarkStart w:id="87" w:name="_Toc5452"/>
      <w:bookmarkStart w:id="88" w:name="_Toc7348"/>
      <w:r>
        <w:rPr>
          <w:rFonts w:hint="eastAsia" w:hAnsi="宋体" w:cs="宋体"/>
          <w:b/>
          <w:szCs w:val="24"/>
        </w:rPr>
        <w:t>24.评标组织及评标原则</w:t>
      </w:r>
      <w:bookmarkEnd w:id="87"/>
      <w:bookmarkEnd w:id="88"/>
    </w:p>
    <w:p>
      <w:pPr>
        <w:spacing w:line="360" w:lineRule="auto"/>
        <w:ind w:firstLine="480" w:firstLineChars="200"/>
        <w:rPr>
          <w:rFonts w:hint="eastAsia" w:hAnsi="宋体" w:cs="宋体"/>
          <w:szCs w:val="24"/>
        </w:rPr>
      </w:pPr>
      <w:r>
        <w:rPr>
          <w:rFonts w:hint="eastAsia" w:hAnsi="宋体" w:cs="宋体"/>
          <w:szCs w:val="24"/>
        </w:rPr>
        <w:t>24.</w:t>
      </w:r>
      <w:r>
        <w:rPr>
          <w:rFonts w:hAnsi="宋体" w:cs="宋体"/>
          <w:szCs w:val="24"/>
        </w:rPr>
        <w:t>1</w:t>
      </w:r>
      <w:r>
        <w:rPr>
          <w:rFonts w:hint="eastAsia" w:hAnsi="宋体" w:cs="宋体"/>
          <w:szCs w:val="24"/>
        </w:rPr>
        <w:t>按照《中华人民共和国政府采购法》及实施条例和中华人民共和国财政部令第87号--《政府采购货物和服务招标投标管理办法》的规定，依法组建评标委员会。评标委员会由采购人代表和评审专家组成，成员人数为5人以上单数，采购人代表须持有授权书。专家人选在省级财政部门设立的政府采购评审专家库中随机抽取，评标委员会按照招标文件规定的评标方法独立进行评标工作。</w:t>
      </w:r>
    </w:p>
    <w:p>
      <w:pPr>
        <w:spacing w:line="360" w:lineRule="auto"/>
        <w:ind w:firstLine="480" w:firstLineChars="200"/>
        <w:outlineLvl w:val="2"/>
        <w:rPr>
          <w:rFonts w:hint="eastAsia" w:hAnsi="宋体" w:cs="宋体"/>
          <w:szCs w:val="24"/>
        </w:rPr>
      </w:pPr>
      <w:r>
        <w:rPr>
          <w:rFonts w:hint="eastAsia" w:hAnsi="宋体" w:cs="宋体"/>
          <w:szCs w:val="24"/>
        </w:rPr>
        <w:t>24.2评标委员会负责具体评标事务，并独立履行下列职责：</w:t>
      </w:r>
    </w:p>
    <w:p>
      <w:pPr>
        <w:spacing w:line="360" w:lineRule="auto"/>
        <w:ind w:firstLine="480" w:firstLineChars="200"/>
        <w:rPr>
          <w:rFonts w:hint="eastAsia" w:hAnsi="宋体" w:cs="宋体"/>
          <w:szCs w:val="24"/>
        </w:rPr>
      </w:pPr>
      <w:r>
        <w:rPr>
          <w:rFonts w:hint="eastAsia" w:hAnsi="宋体" w:cs="宋体"/>
          <w:szCs w:val="24"/>
        </w:rPr>
        <w:t>（1）审查、评价投标文件是否符合招标文件的商务、技术、服务等实质性要求；</w:t>
      </w:r>
    </w:p>
    <w:p>
      <w:pPr>
        <w:spacing w:line="360" w:lineRule="auto"/>
        <w:ind w:firstLine="480" w:firstLineChars="200"/>
        <w:rPr>
          <w:rFonts w:hint="eastAsia" w:hAnsi="宋体" w:cs="宋体"/>
          <w:szCs w:val="24"/>
        </w:rPr>
      </w:pPr>
      <w:r>
        <w:rPr>
          <w:rFonts w:hint="eastAsia" w:hAnsi="宋体" w:cs="宋体"/>
          <w:szCs w:val="24"/>
        </w:rPr>
        <w:t>（2）要求供应商对投标文件有关事项作出澄清或者说明；</w:t>
      </w:r>
    </w:p>
    <w:p>
      <w:pPr>
        <w:spacing w:line="360" w:lineRule="auto"/>
        <w:ind w:firstLine="480" w:firstLineChars="200"/>
        <w:rPr>
          <w:rFonts w:hint="eastAsia" w:hAnsi="宋体" w:cs="宋体"/>
          <w:szCs w:val="24"/>
        </w:rPr>
      </w:pPr>
      <w:r>
        <w:rPr>
          <w:rFonts w:hint="eastAsia" w:hAnsi="宋体" w:cs="宋体"/>
          <w:szCs w:val="24"/>
        </w:rPr>
        <w:t>（3）对投标文件进行比较和评价；</w:t>
      </w:r>
    </w:p>
    <w:p>
      <w:pPr>
        <w:spacing w:line="360" w:lineRule="auto"/>
        <w:ind w:firstLine="480" w:firstLineChars="200"/>
        <w:rPr>
          <w:rFonts w:hint="eastAsia" w:hAnsi="宋体" w:cs="宋体"/>
          <w:szCs w:val="24"/>
        </w:rPr>
      </w:pPr>
      <w:r>
        <w:rPr>
          <w:rFonts w:hint="eastAsia" w:hAnsi="宋体" w:cs="宋体"/>
          <w:szCs w:val="24"/>
        </w:rPr>
        <w:t>（4）确定中标候选人名单，以及根据采购人委托直接确定中标人；</w:t>
      </w:r>
    </w:p>
    <w:p>
      <w:pPr>
        <w:spacing w:line="360" w:lineRule="auto"/>
        <w:ind w:firstLine="480" w:firstLineChars="200"/>
        <w:rPr>
          <w:rFonts w:hint="eastAsia" w:hAnsi="宋体" w:cs="宋体"/>
          <w:szCs w:val="24"/>
        </w:rPr>
      </w:pPr>
      <w:r>
        <w:rPr>
          <w:rFonts w:hint="eastAsia" w:hAnsi="宋体" w:cs="宋体"/>
          <w:szCs w:val="24"/>
        </w:rPr>
        <w:t>（5）向采购人、采购代理机构或者有关部门报告评标中发现的违法行为。</w:t>
      </w:r>
    </w:p>
    <w:p>
      <w:pPr>
        <w:spacing w:line="360" w:lineRule="auto"/>
        <w:ind w:firstLine="480" w:firstLineChars="200"/>
        <w:outlineLvl w:val="2"/>
        <w:rPr>
          <w:rFonts w:hint="eastAsia" w:hAnsi="宋体" w:cs="宋体"/>
          <w:szCs w:val="24"/>
        </w:rPr>
      </w:pPr>
      <w:r>
        <w:rPr>
          <w:rFonts w:hint="eastAsia" w:hAnsi="宋体" w:cs="宋体"/>
          <w:szCs w:val="24"/>
        </w:rPr>
        <w:t>24.3采购代理机构负责组织评标工作并履行下列职责：</w:t>
      </w:r>
    </w:p>
    <w:p>
      <w:pPr>
        <w:spacing w:line="360" w:lineRule="auto"/>
        <w:ind w:firstLine="480" w:firstLineChars="200"/>
        <w:rPr>
          <w:rFonts w:hint="eastAsia" w:hAnsi="宋体" w:cs="宋体"/>
          <w:szCs w:val="24"/>
        </w:rPr>
      </w:pPr>
      <w:r>
        <w:rPr>
          <w:rFonts w:hint="eastAsia" w:hAnsi="宋体" w:cs="宋体"/>
          <w:szCs w:val="24"/>
        </w:rPr>
        <w:t>（1）核对评审专家身份和采购人代表授权函，对评审专家在政府采购活动中的职责履行情况予以记录，并及时将有关违法违规行为向财政部门报告；</w:t>
      </w:r>
    </w:p>
    <w:p>
      <w:pPr>
        <w:spacing w:line="360" w:lineRule="auto"/>
        <w:ind w:firstLine="480" w:firstLineChars="200"/>
        <w:rPr>
          <w:rFonts w:hint="eastAsia" w:hAnsi="宋体" w:cs="宋体"/>
          <w:szCs w:val="24"/>
        </w:rPr>
      </w:pPr>
      <w:r>
        <w:rPr>
          <w:rFonts w:hint="eastAsia" w:hAnsi="宋体" w:cs="宋体"/>
          <w:szCs w:val="24"/>
        </w:rPr>
        <w:t>（2）宣布评标纪律；</w:t>
      </w:r>
    </w:p>
    <w:p>
      <w:pPr>
        <w:spacing w:line="360" w:lineRule="auto"/>
        <w:ind w:firstLine="480" w:firstLineChars="200"/>
        <w:rPr>
          <w:rFonts w:hint="eastAsia" w:hAnsi="宋体" w:cs="宋体"/>
          <w:szCs w:val="24"/>
        </w:rPr>
      </w:pPr>
      <w:r>
        <w:rPr>
          <w:rFonts w:hint="eastAsia" w:hAnsi="宋体" w:cs="宋体"/>
          <w:szCs w:val="24"/>
        </w:rPr>
        <w:t>（3）公布供应商名单，告知评标专家应当回避的情形；</w:t>
      </w:r>
    </w:p>
    <w:p>
      <w:pPr>
        <w:spacing w:line="360" w:lineRule="auto"/>
        <w:ind w:firstLine="480" w:firstLineChars="200"/>
        <w:rPr>
          <w:rFonts w:hint="eastAsia" w:hAnsi="宋体" w:cs="宋体"/>
          <w:szCs w:val="24"/>
        </w:rPr>
      </w:pPr>
      <w:r>
        <w:rPr>
          <w:rFonts w:hint="eastAsia" w:hAnsi="宋体" w:cs="宋体"/>
          <w:szCs w:val="24"/>
        </w:rPr>
        <w:t>（4）组织评标委员会推选评标组长，采购人代表不得担任组长；</w:t>
      </w:r>
    </w:p>
    <w:p>
      <w:pPr>
        <w:spacing w:line="360" w:lineRule="auto"/>
        <w:ind w:firstLine="480" w:firstLineChars="200"/>
        <w:rPr>
          <w:rFonts w:hint="eastAsia" w:hAnsi="宋体" w:cs="宋体"/>
          <w:szCs w:val="24"/>
        </w:rPr>
      </w:pPr>
      <w:r>
        <w:rPr>
          <w:rFonts w:hint="eastAsia" w:hAnsi="宋体" w:cs="宋体"/>
          <w:szCs w:val="24"/>
        </w:rPr>
        <w:t>（5）在评标期间采取必要的通讯管理措施，保证评标活动不受外界干扰；</w:t>
      </w:r>
    </w:p>
    <w:p>
      <w:pPr>
        <w:spacing w:line="360" w:lineRule="auto"/>
        <w:ind w:firstLine="480" w:firstLineChars="200"/>
        <w:rPr>
          <w:rFonts w:hint="eastAsia" w:hAnsi="宋体" w:cs="宋体"/>
          <w:szCs w:val="24"/>
        </w:rPr>
      </w:pPr>
      <w:r>
        <w:rPr>
          <w:rFonts w:hint="eastAsia" w:hAnsi="宋体" w:cs="宋体"/>
          <w:szCs w:val="24"/>
        </w:rPr>
        <w:t>（6）根据评标委员会的要求介绍政府采购相关政策法规、招标文件；</w:t>
      </w:r>
    </w:p>
    <w:p>
      <w:pPr>
        <w:spacing w:line="360" w:lineRule="auto"/>
        <w:ind w:firstLine="480" w:firstLineChars="200"/>
        <w:rPr>
          <w:rFonts w:hint="eastAsia" w:hAnsi="宋体" w:cs="宋体"/>
          <w:szCs w:val="24"/>
        </w:rPr>
      </w:pPr>
      <w:r>
        <w:rPr>
          <w:rFonts w:hint="eastAsia" w:hAnsi="宋体" w:cs="宋体"/>
          <w:szCs w:val="24"/>
        </w:rPr>
        <w:t>（7）维护评标秩序，监督评标委员会依照评标文件规定的评审程序、方法和标准进行独立评审，及时制止和纠正采购人代表、评审专家的倾向性言论或违法违规行为；</w:t>
      </w:r>
    </w:p>
    <w:p>
      <w:pPr>
        <w:spacing w:line="360" w:lineRule="auto"/>
        <w:ind w:firstLine="480" w:firstLineChars="200"/>
        <w:rPr>
          <w:rFonts w:hint="eastAsia" w:hAnsi="宋体" w:cs="宋体"/>
          <w:szCs w:val="24"/>
        </w:rPr>
      </w:pPr>
      <w:r>
        <w:rPr>
          <w:rFonts w:hint="eastAsia" w:hAnsi="宋体" w:cs="宋体"/>
          <w:szCs w:val="24"/>
        </w:rPr>
        <w:t>（8）核对评标结果，有《政府采购货物和服务招标投标管理办法》第六十四条规定情形的，要求评标委员会复核或书面说明理由，评标委员会拒绝的，应予记录并向本级财政部门报告；</w:t>
      </w:r>
    </w:p>
    <w:p>
      <w:pPr>
        <w:spacing w:line="360" w:lineRule="auto"/>
        <w:ind w:firstLine="480" w:firstLineChars="200"/>
        <w:rPr>
          <w:rFonts w:hint="eastAsia" w:hAnsi="宋体" w:cs="宋体"/>
          <w:szCs w:val="24"/>
        </w:rPr>
      </w:pPr>
      <w:r>
        <w:rPr>
          <w:rFonts w:hint="eastAsia" w:hAnsi="宋体" w:cs="宋体"/>
          <w:szCs w:val="24"/>
        </w:rPr>
        <w:t>（9）评审工作完成后，按照规定向评审专家支付劳务报酬和异地评审差旅费；</w:t>
      </w:r>
    </w:p>
    <w:p>
      <w:pPr>
        <w:spacing w:line="360" w:lineRule="auto"/>
        <w:ind w:firstLine="480" w:firstLineChars="200"/>
        <w:outlineLvl w:val="3"/>
        <w:rPr>
          <w:rFonts w:hint="eastAsia" w:hAnsi="宋体" w:cs="宋体"/>
          <w:szCs w:val="24"/>
        </w:rPr>
      </w:pPr>
      <w:r>
        <w:rPr>
          <w:rFonts w:hint="eastAsia" w:hAnsi="宋体" w:cs="宋体"/>
          <w:szCs w:val="24"/>
        </w:rPr>
        <w:t>（10）处理与评标有关的其他事项。</w:t>
      </w:r>
    </w:p>
    <w:p>
      <w:pPr>
        <w:spacing w:line="360" w:lineRule="auto"/>
        <w:ind w:firstLine="480" w:firstLineChars="200"/>
        <w:rPr>
          <w:rFonts w:hint="eastAsia" w:hAnsi="宋体" w:cs="宋体"/>
          <w:szCs w:val="24"/>
        </w:rPr>
      </w:pPr>
      <w:r>
        <w:rPr>
          <w:rFonts w:hint="eastAsia" w:hAnsi="宋体" w:cs="宋体"/>
          <w:szCs w:val="24"/>
        </w:rPr>
        <w:t>24.4招标文件和投标文件是评标的依据。在评标中，不得改变招标文件中规定的评标标准、方法和中标条件。供应商不得在开标后使用任何方式对投标文件的实质性内容做任何更改。</w:t>
      </w:r>
    </w:p>
    <w:p>
      <w:pPr>
        <w:spacing w:line="360" w:lineRule="auto"/>
        <w:ind w:firstLine="480" w:firstLineChars="200"/>
        <w:rPr>
          <w:rFonts w:hint="eastAsia" w:hAnsi="宋体" w:cs="宋体"/>
          <w:szCs w:val="24"/>
        </w:rPr>
      </w:pPr>
      <w:r>
        <w:rPr>
          <w:rFonts w:hint="eastAsia" w:hAnsi="宋体" w:cs="宋体"/>
          <w:szCs w:val="24"/>
        </w:rPr>
        <w:t>24.5在评标期间，对投标文件中含义不明确、同类问题表述不一致或者有明显文字和计算错误的内容，评标委员会可以书面形式</w:t>
      </w:r>
      <w:r>
        <w:rPr>
          <w:rFonts w:hint="eastAsia" w:hAnsi="宋体" w:cs="宋体"/>
        </w:rPr>
        <w:t>（由评标委员会专家签字）</w:t>
      </w:r>
      <w:r>
        <w:rPr>
          <w:rFonts w:hint="eastAsia" w:hAnsi="宋体" w:cs="宋体"/>
          <w:szCs w:val="24"/>
        </w:rPr>
        <w:t>要求供应商作出必要的澄清、说明或者纠正。供应商的澄清、说明或者补正应当采用书面形式，由其授权的代表签字，并不得超出投标文件的范围或者改变投标文件的实质性内容。</w:t>
      </w:r>
    </w:p>
    <w:p>
      <w:pPr>
        <w:spacing w:line="360" w:lineRule="auto"/>
        <w:ind w:firstLine="480" w:firstLineChars="200"/>
        <w:rPr>
          <w:rFonts w:hint="eastAsia" w:hAnsi="宋体" w:cs="宋体"/>
          <w:szCs w:val="24"/>
        </w:rPr>
      </w:pPr>
      <w:r>
        <w:rPr>
          <w:rFonts w:hint="eastAsia" w:hAnsi="宋体" w:cs="宋体"/>
          <w:szCs w:val="24"/>
        </w:rPr>
        <w:t>24.6如果供应商在澄清规定期限内，未能答复或拒绝答复评委会提出的澄清要求，将由评委会根据其投标文件按最大风险进行评标。</w:t>
      </w:r>
    </w:p>
    <w:p>
      <w:pPr>
        <w:spacing w:line="360" w:lineRule="auto"/>
        <w:ind w:firstLine="480" w:firstLineChars="200"/>
        <w:outlineLvl w:val="2"/>
        <w:rPr>
          <w:rFonts w:hint="eastAsia" w:hAnsi="宋体" w:cs="宋体"/>
          <w:szCs w:val="24"/>
        </w:rPr>
      </w:pPr>
      <w:r>
        <w:rPr>
          <w:rFonts w:hint="eastAsia" w:hAnsi="宋体" w:cs="宋体"/>
          <w:szCs w:val="24"/>
        </w:rPr>
        <w:t>24.7投标文件的初审（含资格性、符合性审查）</w:t>
      </w:r>
    </w:p>
    <w:p>
      <w:pPr>
        <w:spacing w:line="360" w:lineRule="auto"/>
        <w:ind w:firstLine="480" w:firstLineChars="200"/>
        <w:rPr>
          <w:rFonts w:hint="eastAsia" w:hAnsi="宋体" w:cs="宋体"/>
          <w:szCs w:val="24"/>
        </w:rPr>
      </w:pPr>
      <w:r>
        <w:rPr>
          <w:rFonts w:hint="eastAsia" w:hAnsi="宋体" w:cs="宋体"/>
          <w:szCs w:val="24"/>
        </w:rPr>
        <w:t>24.7.1采购人或采购代理机构将审查资格证明文件是否合格齐全，评标委员会审查投标文件是否完整等。</w:t>
      </w:r>
    </w:p>
    <w:p>
      <w:pPr>
        <w:spacing w:line="360" w:lineRule="auto"/>
        <w:ind w:firstLine="480" w:firstLineChars="200"/>
        <w:outlineLvl w:val="3"/>
        <w:rPr>
          <w:rFonts w:hint="eastAsia" w:hAnsi="宋体" w:cs="宋体"/>
          <w:szCs w:val="24"/>
        </w:rPr>
      </w:pPr>
      <w:r>
        <w:rPr>
          <w:rFonts w:hint="eastAsia" w:hAnsi="宋体" w:cs="宋体"/>
          <w:szCs w:val="24"/>
        </w:rPr>
        <w:t>24.7.2投标文件报价出现前后不一致的，按照下列规定修正：</w:t>
      </w:r>
    </w:p>
    <w:p>
      <w:pPr>
        <w:numPr>
          <w:ilvl w:val="0"/>
          <w:numId w:val="7"/>
        </w:numPr>
        <w:spacing w:line="360" w:lineRule="auto"/>
        <w:ind w:firstLine="480" w:firstLineChars="200"/>
        <w:rPr>
          <w:rFonts w:hint="eastAsia" w:hAnsi="宋体" w:cs="宋体"/>
          <w:szCs w:val="24"/>
        </w:rPr>
      </w:pPr>
      <w:r>
        <w:rPr>
          <w:rFonts w:hint="eastAsia" w:hAnsi="宋体" w:cs="宋体"/>
          <w:szCs w:val="24"/>
        </w:rPr>
        <w:t>投标文件中开标一览表(报价表)内容与投标文件中相应内容不一致的，以投标文件中开标一览表(报价表)内容为准；</w:t>
      </w:r>
    </w:p>
    <w:p>
      <w:pPr>
        <w:numPr>
          <w:ilvl w:val="0"/>
          <w:numId w:val="7"/>
        </w:numPr>
        <w:spacing w:line="360" w:lineRule="auto"/>
        <w:ind w:firstLine="480" w:firstLineChars="200"/>
        <w:outlineLvl w:val="4"/>
        <w:rPr>
          <w:rFonts w:hint="eastAsia" w:hAnsi="宋体" w:cs="宋体"/>
          <w:szCs w:val="24"/>
        </w:rPr>
      </w:pPr>
      <w:r>
        <w:rPr>
          <w:rFonts w:hint="eastAsia" w:hAnsi="宋体" w:cs="宋体"/>
          <w:szCs w:val="24"/>
        </w:rPr>
        <w:t>投标文件的大写金额和小写金额不一致的，以大写金额为准；</w:t>
      </w:r>
    </w:p>
    <w:p>
      <w:pPr>
        <w:numPr>
          <w:ilvl w:val="0"/>
          <w:numId w:val="7"/>
        </w:numPr>
        <w:spacing w:line="360" w:lineRule="auto"/>
        <w:ind w:firstLine="480" w:firstLineChars="200"/>
        <w:rPr>
          <w:rFonts w:hint="eastAsia" w:hAnsi="宋体" w:cs="宋体"/>
          <w:szCs w:val="24"/>
        </w:rPr>
      </w:pPr>
      <w:r>
        <w:rPr>
          <w:rFonts w:hint="eastAsia" w:hAnsi="宋体" w:cs="宋体"/>
          <w:szCs w:val="24"/>
        </w:rPr>
        <w:t>单价金额小数点或者百分比有明显错位的，以投标文件中的开标一览表的总价为准，并修改单价；</w:t>
      </w:r>
    </w:p>
    <w:p>
      <w:pPr>
        <w:numPr>
          <w:ilvl w:val="0"/>
          <w:numId w:val="7"/>
        </w:numPr>
        <w:spacing w:line="360" w:lineRule="auto"/>
        <w:ind w:firstLine="480" w:firstLineChars="200"/>
        <w:rPr>
          <w:rFonts w:hint="eastAsia" w:hAnsi="宋体" w:cs="宋体"/>
          <w:szCs w:val="24"/>
        </w:rPr>
      </w:pPr>
      <w:r>
        <w:rPr>
          <w:rFonts w:hint="eastAsia" w:hAnsi="宋体" w:cs="宋体"/>
          <w:szCs w:val="24"/>
        </w:rPr>
        <w:t>总价金额与按单价汇总金额不一致的，以单价金额计算结果为准。</w:t>
      </w:r>
    </w:p>
    <w:p>
      <w:pPr>
        <w:widowControl/>
        <w:autoSpaceDE w:val="0"/>
        <w:autoSpaceDN w:val="0"/>
        <w:spacing w:line="360" w:lineRule="auto"/>
        <w:ind w:right="51" w:firstLine="482" w:firstLineChars="200"/>
        <w:textAlignment w:val="bottom"/>
        <w:rPr>
          <w:rFonts w:hint="eastAsia" w:hAnsi="宋体" w:cs="宋体"/>
          <w:szCs w:val="24"/>
        </w:rPr>
      </w:pPr>
      <w:r>
        <w:rPr>
          <w:rFonts w:hint="eastAsia" w:hAnsi="宋体" w:cs="宋体"/>
          <w:b/>
        </w:rPr>
        <w:t>按上述修正的顺序和方法调整的投标报价应对供应商具有约束力。如果供应商不接受修正后的价格，其投标将按无效投标处理。</w:t>
      </w:r>
    </w:p>
    <w:p>
      <w:pPr>
        <w:spacing w:line="360" w:lineRule="auto"/>
        <w:ind w:firstLine="480" w:firstLineChars="200"/>
        <w:rPr>
          <w:rFonts w:hint="eastAsia" w:hAnsi="宋体" w:cs="宋体"/>
          <w:szCs w:val="24"/>
        </w:rPr>
      </w:pPr>
      <w:r>
        <w:rPr>
          <w:rFonts w:hint="eastAsia" w:hAnsi="宋体" w:cs="宋体"/>
          <w:szCs w:val="24"/>
        </w:rPr>
        <w:t>24.7.3在详细评标之前，根据本须知第23.7.4条的规定，评标委员会要审查每份投标文件是否实质上响应了招标文件的要求。对关键条文的偏离、保留或反对将被认为是实质上的偏离。评标委员会决定投标的响应性只根据投标文件本身的内容，而不寻求外部的证据。</w:t>
      </w:r>
    </w:p>
    <w:p>
      <w:pPr>
        <w:spacing w:line="360" w:lineRule="auto"/>
        <w:ind w:firstLine="482" w:firstLineChars="200"/>
        <w:rPr>
          <w:rFonts w:hint="eastAsia" w:hAnsi="宋体" w:cs="宋体"/>
          <w:b/>
          <w:bCs/>
          <w:szCs w:val="24"/>
        </w:rPr>
      </w:pPr>
      <w:r>
        <w:rPr>
          <w:rFonts w:hint="eastAsia" w:hAnsi="宋体" w:cs="宋体"/>
          <w:b/>
          <w:bCs/>
          <w:szCs w:val="24"/>
        </w:rPr>
        <w:t>24.7.4实质上没有响应招标文件要求的投标将按无效投标处理。供应商不得通过修正或撤销不合要求的偏离从而使其投标成为实质性响应的投标。如发现下列情况之一的，其投标将构成非实质性响应，按无效投标处理：</w:t>
      </w:r>
    </w:p>
    <w:p>
      <w:pPr>
        <w:tabs>
          <w:tab w:val="left" w:pos="1260"/>
        </w:tabs>
        <w:spacing w:line="360" w:lineRule="auto"/>
        <w:ind w:firstLine="480" w:firstLineChars="200"/>
        <w:rPr>
          <w:rFonts w:hint="eastAsia" w:hAnsi="宋体" w:cs="宋体"/>
          <w:szCs w:val="24"/>
        </w:rPr>
      </w:pPr>
      <w:r>
        <w:rPr>
          <w:rFonts w:hint="eastAsia" w:hAnsi="宋体" w:cs="宋体"/>
          <w:szCs w:val="24"/>
        </w:rPr>
        <w:t>1）没有按照招标文件要求提供投标文件或投标文件构成有重大缺项；</w:t>
      </w:r>
    </w:p>
    <w:p>
      <w:pPr>
        <w:kinsoku w:val="0"/>
        <w:spacing w:line="360" w:lineRule="auto"/>
        <w:ind w:firstLine="480" w:firstLineChars="200"/>
        <w:rPr>
          <w:rFonts w:hint="eastAsia" w:hAnsi="宋体" w:cs="宋体"/>
          <w:spacing w:val="-6"/>
        </w:rPr>
      </w:pPr>
      <w:r>
        <w:rPr>
          <w:rFonts w:hint="eastAsia" w:hAnsi="宋体" w:cs="宋体"/>
        </w:rPr>
        <w:t>2）投标</w:t>
      </w:r>
      <w:r>
        <w:rPr>
          <w:rFonts w:hint="eastAsia" w:hAnsi="宋体" w:cs="宋体"/>
          <w:spacing w:val="-6"/>
        </w:rPr>
        <w:t>文件</w:t>
      </w:r>
      <w:r>
        <w:rPr>
          <w:rFonts w:hint="eastAsia" w:hAnsi="宋体" w:cs="宋体"/>
        </w:rPr>
        <w:t>未按招标文件要求签署、盖章的；</w:t>
      </w:r>
    </w:p>
    <w:p>
      <w:pPr>
        <w:tabs>
          <w:tab w:val="left" w:pos="1260"/>
        </w:tabs>
        <w:spacing w:line="360" w:lineRule="auto"/>
        <w:ind w:firstLine="480" w:firstLineChars="200"/>
        <w:rPr>
          <w:rFonts w:hAnsi="宋体" w:cs="宋体"/>
          <w:szCs w:val="24"/>
        </w:rPr>
      </w:pPr>
      <w:r>
        <w:rPr>
          <w:rFonts w:hint="eastAsia" w:hAnsi="宋体" w:cs="宋体"/>
          <w:szCs w:val="24"/>
        </w:rPr>
        <w:t>3）不具备招标文件中规定的资格要求的；</w:t>
      </w:r>
    </w:p>
    <w:p>
      <w:pPr>
        <w:tabs>
          <w:tab w:val="left" w:pos="1260"/>
        </w:tabs>
        <w:spacing w:line="360" w:lineRule="auto"/>
        <w:ind w:firstLine="480" w:firstLineChars="200"/>
        <w:rPr>
          <w:rFonts w:hint="eastAsia" w:hAnsi="宋体" w:cs="宋体"/>
          <w:szCs w:val="24"/>
        </w:rPr>
      </w:pPr>
      <w:r>
        <w:rPr>
          <w:rFonts w:hint="eastAsia" w:hAnsi="宋体" w:cs="宋体"/>
          <w:szCs w:val="24"/>
        </w:rPr>
        <w:t>4）</w:t>
      </w:r>
      <w:r>
        <w:rPr>
          <w:rFonts w:hint="eastAsia" w:hAnsi="宋体" w:cs="宋体"/>
          <w:spacing w:val="-6"/>
        </w:rPr>
        <w:t>无投标有效期或有效期达不到招标文件要求的</w:t>
      </w:r>
      <w:r>
        <w:rPr>
          <w:rFonts w:hint="eastAsia" w:hAnsi="宋体" w:cs="宋体"/>
          <w:szCs w:val="24"/>
        </w:rPr>
        <w:t>；</w:t>
      </w:r>
    </w:p>
    <w:p>
      <w:pPr>
        <w:tabs>
          <w:tab w:val="left" w:pos="1260"/>
        </w:tabs>
        <w:spacing w:line="360" w:lineRule="auto"/>
        <w:ind w:firstLine="480" w:firstLineChars="200"/>
        <w:rPr>
          <w:rFonts w:hint="eastAsia" w:hAnsi="宋体" w:cs="宋体"/>
          <w:szCs w:val="24"/>
        </w:rPr>
      </w:pPr>
      <w:r>
        <w:rPr>
          <w:rFonts w:hint="eastAsia" w:hAnsi="宋体" w:cs="宋体"/>
          <w:szCs w:val="24"/>
        </w:rPr>
        <w:t>5）供应商有串通投标、以他人名义投标、弄虚作假、行贿等违法行为的；</w:t>
      </w:r>
    </w:p>
    <w:p>
      <w:pPr>
        <w:spacing w:line="360" w:lineRule="auto"/>
        <w:ind w:firstLine="480" w:firstLineChars="200"/>
        <w:rPr>
          <w:rFonts w:hint="eastAsia" w:hAnsi="宋体" w:cs="宋体"/>
          <w:szCs w:val="24"/>
        </w:rPr>
      </w:pPr>
      <w:r>
        <w:rPr>
          <w:rFonts w:hint="eastAsia" w:hAnsi="宋体" w:cs="宋体"/>
          <w:szCs w:val="24"/>
        </w:rPr>
        <w:t>6）投标报价超过招标文件公布的采购预算的；</w:t>
      </w:r>
    </w:p>
    <w:p>
      <w:pPr>
        <w:pStyle w:val="42"/>
        <w:spacing w:before="0" w:beforeAutospacing="0" w:after="0" w:afterAutospacing="0" w:line="360" w:lineRule="auto"/>
        <w:ind w:firstLine="480" w:firstLineChars="200"/>
        <w:jc w:val="both"/>
        <w:rPr>
          <w:rFonts w:hint="eastAsia" w:cs="宋体"/>
        </w:rPr>
      </w:pPr>
      <w:r>
        <w:rPr>
          <w:rFonts w:hint="eastAsia" w:cs="宋体"/>
        </w:rPr>
        <w:t>7）投标文件含有采购人不能接受的附加条件的；</w:t>
      </w:r>
    </w:p>
    <w:p>
      <w:pPr>
        <w:pStyle w:val="42"/>
        <w:spacing w:before="0" w:beforeAutospacing="0" w:after="0" w:afterAutospacing="0" w:line="360" w:lineRule="auto"/>
        <w:ind w:firstLine="480" w:firstLineChars="200"/>
        <w:jc w:val="both"/>
        <w:rPr>
          <w:rFonts w:hint="eastAsia" w:cs="宋体"/>
        </w:rPr>
      </w:pPr>
      <w:r>
        <w:rPr>
          <w:rFonts w:hint="eastAsia" w:cs="宋体"/>
        </w:rPr>
        <w:t>8）供应商被列入失信被执行人、重大税收违法案件当事人名单、政府采购严重违法失信行为记录名单的；</w:t>
      </w:r>
    </w:p>
    <w:p>
      <w:pPr>
        <w:spacing w:line="360" w:lineRule="auto"/>
        <w:ind w:firstLine="480" w:firstLineChars="200"/>
        <w:rPr>
          <w:rFonts w:hint="eastAsia" w:hAnsi="宋体" w:cs="宋体"/>
          <w:szCs w:val="24"/>
        </w:rPr>
      </w:pPr>
      <w:r>
        <w:rPr>
          <w:rFonts w:hint="eastAsia" w:hAnsi="宋体" w:cs="宋体"/>
          <w:szCs w:val="24"/>
        </w:rPr>
        <w:t>9）法律、法规规定的其他无效情形。</w:t>
      </w:r>
    </w:p>
    <w:p>
      <w:pPr>
        <w:spacing w:line="360" w:lineRule="auto"/>
        <w:ind w:firstLine="480" w:firstLineChars="200"/>
        <w:outlineLvl w:val="2"/>
        <w:rPr>
          <w:rFonts w:hint="eastAsia" w:hAnsi="宋体" w:cs="宋体"/>
          <w:szCs w:val="24"/>
        </w:rPr>
      </w:pPr>
      <w:r>
        <w:rPr>
          <w:rFonts w:hint="eastAsia" w:hAnsi="宋体" w:cs="宋体"/>
          <w:szCs w:val="24"/>
        </w:rPr>
        <w:t>24.8投标文件的详细评审</w:t>
      </w:r>
    </w:p>
    <w:p>
      <w:pPr>
        <w:spacing w:line="360" w:lineRule="auto"/>
        <w:ind w:firstLine="480" w:firstLineChars="200"/>
        <w:rPr>
          <w:rFonts w:hint="eastAsia" w:hAnsi="宋体" w:cs="宋体"/>
          <w:szCs w:val="24"/>
        </w:rPr>
      </w:pPr>
      <w:r>
        <w:rPr>
          <w:rFonts w:hint="eastAsia" w:hAnsi="宋体" w:cs="宋体"/>
          <w:szCs w:val="24"/>
        </w:rPr>
        <w:t>24.8.1评标委员会将按照本须知规定，只对确定为实质性响应招标文件要求的投标进行详细评审。</w:t>
      </w:r>
    </w:p>
    <w:p>
      <w:pPr>
        <w:spacing w:line="360" w:lineRule="auto"/>
        <w:ind w:firstLine="480" w:firstLineChars="200"/>
        <w:outlineLvl w:val="3"/>
        <w:rPr>
          <w:rFonts w:hint="eastAsia" w:hAnsi="宋体" w:cs="宋体"/>
          <w:szCs w:val="24"/>
        </w:rPr>
      </w:pPr>
      <w:r>
        <w:rPr>
          <w:rFonts w:hint="eastAsia" w:hAnsi="宋体" w:cs="宋体"/>
          <w:szCs w:val="24"/>
        </w:rPr>
        <w:t>24.8.2详细评审按照第五章“评标方法”的评标方法进行。</w:t>
      </w:r>
    </w:p>
    <w:p>
      <w:pPr>
        <w:spacing w:line="360" w:lineRule="auto"/>
        <w:ind w:firstLine="480" w:firstLineChars="200"/>
        <w:outlineLvl w:val="2"/>
        <w:rPr>
          <w:rFonts w:hint="eastAsia" w:hAnsi="宋体" w:cs="宋体"/>
          <w:szCs w:val="24"/>
        </w:rPr>
      </w:pPr>
      <w:r>
        <w:rPr>
          <w:rFonts w:hint="eastAsia" w:hAnsi="宋体" w:cs="宋体"/>
          <w:szCs w:val="24"/>
        </w:rPr>
        <w:t>24.9中标候选人的确定</w:t>
      </w:r>
    </w:p>
    <w:p>
      <w:pPr>
        <w:spacing w:line="360" w:lineRule="auto"/>
        <w:ind w:firstLine="480" w:firstLineChars="200"/>
        <w:rPr>
          <w:rFonts w:hint="eastAsia" w:hAnsi="宋体" w:cs="宋体"/>
          <w:szCs w:val="24"/>
        </w:rPr>
      </w:pPr>
      <w:r>
        <w:rPr>
          <w:rFonts w:hint="eastAsia" w:hAnsi="宋体" w:cs="宋体"/>
          <w:szCs w:val="24"/>
        </w:rPr>
        <w:t>评标委员会完成评标后，向采购人提出书面评标报告，并推荐三名中标候选人，标明排列顺序。</w:t>
      </w:r>
    </w:p>
    <w:p>
      <w:pPr>
        <w:spacing w:line="360" w:lineRule="auto"/>
        <w:outlineLvl w:val="1"/>
        <w:rPr>
          <w:rFonts w:hint="eastAsia" w:hAnsi="宋体" w:cs="宋体"/>
          <w:b/>
          <w:szCs w:val="24"/>
        </w:rPr>
      </w:pPr>
      <w:bookmarkStart w:id="89" w:name="_Toc13550"/>
      <w:bookmarkStart w:id="90" w:name="_Toc10468"/>
      <w:r>
        <w:rPr>
          <w:rFonts w:hint="eastAsia" w:hAnsi="宋体" w:cs="宋体"/>
          <w:b/>
          <w:szCs w:val="24"/>
        </w:rPr>
        <w:t>25.评标过程的保密</w:t>
      </w:r>
      <w:bookmarkEnd w:id="89"/>
      <w:bookmarkEnd w:id="90"/>
    </w:p>
    <w:p>
      <w:pPr>
        <w:spacing w:line="360" w:lineRule="auto"/>
        <w:ind w:firstLine="480" w:firstLineChars="200"/>
        <w:rPr>
          <w:rFonts w:hint="eastAsia" w:hAnsi="宋体" w:cs="宋体"/>
          <w:szCs w:val="24"/>
        </w:rPr>
      </w:pPr>
      <w:r>
        <w:rPr>
          <w:rFonts w:hint="eastAsia" w:hAnsi="宋体" w:cs="宋体"/>
          <w:szCs w:val="24"/>
        </w:rPr>
        <w:t>25.1评标委员会成员和与评标活动有关的工作人员不得泄露有关投标文件的评审和比较、中标候选人的推荐以及与评标有关的其他情况。</w:t>
      </w:r>
    </w:p>
    <w:p>
      <w:pPr>
        <w:spacing w:line="360" w:lineRule="auto"/>
        <w:ind w:firstLine="480" w:firstLineChars="200"/>
        <w:rPr>
          <w:rFonts w:hint="eastAsia" w:hAnsi="宋体" w:cs="宋体"/>
          <w:szCs w:val="24"/>
        </w:rPr>
      </w:pPr>
      <w:r>
        <w:rPr>
          <w:rFonts w:hint="eastAsia" w:hAnsi="宋体" w:cs="宋体"/>
          <w:szCs w:val="24"/>
        </w:rPr>
        <w:t>25.2在评标过程中，如果供应商试图在投标文件的评审和比较、中标候选人的推荐以及与评标有关的其他方面，向评标人、采购人和采购代理机构施加任何影响，其投标应做无效投标处理。</w:t>
      </w:r>
    </w:p>
    <w:p>
      <w:pPr>
        <w:spacing w:line="360" w:lineRule="auto"/>
        <w:outlineLvl w:val="1"/>
        <w:rPr>
          <w:rFonts w:hint="eastAsia" w:hAnsi="宋体" w:cs="宋体"/>
          <w:b/>
          <w:szCs w:val="24"/>
        </w:rPr>
      </w:pPr>
      <w:bookmarkStart w:id="91" w:name="_Toc8401"/>
      <w:bookmarkStart w:id="92" w:name="_Toc5797"/>
      <w:r>
        <w:rPr>
          <w:rFonts w:hint="eastAsia" w:hAnsi="宋体" w:cs="宋体"/>
          <w:b/>
          <w:szCs w:val="24"/>
        </w:rPr>
        <w:t>26.评标方法</w:t>
      </w:r>
      <w:bookmarkEnd w:id="91"/>
      <w:bookmarkEnd w:id="92"/>
    </w:p>
    <w:p>
      <w:pPr>
        <w:spacing w:line="360" w:lineRule="auto"/>
        <w:ind w:firstLine="480" w:firstLineChars="200"/>
        <w:rPr>
          <w:rFonts w:hint="eastAsia" w:hAnsi="宋体" w:cs="宋体"/>
          <w:szCs w:val="24"/>
        </w:rPr>
      </w:pPr>
      <w:r>
        <w:rPr>
          <w:rFonts w:hint="eastAsia" w:hAnsi="宋体" w:cs="宋体"/>
          <w:szCs w:val="24"/>
        </w:rPr>
        <w:t>26.1按照中华人民共和国财政部令第87号--《政府采购货物和服务招标投标管理办法》的规定，本次评标采用以下评标方法中的一种：具体见“供应商须知前附表”。</w:t>
      </w:r>
    </w:p>
    <w:p>
      <w:pPr>
        <w:pStyle w:val="42"/>
        <w:spacing w:before="0" w:beforeAutospacing="0" w:after="0" w:afterAutospacing="0" w:line="360" w:lineRule="auto"/>
        <w:ind w:firstLine="480" w:firstLineChars="200"/>
        <w:jc w:val="both"/>
        <w:rPr>
          <w:rFonts w:hint="eastAsia" w:cs="宋体"/>
        </w:rPr>
      </w:pPr>
      <w:r>
        <w:rPr>
          <w:rFonts w:hint="eastAsia" w:cs="宋体"/>
        </w:rPr>
        <w:t>①最低评标价法，即在全部满足招标文件实质性要求前提下，且投标报价最低的供应商为中标候选人的评标方法。</w:t>
      </w:r>
    </w:p>
    <w:p>
      <w:pPr>
        <w:spacing w:line="360" w:lineRule="auto"/>
        <w:ind w:firstLine="480" w:firstLineChars="200"/>
        <w:rPr>
          <w:rFonts w:hint="eastAsia" w:hAnsi="宋体" w:cs="宋体"/>
          <w:szCs w:val="24"/>
        </w:rPr>
      </w:pPr>
      <w:r>
        <w:rPr>
          <w:rFonts w:hint="eastAsia" w:hAnsi="宋体" w:cs="宋体"/>
          <w:szCs w:val="24"/>
        </w:rPr>
        <w:t>②综合评分法，即在最大限度地满足招标文件实质性要求前提下，按照招标文件中规定的各项因素（包括投标报价、技术或者服务水平、履约能力、售后服务、对招标文件的响应程度等）和相应的权重分值进行综合评审后，以总得分最高的供应商作为中标候选人并依次排序。</w:t>
      </w:r>
    </w:p>
    <w:p>
      <w:pPr>
        <w:spacing w:line="360" w:lineRule="auto"/>
        <w:outlineLvl w:val="1"/>
        <w:rPr>
          <w:rFonts w:hint="eastAsia" w:hAnsi="宋体" w:cs="宋体"/>
          <w:b/>
          <w:szCs w:val="24"/>
        </w:rPr>
      </w:pPr>
      <w:bookmarkStart w:id="93" w:name="_Toc25314"/>
      <w:bookmarkStart w:id="94" w:name="_Toc2932"/>
      <w:r>
        <w:rPr>
          <w:rFonts w:hint="eastAsia" w:hAnsi="宋体" w:cs="宋体"/>
          <w:b/>
          <w:szCs w:val="24"/>
        </w:rPr>
        <w:t>27.评标程序</w:t>
      </w:r>
      <w:bookmarkEnd w:id="93"/>
      <w:bookmarkEnd w:id="94"/>
    </w:p>
    <w:p>
      <w:pPr>
        <w:spacing w:line="360" w:lineRule="auto"/>
        <w:ind w:firstLine="480" w:firstLineChars="200"/>
        <w:rPr>
          <w:rFonts w:hint="eastAsia" w:hAnsi="宋体" w:cs="宋体"/>
        </w:rPr>
      </w:pPr>
      <w:r>
        <w:rPr>
          <w:rFonts w:hint="eastAsia" w:hAnsi="宋体" w:cs="宋体"/>
          <w:szCs w:val="24"/>
        </w:rPr>
        <w:t>按照投标文件初审、澄清有关问题、比较与评价、推荐中标候选人名单的工作程序进行评标。在上一步评审中供应商被认定无效投标者，不进入下一步的评审。</w:t>
      </w:r>
    </w:p>
    <w:p>
      <w:pPr>
        <w:spacing w:line="500" w:lineRule="exact"/>
        <w:jc w:val="center"/>
        <w:outlineLvl w:val="2"/>
        <w:rPr>
          <w:rFonts w:hint="eastAsia" w:hAnsi="宋体" w:cs="宋体"/>
          <w:b/>
          <w:sz w:val="32"/>
          <w:szCs w:val="32"/>
        </w:rPr>
      </w:pPr>
      <w:bookmarkStart w:id="95" w:name="_Toc363473977"/>
      <w:bookmarkStart w:id="96" w:name="_Toc363474022"/>
      <w:bookmarkStart w:id="97" w:name="_Toc403077644"/>
      <w:r>
        <w:rPr>
          <w:rFonts w:hint="eastAsia" w:hAnsi="宋体" w:cs="宋体"/>
          <w:b/>
          <w:sz w:val="32"/>
          <w:szCs w:val="32"/>
        </w:rPr>
        <w:t>六、定标、中标通知与签约</w:t>
      </w:r>
      <w:bookmarkEnd w:id="95"/>
      <w:bookmarkEnd w:id="96"/>
      <w:bookmarkEnd w:id="97"/>
    </w:p>
    <w:p>
      <w:pPr>
        <w:spacing w:line="360" w:lineRule="auto"/>
        <w:outlineLvl w:val="1"/>
        <w:rPr>
          <w:rFonts w:hint="eastAsia" w:hAnsi="宋体" w:cs="宋体"/>
          <w:b/>
          <w:szCs w:val="24"/>
        </w:rPr>
      </w:pPr>
      <w:bookmarkStart w:id="98" w:name="_Toc3012"/>
      <w:bookmarkStart w:id="99" w:name="_Toc24882"/>
      <w:r>
        <w:rPr>
          <w:rFonts w:hint="eastAsia" w:hAnsi="宋体" w:cs="宋体"/>
          <w:b/>
          <w:szCs w:val="24"/>
        </w:rPr>
        <w:t>28.定标程序</w:t>
      </w:r>
      <w:bookmarkEnd w:id="98"/>
      <w:bookmarkEnd w:id="99"/>
    </w:p>
    <w:p>
      <w:pPr>
        <w:spacing w:line="360" w:lineRule="auto"/>
        <w:ind w:firstLine="480" w:firstLineChars="200"/>
        <w:rPr>
          <w:rFonts w:hint="eastAsia" w:hAnsi="宋体" w:cs="宋体"/>
          <w:szCs w:val="24"/>
        </w:rPr>
      </w:pPr>
      <w:r>
        <w:rPr>
          <w:rFonts w:hint="eastAsia" w:hAnsi="宋体" w:cs="宋体"/>
          <w:szCs w:val="24"/>
        </w:rPr>
        <w:t>28.1评标委员会根据评标方法的规定对供应商进行评审排序，推荐3名中标候选人，作为评标结果。评标结果由评标委员会成员签字确认。</w:t>
      </w:r>
    </w:p>
    <w:p>
      <w:pPr>
        <w:spacing w:line="360" w:lineRule="auto"/>
        <w:ind w:firstLine="480" w:firstLineChars="200"/>
        <w:rPr>
          <w:rFonts w:hint="eastAsia" w:hAnsi="宋体" w:cs="宋体"/>
          <w:szCs w:val="24"/>
        </w:rPr>
      </w:pPr>
      <w:r>
        <w:rPr>
          <w:rFonts w:hint="eastAsia" w:hAnsi="宋体" w:cs="宋体"/>
          <w:szCs w:val="24"/>
        </w:rPr>
        <w:t>28.2</w:t>
      </w:r>
      <w:r>
        <w:rPr>
          <w:rFonts w:hint="eastAsia" w:hAnsi="宋体" w:cs="宋体"/>
        </w:rPr>
        <w:t>采购代理机构在评标结束后1个工作日内将评标报告送采购人。采购人应当在收到评标报告后4个工作日内，按照评标报告中推荐的中标候选人顺序和有关规定确定中标人。</w:t>
      </w:r>
    </w:p>
    <w:p>
      <w:pPr>
        <w:spacing w:line="360" w:lineRule="auto"/>
        <w:ind w:firstLine="480" w:firstLineChars="200"/>
        <w:rPr>
          <w:rFonts w:hint="eastAsia" w:hAnsi="宋体" w:cs="宋体"/>
          <w:szCs w:val="24"/>
        </w:rPr>
      </w:pPr>
      <w:r>
        <w:rPr>
          <w:rFonts w:hint="eastAsia" w:hAnsi="宋体" w:cs="宋体"/>
          <w:szCs w:val="24"/>
        </w:rPr>
        <w:t>28.3</w:t>
      </w:r>
      <w:r>
        <w:rPr>
          <w:rFonts w:hint="eastAsia" w:hAnsi="宋体" w:cs="宋体"/>
        </w:rPr>
        <w:t>确定的中标候选人放弃中标、在规定期限内未能签订合同、因不可抗力不能履行合同，或者被查实存在影响中标结果的违法行为等情形，不符合中标条件的，采购人可以按照评标委员会提出的中标候选人名单排序依次确定其他中标候选人为中标人，也可以重新招标</w:t>
      </w:r>
      <w:r>
        <w:rPr>
          <w:rFonts w:hint="eastAsia" w:hAnsi="宋体" w:cs="宋体"/>
          <w:szCs w:val="24"/>
        </w:rPr>
        <w:t>。</w:t>
      </w:r>
    </w:p>
    <w:p>
      <w:pPr>
        <w:spacing w:line="360" w:lineRule="auto"/>
        <w:ind w:firstLine="480" w:firstLineChars="200"/>
        <w:outlineLvl w:val="2"/>
        <w:rPr>
          <w:rFonts w:hint="eastAsia" w:hAnsi="宋体" w:cs="宋体"/>
          <w:szCs w:val="24"/>
        </w:rPr>
      </w:pPr>
      <w:r>
        <w:rPr>
          <w:rFonts w:hint="eastAsia" w:hAnsi="宋体" w:cs="宋体"/>
          <w:szCs w:val="24"/>
        </w:rPr>
        <w:t>28.4采购人也可以授权评标委员会评标后直接确定中标人。</w:t>
      </w:r>
    </w:p>
    <w:p>
      <w:pPr>
        <w:spacing w:line="360" w:lineRule="auto"/>
        <w:ind w:firstLine="480" w:firstLineChars="200"/>
        <w:rPr>
          <w:rFonts w:hint="eastAsia" w:hAnsi="宋体" w:cs="宋体"/>
          <w:szCs w:val="24"/>
        </w:rPr>
      </w:pPr>
      <w:r>
        <w:rPr>
          <w:rFonts w:hint="eastAsia" w:hAnsi="宋体" w:cs="宋体"/>
          <w:szCs w:val="24"/>
        </w:rPr>
        <w:t>28.5中标人确定之后，中标结果将在财政部门指定的政府采购信息发布媒体上公告。</w:t>
      </w:r>
    </w:p>
    <w:p>
      <w:pPr>
        <w:spacing w:line="360" w:lineRule="auto"/>
        <w:ind w:firstLine="480" w:firstLineChars="200"/>
        <w:rPr>
          <w:rFonts w:hint="eastAsia" w:hAnsi="宋体" w:cs="宋体"/>
          <w:szCs w:val="24"/>
        </w:rPr>
      </w:pPr>
      <w:r>
        <w:rPr>
          <w:rFonts w:hint="eastAsia" w:hAnsi="宋体" w:cs="宋体"/>
          <w:szCs w:val="24"/>
        </w:rPr>
        <w:t>28.6供应商或者其他利害关系人对评标结果有异议的，应当在法律规定的时间内提出。</w:t>
      </w:r>
    </w:p>
    <w:p>
      <w:pPr>
        <w:spacing w:line="360" w:lineRule="auto"/>
        <w:outlineLvl w:val="1"/>
        <w:rPr>
          <w:rFonts w:hint="eastAsia" w:hAnsi="宋体" w:cs="宋体"/>
          <w:b/>
          <w:szCs w:val="24"/>
        </w:rPr>
      </w:pPr>
      <w:bookmarkStart w:id="100" w:name="_Toc25553"/>
      <w:bookmarkStart w:id="101" w:name="_Toc22441"/>
      <w:r>
        <w:rPr>
          <w:rFonts w:hint="eastAsia" w:hAnsi="宋体" w:cs="宋体"/>
          <w:b/>
          <w:szCs w:val="24"/>
        </w:rPr>
        <w:t>29.中标和落标通知</w:t>
      </w:r>
      <w:bookmarkEnd w:id="100"/>
      <w:bookmarkEnd w:id="101"/>
    </w:p>
    <w:p>
      <w:pPr>
        <w:spacing w:line="360" w:lineRule="auto"/>
        <w:ind w:firstLine="480" w:firstLineChars="200"/>
        <w:rPr>
          <w:rFonts w:hint="eastAsia" w:hAnsi="宋体" w:cs="宋体"/>
          <w:szCs w:val="24"/>
        </w:rPr>
      </w:pPr>
      <w:r>
        <w:rPr>
          <w:rFonts w:hint="eastAsia" w:hAnsi="宋体" w:cs="宋体"/>
          <w:szCs w:val="24"/>
        </w:rPr>
        <w:t>29.1采购代理机构在发布中标公告后，采购代理机构在线向中标单位发出中标通知书，供应商可登录【全国公共资源交易平台(陕西省•西安市)】网站〖首页〉电子交易平台〉企业端〗后，在〖我的项目/项目流程〗模块中点击下载“中标(成交)通知书”。</w:t>
      </w:r>
    </w:p>
    <w:p>
      <w:pPr>
        <w:spacing w:line="360" w:lineRule="auto"/>
        <w:ind w:firstLine="480" w:firstLineChars="200"/>
        <w:rPr>
          <w:rFonts w:hint="eastAsia" w:hAnsi="宋体" w:cs="宋体"/>
          <w:szCs w:val="24"/>
        </w:rPr>
      </w:pPr>
      <w:r>
        <w:rPr>
          <w:rFonts w:hint="eastAsia" w:hAnsi="宋体" w:cs="宋体"/>
          <w:szCs w:val="24"/>
        </w:rPr>
        <w:t>29.2中标通知书对采购人和中标人具有同等法律效力。中标通知书发出之后，采购人改变中标结果，或者中标人放弃中标，应当承担相应的法律责任。</w:t>
      </w:r>
    </w:p>
    <w:p>
      <w:pPr>
        <w:spacing w:line="360" w:lineRule="auto"/>
        <w:ind w:firstLine="480" w:firstLineChars="200"/>
        <w:rPr>
          <w:rFonts w:hint="eastAsia" w:hAnsi="宋体" w:cs="宋体"/>
          <w:szCs w:val="24"/>
        </w:rPr>
      </w:pPr>
      <w:r>
        <w:rPr>
          <w:rFonts w:hint="eastAsia" w:hAnsi="宋体" w:cs="宋体"/>
          <w:szCs w:val="24"/>
        </w:rPr>
        <w:t>29.3中标单位在领取中标通知书时提供一正两副纸质投标文件用于备案。</w:t>
      </w:r>
    </w:p>
    <w:p>
      <w:pPr>
        <w:spacing w:line="360" w:lineRule="auto"/>
        <w:ind w:firstLine="480" w:firstLineChars="200"/>
        <w:rPr>
          <w:rFonts w:hint="eastAsia" w:hAnsi="宋体" w:cs="宋体"/>
          <w:szCs w:val="24"/>
          <w:highlight w:val="yellow"/>
        </w:rPr>
      </w:pPr>
      <w:r>
        <w:rPr>
          <w:rFonts w:hint="eastAsia" w:hAnsi="宋体" w:cs="宋体"/>
          <w:szCs w:val="24"/>
        </w:rPr>
        <w:t>29.4采用综合评分法评审的，供应商可登录【全国公共资源交易中心（陕西省·西安市）】网站〖首页·〉电子交易平台·〉企业端〗，登录后切换到〖我的项目〗模块，依次点选〖项目流程·〉项目管理·〉评标结果查看〗，查看本单位的最终得分与排序。</w:t>
      </w:r>
    </w:p>
    <w:p>
      <w:pPr>
        <w:spacing w:line="360" w:lineRule="auto"/>
        <w:outlineLvl w:val="1"/>
        <w:rPr>
          <w:rFonts w:hint="eastAsia" w:hAnsi="宋体" w:cs="宋体"/>
          <w:b/>
          <w:szCs w:val="24"/>
        </w:rPr>
      </w:pPr>
      <w:bookmarkStart w:id="102" w:name="_Toc9024"/>
      <w:bookmarkStart w:id="103" w:name="_Toc12577"/>
      <w:r>
        <w:rPr>
          <w:rFonts w:hint="eastAsia" w:hAnsi="宋体" w:cs="宋体"/>
          <w:b/>
          <w:szCs w:val="24"/>
        </w:rPr>
        <w:t>30.中标合同的签订</w:t>
      </w:r>
      <w:bookmarkEnd w:id="102"/>
      <w:bookmarkEnd w:id="103"/>
    </w:p>
    <w:p>
      <w:pPr>
        <w:spacing w:line="500" w:lineRule="exact"/>
        <w:ind w:firstLine="480" w:firstLineChars="200"/>
        <w:rPr>
          <w:rFonts w:hint="eastAsia" w:hAnsi="宋体" w:cs="宋体"/>
          <w:szCs w:val="24"/>
        </w:rPr>
      </w:pPr>
      <w:r>
        <w:rPr>
          <w:rFonts w:hint="eastAsia" w:hAnsi="宋体" w:cs="宋体"/>
          <w:szCs w:val="24"/>
        </w:rPr>
        <w:t>30.1采购人应当自中标通知书发出之日起三十日内，按照招标文件和中标人投标文件（包括评标中形成的澄清文件）的约定，与中标人签订书面合同。所签订的合同不得对招标文件和中标人的投标文件（包括评标中形成的澄清文件）作实质性修改。</w:t>
      </w:r>
    </w:p>
    <w:p>
      <w:pPr>
        <w:spacing w:line="500" w:lineRule="exact"/>
        <w:ind w:firstLine="480" w:firstLineChars="200"/>
        <w:rPr>
          <w:rFonts w:hint="eastAsia" w:hAnsi="宋体" w:cs="宋体"/>
          <w:szCs w:val="24"/>
        </w:rPr>
      </w:pPr>
      <w:r>
        <w:rPr>
          <w:rFonts w:hint="eastAsia" w:hAnsi="宋体" w:cs="宋体"/>
          <w:szCs w:val="24"/>
        </w:rPr>
        <w:t>30.2中标供应商拒绝与采购人签订合同的，采购人可以按照评审报告推荐的中标候选供应商名单排序，确定下一候选供应商为中标供应商，也可以重新开展政府采购活动。</w:t>
      </w:r>
    </w:p>
    <w:p>
      <w:pPr>
        <w:spacing w:line="500" w:lineRule="exact"/>
        <w:ind w:firstLine="480" w:firstLineChars="200"/>
        <w:rPr>
          <w:rFonts w:hint="eastAsia" w:hAnsi="宋体" w:cs="宋体"/>
          <w:szCs w:val="24"/>
        </w:rPr>
      </w:pPr>
      <w:r>
        <w:rPr>
          <w:rFonts w:hint="eastAsia" w:hAnsi="宋体" w:cs="宋体"/>
          <w:szCs w:val="24"/>
        </w:rPr>
        <w:t>30.3政府采购合同应当包括采购人与中标供应商的名称和住所、标的、数量、质量、价款或者报酬、履行期限及地点和方式、验收要求、违约责任、解决争议的方法等内容。</w:t>
      </w:r>
    </w:p>
    <w:p>
      <w:pPr>
        <w:spacing w:line="500" w:lineRule="exact"/>
        <w:ind w:firstLine="480" w:firstLineChars="200"/>
        <w:rPr>
          <w:rFonts w:hint="eastAsia" w:hAnsi="宋体" w:cs="宋体"/>
        </w:rPr>
      </w:pPr>
      <w:r>
        <w:rPr>
          <w:rFonts w:hint="eastAsia" w:hAnsi="宋体" w:cs="宋体"/>
          <w:szCs w:val="24"/>
        </w:rPr>
        <w:t>30.4采购人自政府采购合同签订之日起 2 个工作日内，将政府采购合同在省级以上人民政府财政部门指定的媒体上公告，但政府采购合同中涉及国家秘密、商业秘密的内容除外。自采购合同签订之日起七个工作日内，将采购合同副本报同级人民政府财政部门备案。</w:t>
      </w:r>
    </w:p>
    <w:p>
      <w:pPr>
        <w:spacing w:line="500" w:lineRule="exact"/>
        <w:ind w:firstLine="480" w:firstLineChars="200"/>
        <w:rPr>
          <w:rFonts w:hint="eastAsia" w:hAnsi="宋体" w:cs="宋体"/>
          <w:szCs w:val="24"/>
        </w:rPr>
      </w:pPr>
      <w:r>
        <w:rPr>
          <w:rFonts w:hint="eastAsia" w:hAnsi="宋体" w:cs="宋体"/>
          <w:szCs w:val="24"/>
        </w:rPr>
        <w:t>30.5采购人与中标供应商应当根据合同的约定依法履行合同义务。政府采购合同的履行、违约责任和解决争议的方法等适用《中华人民共和国民法典》。</w:t>
      </w:r>
    </w:p>
    <w:p>
      <w:pPr>
        <w:spacing w:line="360" w:lineRule="auto"/>
        <w:outlineLvl w:val="1"/>
        <w:rPr>
          <w:rFonts w:hint="eastAsia" w:hAnsi="宋体" w:cs="宋体"/>
          <w:b/>
          <w:szCs w:val="24"/>
        </w:rPr>
      </w:pPr>
      <w:bookmarkStart w:id="104" w:name="_Toc27129"/>
      <w:bookmarkStart w:id="105" w:name="_Toc26489"/>
      <w:r>
        <w:rPr>
          <w:rFonts w:hint="eastAsia" w:hAnsi="宋体" w:cs="宋体"/>
          <w:b/>
          <w:szCs w:val="24"/>
        </w:rPr>
        <w:t>31.招标代理服务费</w:t>
      </w:r>
      <w:bookmarkEnd w:id="104"/>
      <w:bookmarkEnd w:id="105"/>
    </w:p>
    <w:p>
      <w:pPr>
        <w:spacing w:line="360" w:lineRule="auto"/>
        <w:ind w:firstLine="480" w:firstLineChars="200"/>
        <w:rPr>
          <w:rFonts w:hint="eastAsia" w:hAnsi="宋体" w:cs="宋体"/>
          <w:bCs/>
          <w:szCs w:val="24"/>
        </w:rPr>
      </w:pPr>
      <w:r>
        <w:rPr>
          <w:rFonts w:hint="eastAsia" w:hAnsi="宋体" w:cs="宋体"/>
          <w:bCs/>
          <w:szCs w:val="24"/>
        </w:rPr>
        <w:t>31.1</w:t>
      </w:r>
      <w:r>
        <w:rPr>
          <w:rFonts w:hint="eastAsia" w:hAnsi="宋体" w:cs="宋体"/>
          <w:bCs/>
        </w:rPr>
        <w:t>参照国家计委颁发的《招标代理服务收费管理暂行办法》（计价格[2002]1980号）和国家发展改革委员会办公厅颁发的《关于招标代理服务收费有关问题的通知》（发改办价格[2003]857号）的有关规定执行。</w:t>
      </w:r>
    </w:p>
    <w:p>
      <w:pPr>
        <w:spacing w:line="360" w:lineRule="auto"/>
        <w:ind w:firstLine="480" w:firstLineChars="200"/>
        <w:rPr>
          <w:rFonts w:hint="eastAsia" w:hAnsi="宋体" w:cs="宋体"/>
          <w:bCs/>
          <w:szCs w:val="24"/>
        </w:rPr>
      </w:pPr>
      <w:r>
        <w:rPr>
          <w:rFonts w:hint="eastAsia" w:hAnsi="宋体" w:cs="宋体"/>
          <w:bCs/>
          <w:szCs w:val="24"/>
        </w:rPr>
        <w:t>31</w:t>
      </w:r>
      <w:r>
        <w:rPr>
          <w:rFonts w:hint="eastAsia" w:hAnsi="宋体" w:cs="宋体"/>
          <w:bCs/>
        </w:rPr>
        <w:t>.2由</w:t>
      </w:r>
      <w:r>
        <w:rPr>
          <w:rFonts w:hint="eastAsia" w:hAnsi="宋体" w:cs="宋体"/>
          <w:bCs/>
          <w:szCs w:val="24"/>
        </w:rPr>
        <w:t>中标人承担招标代理服务费，中标人在领取中标通知书前，须向采购代理机构一次性支付招标代理服务费。</w:t>
      </w:r>
    </w:p>
    <w:p>
      <w:pPr>
        <w:spacing w:line="360" w:lineRule="auto"/>
        <w:rPr>
          <w:rFonts w:hint="eastAsia" w:hAnsi="宋体" w:cs="宋体"/>
          <w:b/>
          <w:bCs/>
          <w:szCs w:val="24"/>
        </w:rPr>
      </w:pPr>
      <w:r>
        <w:rPr>
          <w:rFonts w:hint="eastAsia" w:hAnsi="宋体" w:cs="宋体"/>
          <w:b/>
          <w:bCs/>
          <w:szCs w:val="24"/>
        </w:rPr>
        <w:t>32.履约验收：</w:t>
      </w:r>
      <w:r>
        <w:rPr>
          <w:rFonts w:hint="eastAsia" w:hAnsi="宋体" w:cs="宋体"/>
          <w:b/>
          <w:szCs w:val="24"/>
        </w:rPr>
        <w:t>无。</w:t>
      </w:r>
    </w:p>
    <w:p>
      <w:pPr>
        <w:spacing w:line="360" w:lineRule="auto"/>
        <w:rPr>
          <w:rFonts w:hint="eastAsia" w:hAnsi="宋体" w:cs="宋体"/>
          <w:b/>
          <w:szCs w:val="24"/>
        </w:rPr>
      </w:pPr>
      <w:r>
        <w:rPr>
          <w:rFonts w:hint="eastAsia" w:hAnsi="宋体" w:cs="宋体"/>
          <w:b/>
          <w:bCs/>
          <w:szCs w:val="24"/>
        </w:rPr>
        <w:t>33.履约保证金：</w:t>
      </w:r>
      <w:r>
        <w:rPr>
          <w:rFonts w:hint="eastAsia" w:hAnsi="宋体" w:cs="宋体"/>
          <w:b/>
          <w:szCs w:val="24"/>
        </w:rPr>
        <w:t>无。</w:t>
      </w:r>
    </w:p>
    <w:p>
      <w:pPr>
        <w:spacing w:line="360" w:lineRule="auto"/>
        <w:rPr>
          <w:rFonts w:hint="eastAsia" w:hAnsi="宋体" w:cs="宋体"/>
          <w:b/>
          <w:bCs/>
          <w:szCs w:val="24"/>
        </w:rPr>
      </w:pPr>
      <w:r>
        <w:rPr>
          <w:rFonts w:hint="eastAsia" w:hAnsi="宋体" w:cs="宋体"/>
          <w:b/>
          <w:bCs/>
          <w:szCs w:val="24"/>
        </w:rPr>
        <w:t>34.质疑</w:t>
      </w:r>
    </w:p>
    <w:p>
      <w:pPr>
        <w:spacing w:line="360" w:lineRule="auto"/>
        <w:ind w:right="12" w:firstLine="480"/>
        <w:rPr>
          <w:rFonts w:hint="eastAsia" w:hAnsi="宋体" w:cs="宋体"/>
          <w:szCs w:val="24"/>
        </w:rPr>
      </w:pPr>
      <w:r>
        <w:rPr>
          <w:rFonts w:hint="eastAsia" w:hAnsi="宋体" w:cs="宋体"/>
          <w:szCs w:val="24"/>
        </w:rPr>
        <w:t>34.1供应商认为招标文件、招标过程、中标结果使自己的权益受到损害的，可以在知道或者应知其权益受到损害之日起7个工作日内，以书面形式向采购人、采购代理机构提出质疑。</w:t>
      </w:r>
    </w:p>
    <w:p>
      <w:pPr>
        <w:spacing w:line="360" w:lineRule="auto"/>
        <w:ind w:right="12" w:firstLine="480"/>
        <w:rPr>
          <w:rStyle w:val="49"/>
          <w:rFonts w:hint="eastAsia" w:hAnsi="宋体" w:cs="宋体"/>
          <w:bCs w:val="0"/>
          <w:szCs w:val="24"/>
          <w:shd w:val="clear" w:color="auto" w:fill="FFFFFF"/>
        </w:rPr>
      </w:pPr>
      <w:r>
        <w:rPr>
          <w:rFonts w:hint="eastAsia" w:hAnsi="宋体" w:cs="宋体"/>
          <w:szCs w:val="24"/>
        </w:rPr>
        <w:t>34.2供应商必须在法定质疑期内一次性提出针对同一采购程序环节的质疑。</w:t>
      </w:r>
    </w:p>
    <w:p>
      <w:pPr>
        <w:spacing w:line="360" w:lineRule="auto"/>
        <w:ind w:firstLine="480" w:firstLineChars="200"/>
        <w:rPr>
          <w:rStyle w:val="49"/>
          <w:rFonts w:hint="eastAsia" w:hAnsi="宋体" w:cs="宋体"/>
          <w:b w:val="0"/>
          <w:szCs w:val="24"/>
          <w:shd w:val="clear" w:color="auto" w:fill="FFFFFF"/>
        </w:rPr>
      </w:pPr>
      <w:r>
        <w:rPr>
          <w:rFonts w:hint="eastAsia" w:hAnsi="宋体" w:cs="宋体"/>
          <w:szCs w:val="24"/>
        </w:rPr>
        <w:t>34</w:t>
      </w:r>
      <w:r>
        <w:rPr>
          <w:rStyle w:val="49"/>
          <w:rFonts w:hint="eastAsia" w:hAnsi="宋体" w:cs="宋体"/>
          <w:b w:val="0"/>
          <w:szCs w:val="24"/>
          <w:shd w:val="clear" w:color="auto" w:fill="FFFFFF"/>
        </w:rPr>
        <w:t>.3供应商可以委托代理人进行质疑。代理人提出质疑的，应当提交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pPr>
        <w:spacing w:line="360" w:lineRule="auto"/>
        <w:ind w:left="3" w:firstLine="518" w:firstLineChars="216"/>
        <w:rPr>
          <w:rStyle w:val="49"/>
          <w:rFonts w:hint="eastAsia" w:hAnsi="宋体" w:cs="宋体"/>
          <w:b w:val="0"/>
          <w:szCs w:val="24"/>
          <w:shd w:val="clear" w:color="auto" w:fill="FFFFFF"/>
        </w:rPr>
      </w:pPr>
      <w:r>
        <w:rPr>
          <w:rFonts w:hint="eastAsia" w:hAnsi="宋体" w:cs="宋体"/>
          <w:szCs w:val="24"/>
        </w:rPr>
        <w:t>34</w:t>
      </w:r>
      <w:r>
        <w:rPr>
          <w:rStyle w:val="49"/>
          <w:rFonts w:hint="eastAsia" w:hAnsi="宋体" w:cs="宋体"/>
          <w:b w:val="0"/>
          <w:szCs w:val="24"/>
          <w:shd w:val="clear" w:color="auto" w:fill="FFFFFF"/>
        </w:rPr>
        <w:t>.4以联合体形式参加政府采购活动的，其质疑应当由组成联合体的所有供应商共同提出。</w:t>
      </w:r>
    </w:p>
    <w:p>
      <w:pPr>
        <w:spacing w:line="360" w:lineRule="auto"/>
        <w:ind w:right="12" w:firstLine="480" w:firstLineChars="200"/>
        <w:rPr>
          <w:rFonts w:hint="eastAsia" w:hAnsi="宋体" w:cs="宋体"/>
          <w:szCs w:val="24"/>
        </w:rPr>
      </w:pPr>
      <w:r>
        <w:rPr>
          <w:rFonts w:hint="eastAsia" w:hAnsi="宋体" w:cs="宋体"/>
          <w:szCs w:val="24"/>
        </w:rPr>
        <w:t>34.5供应商提出质疑应当提交质疑函和必要的证明材料。质疑函应当包括下列内容：</w:t>
      </w:r>
    </w:p>
    <w:p>
      <w:pPr>
        <w:spacing w:line="360" w:lineRule="auto"/>
        <w:ind w:right="12" w:firstLine="480" w:firstLineChars="200"/>
        <w:rPr>
          <w:rFonts w:hint="eastAsia" w:hAnsi="宋体" w:cs="宋体"/>
          <w:szCs w:val="24"/>
        </w:rPr>
      </w:pPr>
      <w:r>
        <w:rPr>
          <w:rFonts w:hint="eastAsia" w:hAnsi="宋体" w:cs="宋体"/>
          <w:szCs w:val="24"/>
        </w:rPr>
        <w:t>34.5.1供应商的姓名或者名称、地址、邮编、联系人及联系电话；</w:t>
      </w:r>
    </w:p>
    <w:p>
      <w:pPr>
        <w:spacing w:line="360" w:lineRule="auto"/>
        <w:ind w:right="12" w:firstLine="480" w:firstLineChars="200"/>
        <w:rPr>
          <w:rFonts w:hint="eastAsia" w:hAnsi="宋体" w:cs="宋体"/>
          <w:szCs w:val="24"/>
        </w:rPr>
      </w:pPr>
      <w:r>
        <w:rPr>
          <w:rFonts w:hint="eastAsia" w:hAnsi="宋体" w:cs="宋体"/>
          <w:szCs w:val="24"/>
        </w:rPr>
        <w:t>34.5.2质疑项目的名称、编号；</w:t>
      </w:r>
    </w:p>
    <w:p>
      <w:pPr>
        <w:spacing w:line="360" w:lineRule="auto"/>
        <w:ind w:right="12" w:firstLine="480" w:firstLineChars="200"/>
        <w:rPr>
          <w:rFonts w:hint="eastAsia" w:hAnsi="宋体" w:cs="宋体"/>
          <w:szCs w:val="24"/>
        </w:rPr>
      </w:pPr>
      <w:r>
        <w:rPr>
          <w:rFonts w:hint="eastAsia" w:hAnsi="宋体" w:cs="宋体"/>
          <w:szCs w:val="24"/>
        </w:rPr>
        <w:t>34.5.3具体、明确的质疑事项和与质疑事项相关的请求；</w:t>
      </w:r>
    </w:p>
    <w:p>
      <w:pPr>
        <w:spacing w:line="360" w:lineRule="auto"/>
        <w:ind w:right="12" w:firstLine="480" w:firstLineChars="200"/>
        <w:rPr>
          <w:rFonts w:hint="eastAsia" w:hAnsi="宋体" w:cs="宋体"/>
          <w:szCs w:val="24"/>
        </w:rPr>
      </w:pPr>
      <w:r>
        <w:rPr>
          <w:rFonts w:hint="eastAsia" w:hAnsi="宋体" w:cs="宋体"/>
          <w:szCs w:val="24"/>
        </w:rPr>
        <w:t>34.5.4事实依据；</w:t>
      </w:r>
    </w:p>
    <w:p>
      <w:pPr>
        <w:spacing w:line="360" w:lineRule="auto"/>
        <w:ind w:right="12" w:firstLine="480" w:firstLineChars="200"/>
        <w:rPr>
          <w:rFonts w:hint="eastAsia" w:hAnsi="宋体" w:cs="宋体"/>
          <w:szCs w:val="24"/>
        </w:rPr>
      </w:pPr>
      <w:r>
        <w:rPr>
          <w:rFonts w:hint="eastAsia" w:hAnsi="宋体" w:cs="宋体"/>
          <w:szCs w:val="24"/>
        </w:rPr>
        <w:t>34.5.5必要的法律依据；</w:t>
      </w:r>
    </w:p>
    <w:p>
      <w:pPr>
        <w:spacing w:line="360" w:lineRule="auto"/>
        <w:ind w:right="12" w:firstLine="480" w:firstLineChars="200"/>
        <w:rPr>
          <w:rStyle w:val="49"/>
          <w:rFonts w:hint="eastAsia" w:hAnsi="宋体" w:cs="宋体"/>
          <w:b w:val="0"/>
          <w:szCs w:val="24"/>
          <w:shd w:val="clear" w:color="auto" w:fill="FFFFFF"/>
        </w:rPr>
      </w:pPr>
      <w:r>
        <w:rPr>
          <w:rFonts w:hint="eastAsia" w:hAnsi="宋体" w:cs="宋体"/>
          <w:szCs w:val="24"/>
        </w:rPr>
        <w:t>34.5.6提出质疑的日期。</w:t>
      </w:r>
    </w:p>
    <w:p>
      <w:pPr>
        <w:widowControl/>
        <w:spacing w:line="360" w:lineRule="auto"/>
        <w:ind w:firstLine="480" w:firstLineChars="200"/>
        <w:rPr>
          <w:rFonts w:hint="eastAsia" w:hAnsi="宋体" w:cs="宋体"/>
        </w:rPr>
      </w:pPr>
      <w:r>
        <w:rPr>
          <w:rFonts w:hint="eastAsia" w:hAnsi="宋体" w:cs="宋体"/>
          <w:szCs w:val="24"/>
        </w:rPr>
        <w:t>34</w:t>
      </w:r>
      <w:r>
        <w:rPr>
          <w:rFonts w:hint="eastAsia" w:hAnsi="宋体" w:cs="宋体"/>
        </w:rPr>
        <w:t>.6有下列情形之一的，属于无效质疑，采购代理机构和采购人不予受理：</w:t>
      </w:r>
    </w:p>
    <w:p>
      <w:pPr>
        <w:widowControl/>
        <w:spacing w:line="360" w:lineRule="auto"/>
        <w:ind w:firstLine="480" w:firstLineChars="200"/>
        <w:rPr>
          <w:rFonts w:hint="eastAsia" w:hAnsi="宋体" w:cs="宋体"/>
        </w:rPr>
      </w:pPr>
      <w:r>
        <w:rPr>
          <w:rFonts w:hint="eastAsia" w:hAnsi="宋体" w:cs="宋体"/>
          <w:szCs w:val="24"/>
        </w:rPr>
        <w:t>34</w:t>
      </w:r>
      <w:r>
        <w:rPr>
          <w:rFonts w:hint="eastAsia" w:hAnsi="宋体" w:cs="宋体"/>
        </w:rPr>
        <w:t>.6.1质疑供应商不是参与本次政府采购项目的供应商；</w:t>
      </w:r>
    </w:p>
    <w:p>
      <w:pPr>
        <w:widowControl/>
        <w:spacing w:line="360" w:lineRule="auto"/>
        <w:ind w:firstLine="480" w:firstLineChars="200"/>
        <w:rPr>
          <w:rFonts w:hint="eastAsia" w:hAnsi="宋体" w:cs="宋体"/>
        </w:rPr>
      </w:pPr>
      <w:r>
        <w:rPr>
          <w:rFonts w:hint="eastAsia" w:hAnsi="宋体" w:cs="宋体"/>
          <w:szCs w:val="24"/>
        </w:rPr>
        <w:t>34</w:t>
      </w:r>
      <w:r>
        <w:rPr>
          <w:rFonts w:hint="eastAsia" w:hAnsi="宋体" w:cs="宋体"/>
        </w:rPr>
        <w:t>.6.2质疑供应商与质疑事项不存在利害关系的；</w:t>
      </w:r>
    </w:p>
    <w:p>
      <w:pPr>
        <w:widowControl/>
        <w:spacing w:line="360" w:lineRule="auto"/>
        <w:ind w:firstLine="480" w:firstLineChars="200"/>
        <w:rPr>
          <w:rFonts w:hint="eastAsia" w:hAnsi="宋体" w:cs="宋体"/>
        </w:rPr>
      </w:pPr>
      <w:r>
        <w:rPr>
          <w:rFonts w:hint="eastAsia" w:hAnsi="宋体" w:cs="宋体"/>
          <w:szCs w:val="24"/>
        </w:rPr>
        <w:t>34</w:t>
      </w:r>
      <w:r>
        <w:rPr>
          <w:rFonts w:hint="eastAsia" w:hAnsi="宋体" w:cs="宋体"/>
        </w:rPr>
        <w:t>.6.3未在法定期限内提出质疑的；</w:t>
      </w:r>
    </w:p>
    <w:p>
      <w:pPr>
        <w:widowControl/>
        <w:spacing w:line="360" w:lineRule="auto"/>
        <w:ind w:firstLine="480" w:firstLineChars="200"/>
        <w:rPr>
          <w:rFonts w:hint="eastAsia" w:hAnsi="宋体" w:cs="宋体"/>
        </w:rPr>
      </w:pPr>
      <w:r>
        <w:rPr>
          <w:rFonts w:hint="eastAsia" w:hAnsi="宋体" w:cs="宋体"/>
          <w:szCs w:val="24"/>
        </w:rPr>
        <w:t>34</w:t>
      </w:r>
      <w:r>
        <w:rPr>
          <w:rFonts w:hint="eastAsia" w:hAnsi="宋体" w:cs="宋体"/>
        </w:rPr>
        <w:t>.6.4质疑未以书面形式提出，或质疑函主要内容构成不完整的；</w:t>
      </w:r>
    </w:p>
    <w:p>
      <w:pPr>
        <w:widowControl/>
        <w:spacing w:line="360" w:lineRule="auto"/>
        <w:ind w:firstLine="480" w:firstLineChars="200"/>
        <w:rPr>
          <w:rFonts w:hint="eastAsia" w:hAnsi="宋体" w:cs="宋体"/>
        </w:rPr>
      </w:pPr>
      <w:r>
        <w:rPr>
          <w:rFonts w:hint="eastAsia" w:hAnsi="宋体" w:cs="宋体"/>
          <w:szCs w:val="24"/>
        </w:rPr>
        <w:t>34</w:t>
      </w:r>
      <w:r>
        <w:rPr>
          <w:rFonts w:hint="eastAsia" w:hAnsi="宋体" w:cs="宋体"/>
        </w:rPr>
        <w:t>.6.5应当提交授权书而未提交的；</w:t>
      </w:r>
    </w:p>
    <w:p>
      <w:pPr>
        <w:widowControl/>
        <w:spacing w:line="360" w:lineRule="auto"/>
        <w:ind w:firstLine="480" w:firstLineChars="200"/>
        <w:rPr>
          <w:rFonts w:hint="eastAsia" w:hAnsi="宋体" w:cs="宋体"/>
        </w:rPr>
      </w:pPr>
      <w:r>
        <w:rPr>
          <w:rFonts w:hint="eastAsia" w:hAnsi="宋体" w:cs="宋体"/>
          <w:szCs w:val="24"/>
        </w:rPr>
        <w:t>34</w:t>
      </w:r>
      <w:r>
        <w:rPr>
          <w:rFonts w:hint="eastAsia" w:hAnsi="宋体" w:cs="宋体"/>
        </w:rPr>
        <w:t>.6.6以非法手段取得证据、材料的；</w:t>
      </w:r>
    </w:p>
    <w:p>
      <w:pPr>
        <w:widowControl/>
        <w:spacing w:line="360" w:lineRule="auto"/>
        <w:ind w:firstLine="480" w:firstLineChars="200"/>
        <w:rPr>
          <w:rFonts w:hint="eastAsia" w:hAnsi="宋体" w:cs="宋体"/>
        </w:rPr>
      </w:pPr>
      <w:r>
        <w:rPr>
          <w:rFonts w:hint="eastAsia" w:hAnsi="宋体" w:cs="宋体"/>
          <w:szCs w:val="24"/>
        </w:rPr>
        <w:t>34</w:t>
      </w:r>
      <w:r>
        <w:rPr>
          <w:rFonts w:hint="eastAsia" w:hAnsi="宋体" w:cs="宋体"/>
        </w:rPr>
        <w:t>.6.7质疑答复后，同一质疑人就同一事项或同一采购程序环节再次提出质疑的；</w:t>
      </w:r>
    </w:p>
    <w:p>
      <w:pPr>
        <w:widowControl/>
        <w:spacing w:line="360" w:lineRule="auto"/>
        <w:ind w:firstLine="480" w:firstLineChars="200"/>
        <w:rPr>
          <w:rStyle w:val="49"/>
          <w:rFonts w:hAnsi="宋体" w:cs="宋体"/>
          <w:b w:val="0"/>
          <w:szCs w:val="24"/>
          <w:shd w:val="clear" w:color="auto" w:fill="FFFFFF"/>
        </w:rPr>
      </w:pPr>
      <w:r>
        <w:rPr>
          <w:rFonts w:hint="eastAsia" w:hAnsi="宋体" w:cs="宋体"/>
          <w:szCs w:val="24"/>
        </w:rPr>
        <w:t>34</w:t>
      </w:r>
      <w:r>
        <w:rPr>
          <w:rFonts w:hint="eastAsia" w:hAnsi="宋体" w:cs="宋体"/>
        </w:rPr>
        <w:t>.6.8不符合法律、法规、规章和政府采购监管机构规定的其他条件的。</w:t>
      </w:r>
    </w:p>
    <w:p>
      <w:pPr>
        <w:widowControl/>
        <w:spacing w:line="360" w:lineRule="auto"/>
        <w:ind w:firstLine="480" w:firstLineChars="200"/>
        <w:rPr>
          <w:rFonts w:hint="eastAsia" w:hAnsi="宋体" w:cs="宋体"/>
          <w:bCs/>
          <w:szCs w:val="24"/>
          <w:shd w:val="clear" w:color="auto" w:fill="FFFFFF"/>
        </w:rPr>
      </w:pPr>
      <w:r>
        <w:rPr>
          <w:rFonts w:hint="eastAsia" w:hAnsi="宋体" w:cs="宋体"/>
          <w:szCs w:val="24"/>
        </w:rPr>
        <w:t>34.7质疑答复</w:t>
      </w:r>
    </w:p>
    <w:p>
      <w:pPr>
        <w:pStyle w:val="170"/>
        <w:spacing w:line="360" w:lineRule="auto"/>
        <w:ind w:firstLine="480"/>
        <w:rPr>
          <w:rFonts w:hint="eastAsia" w:hAnsi="宋体" w:cs="宋体"/>
          <w:szCs w:val="24"/>
        </w:rPr>
      </w:pPr>
      <w:r>
        <w:rPr>
          <w:rFonts w:hint="eastAsia" w:hAnsi="宋体" w:cs="宋体"/>
          <w:szCs w:val="24"/>
        </w:rPr>
        <w:t>34.7.1采购人或采购代理机构在收到质疑函后7个工作日内作出答复，并以书面形式通知质疑供应商和其他有关供应商。</w:t>
      </w:r>
    </w:p>
    <w:p>
      <w:pPr>
        <w:pStyle w:val="170"/>
        <w:spacing w:line="360" w:lineRule="auto"/>
        <w:ind w:firstLine="480" w:firstLineChars="0"/>
        <w:rPr>
          <w:rFonts w:hint="eastAsia" w:hAnsi="宋体" w:cs="宋体"/>
          <w:szCs w:val="24"/>
        </w:rPr>
      </w:pPr>
      <w:r>
        <w:rPr>
          <w:rFonts w:hint="eastAsia" w:hAnsi="宋体" w:cs="宋体"/>
          <w:szCs w:val="24"/>
        </w:rPr>
        <w:t>34.7.2质疑供应商对采购人、采购代理机构的答复不满意，或者采购人、采购代理机构未在规定时间内作出答复的，可以在答复期满后15个工作日内向</w:t>
      </w:r>
      <w:r>
        <w:rPr>
          <w:rFonts w:hint="eastAsia" w:hAnsi="宋体" w:cs="宋体"/>
          <w:b/>
          <w:bCs/>
          <w:szCs w:val="24"/>
        </w:rPr>
        <w:t>同级财政部门</w:t>
      </w:r>
      <w:r>
        <w:rPr>
          <w:rFonts w:hint="eastAsia" w:hAnsi="宋体" w:cs="宋体"/>
          <w:szCs w:val="24"/>
        </w:rPr>
        <w:t>提起投诉。</w:t>
      </w:r>
    </w:p>
    <w:p>
      <w:pPr>
        <w:pStyle w:val="170"/>
        <w:spacing w:line="360" w:lineRule="auto"/>
        <w:ind w:firstLine="480" w:firstLineChars="0"/>
        <w:jc w:val="left"/>
        <w:rPr>
          <w:rFonts w:hint="eastAsia" w:hAnsi="宋体" w:cs="宋体"/>
          <w:szCs w:val="24"/>
        </w:rPr>
      </w:pPr>
      <w:r>
        <w:rPr>
          <w:rFonts w:hint="eastAsia" w:hAnsi="宋体" w:cs="宋体"/>
          <w:szCs w:val="24"/>
        </w:rPr>
        <w:t>34.8.1质疑函须按财政部《质疑函范本》给定的格式进行填写，范本下载详见【财政部国库司（gks.mof.gov.cn）】网站〖首页·政府采购管理〗栏目中的《政府采购投标单位质疑函范本》。《政府采购投标单位质疑函范本》链接地址：</w:t>
      </w:r>
    </w:p>
    <w:p>
      <w:pPr>
        <w:pStyle w:val="170"/>
        <w:spacing w:line="360" w:lineRule="auto"/>
        <w:ind w:firstLine="480" w:firstLineChars="0"/>
        <w:jc w:val="left"/>
        <w:rPr>
          <w:rFonts w:hint="eastAsia" w:hAnsi="宋体" w:cs="宋体"/>
          <w:szCs w:val="24"/>
        </w:rPr>
      </w:pPr>
      <w:r>
        <w:rPr>
          <w:rFonts w:hint="eastAsia" w:hAnsi="宋体" w:cs="宋体"/>
          <w:szCs w:val="24"/>
        </w:rPr>
        <w:t>http://gks.mof.gov.cn/zhengfucaigouguanli/201802/t20180201_2804589.html</w:t>
      </w:r>
    </w:p>
    <w:p>
      <w:pPr>
        <w:pStyle w:val="170"/>
        <w:spacing w:line="360" w:lineRule="auto"/>
        <w:ind w:firstLine="480" w:firstLineChars="0"/>
        <w:jc w:val="left"/>
        <w:rPr>
          <w:rFonts w:hint="eastAsia" w:hAnsi="宋体" w:cs="宋体"/>
          <w:szCs w:val="24"/>
        </w:rPr>
      </w:pPr>
      <w:r>
        <w:rPr>
          <w:rFonts w:hint="eastAsia" w:hAnsi="宋体" w:cs="宋体"/>
          <w:szCs w:val="24"/>
        </w:rPr>
        <w:t>34.8.2接收质疑函的方式：书面形式</w:t>
      </w:r>
    </w:p>
    <w:p>
      <w:pPr>
        <w:pStyle w:val="170"/>
        <w:spacing w:line="360" w:lineRule="auto"/>
        <w:ind w:firstLine="480" w:firstLineChars="0"/>
        <w:jc w:val="left"/>
        <w:rPr>
          <w:rFonts w:hint="eastAsia" w:hAnsi="宋体" w:cs="宋体"/>
          <w:szCs w:val="24"/>
        </w:rPr>
      </w:pPr>
      <w:r>
        <w:rPr>
          <w:rFonts w:hint="eastAsia" w:hAnsi="宋体" w:cs="宋体"/>
          <w:szCs w:val="24"/>
        </w:rPr>
        <w:t xml:space="preserve">34.8.3联系部门： </w:t>
      </w:r>
      <w:r>
        <w:rPr>
          <w:rFonts w:hAnsi="宋体" w:cs="宋体"/>
          <w:szCs w:val="24"/>
        </w:rPr>
        <w:t xml:space="preserve">           </w:t>
      </w:r>
    </w:p>
    <w:p>
      <w:pPr>
        <w:pStyle w:val="170"/>
        <w:spacing w:line="360" w:lineRule="auto"/>
        <w:ind w:firstLine="480" w:firstLineChars="0"/>
        <w:jc w:val="left"/>
        <w:rPr>
          <w:rFonts w:hint="eastAsia" w:hAnsi="宋体" w:cs="宋体"/>
          <w:szCs w:val="24"/>
        </w:rPr>
      </w:pPr>
      <w:r>
        <w:rPr>
          <w:rFonts w:hint="eastAsia" w:hAnsi="宋体" w:cs="宋体"/>
          <w:szCs w:val="24"/>
        </w:rPr>
        <w:t>34.8.4联系电话：</w:t>
      </w:r>
    </w:p>
    <w:p>
      <w:pPr>
        <w:pStyle w:val="170"/>
        <w:spacing w:line="360" w:lineRule="auto"/>
        <w:ind w:firstLine="480" w:firstLineChars="0"/>
        <w:jc w:val="left"/>
        <w:rPr>
          <w:rFonts w:hint="eastAsia" w:hAnsi="宋体" w:cs="宋体"/>
          <w:szCs w:val="24"/>
        </w:rPr>
      </w:pPr>
      <w:r>
        <w:rPr>
          <w:rFonts w:hint="eastAsia" w:hAnsi="宋体" w:cs="宋体"/>
          <w:szCs w:val="24"/>
        </w:rPr>
        <w:t>34.8.5通讯地址：</w:t>
      </w:r>
    </w:p>
    <w:p>
      <w:pPr>
        <w:spacing w:line="360" w:lineRule="auto"/>
        <w:outlineLvl w:val="1"/>
        <w:rPr>
          <w:rFonts w:hint="eastAsia" w:hAnsi="宋体" w:cs="宋体"/>
          <w:szCs w:val="24"/>
        </w:rPr>
      </w:pPr>
      <w:bookmarkStart w:id="106" w:name="_Toc13825"/>
      <w:bookmarkStart w:id="107" w:name="_Toc19849"/>
      <w:r>
        <w:rPr>
          <w:rFonts w:hint="eastAsia" w:hAnsi="宋体" w:cs="宋体"/>
          <w:b/>
          <w:bCs/>
          <w:szCs w:val="24"/>
        </w:rPr>
        <w:t>35.其他</w:t>
      </w:r>
      <w:bookmarkEnd w:id="106"/>
      <w:bookmarkEnd w:id="107"/>
    </w:p>
    <w:p>
      <w:pPr>
        <w:spacing w:line="360" w:lineRule="auto"/>
        <w:ind w:firstLine="480" w:firstLineChars="200"/>
        <w:outlineLvl w:val="2"/>
        <w:rPr>
          <w:rFonts w:hint="eastAsia" w:hAnsi="宋体" w:cs="宋体"/>
        </w:rPr>
      </w:pPr>
      <w:r>
        <w:rPr>
          <w:rFonts w:hint="eastAsia" w:hAnsi="宋体" w:cs="宋体"/>
        </w:rPr>
        <w:t>35.1废标的情形</w:t>
      </w:r>
    </w:p>
    <w:p>
      <w:pPr>
        <w:spacing w:line="360" w:lineRule="auto"/>
        <w:ind w:firstLine="480" w:firstLineChars="200"/>
        <w:outlineLvl w:val="3"/>
        <w:rPr>
          <w:rFonts w:hint="eastAsia" w:hAnsi="宋体" w:cs="宋体"/>
        </w:rPr>
      </w:pPr>
      <w:r>
        <w:rPr>
          <w:rFonts w:hint="eastAsia" w:hAnsi="宋体" w:cs="宋体"/>
        </w:rPr>
        <w:t>35.1.1招标采购中，出现下列情形之一的，应予以废标：</w:t>
      </w:r>
    </w:p>
    <w:p>
      <w:pPr>
        <w:spacing w:line="360" w:lineRule="auto"/>
        <w:ind w:firstLine="480" w:firstLineChars="200"/>
        <w:rPr>
          <w:rFonts w:hint="eastAsia" w:hAnsi="宋体" w:cs="宋体"/>
        </w:rPr>
      </w:pPr>
      <w:r>
        <w:rPr>
          <w:rFonts w:hint="eastAsia" w:hAnsi="宋体" w:cs="宋体"/>
        </w:rPr>
        <w:t>（1）符合专业条件的供应商或者对招标文件作实质响应的供应商不足3家的；</w:t>
      </w:r>
    </w:p>
    <w:p>
      <w:pPr>
        <w:spacing w:line="360" w:lineRule="auto"/>
        <w:ind w:firstLine="480" w:firstLineChars="200"/>
        <w:rPr>
          <w:rFonts w:hint="eastAsia" w:hAnsi="宋体" w:cs="宋体"/>
        </w:rPr>
      </w:pPr>
      <w:r>
        <w:rPr>
          <w:rFonts w:hint="eastAsia" w:hAnsi="宋体" w:cs="宋体"/>
        </w:rPr>
        <w:t>（2）出现影响采购公正的违法、违规行为的；</w:t>
      </w:r>
    </w:p>
    <w:p>
      <w:pPr>
        <w:spacing w:line="360" w:lineRule="auto"/>
        <w:ind w:firstLine="480" w:firstLineChars="200"/>
        <w:rPr>
          <w:rFonts w:hint="eastAsia" w:hAnsi="宋体" w:cs="宋体"/>
        </w:rPr>
      </w:pPr>
      <w:r>
        <w:rPr>
          <w:rFonts w:hint="eastAsia" w:hAnsi="宋体" w:cs="宋体"/>
        </w:rPr>
        <w:t>（3）供应商的报价均超过了采购预算，采购人不能支付的；</w:t>
      </w:r>
    </w:p>
    <w:p>
      <w:pPr>
        <w:spacing w:line="360" w:lineRule="auto"/>
        <w:ind w:firstLine="480" w:firstLineChars="200"/>
        <w:rPr>
          <w:rFonts w:hint="eastAsia" w:hAnsi="宋体" w:cs="宋体"/>
        </w:rPr>
      </w:pPr>
      <w:r>
        <w:rPr>
          <w:rFonts w:hint="eastAsia" w:hAnsi="宋体" w:cs="宋体"/>
        </w:rPr>
        <w:t>（4）因重大变故，投标取消的。</w:t>
      </w:r>
    </w:p>
    <w:p>
      <w:pPr>
        <w:spacing w:line="360" w:lineRule="auto"/>
        <w:ind w:firstLine="480" w:firstLineChars="200"/>
        <w:rPr>
          <w:rFonts w:hint="eastAsia" w:hAnsi="宋体" w:cs="宋体"/>
        </w:rPr>
      </w:pPr>
      <w:r>
        <w:rPr>
          <w:rFonts w:hint="eastAsia" w:hAnsi="宋体" w:cs="宋体"/>
        </w:rPr>
        <w:t>35.1.2废标后，采购代理机构应在财政部门指定采购网上公告，并公告废标的详细理由。</w:t>
      </w:r>
    </w:p>
    <w:p>
      <w:pPr>
        <w:spacing w:line="360" w:lineRule="auto"/>
        <w:ind w:firstLine="480" w:firstLineChars="200"/>
        <w:outlineLvl w:val="2"/>
        <w:rPr>
          <w:rFonts w:hint="eastAsia" w:hAnsi="宋体" w:cs="宋体"/>
        </w:rPr>
      </w:pPr>
      <w:r>
        <w:rPr>
          <w:rFonts w:hint="eastAsia" w:hAnsi="宋体" w:cs="宋体"/>
        </w:rPr>
        <w:t>35.2变更采购方式</w:t>
      </w:r>
    </w:p>
    <w:p>
      <w:pPr>
        <w:spacing w:line="360" w:lineRule="auto"/>
        <w:ind w:firstLine="480" w:firstLineChars="200"/>
        <w:rPr>
          <w:rFonts w:hint="eastAsia" w:hAnsi="宋体" w:cs="宋体"/>
        </w:rPr>
      </w:pPr>
      <w:r>
        <w:rPr>
          <w:rFonts w:hint="eastAsia" w:hAnsi="宋体" w:cs="宋体"/>
        </w:rPr>
        <w:t>35.2.1存在下列情形之一的，除采购任务取消情形外，采购人经同级财政部门同意后，可按《政府采购货物和服务招标投标管理办法》（财政部87号令）第四十三条规定的方式处理：</w:t>
      </w:r>
    </w:p>
    <w:p>
      <w:pPr>
        <w:spacing w:line="360" w:lineRule="auto"/>
        <w:ind w:firstLine="480" w:firstLineChars="200"/>
        <w:rPr>
          <w:rFonts w:hint="eastAsia" w:hAnsi="宋体" w:cs="宋体"/>
        </w:rPr>
      </w:pPr>
      <w:r>
        <w:rPr>
          <w:rFonts w:hint="eastAsia" w:hAnsi="宋体" w:cs="宋体"/>
        </w:rPr>
        <w:t>（1）投标截止后参加投标的人不足3家的；</w:t>
      </w:r>
    </w:p>
    <w:p>
      <w:pPr>
        <w:spacing w:line="360" w:lineRule="auto"/>
        <w:ind w:firstLine="480" w:firstLineChars="200"/>
        <w:rPr>
          <w:rFonts w:hint="eastAsia" w:hAnsi="宋体" w:cs="宋体"/>
        </w:rPr>
      </w:pPr>
      <w:r>
        <w:rPr>
          <w:rFonts w:hint="eastAsia" w:hAnsi="宋体" w:cs="宋体"/>
        </w:rPr>
        <w:t>（2）通过资格审查的供应商不足3家的；</w:t>
      </w:r>
    </w:p>
    <w:p>
      <w:pPr>
        <w:spacing w:line="360" w:lineRule="auto"/>
        <w:ind w:firstLine="480" w:firstLineChars="200"/>
        <w:rPr>
          <w:rFonts w:hint="eastAsia" w:hAnsi="宋体" w:cs="宋体"/>
        </w:rPr>
      </w:pPr>
      <w:r>
        <w:rPr>
          <w:rFonts w:hint="eastAsia" w:hAnsi="宋体" w:cs="宋体"/>
        </w:rPr>
        <w:t>（3）通过符合性审查的供应商不足3家的。</w:t>
      </w:r>
    </w:p>
    <w:p>
      <w:pPr>
        <w:spacing w:line="360" w:lineRule="auto"/>
        <w:ind w:firstLine="480" w:firstLineChars="200"/>
        <w:rPr>
          <w:rFonts w:hint="eastAsia" w:hAnsi="宋体" w:cs="宋体"/>
        </w:rPr>
      </w:pPr>
      <w:r>
        <w:rPr>
          <w:rFonts w:hint="eastAsia" w:hAnsi="宋体" w:cs="宋体"/>
        </w:rPr>
        <w:t>35.2.2通过符合性审查的供应商只有2家时，采购人经同级财政部门同意后，可以按《政府采购非招标采购方式管理办法》（财政部第74号令）的规定与该2家供应商进行竞争性谈判采购。</w:t>
      </w:r>
    </w:p>
    <w:p>
      <w:pPr>
        <w:spacing w:line="360" w:lineRule="auto"/>
        <w:outlineLvl w:val="1"/>
        <w:rPr>
          <w:rFonts w:hint="eastAsia" w:hAnsi="宋体" w:cs="宋体"/>
          <w:b/>
          <w:sz w:val="36"/>
          <w:szCs w:val="36"/>
        </w:rPr>
      </w:pPr>
      <w:bookmarkStart w:id="108" w:name="_Toc5188"/>
      <w:bookmarkStart w:id="109" w:name="_Toc23363"/>
      <w:r>
        <w:rPr>
          <w:rFonts w:hint="eastAsia" w:hAnsi="宋体" w:cs="宋体"/>
          <w:b/>
          <w:szCs w:val="24"/>
        </w:rPr>
        <w:t>36.信用担保及信用融资</w:t>
      </w:r>
      <w:bookmarkEnd w:id="108"/>
      <w:bookmarkEnd w:id="109"/>
    </w:p>
    <w:p>
      <w:pPr>
        <w:widowControl/>
        <w:spacing w:line="360" w:lineRule="auto"/>
        <w:ind w:firstLine="480" w:firstLineChars="200"/>
        <w:outlineLvl w:val="2"/>
        <w:rPr>
          <w:rFonts w:hint="eastAsia" w:hAnsi="宋体" w:cs="宋体"/>
          <w:color w:val="000000"/>
          <w:szCs w:val="24"/>
        </w:rPr>
      </w:pPr>
      <w:r>
        <w:rPr>
          <w:rFonts w:hint="eastAsia" w:hAnsi="宋体" w:cs="宋体"/>
          <w:color w:val="000000"/>
          <w:szCs w:val="24"/>
        </w:rPr>
        <w:t>36.1本项目是否属于信用担保试点范围见供应商须知前附表。</w:t>
      </w:r>
    </w:p>
    <w:p>
      <w:pPr>
        <w:widowControl/>
        <w:spacing w:line="360" w:lineRule="auto"/>
        <w:ind w:firstLine="480" w:firstLineChars="200"/>
        <w:rPr>
          <w:rFonts w:hint="eastAsia" w:hAnsi="宋体" w:cs="宋体"/>
          <w:color w:val="000000"/>
          <w:szCs w:val="24"/>
        </w:rPr>
      </w:pPr>
      <w:r>
        <w:rPr>
          <w:rFonts w:hint="eastAsia" w:hAnsi="宋体" w:cs="宋体"/>
          <w:color w:val="000000"/>
          <w:szCs w:val="24"/>
        </w:rPr>
        <w:t>36.2如属于政府采购信用担保试点范围内，中小型企业供应商可以自由按照财政部门的规定，采用履约担保和融资担保。</w:t>
      </w:r>
    </w:p>
    <w:p>
      <w:pPr>
        <w:widowControl/>
        <w:spacing w:line="360" w:lineRule="auto"/>
        <w:ind w:firstLine="480" w:firstLineChars="200"/>
        <w:outlineLvl w:val="3"/>
        <w:rPr>
          <w:rFonts w:hint="eastAsia" w:hAnsi="宋体" w:cs="宋体"/>
          <w:color w:val="000000"/>
          <w:szCs w:val="24"/>
        </w:rPr>
      </w:pPr>
      <w:r>
        <w:rPr>
          <w:rFonts w:hint="eastAsia" w:hAnsi="宋体" w:cs="宋体"/>
          <w:color w:val="000000"/>
          <w:szCs w:val="24"/>
        </w:rPr>
        <w:t>36.2.1供应商递交的履约担保函应符合本招标文件的规定。</w:t>
      </w:r>
    </w:p>
    <w:p>
      <w:pPr>
        <w:widowControl/>
        <w:spacing w:line="360" w:lineRule="auto"/>
        <w:ind w:firstLine="480" w:firstLineChars="200"/>
        <w:rPr>
          <w:rFonts w:hint="eastAsia" w:hAnsi="宋体" w:cs="宋体"/>
          <w:color w:val="000000"/>
          <w:szCs w:val="24"/>
        </w:rPr>
      </w:pPr>
      <w:r>
        <w:rPr>
          <w:rFonts w:hint="eastAsia" w:hAnsi="宋体" w:cs="宋体"/>
          <w:color w:val="000000"/>
          <w:szCs w:val="24"/>
        </w:rPr>
        <w:t>36.2.2中标人可以采取融资担保的形式为政府采购项目履约进行融资。</w:t>
      </w:r>
    </w:p>
    <w:p>
      <w:pPr>
        <w:widowControl/>
        <w:spacing w:line="360" w:lineRule="auto"/>
        <w:ind w:firstLine="480" w:firstLineChars="200"/>
        <w:rPr>
          <w:rFonts w:hint="eastAsia" w:hAnsi="宋体" w:cs="宋体"/>
          <w:color w:val="000000"/>
          <w:szCs w:val="24"/>
        </w:rPr>
      </w:pPr>
      <w:r>
        <w:rPr>
          <w:rFonts w:hint="eastAsia" w:hAnsi="宋体" w:cs="宋体"/>
          <w:color w:val="000000"/>
          <w:szCs w:val="24"/>
        </w:rPr>
        <w:t>36.2.3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w:t>
      </w:r>
      <w:r>
        <w:rPr>
          <w:rFonts w:hint="eastAsia" w:hAnsi="宋体" w:cs="宋体"/>
          <w:kern w:val="2"/>
          <w:szCs w:val="24"/>
        </w:rPr>
        <w:t>〔</w:t>
      </w:r>
      <w:r>
        <w:rPr>
          <w:rFonts w:hint="eastAsia" w:hAnsi="宋体" w:cs="宋体"/>
          <w:color w:val="000000"/>
          <w:szCs w:val="24"/>
        </w:rPr>
        <w:t>2020</w:t>
      </w:r>
      <w:r>
        <w:rPr>
          <w:rFonts w:hint="eastAsia" w:hAnsi="宋体" w:cs="宋体"/>
          <w:kern w:val="2"/>
          <w:szCs w:val="24"/>
        </w:rPr>
        <w:t>〕</w:t>
      </w:r>
      <w:r>
        <w:rPr>
          <w:rFonts w:hint="eastAsia" w:hAnsi="宋体" w:cs="宋体"/>
          <w:color w:val="000000"/>
          <w:szCs w:val="24"/>
        </w:rPr>
        <w:t>46号）、《陕西省财政厅关于加快推进我省中小企业政府采购信用融资工作的通知》（陕财办采</w:t>
      </w:r>
      <w:r>
        <w:rPr>
          <w:rFonts w:hint="eastAsia" w:hAnsi="宋体" w:cs="宋体"/>
          <w:kern w:val="2"/>
          <w:szCs w:val="24"/>
        </w:rPr>
        <w:t>〔</w:t>
      </w:r>
      <w:r>
        <w:rPr>
          <w:rFonts w:hint="eastAsia" w:hAnsi="宋体" w:cs="宋体"/>
          <w:color w:val="000000"/>
          <w:szCs w:val="24"/>
        </w:rPr>
        <w:t>2020〕15号）、《陕西省财政厅关于印发&lt;陕西省中小企业政府采购信用融资办法&gt;的通知》（陕财办采〔2018〕23号），按照市场主导、财政引导、银企自愿、风险自担的原则，中标（成交）供应商可根据自身资金需求，登录陕西省政府采购信用融资平台（http://www.ccgp-shaanxi.gov.cn/zcdservice/zcd/shanxi/）在线申请，依法参加政府采购信用融资活动。</w:t>
      </w:r>
    </w:p>
    <w:p>
      <w:pPr>
        <w:widowControl/>
        <w:spacing w:line="360" w:lineRule="auto"/>
        <w:ind w:firstLine="480" w:firstLineChars="200"/>
        <w:outlineLvl w:val="3"/>
        <w:rPr>
          <w:rFonts w:hint="eastAsia" w:hAnsi="宋体" w:cs="宋体"/>
          <w:color w:val="000000"/>
          <w:szCs w:val="24"/>
        </w:rPr>
      </w:pPr>
      <w:r>
        <w:rPr>
          <w:rFonts w:hint="eastAsia" w:hAnsi="宋体" w:cs="宋体"/>
          <w:color w:val="000000"/>
          <w:szCs w:val="24"/>
        </w:rPr>
        <w:t>36.2.4陕西政府采购供应商信用融资信息服务平台操作手册</w:t>
      </w:r>
    </w:p>
    <w:p>
      <w:pPr>
        <w:widowControl/>
        <w:spacing w:line="360" w:lineRule="auto"/>
        <w:ind w:firstLine="480" w:firstLineChars="200"/>
        <w:rPr>
          <w:rFonts w:hint="eastAsia" w:hAnsi="宋体" w:cs="宋体"/>
          <w:color w:val="000000"/>
          <w:szCs w:val="24"/>
        </w:rPr>
      </w:pPr>
      <w:r>
        <w:rPr>
          <w:rFonts w:hint="eastAsia" w:hAnsi="宋体" w:cs="宋体"/>
          <w:color w:val="000000"/>
          <w:szCs w:val="24"/>
        </w:rPr>
        <w:t>陕西政府采购供应商信用融资信息服务平台主要功能为：供应商凭中标项目或成交合同提交融资意向，查看融资申请进度等功能，本操作手册将详细说明这些功能。</w:t>
      </w:r>
    </w:p>
    <w:p>
      <w:pPr>
        <w:pStyle w:val="3"/>
        <w:spacing w:line="360" w:lineRule="auto"/>
        <w:jc w:val="center"/>
        <w:rPr>
          <w:rFonts w:hint="eastAsia" w:ascii="宋体" w:eastAsia="宋体" w:cs="宋体"/>
          <w:bCs/>
          <w:kern w:val="0"/>
          <w:sz w:val="24"/>
          <w:szCs w:val="24"/>
        </w:rPr>
      </w:pPr>
      <w:bookmarkStart w:id="110" w:name="_Toc20892"/>
      <w:r>
        <w:rPr>
          <w:rFonts w:hint="eastAsia" w:ascii="宋体" w:eastAsia="宋体" w:cs="宋体"/>
        </w:rPr>
        <w:drawing>
          <wp:inline distT="0" distB="0" distL="0" distR="0">
            <wp:extent cx="5268595" cy="3691255"/>
            <wp:effectExtent l="0" t="0" r="825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68595" cy="3691255"/>
                    </a:xfrm>
                    <a:prstGeom prst="rect">
                      <a:avLst/>
                    </a:prstGeom>
                    <a:noFill/>
                    <a:ln>
                      <a:noFill/>
                    </a:ln>
                  </pic:spPr>
                </pic:pic>
              </a:graphicData>
            </a:graphic>
          </wp:inline>
        </w:drawing>
      </w:r>
      <w:bookmarkEnd w:id="110"/>
    </w:p>
    <w:p>
      <w:pPr>
        <w:pStyle w:val="19"/>
        <w:spacing w:after="0" w:line="360" w:lineRule="auto"/>
        <w:jc w:val="left"/>
        <w:rPr>
          <w:rFonts w:ascii="宋体" w:hAnsi="宋体" w:cs="宋体"/>
          <w:sz w:val="24"/>
          <w:szCs w:val="24"/>
        </w:rPr>
      </w:pPr>
      <w:bookmarkStart w:id="111" w:name="_Toc30116"/>
      <w:r>
        <w:rPr>
          <w:rFonts w:hint="eastAsia" w:ascii="宋体" w:eastAsia="宋体" w:cs="宋体"/>
        </w:rPr>
        <w:drawing>
          <wp:inline distT="0" distB="0" distL="0" distR="0">
            <wp:extent cx="5268595" cy="3791585"/>
            <wp:effectExtent l="0" t="0" r="8255" b="184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68595" cy="3791585"/>
                    </a:xfrm>
                    <a:prstGeom prst="rect">
                      <a:avLst/>
                    </a:prstGeom>
                    <a:noFill/>
                    <a:ln>
                      <a:noFill/>
                    </a:ln>
                  </pic:spPr>
                </pic:pic>
              </a:graphicData>
            </a:graphic>
          </wp:inline>
        </w:drawing>
      </w:r>
      <w:r>
        <w:rPr>
          <w:rFonts w:hint="eastAsia" w:ascii="宋体" w:eastAsia="宋体" w:cs="宋体"/>
        </w:rPr>
        <w:drawing>
          <wp:inline distT="0" distB="0" distL="0" distR="0">
            <wp:extent cx="5276850" cy="39179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6850" cy="3917950"/>
                    </a:xfrm>
                    <a:prstGeom prst="rect">
                      <a:avLst/>
                    </a:prstGeom>
                    <a:noFill/>
                    <a:ln>
                      <a:noFill/>
                    </a:ln>
                  </pic:spPr>
                </pic:pic>
              </a:graphicData>
            </a:graphic>
          </wp:inline>
        </w:drawing>
      </w:r>
      <w:r>
        <w:rPr>
          <w:rFonts w:hint="eastAsia" w:ascii="宋体" w:eastAsia="宋体" w:cs="宋体"/>
        </w:rPr>
        <w:drawing>
          <wp:inline distT="0" distB="0" distL="0" distR="0">
            <wp:extent cx="5268595" cy="3968115"/>
            <wp:effectExtent l="0" t="0" r="8255" b="133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68595" cy="3968115"/>
                    </a:xfrm>
                    <a:prstGeom prst="rect">
                      <a:avLst/>
                    </a:prstGeom>
                    <a:noFill/>
                    <a:ln>
                      <a:noFill/>
                    </a:ln>
                  </pic:spPr>
                </pic:pic>
              </a:graphicData>
            </a:graphic>
          </wp:inline>
        </w:drawing>
      </w:r>
      <w:r>
        <w:rPr>
          <w:rFonts w:hint="eastAsia" w:ascii="宋体" w:eastAsia="宋体" w:cs="宋体"/>
        </w:rPr>
        <w:drawing>
          <wp:inline distT="0" distB="0" distL="0" distR="0">
            <wp:extent cx="5151120" cy="4378960"/>
            <wp:effectExtent l="0" t="0" r="1143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151120" cy="4378960"/>
                    </a:xfrm>
                    <a:prstGeom prst="rect">
                      <a:avLst/>
                    </a:prstGeom>
                    <a:noFill/>
                    <a:ln>
                      <a:noFill/>
                    </a:ln>
                    <a:effectLst/>
                  </pic:spPr>
                </pic:pic>
              </a:graphicData>
            </a:graphic>
          </wp:inline>
        </w:drawing>
      </w:r>
      <w:r>
        <w:rPr>
          <w:rFonts w:hint="eastAsia" w:ascii="宋体" w:eastAsia="宋体" w:cs="宋体"/>
        </w:rPr>
        <w:drawing>
          <wp:inline distT="0" distB="0" distL="0" distR="0">
            <wp:extent cx="5151120" cy="3741420"/>
            <wp:effectExtent l="0" t="0" r="11430" b="1143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151120" cy="3741420"/>
                    </a:xfrm>
                    <a:prstGeom prst="rect">
                      <a:avLst/>
                    </a:prstGeom>
                    <a:noFill/>
                    <a:ln>
                      <a:noFill/>
                    </a:ln>
                    <a:effectLst/>
                  </pic:spPr>
                </pic:pic>
              </a:graphicData>
            </a:graphic>
          </wp:inline>
        </w:drawing>
      </w:r>
      <w:r>
        <w:rPr>
          <w:rFonts w:hint="eastAsia" w:ascii="宋体" w:eastAsia="宋体" w:cs="宋体"/>
        </w:rPr>
        <w:drawing>
          <wp:inline distT="0" distB="0" distL="0" distR="0">
            <wp:extent cx="5276850" cy="5066665"/>
            <wp:effectExtent l="0" t="0" r="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6850" cy="5066665"/>
                    </a:xfrm>
                    <a:prstGeom prst="rect">
                      <a:avLst/>
                    </a:prstGeom>
                    <a:noFill/>
                    <a:ln>
                      <a:noFill/>
                    </a:ln>
                  </pic:spPr>
                </pic:pic>
              </a:graphicData>
            </a:graphic>
          </wp:inline>
        </w:drawing>
      </w:r>
      <w:r>
        <w:rPr>
          <w:rFonts w:hint="eastAsia" w:ascii="宋体" w:eastAsia="宋体" w:cs="宋体"/>
        </w:rPr>
        <w:drawing>
          <wp:inline distT="0" distB="0" distL="0" distR="0">
            <wp:extent cx="5268595" cy="3213100"/>
            <wp:effectExtent l="0" t="0" r="8255"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68595" cy="3213100"/>
                    </a:xfrm>
                    <a:prstGeom prst="rect">
                      <a:avLst/>
                    </a:prstGeom>
                    <a:noFill/>
                    <a:ln>
                      <a:noFill/>
                    </a:ln>
                  </pic:spPr>
                </pic:pic>
              </a:graphicData>
            </a:graphic>
          </wp:inline>
        </w:drawing>
      </w:r>
      <w:r>
        <w:rPr>
          <w:rFonts w:hint="eastAsia" w:ascii="宋体" w:eastAsia="宋体" w:cs="宋体"/>
        </w:rPr>
        <w:drawing>
          <wp:inline distT="0" distB="0" distL="0" distR="0">
            <wp:extent cx="5268595" cy="4127500"/>
            <wp:effectExtent l="0" t="0" r="8255"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68595" cy="4127500"/>
                    </a:xfrm>
                    <a:prstGeom prst="rect">
                      <a:avLst/>
                    </a:prstGeom>
                    <a:noFill/>
                    <a:ln>
                      <a:noFill/>
                    </a:ln>
                  </pic:spPr>
                </pic:pic>
              </a:graphicData>
            </a:graphic>
          </wp:inline>
        </w:drawing>
      </w:r>
      <w:r>
        <w:rPr>
          <w:rFonts w:hint="eastAsia" w:ascii="宋体" w:eastAsia="宋体" w:cs="宋体"/>
        </w:rPr>
        <w:drawing>
          <wp:inline distT="0" distB="0" distL="0" distR="0">
            <wp:extent cx="5268595" cy="5100320"/>
            <wp:effectExtent l="0" t="0" r="8255"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68595" cy="5100320"/>
                    </a:xfrm>
                    <a:prstGeom prst="rect">
                      <a:avLst/>
                    </a:prstGeom>
                    <a:noFill/>
                    <a:ln>
                      <a:noFill/>
                    </a:ln>
                  </pic:spPr>
                </pic:pic>
              </a:graphicData>
            </a:graphic>
          </wp:inline>
        </w:drawing>
      </w:r>
      <w:r>
        <w:rPr>
          <w:rFonts w:hint="eastAsia" w:ascii="宋体" w:eastAsia="宋体" w:cs="宋体"/>
        </w:rPr>
        <w:drawing>
          <wp:inline distT="0" distB="0" distL="0" distR="0">
            <wp:extent cx="5268595" cy="1376045"/>
            <wp:effectExtent l="0" t="0" r="8255" b="146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68595" cy="1376045"/>
                    </a:xfrm>
                    <a:prstGeom prst="rect">
                      <a:avLst/>
                    </a:prstGeom>
                    <a:noFill/>
                    <a:ln>
                      <a:noFill/>
                    </a:ln>
                  </pic:spPr>
                </pic:pic>
              </a:graphicData>
            </a:graphic>
          </wp:inline>
        </w:drawing>
      </w:r>
      <w:bookmarkEnd w:id="111"/>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3"/>
        <w:jc w:val="center"/>
        <w:rPr>
          <w:rFonts w:ascii="宋体" w:eastAsia="宋体" w:cs="宋体"/>
          <w:sz w:val="36"/>
          <w:szCs w:val="36"/>
        </w:rPr>
      </w:pPr>
      <w:bookmarkStart w:id="112" w:name="_Toc15898"/>
      <w:bookmarkStart w:id="113" w:name="_Toc3798"/>
      <w:bookmarkStart w:id="114" w:name="_Toc11810"/>
      <w:bookmarkStart w:id="115" w:name="_Toc403077645"/>
      <w:bookmarkStart w:id="116" w:name="_Toc26389"/>
      <w:bookmarkStart w:id="117" w:name="_Toc426457694"/>
      <w:r>
        <w:rPr>
          <w:rFonts w:hint="eastAsia" w:ascii="宋体" w:eastAsia="宋体" w:cs="宋体"/>
          <w:sz w:val="36"/>
          <w:szCs w:val="36"/>
        </w:rPr>
        <w:t>第三章  合同条款及格式</w:t>
      </w:r>
      <w:bookmarkEnd w:id="112"/>
      <w:bookmarkEnd w:id="113"/>
      <w:bookmarkEnd w:id="114"/>
      <w:bookmarkEnd w:id="115"/>
      <w:bookmarkEnd w:id="116"/>
      <w:bookmarkEnd w:id="117"/>
    </w:p>
    <w:p>
      <w:pPr>
        <w:spacing w:line="360" w:lineRule="auto"/>
        <w:ind w:firstLine="480" w:firstLineChars="200"/>
        <w:rPr>
          <w:rFonts w:hAnsi="宋体" w:cs="宋体"/>
          <w:bCs/>
          <w:szCs w:val="24"/>
        </w:rPr>
      </w:pPr>
      <w:bookmarkStart w:id="118" w:name="_Toc19246"/>
      <w:bookmarkStart w:id="119" w:name="_Toc426457696"/>
      <w:bookmarkStart w:id="120" w:name="_Toc31520"/>
      <w:bookmarkStart w:id="121" w:name="_Toc8333"/>
      <w:bookmarkStart w:id="122" w:name="_Toc29888"/>
      <w:bookmarkStart w:id="123" w:name="_Toc9053"/>
      <w:bookmarkStart w:id="124" w:name="_Toc20230"/>
      <w:bookmarkStart w:id="125" w:name="_Toc389582037"/>
      <w:bookmarkStart w:id="126" w:name="_Toc26595"/>
      <w:bookmarkStart w:id="127" w:name="_Toc19199"/>
      <w:bookmarkStart w:id="128" w:name="_Toc31683"/>
      <w:r>
        <w:rPr>
          <w:rFonts w:hint="eastAsia" w:hAnsi="宋体" w:cs="宋体"/>
          <w:bCs/>
          <w:szCs w:val="24"/>
        </w:rPr>
        <w:t>依据《中华人民共和国民法典》，遵循平等、自愿、公平和诚信原则，合同双方就</w:t>
      </w:r>
      <w:r>
        <w:rPr>
          <w:rFonts w:hint="eastAsia" w:hAnsi="宋体" w:cs="宋体"/>
          <w:bCs/>
          <w:szCs w:val="24"/>
          <w:u w:val="single"/>
        </w:rPr>
        <w:t xml:space="preserve">   （项目名称）</w:t>
      </w:r>
      <w:r>
        <w:rPr>
          <w:rFonts w:hint="eastAsia" w:hAnsi="宋体" w:cs="宋体"/>
          <w:szCs w:val="24"/>
        </w:rPr>
        <w:t>事宜经协商一致，订立本合同。</w:t>
      </w:r>
    </w:p>
    <w:p>
      <w:pPr>
        <w:spacing w:line="360" w:lineRule="auto"/>
        <w:ind w:firstLine="482" w:firstLineChars="200"/>
        <w:rPr>
          <w:rFonts w:hAnsi="宋体" w:cs="宋体"/>
          <w:b/>
          <w:bCs/>
          <w:szCs w:val="24"/>
        </w:rPr>
      </w:pPr>
      <w:r>
        <w:rPr>
          <w:rFonts w:hint="eastAsia" w:hAnsi="宋体" w:cs="宋体"/>
          <w:b/>
          <w:bCs/>
          <w:szCs w:val="24"/>
        </w:rPr>
        <w:t>一、合同双方</w:t>
      </w:r>
    </w:p>
    <w:p>
      <w:pPr>
        <w:spacing w:line="360" w:lineRule="auto"/>
        <w:ind w:firstLine="480" w:firstLineChars="200"/>
        <w:rPr>
          <w:rFonts w:hAnsi="宋体" w:cs="宋体"/>
          <w:szCs w:val="24"/>
          <w:u w:val="single"/>
        </w:rPr>
      </w:pPr>
      <w:r>
        <w:rPr>
          <w:rFonts w:hint="eastAsia" w:hAnsi="宋体" w:cs="宋体"/>
          <w:szCs w:val="24"/>
          <w:u w:val="single"/>
        </w:rPr>
        <w:t>甲方：西安市公安局未央分局</w:t>
      </w:r>
    </w:p>
    <w:p>
      <w:pPr>
        <w:spacing w:line="360" w:lineRule="auto"/>
        <w:ind w:firstLine="480" w:firstLineChars="200"/>
        <w:rPr>
          <w:rFonts w:hAnsi="宋体" w:cs="宋体"/>
          <w:szCs w:val="24"/>
          <w:u w:val="single"/>
        </w:rPr>
      </w:pPr>
      <w:r>
        <w:rPr>
          <w:rFonts w:hint="eastAsia" w:hAnsi="宋体" w:cs="宋体"/>
          <w:szCs w:val="24"/>
          <w:u w:val="single"/>
        </w:rPr>
        <w:t xml:space="preserve">乙方：                    </w:t>
      </w:r>
    </w:p>
    <w:p>
      <w:pPr>
        <w:pStyle w:val="32"/>
        <w:spacing w:line="360" w:lineRule="auto"/>
        <w:ind w:firstLine="482" w:firstLineChars="200"/>
        <w:rPr>
          <w:rFonts w:hAnsi="宋体" w:cs="宋体"/>
          <w:b/>
          <w:bCs/>
          <w:szCs w:val="24"/>
        </w:rPr>
      </w:pPr>
      <w:r>
        <w:rPr>
          <w:rFonts w:hint="eastAsia" w:hAnsi="宋体" w:cs="宋体"/>
          <w:b/>
          <w:bCs/>
          <w:szCs w:val="24"/>
        </w:rPr>
        <w:t>二、合同标的的内容、规格、数量</w:t>
      </w:r>
    </w:p>
    <w:tbl>
      <w:tblPr>
        <w:tblStyle w:val="46"/>
        <w:tblW w:w="9417" w:type="dxa"/>
        <w:tblInd w:w="10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287"/>
        <w:gridCol w:w="4313"/>
        <w:gridCol w:w="1037"/>
        <w:gridCol w:w="1027"/>
        <w:gridCol w:w="10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36" w:hRule="atLeast"/>
        </w:trPr>
        <w:tc>
          <w:tcPr>
            <w:tcW w:w="720" w:type="dxa"/>
            <w:vAlign w:val="center"/>
          </w:tcPr>
          <w:p>
            <w:pPr>
              <w:spacing w:line="360" w:lineRule="auto"/>
              <w:jc w:val="center"/>
              <w:rPr>
                <w:rFonts w:hAnsi="宋体" w:cs="宋体"/>
                <w:b/>
                <w:bCs/>
                <w:szCs w:val="24"/>
              </w:rPr>
            </w:pPr>
            <w:r>
              <w:rPr>
                <w:rFonts w:hint="eastAsia" w:hAnsi="宋体" w:cs="宋体"/>
                <w:b/>
                <w:bCs/>
                <w:szCs w:val="24"/>
              </w:rPr>
              <w:t>序号</w:t>
            </w:r>
          </w:p>
        </w:tc>
        <w:tc>
          <w:tcPr>
            <w:tcW w:w="1287" w:type="dxa"/>
            <w:vAlign w:val="center"/>
          </w:tcPr>
          <w:p>
            <w:pPr>
              <w:spacing w:line="360" w:lineRule="auto"/>
              <w:jc w:val="center"/>
              <w:rPr>
                <w:rFonts w:hAnsi="宋体" w:cs="宋体"/>
                <w:b/>
                <w:bCs/>
                <w:szCs w:val="24"/>
              </w:rPr>
            </w:pPr>
            <w:r>
              <w:rPr>
                <w:rFonts w:hint="eastAsia" w:hAnsi="宋体" w:cs="宋体"/>
                <w:b/>
                <w:bCs/>
                <w:szCs w:val="24"/>
              </w:rPr>
              <w:t>货物名称</w:t>
            </w:r>
          </w:p>
        </w:tc>
        <w:tc>
          <w:tcPr>
            <w:tcW w:w="4313" w:type="dxa"/>
            <w:vAlign w:val="center"/>
          </w:tcPr>
          <w:p>
            <w:pPr>
              <w:spacing w:line="360" w:lineRule="auto"/>
              <w:jc w:val="center"/>
              <w:rPr>
                <w:rFonts w:hAnsi="宋体" w:cs="宋体"/>
                <w:b/>
                <w:bCs/>
                <w:szCs w:val="24"/>
              </w:rPr>
            </w:pPr>
            <w:r>
              <w:rPr>
                <w:rFonts w:hint="eastAsia" w:hAnsi="宋体" w:cs="宋体"/>
                <w:b/>
                <w:bCs/>
                <w:szCs w:val="24"/>
              </w:rPr>
              <w:t>产品参数</w:t>
            </w:r>
          </w:p>
        </w:tc>
        <w:tc>
          <w:tcPr>
            <w:tcW w:w="1037" w:type="dxa"/>
            <w:vAlign w:val="center"/>
          </w:tcPr>
          <w:p>
            <w:pPr>
              <w:spacing w:line="360" w:lineRule="auto"/>
              <w:rPr>
                <w:rFonts w:hAnsi="宋体" w:cs="宋体"/>
                <w:b/>
                <w:bCs/>
                <w:szCs w:val="24"/>
              </w:rPr>
            </w:pPr>
            <w:r>
              <w:rPr>
                <w:rFonts w:hint="eastAsia" w:hAnsi="宋体" w:cs="宋体"/>
                <w:b/>
                <w:bCs/>
                <w:szCs w:val="24"/>
              </w:rPr>
              <w:t>数量</w:t>
            </w:r>
          </w:p>
        </w:tc>
        <w:tc>
          <w:tcPr>
            <w:tcW w:w="1027" w:type="dxa"/>
            <w:vAlign w:val="center"/>
          </w:tcPr>
          <w:p>
            <w:pPr>
              <w:spacing w:line="360" w:lineRule="auto"/>
              <w:rPr>
                <w:rFonts w:hAnsi="宋体" w:cs="宋体"/>
                <w:b/>
                <w:bCs/>
                <w:szCs w:val="24"/>
              </w:rPr>
            </w:pPr>
            <w:r>
              <w:rPr>
                <w:rFonts w:hint="eastAsia" w:hAnsi="宋体" w:cs="宋体"/>
                <w:b/>
                <w:bCs/>
                <w:szCs w:val="24"/>
              </w:rPr>
              <w:t>单价（元）</w:t>
            </w:r>
          </w:p>
        </w:tc>
        <w:tc>
          <w:tcPr>
            <w:tcW w:w="1033" w:type="dxa"/>
            <w:vAlign w:val="center"/>
          </w:tcPr>
          <w:p>
            <w:pPr>
              <w:spacing w:line="360" w:lineRule="auto"/>
              <w:rPr>
                <w:rFonts w:hAnsi="宋体" w:cs="宋体"/>
                <w:b/>
                <w:bCs/>
                <w:szCs w:val="24"/>
              </w:rPr>
            </w:pPr>
            <w:r>
              <w:rPr>
                <w:rFonts w:hint="eastAsia" w:hAnsi="宋体" w:cs="宋体"/>
                <w:b/>
                <w:bCs/>
                <w:szCs w:val="24"/>
              </w:rPr>
              <w:t>总价（元）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720" w:type="dxa"/>
            <w:vAlign w:val="center"/>
          </w:tcPr>
          <w:p>
            <w:pPr>
              <w:spacing w:line="360" w:lineRule="auto"/>
              <w:jc w:val="center"/>
              <w:rPr>
                <w:rFonts w:hAnsi="宋体" w:cs="宋体"/>
                <w:szCs w:val="24"/>
              </w:rPr>
            </w:pPr>
          </w:p>
        </w:tc>
        <w:tc>
          <w:tcPr>
            <w:tcW w:w="1287" w:type="dxa"/>
            <w:vAlign w:val="center"/>
          </w:tcPr>
          <w:p>
            <w:pPr>
              <w:widowControl/>
              <w:spacing w:line="360" w:lineRule="auto"/>
              <w:jc w:val="center"/>
              <w:rPr>
                <w:rFonts w:hAnsi="宋体" w:cs="宋体"/>
                <w:szCs w:val="24"/>
              </w:rPr>
            </w:pPr>
          </w:p>
        </w:tc>
        <w:tc>
          <w:tcPr>
            <w:tcW w:w="4313" w:type="dxa"/>
            <w:vAlign w:val="center"/>
          </w:tcPr>
          <w:p>
            <w:pPr>
              <w:spacing w:line="360" w:lineRule="auto"/>
              <w:jc w:val="center"/>
              <w:rPr>
                <w:rFonts w:hAnsi="宋体" w:cs="宋体"/>
                <w:szCs w:val="24"/>
              </w:rPr>
            </w:pPr>
          </w:p>
        </w:tc>
        <w:tc>
          <w:tcPr>
            <w:tcW w:w="1037" w:type="dxa"/>
            <w:vAlign w:val="center"/>
          </w:tcPr>
          <w:p>
            <w:pPr>
              <w:spacing w:line="360" w:lineRule="auto"/>
              <w:jc w:val="center"/>
              <w:rPr>
                <w:rFonts w:hAnsi="宋体" w:cs="宋体"/>
                <w:szCs w:val="24"/>
              </w:rPr>
            </w:pPr>
          </w:p>
        </w:tc>
        <w:tc>
          <w:tcPr>
            <w:tcW w:w="1027" w:type="dxa"/>
            <w:vAlign w:val="center"/>
          </w:tcPr>
          <w:p>
            <w:pPr>
              <w:spacing w:line="360" w:lineRule="auto"/>
              <w:jc w:val="center"/>
              <w:rPr>
                <w:rFonts w:hAnsi="宋体" w:cs="宋体"/>
                <w:szCs w:val="24"/>
              </w:rPr>
            </w:pPr>
          </w:p>
        </w:tc>
        <w:tc>
          <w:tcPr>
            <w:tcW w:w="1033" w:type="dxa"/>
            <w:vAlign w:val="center"/>
          </w:tcPr>
          <w:p>
            <w:pPr>
              <w:spacing w:line="360" w:lineRule="auto"/>
              <w:jc w:val="center"/>
              <w:rPr>
                <w:rFonts w:hAnsi="宋体" w:cs="宋体"/>
                <w:szCs w:val="24"/>
              </w:rPr>
            </w:pPr>
          </w:p>
        </w:tc>
      </w:tr>
    </w:tbl>
    <w:p>
      <w:pPr>
        <w:spacing w:line="360" w:lineRule="auto"/>
        <w:ind w:firstLine="482" w:firstLineChars="200"/>
        <w:rPr>
          <w:rFonts w:hAnsi="宋体" w:cs="宋体"/>
          <w:b/>
          <w:bCs/>
          <w:szCs w:val="24"/>
        </w:rPr>
      </w:pPr>
      <w:r>
        <w:rPr>
          <w:rFonts w:hint="eastAsia" w:hAnsi="宋体" w:cs="宋体"/>
          <w:b/>
          <w:bCs/>
          <w:szCs w:val="24"/>
        </w:rPr>
        <w:t>三、合同价格</w:t>
      </w:r>
    </w:p>
    <w:p>
      <w:pPr>
        <w:spacing w:line="360" w:lineRule="auto"/>
        <w:ind w:firstLine="480" w:firstLineChars="200"/>
        <w:rPr>
          <w:rFonts w:hAnsi="宋体" w:cs="宋体"/>
          <w:szCs w:val="24"/>
        </w:rPr>
      </w:pPr>
      <w:r>
        <w:rPr>
          <w:rFonts w:hint="eastAsia" w:hAnsi="宋体" w:cs="宋体"/>
          <w:szCs w:val="24"/>
        </w:rPr>
        <w:t>3.1本合同项下总价款为人民币</w:t>
      </w:r>
      <w:r>
        <w:rPr>
          <w:rFonts w:hint="eastAsia" w:hAnsi="宋体" w:cs="宋体"/>
          <w:szCs w:val="24"/>
          <w:u w:val="single"/>
        </w:rPr>
        <w:t xml:space="preserve">     </w:t>
      </w:r>
      <w:r>
        <w:rPr>
          <w:rFonts w:hint="eastAsia" w:hAnsi="宋体" w:cs="宋体"/>
          <w:szCs w:val="24"/>
        </w:rPr>
        <w:t>元（小写，精确到小数点后两位），即</w:t>
      </w:r>
      <w:r>
        <w:rPr>
          <w:rFonts w:hint="eastAsia" w:hAnsi="宋体" w:cs="宋体"/>
          <w:szCs w:val="24"/>
          <w:u w:val="single"/>
        </w:rPr>
        <w:t xml:space="preserve">     </w:t>
      </w:r>
      <w:r>
        <w:rPr>
          <w:rFonts w:hint="eastAsia" w:hAnsi="宋体" w:cs="宋体"/>
          <w:szCs w:val="24"/>
        </w:rPr>
        <w:t>（大写）。</w:t>
      </w:r>
    </w:p>
    <w:p>
      <w:pPr>
        <w:spacing w:line="360" w:lineRule="auto"/>
        <w:ind w:firstLine="480" w:firstLineChars="200"/>
        <w:rPr>
          <w:rFonts w:hAnsi="宋体" w:cs="宋体"/>
          <w:szCs w:val="24"/>
        </w:rPr>
      </w:pPr>
      <w:r>
        <w:rPr>
          <w:rFonts w:hint="eastAsia" w:hAnsi="宋体" w:cs="宋体"/>
          <w:szCs w:val="24"/>
        </w:rPr>
        <w:t>3.2本项目为</w:t>
      </w:r>
      <w:r>
        <w:rPr>
          <w:rFonts w:hint="eastAsia" w:hAnsi="宋体" w:cs="宋体"/>
          <w:b/>
          <w:bCs/>
          <w:szCs w:val="24"/>
          <w:u w:val="single"/>
        </w:rPr>
        <w:t xml:space="preserve"> 固定总价合同</w:t>
      </w:r>
      <w:r>
        <w:rPr>
          <w:rFonts w:hint="eastAsia" w:hAnsi="宋体" w:cs="宋体"/>
          <w:szCs w:val="24"/>
        </w:rPr>
        <w:t>。本合同总价包括货物设计、制造、包装、仓储、运输装卸、保修期内备品备件、伴随服务等所有含税费用、员工工资，以及供应商认为需要的其他一切费用。系固定不变价格，且不受市场价格变化因素的影响。</w:t>
      </w:r>
    </w:p>
    <w:p>
      <w:pPr>
        <w:spacing w:line="360" w:lineRule="auto"/>
        <w:ind w:firstLine="482" w:firstLineChars="200"/>
        <w:rPr>
          <w:rFonts w:hAnsi="宋体" w:cs="宋体"/>
          <w:b/>
          <w:bCs/>
          <w:szCs w:val="24"/>
        </w:rPr>
      </w:pPr>
      <w:r>
        <w:rPr>
          <w:rFonts w:hint="eastAsia" w:hAnsi="宋体" w:cs="宋体"/>
          <w:b/>
          <w:bCs/>
          <w:szCs w:val="24"/>
        </w:rPr>
        <w:t>四、结算方式</w:t>
      </w:r>
    </w:p>
    <w:p>
      <w:pPr>
        <w:spacing w:line="360" w:lineRule="auto"/>
        <w:ind w:firstLine="480" w:firstLineChars="200"/>
        <w:rPr>
          <w:highlight w:val="yellow"/>
        </w:rPr>
      </w:pPr>
      <w:r>
        <w:rPr>
          <w:rFonts w:hint="eastAsia" w:hAnsi="宋体" w:cs="宋体"/>
          <w:szCs w:val="24"/>
        </w:rPr>
        <w:t>4.1全部货物到达采购人指定地点并验收合格后一次性付清。即人民币</w:t>
      </w:r>
      <w:r>
        <w:rPr>
          <w:rFonts w:hint="eastAsia" w:hAnsi="宋体" w:cs="宋体"/>
          <w:szCs w:val="24"/>
          <w:u w:val="single"/>
        </w:rPr>
        <w:t xml:space="preserve">   </w:t>
      </w:r>
      <w:r>
        <w:rPr>
          <w:rFonts w:hint="eastAsia" w:hAnsi="宋体" w:cs="宋体"/>
          <w:szCs w:val="24"/>
        </w:rPr>
        <w:t>元（小写，精确到小数点后两位），（大写：</w:t>
      </w:r>
      <w:r>
        <w:rPr>
          <w:rFonts w:hint="eastAsia" w:hAnsi="宋体" w:cs="宋体"/>
          <w:szCs w:val="24"/>
          <w:u w:val="single"/>
        </w:rPr>
        <w:t xml:space="preserve">            </w:t>
      </w:r>
      <w:r>
        <w:rPr>
          <w:rFonts w:hint="eastAsia" w:hAnsi="宋体" w:cs="宋体"/>
          <w:szCs w:val="24"/>
        </w:rPr>
        <w:t>）；</w:t>
      </w:r>
    </w:p>
    <w:p>
      <w:pPr>
        <w:spacing w:line="360" w:lineRule="auto"/>
        <w:ind w:firstLine="480" w:firstLineChars="200"/>
        <w:rPr>
          <w:rFonts w:hAnsi="宋体" w:cs="宋体"/>
          <w:szCs w:val="24"/>
        </w:rPr>
      </w:pPr>
      <w:r>
        <w:rPr>
          <w:rFonts w:hint="eastAsia" w:hAnsi="宋体" w:cs="宋体"/>
          <w:szCs w:val="24"/>
        </w:rPr>
        <w:t>4.2付款前，乙方应向甲方开具符合财务、税务规定的等额增值税发票；</w:t>
      </w:r>
    </w:p>
    <w:p>
      <w:pPr>
        <w:spacing w:line="360" w:lineRule="auto"/>
        <w:ind w:firstLine="480" w:firstLineChars="200"/>
        <w:rPr>
          <w:rFonts w:hAnsi="宋体" w:cs="宋体"/>
          <w:szCs w:val="24"/>
        </w:rPr>
      </w:pPr>
      <w:r>
        <w:rPr>
          <w:rFonts w:hint="eastAsia" w:hAnsi="宋体" w:cs="宋体"/>
          <w:szCs w:val="24"/>
        </w:rPr>
        <w:t>4.3支付方式：银行转账；</w:t>
      </w:r>
    </w:p>
    <w:p>
      <w:pPr>
        <w:spacing w:line="360" w:lineRule="auto"/>
        <w:ind w:firstLine="480" w:firstLineChars="200"/>
        <w:rPr>
          <w:rFonts w:hAnsi="宋体" w:cs="宋体"/>
          <w:szCs w:val="24"/>
        </w:rPr>
      </w:pPr>
      <w:r>
        <w:rPr>
          <w:rFonts w:hint="eastAsia" w:hAnsi="宋体" w:cs="宋体"/>
          <w:szCs w:val="24"/>
        </w:rPr>
        <w:t>4.4结算方式：验收合格后填写政府采购项目验收单（一式伍份），发票（按合同总价直开采购人），供应商持成交通知书、供货合同、正式发票、政府采购项目验收单，与采购人结算。</w:t>
      </w:r>
    </w:p>
    <w:p>
      <w:pPr>
        <w:spacing w:line="360" w:lineRule="auto"/>
        <w:ind w:firstLine="482" w:firstLineChars="200"/>
        <w:rPr>
          <w:rFonts w:hAnsi="宋体" w:cs="宋体"/>
          <w:b/>
          <w:bCs/>
          <w:szCs w:val="24"/>
        </w:rPr>
      </w:pPr>
      <w:r>
        <w:rPr>
          <w:rFonts w:hint="eastAsia" w:hAnsi="宋体" w:cs="宋体"/>
          <w:b/>
          <w:bCs/>
          <w:szCs w:val="24"/>
        </w:rPr>
        <w:t>五、供应商开户信息</w:t>
      </w:r>
    </w:p>
    <w:p>
      <w:pPr>
        <w:spacing w:line="360" w:lineRule="auto"/>
        <w:ind w:firstLine="480" w:firstLineChars="200"/>
        <w:rPr>
          <w:rFonts w:hAnsi="宋体" w:cs="宋体"/>
          <w:szCs w:val="24"/>
        </w:rPr>
      </w:pPr>
      <w:r>
        <w:rPr>
          <w:rFonts w:hint="eastAsia" w:hAnsi="宋体" w:cs="宋体"/>
          <w:szCs w:val="24"/>
        </w:rPr>
        <w:t>供应商名称：</w:t>
      </w:r>
      <w:r>
        <w:rPr>
          <w:rFonts w:hint="eastAsia" w:hAnsi="宋体" w:cs="宋体"/>
          <w:szCs w:val="24"/>
          <w:u w:val="single"/>
        </w:rPr>
        <w:t xml:space="preserve">                              </w:t>
      </w:r>
    </w:p>
    <w:p>
      <w:pPr>
        <w:spacing w:line="360" w:lineRule="auto"/>
        <w:ind w:firstLine="480" w:firstLineChars="200"/>
        <w:rPr>
          <w:rFonts w:hAnsi="宋体" w:cs="宋体"/>
          <w:szCs w:val="24"/>
          <w:u w:val="single"/>
        </w:rPr>
      </w:pPr>
      <w:r>
        <w:rPr>
          <w:rFonts w:hint="eastAsia" w:hAnsi="宋体" w:cs="宋体"/>
          <w:szCs w:val="24"/>
        </w:rPr>
        <w:t>开户行名称：</w:t>
      </w:r>
      <w:r>
        <w:rPr>
          <w:rFonts w:hint="eastAsia" w:hAnsi="宋体" w:cs="宋体"/>
          <w:szCs w:val="24"/>
          <w:u w:val="single"/>
        </w:rPr>
        <w:t xml:space="preserve">                              </w:t>
      </w:r>
    </w:p>
    <w:p>
      <w:pPr>
        <w:spacing w:line="360" w:lineRule="auto"/>
        <w:ind w:firstLine="480" w:firstLineChars="200"/>
        <w:rPr>
          <w:rFonts w:hAnsi="宋体" w:cs="宋体"/>
          <w:szCs w:val="24"/>
          <w:u w:val="single"/>
        </w:rPr>
      </w:pPr>
      <w:r>
        <w:rPr>
          <w:rFonts w:hint="eastAsia" w:hAnsi="宋体" w:cs="宋体"/>
          <w:szCs w:val="24"/>
        </w:rPr>
        <w:t>账号：</w:t>
      </w:r>
      <w:r>
        <w:rPr>
          <w:rFonts w:hint="eastAsia" w:hAnsi="宋体" w:cs="宋体"/>
          <w:szCs w:val="24"/>
          <w:u w:val="single"/>
        </w:rPr>
        <w:t xml:space="preserve">                                    </w:t>
      </w:r>
    </w:p>
    <w:p>
      <w:pPr>
        <w:spacing w:line="360" w:lineRule="auto"/>
        <w:ind w:firstLine="482" w:firstLineChars="200"/>
        <w:rPr>
          <w:rFonts w:hAnsi="宋体" w:cs="宋体"/>
          <w:b/>
          <w:bCs/>
          <w:szCs w:val="24"/>
        </w:rPr>
      </w:pPr>
      <w:r>
        <w:rPr>
          <w:rFonts w:hint="eastAsia" w:hAnsi="宋体" w:cs="宋体"/>
          <w:b/>
          <w:bCs/>
          <w:szCs w:val="24"/>
        </w:rPr>
        <w:t>六、合同履行期限、地点和方式</w:t>
      </w:r>
    </w:p>
    <w:p>
      <w:pPr>
        <w:spacing w:line="360" w:lineRule="auto"/>
        <w:ind w:firstLine="480" w:firstLineChars="200"/>
        <w:rPr>
          <w:rFonts w:hAnsi="宋体" w:cs="宋体"/>
          <w:color w:val="auto"/>
          <w:szCs w:val="24"/>
          <w:u w:val="single"/>
        </w:rPr>
      </w:pPr>
      <w:r>
        <w:rPr>
          <w:rFonts w:hint="eastAsia" w:hAnsi="宋体" w:cs="宋体"/>
          <w:color w:val="auto"/>
          <w:szCs w:val="24"/>
        </w:rPr>
        <w:t>6.1交货期：</w:t>
      </w:r>
      <w:bookmarkStart w:id="129" w:name="_Hlk134517998"/>
      <w:r>
        <w:rPr>
          <w:rFonts w:hint="eastAsia" w:hAnsi="宋体" w:cs="宋体"/>
          <w:color w:val="auto"/>
          <w:szCs w:val="24"/>
          <w:u w:val="single"/>
        </w:rPr>
        <w:t>自合同签订之日起</w:t>
      </w:r>
      <w:r>
        <w:rPr>
          <w:rFonts w:hint="eastAsia" w:hAnsi="宋体" w:cs="宋体"/>
          <w:color w:val="auto"/>
          <w:szCs w:val="24"/>
          <w:u w:val="single"/>
          <w:lang w:val="en-US" w:eastAsia="zh-CN"/>
        </w:rPr>
        <w:t>20</w:t>
      </w:r>
      <w:r>
        <w:rPr>
          <w:rFonts w:hint="eastAsia" w:hAnsi="宋体" w:cs="宋体"/>
          <w:color w:val="auto"/>
          <w:szCs w:val="24"/>
          <w:u w:val="single"/>
        </w:rPr>
        <w:t>个日历日内完成全部项目内容，并交付采购人验收合格。</w:t>
      </w:r>
      <w:bookmarkEnd w:id="129"/>
    </w:p>
    <w:p>
      <w:pPr>
        <w:spacing w:line="360" w:lineRule="auto"/>
        <w:ind w:firstLine="480" w:firstLineChars="200"/>
        <w:rPr>
          <w:rFonts w:hAnsi="宋体" w:cs="宋体"/>
          <w:szCs w:val="24"/>
          <w:u w:val="single"/>
        </w:rPr>
      </w:pPr>
      <w:r>
        <w:rPr>
          <w:rFonts w:hint="eastAsia" w:hAnsi="宋体" w:cs="宋体"/>
          <w:szCs w:val="24"/>
        </w:rPr>
        <w:t>6.2交货地点：</w:t>
      </w:r>
      <w:r>
        <w:rPr>
          <w:rFonts w:hint="eastAsia" w:hAnsi="宋体" w:cs="宋体"/>
          <w:szCs w:val="24"/>
          <w:u w:val="single"/>
        </w:rPr>
        <w:t>采购人指定交货地点。</w:t>
      </w:r>
    </w:p>
    <w:p>
      <w:pPr>
        <w:spacing w:line="360" w:lineRule="auto"/>
        <w:ind w:firstLine="480" w:firstLineChars="200"/>
        <w:rPr>
          <w:rFonts w:hAnsi="宋体" w:cs="宋体"/>
          <w:szCs w:val="24"/>
        </w:rPr>
      </w:pPr>
      <w:r>
        <w:rPr>
          <w:rFonts w:hint="eastAsia" w:hAnsi="宋体" w:cs="宋体"/>
          <w:szCs w:val="24"/>
        </w:rPr>
        <w:t>6.3乙方应自行选择适宜的包装方式、运输工具及线路安排合同货物运输。</w:t>
      </w:r>
    </w:p>
    <w:p>
      <w:pPr>
        <w:spacing w:line="360" w:lineRule="auto"/>
        <w:ind w:firstLine="480" w:firstLineChars="200"/>
        <w:rPr>
          <w:rFonts w:hAnsi="宋体" w:cs="宋体"/>
          <w:szCs w:val="24"/>
        </w:rPr>
      </w:pPr>
      <w:r>
        <w:rPr>
          <w:rFonts w:hint="eastAsia" w:hAnsi="宋体" w:cs="宋体"/>
          <w:szCs w:val="24"/>
        </w:rPr>
        <w:t>（1）产品及其备附件的包装应为出厂时的原包装，包装内应附有详细的装箱清单、出厂合格证明及其他相关资料。</w:t>
      </w:r>
    </w:p>
    <w:p>
      <w:pPr>
        <w:spacing w:line="360" w:lineRule="auto"/>
        <w:ind w:firstLine="480" w:firstLineChars="200"/>
        <w:rPr>
          <w:rFonts w:hAnsi="宋体" w:cs="宋体"/>
          <w:szCs w:val="24"/>
        </w:rPr>
      </w:pPr>
      <w:r>
        <w:rPr>
          <w:rFonts w:hint="eastAsia" w:hAnsi="宋体" w:cs="宋体"/>
          <w:szCs w:val="24"/>
        </w:rPr>
        <w:t>（2）运输由成交供应商负责，运杂费已包含在合同总价内，包括从产品供应地点运送至交付地点所含的运输费、装卸费、仓储费、保险费等。</w:t>
      </w:r>
    </w:p>
    <w:p>
      <w:pPr>
        <w:spacing w:line="360" w:lineRule="auto"/>
        <w:ind w:firstLine="480" w:firstLineChars="200"/>
        <w:rPr>
          <w:rFonts w:hAnsi="宋体" w:cs="宋体"/>
          <w:szCs w:val="24"/>
        </w:rPr>
      </w:pPr>
      <w:r>
        <w:rPr>
          <w:rFonts w:hint="eastAsia" w:hAnsi="宋体" w:cs="宋体"/>
          <w:szCs w:val="24"/>
        </w:rPr>
        <w:t>（3）运输方式由成交供应商自行选择，但必须保证按期交付，相关保险费用由乙方承担。</w:t>
      </w:r>
    </w:p>
    <w:p>
      <w:pPr>
        <w:spacing w:line="360" w:lineRule="auto"/>
        <w:ind w:firstLine="480" w:firstLineChars="200"/>
        <w:rPr>
          <w:rFonts w:hAnsi="宋体" w:cs="宋体"/>
          <w:szCs w:val="24"/>
        </w:rPr>
      </w:pPr>
      <w:r>
        <w:rPr>
          <w:rFonts w:hint="eastAsia" w:hAnsi="宋体" w:cs="宋体"/>
          <w:szCs w:val="24"/>
        </w:rPr>
        <w:t>（4）产品及其备附件到达采购人指定地点后，成交供应商应按有关技术规程和采购人要求进行存放和保管。</w:t>
      </w:r>
    </w:p>
    <w:p>
      <w:pPr>
        <w:spacing w:line="360" w:lineRule="auto"/>
        <w:ind w:firstLine="482" w:firstLineChars="200"/>
        <w:rPr>
          <w:rFonts w:hAnsi="宋体" w:cs="宋体"/>
          <w:b/>
          <w:bCs/>
          <w:szCs w:val="24"/>
        </w:rPr>
      </w:pPr>
      <w:r>
        <w:rPr>
          <w:rFonts w:hint="eastAsia" w:hAnsi="宋体" w:cs="宋体"/>
          <w:b/>
          <w:bCs/>
          <w:szCs w:val="24"/>
        </w:rPr>
        <w:t>七、合同当事人的权利和义务</w:t>
      </w:r>
    </w:p>
    <w:p>
      <w:pPr>
        <w:spacing w:line="360" w:lineRule="auto"/>
        <w:ind w:firstLine="480" w:firstLineChars="200"/>
        <w:rPr>
          <w:rFonts w:hAnsi="宋体" w:cs="宋体"/>
          <w:szCs w:val="24"/>
        </w:rPr>
      </w:pPr>
      <w:r>
        <w:rPr>
          <w:rFonts w:hint="eastAsia" w:hAnsi="宋体" w:cs="宋体"/>
          <w:szCs w:val="24"/>
        </w:rPr>
        <w:t>7.1甲方的权利和义务</w:t>
      </w:r>
    </w:p>
    <w:p>
      <w:pPr>
        <w:spacing w:line="360" w:lineRule="auto"/>
        <w:ind w:firstLine="480" w:firstLineChars="200"/>
        <w:rPr>
          <w:rFonts w:hAnsi="宋体" w:cs="宋体"/>
          <w:szCs w:val="24"/>
        </w:rPr>
      </w:pPr>
      <w:r>
        <w:rPr>
          <w:rFonts w:hint="eastAsia" w:hAnsi="宋体" w:cs="宋体"/>
          <w:szCs w:val="24"/>
        </w:rPr>
        <w:t>（1）甲方有权享有乙方按照上述约定提供的货物和服务。</w:t>
      </w:r>
    </w:p>
    <w:p>
      <w:pPr>
        <w:spacing w:line="360" w:lineRule="auto"/>
        <w:ind w:firstLine="480" w:firstLineChars="200"/>
        <w:rPr>
          <w:rFonts w:hAnsi="宋体" w:cs="宋体"/>
          <w:szCs w:val="24"/>
        </w:rPr>
      </w:pPr>
      <w:r>
        <w:rPr>
          <w:rFonts w:hint="eastAsia" w:hAnsi="宋体" w:cs="宋体"/>
          <w:szCs w:val="24"/>
        </w:rPr>
        <w:t>（2）乙方未能按时交付合同货物时，甲方有权要求乙方赔偿违约金。</w:t>
      </w:r>
    </w:p>
    <w:p>
      <w:pPr>
        <w:spacing w:line="360" w:lineRule="auto"/>
        <w:ind w:firstLine="480" w:firstLineChars="200"/>
        <w:rPr>
          <w:rFonts w:hAnsi="宋体" w:cs="宋体"/>
          <w:szCs w:val="24"/>
        </w:rPr>
      </w:pPr>
      <w:r>
        <w:rPr>
          <w:rFonts w:hint="eastAsia" w:hAnsi="宋体" w:cs="宋体"/>
          <w:szCs w:val="24"/>
        </w:rPr>
        <w:t>（3）质保期内货物出现质量问题，接到甲方通知，乙方未能及时作出响应，则甲方有权自行或委托他人解决相关问题，乙方应承担由此发生的全部费用。</w:t>
      </w:r>
    </w:p>
    <w:p>
      <w:pPr>
        <w:spacing w:line="360" w:lineRule="auto"/>
        <w:ind w:firstLine="480" w:firstLineChars="200"/>
        <w:rPr>
          <w:rFonts w:hAnsi="宋体" w:cs="宋体"/>
          <w:szCs w:val="24"/>
        </w:rPr>
      </w:pPr>
      <w:r>
        <w:rPr>
          <w:rFonts w:hint="eastAsia" w:hAnsi="宋体" w:cs="宋体"/>
          <w:szCs w:val="24"/>
        </w:rPr>
        <w:t>（4）乙方货物交付时，甲方应提供必要的便利条件协助乙方完成交付，并及时组织相关人员对货物进行验收。</w:t>
      </w:r>
    </w:p>
    <w:p>
      <w:pPr>
        <w:spacing w:line="360" w:lineRule="auto"/>
        <w:ind w:firstLine="480" w:firstLineChars="200"/>
        <w:rPr>
          <w:rFonts w:hAnsi="宋体" w:cs="宋体"/>
          <w:szCs w:val="24"/>
        </w:rPr>
      </w:pPr>
      <w:r>
        <w:rPr>
          <w:rFonts w:hint="eastAsia" w:hAnsi="宋体" w:cs="宋体"/>
          <w:szCs w:val="24"/>
        </w:rPr>
        <w:t>（5）乙方按照合同完成履约后，甲方应按照合同约定及时支付合同价款。</w:t>
      </w:r>
    </w:p>
    <w:p>
      <w:pPr>
        <w:spacing w:line="360" w:lineRule="auto"/>
        <w:ind w:firstLine="480" w:firstLineChars="200"/>
        <w:rPr>
          <w:rFonts w:hAnsi="宋体" w:cs="宋体"/>
          <w:szCs w:val="24"/>
        </w:rPr>
      </w:pPr>
      <w:r>
        <w:rPr>
          <w:rFonts w:hint="eastAsia" w:hAnsi="宋体" w:cs="宋体"/>
          <w:szCs w:val="24"/>
        </w:rPr>
        <w:t>7.2乙方的权利和义务</w:t>
      </w:r>
    </w:p>
    <w:p>
      <w:pPr>
        <w:spacing w:line="360" w:lineRule="auto"/>
        <w:ind w:firstLine="480" w:firstLineChars="200"/>
        <w:rPr>
          <w:rFonts w:hAnsi="宋体" w:cs="宋体"/>
          <w:szCs w:val="24"/>
        </w:rPr>
      </w:pPr>
      <w:r>
        <w:rPr>
          <w:rFonts w:hint="eastAsia" w:hAnsi="宋体" w:cs="宋体"/>
          <w:szCs w:val="24"/>
        </w:rPr>
        <w:t>（1）乙方有权要求甲方按照合同约定支付合同价款。</w:t>
      </w:r>
    </w:p>
    <w:p>
      <w:pPr>
        <w:spacing w:line="360" w:lineRule="auto"/>
        <w:ind w:firstLine="480" w:firstLineChars="200"/>
        <w:rPr>
          <w:rFonts w:hAnsi="宋体" w:cs="宋体"/>
          <w:szCs w:val="24"/>
        </w:rPr>
      </w:pPr>
      <w:r>
        <w:rPr>
          <w:rFonts w:hint="eastAsia" w:hAnsi="宋体" w:cs="宋体"/>
          <w:szCs w:val="24"/>
        </w:rPr>
        <w:t>（2）乙方应按照合同约定及时交付合同货物。</w:t>
      </w:r>
    </w:p>
    <w:p>
      <w:pPr>
        <w:spacing w:line="360" w:lineRule="auto"/>
        <w:ind w:firstLine="482" w:firstLineChars="200"/>
        <w:rPr>
          <w:rFonts w:hAnsi="宋体" w:cs="宋体"/>
          <w:b/>
          <w:bCs/>
          <w:szCs w:val="24"/>
        </w:rPr>
      </w:pPr>
      <w:r>
        <w:rPr>
          <w:rFonts w:hint="eastAsia" w:hAnsi="宋体" w:cs="宋体"/>
          <w:b/>
          <w:bCs/>
          <w:szCs w:val="24"/>
        </w:rPr>
        <w:t>八、售后服务及培训</w:t>
      </w:r>
    </w:p>
    <w:p>
      <w:pPr>
        <w:spacing w:line="360" w:lineRule="auto"/>
        <w:ind w:firstLine="482" w:firstLineChars="200"/>
        <w:rPr>
          <w:rFonts w:hAnsi="宋体" w:cs="宋体"/>
          <w:szCs w:val="24"/>
        </w:rPr>
      </w:pPr>
      <w:r>
        <w:rPr>
          <w:rFonts w:hint="eastAsia" w:hAnsi="宋体" w:cs="宋体"/>
          <w:b/>
          <w:bCs/>
          <w:szCs w:val="24"/>
        </w:rPr>
        <w:t>质量保证期：自采购人签发最终验收合格证书之日起</w:t>
      </w:r>
      <w:r>
        <w:rPr>
          <w:rFonts w:hint="eastAsia" w:hAnsi="宋体" w:cs="宋体"/>
          <w:b/>
          <w:bCs/>
          <w:szCs w:val="24"/>
          <w:u w:val="single"/>
        </w:rPr>
        <w:t xml:space="preserve"> 壹 </w:t>
      </w:r>
      <w:r>
        <w:rPr>
          <w:rFonts w:hint="eastAsia" w:hAnsi="宋体" w:cs="宋体"/>
          <w:b/>
          <w:bCs/>
          <w:szCs w:val="24"/>
        </w:rPr>
        <w:t>年</w:t>
      </w:r>
      <w:r>
        <w:rPr>
          <w:rFonts w:hint="eastAsia" w:hAnsi="宋体" w:cs="宋体"/>
          <w:szCs w:val="24"/>
        </w:rPr>
        <w:t xml:space="preserve"> ，若该质量保证期小于国家标准，则以国家标准为准。产品终身维修，由乙方承担。</w:t>
      </w:r>
    </w:p>
    <w:p>
      <w:pPr>
        <w:spacing w:line="360" w:lineRule="auto"/>
        <w:ind w:firstLine="482" w:firstLineChars="200"/>
        <w:rPr>
          <w:rFonts w:hAnsi="宋体" w:cs="宋体"/>
          <w:b/>
          <w:bCs/>
          <w:szCs w:val="24"/>
        </w:rPr>
      </w:pPr>
      <w:r>
        <w:rPr>
          <w:rFonts w:hint="eastAsia" w:hAnsi="宋体" w:cs="宋体"/>
          <w:b/>
          <w:bCs/>
          <w:szCs w:val="24"/>
        </w:rPr>
        <w:t>九、质量保证</w:t>
      </w:r>
    </w:p>
    <w:p>
      <w:pPr>
        <w:spacing w:line="360" w:lineRule="auto"/>
        <w:ind w:firstLine="480" w:firstLineChars="200"/>
        <w:rPr>
          <w:rFonts w:hAnsi="宋体" w:cs="宋体"/>
          <w:szCs w:val="24"/>
        </w:rPr>
      </w:pPr>
      <w:r>
        <w:rPr>
          <w:rFonts w:hint="eastAsia" w:hAnsi="宋体" w:cs="宋体"/>
          <w:szCs w:val="24"/>
        </w:rPr>
        <w:t>9.1保证所供产品的设计、制造、产品性能、材料的选择和材料的检验及产品的测试等，均应按国内外通行的现行标准和相应的技术规范执行，这些标准和技术规范应为合同签订日为止最新公布发行的标准和技术规范。</w:t>
      </w:r>
    </w:p>
    <w:p>
      <w:pPr>
        <w:spacing w:line="360" w:lineRule="auto"/>
        <w:ind w:firstLine="480" w:firstLineChars="200"/>
        <w:rPr>
          <w:rFonts w:hAnsi="宋体" w:cs="宋体"/>
          <w:szCs w:val="24"/>
        </w:rPr>
      </w:pPr>
      <w:r>
        <w:rPr>
          <w:rFonts w:hint="eastAsia" w:hAnsi="宋体" w:cs="宋体"/>
          <w:szCs w:val="24"/>
        </w:rPr>
        <w:t>9.2保证所供产品进货渠道正规，无假货、水货或翻新货，并能按期交付。</w:t>
      </w:r>
    </w:p>
    <w:p>
      <w:pPr>
        <w:spacing w:line="360" w:lineRule="auto"/>
        <w:ind w:firstLine="480" w:firstLineChars="200"/>
        <w:rPr>
          <w:rFonts w:hAnsi="宋体" w:cs="宋体"/>
          <w:szCs w:val="24"/>
        </w:rPr>
      </w:pPr>
      <w:r>
        <w:rPr>
          <w:rFonts w:hint="eastAsia" w:hAnsi="宋体" w:cs="宋体"/>
          <w:szCs w:val="24"/>
        </w:rPr>
        <w:t>9.3保证所供产品在装卸、运输和仓储过程中有足够的包装保护，防止产品受潮、锈蚀、遭受冲撞及其他不可预见的损坏。</w:t>
      </w:r>
    </w:p>
    <w:p>
      <w:pPr>
        <w:spacing w:line="360" w:lineRule="auto"/>
        <w:ind w:firstLine="480" w:firstLineChars="200"/>
        <w:rPr>
          <w:rFonts w:hAnsi="宋体" w:cs="宋体"/>
          <w:szCs w:val="24"/>
        </w:rPr>
      </w:pPr>
      <w:r>
        <w:rPr>
          <w:rFonts w:hint="eastAsia" w:hAnsi="宋体" w:cs="宋体"/>
          <w:szCs w:val="24"/>
        </w:rPr>
        <w:t>9.4成交供应商所供产品因侵权而产生的一切后果由成交供应商负责，采购人保留索赔权利。</w:t>
      </w:r>
    </w:p>
    <w:p>
      <w:pPr>
        <w:spacing w:line="360" w:lineRule="auto"/>
        <w:ind w:firstLine="480" w:firstLineChars="200"/>
        <w:rPr>
          <w:rFonts w:hAnsi="宋体" w:cs="宋体"/>
          <w:szCs w:val="24"/>
        </w:rPr>
      </w:pPr>
      <w:r>
        <w:rPr>
          <w:rFonts w:hint="eastAsia" w:hAnsi="宋体" w:cs="宋体"/>
          <w:szCs w:val="24"/>
        </w:rPr>
        <w:t>9.5技术资料</w:t>
      </w:r>
    </w:p>
    <w:p>
      <w:pPr>
        <w:spacing w:line="360" w:lineRule="auto"/>
        <w:ind w:firstLine="480" w:firstLineChars="200"/>
        <w:rPr>
          <w:rFonts w:hAnsi="宋体" w:cs="宋体"/>
          <w:szCs w:val="24"/>
        </w:rPr>
      </w:pPr>
      <w:r>
        <w:rPr>
          <w:rFonts w:hint="eastAsia" w:hAnsi="宋体" w:cs="宋体"/>
          <w:szCs w:val="24"/>
        </w:rPr>
        <w:t>9.5.1产品合格证；</w:t>
      </w:r>
    </w:p>
    <w:p>
      <w:pPr>
        <w:spacing w:line="360" w:lineRule="auto"/>
        <w:ind w:firstLine="480" w:firstLineChars="200"/>
        <w:rPr>
          <w:rFonts w:hAnsi="宋体" w:cs="宋体"/>
          <w:szCs w:val="24"/>
        </w:rPr>
      </w:pPr>
      <w:r>
        <w:rPr>
          <w:rFonts w:hint="eastAsia" w:hAnsi="宋体" w:cs="宋体"/>
          <w:szCs w:val="24"/>
        </w:rPr>
        <w:t>9.5.2产品技术参数；</w:t>
      </w:r>
    </w:p>
    <w:p>
      <w:pPr>
        <w:spacing w:line="360" w:lineRule="auto"/>
        <w:ind w:firstLine="480" w:firstLineChars="200"/>
        <w:rPr>
          <w:rFonts w:hAnsi="宋体" w:cs="宋体"/>
          <w:szCs w:val="24"/>
        </w:rPr>
      </w:pPr>
      <w:r>
        <w:rPr>
          <w:rFonts w:hint="eastAsia" w:hAnsi="宋体" w:cs="宋体"/>
          <w:szCs w:val="24"/>
        </w:rPr>
        <w:t>9.5.3产品使用维护说明书（中文）；</w:t>
      </w:r>
    </w:p>
    <w:p>
      <w:pPr>
        <w:spacing w:line="360" w:lineRule="auto"/>
        <w:ind w:firstLine="480" w:firstLineChars="200"/>
        <w:rPr>
          <w:rFonts w:hAnsi="宋体" w:cs="宋体"/>
          <w:szCs w:val="24"/>
        </w:rPr>
      </w:pPr>
      <w:r>
        <w:rPr>
          <w:rFonts w:hint="eastAsia" w:hAnsi="宋体" w:cs="宋体"/>
          <w:szCs w:val="24"/>
        </w:rPr>
        <w:t>9.5.4其它资料。</w:t>
      </w:r>
    </w:p>
    <w:p>
      <w:pPr>
        <w:spacing w:line="360" w:lineRule="auto"/>
        <w:ind w:firstLine="480" w:firstLineChars="200"/>
        <w:rPr>
          <w:rFonts w:hAnsi="宋体" w:cs="宋体"/>
          <w:szCs w:val="24"/>
        </w:rPr>
      </w:pPr>
      <w:r>
        <w:rPr>
          <w:rFonts w:hint="eastAsia" w:hAnsi="宋体" w:cs="宋体"/>
          <w:szCs w:val="24"/>
        </w:rPr>
        <w:t>9.6服务承诺</w:t>
      </w:r>
    </w:p>
    <w:p>
      <w:pPr>
        <w:spacing w:line="360" w:lineRule="auto"/>
        <w:ind w:firstLine="480" w:firstLineChars="200"/>
        <w:rPr>
          <w:rFonts w:hAnsi="宋体" w:cs="宋体"/>
          <w:b/>
          <w:bCs/>
          <w:szCs w:val="24"/>
        </w:rPr>
      </w:pPr>
      <w:r>
        <w:rPr>
          <w:rFonts w:hint="eastAsia" w:hAnsi="宋体" w:cs="宋体"/>
          <w:szCs w:val="24"/>
        </w:rPr>
        <w:t>以响应文件、澄清表（函）、合同和随产品的相关文件为准。</w:t>
      </w:r>
    </w:p>
    <w:p>
      <w:pPr>
        <w:spacing w:line="360" w:lineRule="auto"/>
        <w:ind w:firstLine="482" w:firstLineChars="200"/>
        <w:rPr>
          <w:rFonts w:hAnsi="宋体" w:cs="宋体"/>
          <w:b/>
          <w:bCs/>
          <w:szCs w:val="24"/>
        </w:rPr>
      </w:pPr>
      <w:r>
        <w:rPr>
          <w:rFonts w:hint="eastAsia" w:hAnsi="宋体" w:cs="宋体"/>
          <w:b/>
          <w:bCs/>
          <w:szCs w:val="24"/>
        </w:rPr>
        <w:t>十、违约责任及赔偿损失的计算办法</w:t>
      </w:r>
    </w:p>
    <w:p>
      <w:pPr>
        <w:spacing w:line="360" w:lineRule="auto"/>
        <w:ind w:firstLine="480" w:firstLineChars="200"/>
        <w:rPr>
          <w:rFonts w:hAnsi="宋体" w:cs="宋体"/>
          <w:szCs w:val="24"/>
        </w:rPr>
      </w:pPr>
      <w:r>
        <w:rPr>
          <w:rFonts w:hint="eastAsia" w:hAnsi="宋体" w:cs="宋体"/>
          <w:szCs w:val="24"/>
        </w:rPr>
        <w:t>10.1按《中华人民共和国民法典》中的相关条款执行。</w:t>
      </w:r>
    </w:p>
    <w:p>
      <w:pPr>
        <w:spacing w:line="360" w:lineRule="auto"/>
        <w:ind w:firstLine="480" w:firstLineChars="200"/>
        <w:rPr>
          <w:rFonts w:hAnsi="宋体" w:cs="宋体"/>
          <w:szCs w:val="24"/>
        </w:rPr>
      </w:pPr>
      <w:r>
        <w:rPr>
          <w:rFonts w:hint="eastAsia" w:hAnsi="宋体" w:cs="宋体"/>
          <w:szCs w:val="24"/>
        </w:rPr>
        <w:t>10.2供应商未按合同要求提供产品或产品质量不能满足合同要求的，采购人应当将供应商违约的情况以及拟采取的措施以书面形式报政府采购监管部门，根据政府采购监管部门的处理意见，采购人有权依据《民法典》有关条款及合同约定终止合同，并要求供应商承担合同价款30%的违约责任。同时，政府采购监管部门有权依据《政府采购法》及相关法律法规对供应商的违法行为进行相应的处罚。</w:t>
      </w:r>
    </w:p>
    <w:p>
      <w:pPr>
        <w:spacing w:line="360" w:lineRule="auto"/>
        <w:ind w:firstLine="480" w:firstLineChars="200"/>
        <w:rPr>
          <w:rFonts w:hAnsi="宋体" w:cs="宋体"/>
          <w:szCs w:val="24"/>
        </w:rPr>
      </w:pPr>
      <w:r>
        <w:rPr>
          <w:rFonts w:hint="eastAsia" w:hAnsi="宋体" w:cs="宋体"/>
          <w:szCs w:val="24"/>
        </w:rPr>
        <w:t>10.3供应商未按照合同要求逾期交货的，每日应按照合同总金额的1‰向采购人支付违约金。</w:t>
      </w:r>
    </w:p>
    <w:p>
      <w:pPr>
        <w:spacing w:line="360" w:lineRule="auto"/>
        <w:ind w:firstLine="482" w:firstLineChars="200"/>
        <w:rPr>
          <w:rFonts w:hAnsi="宋体" w:cs="宋体"/>
          <w:szCs w:val="24"/>
        </w:rPr>
      </w:pPr>
      <w:r>
        <w:rPr>
          <w:rFonts w:hint="eastAsia" w:hAnsi="宋体" w:cs="宋体"/>
          <w:b/>
          <w:bCs/>
          <w:szCs w:val="24"/>
        </w:rPr>
        <w:t>十一、合同变更、解除及终止的条件</w:t>
      </w:r>
    </w:p>
    <w:p>
      <w:pPr>
        <w:spacing w:line="360" w:lineRule="auto"/>
        <w:ind w:firstLine="480" w:firstLineChars="200"/>
        <w:rPr>
          <w:rFonts w:hAnsi="宋体" w:cs="宋体"/>
          <w:szCs w:val="24"/>
        </w:rPr>
      </w:pPr>
      <w:r>
        <w:rPr>
          <w:rFonts w:hint="eastAsia" w:hAnsi="宋体" w:cs="宋体"/>
          <w:szCs w:val="24"/>
        </w:rPr>
        <w:t>11.1本合同在执行过程中，如合同一方提出修改，须报政府采购管理部门同意后，由甲、乙双方签署书面修改协议，并成为本合同不可分割的一部分。除此之外，本合同的条件不得有任何变化或修改。</w:t>
      </w:r>
    </w:p>
    <w:p>
      <w:pPr>
        <w:spacing w:line="360" w:lineRule="auto"/>
        <w:ind w:firstLine="480" w:firstLineChars="200"/>
        <w:rPr>
          <w:rFonts w:hAnsi="宋体" w:cs="宋体"/>
          <w:szCs w:val="24"/>
        </w:rPr>
      </w:pPr>
      <w:r>
        <w:rPr>
          <w:rFonts w:hint="eastAsia" w:hAnsi="宋体" w:cs="宋体"/>
          <w:szCs w:val="24"/>
        </w:rPr>
        <w:t>11.2有下述情形之一，当事人可发出书面通知全部或部分地解除合同，合同自通知到达对方时全部或部分地解除：</w:t>
      </w:r>
    </w:p>
    <w:p>
      <w:pPr>
        <w:spacing w:line="360" w:lineRule="auto"/>
        <w:ind w:firstLine="480" w:firstLineChars="200"/>
        <w:rPr>
          <w:rFonts w:hAnsi="宋体" w:cs="宋体"/>
          <w:szCs w:val="24"/>
        </w:rPr>
      </w:pPr>
      <w:r>
        <w:rPr>
          <w:rFonts w:hint="eastAsia" w:hAnsi="宋体" w:cs="宋体"/>
          <w:szCs w:val="24"/>
        </w:rPr>
        <w:t>（1）乙方迟延交付合同货物超过</w:t>
      </w:r>
      <w:r>
        <w:rPr>
          <w:rFonts w:hint="eastAsia" w:hAnsi="宋体" w:cs="宋体"/>
          <w:b/>
          <w:bCs/>
          <w:szCs w:val="24"/>
          <w:u w:val="single"/>
        </w:rPr>
        <w:t>1个月</w:t>
      </w:r>
      <w:r>
        <w:rPr>
          <w:rFonts w:hint="eastAsia" w:hAnsi="宋体" w:cs="宋体"/>
          <w:szCs w:val="24"/>
        </w:rPr>
        <w:t>；</w:t>
      </w:r>
    </w:p>
    <w:p>
      <w:pPr>
        <w:spacing w:line="360" w:lineRule="auto"/>
        <w:ind w:firstLine="480" w:firstLineChars="200"/>
        <w:rPr>
          <w:rFonts w:hAnsi="宋体" w:cs="宋体"/>
          <w:szCs w:val="24"/>
        </w:rPr>
      </w:pPr>
      <w:r>
        <w:rPr>
          <w:rFonts w:hint="eastAsia" w:hAnsi="宋体" w:cs="宋体"/>
          <w:szCs w:val="24"/>
        </w:rPr>
        <w:t>（2）合同货物由于乙方原因三次考核均未能达到技术性能考核指标或在合同约定了或双方在考核中另行达成了最低技术性能考核指标时均未能达到最低技术性能考核指标，且甲乙双方未就合同的后续履行协商达成一致；</w:t>
      </w:r>
    </w:p>
    <w:p>
      <w:pPr>
        <w:spacing w:line="360" w:lineRule="auto"/>
        <w:ind w:firstLine="480" w:firstLineChars="200"/>
        <w:rPr>
          <w:rFonts w:hAnsi="宋体" w:cs="宋体"/>
          <w:szCs w:val="24"/>
        </w:rPr>
      </w:pPr>
      <w:r>
        <w:rPr>
          <w:rFonts w:hint="eastAsia" w:hAnsi="宋体" w:cs="宋体"/>
          <w:szCs w:val="24"/>
        </w:rPr>
        <w:t>（3）甲方迟延付款超过</w:t>
      </w:r>
      <w:r>
        <w:rPr>
          <w:rFonts w:hint="eastAsia" w:hAnsi="宋体" w:cs="宋体"/>
          <w:b/>
          <w:bCs/>
          <w:szCs w:val="24"/>
          <w:u w:val="single"/>
        </w:rPr>
        <w:t>2个月</w:t>
      </w:r>
      <w:r>
        <w:rPr>
          <w:rFonts w:hint="eastAsia" w:hAnsi="宋体" w:cs="宋体"/>
          <w:szCs w:val="24"/>
        </w:rPr>
        <w:t>；</w:t>
      </w:r>
    </w:p>
    <w:p>
      <w:pPr>
        <w:spacing w:line="360" w:lineRule="auto"/>
        <w:ind w:firstLine="480" w:firstLineChars="200"/>
        <w:rPr>
          <w:rFonts w:hAnsi="宋体" w:cs="宋体"/>
          <w:szCs w:val="24"/>
        </w:rPr>
      </w:pPr>
      <w:r>
        <w:rPr>
          <w:rFonts w:hint="eastAsia" w:hAnsi="宋体" w:cs="宋体"/>
          <w:szCs w:val="24"/>
        </w:rPr>
        <w:t>（4）合同一方当事人未能履行合同项下任何其它义务（细微义务除外），或在未事先征得另一方当事人同意的情况下，从事任何可能在实质上不利影响其履行合同能力的活动，经另一方当事人书面通知后</w:t>
      </w:r>
      <w:r>
        <w:rPr>
          <w:rFonts w:hint="eastAsia" w:hAnsi="宋体" w:cs="宋体"/>
          <w:b/>
          <w:bCs/>
          <w:szCs w:val="24"/>
          <w:u w:val="single"/>
        </w:rPr>
        <w:t xml:space="preserve"> 15 </w:t>
      </w:r>
      <w:r>
        <w:rPr>
          <w:rFonts w:hint="eastAsia" w:hAnsi="宋体" w:cs="宋体"/>
          <w:szCs w:val="24"/>
        </w:rPr>
        <w:t>日内未能对其行为作出补救；</w:t>
      </w:r>
    </w:p>
    <w:p>
      <w:pPr>
        <w:spacing w:line="360" w:lineRule="auto"/>
        <w:ind w:firstLine="480" w:firstLineChars="200"/>
        <w:rPr>
          <w:rFonts w:hAnsi="宋体" w:cs="宋体"/>
          <w:szCs w:val="24"/>
        </w:rPr>
      </w:pPr>
      <w:r>
        <w:rPr>
          <w:rFonts w:hint="eastAsia" w:hAnsi="宋体" w:cs="宋体"/>
          <w:szCs w:val="24"/>
        </w:rPr>
        <w:t>（5）合同一方当事人出现破产、清算、资不抵债、成为失信被执行人等可能丧失履约能力的情形，且未能提供令对方满意的履约保证金。</w:t>
      </w:r>
    </w:p>
    <w:p>
      <w:pPr>
        <w:spacing w:line="360" w:lineRule="auto"/>
        <w:ind w:firstLine="480" w:firstLineChars="200"/>
        <w:rPr>
          <w:rFonts w:hAnsi="宋体" w:cs="宋体"/>
          <w:szCs w:val="24"/>
        </w:rPr>
      </w:pPr>
      <w:r>
        <w:rPr>
          <w:rFonts w:hint="eastAsia" w:hAnsi="宋体" w:cs="宋体"/>
          <w:szCs w:val="24"/>
        </w:rPr>
        <w:t>11.3在乙方违约的情况下，甲方报告政府采购管理部门后，有权终止合同，并依法向乙方进行索赔实际损失(包括但不限于维权所支出的律师费、诉讼费、交通费等)。</w:t>
      </w:r>
    </w:p>
    <w:p>
      <w:pPr>
        <w:spacing w:line="360" w:lineRule="auto"/>
        <w:ind w:firstLine="482" w:firstLineChars="200"/>
        <w:rPr>
          <w:rFonts w:hAnsi="宋体" w:cs="宋体"/>
          <w:b/>
          <w:bCs/>
          <w:szCs w:val="24"/>
        </w:rPr>
      </w:pPr>
      <w:r>
        <w:rPr>
          <w:rFonts w:hint="eastAsia" w:hAnsi="宋体" w:cs="宋体"/>
          <w:b/>
          <w:bCs/>
          <w:szCs w:val="24"/>
        </w:rPr>
        <w:t>十二、验收方式</w:t>
      </w:r>
    </w:p>
    <w:p>
      <w:pPr>
        <w:spacing w:line="360" w:lineRule="auto"/>
        <w:ind w:firstLine="480" w:firstLineChars="200"/>
        <w:rPr>
          <w:rFonts w:hAnsi="宋体" w:cs="宋体"/>
          <w:szCs w:val="24"/>
        </w:rPr>
      </w:pPr>
      <w:r>
        <w:rPr>
          <w:rFonts w:hint="eastAsia" w:hAnsi="宋体" w:cs="宋体"/>
          <w:szCs w:val="24"/>
        </w:rPr>
        <w:t>12.1经采购人确认后，组织成交供应商进行验收（必要时采购人可委托具有相关资质的第三方检测机构/技术专家对产品进行验收，需要国家法定检验部门进行检验或验收的由成交供应商负责联系）。验收合格后，填写政府采购项目验收单（一式伍份）作为对产品的最终认可。</w:t>
      </w:r>
    </w:p>
    <w:p>
      <w:pPr>
        <w:spacing w:line="360" w:lineRule="auto"/>
        <w:ind w:firstLine="480" w:firstLineChars="200"/>
        <w:rPr>
          <w:rFonts w:hAnsi="宋体" w:cs="宋体"/>
          <w:szCs w:val="24"/>
        </w:rPr>
      </w:pPr>
      <w:r>
        <w:rPr>
          <w:rFonts w:hint="eastAsia" w:hAnsi="宋体" w:cs="宋体"/>
          <w:szCs w:val="24"/>
        </w:rPr>
        <w:t>12.2验收依据</w:t>
      </w:r>
    </w:p>
    <w:p>
      <w:pPr>
        <w:spacing w:line="360" w:lineRule="auto"/>
        <w:ind w:firstLine="480" w:firstLineChars="200"/>
        <w:rPr>
          <w:rFonts w:hAnsi="宋体" w:cs="宋体"/>
          <w:szCs w:val="24"/>
        </w:rPr>
      </w:pPr>
      <w:r>
        <w:rPr>
          <w:rFonts w:hint="eastAsia" w:hAnsi="宋体" w:cs="宋体"/>
          <w:szCs w:val="24"/>
        </w:rPr>
        <w:t>12.2.1招标文件、响应文件、澄清表（函）；</w:t>
      </w:r>
    </w:p>
    <w:p>
      <w:pPr>
        <w:spacing w:line="360" w:lineRule="auto"/>
        <w:ind w:firstLine="480" w:firstLineChars="200"/>
        <w:rPr>
          <w:rFonts w:hAnsi="宋体" w:cs="宋体"/>
          <w:szCs w:val="24"/>
        </w:rPr>
      </w:pPr>
      <w:r>
        <w:rPr>
          <w:rFonts w:hint="eastAsia" w:hAnsi="宋体" w:cs="宋体"/>
          <w:szCs w:val="24"/>
        </w:rPr>
        <w:t>12.2.2本合同及附件文本；</w:t>
      </w:r>
    </w:p>
    <w:p>
      <w:pPr>
        <w:spacing w:line="360" w:lineRule="auto"/>
        <w:ind w:firstLine="480" w:firstLineChars="200"/>
        <w:rPr>
          <w:rFonts w:hAnsi="宋体" w:cs="宋体"/>
          <w:szCs w:val="24"/>
        </w:rPr>
      </w:pPr>
      <w:r>
        <w:rPr>
          <w:rFonts w:hint="eastAsia" w:hAnsi="宋体" w:cs="宋体"/>
          <w:szCs w:val="24"/>
        </w:rPr>
        <w:t>12.2.3合同签订时国家及行业现行的标准和技术规范。</w:t>
      </w:r>
    </w:p>
    <w:p>
      <w:pPr>
        <w:spacing w:line="360" w:lineRule="auto"/>
        <w:ind w:firstLine="480" w:firstLineChars="200"/>
        <w:rPr>
          <w:rFonts w:hAnsi="宋体" w:cs="宋体"/>
          <w:szCs w:val="24"/>
        </w:rPr>
      </w:pPr>
      <w:r>
        <w:rPr>
          <w:rFonts w:hint="eastAsia" w:hAnsi="宋体" w:cs="宋体"/>
          <w:szCs w:val="24"/>
        </w:rPr>
        <w:t>12.3成交供应商应向采购人提交项目实施过程中的所有资料，以便采购人日后管理和维护。</w:t>
      </w:r>
    </w:p>
    <w:p>
      <w:pPr>
        <w:spacing w:line="360" w:lineRule="auto"/>
        <w:ind w:firstLine="480" w:firstLineChars="200"/>
        <w:rPr>
          <w:rFonts w:hAnsi="宋体" w:cs="宋体"/>
          <w:szCs w:val="24"/>
        </w:rPr>
      </w:pPr>
      <w:r>
        <w:rPr>
          <w:rFonts w:hint="eastAsia" w:hAnsi="宋体" w:cs="宋体"/>
          <w:szCs w:val="24"/>
        </w:rPr>
        <w:t>12.4鉴定和验收费用，由乙方承担。</w:t>
      </w:r>
    </w:p>
    <w:p>
      <w:pPr>
        <w:spacing w:line="360" w:lineRule="auto"/>
        <w:ind w:firstLine="482" w:firstLineChars="200"/>
        <w:rPr>
          <w:rFonts w:hAnsi="宋体" w:cs="宋体"/>
          <w:b/>
          <w:bCs/>
          <w:szCs w:val="24"/>
        </w:rPr>
      </w:pPr>
      <w:r>
        <w:rPr>
          <w:rFonts w:hint="eastAsia" w:hAnsi="宋体" w:cs="宋体"/>
          <w:b/>
          <w:bCs/>
          <w:szCs w:val="24"/>
        </w:rPr>
        <w:t>十三、保密约定</w:t>
      </w:r>
    </w:p>
    <w:p>
      <w:pPr>
        <w:spacing w:line="360" w:lineRule="auto"/>
        <w:ind w:firstLine="480" w:firstLineChars="200"/>
        <w:rPr>
          <w:rFonts w:hAnsi="宋体" w:cs="宋体"/>
          <w:szCs w:val="24"/>
        </w:rPr>
      </w:pPr>
      <w:r>
        <w:rPr>
          <w:rFonts w:hint="eastAsia" w:hAnsi="宋体" w:cs="宋体"/>
          <w:szCs w:val="24"/>
        </w:rPr>
        <w:t>13.1合同双方应对因履行合同而取得的另一方当事人的信息、资料等予以保密。未经另一方当事人书面同意，任何一方均不得为与履行合同无关的目的使用或向第三方披露另一方当事人提供的信息、资料。</w:t>
      </w:r>
    </w:p>
    <w:p>
      <w:pPr>
        <w:spacing w:line="360" w:lineRule="auto"/>
        <w:ind w:firstLine="480" w:firstLineChars="200"/>
        <w:rPr>
          <w:rFonts w:hAnsi="宋体" w:cs="宋体"/>
          <w:szCs w:val="24"/>
        </w:rPr>
      </w:pPr>
      <w:r>
        <w:rPr>
          <w:rFonts w:hint="eastAsia" w:hAnsi="宋体" w:cs="宋体"/>
          <w:szCs w:val="24"/>
        </w:rPr>
        <w:t>13.2合同当事人的保密义务不适用于下列信息：</w:t>
      </w:r>
    </w:p>
    <w:p>
      <w:pPr>
        <w:spacing w:line="360" w:lineRule="auto"/>
        <w:ind w:firstLine="480" w:firstLineChars="200"/>
        <w:rPr>
          <w:rFonts w:hAnsi="宋体" w:cs="宋体"/>
          <w:szCs w:val="24"/>
        </w:rPr>
      </w:pPr>
      <w:r>
        <w:rPr>
          <w:rFonts w:hint="eastAsia" w:hAnsi="宋体" w:cs="宋体"/>
          <w:szCs w:val="24"/>
        </w:rPr>
        <w:t>（1）非因接受信息一方的过失现在或以后进入公共领域的信息；</w:t>
      </w:r>
    </w:p>
    <w:p>
      <w:pPr>
        <w:spacing w:line="360" w:lineRule="auto"/>
        <w:ind w:firstLine="480" w:firstLineChars="200"/>
        <w:rPr>
          <w:rFonts w:hAnsi="宋体" w:cs="宋体"/>
          <w:szCs w:val="24"/>
        </w:rPr>
      </w:pPr>
      <w:r>
        <w:rPr>
          <w:rFonts w:hint="eastAsia" w:hAnsi="宋体" w:cs="宋体"/>
          <w:szCs w:val="24"/>
        </w:rPr>
        <w:t>（2）接受信息一方当事人合法地从第三方获得并且据其善意了解第三方也不对此承担保密义务的信息；</w:t>
      </w:r>
    </w:p>
    <w:p>
      <w:pPr>
        <w:spacing w:line="360" w:lineRule="auto"/>
        <w:ind w:firstLine="480" w:firstLineChars="200"/>
        <w:rPr>
          <w:rFonts w:hAnsi="宋体" w:cs="宋体"/>
          <w:szCs w:val="24"/>
        </w:rPr>
      </w:pPr>
      <w:r>
        <w:rPr>
          <w:rFonts w:hint="eastAsia" w:hAnsi="宋体" w:cs="宋体"/>
          <w:szCs w:val="24"/>
        </w:rPr>
        <w:t>（3）法律或法律的执行要求披露的信息。</w:t>
      </w:r>
    </w:p>
    <w:p>
      <w:pPr>
        <w:spacing w:line="360" w:lineRule="auto"/>
        <w:ind w:firstLine="482" w:firstLineChars="200"/>
        <w:rPr>
          <w:rFonts w:hAnsi="宋体" w:cs="宋体"/>
          <w:b/>
          <w:bCs/>
          <w:szCs w:val="24"/>
        </w:rPr>
      </w:pPr>
      <w:r>
        <w:rPr>
          <w:rFonts w:hint="eastAsia" w:hAnsi="宋体" w:cs="宋体"/>
          <w:b/>
          <w:bCs/>
          <w:szCs w:val="24"/>
        </w:rPr>
        <w:t>十四、合同争议解决方式</w:t>
      </w:r>
    </w:p>
    <w:p>
      <w:pPr>
        <w:spacing w:line="360" w:lineRule="auto"/>
        <w:ind w:firstLine="480" w:firstLineChars="200"/>
        <w:rPr>
          <w:rFonts w:hAnsi="宋体" w:cs="宋体"/>
          <w:szCs w:val="24"/>
        </w:rPr>
      </w:pPr>
      <w:r>
        <w:rPr>
          <w:rFonts w:hint="eastAsia" w:hAnsi="宋体" w:cs="宋体"/>
          <w:szCs w:val="24"/>
        </w:rPr>
        <w:t>因执行本合同所发生的或与本合同有关的一切争议,双方应通过友好协商解决，协商不成的可依法向甲方所在地人民法院起诉。</w:t>
      </w:r>
    </w:p>
    <w:p>
      <w:pPr>
        <w:spacing w:line="360" w:lineRule="auto"/>
        <w:ind w:firstLine="482" w:firstLineChars="200"/>
        <w:rPr>
          <w:rFonts w:hAnsi="宋体" w:cs="宋体"/>
          <w:b/>
          <w:bCs/>
          <w:szCs w:val="24"/>
        </w:rPr>
      </w:pPr>
      <w:r>
        <w:rPr>
          <w:rFonts w:hint="eastAsia" w:hAnsi="宋体" w:cs="宋体"/>
          <w:b/>
          <w:bCs/>
          <w:szCs w:val="24"/>
        </w:rPr>
        <w:t>十五、不可抗力情况下的免责约定</w:t>
      </w:r>
    </w:p>
    <w:p>
      <w:pPr>
        <w:spacing w:line="360" w:lineRule="auto"/>
        <w:ind w:firstLine="480" w:firstLineChars="200"/>
        <w:rPr>
          <w:rFonts w:hAnsi="宋体" w:cs="宋体"/>
          <w:szCs w:val="24"/>
        </w:rPr>
      </w:pPr>
      <w:r>
        <w:rPr>
          <w:rFonts w:hint="eastAsia" w:hAnsi="宋体" w:cs="宋体"/>
          <w:szCs w:val="24"/>
        </w:rPr>
        <w:t>15.1如果任何一方当事人受到不能预见、不能避免且不能克服的不可抗力事件的影响，例如战争、严重的火灾、台风、地震、洪水等情形，而无法履行合同项下的任何义务，则受影响的一方当事人应立即将此类事件的发生通知另一方当事人，并应在不可抗力事件发生后 28 日内将有关当局或机构出具的证明文件提交给另一方当事人。</w:t>
      </w:r>
    </w:p>
    <w:p>
      <w:pPr>
        <w:spacing w:line="360" w:lineRule="auto"/>
        <w:ind w:firstLine="480" w:firstLineChars="200"/>
        <w:rPr>
          <w:rFonts w:hAnsi="宋体" w:cs="宋体"/>
          <w:szCs w:val="24"/>
        </w:rPr>
      </w:pPr>
      <w:r>
        <w:rPr>
          <w:rFonts w:hint="eastAsia" w:hAnsi="宋体" w:cs="宋体"/>
          <w:szCs w:val="24"/>
        </w:rPr>
        <w:t>15.2受不可抗力事件影响的一方当事人对于不可抗力事件导致的任何合同义务的迟延履行或不能履行不承担违约责任。但该方当事人应尽快将不可抗力事件结束或消除的情况通知另一方当事人。</w:t>
      </w:r>
    </w:p>
    <w:p>
      <w:pPr>
        <w:spacing w:line="360" w:lineRule="auto"/>
        <w:ind w:firstLine="480" w:firstLineChars="200"/>
        <w:rPr>
          <w:rFonts w:hAnsi="宋体" w:cs="宋体"/>
          <w:szCs w:val="24"/>
        </w:rPr>
      </w:pPr>
      <w:r>
        <w:rPr>
          <w:rFonts w:hint="eastAsia" w:hAnsi="宋体" w:cs="宋体"/>
          <w:szCs w:val="24"/>
        </w:rPr>
        <w:t>15.3双方当事人应在不可抗力事件结束或其影响消除后立即继续履行其合同义务，合同期限也应相应顺延。如果不可抗力事件的影响持续超过</w:t>
      </w:r>
      <w:r>
        <w:rPr>
          <w:rFonts w:hint="eastAsia" w:hAnsi="宋体" w:cs="宋体"/>
          <w:b/>
          <w:bCs/>
          <w:szCs w:val="24"/>
          <w:u w:val="single"/>
        </w:rPr>
        <w:t xml:space="preserve"> 90 </w:t>
      </w:r>
      <w:r>
        <w:rPr>
          <w:rFonts w:hint="eastAsia" w:hAnsi="宋体" w:cs="宋体"/>
          <w:szCs w:val="24"/>
        </w:rPr>
        <w:t>日，则任何一方当事人均有权以书面通知解除合同。</w:t>
      </w:r>
    </w:p>
    <w:p>
      <w:pPr>
        <w:spacing w:line="360" w:lineRule="auto"/>
        <w:ind w:firstLine="482" w:firstLineChars="200"/>
        <w:rPr>
          <w:rFonts w:hAnsi="宋体" w:cs="宋体"/>
          <w:b/>
          <w:bCs/>
          <w:szCs w:val="24"/>
        </w:rPr>
      </w:pPr>
      <w:r>
        <w:rPr>
          <w:rFonts w:hint="eastAsia" w:hAnsi="宋体" w:cs="宋体"/>
          <w:b/>
          <w:bCs/>
          <w:szCs w:val="24"/>
        </w:rPr>
        <w:t>十六、生效条件、订立日期</w:t>
      </w:r>
    </w:p>
    <w:p>
      <w:pPr>
        <w:spacing w:line="360" w:lineRule="auto"/>
        <w:ind w:firstLine="480" w:firstLineChars="200"/>
        <w:rPr>
          <w:rFonts w:hAnsi="宋体" w:cs="宋体"/>
          <w:szCs w:val="24"/>
        </w:rPr>
      </w:pPr>
      <w:r>
        <w:rPr>
          <w:rFonts w:hint="eastAsia" w:hAnsi="宋体" w:cs="宋体"/>
          <w:szCs w:val="24"/>
        </w:rPr>
        <w:t>16.1本合同自签订之日起生效。</w:t>
      </w:r>
    </w:p>
    <w:p>
      <w:pPr>
        <w:spacing w:line="360" w:lineRule="auto"/>
        <w:ind w:firstLine="480" w:firstLineChars="200"/>
        <w:rPr>
          <w:rFonts w:hAnsi="宋体" w:cs="宋体"/>
          <w:szCs w:val="24"/>
        </w:rPr>
      </w:pPr>
      <w:r>
        <w:rPr>
          <w:rFonts w:hint="eastAsia" w:hAnsi="宋体" w:cs="宋体"/>
          <w:szCs w:val="24"/>
        </w:rPr>
        <w:t>16.2合同一式</w:t>
      </w:r>
      <w:r>
        <w:rPr>
          <w:rFonts w:hint="eastAsia" w:hAnsi="宋体" w:cs="宋体"/>
          <w:szCs w:val="24"/>
          <w:u w:val="single"/>
        </w:rPr>
        <w:t>6</w:t>
      </w:r>
      <w:r>
        <w:rPr>
          <w:rFonts w:hint="eastAsia" w:hAnsi="宋体" w:cs="宋体"/>
          <w:szCs w:val="24"/>
        </w:rPr>
        <w:t>份，采购人、成交供应商、集中采购机构各执</w:t>
      </w:r>
      <w:r>
        <w:rPr>
          <w:rFonts w:hint="eastAsia" w:hAnsi="宋体" w:cs="宋体"/>
          <w:szCs w:val="24"/>
          <w:u w:val="single"/>
        </w:rPr>
        <w:t>1</w:t>
      </w:r>
      <w:r>
        <w:rPr>
          <w:rFonts w:hint="eastAsia" w:hAnsi="宋体" w:cs="宋体"/>
          <w:szCs w:val="24"/>
        </w:rPr>
        <w:t>份；政府采购监管机构备案</w:t>
      </w:r>
      <w:r>
        <w:rPr>
          <w:rFonts w:hint="eastAsia" w:hAnsi="宋体" w:cs="宋体"/>
          <w:szCs w:val="24"/>
          <w:u w:val="single"/>
        </w:rPr>
        <w:t>1</w:t>
      </w:r>
      <w:r>
        <w:rPr>
          <w:rFonts w:hint="eastAsia" w:hAnsi="宋体" w:cs="宋体"/>
          <w:szCs w:val="24"/>
        </w:rPr>
        <w:t>份，成交供应商办理结算</w:t>
      </w:r>
      <w:r>
        <w:rPr>
          <w:rFonts w:hint="eastAsia" w:hAnsi="宋体" w:cs="宋体"/>
          <w:szCs w:val="24"/>
          <w:u w:val="single"/>
        </w:rPr>
        <w:t>2</w:t>
      </w:r>
      <w:r>
        <w:rPr>
          <w:rFonts w:hint="eastAsia" w:hAnsi="宋体" w:cs="宋体"/>
          <w:szCs w:val="24"/>
        </w:rPr>
        <w:t>份。</w:t>
      </w:r>
    </w:p>
    <w:p>
      <w:pPr>
        <w:spacing w:line="360" w:lineRule="auto"/>
        <w:ind w:firstLine="480" w:firstLineChars="200"/>
        <w:rPr>
          <w:rFonts w:hAnsi="宋体" w:cs="宋体"/>
          <w:szCs w:val="24"/>
        </w:rPr>
      </w:pPr>
      <w:r>
        <w:rPr>
          <w:rFonts w:hint="eastAsia" w:hAnsi="宋体" w:cs="宋体"/>
          <w:szCs w:val="24"/>
        </w:rPr>
        <w:t>16.3如本合同有未尽事宜，以招标文件为准，招标文件未做要求的，由双方依法订立补充合同。</w:t>
      </w:r>
    </w:p>
    <w:p>
      <w:pPr>
        <w:spacing w:line="360" w:lineRule="auto"/>
        <w:ind w:firstLine="482" w:firstLineChars="200"/>
        <w:rPr>
          <w:rFonts w:hAnsi="宋体" w:cs="宋体"/>
          <w:b/>
          <w:bCs/>
          <w:szCs w:val="24"/>
        </w:rPr>
      </w:pPr>
      <w:r>
        <w:rPr>
          <w:rFonts w:hint="eastAsia" w:hAnsi="宋体" w:cs="宋体"/>
          <w:b/>
          <w:bCs/>
          <w:szCs w:val="24"/>
        </w:rPr>
        <w:t>十七、其他事项</w:t>
      </w:r>
    </w:p>
    <w:p>
      <w:pPr>
        <w:spacing w:line="360" w:lineRule="auto"/>
        <w:ind w:firstLine="480" w:firstLineChars="200"/>
        <w:rPr>
          <w:rFonts w:hAnsi="宋体" w:cs="宋体"/>
          <w:szCs w:val="24"/>
        </w:rPr>
      </w:pPr>
      <w:r>
        <w:rPr>
          <w:rFonts w:hint="eastAsia" w:hAnsi="宋体" w:cs="宋体"/>
          <w:szCs w:val="24"/>
        </w:rPr>
        <w:t>合同其他事项双方另行协商补充：</w:t>
      </w:r>
      <w:r>
        <w:rPr>
          <w:rFonts w:hint="eastAsia" w:hAnsi="宋体" w:cs="宋体"/>
          <w:szCs w:val="24"/>
          <w:u w:val="single"/>
        </w:rPr>
        <w:t xml:space="preserve">                /                  </w:t>
      </w:r>
    </w:p>
    <w:p>
      <w:pPr>
        <w:tabs>
          <w:tab w:val="left" w:pos="480"/>
        </w:tabs>
        <w:spacing w:line="520" w:lineRule="exact"/>
        <w:ind w:firstLine="480" w:firstLineChars="200"/>
        <w:rPr>
          <w:rFonts w:hAnsi="宋体" w:cs="宋体"/>
        </w:rPr>
      </w:pPr>
      <w:r>
        <w:rPr>
          <w:rFonts w:hint="eastAsia" w:hAnsi="宋体" w:cs="宋体"/>
          <w:szCs w:val="24"/>
        </w:rPr>
        <w:t>（此后无正文）</w:t>
      </w:r>
    </w:p>
    <w:p>
      <w:pPr>
        <w:tabs>
          <w:tab w:val="left" w:pos="480"/>
        </w:tabs>
        <w:spacing w:line="520" w:lineRule="exact"/>
        <w:ind w:firstLine="480" w:firstLineChars="200"/>
        <w:rPr>
          <w:rFonts w:hAnsi="宋体" w:cs="宋体"/>
        </w:rPr>
      </w:pPr>
    </w:p>
    <w:tbl>
      <w:tblPr>
        <w:tblStyle w:val="46"/>
        <w:tblpPr w:leftFromText="181" w:rightFromText="181" w:vertAnchor="text" w:horzAnchor="page" w:tblpX="1507" w:tblpYSpec="top"/>
        <w:tblOverlap w:val="never"/>
        <w:tblW w:w="93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8"/>
        <w:gridCol w:w="4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4928" w:type="dxa"/>
            <w:noWrap/>
          </w:tcPr>
          <w:p>
            <w:pPr>
              <w:overflowPunct w:val="0"/>
              <w:topLinePunct/>
              <w:spacing w:line="460" w:lineRule="exact"/>
              <w:jc w:val="center"/>
              <w:rPr>
                <w:rFonts w:ascii="楷体" w:hAnsi="楷体" w:cs="楷体"/>
              </w:rPr>
            </w:pPr>
            <w:r>
              <w:rPr>
                <w:rFonts w:hint="eastAsia" w:ascii="楷体" w:hAnsi="楷体" w:cs="楷体"/>
              </w:rPr>
              <w:t>甲  方</w:t>
            </w:r>
          </w:p>
        </w:tc>
        <w:tc>
          <w:tcPr>
            <w:tcW w:w="4424" w:type="dxa"/>
            <w:noWrap/>
          </w:tcPr>
          <w:p>
            <w:pPr>
              <w:overflowPunct w:val="0"/>
              <w:topLinePunct/>
              <w:spacing w:line="460" w:lineRule="exact"/>
              <w:jc w:val="center"/>
              <w:rPr>
                <w:rFonts w:ascii="楷体" w:hAnsi="楷体" w:cs="楷体"/>
              </w:rPr>
            </w:pPr>
            <w:r>
              <w:rPr>
                <w:rFonts w:hint="eastAsia" w:ascii="楷体" w:hAnsi="楷体" w:cs="楷体"/>
              </w:rPr>
              <w:t>乙  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4928" w:type="dxa"/>
            <w:noWrap/>
            <w:vAlign w:val="center"/>
          </w:tcPr>
          <w:p>
            <w:pPr>
              <w:overflowPunct w:val="0"/>
              <w:topLinePunct/>
              <w:spacing w:line="460" w:lineRule="exact"/>
              <w:rPr>
                <w:rFonts w:ascii="楷体" w:hAnsi="楷体" w:cs="楷体"/>
              </w:rPr>
            </w:pPr>
            <w:r>
              <w:rPr>
                <w:rFonts w:hint="eastAsia" w:ascii="楷体" w:hAnsi="楷体" w:cs="楷体"/>
              </w:rPr>
              <w:t>采购人全称</w:t>
            </w:r>
          </w:p>
          <w:p>
            <w:pPr>
              <w:overflowPunct w:val="0"/>
              <w:topLinePunct/>
              <w:spacing w:line="460" w:lineRule="exact"/>
              <w:ind w:firstLine="480"/>
              <w:jc w:val="center"/>
              <w:rPr>
                <w:rFonts w:ascii="楷体" w:hAnsi="楷体" w:cs="楷体"/>
              </w:rPr>
            </w:pPr>
            <w:r>
              <w:rPr>
                <w:rFonts w:hint="eastAsia" w:ascii="楷体" w:hAnsi="楷体" w:cs="楷体"/>
              </w:rPr>
              <w:t>（公章）</w:t>
            </w:r>
          </w:p>
        </w:tc>
        <w:tc>
          <w:tcPr>
            <w:tcW w:w="4424" w:type="dxa"/>
            <w:noWrap/>
            <w:vAlign w:val="center"/>
          </w:tcPr>
          <w:p>
            <w:pPr>
              <w:overflowPunct w:val="0"/>
              <w:topLinePunct/>
              <w:spacing w:line="460" w:lineRule="exact"/>
              <w:rPr>
                <w:rFonts w:ascii="楷体" w:hAnsi="楷体" w:cs="楷体"/>
              </w:rPr>
            </w:pPr>
            <w:r>
              <w:rPr>
                <w:rFonts w:hint="eastAsia" w:ascii="楷体" w:hAnsi="楷体" w:cs="楷体"/>
              </w:rPr>
              <w:t>中标人全称</w:t>
            </w:r>
          </w:p>
          <w:p>
            <w:pPr>
              <w:overflowPunct w:val="0"/>
              <w:topLinePunct/>
              <w:spacing w:line="460" w:lineRule="exact"/>
              <w:ind w:firstLine="480"/>
              <w:jc w:val="center"/>
              <w:rPr>
                <w:rFonts w:ascii="楷体" w:hAnsi="楷体" w:cs="楷体"/>
              </w:rPr>
            </w:pPr>
            <w:r>
              <w:rPr>
                <w:rFonts w:hint="eastAsia" w:ascii="楷体" w:hAnsi="楷体" w:cs="楷体"/>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4928" w:type="dxa"/>
            <w:noWrap/>
          </w:tcPr>
          <w:p>
            <w:pPr>
              <w:overflowPunct w:val="0"/>
              <w:topLinePunct/>
              <w:spacing w:line="460" w:lineRule="exact"/>
              <w:rPr>
                <w:rFonts w:ascii="楷体" w:hAnsi="楷体" w:cs="楷体"/>
              </w:rPr>
            </w:pPr>
            <w:r>
              <w:rPr>
                <w:rFonts w:hint="eastAsia" w:ascii="楷体" w:hAnsi="楷体" w:cs="楷体"/>
              </w:rPr>
              <w:t xml:space="preserve">地址： </w:t>
            </w:r>
          </w:p>
        </w:tc>
        <w:tc>
          <w:tcPr>
            <w:tcW w:w="4424" w:type="dxa"/>
            <w:noWrap/>
          </w:tcPr>
          <w:p>
            <w:pPr>
              <w:overflowPunct w:val="0"/>
              <w:topLinePunct/>
              <w:spacing w:line="460" w:lineRule="exact"/>
              <w:rPr>
                <w:rFonts w:ascii="楷体" w:hAnsi="楷体" w:cs="楷体"/>
              </w:rPr>
            </w:pPr>
            <w:r>
              <w:rPr>
                <w:rFonts w:hint="eastAsia" w:ascii="楷体" w:hAnsi="楷体" w:cs="楷体"/>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4928" w:type="dxa"/>
            <w:noWrap/>
          </w:tcPr>
          <w:p>
            <w:pPr>
              <w:overflowPunct w:val="0"/>
              <w:topLinePunct/>
              <w:spacing w:line="460" w:lineRule="exact"/>
              <w:rPr>
                <w:rFonts w:ascii="楷体" w:hAnsi="楷体" w:cs="楷体"/>
              </w:rPr>
            </w:pPr>
            <w:r>
              <w:rPr>
                <w:rFonts w:hint="eastAsia" w:ascii="楷体" w:hAnsi="楷体" w:cs="楷体"/>
              </w:rPr>
              <w:t>邮编：</w:t>
            </w:r>
          </w:p>
        </w:tc>
        <w:tc>
          <w:tcPr>
            <w:tcW w:w="4424" w:type="dxa"/>
            <w:noWrap/>
          </w:tcPr>
          <w:p>
            <w:pPr>
              <w:overflowPunct w:val="0"/>
              <w:topLinePunct/>
              <w:spacing w:line="460" w:lineRule="exact"/>
              <w:rPr>
                <w:rFonts w:ascii="楷体" w:hAnsi="楷体" w:cs="楷体"/>
              </w:rPr>
            </w:pPr>
            <w:r>
              <w:rPr>
                <w:rFonts w:hint="eastAsia" w:ascii="楷体" w:hAnsi="楷体" w:cs="楷体"/>
              </w:rPr>
              <w:t>邮编：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4928" w:type="dxa"/>
            <w:noWrap/>
          </w:tcPr>
          <w:p>
            <w:pPr>
              <w:overflowPunct w:val="0"/>
              <w:topLinePunct/>
              <w:spacing w:line="460" w:lineRule="exact"/>
              <w:rPr>
                <w:rFonts w:hAnsi="宋体" w:cs="宋体"/>
              </w:rPr>
            </w:pPr>
            <w:r>
              <w:rPr>
                <w:rFonts w:hint="eastAsia" w:hAnsi="宋体" w:cs="宋体"/>
                <w:szCs w:val="24"/>
              </w:rPr>
              <w:t xml:space="preserve">负责人（签字）： </w:t>
            </w:r>
          </w:p>
        </w:tc>
        <w:tc>
          <w:tcPr>
            <w:tcW w:w="4424" w:type="dxa"/>
            <w:noWrap/>
          </w:tcPr>
          <w:p>
            <w:pPr>
              <w:overflowPunct w:val="0"/>
              <w:topLinePunct/>
              <w:spacing w:line="460" w:lineRule="exact"/>
              <w:rPr>
                <w:rFonts w:hAnsi="宋体" w:cs="宋体"/>
                <w:szCs w:val="24"/>
              </w:rPr>
            </w:pPr>
            <w:r>
              <w:rPr>
                <w:rFonts w:hint="eastAsia" w:hAnsi="宋体" w:cs="宋体"/>
                <w:szCs w:val="24"/>
              </w:rPr>
              <w:t>法定代表人或被授权人</w:t>
            </w:r>
          </w:p>
          <w:p>
            <w:pPr>
              <w:overflowPunct w:val="0"/>
              <w:topLinePunct/>
              <w:spacing w:line="460" w:lineRule="exact"/>
              <w:rPr>
                <w:rFonts w:hAnsi="宋体" w:cs="宋体"/>
              </w:rPr>
            </w:pPr>
            <w:r>
              <w:rPr>
                <w:rFonts w:hint="eastAsia" w:hAnsi="宋体" w:cs="宋体"/>
                <w:szCs w:val="24"/>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4928" w:type="dxa"/>
            <w:noWrap/>
          </w:tcPr>
          <w:p>
            <w:pPr>
              <w:overflowPunct w:val="0"/>
              <w:topLinePunct/>
              <w:spacing w:line="460" w:lineRule="exact"/>
              <w:rPr>
                <w:rFonts w:ascii="楷体" w:hAnsi="楷体" w:cs="楷体"/>
              </w:rPr>
            </w:pPr>
            <w:r>
              <w:rPr>
                <w:rFonts w:hint="eastAsia" w:ascii="楷体" w:hAnsi="楷体" w:cs="楷体"/>
              </w:rPr>
              <w:t>电话：</w:t>
            </w:r>
          </w:p>
        </w:tc>
        <w:tc>
          <w:tcPr>
            <w:tcW w:w="4424" w:type="dxa"/>
            <w:noWrap/>
          </w:tcPr>
          <w:p>
            <w:pPr>
              <w:overflowPunct w:val="0"/>
              <w:topLinePunct/>
              <w:spacing w:line="460" w:lineRule="exact"/>
              <w:rPr>
                <w:rFonts w:ascii="楷体" w:hAnsi="楷体" w:cs="楷体"/>
              </w:rPr>
            </w:pPr>
            <w:r>
              <w:rPr>
                <w:rFonts w:hint="eastAsia" w:ascii="楷体" w:hAnsi="楷体" w:cs="楷体"/>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4928" w:type="dxa"/>
            <w:noWrap/>
          </w:tcPr>
          <w:p>
            <w:pPr>
              <w:overflowPunct w:val="0"/>
              <w:topLinePunct/>
              <w:spacing w:line="460" w:lineRule="exact"/>
              <w:rPr>
                <w:rFonts w:ascii="楷体" w:hAnsi="楷体" w:cs="楷体"/>
              </w:rPr>
            </w:pPr>
            <w:r>
              <w:rPr>
                <w:rFonts w:hint="eastAsia" w:ascii="楷体" w:hAnsi="楷体" w:cs="楷体"/>
              </w:rPr>
              <w:t>传真：</w:t>
            </w:r>
          </w:p>
        </w:tc>
        <w:tc>
          <w:tcPr>
            <w:tcW w:w="4424" w:type="dxa"/>
            <w:noWrap/>
          </w:tcPr>
          <w:p>
            <w:pPr>
              <w:overflowPunct w:val="0"/>
              <w:topLinePunct/>
              <w:spacing w:line="460" w:lineRule="exact"/>
              <w:rPr>
                <w:rFonts w:ascii="楷体" w:hAnsi="楷体" w:cs="楷体"/>
              </w:rPr>
            </w:pPr>
            <w:r>
              <w:rPr>
                <w:rFonts w:hint="eastAsia" w:ascii="楷体" w:hAnsi="楷体" w:cs="楷体"/>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4928" w:type="dxa"/>
            <w:noWrap/>
          </w:tcPr>
          <w:p>
            <w:pPr>
              <w:overflowPunct w:val="0"/>
              <w:topLinePunct/>
              <w:spacing w:line="460" w:lineRule="exact"/>
              <w:rPr>
                <w:rFonts w:ascii="楷体" w:hAnsi="楷体" w:cs="楷体"/>
              </w:rPr>
            </w:pPr>
          </w:p>
        </w:tc>
        <w:tc>
          <w:tcPr>
            <w:tcW w:w="4424" w:type="dxa"/>
            <w:noWrap/>
          </w:tcPr>
          <w:p>
            <w:pPr>
              <w:overflowPunct w:val="0"/>
              <w:topLinePunct/>
              <w:spacing w:line="460" w:lineRule="exact"/>
              <w:rPr>
                <w:rFonts w:ascii="楷体" w:hAnsi="楷体" w:cs="楷体"/>
              </w:rPr>
            </w:pPr>
            <w:r>
              <w:rPr>
                <w:rFonts w:hint="eastAsia" w:ascii="楷体" w:hAnsi="楷体" w:cs="楷体"/>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4928" w:type="dxa"/>
            <w:noWrap/>
          </w:tcPr>
          <w:p>
            <w:pPr>
              <w:overflowPunct w:val="0"/>
              <w:topLinePunct/>
              <w:spacing w:line="460" w:lineRule="exact"/>
              <w:rPr>
                <w:rFonts w:ascii="楷体" w:hAnsi="楷体" w:cs="楷体"/>
              </w:rPr>
            </w:pPr>
          </w:p>
        </w:tc>
        <w:tc>
          <w:tcPr>
            <w:tcW w:w="4424" w:type="dxa"/>
            <w:noWrap/>
          </w:tcPr>
          <w:p>
            <w:pPr>
              <w:overflowPunct w:val="0"/>
              <w:topLinePunct/>
              <w:spacing w:line="460" w:lineRule="exact"/>
              <w:rPr>
                <w:rFonts w:ascii="楷体" w:hAnsi="楷体" w:cs="楷体"/>
              </w:rPr>
            </w:pPr>
            <w:r>
              <w:rPr>
                <w:rFonts w:hint="eastAsia" w:ascii="楷体" w:hAnsi="楷体" w:cs="楷体"/>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9352" w:type="dxa"/>
            <w:gridSpan w:val="2"/>
            <w:noWrap/>
            <w:vAlign w:val="center"/>
          </w:tcPr>
          <w:p>
            <w:pPr>
              <w:overflowPunct w:val="0"/>
              <w:topLinePunct/>
              <w:spacing w:line="460" w:lineRule="exact"/>
              <w:jc w:val="center"/>
              <w:rPr>
                <w:rFonts w:ascii="楷体" w:hAnsi="楷体" w:cs="楷体"/>
              </w:rPr>
            </w:pPr>
            <w:r>
              <w:rPr>
                <w:rFonts w:hint="eastAsia" w:ascii="楷体" w:hAnsi="楷体" w:cs="楷体"/>
              </w:rPr>
              <w:t>年  月  日</w:t>
            </w:r>
          </w:p>
        </w:tc>
      </w:tr>
    </w:tbl>
    <w:p>
      <w:pPr>
        <w:tabs>
          <w:tab w:val="left" w:pos="480"/>
        </w:tabs>
        <w:spacing w:line="360" w:lineRule="auto"/>
        <w:ind w:firstLine="480" w:firstLineChars="200"/>
        <w:rPr>
          <w:rFonts w:hAnsi="宋体" w:cs="宋体"/>
        </w:rPr>
      </w:pPr>
    </w:p>
    <w:p>
      <w:pPr>
        <w:pStyle w:val="3"/>
        <w:spacing w:before="333" w:beforeLines="100" w:after="333" w:afterLines="100" w:line="360" w:lineRule="exact"/>
        <w:jc w:val="center"/>
        <w:rPr>
          <w:rFonts w:ascii="宋体" w:eastAsia="宋体" w:cs="宋体"/>
          <w:color w:val="auto"/>
          <w:sz w:val="36"/>
          <w:szCs w:val="36"/>
        </w:rPr>
      </w:pPr>
      <w:r>
        <w:rPr>
          <w:rFonts w:hint="eastAsia" w:ascii="宋体" w:eastAsia="宋体" w:cs="宋体"/>
          <w:sz w:val="36"/>
          <w:szCs w:val="36"/>
        </w:rPr>
        <w:br w:type="page"/>
      </w:r>
      <w:bookmarkStart w:id="130" w:name="_Toc10474"/>
      <w:r>
        <w:rPr>
          <w:rFonts w:hint="eastAsia" w:ascii="宋体" w:eastAsia="宋体" w:cs="宋体"/>
          <w:color w:val="auto"/>
          <w:sz w:val="36"/>
          <w:szCs w:val="36"/>
        </w:rPr>
        <w:t>第四章 采购内容及技术要求</w:t>
      </w:r>
      <w:bookmarkEnd w:id="118"/>
      <w:bookmarkEnd w:id="119"/>
      <w:bookmarkEnd w:id="120"/>
      <w:bookmarkEnd w:id="121"/>
      <w:bookmarkEnd w:id="122"/>
      <w:bookmarkEnd w:id="123"/>
      <w:bookmarkEnd w:id="124"/>
      <w:bookmarkEnd w:id="125"/>
      <w:bookmarkEnd w:id="126"/>
      <w:bookmarkEnd w:id="127"/>
      <w:bookmarkEnd w:id="128"/>
      <w:bookmarkEnd w:id="130"/>
      <w:bookmarkStart w:id="131" w:name="_Toc317530110"/>
      <w:bookmarkStart w:id="132" w:name="_Toc389582038"/>
      <w:bookmarkStart w:id="133" w:name="_Toc4053"/>
      <w:bookmarkStart w:id="134" w:name="_Toc2711"/>
      <w:bookmarkStart w:id="135" w:name="_Toc23856"/>
      <w:bookmarkStart w:id="136" w:name="_Toc20481"/>
      <w:bookmarkStart w:id="137" w:name="_Toc1025"/>
      <w:bookmarkStart w:id="138" w:name="_Toc11450"/>
    </w:p>
    <w:p>
      <w:pPr>
        <w:rPr>
          <w:b/>
          <w:bCs/>
        </w:rPr>
      </w:pPr>
      <w:r>
        <w:rPr>
          <w:rFonts w:hint="eastAsia"/>
          <w:b/>
          <w:bCs/>
        </w:rPr>
        <w:t>一、技术要求：</w:t>
      </w:r>
    </w:p>
    <w:p>
      <w:pPr>
        <w:spacing w:line="360" w:lineRule="auto"/>
        <w:jc w:val="center"/>
        <w:outlineLvl w:val="1"/>
        <w:rPr>
          <w:rFonts w:hint="eastAsia"/>
          <w:b/>
          <w:bCs/>
          <w:lang w:eastAsia="zh-CN"/>
        </w:rPr>
      </w:pPr>
      <w:r>
        <w:rPr>
          <w:rFonts w:hint="eastAsia"/>
          <w:b/>
          <w:bCs/>
          <w:lang w:eastAsia="zh-CN"/>
        </w:rPr>
        <w:t>第一包：</w:t>
      </w:r>
      <w:r>
        <w:rPr>
          <w:rFonts w:cs="宋体" w:asciiTheme="minorEastAsia" w:hAnsiTheme="minorEastAsia" w:eastAsiaTheme="minorEastAsia"/>
          <w:b/>
          <w:bCs/>
          <w:szCs w:val="24"/>
        </w:rPr>
        <w:t>刑侦技术设备</w:t>
      </w:r>
    </w:p>
    <w:tbl>
      <w:tblPr>
        <w:tblStyle w:val="46"/>
        <w:tblW w:w="913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71"/>
        <w:gridCol w:w="1174"/>
        <w:gridCol w:w="6461"/>
        <w:gridCol w:w="7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17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名称</w:t>
            </w:r>
          </w:p>
        </w:tc>
        <w:tc>
          <w:tcPr>
            <w:tcW w:w="64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技术参数</w:t>
            </w:r>
          </w:p>
        </w:tc>
        <w:tc>
          <w:tcPr>
            <w:tcW w:w="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45" w:hRule="atLeast"/>
        </w:trPr>
        <w:tc>
          <w:tcPr>
            <w:tcW w:w="771" w:type="dxa"/>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174" w:type="dxa"/>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现场取证摄像机</w:t>
            </w:r>
          </w:p>
        </w:tc>
        <w:tc>
          <w:tcPr>
            <w:tcW w:w="6461" w:type="dxa"/>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影像传感器</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影像传感器类型</w:t>
            </w:r>
            <w:r>
              <w:rPr>
                <w:rFonts w:hint="eastAsia" w:ascii="宋体" w:hAnsi="宋体" w:eastAsia="宋体" w:cs="宋体"/>
                <w:i w:val="0"/>
                <w:iCs w:val="0"/>
                <w:color w:val="auto"/>
                <w:kern w:val="0"/>
                <w:sz w:val="21"/>
                <w:szCs w:val="21"/>
                <w:highlight w:val="none"/>
                <w:u w:val="none"/>
                <w:lang w:val="en-US" w:eastAsia="zh-CN" w:bidi="ar"/>
              </w:rPr>
              <w:tab/>
            </w:r>
            <w:r>
              <w:rPr>
                <w:rFonts w:hint="eastAsia" w:ascii="宋体" w:hAnsi="宋体" w:eastAsia="宋体" w:cs="宋体"/>
                <w:i w:val="0"/>
                <w:iCs w:val="0"/>
                <w:color w:val="auto"/>
                <w:kern w:val="0"/>
                <w:sz w:val="21"/>
                <w:szCs w:val="21"/>
                <w:highlight w:val="none"/>
                <w:u w:val="none"/>
                <w:lang w:val="en-US" w:eastAsia="zh-CN" w:bidi="ar"/>
              </w:rPr>
              <w:t>背照式Exmor R CMOS</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影像传感器尺寸</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1/2.5英寸</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总像素</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857万像素</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动态有效像素</w:t>
            </w:r>
            <w:r>
              <w:rPr>
                <w:rFonts w:hint="eastAsia" w:ascii="宋体" w:hAnsi="宋体" w:eastAsia="宋体" w:cs="宋体"/>
                <w:i w:val="0"/>
                <w:iCs w:val="0"/>
                <w:color w:val="auto"/>
                <w:kern w:val="0"/>
                <w:sz w:val="21"/>
                <w:szCs w:val="21"/>
                <w:highlight w:val="none"/>
                <w:u w:val="none"/>
                <w:lang w:val="en-US" w:eastAsia="zh-CN" w:bidi="ar"/>
              </w:rPr>
              <w:tab/>
            </w:r>
            <w:r>
              <w:rPr>
                <w:rFonts w:hint="eastAsia" w:ascii="宋体" w:hAnsi="宋体" w:eastAsia="宋体" w:cs="宋体"/>
                <w:i w:val="0"/>
                <w:iCs w:val="0"/>
                <w:color w:val="auto"/>
                <w:kern w:val="0"/>
                <w:sz w:val="21"/>
                <w:szCs w:val="21"/>
                <w:highlight w:val="none"/>
                <w:u w:val="none"/>
                <w:lang w:val="en-US" w:eastAsia="zh-CN" w:bidi="ar"/>
              </w:rPr>
              <w:t>约829万像素（16:9）*1</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静态有效像素</w:t>
            </w:r>
            <w:r>
              <w:rPr>
                <w:rFonts w:hint="eastAsia" w:ascii="宋体" w:hAnsi="宋体" w:eastAsia="宋体" w:cs="宋体"/>
                <w:i w:val="0"/>
                <w:iCs w:val="0"/>
                <w:color w:val="auto"/>
                <w:kern w:val="0"/>
                <w:sz w:val="21"/>
                <w:szCs w:val="21"/>
                <w:highlight w:val="none"/>
                <w:u w:val="none"/>
                <w:lang w:val="en-US" w:eastAsia="zh-CN" w:bidi="ar"/>
              </w:rPr>
              <w:tab/>
            </w:r>
            <w:r>
              <w:rPr>
                <w:rFonts w:hint="eastAsia" w:ascii="宋体" w:hAnsi="宋体" w:eastAsia="宋体" w:cs="宋体"/>
                <w:i w:val="0"/>
                <w:iCs w:val="0"/>
                <w:color w:val="auto"/>
                <w:kern w:val="0"/>
                <w:sz w:val="21"/>
                <w:szCs w:val="21"/>
                <w:highlight w:val="none"/>
                <w:u w:val="none"/>
                <w:lang w:val="en-US" w:eastAsia="zh-CN" w:bidi="ar"/>
              </w:rPr>
              <w:t>约829万像素（16:9）/约662万像素（4:3）</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最大扩展容量</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256GB</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容量</w:t>
            </w:r>
            <w:r>
              <w:rPr>
                <w:rFonts w:hint="eastAsia" w:ascii="宋体" w:hAnsi="宋体" w:eastAsia="宋体" w:cs="宋体"/>
                <w:i w:val="0"/>
                <w:iCs w:val="0"/>
                <w:color w:val="auto"/>
                <w:kern w:val="0"/>
                <w:sz w:val="21"/>
                <w:szCs w:val="21"/>
                <w:highlight w:val="none"/>
                <w:u w:val="none"/>
                <w:lang w:val="en-US" w:eastAsia="zh-CN" w:bidi="ar"/>
              </w:rPr>
              <w:tab/>
            </w:r>
            <w:r>
              <w:rPr>
                <w:rFonts w:hint="eastAsia" w:ascii="宋体" w:hAnsi="宋体" w:eastAsia="宋体" w:cs="宋体"/>
                <w:i w:val="0"/>
                <w:iCs w:val="0"/>
                <w:color w:val="auto"/>
                <w:kern w:val="0"/>
                <w:sz w:val="21"/>
                <w:szCs w:val="21"/>
                <w:highlight w:val="none"/>
                <w:u w:val="none"/>
                <w:lang w:val="en-US" w:eastAsia="zh-CN" w:bidi="ar"/>
              </w:rPr>
              <w:t>64GB内存*2</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静态影像记录格式</w:t>
            </w:r>
            <w:r>
              <w:rPr>
                <w:rFonts w:hint="eastAsia" w:ascii="宋体" w:hAnsi="宋体" w:eastAsia="宋体" w:cs="宋体"/>
                <w:i w:val="0"/>
                <w:iCs w:val="0"/>
                <w:color w:val="auto"/>
                <w:kern w:val="0"/>
                <w:sz w:val="21"/>
                <w:szCs w:val="21"/>
                <w:highlight w:val="none"/>
                <w:u w:val="none"/>
                <w:lang w:val="en-US" w:eastAsia="zh-CN" w:bidi="ar"/>
              </w:rPr>
              <w:tab/>
            </w:r>
            <w:r>
              <w:rPr>
                <w:rFonts w:hint="eastAsia" w:ascii="宋体" w:hAnsi="宋体" w:eastAsia="宋体" w:cs="宋体"/>
                <w:i w:val="0"/>
                <w:iCs w:val="0"/>
                <w:color w:val="auto"/>
                <w:kern w:val="0"/>
                <w:sz w:val="21"/>
                <w:szCs w:val="21"/>
                <w:highlight w:val="none"/>
                <w:u w:val="none"/>
                <w:lang w:val="en-US" w:eastAsia="zh-CN" w:bidi="ar"/>
              </w:rPr>
              <w:t>JPEG</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静态图像尺寸(动态模式)</w:t>
            </w:r>
            <w:r>
              <w:rPr>
                <w:rFonts w:hint="eastAsia" w:ascii="宋体" w:hAnsi="宋体" w:eastAsia="宋体" w:cs="宋体"/>
                <w:i w:val="0"/>
                <w:iCs w:val="0"/>
                <w:color w:val="auto"/>
                <w:kern w:val="0"/>
                <w:sz w:val="21"/>
                <w:szCs w:val="21"/>
                <w:highlight w:val="none"/>
                <w:u w:val="none"/>
                <w:lang w:val="en-US" w:eastAsia="zh-CN" w:bidi="ar"/>
              </w:rPr>
              <w:tab/>
            </w:r>
            <w:r>
              <w:rPr>
                <w:rFonts w:hint="eastAsia" w:ascii="宋体" w:hAnsi="宋体" w:eastAsia="宋体" w:cs="宋体"/>
                <w:i w:val="0"/>
                <w:iCs w:val="0"/>
                <w:color w:val="auto"/>
                <w:kern w:val="0"/>
                <w:sz w:val="21"/>
                <w:szCs w:val="21"/>
                <w:highlight w:val="none"/>
                <w:u w:val="none"/>
                <w:lang w:val="en-US" w:eastAsia="zh-CN" w:bidi="ar"/>
              </w:rPr>
              <w:t>M:830万像素16:9(3840x2160)</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S:210万像素16:9(1920x1080)</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静态图像尺寸(静态模式)</w:t>
            </w:r>
            <w:r>
              <w:rPr>
                <w:rFonts w:hint="eastAsia" w:ascii="宋体" w:hAnsi="宋体" w:eastAsia="宋体" w:cs="宋体"/>
                <w:i w:val="0"/>
                <w:iCs w:val="0"/>
                <w:color w:val="auto"/>
                <w:kern w:val="0"/>
                <w:sz w:val="21"/>
                <w:szCs w:val="21"/>
                <w:highlight w:val="none"/>
                <w:u w:val="none"/>
                <w:lang w:val="en-US" w:eastAsia="zh-CN" w:bidi="ar"/>
              </w:rPr>
              <w:tab/>
            </w:r>
            <w:r>
              <w:rPr>
                <w:rFonts w:hint="eastAsia" w:ascii="宋体" w:hAnsi="宋体" w:eastAsia="宋体" w:cs="宋体"/>
                <w:i w:val="0"/>
                <w:iCs w:val="0"/>
                <w:color w:val="auto"/>
                <w:kern w:val="0"/>
                <w:sz w:val="21"/>
                <w:szCs w:val="21"/>
                <w:highlight w:val="none"/>
                <w:u w:val="none"/>
                <w:lang w:val="en-US" w:eastAsia="zh-CN" w:bidi="ar"/>
              </w:rPr>
              <w:t>L: 1660万像素16:9(5440x3056),1250万 4:3 (4080x3056)</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M: 830万像素16:9(3840x2160),620万像素4:3(2880x2160)</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S: 210万像素16:9(1920x1080),30万像素4:3(640x480)</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麦克风</w:t>
            </w:r>
            <w:r>
              <w:rPr>
                <w:rFonts w:hint="eastAsia" w:ascii="宋体" w:hAnsi="宋体" w:eastAsia="宋体" w:cs="宋体"/>
                <w:i w:val="0"/>
                <w:iCs w:val="0"/>
                <w:color w:val="auto"/>
                <w:kern w:val="0"/>
                <w:sz w:val="21"/>
                <w:szCs w:val="21"/>
                <w:highlight w:val="none"/>
                <w:u w:val="none"/>
                <w:lang w:val="en-US" w:eastAsia="zh-CN" w:bidi="ar"/>
              </w:rPr>
              <w:tab/>
            </w:r>
            <w:r>
              <w:rPr>
                <w:rFonts w:hint="eastAsia" w:ascii="宋体" w:hAnsi="宋体" w:eastAsia="宋体" w:cs="宋体"/>
                <w:i w:val="0"/>
                <w:iCs w:val="0"/>
                <w:color w:val="auto"/>
                <w:kern w:val="0"/>
                <w:sz w:val="21"/>
                <w:szCs w:val="21"/>
                <w:highlight w:val="none"/>
                <w:u w:val="none"/>
                <w:lang w:val="en-US" w:eastAsia="zh-CN" w:bidi="ar"/>
              </w:rPr>
              <w:t>内置变焦麦克风</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扬声器</w:t>
            </w:r>
            <w:r>
              <w:rPr>
                <w:rFonts w:hint="eastAsia" w:ascii="宋体" w:hAnsi="宋体" w:eastAsia="宋体" w:cs="宋体"/>
                <w:i w:val="0"/>
                <w:iCs w:val="0"/>
                <w:color w:val="auto"/>
                <w:kern w:val="0"/>
                <w:sz w:val="21"/>
                <w:szCs w:val="21"/>
                <w:highlight w:val="none"/>
                <w:u w:val="none"/>
                <w:lang w:val="en-US" w:eastAsia="zh-CN" w:bidi="ar"/>
              </w:rPr>
              <w:tab/>
            </w:r>
            <w:r>
              <w:rPr>
                <w:rFonts w:hint="eastAsia" w:ascii="宋体" w:hAnsi="宋体" w:eastAsia="宋体" w:cs="宋体"/>
                <w:i w:val="0"/>
                <w:iCs w:val="0"/>
                <w:color w:val="auto"/>
                <w:kern w:val="0"/>
                <w:sz w:val="21"/>
                <w:szCs w:val="21"/>
                <w:highlight w:val="none"/>
                <w:u w:val="none"/>
                <w:lang w:val="en-US" w:eastAsia="zh-CN" w:bidi="ar"/>
              </w:rPr>
              <w:t>单声道扬声器</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自动风噪减弱</w:t>
            </w:r>
            <w:r>
              <w:rPr>
                <w:rFonts w:hint="eastAsia" w:ascii="宋体" w:hAnsi="宋体" w:eastAsia="宋体" w:cs="宋体"/>
                <w:i w:val="0"/>
                <w:iCs w:val="0"/>
                <w:color w:val="auto"/>
                <w:kern w:val="0"/>
                <w:sz w:val="21"/>
                <w:szCs w:val="21"/>
                <w:highlight w:val="none"/>
                <w:u w:val="none"/>
                <w:lang w:val="en-US" w:eastAsia="zh-CN" w:bidi="ar"/>
              </w:rPr>
              <w:tab/>
            </w:r>
            <w:r>
              <w:rPr>
                <w:rFonts w:hint="eastAsia" w:ascii="宋体" w:hAnsi="宋体" w:eastAsia="宋体" w:cs="宋体"/>
                <w:i w:val="0"/>
                <w:iCs w:val="0"/>
                <w:color w:val="auto"/>
                <w:kern w:val="0"/>
                <w:sz w:val="21"/>
                <w:szCs w:val="21"/>
                <w:highlight w:val="none"/>
                <w:u w:val="none"/>
                <w:lang w:val="en-US" w:eastAsia="zh-CN" w:bidi="ar"/>
              </w:rPr>
              <w:t>是（开/关）</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双摄录制</w:t>
            </w:r>
            <w:r>
              <w:rPr>
                <w:rFonts w:hint="eastAsia" w:ascii="宋体" w:hAnsi="宋体" w:eastAsia="宋体" w:cs="宋体"/>
                <w:i w:val="0"/>
                <w:iCs w:val="0"/>
                <w:color w:val="auto"/>
                <w:kern w:val="0"/>
                <w:sz w:val="21"/>
                <w:szCs w:val="21"/>
                <w:highlight w:val="none"/>
                <w:u w:val="none"/>
                <w:lang w:val="en-US" w:eastAsia="zh-CN" w:bidi="ar"/>
              </w:rPr>
              <w:tab/>
            </w:r>
            <w:r>
              <w:rPr>
                <w:rFonts w:hint="eastAsia" w:ascii="宋体" w:hAnsi="宋体" w:eastAsia="宋体" w:cs="宋体"/>
                <w:i w:val="0"/>
                <w:iCs w:val="0"/>
                <w:color w:val="auto"/>
                <w:kern w:val="0"/>
                <w:sz w:val="21"/>
                <w:szCs w:val="21"/>
                <w:highlight w:val="none"/>
                <w:u w:val="none"/>
                <w:lang w:val="en-US" w:eastAsia="zh-CN" w:bidi="ar"/>
              </w:rPr>
              <w:t>是*8</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视频信号</w:t>
            </w:r>
            <w:r>
              <w:rPr>
                <w:rFonts w:hint="eastAsia" w:ascii="宋体" w:hAnsi="宋体" w:eastAsia="宋体" w:cs="宋体"/>
                <w:i w:val="0"/>
                <w:iCs w:val="0"/>
                <w:color w:val="auto"/>
                <w:kern w:val="0"/>
                <w:sz w:val="21"/>
                <w:szCs w:val="21"/>
                <w:highlight w:val="none"/>
                <w:u w:val="none"/>
                <w:lang w:val="en-US" w:eastAsia="zh-CN" w:bidi="ar"/>
              </w:rPr>
              <w:tab/>
            </w:r>
            <w:r>
              <w:rPr>
                <w:rFonts w:hint="eastAsia" w:ascii="宋体" w:hAnsi="宋体" w:eastAsia="宋体" w:cs="宋体"/>
                <w:i w:val="0"/>
                <w:iCs w:val="0"/>
                <w:color w:val="auto"/>
                <w:kern w:val="0"/>
                <w:sz w:val="21"/>
                <w:szCs w:val="21"/>
                <w:highlight w:val="none"/>
                <w:u w:val="none"/>
                <w:lang w:val="en-US" w:eastAsia="zh-CN" w:bidi="ar"/>
              </w:rPr>
              <w:t>UHDTV</w:t>
            </w:r>
            <w:r>
              <w:rPr>
                <w:rFonts w:hint="eastAsia" w:ascii="宋体" w:hAnsi="宋体" w:cs="宋体"/>
                <w:i w:val="0"/>
                <w:iCs w:val="0"/>
                <w:color w:val="auto"/>
                <w:kern w:val="0"/>
                <w:sz w:val="21"/>
                <w:szCs w:val="21"/>
                <w:highlight w:val="none"/>
                <w:u w:val="none"/>
                <w:lang w:val="en-US" w:eastAsia="zh-CN" w:bidi="ar"/>
              </w:rPr>
              <w:t xml:space="preserve"> </w:t>
            </w:r>
            <w:r>
              <w:rPr>
                <w:rFonts w:hint="eastAsia" w:ascii="宋体" w:hAnsi="宋体" w:eastAsia="宋体" w:cs="宋体"/>
                <w:i w:val="0"/>
                <w:iCs w:val="0"/>
                <w:color w:val="auto"/>
                <w:kern w:val="0"/>
                <w:sz w:val="21"/>
                <w:szCs w:val="21"/>
                <w:highlight w:val="none"/>
                <w:u w:val="none"/>
                <w:lang w:val="en-US" w:eastAsia="zh-CN" w:bidi="ar"/>
              </w:rPr>
              <w:t>HDTVPAL color, CCIR标准</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光学/镜头</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镜头</w:t>
            </w:r>
            <w:r>
              <w:rPr>
                <w:rFonts w:hint="eastAsia" w:ascii="宋体" w:hAnsi="宋体" w:eastAsia="宋体" w:cs="宋体"/>
                <w:i w:val="0"/>
                <w:iCs w:val="0"/>
                <w:color w:val="auto"/>
                <w:kern w:val="0"/>
                <w:sz w:val="21"/>
                <w:szCs w:val="21"/>
                <w:highlight w:val="none"/>
                <w:u w:val="none"/>
                <w:lang w:val="en-US" w:eastAsia="zh-CN" w:bidi="ar"/>
              </w:rPr>
              <w:tab/>
            </w:r>
            <w:r>
              <w:rPr>
                <w:rFonts w:hint="eastAsia" w:ascii="宋体" w:hAnsi="宋体" w:eastAsia="宋体" w:cs="宋体"/>
                <w:i w:val="0"/>
                <w:iCs w:val="0"/>
                <w:color w:val="auto"/>
                <w:kern w:val="0"/>
                <w:sz w:val="21"/>
                <w:szCs w:val="21"/>
                <w:highlight w:val="none"/>
                <w:u w:val="none"/>
                <w:lang w:val="en-US" w:eastAsia="zh-CN" w:bidi="ar"/>
              </w:rPr>
              <w:t>蔡司镜头（ Vario-Sonnar T*镜头）</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光圈</w:t>
            </w:r>
            <w:r>
              <w:rPr>
                <w:rFonts w:hint="eastAsia" w:ascii="宋体" w:hAnsi="宋体" w:eastAsia="宋体" w:cs="宋体"/>
                <w:i w:val="0"/>
                <w:iCs w:val="0"/>
                <w:color w:val="auto"/>
                <w:kern w:val="0"/>
                <w:sz w:val="21"/>
                <w:szCs w:val="21"/>
                <w:highlight w:val="none"/>
                <w:u w:val="none"/>
                <w:lang w:val="en-US" w:eastAsia="zh-CN" w:bidi="ar"/>
              </w:rPr>
              <w:tab/>
            </w:r>
            <w:r>
              <w:rPr>
                <w:rFonts w:hint="eastAsia" w:ascii="宋体" w:hAnsi="宋体" w:eastAsia="宋体" w:cs="宋体"/>
                <w:i w:val="0"/>
                <w:iCs w:val="0"/>
                <w:color w:val="auto"/>
                <w:kern w:val="0"/>
                <w:sz w:val="21"/>
                <w:szCs w:val="21"/>
                <w:highlight w:val="none"/>
                <w:u w:val="none"/>
                <w:lang w:val="en-US" w:eastAsia="zh-CN" w:bidi="ar"/>
              </w:rPr>
              <w:t>F2.0-3.8</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光学变焦</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20x</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数码变焦</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250x</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f（焦点距离）</w:t>
            </w:r>
            <w:r>
              <w:rPr>
                <w:rFonts w:hint="eastAsia" w:ascii="宋体" w:hAnsi="宋体" w:eastAsia="宋体" w:cs="宋体"/>
                <w:i w:val="0"/>
                <w:iCs w:val="0"/>
                <w:color w:val="auto"/>
                <w:kern w:val="0"/>
                <w:sz w:val="21"/>
                <w:szCs w:val="21"/>
                <w:highlight w:val="none"/>
                <w:u w:val="none"/>
                <w:lang w:val="en-US" w:eastAsia="zh-CN" w:bidi="ar"/>
              </w:rPr>
              <w:tab/>
            </w:r>
            <w:r>
              <w:rPr>
                <w:rFonts w:hint="eastAsia" w:ascii="宋体" w:hAnsi="宋体" w:eastAsia="宋体" w:cs="宋体"/>
                <w:i w:val="0"/>
                <w:iCs w:val="0"/>
                <w:color w:val="auto"/>
                <w:kern w:val="0"/>
                <w:sz w:val="21"/>
                <w:szCs w:val="21"/>
                <w:highlight w:val="none"/>
                <w:u w:val="none"/>
                <w:lang w:val="en-US" w:eastAsia="zh-CN" w:bidi="ar"/>
              </w:rPr>
              <w:t>f=4.4-88mm</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滤镜直径</w:t>
            </w:r>
            <w:r>
              <w:rPr>
                <w:rFonts w:hint="eastAsia" w:ascii="宋体" w:hAnsi="宋体" w:eastAsia="宋体" w:cs="宋体"/>
                <w:i w:val="0"/>
                <w:iCs w:val="0"/>
                <w:color w:val="auto"/>
                <w:kern w:val="0"/>
                <w:sz w:val="21"/>
                <w:szCs w:val="21"/>
                <w:highlight w:val="none"/>
                <w:u w:val="none"/>
                <w:lang w:val="en-US" w:eastAsia="zh-CN" w:bidi="ar"/>
              </w:rPr>
              <w:tab/>
            </w:r>
            <w:r>
              <w:rPr>
                <w:rFonts w:hint="eastAsia" w:ascii="宋体" w:hAnsi="宋体" w:eastAsia="宋体" w:cs="宋体"/>
                <w:i w:val="0"/>
                <w:iCs w:val="0"/>
                <w:color w:val="auto"/>
                <w:kern w:val="0"/>
                <w:sz w:val="21"/>
                <w:szCs w:val="21"/>
                <w:highlight w:val="none"/>
                <w:u w:val="none"/>
                <w:lang w:val="en-US" w:eastAsia="zh-CN" w:bidi="ar"/>
              </w:rPr>
              <w:t>55mm</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最近对焦距离</w:t>
            </w:r>
            <w:r>
              <w:rPr>
                <w:rFonts w:hint="eastAsia" w:ascii="宋体" w:hAnsi="宋体" w:eastAsia="宋体" w:cs="宋体"/>
                <w:i w:val="0"/>
                <w:iCs w:val="0"/>
                <w:color w:val="auto"/>
                <w:kern w:val="0"/>
                <w:sz w:val="21"/>
                <w:szCs w:val="21"/>
                <w:highlight w:val="none"/>
                <w:u w:val="none"/>
                <w:lang w:val="en-US" w:eastAsia="zh-CN" w:bidi="ar"/>
              </w:rPr>
              <w:tab/>
            </w:r>
            <w:r>
              <w:rPr>
                <w:rFonts w:hint="eastAsia" w:ascii="宋体" w:hAnsi="宋体" w:eastAsia="宋体" w:cs="宋体"/>
                <w:i w:val="0"/>
                <w:iCs w:val="0"/>
                <w:color w:val="auto"/>
                <w:kern w:val="0"/>
                <w:sz w:val="21"/>
                <w:szCs w:val="21"/>
                <w:highlight w:val="none"/>
                <w:u w:val="none"/>
                <w:lang w:val="en-US" w:eastAsia="zh-CN" w:bidi="ar"/>
              </w:rPr>
              <w:t>约1cm</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液晶屏</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液晶屏</w:t>
            </w:r>
            <w:r>
              <w:rPr>
                <w:rFonts w:hint="eastAsia"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3.0英寸约9</w:t>
            </w:r>
            <w:r>
              <w:rPr>
                <w:rFonts w:hint="eastAsia" w:hAnsi="宋体" w:cs="宋体"/>
                <w:i w:val="0"/>
                <w:iCs w:val="0"/>
                <w:color w:val="auto"/>
                <w:kern w:val="0"/>
                <w:sz w:val="21"/>
                <w:szCs w:val="21"/>
                <w:highlight w:val="none"/>
                <w:u w:val="none"/>
                <w:lang w:val="en-US" w:eastAsia="zh-CN" w:bidi="ar"/>
              </w:rPr>
              <w:t>0.0</w:t>
            </w:r>
            <w:r>
              <w:rPr>
                <w:rFonts w:hint="eastAsia" w:ascii="宋体" w:hAnsi="宋体" w:eastAsia="宋体" w:cs="宋体"/>
                <w:i w:val="0"/>
                <w:iCs w:val="0"/>
                <w:color w:val="auto"/>
                <w:kern w:val="0"/>
                <w:sz w:val="21"/>
                <w:szCs w:val="21"/>
                <w:highlight w:val="none"/>
                <w:u w:val="none"/>
                <w:lang w:val="en-US" w:eastAsia="zh-CN" w:bidi="ar"/>
              </w:rPr>
              <w:t>万像素</w:t>
            </w:r>
            <w:r>
              <w:rPr>
                <w:rFonts w:hint="eastAsia" w:ascii="宋体" w:hAnsi="宋体" w:cs="宋体"/>
                <w:i w:val="0"/>
                <w:iCs w:val="0"/>
                <w:color w:val="auto"/>
                <w:kern w:val="0"/>
                <w:sz w:val="21"/>
                <w:szCs w:val="21"/>
                <w:highlight w:val="none"/>
                <w:u w:val="none"/>
                <w:lang w:val="en-US" w:eastAsia="zh-CN" w:bidi="ar"/>
              </w:rPr>
              <w:t>触摸</w:t>
            </w:r>
            <w:r>
              <w:rPr>
                <w:rFonts w:hint="eastAsia" w:ascii="宋体" w:hAnsi="宋体" w:eastAsia="宋体" w:cs="宋体"/>
                <w:i w:val="0"/>
                <w:iCs w:val="0"/>
                <w:color w:val="auto"/>
                <w:kern w:val="0"/>
                <w:sz w:val="21"/>
                <w:szCs w:val="21"/>
                <w:highlight w:val="none"/>
                <w:u w:val="none"/>
                <w:lang w:val="en-US" w:eastAsia="zh-CN" w:bidi="ar"/>
              </w:rPr>
              <w:t>液晶屏(16:9)</w:t>
            </w:r>
            <w:r>
              <w:rPr>
                <w:rFonts w:hint="eastAsia" w:ascii="宋体" w:hAnsi="宋体" w:eastAsia="宋体" w:cs="宋体"/>
                <w:i w:val="0"/>
                <w:iCs w:val="0"/>
                <w:color w:val="000000"/>
                <w:kern w:val="0"/>
                <w:sz w:val="21"/>
                <w:szCs w:val="21"/>
                <w:u w:val="none"/>
                <w:lang w:val="en-US" w:eastAsia="zh-CN" w:bidi="ar"/>
              </w:rPr>
              <w:t>终端。</w:t>
            </w:r>
          </w:p>
        </w:tc>
        <w:tc>
          <w:tcPr>
            <w:tcW w:w="724" w:type="dxa"/>
            <w:tcBorders>
              <w:top w:val="single" w:color="000000" w:sz="4" w:space="0"/>
              <w:left w:val="single" w:color="000000" w:sz="4" w:space="0"/>
              <w:bottom w:val="single" w:color="auto"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28" w:hRule="atLeast"/>
        </w:trPr>
        <w:tc>
          <w:tcPr>
            <w:tcW w:w="771" w:type="dxa"/>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174" w:type="dxa"/>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恢复大师—应用模块</w:t>
            </w:r>
          </w:p>
        </w:tc>
        <w:tc>
          <w:tcPr>
            <w:tcW w:w="6461" w:type="dxa"/>
            <w:tcBorders>
              <w:top w:val="single" w:color="auto" w:sz="4" w:space="0"/>
              <w:left w:val="single" w:color="000000" w:sz="4" w:space="0"/>
              <w:bottom w:val="single" w:color="000000" w:sz="4" w:space="0"/>
              <w:right w:val="single" w:color="000000" w:sz="4" w:space="0"/>
            </w:tcBorders>
            <w:noWrap/>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bCs/>
                <w:color w:val="auto"/>
                <w:kern w:val="0"/>
                <w:sz w:val="21"/>
                <w:szCs w:val="21"/>
                <w:highlight w:val="none"/>
                <w:lang w:val="en-US" w:eastAsia="zh-CN"/>
              </w:rPr>
              <w:t>一</w:t>
            </w:r>
            <w:r>
              <w:rPr>
                <w:rFonts w:hint="eastAsia" w:ascii="宋体" w:hAnsi="宋体" w:eastAsia="宋体" w:cs="宋体"/>
                <w:b/>
                <w:bCs/>
                <w:color w:val="auto"/>
                <w:kern w:val="0"/>
                <w:sz w:val="21"/>
                <w:szCs w:val="21"/>
                <w:highlight w:val="none"/>
              </w:rPr>
              <w:t>、技术要求</w:t>
            </w:r>
            <w:r>
              <w:rPr>
                <w:rFonts w:hint="eastAsia" w:ascii="宋体" w:hAnsi="宋体" w:eastAsia="宋体" w:cs="宋体"/>
                <w:b/>
                <w:bCs/>
                <w:color w:val="auto"/>
                <w:kern w:val="0"/>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（一）监控视频恢复</w:t>
            </w:r>
            <w:r>
              <w:rPr>
                <w:rFonts w:hint="eastAsia" w:ascii="宋体" w:hAnsi="宋体" w:cs="宋体"/>
                <w:color w:val="auto"/>
                <w:kern w:val="0"/>
                <w:sz w:val="21"/>
                <w:szCs w:val="21"/>
                <w:highlight w:val="none"/>
                <w:lang w:val="en-US" w:eastAsia="zh-CN"/>
              </w:rPr>
              <w:t>要求</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具有</w:t>
            </w:r>
            <w:r>
              <w:rPr>
                <w:rFonts w:hint="eastAsia" w:ascii="宋体" w:hAnsi="宋体" w:eastAsia="宋体" w:cs="宋体"/>
                <w:color w:val="auto"/>
                <w:kern w:val="0"/>
                <w:sz w:val="21"/>
                <w:szCs w:val="21"/>
                <w:highlight w:val="none"/>
              </w:rPr>
              <w:t>海康威视、浙江大华、中维世纪、德加拉、天视达、大唐讯士等80多家监控视频厂商；需支持DD、001、IMG、E01、Ex01等多种格式的镜像类型的数据恢复；</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具有</w:t>
            </w:r>
            <w:r>
              <w:rPr>
                <w:rFonts w:hint="eastAsia" w:ascii="宋体" w:hAnsi="宋体" w:eastAsia="宋体" w:cs="宋体"/>
                <w:color w:val="auto"/>
                <w:kern w:val="0"/>
                <w:sz w:val="21"/>
                <w:szCs w:val="21"/>
                <w:highlight w:val="none"/>
              </w:rPr>
              <w:t>由于病毒感染或者操作断电、在监控设备上进行磁盘初始化引起的监控视频数据丢失的恢复；</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具有</w:t>
            </w:r>
            <w:r>
              <w:rPr>
                <w:rFonts w:hint="eastAsia" w:ascii="宋体" w:hAnsi="宋体" w:eastAsia="宋体" w:cs="宋体"/>
                <w:color w:val="auto"/>
                <w:kern w:val="0"/>
                <w:sz w:val="21"/>
                <w:szCs w:val="21"/>
                <w:highlight w:val="none"/>
              </w:rPr>
              <w:t>恢复因监控设备盘满而覆盖的数据、监控视频碎片恢复、视频文件播放，支持视频的快速检索与分析。</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（二）记录仪恢复</w:t>
            </w:r>
            <w:r>
              <w:rPr>
                <w:rFonts w:hint="eastAsia" w:ascii="宋体" w:hAnsi="宋体" w:cs="宋体"/>
                <w:color w:val="auto"/>
                <w:kern w:val="0"/>
                <w:sz w:val="21"/>
                <w:szCs w:val="21"/>
                <w:highlight w:val="none"/>
                <w:lang w:val="en-US" w:eastAsia="zh-CN"/>
              </w:rPr>
              <w:t>要求</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具有≥</w:t>
            </w:r>
            <w:r>
              <w:rPr>
                <w:rFonts w:hint="eastAsia" w:ascii="宋体" w:hAnsi="宋体" w:eastAsia="宋体" w:cs="宋体"/>
                <w:color w:val="auto"/>
                <w:kern w:val="0"/>
                <w:sz w:val="21"/>
                <w:szCs w:val="21"/>
                <w:highlight w:val="none"/>
              </w:rPr>
              <w:t>360等主流的车记录仪记录仪删除文件恢复及残留碎片帧提取</w:t>
            </w:r>
            <w:r>
              <w:rPr>
                <w:rFonts w:hint="eastAsia" w:ascii="宋体" w:hAnsi="宋体" w:eastAsia="宋体" w:cs="宋体"/>
                <w:color w:val="auto"/>
                <w:kern w:val="0"/>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具有</w:t>
            </w:r>
            <w:r>
              <w:rPr>
                <w:rFonts w:hint="eastAsia" w:ascii="宋体" w:hAnsi="宋体" w:eastAsia="宋体" w:cs="宋体"/>
                <w:color w:val="auto"/>
                <w:kern w:val="0"/>
                <w:sz w:val="21"/>
                <w:szCs w:val="21"/>
                <w:highlight w:val="none"/>
              </w:rPr>
              <w:t>警翼、中信安等主流的执法记录仪视频数据恢复及残留碎片帧提取</w:t>
            </w:r>
            <w:r>
              <w:rPr>
                <w:rFonts w:hint="eastAsia" w:ascii="宋体" w:hAnsi="宋体" w:eastAsia="宋体" w:cs="宋体"/>
                <w:color w:val="auto"/>
                <w:kern w:val="0"/>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（三）标准视频恢复（MP4、AVI、MOV、3GP、M4V等）</w:t>
            </w:r>
            <w:r>
              <w:rPr>
                <w:rFonts w:hint="eastAsia" w:ascii="宋体" w:hAnsi="宋体" w:cs="宋体"/>
                <w:color w:val="auto"/>
                <w:kern w:val="0"/>
                <w:sz w:val="21"/>
                <w:szCs w:val="21"/>
                <w:highlight w:val="none"/>
                <w:lang w:val="en-US" w:eastAsia="zh-CN"/>
              </w:rPr>
              <w:t>要求</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具有</w:t>
            </w:r>
            <w:r>
              <w:rPr>
                <w:rFonts w:hint="eastAsia" w:ascii="宋体" w:hAnsi="宋体" w:eastAsia="宋体" w:cs="宋体"/>
                <w:color w:val="auto"/>
                <w:kern w:val="0"/>
                <w:sz w:val="21"/>
                <w:szCs w:val="21"/>
                <w:highlight w:val="none"/>
              </w:rPr>
              <w:t>无人机、摄像机、手机等常见视频设备删除文件恢复及残留碎片帧提取</w:t>
            </w:r>
            <w:r>
              <w:rPr>
                <w:rFonts w:hint="eastAsia" w:ascii="宋体" w:hAnsi="宋体" w:eastAsia="宋体" w:cs="宋体"/>
                <w:color w:val="auto"/>
                <w:kern w:val="0"/>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（四）视频修复</w:t>
            </w:r>
            <w:r>
              <w:rPr>
                <w:rFonts w:hint="eastAsia" w:ascii="宋体" w:hAnsi="宋体" w:cs="宋体"/>
                <w:color w:val="auto"/>
                <w:kern w:val="0"/>
                <w:sz w:val="21"/>
                <w:szCs w:val="21"/>
                <w:highlight w:val="none"/>
                <w:lang w:val="en-US" w:eastAsia="zh-CN"/>
              </w:rPr>
              <w:t>要求</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w:t>
            </w:r>
            <w:r>
              <w:rPr>
                <w:rFonts w:hint="eastAsia" w:ascii="宋体" w:hAnsi="宋体" w:cs="宋体"/>
                <w:color w:val="auto"/>
                <w:kern w:val="0"/>
                <w:sz w:val="21"/>
                <w:szCs w:val="21"/>
                <w:highlight w:val="none"/>
                <w:lang w:val="en-US" w:eastAsia="zh-CN"/>
              </w:rPr>
              <w:t>具有</w:t>
            </w:r>
            <w:r>
              <w:rPr>
                <w:rFonts w:hint="eastAsia" w:ascii="宋体" w:hAnsi="宋体" w:eastAsia="宋体" w:cs="宋体"/>
                <w:color w:val="auto"/>
                <w:kern w:val="0"/>
                <w:sz w:val="21"/>
                <w:szCs w:val="21"/>
                <w:highlight w:val="none"/>
              </w:rPr>
              <w:t>修复MP4、AVI等格式的损坏视频</w:t>
            </w:r>
            <w:r>
              <w:rPr>
                <w:rFonts w:hint="eastAsia" w:ascii="宋体" w:hAnsi="宋体" w:eastAsia="宋体" w:cs="宋体"/>
                <w:color w:val="auto"/>
                <w:kern w:val="0"/>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w:t>
            </w:r>
            <w:r>
              <w:rPr>
                <w:rFonts w:hint="eastAsia" w:ascii="宋体" w:hAnsi="宋体" w:cs="宋体"/>
                <w:color w:val="auto"/>
                <w:kern w:val="0"/>
                <w:sz w:val="21"/>
                <w:szCs w:val="21"/>
                <w:highlight w:val="none"/>
                <w:lang w:val="en-US" w:eastAsia="zh-CN"/>
              </w:rPr>
              <w:t>具有</w:t>
            </w:r>
            <w:r>
              <w:rPr>
                <w:rFonts w:hint="eastAsia" w:ascii="宋体" w:hAnsi="宋体" w:eastAsia="宋体" w:cs="宋体"/>
                <w:color w:val="auto"/>
                <w:kern w:val="0"/>
                <w:sz w:val="21"/>
                <w:szCs w:val="21"/>
                <w:highlight w:val="none"/>
              </w:rPr>
              <w:t>MP4视频格式(H264编码)无需参照视频修复</w:t>
            </w:r>
            <w:r>
              <w:rPr>
                <w:rFonts w:hint="eastAsia" w:ascii="宋体" w:hAnsi="宋体" w:eastAsia="宋体" w:cs="宋体"/>
                <w:color w:val="auto"/>
                <w:kern w:val="0"/>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（五）音频修复</w:t>
            </w:r>
            <w:r>
              <w:rPr>
                <w:rFonts w:hint="eastAsia" w:ascii="宋体" w:hAnsi="宋体" w:cs="宋体"/>
                <w:color w:val="auto"/>
                <w:kern w:val="0"/>
                <w:sz w:val="21"/>
                <w:szCs w:val="21"/>
                <w:highlight w:val="none"/>
                <w:lang w:val="en-US" w:eastAsia="zh-CN"/>
              </w:rPr>
              <w:t>要求</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具有</w:t>
            </w:r>
            <w:r>
              <w:rPr>
                <w:rFonts w:hint="eastAsia" w:ascii="宋体" w:hAnsi="宋体" w:eastAsia="宋体" w:cs="宋体"/>
                <w:color w:val="auto"/>
                <w:kern w:val="0"/>
                <w:sz w:val="21"/>
                <w:szCs w:val="21"/>
                <w:highlight w:val="none"/>
              </w:rPr>
              <w:t>修复OGG、MP3、WAV、ACC、AM、M4A等格式的损坏音频</w:t>
            </w:r>
            <w:r>
              <w:rPr>
                <w:rFonts w:hint="eastAsia" w:ascii="宋体" w:hAnsi="宋体" w:eastAsia="宋体" w:cs="宋体"/>
                <w:color w:val="auto"/>
                <w:kern w:val="0"/>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（六）图片修复</w:t>
            </w:r>
            <w:r>
              <w:rPr>
                <w:rFonts w:hint="eastAsia" w:ascii="宋体" w:hAnsi="宋体" w:cs="宋体"/>
                <w:color w:val="auto"/>
                <w:kern w:val="0"/>
                <w:sz w:val="21"/>
                <w:szCs w:val="21"/>
                <w:highlight w:val="none"/>
                <w:lang w:val="en-US" w:eastAsia="zh-CN"/>
              </w:rPr>
              <w:t>要求</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具有</w:t>
            </w:r>
            <w:r>
              <w:rPr>
                <w:rFonts w:hint="eastAsia" w:ascii="宋体" w:hAnsi="宋体" w:eastAsia="宋体" w:cs="宋体"/>
                <w:color w:val="auto"/>
                <w:kern w:val="0"/>
                <w:sz w:val="21"/>
                <w:szCs w:val="21"/>
                <w:highlight w:val="none"/>
              </w:rPr>
              <w:t>修复JPG格式的损坏图片</w:t>
            </w:r>
            <w:r>
              <w:rPr>
                <w:rFonts w:hint="eastAsia" w:ascii="宋体" w:hAnsi="宋体" w:eastAsia="宋体" w:cs="宋体"/>
                <w:color w:val="auto"/>
                <w:kern w:val="0"/>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（七）数据库恢复</w:t>
            </w:r>
            <w:r>
              <w:rPr>
                <w:rFonts w:hint="eastAsia" w:ascii="宋体" w:hAnsi="宋体" w:cs="宋体"/>
                <w:color w:val="auto"/>
                <w:kern w:val="0"/>
                <w:sz w:val="21"/>
                <w:szCs w:val="21"/>
                <w:highlight w:val="none"/>
                <w:lang w:val="en-US" w:eastAsia="zh-CN"/>
              </w:rPr>
              <w:t>要求</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1.</w:t>
            </w:r>
            <w:r>
              <w:rPr>
                <w:rFonts w:hint="eastAsia" w:ascii="宋体" w:hAnsi="宋体" w:cs="宋体"/>
                <w:color w:val="auto"/>
                <w:kern w:val="0"/>
                <w:sz w:val="21"/>
                <w:szCs w:val="21"/>
                <w:highlight w:val="none"/>
                <w:lang w:val="en-US" w:eastAsia="zh-CN"/>
              </w:rPr>
              <w:t>具有</w:t>
            </w:r>
            <w:r>
              <w:rPr>
                <w:rFonts w:hint="eastAsia" w:ascii="宋体" w:hAnsi="宋体" w:eastAsia="宋体" w:cs="宋体"/>
                <w:color w:val="auto"/>
                <w:kern w:val="0"/>
                <w:sz w:val="21"/>
                <w:szCs w:val="21"/>
                <w:highlight w:val="none"/>
              </w:rPr>
              <w:t>MYSQL5.0及以上版本；支持SQL</w:t>
            </w:r>
            <w:r>
              <w:rPr>
                <w:rFonts w:hint="eastAsia" w:ascii="宋体" w:hAnsi="宋体" w:cs="宋体"/>
                <w:color w:val="auto"/>
                <w:kern w:val="0"/>
                <w:sz w:val="21"/>
                <w:szCs w:val="21"/>
                <w:highlight w:val="none"/>
                <w:lang w:val="en-US" w:eastAsia="zh-CN"/>
              </w:rPr>
              <w:t>S</w:t>
            </w:r>
            <w:r>
              <w:rPr>
                <w:rFonts w:hint="eastAsia" w:ascii="宋体" w:hAnsi="宋体" w:eastAsia="宋体" w:cs="宋体"/>
                <w:color w:val="auto"/>
                <w:kern w:val="0"/>
                <w:sz w:val="21"/>
                <w:szCs w:val="21"/>
                <w:highlight w:val="none"/>
              </w:rPr>
              <w:t>ERVER2000/2005/2008/2012/2014/2016/2017版本；支持SQLite3版本；支持Access2000/2003/2007/2010/2013/2016/2019版本；支持Oracle 10g、11g版本；</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具有</w:t>
            </w:r>
            <w:r>
              <w:rPr>
                <w:rFonts w:hint="eastAsia" w:ascii="宋体" w:hAnsi="宋体" w:eastAsia="宋体" w:cs="宋体"/>
                <w:color w:val="auto"/>
                <w:kern w:val="0"/>
                <w:sz w:val="21"/>
                <w:szCs w:val="21"/>
                <w:highlight w:val="none"/>
              </w:rPr>
              <w:t>通过文件/文件夹，镜像，磁盘，阵列等不同数据源进行恢复；需支持删除记录，删除表，删除库、勒索病毒破坏、文件损坏等情况下的数据库恢复；</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具有</w:t>
            </w:r>
            <w:r>
              <w:rPr>
                <w:rFonts w:hint="eastAsia" w:ascii="宋体" w:hAnsi="宋体" w:eastAsia="宋体" w:cs="宋体"/>
                <w:color w:val="auto"/>
                <w:kern w:val="0"/>
                <w:sz w:val="21"/>
                <w:szCs w:val="21"/>
                <w:highlight w:val="none"/>
              </w:rPr>
              <w:t>快速恢复和深度恢复两种恢复模式；</w:t>
            </w:r>
            <w:r>
              <w:rPr>
                <w:rFonts w:hint="eastAsia" w:ascii="宋体" w:hAnsi="宋体" w:cs="宋体"/>
                <w:color w:val="auto"/>
                <w:kern w:val="0"/>
                <w:sz w:val="21"/>
                <w:szCs w:val="21"/>
                <w:highlight w:val="none"/>
                <w:lang w:val="en-US" w:eastAsia="zh-CN"/>
              </w:rPr>
              <w:t>具有</w:t>
            </w:r>
            <w:r>
              <w:rPr>
                <w:rFonts w:hint="eastAsia" w:ascii="宋体" w:hAnsi="宋体" w:eastAsia="宋体" w:cs="宋体"/>
                <w:color w:val="auto"/>
                <w:kern w:val="0"/>
                <w:sz w:val="21"/>
                <w:szCs w:val="21"/>
                <w:highlight w:val="none"/>
              </w:rPr>
              <w:t>通过自定义表结构的方式对磁盘、镜像等存储进行深度恢复；</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r>
              <w:rPr>
                <w:rFonts w:hint="eastAsia" w:ascii="宋体" w:hAnsi="宋体" w:eastAsia="宋体" w:cs="宋体"/>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具有</w:t>
            </w:r>
            <w:r>
              <w:rPr>
                <w:rFonts w:hint="eastAsia" w:ascii="宋体" w:hAnsi="宋体" w:eastAsia="宋体" w:cs="宋体"/>
                <w:color w:val="auto"/>
                <w:kern w:val="0"/>
                <w:sz w:val="21"/>
                <w:szCs w:val="21"/>
                <w:highlight w:val="none"/>
              </w:rPr>
              <w:t>对恢复结果数据进行查询、统计；</w:t>
            </w:r>
            <w:r>
              <w:rPr>
                <w:rFonts w:hint="eastAsia" w:ascii="宋体" w:hAnsi="宋体" w:cs="宋体"/>
                <w:color w:val="auto"/>
                <w:kern w:val="0"/>
                <w:sz w:val="21"/>
                <w:szCs w:val="21"/>
                <w:highlight w:val="none"/>
                <w:lang w:val="en-US" w:eastAsia="zh-CN"/>
              </w:rPr>
              <w:t>具有</w:t>
            </w:r>
            <w:r>
              <w:rPr>
                <w:rFonts w:hint="eastAsia" w:ascii="宋体" w:hAnsi="宋体" w:eastAsia="宋体" w:cs="宋体"/>
                <w:color w:val="auto"/>
                <w:kern w:val="0"/>
                <w:sz w:val="21"/>
                <w:szCs w:val="21"/>
                <w:highlight w:val="none"/>
              </w:rPr>
              <w:t>以HTML、CSV、SQL格式导出恢复结果；</w:t>
            </w:r>
            <w:r>
              <w:rPr>
                <w:rFonts w:hint="eastAsia" w:ascii="宋体" w:hAnsi="宋体" w:cs="宋体"/>
                <w:color w:val="auto"/>
                <w:kern w:val="0"/>
                <w:sz w:val="21"/>
                <w:szCs w:val="21"/>
                <w:highlight w:val="none"/>
                <w:lang w:val="en-US" w:eastAsia="zh-CN"/>
              </w:rPr>
              <w:t>具有</w:t>
            </w:r>
            <w:r>
              <w:rPr>
                <w:rFonts w:hint="eastAsia" w:ascii="宋体" w:hAnsi="宋体" w:eastAsia="宋体" w:cs="宋体"/>
                <w:color w:val="auto"/>
                <w:kern w:val="0"/>
                <w:sz w:val="21"/>
                <w:szCs w:val="21"/>
                <w:highlight w:val="none"/>
              </w:rPr>
              <w:t>对恢复结果进行可视化查询；</w:t>
            </w:r>
            <w:r>
              <w:rPr>
                <w:rFonts w:hint="eastAsia" w:ascii="宋体" w:hAnsi="宋体" w:cs="宋体"/>
                <w:color w:val="auto"/>
                <w:kern w:val="0"/>
                <w:sz w:val="21"/>
                <w:szCs w:val="21"/>
                <w:highlight w:val="none"/>
                <w:lang w:val="en-US" w:eastAsia="zh-CN"/>
              </w:rPr>
              <w:t>具有</w:t>
            </w:r>
            <w:r>
              <w:rPr>
                <w:rFonts w:hint="eastAsia" w:ascii="宋体" w:hAnsi="宋体" w:eastAsia="宋体" w:cs="宋体"/>
                <w:color w:val="auto"/>
                <w:kern w:val="0"/>
                <w:sz w:val="21"/>
                <w:szCs w:val="21"/>
                <w:highlight w:val="none"/>
              </w:rPr>
              <w:t>执行SQL脚本查询恢复结果。</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（八）计算机恢复</w:t>
            </w:r>
            <w:r>
              <w:rPr>
                <w:rFonts w:hint="eastAsia" w:ascii="宋体" w:hAnsi="宋体" w:cs="宋体"/>
                <w:color w:val="auto"/>
                <w:kern w:val="0"/>
                <w:sz w:val="21"/>
                <w:szCs w:val="21"/>
                <w:highlight w:val="none"/>
                <w:lang w:val="en-US" w:eastAsia="zh-CN"/>
              </w:rPr>
              <w:t>要求</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具有</w:t>
            </w:r>
            <w:r>
              <w:rPr>
                <w:rFonts w:hint="eastAsia" w:ascii="宋体" w:hAnsi="宋体" w:eastAsia="宋体" w:cs="宋体"/>
                <w:color w:val="auto"/>
                <w:kern w:val="0"/>
                <w:sz w:val="21"/>
                <w:szCs w:val="21"/>
                <w:highlight w:val="none"/>
              </w:rPr>
              <w:t>DD、001、IMG、E01、Ex01、DMG、AFF、VMDK、VHD等多种格式的镜像类型的数据恢复；</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具有</w:t>
            </w:r>
            <w:r>
              <w:rPr>
                <w:rFonts w:hint="eastAsia" w:ascii="宋体" w:hAnsi="宋体" w:eastAsia="宋体" w:cs="宋体"/>
                <w:color w:val="auto"/>
                <w:kern w:val="0"/>
                <w:sz w:val="21"/>
                <w:szCs w:val="21"/>
                <w:highlight w:val="none"/>
              </w:rPr>
              <w:t>微信公众号webp图片、photoshop使用的psd、数码相机CR2图片、 bz2/tar/gz压缩包等文件类型签名恢复以及Unicode文本的提取恢复；</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具有</w:t>
            </w:r>
            <w:r>
              <w:rPr>
                <w:rFonts w:hint="eastAsia" w:ascii="宋体" w:hAnsi="宋体" w:eastAsia="宋体" w:cs="宋体"/>
                <w:color w:val="auto"/>
                <w:kern w:val="0"/>
                <w:sz w:val="21"/>
                <w:szCs w:val="21"/>
                <w:highlight w:val="none"/>
              </w:rPr>
              <w:t>卷影副本、动态磁盘的数据恢复；</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r>
              <w:rPr>
                <w:rFonts w:hint="eastAsia" w:ascii="宋体" w:hAnsi="宋体" w:eastAsia="宋体" w:cs="宋体"/>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具有</w:t>
            </w:r>
            <w:r>
              <w:rPr>
                <w:rFonts w:hint="eastAsia" w:ascii="宋体" w:hAnsi="宋体" w:eastAsia="宋体" w:cs="宋体"/>
                <w:color w:val="auto"/>
                <w:kern w:val="0"/>
                <w:sz w:val="21"/>
                <w:szCs w:val="21"/>
                <w:highlight w:val="none"/>
              </w:rPr>
              <w:t>raid0/raid1/raid5/raid6(P+Q)四种磁盘阵列的数据恢复</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支持NTFS、FAT12/16/32、exFAT、ReFS、HFS+、EXT2/3/4等文件系统恢复；支持QQ、SKYPE、阿里旺旺、ICQ即时通讯恢复；支持删除USB使用记录的恢复；</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w:t>
            </w:r>
            <w:r>
              <w:rPr>
                <w:rFonts w:hint="eastAsia" w:ascii="宋体" w:hAnsi="宋体" w:eastAsia="宋体" w:cs="宋体"/>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具有</w:t>
            </w:r>
            <w:r>
              <w:rPr>
                <w:rFonts w:hint="eastAsia" w:ascii="宋体" w:hAnsi="宋体" w:eastAsia="宋体" w:cs="宋体"/>
                <w:color w:val="auto"/>
                <w:kern w:val="0"/>
                <w:sz w:val="21"/>
                <w:szCs w:val="21"/>
                <w:highlight w:val="none"/>
              </w:rPr>
              <w:t>CHROME内核(包括360，OPERA)的历史记录/COOKIE、搜狗浏览器历史记录/COOKIE、360收藏夹上网记录恢复；支持foxmail6.5 、outlook express、闪电邮、thunderbird邮件的恢复；</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r>
              <w:rPr>
                <w:rFonts w:hint="eastAsia" w:ascii="宋体" w:hAnsi="宋体" w:eastAsia="宋体" w:cs="宋体"/>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具有</w:t>
            </w:r>
            <w:r>
              <w:rPr>
                <w:rFonts w:hint="eastAsia" w:ascii="宋体" w:hAnsi="宋体" w:eastAsia="宋体" w:cs="宋体"/>
                <w:color w:val="auto"/>
                <w:kern w:val="0"/>
                <w:sz w:val="21"/>
                <w:szCs w:val="21"/>
                <w:highlight w:val="none"/>
              </w:rPr>
              <w:t>快速恢复和深度恢复两种恢复模式，支持关键字搜索、过滤，快速定位用户所需文件；支持恢复回收站被清空时的文件；支持恢复因病毒攻击或电源故障被删除的文件；支持恢复文件分区被重新格式化后的文件；</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w:t>
            </w:r>
            <w:r>
              <w:rPr>
                <w:rFonts w:hint="eastAsia" w:ascii="宋体" w:hAnsi="宋体" w:eastAsia="宋体" w:cs="宋体"/>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具有</w:t>
            </w:r>
            <w:r>
              <w:rPr>
                <w:rFonts w:hint="eastAsia" w:ascii="宋体" w:hAnsi="宋体" w:eastAsia="宋体" w:cs="宋体"/>
                <w:color w:val="auto"/>
                <w:kern w:val="0"/>
                <w:sz w:val="21"/>
                <w:szCs w:val="21"/>
                <w:highlight w:val="none"/>
              </w:rPr>
              <w:t>恢复硬盘上的分区结构被改变或损害时的文件；支持恢复一键恢复或者误ghost的文件；支持恢复误删除的应用程序记录；支持JPG图片的碎片恢复；支持硬盘的快速复制和镜像。</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（九）手机恢复</w:t>
            </w:r>
            <w:r>
              <w:rPr>
                <w:rFonts w:hint="eastAsia" w:ascii="宋体" w:hAnsi="宋体" w:cs="宋体"/>
                <w:color w:val="auto"/>
                <w:kern w:val="0"/>
                <w:sz w:val="21"/>
                <w:szCs w:val="21"/>
                <w:highlight w:val="none"/>
                <w:lang w:val="en-US" w:eastAsia="zh-CN"/>
              </w:rPr>
              <w:t>要求</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具有</w:t>
            </w:r>
            <w:r>
              <w:rPr>
                <w:rFonts w:hint="eastAsia" w:ascii="宋体" w:hAnsi="宋体" w:eastAsia="宋体" w:cs="宋体"/>
                <w:color w:val="auto"/>
                <w:kern w:val="0"/>
                <w:sz w:val="21"/>
                <w:szCs w:val="21"/>
                <w:highlight w:val="none"/>
              </w:rPr>
              <w:t>QQ、微信即时通讯软件恢复；支持短信、通话记录、通讯录的恢复；支持通过直接连接手机获取删除的应用程序记录</w:t>
            </w:r>
            <w:r>
              <w:rPr>
                <w:rFonts w:hint="eastAsia" w:ascii="宋体" w:hAnsi="宋体" w:eastAsia="宋体" w:cs="宋体"/>
                <w:color w:val="auto"/>
                <w:sz w:val="21"/>
                <w:szCs w:val="21"/>
                <w:highlight w:val="none"/>
                <w:lang w:val="en-US" w:eastAsia="zh-CN"/>
              </w:rPr>
              <w:t>，提供此功能的界面展示截图</w:t>
            </w:r>
            <w:r>
              <w:rPr>
                <w:rFonts w:hint="eastAsia" w:ascii="宋体" w:hAnsi="宋体" w:eastAsia="宋体" w:cs="宋体"/>
                <w:color w:val="auto"/>
                <w:kern w:val="0"/>
                <w:sz w:val="21"/>
                <w:szCs w:val="21"/>
                <w:highlight w:val="none"/>
              </w:rPr>
              <w:t>；</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具有</w:t>
            </w:r>
            <w:r>
              <w:rPr>
                <w:rFonts w:hint="eastAsia" w:ascii="宋体" w:hAnsi="宋体" w:eastAsia="宋体" w:cs="宋体"/>
                <w:color w:val="auto"/>
                <w:kern w:val="0"/>
                <w:sz w:val="21"/>
                <w:szCs w:val="21"/>
                <w:highlight w:val="none"/>
              </w:rPr>
              <w:t>对BIN镜像类型的数据恢复；支持IOS/Android/MTK等主流手机操作系统数据恢复；支持Android文件管理、Android一键ROOT；支持iPhone备份浏览、iPhone文件管理；支持Sqlite数据库删除记录的恢复。</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（十）文件修复</w:t>
            </w:r>
            <w:r>
              <w:rPr>
                <w:rFonts w:hint="eastAsia" w:ascii="宋体" w:hAnsi="宋体" w:cs="宋体"/>
                <w:color w:val="auto"/>
                <w:kern w:val="0"/>
                <w:sz w:val="21"/>
                <w:szCs w:val="21"/>
                <w:highlight w:val="none"/>
                <w:lang w:val="en-US" w:eastAsia="zh-CN"/>
              </w:rPr>
              <w:t>要求</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具有</w:t>
            </w:r>
            <w:r>
              <w:rPr>
                <w:rFonts w:hint="eastAsia" w:ascii="宋体" w:hAnsi="宋体" w:eastAsia="宋体" w:cs="宋体"/>
                <w:color w:val="auto"/>
                <w:kern w:val="0"/>
                <w:sz w:val="21"/>
                <w:szCs w:val="21"/>
                <w:highlight w:val="none"/>
              </w:rPr>
              <w:t>2007的word/excel文件修复；支持PDF文件修复；支持WPS文件修复；支持ZIP、RAR压缩包修复。</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（十一）其他功能</w:t>
            </w:r>
            <w:r>
              <w:rPr>
                <w:rFonts w:hint="eastAsia" w:ascii="宋体" w:hAnsi="宋体" w:cs="宋体"/>
                <w:color w:val="auto"/>
                <w:kern w:val="0"/>
                <w:sz w:val="21"/>
                <w:szCs w:val="21"/>
                <w:highlight w:val="none"/>
                <w:lang w:val="en-US" w:eastAsia="zh-CN"/>
              </w:rPr>
              <w:t>求药</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w:t>
            </w:r>
            <w:r>
              <w:rPr>
                <w:rFonts w:hint="eastAsia" w:ascii="宋体" w:hAnsi="宋体" w:cs="宋体"/>
                <w:color w:val="auto"/>
                <w:kern w:val="0"/>
                <w:sz w:val="21"/>
                <w:szCs w:val="21"/>
                <w:highlight w:val="none"/>
                <w:lang w:val="en-US" w:eastAsia="zh-CN"/>
              </w:rPr>
              <w:t>具有</w:t>
            </w:r>
            <w:r>
              <w:rPr>
                <w:rFonts w:hint="eastAsia" w:ascii="宋体" w:hAnsi="宋体" w:eastAsia="宋体" w:cs="宋体"/>
                <w:color w:val="auto"/>
                <w:kern w:val="0"/>
                <w:sz w:val="21"/>
                <w:szCs w:val="21"/>
                <w:highlight w:val="none"/>
              </w:rPr>
              <w:t>恢复文件预览与导出；支持恢复结果文件快速搜索；支持对恢复文件内容进行检索过来；支持恢复结果分类查看，便于用户定位目标文件；</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color w:val="auto"/>
                <w:kern w:val="0"/>
                <w:sz w:val="21"/>
                <w:szCs w:val="21"/>
                <w:highlight w:val="none"/>
              </w:rPr>
              <w:t>2、</w:t>
            </w:r>
            <w:r>
              <w:rPr>
                <w:rFonts w:hint="eastAsia" w:ascii="宋体" w:hAnsi="宋体" w:cs="宋体"/>
                <w:color w:val="auto"/>
                <w:kern w:val="0"/>
                <w:sz w:val="21"/>
                <w:szCs w:val="21"/>
                <w:highlight w:val="none"/>
                <w:lang w:val="en-US" w:eastAsia="zh-CN"/>
              </w:rPr>
              <w:t>具有</w:t>
            </w:r>
            <w:r>
              <w:rPr>
                <w:rFonts w:hint="eastAsia" w:ascii="宋体" w:hAnsi="宋体" w:eastAsia="宋体" w:cs="宋体"/>
                <w:color w:val="auto"/>
                <w:kern w:val="0"/>
                <w:sz w:val="21"/>
                <w:szCs w:val="21"/>
                <w:highlight w:val="none"/>
              </w:rPr>
              <w:t>快速恢复和深度恢复两种模式，用户可根据实际需要选择，提高工作效率；支持同时对不同的磁盘进行多线程并行恢复；支持边恢复边查看已恢复的部分结果；根据实际案件名称存储恢复记录，便于用户查看及定位。</w:t>
            </w:r>
          </w:p>
        </w:tc>
        <w:tc>
          <w:tcPr>
            <w:tcW w:w="724" w:type="dxa"/>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17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现场勘察灯</w:t>
            </w:r>
          </w:p>
        </w:tc>
        <w:tc>
          <w:tcPr>
            <w:tcW w:w="64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性能</w:t>
            </w:r>
            <w:r>
              <w:rPr>
                <w:rFonts w:hint="eastAsia" w:ascii="宋体" w:hAnsi="宋体" w:cs="宋体"/>
                <w:i w:val="0"/>
                <w:iCs w:val="0"/>
                <w:color w:val="000000"/>
                <w:kern w:val="0"/>
                <w:sz w:val="21"/>
                <w:szCs w:val="21"/>
                <w:u w:val="none"/>
                <w:lang w:val="en-US" w:eastAsia="zh-CN" w:bidi="ar"/>
              </w:rPr>
              <w:t>要求</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平均使用寿命</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100000小时。</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采用仿生复眼技术，配光均匀度</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0.9以上。</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具有搜索光和拍照光两种工作模式，两种工作模式之间可随意切换。</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具有</w:t>
            </w:r>
            <w:r>
              <w:rPr>
                <w:rFonts w:hint="eastAsia" w:ascii="宋体" w:hAnsi="宋体" w:eastAsia="宋体" w:cs="宋体"/>
                <w:i w:val="0"/>
                <w:iCs w:val="0"/>
                <w:color w:val="000000"/>
                <w:kern w:val="0"/>
                <w:sz w:val="21"/>
                <w:szCs w:val="21"/>
                <w:u w:val="none"/>
                <w:lang w:val="en-US" w:eastAsia="zh-CN" w:bidi="ar"/>
              </w:rPr>
              <w:t>人性化的低电量警示功能，当电量不足时，灯具会自动频闪提醒进行充电。</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尾部的支撑脚，保证光线从痕迹的侧面照射，立体感更强。同时可防止灯具在水平面滚动。</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大空间提手和大按钮，满足冬天穿戴棉手套时仍方便携带及操作灯具的</w:t>
            </w:r>
            <w:r>
              <w:rPr>
                <w:rFonts w:hint="eastAsia" w:ascii="宋体" w:hAnsi="宋体" w:cs="宋体"/>
                <w:i w:val="0"/>
                <w:iCs w:val="0"/>
                <w:color w:val="000000"/>
                <w:kern w:val="0"/>
                <w:sz w:val="21"/>
                <w:szCs w:val="21"/>
                <w:u w:val="none"/>
                <w:lang w:val="en-US" w:eastAsia="zh-CN" w:bidi="ar"/>
              </w:rPr>
              <w:t>。</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采用高容量可充电锂离子电池组。</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搜索光工作时间</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4小时，拍照光工作时间</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10小时。</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u w:val="none"/>
                <w:lang w:val="en-US" w:eastAsia="zh-CN" w:bidi="ar"/>
              </w:rPr>
              <w:t>通过增</w:t>
            </w:r>
            <w:r>
              <w:rPr>
                <w:rFonts w:hint="eastAsia" w:ascii="宋体" w:hAnsi="宋体" w:eastAsia="宋体" w:cs="宋体"/>
                <w:i w:val="0"/>
                <w:iCs w:val="0"/>
                <w:color w:val="000000"/>
                <w:kern w:val="0"/>
                <w:sz w:val="21"/>
                <w:szCs w:val="21"/>
                <w:highlight w:val="none"/>
                <w:u w:val="none"/>
                <w:lang w:val="en-US" w:eastAsia="zh-CN" w:bidi="ar"/>
              </w:rPr>
              <w:t>加滤光片形成多波段光源。红（620nm-780nm）、蓝（445nm-480nm）、黄（505nm-555nm）、绿（480nm-575nm）、橙（590nm-620nm）。</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技术参数</w:t>
            </w:r>
            <w:r>
              <w:rPr>
                <w:rFonts w:hint="eastAsia" w:ascii="宋体" w:hAnsi="宋体" w:cs="宋体"/>
                <w:i w:val="0"/>
                <w:iCs w:val="0"/>
                <w:color w:val="000000"/>
                <w:kern w:val="0"/>
                <w:sz w:val="21"/>
                <w:szCs w:val="21"/>
                <w:highlight w:val="none"/>
                <w:u w:val="none"/>
                <w:lang w:val="en-US" w:eastAsia="zh-CN" w:bidi="ar"/>
              </w:rPr>
              <w:t>要求</w:t>
            </w:r>
            <w:r>
              <w:rPr>
                <w:rFonts w:hint="eastAsia" w:ascii="宋体" w:hAnsi="宋体" w:eastAsia="宋体" w:cs="宋体"/>
                <w:i w:val="0"/>
                <w:iCs w:val="0"/>
                <w:color w:val="000000"/>
                <w:kern w:val="0"/>
                <w:sz w:val="21"/>
                <w:szCs w:val="21"/>
                <w:highlight w:val="none"/>
                <w:u w:val="none"/>
                <w:lang w:val="en-US" w:eastAsia="zh-CN" w:bidi="ar"/>
              </w:rPr>
              <w:t> </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额定电压:</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DC8.4V</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额定容量:</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7800mAh</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额定功率:</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30W</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使用寿命:</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100000小时</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外壳材质:航空级6061-T6铝合金</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透镜:高纯度光学透镜</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光斑均匀性:≥90%    </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光通量: ≥1200lm（搜索光）/600lm（拍照光）</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开关方式:强光/工作光/关</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照明时间: ≥4h（搜索光）/10h（拍照光）</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充电时间:</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6h</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防护等级:</w:t>
            </w:r>
            <w:r>
              <w:rPr>
                <w:rFonts w:hint="eastAsia" w:ascii="宋体" w:hAnsi="宋体" w:cs="宋体"/>
                <w:i w:val="0"/>
                <w:iCs w:val="0"/>
                <w:color w:val="000000"/>
                <w:kern w:val="0"/>
                <w:sz w:val="21"/>
                <w:szCs w:val="21"/>
                <w:highlight w:val="none"/>
                <w:u w:val="none"/>
                <w:lang w:val="en-US" w:eastAsia="zh-CN" w:bidi="ar"/>
              </w:rPr>
              <w:t>≥</w:t>
            </w:r>
            <w:r>
              <w:rPr>
                <w:rFonts w:hint="eastAsia" w:ascii="宋体" w:hAnsi="宋体" w:eastAsia="宋体" w:cs="宋体"/>
                <w:i w:val="0"/>
                <w:iCs w:val="0"/>
                <w:color w:val="000000"/>
                <w:kern w:val="0"/>
                <w:sz w:val="21"/>
                <w:szCs w:val="21"/>
                <w:highlight w:val="none"/>
                <w:u w:val="none"/>
                <w:lang w:val="en-US" w:eastAsia="zh-CN" w:bidi="ar"/>
              </w:rPr>
              <w:t>IP66</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标准配置 </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灯具1只、6节18650可充电锂电池组1组、电源</w:t>
            </w:r>
            <w:r>
              <w:rPr>
                <w:rFonts w:hint="eastAsia" w:ascii="宋体" w:hAnsi="宋体" w:eastAsia="宋体" w:cs="宋体"/>
                <w:i w:val="0"/>
                <w:iCs w:val="0"/>
                <w:color w:val="000000"/>
                <w:kern w:val="0"/>
                <w:sz w:val="21"/>
                <w:szCs w:val="21"/>
                <w:u w:val="none"/>
                <w:lang w:val="en-US" w:eastAsia="zh-CN" w:bidi="ar"/>
              </w:rPr>
              <w:t>适配器1个、背带1根、红色滤光片1个、橙色滤光片1个、黄色滤光片1个、绿色滤光片1个、蓝色滤光片1个、说明书1份、合格证1份、防潮箱1个</w:t>
            </w:r>
          </w:p>
        </w:tc>
        <w:tc>
          <w:tcPr>
            <w:tcW w:w="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17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卡片式足迹灯</w:t>
            </w:r>
          </w:p>
        </w:tc>
        <w:tc>
          <w:tcPr>
            <w:tcW w:w="64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1、▲光源光谱：白光光源，400nm-700nm;</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2、光源系统：匀光宽幅扁平光学系统；</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3、供电方式：内置锂离子电池供电；</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4、工作方式：触发认证方式；</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5、工作模式：连续白光LED；</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6、保护模式：时间延时及实时温控保护模式；</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7、亮度调节：手动触发方式，亮度多档可调；</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8、出光时间：即启即用；</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9、扁平角度：</w:t>
            </w:r>
            <w:r>
              <w:rPr>
                <w:rFonts w:hint="eastAsia" w:ascii="宋体" w:hAnsi="宋体" w:cs="宋体"/>
                <w:i w:val="0"/>
                <w:iCs w:val="0"/>
                <w:color w:val="auto"/>
                <w:kern w:val="0"/>
                <w:sz w:val="21"/>
                <w:szCs w:val="21"/>
                <w:highlight w:val="none"/>
                <w:u w:val="none"/>
                <w:lang w:val="en-US" w:eastAsia="zh-CN" w:bidi="ar"/>
              </w:rPr>
              <w:t>约</w:t>
            </w:r>
            <w:r>
              <w:rPr>
                <w:rFonts w:hint="eastAsia" w:ascii="宋体" w:hAnsi="宋体" w:eastAsia="宋体" w:cs="宋体"/>
                <w:i w:val="0"/>
                <w:iCs w:val="0"/>
                <w:color w:val="auto"/>
                <w:kern w:val="0"/>
                <w:sz w:val="21"/>
                <w:szCs w:val="21"/>
                <w:highlight w:val="none"/>
                <w:u w:val="none"/>
                <w:lang w:val="en-US" w:eastAsia="zh-CN" w:bidi="ar"/>
              </w:rPr>
              <w:t>9.</w:t>
            </w:r>
            <w:r>
              <w:rPr>
                <w:rFonts w:hint="eastAsia" w:ascii="宋体" w:hAnsi="宋体" w:cs="宋体"/>
                <w:i w:val="0"/>
                <w:iCs w:val="0"/>
                <w:color w:val="auto"/>
                <w:kern w:val="0"/>
                <w:sz w:val="21"/>
                <w:szCs w:val="21"/>
                <w:highlight w:val="none"/>
                <w:u w:val="none"/>
                <w:lang w:val="en-US" w:eastAsia="zh-CN" w:bidi="ar"/>
              </w:rPr>
              <w:t>6</w:t>
            </w:r>
            <w:r>
              <w:rPr>
                <w:rFonts w:hint="eastAsia" w:ascii="宋体" w:hAnsi="宋体" w:eastAsia="宋体" w:cs="宋体"/>
                <w:i w:val="0"/>
                <w:iCs w:val="0"/>
                <w:color w:val="auto"/>
                <w:kern w:val="0"/>
                <w:sz w:val="21"/>
                <w:szCs w:val="21"/>
                <w:highlight w:val="none"/>
                <w:u w:val="none"/>
                <w:lang w:val="en-US" w:eastAsia="zh-CN" w:bidi="ar"/>
              </w:rPr>
              <w:t>度；</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10、宽幅角度：53.</w:t>
            </w:r>
            <w:r>
              <w:rPr>
                <w:rFonts w:hint="eastAsia" w:ascii="宋体" w:hAnsi="宋体" w:cs="宋体"/>
                <w:i w:val="0"/>
                <w:iCs w:val="0"/>
                <w:color w:val="auto"/>
                <w:kern w:val="0"/>
                <w:sz w:val="21"/>
                <w:szCs w:val="21"/>
                <w:highlight w:val="none"/>
                <w:u w:val="none"/>
                <w:lang w:val="en-US" w:eastAsia="zh-CN" w:bidi="ar"/>
              </w:rPr>
              <w:t>0</w:t>
            </w:r>
            <w:r>
              <w:rPr>
                <w:rFonts w:hint="eastAsia" w:ascii="宋体" w:hAnsi="宋体" w:eastAsia="宋体" w:cs="宋体"/>
                <w:i w:val="0"/>
                <w:iCs w:val="0"/>
                <w:color w:val="auto"/>
                <w:kern w:val="0"/>
                <w:sz w:val="21"/>
                <w:szCs w:val="21"/>
                <w:highlight w:val="none"/>
                <w:u w:val="none"/>
                <w:lang w:val="en-US" w:eastAsia="zh-CN" w:bidi="ar"/>
              </w:rPr>
              <w:t>度；</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11、搜索距离：</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6米；</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12、▲光源功率：白光LED：0-28W可调；</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13、电池容量：14.8V</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3400mAh；</w:t>
            </w:r>
          </w:p>
          <w:p>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14、续航时间：满电最大功率工作时间</w:t>
            </w:r>
            <w:r>
              <w:rPr>
                <w:rFonts w:hint="eastAsia" w:ascii="宋体" w:hAnsi="宋体" w:cs="宋体"/>
                <w:i w:val="0"/>
                <w:iCs w:val="0"/>
                <w:color w:val="auto"/>
                <w:kern w:val="0"/>
                <w:sz w:val="21"/>
                <w:szCs w:val="21"/>
                <w:highlight w:val="none"/>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90min；</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、充电接口：TYPE-C接口；</w:t>
            </w:r>
          </w:p>
        </w:tc>
        <w:tc>
          <w:tcPr>
            <w:tcW w:w="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17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电子取证现场快取软件</w:t>
            </w:r>
          </w:p>
        </w:tc>
        <w:tc>
          <w:tcPr>
            <w:tcW w:w="6461" w:type="dxa"/>
            <w:tcBorders>
              <w:top w:val="single" w:color="000000" w:sz="4" w:space="0"/>
              <w:left w:val="single" w:color="000000" w:sz="4" w:space="0"/>
              <w:bottom w:val="single" w:color="000000" w:sz="4" w:space="0"/>
              <w:right w:val="single" w:color="000000" w:sz="4" w:space="0"/>
            </w:tcBorders>
            <w:noWrap/>
            <w:vAlign w:val="top"/>
          </w:tcPr>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硬件：</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1.配备</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kern w:val="0"/>
                <w:sz w:val="20"/>
                <w:szCs w:val="20"/>
              </w:rPr>
              <w:t>2TB SSD*1；</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2.配备</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kern w:val="0"/>
                <w:sz w:val="20"/>
                <w:szCs w:val="20"/>
              </w:rPr>
              <w:t>1TB SSD*1 ；</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3.配备</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kern w:val="0"/>
                <w:sz w:val="20"/>
                <w:szCs w:val="20"/>
              </w:rPr>
              <w:t xml:space="preserve">256G u盘*5 ； </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软件：1.</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对搭载 Windows、 Linux、 MacOS系统的计算机进行在线、离线两种模式取证；</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2.</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数据库连接记录快速取证，至少包括 Robo 3T、Navicat 等数据库可视化软件连接记录快速取证；</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3.</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对最近访问文件、回收站文件的快捷提取和导出；</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4.</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设置指定时间范围、指定文件类型（提供自定义功能）、指定文件大小范围、指定文件 名（全匹配/局部匹配）等多种条件组合后，进行文件快速取证；</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5.</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自动识别用户目录所在分区和路径；</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6.</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指定文件内容进行关键词匹配后，命中的文件进行文件快速取证，支持的格式至少包括 txt、doc、docx、xls、xlsx、pptx、pdf、rtf、xml、csv、html、htm、eml 等；</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7.</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设置文件提取结果是否打包，支持按原始目录结构、存储至同一目录、按文件后缀名分类三种方式进行存储；</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8.</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设置哈希校验，提供 MD5、SHA1、SHA265、SHA512 多种类型，确保数据的原始性、唯一性；</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9.</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目标硬盘的只读方式挂载，保证数据的完整性；</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10.</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取证结果文件自动进行完整性校验，生成现场取证报告；</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11</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制作内存DD、E01 格式镜像；</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12.</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按照文件系统形式查看文件，支持快速选择和固定文件；</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13.内置数据库连接工具，至少支持 MySQL、MongoDB、PostgreSQL、SQL Server等常用数据库连接、预览和导出；</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14.内置网络抓包工具、SQLite 查看工具、HASH工具、屏幕录像工具；15.</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取证任务开始后，自动进行屏幕录像，确保整个取证流程全程记录，后续可追溯；</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16.</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将取证结果、过程、参与人员等信息自动梳理，一键生成部标格式现场勘验笔录文档；</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17.</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历史案件打开，跨设备打开案件；</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18.</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不限量进行临时许可分发，满足案件现场多台目标电脑需要并行取证要求，临时许可可设置生效时间；</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19.</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 xml:space="preserve"> Windows XP、Windows 7、Windows 8、Windows 10、Windows11 设备绕过密码启动；</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20.</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在线系统登陆密码解析和获取；</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21.</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计算机各类信息进行快速获取展示，至少包括基本信息、软件密码、账号密码、使用痕迹、网络、浏览器、剪切板、便签、证据嵌套识别、虚拟账号、数据库等数十种信息；</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22.</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基本信息快速取证，至少包括用户列表、进程列表、启动项、已安装软件、开关机时间、硬件信息等；</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23.</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账号密码快速取证，至少包括 WLAN 密码、远程桌面密码、其他凭证管理器密码等；</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24.</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主流浏览器保存的用户账号、对应网址及保存密码的快速取证，至少包括 Chrome、Firefox、360 安全浏览器、IE/Edge、猎豹安全浏览器、Opera、QQ 浏览器、Tor 浏览器、世界之窗、UC 浏览器、Chromium、Brave、Vivaldi 等；</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25.</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浏览器的历史记录、搜索记录快速取证，至少包括2345浏览器、360安全浏览器、 Chrome 浏览器、 Edge 浏览器、Firefox 浏览器、 IE 浏览器、猎豹安全浏览器、傲游浏览器、 Opera 浏览 器、QQ浏览器、搜狗浏览器、世界之窗、洋葱浏览器等；</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26</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主流即时通讯软件密钥快速取证，至少包括 QQ、TIM、微信、企业微信、千牛、阿里旺旺等；</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27.</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即时通信软件相关账号文件一键自动取证固定，至少包括 QQ、TIM、微信、企业微信、阿里 旺旺、钉钉、千牛等；</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28.</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快速从文件、内存中搜索 BitLocker 密钥；</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29.</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常用软件保存的密码快速取证，至少包括 Outlook、Foxmail、Thunderbird、 FileZilla、ShadowsocksR、Xshell、Xftp、OpenVPN 等；30.</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自动固定邮件类相关数据和文件，至少包括 Outlook、Foxmail、网易邮箱大师等邮件客户端；</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31.</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使用痕迹快速取证，至少包括登录日志、最近访问文件、回收站文件、USB 使用记录、软 件使用记录、远程桌面记录、网络共享、终端历史记录、WiFi 连接记录、Windows 搜索记录等；</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32.</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网络信息快速取证，至少包括防火墙规则、域名缓存、ARP 缓存、网络配置、网络连接、网络服务等；</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33.</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自动对当前正在运行程序进行截图取证，保证整个取证过程规范严谨；</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34.</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对计算机中Web服务、网站文件进行快速取证，至少包括 Apache、Nginx、IIS 等；</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35.</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 xml:space="preserve"> VMware、VirtualBox、 Hyper-v 等虚拟机信息和文件快速取证；（需提供软件截图并加盖厂家公章）</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36</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对 iOS 备份、各类 Android 备份信息和文件快速取证；</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37.</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对 iOS 设备信任文件（ Lockdown 文件）快速取证；</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38.</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对网站、数据库、系统日志等文件自动定位和导出；（需提供软件截图并加盖厂家公章）</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39.</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 xml:space="preserve"> Bitlocker 加密磁盘在有密码的情况下制作脱密镜像；</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40.</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通过关键字秒级搜索文件，提供只读查看目标计算机上的文件；41.</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 xml:space="preserve"> MacOS 系统设备快速取证，主要包括基本信息、账号密码、使用痕迹、网络、浏览器、证据嵌套识别、虚拟账号、数据库等数十种信息；</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42.</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对使用痕迹快速取证，包括登录日志、废纸篓文件、终端历史记录、WiFi 连接记录、通讯录、日历日程等；</w:t>
            </w:r>
          </w:p>
          <w:p>
            <w:pPr>
              <w:widowControl/>
              <w:jc w:val="left"/>
              <w:rPr>
                <w:rFonts w:hint="eastAsia" w:ascii="宋体" w:hAnsi="宋体" w:eastAsia="宋体" w:cs="宋体"/>
                <w:kern w:val="0"/>
                <w:sz w:val="20"/>
                <w:szCs w:val="20"/>
              </w:rPr>
            </w:pPr>
            <w:r>
              <w:rPr>
                <w:rFonts w:hint="eastAsia" w:ascii="宋体" w:hAnsi="宋体" w:eastAsia="宋体" w:cs="宋体"/>
                <w:kern w:val="0"/>
                <w:sz w:val="20"/>
                <w:szCs w:val="20"/>
              </w:rPr>
              <w:t>43.</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对网络信息进行快速取证，包括 ARP 缓存、网络配置、网络连接、网络服务等；</w:t>
            </w:r>
          </w:p>
          <w:p>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kern w:val="0"/>
                <w:sz w:val="20"/>
                <w:szCs w:val="20"/>
              </w:rPr>
              <w:t>44.</w:t>
            </w:r>
            <w:r>
              <w:rPr>
                <w:rFonts w:hint="eastAsia" w:ascii="宋体" w:hAnsi="宋体" w:cs="宋体"/>
                <w:kern w:val="0"/>
                <w:sz w:val="20"/>
                <w:szCs w:val="20"/>
                <w:lang w:val="en-US" w:eastAsia="zh-CN"/>
              </w:rPr>
              <w:t>具有</w:t>
            </w:r>
            <w:r>
              <w:rPr>
                <w:rFonts w:hint="eastAsia" w:ascii="宋体" w:hAnsi="宋体" w:eastAsia="宋体" w:cs="宋体"/>
                <w:kern w:val="0"/>
                <w:sz w:val="20"/>
                <w:szCs w:val="20"/>
              </w:rPr>
              <w:t>MacOS系统钥匙串信息解析和获取；</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视频摘导入涉案离线视频数据源，对现场视频进行摘要分析以确定嫌疑目标时，系统具备提取运动目标，以目标快照、浓缩视频等呈现线索视频，达到快速定位嫌疑目标的功能。目标快照，自动选取运动目标最佳截图，并排展示，对视频内所有人进行筛选，快速找到符合条件的目标。视频摘要包含如下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任务管理：负责摘要任务管理，包括新建摘要任务、摘要化处理、删除摘要任务等基本功能。</w:t>
            </w:r>
            <w:r>
              <w:rPr>
                <w:rFonts w:hint="eastAsia" w:ascii="宋体" w:hAnsi="宋体" w:eastAsia="宋体" w:cs="宋体"/>
                <w:kern w:val="0"/>
                <w:sz w:val="20"/>
                <w:szCs w:val="20"/>
              </w:rPr>
              <w:br w:type="textWrapping"/>
            </w:r>
            <w:r>
              <w:rPr>
                <w:rFonts w:hint="eastAsia" w:ascii="宋体" w:hAnsi="宋体" w:eastAsia="宋体" w:cs="宋体"/>
                <w:kern w:val="0"/>
                <w:sz w:val="20"/>
                <w:szCs w:val="20"/>
              </w:rPr>
              <w:t>摘要化处理：将原始视频进行摘要化处理，生成人像图片。</w:t>
            </w:r>
            <w:r>
              <w:rPr>
                <w:rFonts w:hint="eastAsia" w:ascii="宋体" w:hAnsi="宋体" w:eastAsia="宋体" w:cs="宋体"/>
                <w:kern w:val="0"/>
                <w:sz w:val="20"/>
                <w:szCs w:val="20"/>
              </w:rPr>
              <w:br w:type="textWrapping"/>
            </w:r>
            <w:r>
              <w:rPr>
                <w:rFonts w:hint="eastAsia" w:ascii="宋体" w:hAnsi="宋体" w:eastAsia="宋体" w:cs="宋体"/>
                <w:kern w:val="0"/>
                <w:sz w:val="20"/>
                <w:szCs w:val="20"/>
              </w:rPr>
              <w:t>2、支持以图搜图功能:上传一张目标图片可以将图片导入所有处理完的视频中搜索目标，搜索完的结果按相似度排名</w:t>
            </w:r>
            <w:r>
              <w:rPr>
                <w:rFonts w:hint="eastAsia" w:ascii="宋体" w:hAnsi="宋体" w:eastAsia="宋体" w:cs="宋体"/>
                <w:kern w:val="0"/>
                <w:sz w:val="20"/>
                <w:szCs w:val="20"/>
              </w:rPr>
              <w:br w:type="textWrapping"/>
            </w:r>
            <w:r>
              <w:rPr>
                <w:rFonts w:hint="eastAsia" w:ascii="宋体" w:hAnsi="宋体" w:eastAsia="宋体" w:cs="宋体"/>
                <w:kern w:val="0"/>
                <w:sz w:val="20"/>
                <w:szCs w:val="20"/>
              </w:rPr>
              <w:t>3、支持以图搜视频功能：上传一张目标图片可以将图片导入所有原始视频中搜索，在原始视频中有相似的目标按相似度排名</w:t>
            </w:r>
            <w:r>
              <w:rPr>
                <w:rFonts w:hint="eastAsia" w:ascii="宋体" w:hAnsi="宋体" w:eastAsia="宋体" w:cs="宋体"/>
                <w:kern w:val="0"/>
                <w:sz w:val="20"/>
                <w:szCs w:val="20"/>
              </w:rPr>
              <w:br w:type="textWrapping"/>
            </w:r>
            <w:r>
              <w:rPr>
                <w:rFonts w:hint="eastAsia" w:ascii="宋体" w:hAnsi="宋体" w:eastAsia="宋体" w:cs="宋体"/>
                <w:kern w:val="0"/>
                <w:sz w:val="20"/>
                <w:szCs w:val="20"/>
              </w:rPr>
              <w:t>4、摘要播放：对应人像图片，播放已经完成摘要化处理的视频。</w:t>
            </w:r>
            <w:r>
              <w:rPr>
                <w:rFonts w:hint="eastAsia" w:ascii="宋体" w:hAnsi="宋体" w:eastAsia="宋体" w:cs="宋体"/>
                <w:kern w:val="0"/>
                <w:sz w:val="20"/>
                <w:szCs w:val="20"/>
              </w:rPr>
              <w:br w:type="textWrapping"/>
            </w:r>
            <w:r>
              <w:rPr>
                <w:rFonts w:hint="eastAsia" w:ascii="宋体" w:hAnsi="宋体" w:eastAsia="宋体" w:cs="宋体"/>
                <w:kern w:val="0"/>
                <w:sz w:val="20"/>
                <w:szCs w:val="20"/>
              </w:rPr>
              <w:t>5、人像检索将视频检索到的目标全身人像图片，在数据源的录像中逐一搜索比对，人工对结果资格审查方法及标准确定目标人员。最终获取到目标人员的历史完整活动轨迹。</w:t>
            </w:r>
            <w:r>
              <w:rPr>
                <w:rFonts w:hint="eastAsia" w:ascii="宋体" w:hAnsi="宋体" w:eastAsia="宋体" w:cs="宋体"/>
                <w:kern w:val="0"/>
                <w:sz w:val="20"/>
                <w:szCs w:val="20"/>
              </w:rPr>
              <w:br w:type="textWrapping"/>
            </w:r>
            <w:r>
              <w:rPr>
                <w:rFonts w:hint="eastAsia" w:ascii="宋体" w:hAnsi="宋体" w:eastAsia="宋体" w:cs="宋体"/>
                <w:kern w:val="0"/>
                <w:sz w:val="20"/>
                <w:szCs w:val="20"/>
              </w:rPr>
              <w:t>主要包含的信息：图像源监控名称、图像抓取时间、图像源录像片段回放。</w:t>
            </w:r>
            <w:r>
              <w:rPr>
                <w:rFonts w:hint="eastAsia" w:ascii="宋体" w:hAnsi="宋体" w:eastAsia="宋体" w:cs="宋体"/>
                <w:kern w:val="0"/>
                <w:sz w:val="20"/>
                <w:szCs w:val="20"/>
              </w:rPr>
              <w:br w:type="textWrapping"/>
            </w:r>
            <w:r>
              <w:rPr>
                <w:rFonts w:hint="eastAsia" w:ascii="宋体" w:hAnsi="宋体" w:eastAsia="宋体" w:cs="宋体"/>
                <w:kern w:val="0"/>
                <w:sz w:val="20"/>
                <w:szCs w:val="20"/>
              </w:rPr>
              <w:t>6、支持跨摄像头追踪技术可以通过嫌疑人的穿着、体态、发型在全域视频录像中进行识别检索，完整还原嫌疑人进入和离开案发现场的活动轨迹，还原其活动路径。</w:t>
            </w:r>
            <w:r>
              <w:rPr>
                <w:rFonts w:hint="eastAsia" w:ascii="宋体" w:hAnsi="宋体" w:eastAsia="宋体" w:cs="宋体"/>
                <w:kern w:val="0"/>
                <w:sz w:val="20"/>
                <w:szCs w:val="20"/>
              </w:rPr>
              <w:br w:type="textWrapping"/>
            </w:r>
            <w:r>
              <w:rPr>
                <w:rFonts w:hint="eastAsia" w:ascii="宋体" w:hAnsi="宋体" w:eastAsia="宋体" w:cs="宋体"/>
                <w:kern w:val="0"/>
                <w:sz w:val="20"/>
                <w:szCs w:val="20"/>
              </w:rPr>
              <w:t>7、车牌检索：在目标视频中系统能自动提取出车辆的车牌号码并能形成本文数据；并支持以车牌号检索车辆，最小可识别车牌图像支持像素</w:t>
            </w:r>
            <w:r>
              <w:rPr>
                <w:rFonts w:hint="eastAsia" w:ascii="宋体" w:hAnsi="宋体" w:cs="宋体"/>
                <w:kern w:val="0"/>
                <w:sz w:val="20"/>
                <w:szCs w:val="20"/>
                <w:lang w:val="en-US" w:eastAsia="zh-CN"/>
              </w:rPr>
              <w:t>≥</w:t>
            </w:r>
            <w:r>
              <w:rPr>
                <w:rFonts w:hint="eastAsia" w:ascii="宋体" w:hAnsi="宋体" w:eastAsia="宋体" w:cs="宋体"/>
                <w:kern w:val="0"/>
                <w:sz w:val="20"/>
                <w:szCs w:val="20"/>
              </w:rPr>
              <w:t>30*60像素。</w:t>
            </w:r>
            <w:r>
              <w:rPr>
                <w:rFonts w:hint="eastAsia" w:ascii="宋体" w:hAnsi="宋体" w:eastAsia="宋体" w:cs="宋体"/>
                <w:kern w:val="0"/>
                <w:sz w:val="20"/>
                <w:szCs w:val="20"/>
              </w:rPr>
              <w:br w:type="textWrapping"/>
            </w:r>
            <w:r>
              <w:rPr>
                <w:rFonts w:hint="eastAsia" w:ascii="宋体" w:hAnsi="宋体" w:eastAsia="宋体" w:cs="宋体"/>
                <w:kern w:val="0"/>
                <w:sz w:val="20"/>
                <w:szCs w:val="20"/>
              </w:rPr>
              <w:t>8、具体要求：针对案件、目标管控等业务场景，对历史视频进行解析、处理、研判。对视频内全部人像目标、或者划定的部分区域内的人像目标进行解析、识别，实现跨摄像头高效检索，刻画目标的轨迹，并支持车辆号牌、人脸特征的识别以及检索。利用AI智能算法，通过提取嫌疑对象的衣着、体型、随身物品等视觉整体特征为目标向量，在研判人员圈定的视频中递进式检索，支持最远距离（50米）、低照度（0.001—0.02lux场景）小目标（10*22像素）可以有效快速识别、检索；</w:t>
            </w:r>
            <w:r>
              <w:rPr>
                <w:rFonts w:hint="eastAsia" w:ascii="宋体" w:hAnsi="宋体" w:eastAsia="宋体" w:cs="宋体"/>
                <w:kern w:val="0"/>
                <w:sz w:val="20"/>
                <w:szCs w:val="20"/>
              </w:rPr>
              <w:br w:type="textWrapping"/>
            </w:r>
            <w:r>
              <w:rPr>
                <w:rFonts w:hint="eastAsia" w:ascii="宋体" w:hAnsi="宋体" w:eastAsia="宋体" w:cs="宋体"/>
                <w:kern w:val="0"/>
                <w:sz w:val="20"/>
                <w:szCs w:val="20"/>
              </w:rPr>
              <w:t>系统需支持GA/T 1154.3-2017视频图像检索技术要求，需提供公安部权威检测机构出具的检测报告复印件加盖原厂鲜章，原件现场备查；</w:t>
            </w:r>
            <w:r>
              <w:rPr>
                <w:rFonts w:hint="eastAsia" w:ascii="宋体" w:hAnsi="宋体" w:eastAsia="宋体" w:cs="宋体"/>
                <w:kern w:val="0"/>
                <w:sz w:val="20"/>
                <w:szCs w:val="20"/>
              </w:rPr>
              <w:br w:type="textWrapping"/>
            </w:r>
            <w:r>
              <w:rPr>
                <w:rFonts w:hint="eastAsia" w:ascii="宋体" w:hAnsi="宋体" w:eastAsia="宋体" w:cs="宋体"/>
                <w:kern w:val="0"/>
                <w:sz w:val="20"/>
                <w:szCs w:val="20"/>
              </w:rPr>
              <w:t>9、支持多目标检索、超远距离、夜晚低照度及嫌疑人目标在自行车、电动车及步行等多姿态下检索。</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10、一小时原始视频结构化处理时间≤4分钟</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11、系统支持同时视频处理路数≥100路</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12、支持ReID行人跨摄像头再识别技术</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13、远距离小目标识别，最小命中10＊22像素检索识别命中率95％以上；</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14、软件平台，支持视频文件格式 mp4，mov，avi，mpg，m4v</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15、视频文件编码 h264</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16、视频分辨率支持1920＊1080及以下</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17、多目标检索：系统支持对目标在1万张图片中的快速摘要分析，20分钟以内完成目标人员的轨迹，并支持全部目标图像的快速导出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18、报告自动生成：系统支持研判报告的自动生成，报告编辑与导出</w:t>
            </w:r>
            <w:r>
              <w:rPr>
                <w:rFonts w:hint="eastAsia" w:ascii="宋体" w:hAnsi="宋体" w:eastAsia="宋体" w:cs="宋体"/>
                <w:kern w:val="0"/>
                <w:sz w:val="20"/>
                <w:szCs w:val="20"/>
              </w:rPr>
              <w:br w:type="textWrapping"/>
            </w:r>
            <w:r>
              <w:rPr>
                <w:rFonts w:hint="eastAsia" w:ascii="宋体" w:hAnsi="宋体" w:eastAsia="宋体" w:cs="宋体"/>
                <w:kern w:val="0"/>
                <w:sz w:val="20"/>
                <w:szCs w:val="20"/>
              </w:rPr>
              <w:t>19、系统工具：系统支持对模糊图像、低照度图像以及视频的增强处理、支持1:1人脸比对。</w:t>
            </w:r>
          </w:p>
        </w:tc>
        <w:tc>
          <w:tcPr>
            <w:tcW w:w="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17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命案现场警示围挡</w:t>
            </w:r>
          </w:p>
        </w:tc>
        <w:tc>
          <w:tcPr>
            <w:tcW w:w="64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主要特点：</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1.每组12-16片展开尺寸为7200mm</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2.携带及拆携方便，（可不拆携直接折叠收缩）普通轿车后备厢放倒后座椅完全可以存放。</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3.组合方式灵活多样，可直线式、半包围式、全包围式使用。</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4.组合便捷，1名非熟练人员，可以在1分钟内完成安置。</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4.稳定性强，固定管不会产生永久变形或损坏。</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5.可根据现场需要实现任意长度组合，构成大型隔离带。</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6.如遇强风可用绳索进行加固。</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7.围布颜色图案及文字可根据需要印制。</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8.高亮反光条，灯光照射下使围挡更为明显，提醒闲人远离保证工作人员的安全。</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9.围挡布结实耐用，布局紧至、平整、大气。</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应用范围：适合各种公共场所应急处置时使用，如案发现场，人质解救现场，恶性交通事故现场，机场，火车站，汽车站，地铁站，广场，各种大型活动举办现场等，也可作为公安干警的临时休息及办公场所。</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产品规格：</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每片高度：≥1600/1200mm*600mm,（尺寸可以定制）</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每片重量：1.5KG</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支架材质：高强度加厚尼龙管</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围布材质：高密度防水涤纶布，每块印有（警察+police+警徽）两条反光条，</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文字及警示条：高强度反光材料</w:t>
            </w:r>
          </w:p>
        </w:tc>
        <w:tc>
          <w:tcPr>
            <w:tcW w:w="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17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四盘NAS</w:t>
            </w:r>
          </w:p>
        </w:tc>
        <w:tc>
          <w:tcPr>
            <w:tcW w:w="64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硬盘尺寸 3.5英寸 </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硬盘类型 NAS硬盘 </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容量 4TB </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转速 5400rpm </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缓存 256MB </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接口 SATA接口</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工作温度 0°至65° </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产品尺寸 长146.99mm宽10185mm高20.2mm </w:t>
            </w:r>
          </w:p>
        </w:tc>
        <w:tc>
          <w:tcPr>
            <w:tcW w:w="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17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现场勘察鞋、服</w:t>
            </w:r>
          </w:p>
        </w:tc>
        <w:tc>
          <w:tcPr>
            <w:tcW w:w="64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现场勘察鞋</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1、现场勘查现场时穿着，其鞋印容易识别，不会与现场鞋印混淆；</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2、为勘查人员提供全面的足部保护，使勘查人员足部免受伤害 按照季节分为春秋单款头层牛皮 夏季款战靴 以及冬季棉款头层牛皮</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p>
          <w:p>
            <w:pPr>
              <w:keepNext w:val="0"/>
              <w:keepLines w:val="0"/>
              <w:widowControl/>
              <w:suppressLineNumbers w:val="0"/>
              <w:spacing w:line="240" w:lineRule="auto"/>
              <w:jc w:val="both"/>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cs="宋体"/>
                <w:i w:val="0"/>
                <w:iCs w:val="0"/>
                <w:color w:val="000000"/>
                <w:kern w:val="0"/>
                <w:sz w:val="21"/>
                <w:szCs w:val="21"/>
                <w:u w:val="none"/>
                <w:lang w:val="en-US" w:eastAsia="zh-CN" w:bidi="ar"/>
              </w:rPr>
              <w:t>现场勘察服</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现场勘查服选用具有防水透气、防尘、抗静电（不吸附）、用防腐蚀型面料制成 ，型号齐全，与警服的型号一一对应等功能的新型记忆性面料制成，款式设计与现场勘验的实际紧密结合，具有很强的专业性和防护性特点，</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警服色，印有现场勘查字样，符合GA-2011现场勘查服标准，具有防水透气、防尘、抗静电（不吸附）、抗高温、耐磨、耐腐蚀等抗静电仿毛华达呢面料，与警服的型号对应，款式设计与现场勘验的实际紧密结合，具有很强的专业性和防护性特点，完全符合国家GB12012-89、GB/T5453-1997、GB/4802、1-1997、GB3923标准。</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功能：</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1、透气性：布料每秒每平方米布料透气超过≥55升。</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2、起毛起球：布料起毛起球性分5级，5级为 高标准，要求达4级。</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3、断裂强力：各取经向（T）、纬向（W）布料（宽5cm、长20cm），经向断裂强度超过1300（N），纬向断裂强度超过600（N）。</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4、防酸透性：取80%硫酸、30%盐酸、40%硝酸，分别倒在布料上，防渗透均超过20分钟。</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5、抗酸压性：在布料上放一玻璃管，用80%硫酸倒入玻璃管，50mm高度不渗漏。</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6、抗酸性：取经向（T）、纬向（W）布料各一块，称其重量为W1，浸入浓硫酸后，取出抖掉酸液，称其重量为W2，W1/W2×100%，数据达到80%以上。</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7、防碱指标：40%氢氧化钠防渗透超过20分钟。</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8、防水性能：防水性能采用百分制， 高标准为100分，采用喷淋方式，达到90分以上。</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9、防静电性：用8000伏静电压接触布料1分钟后断开，30秒钟后，用静电测量仪检测布料上静电量，检测仪指针指向零位所需的时间，不超过2秒。</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10、耐水色牢度: 变色≥3   沾色≥3</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11、耐汗渍色牢度: 酸性  变色≥3   沾色≥3</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                  碱性  变色≥3   沾色≥3</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12、耐摩擦色牢度: 干摩擦≥3   湿摩擦≥2-3</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13、耐皂洗色牢度:变色 ≥3  沾色≥2-3</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14、耐磨性能：≥14500次</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15、外观质量: 符合FZ/T81007-2012的3.8中表2的要求  </w:t>
            </w:r>
          </w:p>
        </w:tc>
        <w:tc>
          <w:tcPr>
            <w:tcW w:w="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17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硬盘</w:t>
            </w:r>
          </w:p>
        </w:tc>
        <w:tc>
          <w:tcPr>
            <w:tcW w:w="64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容量 8TB </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转速 7200rpm </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缓存 256MB </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接口 SATA接口 </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工作温度 5°至60° </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保存温度 -40°至70° </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硬盘尺寸 3.5英寸 </w:t>
            </w:r>
          </w:p>
          <w:p>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产品尺寸 长147mm，宽101.85mm，高26.1mm </w:t>
            </w:r>
          </w:p>
        </w:tc>
        <w:tc>
          <w:tcPr>
            <w:tcW w:w="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17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笔记本电脑</w:t>
            </w:r>
          </w:p>
        </w:tc>
        <w:tc>
          <w:tcPr>
            <w:tcW w:w="6461" w:type="dxa"/>
            <w:tcBorders>
              <w:top w:val="single" w:color="000000" w:sz="4" w:space="0"/>
              <w:left w:val="single" w:color="000000" w:sz="4" w:space="0"/>
              <w:bottom w:val="single" w:color="000000" w:sz="4" w:space="0"/>
              <w:right w:val="single" w:color="000000" w:sz="4" w:space="0"/>
            </w:tcBorders>
            <w:noWrap/>
            <w:vAlign w:val="center"/>
          </w:tcPr>
          <w:p>
            <w:pPr>
              <w:bidi w:val="0"/>
              <w:spacing w:line="240" w:lineRule="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类型 高性能轻薄笔记本 </w:t>
            </w:r>
          </w:p>
          <w:p>
            <w:pPr>
              <w:bidi w:val="0"/>
              <w:spacing w:line="240" w:lineRule="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处理器 intel i7 </w:t>
            </w:r>
          </w:p>
          <w:p>
            <w:pPr>
              <w:bidi w:val="0"/>
              <w:spacing w:line="240" w:lineRule="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硬盘。固态硬盘512GB</w:t>
            </w:r>
          </w:p>
          <w:p>
            <w:pPr>
              <w:bidi w:val="0"/>
              <w:spacing w:line="240" w:lineRule="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厚度 15.1-18.0mm </w:t>
            </w:r>
          </w:p>
          <w:p>
            <w:pPr>
              <w:bidi w:val="0"/>
              <w:spacing w:line="240" w:lineRule="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机械硬盘 无机械硬盘 </w:t>
            </w:r>
          </w:p>
          <w:p>
            <w:pPr>
              <w:bidi w:val="0"/>
              <w:spacing w:line="240" w:lineRule="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内存容量 8GB </w:t>
            </w:r>
          </w:p>
          <w:p>
            <w:pPr>
              <w:bidi w:val="0"/>
              <w:spacing w:line="240" w:lineRule="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屏幕尺寸 14.0-14.9英寸 </w:t>
            </w:r>
          </w:p>
          <w:p>
            <w:pPr>
              <w:bidi w:val="0"/>
              <w:spacing w:line="240" w:lineRule="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屏幕色域 45%NTSC </w:t>
            </w:r>
          </w:p>
          <w:p>
            <w:pPr>
              <w:bidi w:val="0"/>
              <w:spacing w:line="240" w:lineRule="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屏幕刷新率 60Hz </w:t>
            </w:r>
          </w:p>
          <w:p>
            <w:pPr>
              <w:bidi w:val="0"/>
              <w:spacing w:line="240" w:lineRule="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特性 PCI-E高速固态硬盘，硬盘可扩展，雷电接口 </w:t>
            </w:r>
          </w:p>
          <w:p>
            <w:pPr>
              <w:bidi w:val="0"/>
              <w:spacing w:line="240" w:lineRule="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系统 Windows 11</w:t>
            </w:r>
          </w:p>
          <w:p>
            <w:pPr>
              <w:bidi w:val="0"/>
              <w:spacing w:line="240" w:lineRule="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显卡型号 集成显卡</w:t>
            </w:r>
          </w:p>
        </w:tc>
        <w:tc>
          <w:tcPr>
            <w:tcW w:w="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17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台式电脑</w:t>
            </w:r>
          </w:p>
        </w:tc>
        <w:tc>
          <w:tcPr>
            <w:tcW w:w="6461" w:type="dxa"/>
            <w:tcBorders>
              <w:top w:val="single" w:color="000000" w:sz="4" w:space="0"/>
              <w:left w:val="single" w:color="000000" w:sz="4" w:space="0"/>
              <w:bottom w:val="single" w:color="000000" w:sz="4" w:space="0"/>
              <w:right w:val="single" w:color="000000" w:sz="4" w:space="0"/>
            </w:tcBorders>
            <w:noWrap/>
            <w:vAlign w:val="center"/>
          </w:tcPr>
          <w:p>
            <w:pPr>
              <w:bidi w:val="0"/>
              <w:spacing w:line="240" w:lineRule="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处理器 intel i3 </w:t>
            </w:r>
          </w:p>
          <w:p>
            <w:pPr>
              <w:bidi w:val="0"/>
              <w:spacing w:line="240" w:lineRule="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内存容量 8GB </w:t>
            </w:r>
          </w:p>
          <w:p>
            <w:pPr>
              <w:bidi w:val="0"/>
              <w:spacing w:line="240" w:lineRule="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硬盘容量 256GBSSD+1TB HDD </w:t>
            </w:r>
          </w:p>
          <w:p>
            <w:pPr>
              <w:bidi w:val="0"/>
              <w:spacing w:line="240" w:lineRule="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显卡型号 集成显卡 </w:t>
            </w:r>
          </w:p>
          <w:p>
            <w:pPr>
              <w:bidi w:val="0"/>
              <w:spacing w:line="240" w:lineRule="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适用场景 商用 </w:t>
            </w:r>
          </w:p>
          <w:p>
            <w:pPr>
              <w:bidi w:val="0"/>
              <w:spacing w:line="240" w:lineRule="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系统 windows10</w:t>
            </w:r>
          </w:p>
          <w:p>
            <w:pPr>
              <w:bidi w:val="0"/>
              <w:spacing w:line="240" w:lineRule="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屏幕尺寸 21.5寸显示器 </w:t>
            </w:r>
          </w:p>
          <w:p>
            <w:pPr>
              <w:bidi w:val="0"/>
              <w:spacing w:line="240" w:lineRule="auto"/>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机箱大小 10-20L</w:t>
            </w:r>
          </w:p>
        </w:tc>
        <w:tc>
          <w:tcPr>
            <w:tcW w:w="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77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hAnsi="宋体" w:cs="宋体"/>
                <w:i w:val="0"/>
                <w:iCs w:val="0"/>
                <w:color w:val="000000"/>
                <w:kern w:val="0"/>
                <w:sz w:val="21"/>
                <w:szCs w:val="21"/>
                <w:u w:val="none"/>
                <w:lang w:val="en-US" w:eastAsia="zh-CN" w:bidi="ar"/>
              </w:rPr>
              <w:t>12</w:t>
            </w:r>
          </w:p>
        </w:tc>
        <w:tc>
          <w:tcPr>
            <w:tcW w:w="117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执法记录仪</w:t>
            </w:r>
          </w:p>
        </w:tc>
        <w:tc>
          <w:tcPr>
            <w:tcW w:w="6461" w:type="dxa"/>
            <w:tcBorders>
              <w:top w:val="single" w:color="000000" w:sz="4" w:space="0"/>
              <w:left w:val="single" w:color="000000" w:sz="4" w:space="0"/>
              <w:bottom w:val="single" w:color="000000" w:sz="4" w:space="0"/>
              <w:right w:val="single" w:color="000000" w:sz="4" w:space="0"/>
            </w:tcBorders>
            <w:noWrap/>
            <w:vAlign w:val="top"/>
          </w:tcPr>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w:t>
            </w:r>
            <w:r>
              <w:rPr>
                <w:rFonts w:hint="eastAsia" w:ascii="宋体" w:hAnsi="宋体" w:eastAsia="宋体" w:cs="宋体"/>
                <w:sz w:val="21"/>
                <w:szCs w:val="21"/>
                <w:vertAlign w:val="baseline"/>
                <w:lang w:eastAsia="zh-CN"/>
              </w:rPr>
              <w:t>.▲电池工作时间:采用内置不可更换电池供电，可满足连续摄录时间＞10h;</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2</w:t>
            </w:r>
            <w:r>
              <w:rPr>
                <w:rFonts w:hint="eastAsia" w:ascii="宋体" w:hAnsi="宋体" w:eastAsia="宋体" w:cs="宋体"/>
                <w:sz w:val="21"/>
                <w:szCs w:val="21"/>
                <w:vertAlign w:val="baseline"/>
                <w:lang w:eastAsia="zh-CN"/>
              </w:rPr>
              <w:t>.防摔抗跌:裸机跌落高度 2000mm，水泥地面，任意6个面各跌落≥5 次，试验期间执法记录仪处于工作状态。</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3</w:t>
            </w:r>
            <w:r>
              <w:rPr>
                <w:rFonts w:hint="eastAsia" w:ascii="宋体" w:hAnsi="宋体" w:eastAsia="宋体" w:cs="宋体"/>
                <w:sz w:val="21"/>
                <w:szCs w:val="21"/>
                <w:vertAlign w:val="baseline"/>
                <w:lang w:eastAsia="zh-CN"/>
              </w:rPr>
              <w:t>.外壳防护:外壳防护等级符合 IP68 的要求。</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 xml:space="preserve">7.接口:支持Mini USB和Type-C接口传输数据及充电。 </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4</w:t>
            </w:r>
            <w:r>
              <w:rPr>
                <w:rFonts w:hint="eastAsia" w:ascii="宋体" w:hAnsi="宋体" w:eastAsia="宋体" w:cs="宋体"/>
                <w:sz w:val="21"/>
                <w:szCs w:val="21"/>
                <w:vertAlign w:val="baseline"/>
                <w:lang w:eastAsia="zh-CN"/>
              </w:rPr>
              <w:t>.夜视功能:设备在开启夜视功能后,红外有效拍摄距离≥3m.有效拍摄距离处应能看清人物面部特征，红外补光范围在 3m处覆盖摄录画面≥70%面积。</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5</w:t>
            </w:r>
            <w:r>
              <w:rPr>
                <w:rFonts w:hint="eastAsia" w:ascii="宋体" w:hAnsi="宋体" w:eastAsia="宋体" w:cs="宋体"/>
                <w:sz w:val="21"/>
                <w:szCs w:val="21"/>
                <w:vertAlign w:val="baseline"/>
                <w:lang w:eastAsia="zh-CN"/>
              </w:rPr>
              <w:t>.设备具有省电模式，开机后可自动或通过人工方式进入省电状态:按下任意按键应能进入取景预览模式。</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6</w:t>
            </w:r>
            <w:r>
              <w:rPr>
                <w:rFonts w:hint="eastAsia" w:ascii="宋体" w:hAnsi="宋体" w:eastAsia="宋体" w:cs="宋体"/>
                <w:sz w:val="21"/>
                <w:szCs w:val="21"/>
                <w:vertAlign w:val="baseline"/>
                <w:lang w:eastAsia="zh-CN"/>
              </w:rPr>
              <w:t>.显示屏:显示屏对角线尺寸&gt;2.0in，显示屏最大亮度&gt;1200cd/m2。</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7</w:t>
            </w:r>
            <w:r>
              <w:rPr>
                <w:rFonts w:hint="eastAsia" w:ascii="宋体" w:hAnsi="宋体" w:eastAsia="宋体" w:cs="宋体"/>
                <w:sz w:val="21"/>
                <w:szCs w:val="21"/>
                <w:vertAlign w:val="baseline"/>
                <w:lang w:eastAsia="zh-CN"/>
              </w:rPr>
              <w:t>.视频性能:在2560x1440清晰度下视频分辨力≥1000线，帧率 30 帧/s。</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8</w:t>
            </w:r>
            <w:r>
              <w:rPr>
                <w:rFonts w:hint="eastAsia" w:ascii="宋体" w:hAnsi="宋体" w:eastAsia="宋体" w:cs="宋体"/>
                <w:sz w:val="21"/>
                <w:szCs w:val="21"/>
                <w:vertAlign w:val="baseline"/>
                <w:lang w:eastAsia="zh-CN"/>
              </w:rPr>
              <w:t>.视场角;执法记录仪摄像头的水平视场角在生产厂商声明的所有分辨率条件下均＞120°</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9</w:t>
            </w:r>
            <w:r>
              <w:rPr>
                <w:rFonts w:hint="eastAsia" w:ascii="宋体" w:hAnsi="宋体" w:eastAsia="宋体" w:cs="宋体"/>
                <w:sz w:val="21"/>
                <w:szCs w:val="21"/>
                <w:vertAlign w:val="baseline"/>
                <w:lang w:eastAsia="zh-CN"/>
              </w:rPr>
              <w:t>.▲几何失真:＜3%。</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1</w:t>
            </w:r>
            <w:r>
              <w:rPr>
                <w:rFonts w:hint="eastAsia" w:ascii="宋体" w:hAnsi="宋体" w:eastAsia="宋体" w:cs="宋体"/>
                <w:sz w:val="21"/>
                <w:szCs w:val="21"/>
                <w:vertAlign w:val="baseline"/>
                <w:lang w:val="en-US" w:eastAsia="zh-CN"/>
              </w:rPr>
              <w:t>0</w:t>
            </w:r>
            <w:r>
              <w:rPr>
                <w:rFonts w:hint="eastAsia" w:ascii="宋体" w:hAnsi="宋体" w:eastAsia="宋体" w:cs="宋体"/>
                <w:sz w:val="21"/>
                <w:szCs w:val="21"/>
                <w:vertAlign w:val="baseline"/>
                <w:lang w:eastAsia="zh-CN"/>
              </w:rPr>
              <w:t>.照片分辨力:照片分辨力应≥1100线。</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1</w:t>
            </w:r>
            <w:r>
              <w:rPr>
                <w:rFonts w:hint="eastAsia" w:ascii="宋体" w:hAnsi="宋体" w:eastAsia="宋体" w:cs="宋体"/>
                <w:sz w:val="21"/>
                <w:szCs w:val="21"/>
                <w:vertAlign w:val="baseline"/>
                <w:lang w:val="en-US" w:eastAsia="zh-CN"/>
              </w:rPr>
              <w:t>1</w:t>
            </w:r>
            <w:r>
              <w:rPr>
                <w:rFonts w:hint="eastAsia" w:ascii="宋体" w:hAnsi="宋体" w:eastAsia="宋体" w:cs="宋体"/>
                <w:sz w:val="21"/>
                <w:szCs w:val="21"/>
                <w:vertAlign w:val="baseline"/>
                <w:lang w:eastAsia="zh-CN"/>
              </w:rPr>
              <w:t>.重点文件标记:执法记录仪在摄录过程中应能通过一键操作的方式对重点文件进行标记。</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1</w:t>
            </w:r>
            <w:r>
              <w:rPr>
                <w:rFonts w:hint="eastAsia" w:ascii="宋体" w:hAnsi="宋体" w:eastAsia="宋体" w:cs="宋体"/>
                <w:sz w:val="21"/>
                <w:szCs w:val="21"/>
                <w:vertAlign w:val="baseline"/>
                <w:lang w:val="en-US" w:eastAsia="zh-CN"/>
              </w:rPr>
              <w:t>2</w:t>
            </w:r>
            <w:r>
              <w:rPr>
                <w:rFonts w:hint="eastAsia" w:ascii="宋体" w:hAnsi="宋体" w:eastAsia="宋体" w:cs="宋体"/>
                <w:sz w:val="21"/>
                <w:szCs w:val="21"/>
                <w:vertAlign w:val="baseline"/>
                <w:lang w:eastAsia="zh-CN"/>
              </w:rPr>
              <w:t>.视音频预录功能:预录和延录时间可通过本机菜单设置。</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1</w:t>
            </w:r>
            <w:r>
              <w:rPr>
                <w:rFonts w:hint="eastAsia" w:ascii="宋体" w:hAnsi="宋体" w:eastAsia="宋体" w:cs="宋体"/>
                <w:sz w:val="21"/>
                <w:szCs w:val="21"/>
                <w:vertAlign w:val="baseline"/>
                <w:lang w:val="en-US" w:eastAsia="zh-CN"/>
              </w:rPr>
              <w:t>3</w:t>
            </w:r>
            <w:r>
              <w:rPr>
                <w:rFonts w:hint="eastAsia" w:ascii="宋体" w:hAnsi="宋体" w:eastAsia="宋体" w:cs="宋体"/>
                <w:sz w:val="21"/>
                <w:szCs w:val="21"/>
                <w:vertAlign w:val="baseline"/>
                <w:lang w:eastAsia="zh-CN"/>
              </w:rPr>
              <w:t>.快充;充电时间≤2 小时</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1</w:t>
            </w:r>
            <w:r>
              <w:rPr>
                <w:rFonts w:hint="eastAsia" w:ascii="宋体" w:hAnsi="宋体" w:eastAsia="宋体" w:cs="宋体"/>
                <w:sz w:val="21"/>
                <w:szCs w:val="21"/>
                <w:vertAlign w:val="baseline"/>
                <w:lang w:val="en-US" w:eastAsia="zh-CN"/>
              </w:rPr>
              <w:t>4</w:t>
            </w:r>
            <w:r>
              <w:rPr>
                <w:rFonts w:hint="eastAsia" w:ascii="宋体" w:hAnsi="宋体" w:eastAsia="宋体" w:cs="宋体"/>
                <w:sz w:val="21"/>
                <w:szCs w:val="21"/>
                <w:vertAlign w:val="baseline"/>
                <w:lang w:eastAsia="zh-CN"/>
              </w:rPr>
              <w:t>.防抖功能:可通过菜单设置开启/关闭防抖功能。</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15</w:t>
            </w:r>
            <w:r>
              <w:rPr>
                <w:rFonts w:hint="eastAsia" w:ascii="宋体" w:hAnsi="宋体" w:eastAsia="宋体" w:cs="宋体"/>
                <w:sz w:val="21"/>
                <w:szCs w:val="21"/>
                <w:vertAlign w:val="baseline"/>
                <w:lang w:eastAsia="zh-CN"/>
              </w:rPr>
              <w:t>.紧急摄录:具有开启/关闭紧急摄录功能，在紧急摄录功能开启状态下，录像过程中发生撞击时，可自动保存录像文件并重新进入摄录模式。在待机状态下发生撞击时，可自动进入摄录模式。</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16</w:t>
            </w:r>
            <w:r>
              <w:rPr>
                <w:rFonts w:hint="eastAsia" w:ascii="宋体" w:hAnsi="宋体" w:eastAsia="宋体" w:cs="宋体"/>
                <w:sz w:val="21"/>
                <w:szCs w:val="21"/>
                <w:vertAlign w:val="baseline"/>
                <w:lang w:eastAsia="zh-CN"/>
              </w:rPr>
              <w:t>.一键切换分辨率:在录像状态下，可通过一次按键实现1440P、1296P、1080P、720P、480P 五种分辨率之间的切换。</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17</w:t>
            </w:r>
            <w:r>
              <w:rPr>
                <w:rFonts w:hint="eastAsia" w:ascii="宋体" w:hAnsi="宋体" w:eastAsia="宋体" w:cs="宋体"/>
                <w:sz w:val="21"/>
                <w:szCs w:val="21"/>
                <w:vertAlign w:val="baseline"/>
                <w:lang w:eastAsia="zh-CN"/>
              </w:rPr>
              <w:t>.编码格式：为节约存储空间，支持H.265编码格式。</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18</w:t>
            </w:r>
            <w:r>
              <w:rPr>
                <w:rFonts w:hint="eastAsia" w:ascii="宋体" w:hAnsi="宋体" w:eastAsia="宋体" w:cs="宋体"/>
                <w:sz w:val="21"/>
                <w:szCs w:val="21"/>
                <w:vertAlign w:val="baseline"/>
                <w:lang w:eastAsia="zh-CN"/>
              </w:rPr>
              <w:t>.语音播报：在开机、录像、录音、重点文件标记时进行语音播报。具有摄录时长播报及整点报时功能。</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19</w:t>
            </w:r>
            <w:r>
              <w:rPr>
                <w:rFonts w:hint="eastAsia" w:ascii="宋体" w:hAnsi="宋体" w:eastAsia="宋体" w:cs="宋体"/>
                <w:sz w:val="21"/>
                <w:szCs w:val="21"/>
                <w:vertAlign w:val="baseline"/>
                <w:lang w:eastAsia="zh-CN"/>
              </w:rPr>
              <w:t>.最低可用照度：输出图像的中心水平分辨力下降到标称亮度条件下分辨力的70%时目标景物的照度应满足≤2.9x。</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2</w:t>
            </w:r>
            <w:r>
              <w:rPr>
                <w:rFonts w:hint="eastAsia" w:ascii="宋体" w:hAnsi="宋体" w:eastAsia="宋体" w:cs="宋体"/>
                <w:sz w:val="21"/>
                <w:szCs w:val="21"/>
                <w:vertAlign w:val="baseline"/>
                <w:lang w:val="en-US" w:eastAsia="zh-CN"/>
              </w:rPr>
              <w:t>0</w:t>
            </w:r>
            <w:r>
              <w:rPr>
                <w:rFonts w:hint="eastAsia" w:ascii="宋体" w:hAnsi="宋体" w:eastAsia="宋体" w:cs="宋体"/>
                <w:sz w:val="21"/>
                <w:szCs w:val="21"/>
                <w:vertAlign w:val="baseline"/>
                <w:lang w:eastAsia="zh-CN"/>
              </w:rPr>
              <w:t>.设备内置RFID电子标签，可通过阅读机器对内置RFID电子标签进行读取。</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2</w:t>
            </w:r>
            <w:r>
              <w:rPr>
                <w:rFonts w:hint="eastAsia" w:ascii="宋体" w:hAnsi="宋体" w:eastAsia="宋体" w:cs="宋体"/>
                <w:sz w:val="21"/>
                <w:szCs w:val="21"/>
                <w:vertAlign w:val="baseline"/>
                <w:lang w:val="en-US" w:eastAsia="zh-CN"/>
              </w:rPr>
              <w:t>1</w:t>
            </w:r>
            <w:r>
              <w:rPr>
                <w:rFonts w:hint="eastAsia" w:ascii="宋体" w:hAnsi="宋体" w:eastAsia="宋体" w:cs="宋体"/>
                <w:sz w:val="21"/>
                <w:szCs w:val="21"/>
                <w:vertAlign w:val="baseline"/>
                <w:lang w:eastAsia="zh-CN"/>
              </w:rPr>
              <w:t>.设备具有开关机统计功能，能自动生成开关机统计日志。</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2</w:t>
            </w:r>
            <w:r>
              <w:rPr>
                <w:rFonts w:hint="eastAsia" w:ascii="宋体" w:hAnsi="宋体" w:eastAsia="宋体" w:cs="宋体"/>
                <w:sz w:val="21"/>
                <w:szCs w:val="21"/>
                <w:vertAlign w:val="baseline"/>
                <w:lang w:val="en-US" w:eastAsia="zh-CN"/>
              </w:rPr>
              <w:t>2</w:t>
            </w:r>
            <w:r>
              <w:rPr>
                <w:rFonts w:hint="eastAsia" w:ascii="宋体" w:hAnsi="宋体" w:eastAsia="宋体" w:cs="宋体"/>
                <w:sz w:val="21"/>
                <w:szCs w:val="21"/>
                <w:vertAlign w:val="baseline"/>
                <w:lang w:eastAsia="zh-CN"/>
              </w:rPr>
              <w:t>.支持车载，室内，室外场景模式，可通过设备菜单开启、选择或关闭。</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2</w:t>
            </w:r>
            <w:r>
              <w:rPr>
                <w:rFonts w:hint="eastAsia" w:ascii="宋体" w:hAnsi="宋体" w:eastAsia="宋体" w:cs="宋体"/>
                <w:sz w:val="21"/>
                <w:szCs w:val="21"/>
                <w:vertAlign w:val="baseline"/>
                <w:lang w:val="en-US" w:eastAsia="zh-CN"/>
              </w:rPr>
              <w:t>3</w:t>
            </w:r>
            <w:r>
              <w:rPr>
                <w:rFonts w:hint="eastAsia" w:ascii="宋体" w:hAnsi="宋体" w:eastAsia="宋体" w:cs="宋体"/>
                <w:sz w:val="21"/>
                <w:szCs w:val="21"/>
                <w:vertAlign w:val="baseline"/>
                <w:lang w:eastAsia="zh-CN"/>
              </w:rPr>
              <w:t>.设备应能将实时电量百分比以字符叠加方式叠加在拍摄的照片或录像视频画面中。</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24</w:t>
            </w:r>
            <w:r>
              <w:rPr>
                <w:rFonts w:hint="eastAsia" w:ascii="宋体" w:hAnsi="宋体" w:eastAsia="宋体" w:cs="宋体"/>
                <w:sz w:val="21"/>
                <w:szCs w:val="21"/>
                <w:vertAlign w:val="baseline"/>
                <w:lang w:eastAsia="zh-CN"/>
              </w:rPr>
              <w:t>.数字变倍功能：执法记录仪具有64倍数字变倍功能。</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25</w:t>
            </w:r>
            <w:r>
              <w:rPr>
                <w:rFonts w:hint="eastAsia" w:ascii="宋体" w:hAnsi="宋体" w:eastAsia="宋体" w:cs="宋体"/>
                <w:sz w:val="21"/>
                <w:szCs w:val="21"/>
                <w:vertAlign w:val="baseline"/>
                <w:lang w:eastAsia="zh-CN"/>
              </w:rPr>
              <w:t>.音量大小调节：具有音量调节功能，可在设备菜单中进行1-12级调节功能</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26</w:t>
            </w:r>
            <w:r>
              <w:rPr>
                <w:rFonts w:hint="eastAsia" w:ascii="宋体" w:hAnsi="宋体" w:eastAsia="宋体" w:cs="宋体"/>
                <w:sz w:val="21"/>
                <w:szCs w:val="21"/>
                <w:vertAlign w:val="baseline"/>
                <w:lang w:eastAsia="zh-CN"/>
              </w:rPr>
              <w:t>.执法记录仪具有亮度调节功能，可在设备菜单中进行高、中、低调节功能。</w:t>
            </w:r>
          </w:p>
          <w:p>
            <w:pP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27.存储介质容量:≥32G</w:t>
            </w:r>
          </w:p>
          <w:p>
            <w:p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sz w:val="21"/>
                <w:szCs w:val="21"/>
                <w:vertAlign w:val="baseline"/>
                <w:lang w:val="en-US" w:eastAsia="zh-CN"/>
              </w:rPr>
              <w:t>28</w:t>
            </w:r>
            <w:r>
              <w:rPr>
                <w:rFonts w:hint="eastAsia" w:ascii="宋体" w:hAnsi="宋体" w:eastAsia="宋体" w:cs="宋体"/>
                <w:sz w:val="21"/>
                <w:szCs w:val="21"/>
                <w:vertAlign w:val="baseline"/>
                <w:lang w:eastAsia="zh-CN"/>
              </w:rPr>
              <w:t>.需提供公安部特种警用装备的检测报告</w:t>
            </w:r>
          </w:p>
        </w:tc>
        <w:tc>
          <w:tcPr>
            <w:tcW w:w="72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spacing w:line="240" w:lineRule="auto"/>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hAnsi="宋体" w:cs="宋体"/>
                <w:i w:val="0"/>
                <w:iCs w:val="0"/>
                <w:color w:val="000000"/>
                <w:kern w:val="0"/>
                <w:sz w:val="21"/>
                <w:szCs w:val="21"/>
                <w:u w:val="none"/>
                <w:lang w:val="en-US" w:eastAsia="zh-CN" w:bidi="ar"/>
              </w:rPr>
              <w:t>20</w:t>
            </w:r>
          </w:p>
        </w:tc>
      </w:tr>
    </w:tbl>
    <w:p>
      <w:pPr>
        <w:pStyle w:val="2"/>
        <w:rPr>
          <w:rFonts w:hint="eastAsia"/>
          <w:lang w:eastAsia="zh-CN"/>
        </w:rPr>
      </w:pPr>
    </w:p>
    <w:p>
      <w:pPr>
        <w:spacing w:line="360" w:lineRule="auto"/>
        <w:outlineLvl w:val="1"/>
        <w:rPr>
          <w:rFonts w:hint="eastAsia"/>
        </w:rPr>
        <w:sectPr>
          <w:headerReference r:id="rId11" w:type="first"/>
          <w:footerReference r:id="rId13" w:type="first"/>
          <w:headerReference r:id="rId10" w:type="default"/>
          <w:footerReference r:id="rId12" w:type="default"/>
          <w:pgSz w:w="11906" w:h="16838"/>
          <w:pgMar w:top="1417" w:right="1134" w:bottom="1417" w:left="1417" w:header="1134" w:footer="992" w:gutter="0"/>
          <w:cols w:space="720" w:num="1"/>
          <w:titlePg/>
          <w:docGrid w:type="lines" w:linePitch="333" w:charSpace="0"/>
        </w:sectPr>
      </w:pPr>
    </w:p>
    <w:p>
      <w:pPr>
        <w:pStyle w:val="2"/>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第二包：</w:t>
      </w:r>
      <w:r>
        <w:rPr>
          <w:rFonts w:hint="eastAsia" w:ascii="宋体" w:hAnsi="宋体" w:eastAsia="宋体" w:cs="宋体"/>
          <w:b/>
          <w:bCs/>
          <w:sz w:val="24"/>
          <w:szCs w:val="24"/>
        </w:rPr>
        <w:t>中省办公设备</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6"/>
        <w:gridCol w:w="2679"/>
        <w:gridCol w:w="1224"/>
        <w:gridCol w:w="4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076" w:type="dxa"/>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序号</w:t>
            </w:r>
          </w:p>
        </w:tc>
        <w:tc>
          <w:tcPr>
            <w:tcW w:w="2679" w:type="dxa"/>
          </w:tcPr>
          <w:p>
            <w:pPr>
              <w:jc w:val="cente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名称</w:t>
            </w:r>
          </w:p>
        </w:tc>
        <w:tc>
          <w:tcPr>
            <w:tcW w:w="1224" w:type="dxa"/>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数量</w:t>
            </w:r>
          </w:p>
        </w:tc>
        <w:tc>
          <w:tcPr>
            <w:tcW w:w="4519" w:type="dxa"/>
          </w:tcPr>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技术规格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6" w:type="dxa"/>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2679" w:type="dxa"/>
          </w:tcPr>
          <w:p>
            <w:pPr>
              <w:jc w:val="center"/>
              <w:rPr>
                <w:rFonts w:hint="eastAsia" w:ascii="宋体" w:hAnsi="宋体" w:eastAsia="宋体" w:cs="宋体"/>
                <w:sz w:val="21"/>
                <w:szCs w:val="21"/>
                <w:vertAlign w:val="baseline"/>
              </w:rPr>
            </w:pPr>
            <w:r>
              <w:rPr>
                <w:rFonts w:hint="eastAsia" w:ascii="宋体" w:hAnsi="宋体" w:eastAsia="宋体" w:cs="宋体"/>
                <w:sz w:val="21"/>
                <w:szCs w:val="21"/>
              </w:rPr>
              <w:t>普通电话</w:t>
            </w:r>
          </w:p>
        </w:tc>
        <w:tc>
          <w:tcPr>
            <w:tcW w:w="1224" w:type="dxa"/>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10</w:t>
            </w:r>
            <w:r>
              <w:rPr>
                <w:rFonts w:hint="eastAsia" w:ascii="宋体" w:hAnsi="宋体" w:eastAsia="宋体" w:cs="宋体"/>
                <w:sz w:val="21"/>
                <w:szCs w:val="21"/>
                <w:lang w:val="en-US" w:eastAsia="zh-CN"/>
              </w:rPr>
              <w:t>部</w:t>
            </w:r>
          </w:p>
        </w:tc>
        <w:tc>
          <w:tcPr>
            <w:tcW w:w="4519" w:type="dxa"/>
          </w:tcPr>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功能：</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1.≥37组来电号码及来电时间记录（8位）；</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2.≥15组去电号码及通话时间记录（8位）；</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3.LCD亮度5级可调；</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4.8组单键记忆键功能；</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5.3组闹铃设置；</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6.1-99小时免打扰；</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7.≥16首铃声选择；</w:t>
            </w:r>
          </w:p>
          <w:p>
            <w:pPr>
              <w:numPr>
                <w:ilvl w:val="0"/>
                <w:numId w:val="8"/>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闪断时间</w:t>
            </w:r>
          </w:p>
          <w:p>
            <w:pPr>
              <w:numPr>
                <w:ilvl w:val="0"/>
                <w:numId w:val="0"/>
              </w:num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1000/600/300/180/120/100/95/90ms可选</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9.4级铃声音量可调，2级免提喇叭音量可调；</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10.保留功能，并提机自动解除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8" w:hRule="atLeast"/>
        </w:trPr>
        <w:tc>
          <w:tcPr>
            <w:tcW w:w="1076" w:type="dxa"/>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2679" w:type="dxa"/>
          </w:tcPr>
          <w:p>
            <w:pPr>
              <w:jc w:val="center"/>
              <w:rPr>
                <w:rFonts w:hint="eastAsia" w:ascii="宋体" w:hAnsi="宋体" w:eastAsia="宋体" w:cs="宋体"/>
                <w:sz w:val="21"/>
                <w:szCs w:val="21"/>
                <w:vertAlign w:val="baseline"/>
              </w:rPr>
            </w:pPr>
            <w:r>
              <w:rPr>
                <w:rFonts w:hint="eastAsia" w:ascii="宋体" w:hAnsi="宋体" w:eastAsia="宋体" w:cs="宋体"/>
                <w:sz w:val="21"/>
                <w:szCs w:val="21"/>
              </w:rPr>
              <w:t>录音机</w:t>
            </w:r>
          </w:p>
        </w:tc>
        <w:tc>
          <w:tcPr>
            <w:tcW w:w="1224" w:type="dxa"/>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10</w:t>
            </w:r>
            <w:r>
              <w:rPr>
                <w:rFonts w:hint="eastAsia" w:ascii="宋体" w:hAnsi="宋体" w:eastAsia="宋体" w:cs="宋体"/>
                <w:sz w:val="21"/>
                <w:szCs w:val="21"/>
                <w:lang w:val="en-US" w:eastAsia="zh-CN"/>
              </w:rPr>
              <w:t>部</w:t>
            </w:r>
          </w:p>
        </w:tc>
        <w:tc>
          <w:tcPr>
            <w:tcW w:w="4519" w:type="dxa"/>
          </w:tcPr>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w:t>
            </w:r>
            <w:r>
              <w:rPr>
                <w:rFonts w:hint="eastAsia" w:ascii="宋体" w:hAnsi="宋体" w:eastAsia="宋体" w:cs="宋体"/>
                <w:sz w:val="21"/>
                <w:szCs w:val="21"/>
                <w:vertAlign w:val="baseline"/>
              </w:rPr>
              <w:t>产品类型</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商务数字录音电话</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2.</w:t>
            </w:r>
            <w:r>
              <w:rPr>
                <w:rFonts w:hint="eastAsia" w:ascii="宋体" w:hAnsi="宋体" w:eastAsia="宋体" w:cs="宋体"/>
                <w:sz w:val="21"/>
                <w:szCs w:val="21"/>
                <w:vertAlign w:val="baseline"/>
              </w:rPr>
              <w:t>本地留言</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支持主人留言、 家庭留言</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3.</w:t>
            </w:r>
            <w:r>
              <w:rPr>
                <w:rFonts w:hint="eastAsia" w:ascii="宋体" w:hAnsi="宋体" w:eastAsia="宋体" w:cs="宋体"/>
                <w:sz w:val="21"/>
                <w:szCs w:val="21"/>
                <w:vertAlign w:val="baseline"/>
              </w:rPr>
              <w:t>放音音量</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8级可调节</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r>
              <w:rPr>
                <w:rFonts w:hint="eastAsia" w:ascii="宋体" w:hAnsi="宋体" w:eastAsia="宋体" w:cs="宋体"/>
                <w:sz w:val="21"/>
                <w:szCs w:val="21"/>
                <w:vertAlign w:val="baseline"/>
              </w:rPr>
              <w:t>存储模式</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TE</w:t>
            </w:r>
            <w:r>
              <w:rPr>
                <w:rFonts w:hint="eastAsia" w:ascii="宋体" w:hAnsi="宋体" w:eastAsia="宋体" w:cs="宋体"/>
                <w:sz w:val="21"/>
                <w:szCs w:val="21"/>
                <w:vertAlign w:val="baseline"/>
                <w:lang w:val="en-US" w:eastAsia="zh-CN"/>
              </w:rPr>
              <w:t>卡；</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5.</w:t>
            </w:r>
            <w:r>
              <w:rPr>
                <w:rFonts w:hint="eastAsia" w:ascii="宋体" w:hAnsi="宋体" w:eastAsia="宋体" w:cs="宋体"/>
                <w:sz w:val="21"/>
                <w:szCs w:val="21"/>
                <w:vertAlign w:val="baseline"/>
              </w:rPr>
              <w:t>电源参数</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9V/1000mA</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6.</w:t>
            </w:r>
            <w:r>
              <w:rPr>
                <w:rFonts w:hint="eastAsia" w:ascii="宋体" w:hAnsi="宋体" w:eastAsia="宋体" w:cs="宋体"/>
                <w:sz w:val="21"/>
                <w:szCs w:val="21"/>
                <w:vertAlign w:val="baseline"/>
              </w:rPr>
              <w:t>来电铃声</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支持</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7.</w:t>
            </w:r>
            <w:r>
              <w:rPr>
                <w:rFonts w:hint="eastAsia" w:ascii="宋体" w:hAnsi="宋体" w:eastAsia="宋体" w:cs="宋体"/>
                <w:sz w:val="21"/>
                <w:szCs w:val="21"/>
                <w:vertAlign w:val="baseline"/>
              </w:rPr>
              <w:t>摘机静音</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支持</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8.</w:t>
            </w:r>
            <w:r>
              <w:rPr>
                <w:rFonts w:hint="eastAsia" w:ascii="宋体" w:hAnsi="宋体" w:eastAsia="宋体" w:cs="宋体"/>
                <w:sz w:val="21"/>
                <w:szCs w:val="21"/>
                <w:vertAlign w:val="baseline"/>
              </w:rPr>
              <w:t>自动答录</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支持</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9.</w:t>
            </w:r>
            <w:r>
              <w:rPr>
                <w:rFonts w:hint="eastAsia" w:ascii="宋体" w:hAnsi="宋体" w:eastAsia="宋体" w:cs="宋体"/>
                <w:sz w:val="21"/>
                <w:szCs w:val="21"/>
                <w:vertAlign w:val="baseline"/>
              </w:rPr>
              <w:t>耳麦模式</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支持</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10.</w:t>
            </w:r>
            <w:r>
              <w:rPr>
                <w:rFonts w:hint="eastAsia" w:ascii="宋体" w:hAnsi="宋体" w:eastAsia="宋体" w:cs="宋体"/>
                <w:sz w:val="21"/>
                <w:szCs w:val="21"/>
                <w:vertAlign w:val="baseline"/>
              </w:rPr>
              <w:t>密码管理</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支持</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11.</w:t>
            </w:r>
            <w:r>
              <w:rPr>
                <w:rFonts w:hint="eastAsia" w:ascii="宋体" w:hAnsi="宋体" w:eastAsia="宋体" w:cs="宋体"/>
                <w:sz w:val="21"/>
                <w:szCs w:val="21"/>
                <w:vertAlign w:val="baseline"/>
              </w:rPr>
              <w:t>来电显示</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FSK/DTMF双制式兼容来电显示功能</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12.</w:t>
            </w:r>
            <w:r>
              <w:rPr>
                <w:rFonts w:hint="eastAsia" w:ascii="宋体" w:hAnsi="宋体" w:eastAsia="宋体" w:cs="宋体"/>
                <w:sz w:val="21"/>
                <w:szCs w:val="21"/>
                <w:vertAlign w:val="baseline"/>
              </w:rPr>
              <w:t>电话接口</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RJ-11接口</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13.</w:t>
            </w:r>
            <w:r>
              <w:rPr>
                <w:rFonts w:hint="eastAsia" w:ascii="宋体" w:hAnsi="宋体" w:eastAsia="宋体" w:cs="宋体"/>
                <w:sz w:val="21"/>
                <w:szCs w:val="21"/>
                <w:vertAlign w:val="baseline"/>
              </w:rPr>
              <w:t>录音查询</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序号查询、号码查询、日期查询</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14.</w:t>
            </w:r>
            <w:r>
              <w:rPr>
                <w:rFonts w:hint="eastAsia" w:ascii="宋体" w:hAnsi="宋体" w:eastAsia="宋体" w:cs="宋体"/>
                <w:sz w:val="21"/>
                <w:szCs w:val="21"/>
                <w:vertAlign w:val="baseline"/>
              </w:rPr>
              <w:t>录音方式</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自动录音、现场录音、手动录者</w:t>
            </w:r>
            <w:r>
              <w:rPr>
                <w:rFonts w:hint="eastAsia" w:ascii="宋体" w:hAnsi="宋体" w:eastAsia="宋体" w:cs="宋体"/>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8" w:hRule="atLeast"/>
        </w:trPr>
        <w:tc>
          <w:tcPr>
            <w:tcW w:w="1076" w:type="dxa"/>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2679" w:type="dxa"/>
          </w:tcPr>
          <w:p>
            <w:pPr>
              <w:jc w:val="center"/>
              <w:rPr>
                <w:rFonts w:hint="eastAsia" w:ascii="宋体" w:hAnsi="宋体" w:eastAsia="宋体" w:cs="宋体"/>
                <w:sz w:val="21"/>
                <w:szCs w:val="21"/>
                <w:vertAlign w:val="baseline"/>
              </w:rPr>
            </w:pPr>
            <w:r>
              <w:rPr>
                <w:rFonts w:hint="eastAsia" w:ascii="宋体" w:hAnsi="宋体" w:eastAsia="宋体" w:cs="宋体"/>
                <w:sz w:val="21"/>
                <w:szCs w:val="21"/>
              </w:rPr>
              <w:t>台式电脑</w:t>
            </w:r>
          </w:p>
        </w:tc>
        <w:tc>
          <w:tcPr>
            <w:tcW w:w="1224" w:type="dxa"/>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140</w:t>
            </w:r>
            <w:r>
              <w:rPr>
                <w:rFonts w:hint="eastAsia" w:ascii="宋体" w:hAnsi="宋体" w:eastAsia="宋体" w:cs="宋体"/>
                <w:sz w:val="21"/>
                <w:szCs w:val="21"/>
                <w:lang w:val="en-US" w:eastAsia="zh-CN"/>
              </w:rPr>
              <w:t>台</w:t>
            </w:r>
          </w:p>
        </w:tc>
        <w:tc>
          <w:tcPr>
            <w:tcW w:w="4519" w:type="dxa"/>
          </w:tcPr>
          <w:p>
            <w:pPr>
              <w:widowControl/>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CPU</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w:t>
            </w:r>
            <w:r>
              <w:rPr>
                <w:rFonts w:hint="eastAsia" w:ascii="宋体" w:hAnsi="宋体" w:eastAsia="宋体" w:cs="宋体"/>
                <w:sz w:val="21"/>
                <w:szCs w:val="21"/>
              </w:rPr>
              <w:t>Intel Core I5</w:t>
            </w:r>
            <w:r>
              <w:rPr>
                <w:rFonts w:hint="eastAsia" w:ascii="宋体" w:hAnsi="宋体" w:eastAsia="宋体" w:cs="宋体"/>
                <w:sz w:val="21"/>
                <w:szCs w:val="21"/>
                <w:lang w:val="en-US" w:eastAsia="zh-CN"/>
              </w:rPr>
              <w:t>-10400及以上；</w:t>
            </w:r>
          </w:p>
          <w:p>
            <w:pPr>
              <w:widowControl/>
              <w:jc w:val="both"/>
              <w:rPr>
                <w:rFonts w:hint="eastAsia" w:ascii="宋体" w:hAnsi="宋体" w:eastAsia="宋体" w:cs="宋体"/>
                <w:sz w:val="21"/>
                <w:szCs w:val="21"/>
                <w:lang w:eastAsia="zh-CN"/>
              </w:rPr>
            </w:pPr>
            <w:r>
              <w:rPr>
                <w:rFonts w:hint="eastAsia" w:ascii="宋体" w:hAnsi="宋体" w:eastAsia="宋体" w:cs="宋体"/>
                <w:sz w:val="22"/>
                <w:szCs w:val="22"/>
              </w:rPr>
              <w:t>▲</w:t>
            </w:r>
            <w:r>
              <w:rPr>
                <w:rFonts w:hint="eastAsia" w:ascii="宋体" w:hAnsi="宋体" w:eastAsia="宋体" w:cs="宋体"/>
                <w:sz w:val="21"/>
                <w:szCs w:val="21"/>
                <w:lang w:val="en-US" w:eastAsia="zh-CN"/>
              </w:rPr>
              <w:t>2.</w:t>
            </w:r>
            <w:r>
              <w:rPr>
                <w:rFonts w:hint="eastAsia" w:ascii="宋体" w:hAnsi="宋体" w:eastAsia="宋体" w:cs="宋体"/>
                <w:sz w:val="21"/>
                <w:szCs w:val="21"/>
              </w:rPr>
              <w:t>主板</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w:t>
            </w:r>
            <w:r>
              <w:rPr>
                <w:rFonts w:hint="eastAsia" w:ascii="宋体" w:hAnsi="宋体" w:eastAsia="宋体" w:cs="宋体"/>
                <w:sz w:val="21"/>
                <w:szCs w:val="21"/>
              </w:rPr>
              <w:t>Intel H470及以上芯片组</w:t>
            </w:r>
            <w:r>
              <w:rPr>
                <w:rFonts w:hint="eastAsia" w:ascii="宋体" w:hAnsi="宋体" w:eastAsia="宋体" w:cs="宋体"/>
                <w:sz w:val="21"/>
                <w:szCs w:val="21"/>
                <w:lang w:eastAsia="zh-CN"/>
              </w:rPr>
              <w:t>；</w:t>
            </w:r>
          </w:p>
          <w:p>
            <w:pPr>
              <w:widowControl/>
              <w:jc w:val="both"/>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rPr>
              <w:t>内存</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w:t>
            </w:r>
            <w:r>
              <w:rPr>
                <w:rFonts w:hint="eastAsia" w:ascii="宋体" w:hAnsi="宋体" w:eastAsia="宋体" w:cs="宋体"/>
                <w:sz w:val="21"/>
                <w:szCs w:val="21"/>
              </w:rPr>
              <w:t>8G DDR4 2400MHz 内存，提供</w:t>
            </w:r>
            <w:r>
              <w:rPr>
                <w:rFonts w:hint="eastAsia" w:ascii="宋体" w:hAnsi="宋体" w:eastAsia="宋体" w:cs="宋体"/>
                <w:sz w:val="21"/>
                <w:szCs w:val="21"/>
                <w:vertAlign w:val="baseline"/>
                <w:lang w:val="en-US" w:eastAsia="zh-CN"/>
              </w:rPr>
              <w:t>≥</w:t>
            </w:r>
            <w:r>
              <w:rPr>
                <w:rFonts w:hint="eastAsia" w:ascii="宋体" w:hAnsi="宋体" w:eastAsia="宋体" w:cs="宋体"/>
                <w:sz w:val="21"/>
                <w:szCs w:val="21"/>
              </w:rPr>
              <w:t>4个内存槽位</w:t>
            </w:r>
            <w:r>
              <w:rPr>
                <w:rFonts w:hint="eastAsia" w:ascii="宋体" w:hAnsi="宋体" w:eastAsia="宋体" w:cs="宋体"/>
                <w:sz w:val="21"/>
                <w:szCs w:val="21"/>
                <w:lang w:eastAsia="zh-CN"/>
              </w:rPr>
              <w:t>；</w:t>
            </w:r>
          </w:p>
          <w:p>
            <w:pPr>
              <w:widowControl/>
              <w:jc w:val="both"/>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rPr>
              <w:t>显卡</w:t>
            </w:r>
            <w:r>
              <w:rPr>
                <w:rFonts w:hint="eastAsia" w:ascii="宋体" w:hAnsi="宋体" w:eastAsia="宋体" w:cs="宋体"/>
                <w:sz w:val="21"/>
                <w:szCs w:val="21"/>
                <w:lang w:eastAsia="zh-CN"/>
              </w:rPr>
              <w:t>：</w:t>
            </w:r>
            <w:r>
              <w:rPr>
                <w:rFonts w:hint="eastAsia" w:ascii="宋体" w:hAnsi="宋体" w:eastAsia="宋体" w:cs="宋体"/>
                <w:sz w:val="21"/>
                <w:szCs w:val="21"/>
              </w:rPr>
              <w:t>集成显卡</w:t>
            </w:r>
            <w:r>
              <w:rPr>
                <w:rFonts w:hint="eastAsia" w:ascii="宋体" w:hAnsi="宋体" w:eastAsia="宋体" w:cs="宋体"/>
                <w:sz w:val="21"/>
                <w:szCs w:val="21"/>
                <w:lang w:eastAsia="zh-CN"/>
              </w:rPr>
              <w:t>；</w:t>
            </w:r>
          </w:p>
          <w:p>
            <w:pPr>
              <w:widowControl/>
              <w:jc w:val="both"/>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r>
              <w:rPr>
                <w:rFonts w:hint="eastAsia" w:ascii="宋体" w:hAnsi="宋体" w:eastAsia="宋体" w:cs="宋体"/>
                <w:sz w:val="21"/>
                <w:szCs w:val="21"/>
              </w:rPr>
              <w:t>声卡</w:t>
            </w:r>
            <w:r>
              <w:rPr>
                <w:rFonts w:hint="eastAsia" w:ascii="宋体" w:hAnsi="宋体" w:eastAsia="宋体" w:cs="宋体"/>
                <w:sz w:val="21"/>
                <w:szCs w:val="21"/>
                <w:lang w:eastAsia="zh-CN"/>
              </w:rPr>
              <w:t>：</w:t>
            </w:r>
            <w:r>
              <w:rPr>
                <w:rFonts w:hint="eastAsia" w:ascii="宋体" w:hAnsi="宋体" w:eastAsia="宋体" w:cs="宋体"/>
                <w:sz w:val="21"/>
                <w:szCs w:val="21"/>
              </w:rPr>
              <w:t>集成声卡，配置5.1声道(提供前2后3共5个音频接口，其中前置包含1个2合1接口)</w:t>
            </w:r>
            <w:r>
              <w:rPr>
                <w:rFonts w:hint="eastAsia" w:ascii="宋体" w:hAnsi="宋体" w:eastAsia="宋体" w:cs="宋体"/>
                <w:sz w:val="21"/>
                <w:szCs w:val="21"/>
                <w:lang w:eastAsia="zh-CN"/>
              </w:rPr>
              <w:t>；</w:t>
            </w:r>
          </w:p>
          <w:p>
            <w:pPr>
              <w:widowControl/>
              <w:jc w:val="both"/>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硬盘</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w:t>
            </w:r>
            <w:r>
              <w:rPr>
                <w:rFonts w:hint="eastAsia" w:ascii="宋体" w:hAnsi="宋体" w:eastAsia="宋体" w:cs="宋体"/>
                <w:sz w:val="21"/>
                <w:szCs w:val="21"/>
              </w:rPr>
              <w:t>1TB SATA3 7200rpm 硬盘；</w:t>
            </w:r>
          </w:p>
          <w:p>
            <w:pPr>
              <w:widowControl/>
              <w:jc w:val="both"/>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网卡</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w:t>
            </w:r>
            <w:r>
              <w:rPr>
                <w:rFonts w:hint="eastAsia" w:ascii="宋体" w:hAnsi="宋体" w:eastAsia="宋体" w:cs="宋体"/>
                <w:sz w:val="21"/>
                <w:szCs w:val="21"/>
              </w:rPr>
              <w:t>集成10/100/1000M以太网卡；</w:t>
            </w:r>
          </w:p>
          <w:p>
            <w:pPr>
              <w:widowControl/>
              <w:jc w:val="both"/>
              <w:rPr>
                <w:rFonts w:hint="eastAsia" w:ascii="宋体" w:hAnsi="宋体" w:eastAsia="宋体" w:cs="宋体"/>
                <w:sz w:val="21"/>
                <w:szCs w:val="21"/>
                <w:lang w:eastAsia="zh-CN"/>
              </w:rPr>
            </w:pPr>
            <w:r>
              <w:rPr>
                <w:rFonts w:hint="eastAsia" w:ascii="宋体" w:hAnsi="宋体" w:eastAsia="宋体" w:cs="宋体"/>
                <w:sz w:val="21"/>
                <w:szCs w:val="21"/>
                <w:lang w:val="en-US" w:eastAsia="zh-CN"/>
              </w:rPr>
              <w:t>8.</w:t>
            </w:r>
            <w:r>
              <w:rPr>
                <w:rFonts w:hint="eastAsia" w:ascii="宋体" w:hAnsi="宋体" w:eastAsia="宋体" w:cs="宋体"/>
                <w:sz w:val="21"/>
                <w:szCs w:val="21"/>
              </w:rPr>
              <w:t>扩展槽</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w:t>
            </w:r>
            <w:r>
              <w:rPr>
                <w:rFonts w:hint="eastAsia" w:ascii="宋体" w:hAnsi="宋体" w:eastAsia="宋体" w:cs="宋体"/>
                <w:sz w:val="21"/>
                <w:szCs w:val="21"/>
              </w:rPr>
              <w:t>1个PCI-E*16、2个PCI-E*1槽位</w:t>
            </w:r>
            <w:r>
              <w:rPr>
                <w:rFonts w:hint="eastAsia" w:ascii="宋体" w:hAnsi="宋体" w:eastAsia="宋体" w:cs="宋体"/>
                <w:sz w:val="21"/>
                <w:szCs w:val="21"/>
                <w:lang w:eastAsia="zh-CN"/>
              </w:rPr>
              <w:t>；</w:t>
            </w:r>
          </w:p>
          <w:p>
            <w:pPr>
              <w:widowControl/>
              <w:jc w:val="both"/>
              <w:rPr>
                <w:rFonts w:hint="eastAsia" w:ascii="宋体" w:hAnsi="宋体" w:eastAsia="宋体" w:cs="宋体"/>
                <w:sz w:val="21"/>
                <w:szCs w:val="21"/>
              </w:rPr>
            </w:pPr>
            <w:r>
              <w:rPr>
                <w:rFonts w:hint="eastAsia" w:ascii="宋体" w:hAnsi="宋体" w:eastAsia="宋体" w:cs="宋体"/>
                <w:sz w:val="21"/>
                <w:szCs w:val="21"/>
                <w:lang w:val="en-US" w:eastAsia="zh-CN"/>
              </w:rPr>
              <w:t>9.</w:t>
            </w:r>
            <w:r>
              <w:rPr>
                <w:rFonts w:hint="eastAsia" w:ascii="宋体" w:hAnsi="宋体" w:eastAsia="宋体" w:cs="宋体"/>
                <w:sz w:val="21"/>
                <w:szCs w:val="21"/>
              </w:rPr>
              <w:t>键盘、鼠标</w:t>
            </w:r>
            <w:r>
              <w:rPr>
                <w:rFonts w:hint="eastAsia" w:ascii="宋体" w:hAnsi="宋体" w:eastAsia="宋体" w:cs="宋体"/>
                <w:sz w:val="21"/>
                <w:szCs w:val="21"/>
                <w:lang w:eastAsia="zh-CN"/>
              </w:rPr>
              <w:t>：</w:t>
            </w:r>
            <w:r>
              <w:rPr>
                <w:rFonts w:hint="eastAsia" w:ascii="宋体" w:hAnsi="宋体" w:eastAsia="宋体" w:cs="宋体"/>
                <w:sz w:val="21"/>
                <w:szCs w:val="21"/>
              </w:rPr>
              <w:t>原厂防水键盘、抗菌鼠标；</w:t>
            </w:r>
          </w:p>
          <w:p>
            <w:pPr>
              <w:widowControl/>
              <w:jc w:val="both"/>
              <w:rPr>
                <w:rFonts w:hint="eastAsia" w:ascii="宋体" w:hAnsi="宋体" w:eastAsia="宋体" w:cs="宋体"/>
                <w:sz w:val="21"/>
                <w:szCs w:val="21"/>
              </w:rPr>
            </w:pPr>
            <w:r>
              <w:rPr>
                <w:rFonts w:hint="eastAsia" w:ascii="宋体" w:hAnsi="宋体" w:eastAsia="宋体" w:cs="宋体"/>
                <w:sz w:val="21"/>
                <w:szCs w:val="21"/>
              </w:rPr>
              <w:t>接口</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≥8</w:t>
            </w:r>
            <w:r>
              <w:rPr>
                <w:rFonts w:hint="eastAsia" w:ascii="宋体" w:hAnsi="宋体" w:eastAsia="宋体" w:cs="宋体"/>
                <w:sz w:val="21"/>
                <w:szCs w:val="21"/>
              </w:rPr>
              <w:t>个USB</w:t>
            </w:r>
            <w:r>
              <w:rPr>
                <w:rFonts w:hint="eastAsia" w:ascii="宋体" w:hAnsi="宋体" w:eastAsia="宋体" w:cs="宋体"/>
                <w:sz w:val="21"/>
                <w:szCs w:val="21"/>
                <w:lang w:val="en-US" w:eastAsia="zh-CN"/>
              </w:rPr>
              <w:t>3.2</w:t>
            </w:r>
            <w:r>
              <w:rPr>
                <w:rFonts w:hint="eastAsia" w:ascii="宋体" w:hAnsi="宋体" w:eastAsia="宋体" w:cs="宋体"/>
                <w:sz w:val="21"/>
                <w:szCs w:val="21"/>
              </w:rPr>
              <w:t>接口、1组PS/2接口、1个串口、VGA+HDMI+DP接口（VGA非转接）； </w:t>
            </w:r>
          </w:p>
          <w:p>
            <w:pPr>
              <w:widowControl/>
              <w:jc w:val="both"/>
              <w:rPr>
                <w:rFonts w:hint="eastAsia" w:ascii="宋体" w:hAnsi="宋体" w:eastAsia="宋体" w:cs="宋体"/>
                <w:sz w:val="21"/>
                <w:szCs w:val="21"/>
              </w:rPr>
            </w:pPr>
            <w:r>
              <w:rPr>
                <w:rFonts w:hint="eastAsia" w:ascii="宋体" w:hAnsi="宋体" w:eastAsia="宋体" w:cs="宋体"/>
                <w:sz w:val="21"/>
                <w:szCs w:val="21"/>
                <w:lang w:val="en-US" w:eastAsia="zh-CN"/>
              </w:rPr>
              <w:t>10.</w:t>
            </w:r>
            <w:r>
              <w:rPr>
                <w:rFonts w:hint="eastAsia" w:ascii="宋体" w:hAnsi="宋体" w:eastAsia="宋体" w:cs="宋体"/>
                <w:sz w:val="21"/>
                <w:szCs w:val="21"/>
              </w:rPr>
              <w:t>电源</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110/220V 180W 节能电源 </w:t>
            </w:r>
            <w:r>
              <w:rPr>
                <w:rFonts w:hint="eastAsia" w:ascii="宋体" w:hAnsi="宋体" w:eastAsia="宋体" w:cs="宋体"/>
                <w:sz w:val="21"/>
                <w:szCs w:val="21"/>
                <w:lang w:eastAsia="zh-CN"/>
              </w:rPr>
              <w:t>；</w:t>
            </w:r>
            <w:r>
              <w:rPr>
                <w:rFonts w:hint="eastAsia" w:ascii="宋体" w:hAnsi="宋体" w:eastAsia="宋体" w:cs="宋体"/>
                <w:sz w:val="21"/>
                <w:szCs w:val="21"/>
              </w:rPr>
              <w:t> </w:t>
            </w:r>
          </w:p>
          <w:p>
            <w:pPr>
              <w:widowControl/>
              <w:jc w:val="both"/>
              <w:rPr>
                <w:rFonts w:hint="eastAsia" w:ascii="宋体" w:hAnsi="宋体" w:eastAsia="宋体" w:cs="宋体"/>
                <w:sz w:val="21"/>
                <w:szCs w:val="21"/>
                <w:lang w:eastAsia="zh-CN"/>
              </w:rPr>
            </w:pPr>
            <w:r>
              <w:rPr>
                <w:rFonts w:hint="eastAsia" w:ascii="宋体" w:hAnsi="宋体" w:eastAsia="宋体" w:cs="宋体"/>
                <w:sz w:val="21"/>
                <w:szCs w:val="21"/>
                <w:lang w:val="en-US" w:eastAsia="zh-CN"/>
              </w:rPr>
              <w:t>11.</w:t>
            </w:r>
            <w:r>
              <w:rPr>
                <w:rFonts w:hint="eastAsia" w:ascii="宋体" w:hAnsi="宋体" w:eastAsia="宋体" w:cs="宋体"/>
                <w:sz w:val="21"/>
                <w:szCs w:val="21"/>
              </w:rPr>
              <w:t>操作系统</w:t>
            </w:r>
            <w:r>
              <w:rPr>
                <w:rFonts w:hint="eastAsia" w:ascii="宋体" w:hAnsi="宋体" w:eastAsia="宋体" w:cs="宋体"/>
                <w:sz w:val="21"/>
                <w:szCs w:val="21"/>
                <w:lang w:eastAsia="zh-CN"/>
              </w:rPr>
              <w:t>：</w:t>
            </w:r>
            <w:r>
              <w:rPr>
                <w:rFonts w:hint="eastAsia" w:ascii="宋体" w:hAnsi="宋体" w:eastAsia="宋体" w:cs="宋体"/>
                <w:sz w:val="21"/>
                <w:szCs w:val="21"/>
              </w:rPr>
              <w:t xml:space="preserve">预装Windows </w:t>
            </w:r>
            <w:r>
              <w:rPr>
                <w:rFonts w:hint="eastAsia" w:ascii="宋体" w:hAnsi="宋体" w:eastAsia="宋体" w:cs="宋体"/>
                <w:sz w:val="21"/>
                <w:szCs w:val="21"/>
                <w:lang w:val="en-US" w:eastAsia="zh-CN"/>
              </w:rPr>
              <w:t>7</w:t>
            </w:r>
            <w:r>
              <w:rPr>
                <w:rFonts w:hint="eastAsia" w:ascii="宋体" w:hAnsi="宋体" w:eastAsia="宋体" w:cs="宋体"/>
                <w:sz w:val="21"/>
                <w:szCs w:val="21"/>
              </w:rPr>
              <w:t xml:space="preserve">操作系统 </w:t>
            </w:r>
            <w:r>
              <w:rPr>
                <w:rFonts w:hint="eastAsia" w:ascii="宋体" w:hAnsi="宋体" w:eastAsia="宋体" w:cs="宋体"/>
                <w:sz w:val="21"/>
                <w:szCs w:val="21"/>
                <w:lang w:eastAsia="zh-CN"/>
              </w:rPr>
              <w:t>；</w:t>
            </w:r>
          </w:p>
          <w:p>
            <w:pPr>
              <w:widowControl/>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12.显示器：≥21寸显示器；</w:t>
            </w:r>
          </w:p>
          <w:p>
            <w:pPr>
              <w:widowControl/>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13.机箱：≥16L；</w:t>
            </w:r>
          </w:p>
          <w:p>
            <w:pPr>
              <w:widowControl/>
              <w:jc w:val="both"/>
              <w:rPr>
                <w:rFonts w:hint="eastAsia" w:ascii="宋体" w:hAnsi="宋体" w:eastAsia="宋体" w:cs="宋体"/>
                <w:sz w:val="21"/>
                <w:szCs w:val="21"/>
              </w:rPr>
            </w:pPr>
            <w:r>
              <w:rPr>
                <w:rFonts w:hint="eastAsia" w:ascii="宋体" w:hAnsi="宋体" w:eastAsia="宋体" w:cs="宋体"/>
                <w:sz w:val="22"/>
                <w:szCs w:val="22"/>
              </w:rPr>
              <w:t>▲</w:t>
            </w:r>
            <w:r>
              <w:rPr>
                <w:rFonts w:hint="eastAsia" w:ascii="宋体" w:hAnsi="宋体" w:eastAsia="宋体" w:cs="宋体"/>
                <w:sz w:val="21"/>
                <w:szCs w:val="21"/>
                <w:lang w:val="en-US" w:eastAsia="zh-CN"/>
              </w:rPr>
              <w:t>14.</w:t>
            </w:r>
            <w:r>
              <w:rPr>
                <w:rFonts w:hint="eastAsia" w:ascii="宋体" w:hAnsi="宋体" w:eastAsia="宋体" w:cs="宋体"/>
                <w:sz w:val="21"/>
                <w:szCs w:val="21"/>
              </w:rPr>
              <w:t>安全特性</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USB限制技术，仅识别USB键盘、鼠标，无法识别USB读取设备，有效防止数据泄露；</w:t>
            </w:r>
            <w:r>
              <w:rPr>
                <w:rFonts w:hint="eastAsia" w:ascii="宋体" w:hAnsi="宋体" w:eastAsia="宋体" w:cs="宋体"/>
                <w:sz w:val="21"/>
                <w:szCs w:val="21"/>
              </w:rPr>
              <w:t xml:space="preserve"> </w:t>
            </w:r>
          </w:p>
          <w:p>
            <w:pPr>
              <w:pStyle w:val="19"/>
              <w:rPr>
                <w:rFonts w:hint="eastAsia" w:ascii="宋体" w:hAnsi="宋体" w:eastAsia="宋体" w:cs="宋体"/>
                <w:sz w:val="21"/>
                <w:szCs w:val="21"/>
                <w:lang w:val="en-US"/>
              </w:rPr>
            </w:pPr>
            <w:r>
              <w:rPr>
                <w:rFonts w:hint="eastAsia" w:ascii="宋体" w:hAnsi="宋体" w:eastAsia="宋体" w:cs="宋体"/>
                <w:kern w:val="2"/>
                <w:sz w:val="21"/>
                <w:szCs w:val="21"/>
                <w:lang w:val="en-US" w:eastAsia="zh-CN" w:bidi="ar-SA"/>
              </w:rPr>
              <w:t>15.服务：原厂提供三年上门服务。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6" w:type="dxa"/>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2679" w:type="dxa"/>
          </w:tcPr>
          <w:p>
            <w:pPr>
              <w:jc w:val="center"/>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rPr>
              <w:t>笔记本电脑</w:t>
            </w:r>
          </w:p>
        </w:tc>
        <w:tc>
          <w:tcPr>
            <w:tcW w:w="1224" w:type="dxa"/>
          </w:tcPr>
          <w:p>
            <w:pPr>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30台</w:t>
            </w:r>
          </w:p>
        </w:tc>
        <w:tc>
          <w:tcPr>
            <w:tcW w:w="4519" w:type="dxa"/>
          </w:tcPr>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w:t>
            </w:r>
            <w:r>
              <w:rPr>
                <w:rFonts w:hint="eastAsia" w:ascii="宋体" w:hAnsi="宋体" w:eastAsia="宋体" w:cs="宋体"/>
                <w:sz w:val="21"/>
                <w:szCs w:val="21"/>
                <w:vertAlign w:val="baseline"/>
              </w:rPr>
              <w:t>处理器</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国产处理器，主频≥2.2GHz，核数≥4核</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2.</w:t>
            </w:r>
            <w:r>
              <w:rPr>
                <w:rFonts w:hint="eastAsia" w:ascii="宋体" w:hAnsi="宋体" w:eastAsia="宋体" w:cs="宋体"/>
                <w:sz w:val="21"/>
                <w:szCs w:val="21"/>
                <w:vertAlign w:val="baseline"/>
              </w:rPr>
              <w:t>内存</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≥8GB DDR4，内存插槽≥2个，最高可支持内存≥16G DDR4</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lang w:val="en-US" w:eastAsia="zh-CN"/>
              </w:rPr>
              <w:t>3、</w:t>
            </w:r>
            <w:r>
              <w:rPr>
                <w:rFonts w:hint="eastAsia" w:ascii="宋体" w:hAnsi="宋体" w:eastAsia="宋体" w:cs="宋体"/>
                <w:sz w:val="21"/>
                <w:szCs w:val="21"/>
                <w:vertAlign w:val="baseline"/>
              </w:rPr>
              <w:t>硬盘</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配置≥256GB M.2 NVMe硬盘</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4.</w:t>
            </w:r>
            <w:r>
              <w:rPr>
                <w:rFonts w:hint="eastAsia" w:ascii="宋体" w:hAnsi="宋体" w:eastAsia="宋体" w:cs="宋体"/>
                <w:sz w:val="21"/>
                <w:szCs w:val="21"/>
                <w:vertAlign w:val="baseline"/>
              </w:rPr>
              <w:t>接口</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USB3.0接口≥3个，USB-C接口≥2个，标准RJ45网口≥1个，HDMI接口≥1个</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rPr>
            </w:pPr>
            <w:r>
              <w:rPr>
                <w:rFonts w:hint="eastAsia" w:ascii="宋体" w:hAnsi="宋体" w:eastAsia="宋体" w:cs="宋体"/>
                <w:sz w:val="21"/>
                <w:szCs w:val="21"/>
                <w:vertAlign w:val="baseline"/>
              </w:rPr>
              <w:t>▲</w:t>
            </w:r>
            <w:r>
              <w:rPr>
                <w:rFonts w:hint="eastAsia" w:ascii="宋体" w:hAnsi="宋体" w:eastAsia="宋体" w:cs="宋体"/>
                <w:sz w:val="21"/>
                <w:szCs w:val="21"/>
                <w:vertAlign w:val="baseline"/>
                <w:lang w:val="en-US" w:eastAsia="zh-CN"/>
              </w:rPr>
              <w:t>5.</w:t>
            </w:r>
            <w:r>
              <w:rPr>
                <w:rFonts w:hint="eastAsia" w:ascii="宋体" w:hAnsi="宋体" w:eastAsia="宋体" w:cs="宋体"/>
                <w:sz w:val="21"/>
                <w:szCs w:val="21"/>
                <w:vertAlign w:val="baseline"/>
              </w:rPr>
              <w:t>摄像头</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720P分辨率，具备物理滑盖，可物理遮挡保护隐私。</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6.</w:t>
            </w:r>
            <w:r>
              <w:rPr>
                <w:rFonts w:hint="eastAsia" w:ascii="宋体" w:hAnsi="宋体" w:eastAsia="宋体" w:cs="宋体"/>
                <w:sz w:val="21"/>
                <w:szCs w:val="21"/>
                <w:vertAlign w:val="baseline"/>
              </w:rPr>
              <w:t>屏幕</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≥14英寸</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lang w:val="en-US" w:eastAsia="zh-CN"/>
              </w:rPr>
              <w:t>≥</w:t>
            </w:r>
            <w:r>
              <w:rPr>
                <w:rFonts w:hint="eastAsia" w:ascii="宋体" w:hAnsi="宋体" w:eastAsia="宋体" w:cs="宋体"/>
                <w:sz w:val="21"/>
                <w:szCs w:val="21"/>
                <w:vertAlign w:val="baseline"/>
              </w:rPr>
              <w:t>1920*1080分辨率屏幕</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7.</w:t>
            </w:r>
            <w:r>
              <w:rPr>
                <w:rFonts w:hint="eastAsia" w:ascii="宋体" w:hAnsi="宋体" w:eastAsia="宋体" w:cs="宋体"/>
                <w:sz w:val="21"/>
                <w:szCs w:val="21"/>
                <w:vertAlign w:val="baseline"/>
              </w:rPr>
              <w:t>电源</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电池容量≥64WH，适配器功率≥65W，适配器输出接口形态Type-C</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8.</w:t>
            </w:r>
            <w:r>
              <w:rPr>
                <w:rFonts w:hint="eastAsia" w:ascii="宋体" w:hAnsi="宋体" w:eastAsia="宋体" w:cs="宋体"/>
                <w:sz w:val="21"/>
                <w:szCs w:val="21"/>
                <w:vertAlign w:val="baseline"/>
              </w:rPr>
              <w:t>外观</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机身厚度≤17mm，机器重量≤1.52kg</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9.</w:t>
            </w:r>
            <w:r>
              <w:rPr>
                <w:rFonts w:hint="eastAsia" w:ascii="宋体" w:hAnsi="宋体" w:eastAsia="宋体" w:cs="宋体"/>
                <w:sz w:val="21"/>
                <w:szCs w:val="21"/>
                <w:vertAlign w:val="baseline"/>
              </w:rPr>
              <w:t>可靠性</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主机MTBF 平均无故障时间≥150000小时，需提供</w:t>
            </w:r>
            <w:r>
              <w:rPr>
                <w:rFonts w:hint="eastAsia" w:ascii="宋体" w:hAnsi="宋体" w:eastAsia="宋体" w:cs="宋体"/>
                <w:sz w:val="21"/>
                <w:szCs w:val="21"/>
                <w:vertAlign w:val="baseline"/>
                <w:lang w:val="en-US" w:eastAsia="zh-CN"/>
              </w:rPr>
              <w:t>国家授权的第三方检测机构出具的检测报告</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10.支持：兼容国产系统 UOS 麒麟 等</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11.软件</w:t>
            </w:r>
            <w:r>
              <w:rPr>
                <w:rFonts w:hint="eastAsia" w:ascii="宋体" w:hAnsi="宋体" w:eastAsia="宋体" w:cs="宋体"/>
                <w:sz w:val="21"/>
                <w:szCs w:val="21"/>
                <w:vertAlign w:val="baseline"/>
              </w:rPr>
              <w:t>应用适配性：支持兼容Windows应用及业务系统，实现在国产操作系统中运行Windows应用及业务系统，包括：Adobe Photoshop等</w:t>
            </w:r>
            <w:r>
              <w:rPr>
                <w:rFonts w:hint="eastAsia" w:ascii="宋体" w:hAnsi="宋体" w:eastAsia="宋体" w:cs="宋体"/>
                <w:sz w:val="21"/>
                <w:szCs w:val="21"/>
                <w:vertAlign w:val="baseline"/>
                <w:lang w:eastAsia="zh-CN"/>
              </w:rPr>
              <w:t>；</w:t>
            </w:r>
          </w:p>
          <w:p>
            <w:pPr>
              <w:rPr>
                <w:rFonts w:hint="eastAsia"/>
                <w:lang w:eastAsia="zh-CN"/>
              </w:rPr>
            </w:pPr>
            <w:r>
              <w:rPr>
                <w:rFonts w:hint="eastAsia" w:ascii="宋体" w:hAnsi="宋体" w:eastAsia="宋体" w:cs="宋体"/>
                <w:sz w:val="21"/>
                <w:szCs w:val="21"/>
                <w:vertAlign w:val="baseline"/>
              </w:rPr>
              <w:t>▲</w:t>
            </w:r>
            <w:r>
              <w:rPr>
                <w:rFonts w:hint="eastAsia" w:ascii="宋体" w:hAnsi="宋体" w:eastAsia="宋体" w:cs="宋体"/>
                <w:sz w:val="21"/>
                <w:szCs w:val="21"/>
                <w:vertAlign w:val="baseline"/>
                <w:lang w:val="en-US" w:eastAsia="zh-CN"/>
              </w:rPr>
              <w:t>12.</w:t>
            </w:r>
            <w:r>
              <w:rPr>
                <w:rFonts w:hint="eastAsia" w:ascii="宋体" w:hAnsi="宋体" w:eastAsia="宋体" w:cs="宋体"/>
                <w:sz w:val="21"/>
                <w:szCs w:val="21"/>
                <w:vertAlign w:val="baseline"/>
              </w:rPr>
              <w:t>外设适配性：支持兼容外设，包括数字签名证书Ukey、打印机、扫描仪、加密狗、U盾等，需提供视频</w:t>
            </w:r>
            <w:r>
              <w:rPr>
                <w:rFonts w:hint="eastAsia" w:ascii="宋体" w:hAnsi="宋体" w:eastAsia="宋体" w:cs="宋体"/>
                <w:sz w:val="21"/>
                <w:szCs w:val="21"/>
                <w:vertAlign w:val="baseline"/>
                <w:lang w:eastAsia="zh-CN"/>
              </w:rPr>
              <w:t>截图</w:t>
            </w:r>
            <w:r>
              <w:rPr>
                <w:rFonts w:hint="eastAsia" w:ascii="宋体" w:hAnsi="宋体" w:eastAsia="宋体" w:cs="宋体"/>
                <w:sz w:val="21"/>
                <w:szCs w:val="21"/>
                <w:vertAlign w:val="baseline"/>
              </w:rPr>
              <w:t>证明</w:t>
            </w:r>
            <w:r>
              <w:rPr>
                <w:rFonts w:hint="eastAsia" w:ascii="宋体" w:hAnsi="宋体" w:eastAsia="宋体" w:cs="宋体"/>
                <w:sz w:val="21"/>
                <w:szCs w:val="21"/>
                <w:vertAlign w:val="baseline"/>
                <w:lang w:eastAsia="zh-CN"/>
              </w:rPr>
              <w:t>。</w:t>
            </w:r>
          </w:p>
          <w:p>
            <w:pPr>
              <w:pStyle w:val="2"/>
              <w:rPr>
                <w:rFonts w:hint="eastAsia"/>
                <w:lang w:eastAsia="zh-CN"/>
              </w:rPr>
            </w:pPr>
            <w:r>
              <w:rPr>
                <w:rFonts w:hint="eastAsia"/>
                <w:lang w:eastAsia="zh-CN"/>
              </w:rPr>
              <w:t>▲提供软件国家级信息安全评测证书加盖公章。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6" w:type="dxa"/>
            <w:vAlign w:val="top"/>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2679" w:type="dxa"/>
            <w:vAlign w:val="top"/>
          </w:tcPr>
          <w:p>
            <w:pPr>
              <w:jc w:val="center"/>
              <w:rPr>
                <w:rFonts w:hint="eastAsia" w:ascii="宋体" w:hAnsi="宋体" w:eastAsia="宋体" w:cs="宋体"/>
                <w:sz w:val="21"/>
                <w:szCs w:val="21"/>
                <w:highlight w:val="none"/>
              </w:rPr>
            </w:pPr>
            <w:r>
              <w:rPr>
                <w:rFonts w:hint="eastAsia" w:ascii="宋体" w:hAnsi="宋体" w:eastAsia="宋体" w:cs="宋体"/>
                <w:sz w:val="21"/>
                <w:szCs w:val="21"/>
              </w:rPr>
              <w:t>黑白打印机</w:t>
            </w:r>
          </w:p>
        </w:tc>
        <w:tc>
          <w:tcPr>
            <w:tcW w:w="1224" w:type="dxa"/>
            <w:vAlign w:val="top"/>
          </w:tcPr>
          <w:p>
            <w:pPr>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vertAlign w:val="baseline"/>
                <w:lang w:val="en-US" w:eastAsia="zh-CN"/>
              </w:rPr>
              <w:t>60台</w:t>
            </w:r>
          </w:p>
        </w:tc>
        <w:tc>
          <w:tcPr>
            <w:tcW w:w="4519" w:type="dxa"/>
            <w:vAlign w:val="top"/>
          </w:tcPr>
          <w:p>
            <w:pPr>
              <w:rPr>
                <w:rFonts w:hint="eastAsia" w:ascii="宋体" w:hAnsi="宋体" w:eastAsia="宋体" w:cs="宋体"/>
                <w:sz w:val="21"/>
                <w:szCs w:val="21"/>
              </w:rPr>
            </w:pPr>
            <w:r>
              <w:rPr>
                <w:rFonts w:hint="eastAsia" w:ascii="宋体" w:hAnsi="宋体" w:eastAsia="宋体" w:cs="宋体"/>
                <w:sz w:val="21"/>
                <w:szCs w:val="21"/>
              </w:rPr>
              <w:t>1. 打印幅面：A4；</w:t>
            </w:r>
          </w:p>
          <w:p>
            <w:pPr>
              <w:rPr>
                <w:rFonts w:hint="eastAsia" w:ascii="宋体" w:hAnsi="宋体" w:eastAsia="宋体" w:cs="宋体"/>
                <w:sz w:val="21"/>
                <w:szCs w:val="21"/>
              </w:rPr>
            </w:pPr>
            <w:r>
              <w:rPr>
                <w:rFonts w:hint="eastAsia" w:ascii="宋体" w:hAnsi="宋体" w:eastAsia="宋体" w:cs="宋体"/>
                <w:sz w:val="21"/>
                <w:szCs w:val="21"/>
              </w:rPr>
              <w:t xml:space="preserve">2. </w:t>
            </w:r>
            <w:r>
              <w:rPr>
                <w:rFonts w:hint="eastAsia" w:ascii="宋体" w:hAnsi="宋体" w:eastAsia="宋体" w:cs="宋体"/>
                <w:color w:val="000000"/>
                <w:kern w:val="0"/>
                <w:sz w:val="21"/>
                <w:szCs w:val="21"/>
                <w:lang w:val="en-US" w:eastAsia="zh-CN"/>
              </w:rPr>
              <w:t>打印速度：</w:t>
            </w:r>
            <w:r>
              <w:rPr>
                <w:rFonts w:hint="eastAsia" w:ascii="宋体" w:hAnsi="宋体" w:eastAsia="宋体" w:cs="宋体"/>
                <w:sz w:val="21"/>
                <w:szCs w:val="21"/>
                <w:highlight w:val="none"/>
                <w:vertAlign w:val="baseline"/>
              </w:rPr>
              <w:t>≥</w:t>
            </w:r>
            <w:r>
              <w:rPr>
                <w:rFonts w:hint="eastAsia" w:ascii="宋体" w:hAnsi="宋体" w:eastAsia="宋体" w:cs="宋体"/>
                <w:color w:val="000000"/>
                <w:kern w:val="0"/>
                <w:sz w:val="21"/>
                <w:szCs w:val="21"/>
                <w:lang w:val="en-US" w:eastAsia="zh-CN"/>
              </w:rPr>
              <w:t>30页/分钟</w:t>
            </w:r>
            <w:r>
              <w:rPr>
                <w:rFonts w:hint="eastAsia" w:ascii="宋体" w:hAnsi="宋体" w:eastAsia="宋体" w:cs="宋体"/>
                <w:sz w:val="21"/>
                <w:szCs w:val="21"/>
              </w:rPr>
              <w:t>；</w:t>
            </w:r>
          </w:p>
          <w:p>
            <w:pPr>
              <w:rPr>
                <w:rFonts w:hint="eastAsia" w:ascii="宋体" w:hAnsi="宋体" w:eastAsia="宋体" w:cs="宋体"/>
                <w:sz w:val="21"/>
                <w:szCs w:val="21"/>
              </w:rPr>
            </w:pPr>
            <w:r>
              <w:rPr>
                <w:rFonts w:hint="eastAsia" w:ascii="宋体" w:hAnsi="宋体" w:eastAsia="宋体" w:cs="宋体"/>
                <w:sz w:val="21"/>
                <w:szCs w:val="21"/>
              </w:rPr>
              <w:t>3. 打印分辨率：</w:t>
            </w:r>
            <w:r>
              <w:rPr>
                <w:rFonts w:hint="eastAsia" w:ascii="宋体" w:hAnsi="宋体" w:eastAsia="宋体" w:cs="宋体"/>
                <w:sz w:val="21"/>
                <w:szCs w:val="21"/>
                <w:highlight w:val="none"/>
                <w:vertAlign w:val="baseline"/>
              </w:rPr>
              <w:t>≥</w:t>
            </w:r>
            <w:r>
              <w:rPr>
                <w:rFonts w:hint="eastAsia" w:ascii="宋体" w:hAnsi="宋体" w:eastAsia="宋体" w:cs="宋体"/>
                <w:sz w:val="21"/>
                <w:szCs w:val="21"/>
              </w:rPr>
              <w:t>HQ1200、600x600dpi；</w:t>
            </w:r>
          </w:p>
          <w:p>
            <w:pPr>
              <w:rPr>
                <w:rFonts w:hint="eastAsia" w:ascii="宋体" w:hAnsi="宋体" w:eastAsia="宋体" w:cs="宋体"/>
                <w:sz w:val="21"/>
                <w:szCs w:val="21"/>
              </w:rPr>
            </w:pPr>
            <w:r>
              <w:rPr>
                <w:rFonts w:hint="eastAsia" w:ascii="宋体" w:hAnsi="宋体" w:eastAsia="宋体" w:cs="宋体"/>
                <w:sz w:val="21"/>
                <w:szCs w:val="21"/>
              </w:rPr>
              <w:t>4. 打印语言：PCL6</w:t>
            </w:r>
          </w:p>
          <w:p>
            <w:pPr>
              <w:rPr>
                <w:rFonts w:hint="eastAsia" w:ascii="宋体" w:hAnsi="宋体" w:eastAsia="宋体" w:cs="宋体"/>
                <w:sz w:val="21"/>
                <w:szCs w:val="21"/>
              </w:rPr>
            </w:pPr>
            <w:r>
              <w:rPr>
                <w:rFonts w:hint="eastAsia" w:ascii="宋体" w:hAnsi="宋体" w:eastAsia="宋体" w:cs="宋体"/>
                <w:sz w:val="21"/>
                <w:szCs w:val="21"/>
              </w:rPr>
              <w:t>5. 首页输出时间：&lt;8.5秒；</w:t>
            </w:r>
          </w:p>
          <w:p>
            <w:pPr>
              <w:rPr>
                <w:rFonts w:hint="eastAsia" w:ascii="宋体" w:hAnsi="宋体" w:eastAsia="宋体" w:cs="宋体"/>
                <w:sz w:val="21"/>
                <w:szCs w:val="21"/>
              </w:rPr>
            </w:pPr>
            <w:r>
              <w:rPr>
                <w:rFonts w:hint="eastAsia" w:ascii="宋体" w:hAnsi="宋体" w:eastAsia="宋体" w:cs="宋体"/>
                <w:sz w:val="21"/>
                <w:szCs w:val="21"/>
              </w:rPr>
              <w:t>6. 处理器：</w:t>
            </w:r>
            <w:r>
              <w:rPr>
                <w:rFonts w:hint="eastAsia" w:ascii="宋体" w:hAnsi="宋体" w:eastAsia="宋体" w:cs="宋体"/>
                <w:sz w:val="21"/>
                <w:szCs w:val="21"/>
                <w:highlight w:val="none"/>
                <w:vertAlign w:val="baseline"/>
              </w:rPr>
              <w:t>≥</w:t>
            </w:r>
            <w:r>
              <w:rPr>
                <w:rFonts w:hint="eastAsia" w:ascii="宋体" w:hAnsi="宋体" w:eastAsia="宋体" w:cs="宋体"/>
                <w:sz w:val="21"/>
                <w:szCs w:val="21"/>
              </w:rPr>
              <w:t>266MHz；</w:t>
            </w:r>
          </w:p>
          <w:p>
            <w:pPr>
              <w:rPr>
                <w:rFonts w:hint="eastAsia" w:ascii="宋体" w:hAnsi="宋体" w:eastAsia="宋体" w:cs="宋体"/>
                <w:sz w:val="21"/>
                <w:szCs w:val="21"/>
              </w:rPr>
            </w:pPr>
            <w:r>
              <w:rPr>
                <w:rFonts w:hint="eastAsia" w:ascii="宋体" w:hAnsi="宋体" w:eastAsia="宋体" w:cs="宋体"/>
                <w:sz w:val="21"/>
                <w:szCs w:val="21"/>
              </w:rPr>
              <w:t>7. 标准（最大）内存：</w:t>
            </w:r>
            <w:r>
              <w:rPr>
                <w:rFonts w:hint="eastAsia" w:ascii="宋体" w:hAnsi="宋体" w:eastAsia="宋体" w:cs="宋体"/>
                <w:sz w:val="21"/>
                <w:szCs w:val="21"/>
                <w:highlight w:val="none"/>
                <w:vertAlign w:val="baseline"/>
              </w:rPr>
              <w:t>≥</w:t>
            </w:r>
            <w:r>
              <w:rPr>
                <w:rFonts w:hint="eastAsia" w:ascii="宋体" w:hAnsi="宋体" w:eastAsia="宋体" w:cs="宋体"/>
                <w:sz w:val="21"/>
                <w:szCs w:val="21"/>
              </w:rPr>
              <w:t>32MB；</w:t>
            </w:r>
          </w:p>
          <w:p>
            <w:pPr>
              <w:rPr>
                <w:rFonts w:hint="eastAsia" w:ascii="宋体" w:hAnsi="宋体" w:eastAsia="宋体" w:cs="宋体"/>
                <w:sz w:val="21"/>
                <w:szCs w:val="21"/>
              </w:rPr>
            </w:pPr>
            <w:r>
              <w:rPr>
                <w:rFonts w:hint="eastAsia" w:ascii="宋体" w:hAnsi="宋体" w:eastAsia="宋体" w:cs="宋体"/>
                <w:sz w:val="21"/>
                <w:szCs w:val="21"/>
              </w:rPr>
              <w:t>8. 接口类型：</w:t>
            </w:r>
            <w:r>
              <w:rPr>
                <w:rFonts w:hint="eastAsia" w:ascii="宋体" w:hAnsi="宋体" w:eastAsia="宋体" w:cs="宋体"/>
                <w:sz w:val="21"/>
                <w:szCs w:val="21"/>
                <w:highlight w:val="none"/>
                <w:vertAlign w:val="baseline"/>
              </w:rPr>
              <w:t>≥</w:t>
            </w:r>
            <w:r>
              <w:rPr>
                <w:rFonts w:hint="eastAsia" w:ascii="宋体" w:hAnsi="宋体" w:eastAsia="宋体" w:cs="宋体"/>
                <w:sz w:val="21"/>
                <w:szCs w:val="21"/>
              </w:rPr>
              <w:t>USB2.0, 10/100BASE-TX 以太网；</w:t>
            </w:r>
          </w:p>
          <w:p>
            <w:pPr>
              <w:rPr>
                <w:rFonts w:hint="eastAsia" w:ascii="宋体" w:hAnsi="宋体" w:eastAsia="宋体" w:cs="宋体"/>
                <w:sz w:val="21"/>
                <w:szCs w:val="21"/>
              </w:rPr>
            </w:pPr>
            <w:r>
              <w:rPr>
                <w:rFonts w:hint="eastAsia" w:ascii="宋体" w:hAnsi="宋体" w:eastAsia="宋体" w:cs="宋体"/>
                <w:sz w:val="21"/>
                <w:szCs w:val="21"/>
              </w:rPr>
              <w:t>9. 纸张输入容量-标准：</w:t>
            </w:r>
            <w:r>
              <w:rPr>
                <w:rFonts w:hint="eastAsia" w:ascii="宋体" w:hAnsi="宋体" w:eastAsia="宋体" w:cs="宋体"/>
                <w:sz w:val="21"/>
                <w:szCs w:val="21"/>
                <w:lang w:val="en-US" w:eastAsia="zh-CN"/>
              </w:rPr>
              <w:t>≥</w:t>
            </w:r>
            <w:r>
              <w:rPr>
                <w:rFonts w:hint="eastAsia" w:ascii="宋体" w:hAnsi="宋体" w:eastAsia="宋体" w:cs="宋体"/>
                <w:sz w:val="21"/>
                <w:szCs w:val="21"/>
              </w:rPr>
              <w:t>250页（纸盒）＋1页（手动）；</w:t>
            </w:r>
          </w:p>
          <w:p>
            <w:pPr>
              <w:rPr>
                <w:rFonts w:hint="eastAsia" w:ascii="宋体" w:hAnsi="宋体" w:eastAsia="宋体" w:cs="宋体"/>
                <w:sz w:val="21"/>
                <w:szCs w:val="21"/>
              </w:rPr>
            </w:pPr>
            <w:r>
              <w:rPr>
                <w:rFonts w:hint="eastAsia" w:ascii="宋体" w:hAnsi="宋体" w:eastAsia="宋体" w:cs="宋体"/>
                <w:sz w:val="21"/>
                <w:szCs w:val="21"/>
              </w:rPr>
              <w:t>10.纸张输出容量-标准：</w:t>
            </w:r>
            <w:r>
              <w:rPr>
                <w:rFonts w:hint="eastAsia" w:ascii="宋体" w:hAnsi="宋体" w:eastAsia="宋体" w:cs="宋体"/>
                <w:sz w:val="21"/>
                <w:szCs w:val="21"/>
                <w:lang w:val="en-US" w:eastAsia="zh-CN"/>
              </w:rPr>
              <w:t>≥</w:t>
            </w:r>
            <w:r>
              <w:rPr>
                <w:rFonts w:hint="eastAsia" w:ascii="宋体" w:hAnsi="宋体" w:eastAsia="宋体" w:cs="宋体"/>
                <w:sz w:val="21"/>
                <w:szCs w:val="21"/>
              </w:rPr>
              <w:t>100页+1；</w:t>
            </w:r>
          </w:p>
          <w:p>
            <w:pPr>
              <w:rPr>
                <w:rFonts w:hint="eastAsia" w:ascii="宋体" w:hAnsi="宋体" w:eastAsia="宋体" w:cs="宋体"/>
                <w:sz w:val="21"/>
                <w:szCs w:val="21"/>
              </w:rPr>
            </w:pPr>
            <w:r>
              <w:rPr>
                <w:rFonts w:hint="eastAsia" w:ascii="宋体" w:hAnsi="宋体" w:eastAsia="宋体" w:cs="宋体"/>
                <w:sz w:val="21"/>
                <w:szCs w:val="21"/>
              </w:rPr>
              <w:t>11.双面打印：标配双面打印单元；</w:t>
            </w:r>
          </w:p>
          <w:p>
            <w:pPr>
              <w:rPr>
                <w:rFonts w:hint="eastAsia" w:ascii="宋体" w:hAnsi="宋体" w:eastAsia="宋体" w:cs="宋体"/>
                <w:sz w:val="21"/>
                <w:szCs w:val="21"/>
              </w:rPr>
            </w:pPr>
            <w:r>
              <w:rPr>
                <w:rFonts w:hint="eastAsia" w:ascii="宋体" w:hAnsi="宋体" w:eastAsia="宋体" w:cs="宋体"/>
                <w:sz w:val="21"/>
                <w:szCs w:val="21"/>
              </w:rPr>
              <w:t>12.随机硒鼓寿命：</w:t>
            </w:r>
            <w:r>
              <w:rPr>
                <w:rFonts w:hint="eastAsia" w:ascii="宋体" w:hAnsi="宋体" w:eastAsia="宋体" w:cs="宋体"/>
                <w:sz w:val="21"/>
                <w:szCs w:val="21"/>
                <w:lang w:val="en-US" w:eastAsia="zh-CN"/>
              </w:rPr>
              <w:t>≥</w:t>
            </w:r>
            <w:r>
              <w:rPr>
                <w:rFonts w:hint="eastAsia" w:ascii="宋体" w:hAnsi="宋体" w:eastAsia="宋体" w:cs="宋体"/>
                <w:sz w:val="21"/>
                <w:szCs w:val="21"/>
              </w:rPr>
              <w:t>12000页；</w:t>
            </w:r>
          </w:p>
          <w:p>
            <w:pPr>
              <w:rPr>
                <w:rFonts w:hint="eastAsia" w:ascii="宋体" w:hAnsi="宋体" w:eastAsia="宋体" w:cs="宋体"/>
                <w:sz w:val="21"/>
                <w:szCs w:val="21"/>
              </w:rPr>
            </w:pPr>
            <w:r>
              <w:rPr>
                <w:rFonts w:hint="eastAsia" w:ascii="宋体" w:hAnsi="宋体" w:eastAsia="宋体" w:cs="宋体"/>
                <w:sz w:val="21"/>
                <w:szCs w:val="21"/>
              </w:rPr>
              <w:t>13.随机墨粉容量：</w:t>
            </w:r>
            <w:r>
              <w:rPr>
                <w:rFonts w:hint="eastAsia" w:ascii="宋体" w:hAnsi="宋体" w:eastAsia="宋体" w:cs="宋体"/>
                <w:sz w:val="21"/>
                <w:szCs w:val="21"/>
                <w:lang w:val="en-US" w:eastAsia="zh-CN"/>
              </w:rPr>
              <w:t>≥</w:t>
            </w:r>
            <w:r>
              <w:rPr>
                <w:rFonts w:hint="eastAsia" w:ascii="宋体" w:hAnsi="宋体" w:eastAsia="宋体" w:cs="宋体"/>
                <w:sz w:val="21"/>
                <w:szCs w:val="21"/>
              </w:rPr>
              <w:t>2600页；</w:t>
            </w:r>
          </w:p>
          <w:p>
            <w:pPr>
              <w:rPr>
                <w:rFonts w:hint="eastAsia" w:ascii="宋体" w:hAnsi="宋体" w:eastAsia="宋体" w:cs="宋体"/>
                <w:sz w:val="21"/>
                <w:szCs w:val="21"/>
                <w:lang w:val="en-US" w:eastAsia="zh-CN"/>
              </w:rPr>
            </w:pPr>
            <w:r>
              <w:rPr>
                <w:rFonts w:hint="eastAsia" w:ascii="宋体" w:hAnsi="宋体" w:eastAsia="宋体" w:cs="宋体"/>
                <w:sz w:val="21"/>
                <w:szCs w:val="21"/>
              </w:rPr>
              <w:t>特色功能：支票打印、水印打印，自动双面打印、多页合并打印、反转打印、小册子打印、页眉页脚打印、海报打印、自定义纸张打印、省墨打印、墨粉浓度调整、Airprint打印、支持打印工场；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1" w:hRule="atLeast"/>
        </w:trPr>
        <w:tc>
          <w:tcPr>
            <w:tcW w:w="1076" w:type="dxa"/>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w:t>
            </w:r>
          </w:p>
        </w:tc>
        <w:tc>
          <w:tcPr>
            <w:tcW w:w="2679" w:type="dxa"/>
          </w:tcPr>
          <w:p>
            <w:pPr>
              <w:jc w:val="center"/>
              <w:rPr>
                <w:rFonts w:hint="eastAsia" w:ascii="宋体" w:hAnsi="宋体" w:eastAsia="宋体" w:cs="宋体"/>
                <w:sz w:val="21"/>
                <w:szCs w:val="21"/>
                <w:vertAlign w:val="baseline"/>
              </w:rPr>
            </w:pPr>
            <w:r>
              <w:rPr>
                <w:rFonts w:hint="eastAsia" w:ascii="宋体" w:hAnsi="宋体" w:eastAsia="宋体" w:cs="宋体"/>
                <w:sz w:val="21"/>
                <w:szCs w:val="21"/>
              </w:rPr>
              <w:t>彩色打印机</w:t>
            </w:r>
          </w:p>
        </w:tc>
        <w:tc>
          <w:tcPr>
            <w:tcW w:w="1224" w:type="dxa"/>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30</w:t>
            </w:r>
            <w:r>
              <w:rPr>
                <w:rFonts w:hint="eastAsia" w:ascii="宋体" w:hAnsi="宋体" w:eastAsia="宋体" w:cs="宋体"/>
                <w:sz w:val="21"/>
                <w:szCs w:val="21"/>
                <w:lang w:val="en-US" w:eastAsia="zh-CN"/>
              </w:rPr>
              <w:t>台</w:t>
            </w:r>
          </w:p>
        </w:tc>
        <w:tc>
          <w:tcPr>
            <w:tcW w:w="4519" w:type="dxa"/>
          </w:tcPr>
          <w:p>
            <w:pPr>
              <w:rPr>
                <w:rFonts w:hint="eastAsia" w:ascii="宋体" w:hAnsi="宋体" w:eastAsia="宋体" w:cs="宋体"/>
                <w:sz w:val="21"/>
                <w:szCs w:val="21"/>
              </w:rPr>
            </w:pPr>
            <w:r>
              <w:rPr>
                <w:rFonts w:hint="eastAsia" w:ascii="宋体" w:hAnsi="宋体" w:eastAsia="宋体" w:cs="宋体"/>
                <w:sz w:val="21"/>
                <w:szCs w:val="21"/>
              </w:rPr>
              <w:t>1. 打印幅面：A4；</w:t>
            </w:r>
          </w:p>
          <w:p>
            <w:pPr>
              <w:rPr>
                <w:rFonts w:hint="eastAsia" w:ascii="宋体" w:hAnsi="宋体" w:eastAsia="宋体" w:cs="宋体"/>
                <w:sz w:val="21"/>
                <w:szCs w:val="21"/>
              </w:rPr>
            </w:pPr>
            <w:r>
              <w:rPr>
                <w:rFonts w:hint="eastAsia" w:ascii="宋体" w:hAnsi="宋体" w:eastAsia="宋体" w:cs="宋体"/>
                <w:sz w:val="22"/>
                <w:szCs w:val="22"/>
              </w:rPr>
              <w:t>▲</w:t>
            </w:r>
            <w:r>
              <w:rPr>
                <w:rFonts w:hint="eastAsia" w:ascii="宋体" w:hAnsi="宋体" w:eastAsia="宋体" w:cs="宋体"/>
                <w:sz w:val="21"/>
                <w:szCs w:val="21"/>
              </w:rPr>
              <w:t>2.</w:t>
            </w:r>
            <w:r>
              <w:rPr>
                <w:rFonts w:hint="eastAsia" w:ascii="宋体" w:hAnsi="宋体" w:eastAsia="宋体" w:cs="宋体"/>
                <w:color w:val="FF0000"/>
                <w:sz w:val="21"/>
                <w:szCs w:val="21"/>
              </w:rPr>
              <w:t xml:space="preserve"> </w:t>
            </w:r>
            <w:r>
              <w:rPr>
                <w:rFonts w:hint="eastAsia" w:ascii="宋体" w:hAnsi="宋体" w:eastAsia="宋体" w:cs="宋体"/>
                <w:sz w:val="21"/>
                <w:szCs w:val="21"/>
              </w:rPr>
              <w:t>打印速度：</w:t>
            </w:r>
            <w:r>
              <w:rPr>
                <w:rFonts w:hint="eastAsia" w:ascii="宋体" w:hAnsi="宋体" w:eastAsia="宋体" w:cs="宋体"/>
                <w:sz w:val="21"/>
                <w:szCs w:val="21"/>
                <w:highlight w:val="none"/>
                <w:vertAlign w:val="baseline"/>
              </w:rPr>
              <w:t>≥</w:t>
            </w:r>
            <w:r>
              <w:rPr>
                <w:rFonts w:hint="eastAsia" w:ascii="宋体" w:hAnsi="宋体" w:eastAsia="宋体" w:cs="宋体"/>
                <w:sz w:val="21"/>
                <w:szCs w:val="21"/>
              </w:rPr>
              <w:t>24ppm(黑彩同速)；</w:t>
            </w:r>
          </w:p>
          <w:p>
            <w:pPr>
              <w:rPr>
                <w:rFonts w:hint="eastAsia" w:ascii="宋体" w:hAnsi="宋体" w:eastAsia="宋体" w:cs="宋体"/>
                <w:sz w:val="21"/>
                <w:szCs w:val="21"/>
              </w:rPr>
            </w:pPr>
            <w:r>
              <w:rPr>
                <w:rFonts w:hint="eastAsia" w:ascii="宋体" w:hAnsi="宋体" w:eastAsia="宋体" w:cs="宋体"/>
                <w:sz w:val="21"/>
                <w:szCs w:val="21"/>
              </w:rPr>
              <w:t>3. 打印分辨率：</w:t>
            </w:r>
            <w:r>
              <w:rPr>
                <w:rFonts w:hint="eastAsia" w:ascii="宋体" w:hAnsi="宋体" w:eastAsia="宋体" w:cs="宋体"/>
                <w:sz w:val="21"/>
                <w:szCs w:val="21"/>
                <w:highlight w:val="none"/>
                <w:vertAlign w:val="baseline"/>
              </w:rPr>
              <w:t>≥</w:t>
            </w:r>
            <w:r>
              <w:rPr>
                <w:rFonts w:hint="eastAsia" w:ascii="宋体" w:hAnsi="宋体" w:eastAsia="宋体" w:cs="宋体"/>
                <w:sz w:val="21"/>
                <w:szCs w:val="21"/>
              </w:rPr>
              <w:t>600 x 600 dpi（2400 x 600dpi equivalent）；</w:t>
            </w:r>
          </w:p>
          <w:p>
            <w:pPr>
              <w:rPr>
                <w:rFonts w:hint="eastAsia" w:ascii="宋体" w:hAnsi="宋体" w:eastAsia="宋体" w:cs="宋体"/>
                <w:sz w:val="21"/>
                <w:szCs w:val="21"/>
              </w:rPr>
            </w:pPr>
            <w:r>
              <w:rPr>
                <w:rFonts w:hint="eastAsia" w:ascii="宋体" w:hAnsi="宋体" w:eastAsia="宋体" w:cs="宋体"/>
                <w:sz w:val="21"/>
                <w:szCs w:val="21"/>
              </w:rPr>
              <w:t>4. 打印语言：SPL-C / PCL5Ce / PCL6C / PS3 / PDF V1.7;</w:t>
            </w:r>
          </w:p>
          <w:p>
            <w:pPr>
              <w:rPr>
                <w:rFonts w:hint="eastAsia" w:ascii="宋体" w:hAnsi="宋体" w:eastAsia="宋体" w:cs="宋体"/>
                <w:sz w:val="21"/>
                <w:szCs w:val="21"/>
              </w:rPr>
            </w:pPr>
            <w:r>
              <w:rPr>
                <w:rFonts w:hint="eastAsia" w:ascii="宋体" w:hAnsi="宋体" w:eastAsia="宋体" w:cs="宋体"/>
                <w:sz w:val="21"/>
                <w:szCs w:val="21"/>
              </w:rPr>
              <w:t>5. 首页输出时间：&lt;17秒；</w:t>
            </w:r>
          </w:p>
          <w:p>
            <w:pPr>
              <w:rPr>
                <w:rFonts w:hint="eastAsia" w:ascii="宋体" w:hAnsi="宋体" w:eastAsia="宋体" w:cs="宋体"/>
                <w:sz w:val="21"/>
                <w:szCs w:val="21"/>
              </w:rPr>
            </w:pPr>
            <w:r>
              <w:rPr>
                <w:rFonts w:hint="eastAsia" w:ascii="宋体" w:hAnsi="宋体" w:eastAsia="宋体" w:cs="宋体"/>
                <w:sz w:val="21"/>
                <w:szCs w:val="21"/>
              </w:rPr>
              <w:t>6. 处理器：</w:t>
            </w:r>
            <w:r>
              <w:rPr>
                <w:rFonts w:hint="eastAsia" w:ascii="宋体" w:hAnsi="宋体" w:eastAsia="宋体" w:cs="宋体"/>
                <w:sz w:val="21"/>
                <w:szCs w:val="21"/>
                <w:highlight w:val="none"/>
                <w:vertAlign w:val="baseline"/>
              </w:rPr>
              <w:t>≥</w:t>
            </w:r>
            <w:r>
              <w:rPr>
                <w:rFonts w:hint="eastAsia" w:ascii="宋体" w:hAnsi="宋体" w:eastAsia="宋体" w:cs="宋体"/>
                <w:sz w:val="21"/>
                <w:szCs w:val="21"/>
              </w:rPr>
              <w:t>533 MHz + 150 MHz双核处理器；</w:t>
            </w:r>
          </w:p>
          <w:p>
            <w:pPr>
              <w:rPr>
                <w:rFonts w:hint="eastAsia" w:ascii="宋体" w:hAnsi="宋体" w:eastAsia="宋体" w:cs="宋体"/>
                <w:sz w:val="21"/>
                <w:szCs w:val="21"/>
              </w:rPr>
            </w:pPr>
            <w:r>
              <w:rPr>
                <w:rFonts w:hint="eastAsia" w:ascii="宋体" w:hAnsi="宋体" w:eastAsia="宋体" w:cs="宋体"/>
                <w:sz w:val="21"/>
                <w:szCs w:val="21"/>
              </w:rPr>
              <w:t>7. 标准（最大）内存：</w:t>
            </w:r>
            <w:r>
              <w:rPr>
                <w:rFonts w:hint="eastAsia" w:ascii="宋体" w:hAnsi="宋体" w:eastAsia="宋体" w:cs="宋体"/>
                <w:sz w:val="21"/>
                <w:szCs w:val="21"/>
                <w:highlight w:val="none"/>
                <w:vertAlign w:val="baseline"/>
              </w:rPr>
              <w:t>≥</w:t>
            </w:r>
            <w:r>
              <w:rPr>
                <w:rFonts w:hint="eastAsia" w:ascii="宋体" w:hAnsi="宋体" w:eastAsia="宋体" w:cs="宋体"/>
                <w:sz w:val="21"/>
                <w:szCs w:val="21"/>
              </w:rPr>
              <w:t>256MB；</w:t>
            </w:r>
          </w:p>
          <w:p>
            <w:pPr>
              <w:rPr>
                <w:rFonts w:hint="eastAsia" w:ascii="宋体" w:hAnsi="宋体" w:eastAsia="宋体" w:cs="宋体"/>
                <w:color w:val="FF0000"/>
                <w:sz w:val="21"/>
                <w:szCs w:val="21"/>
              </w:rPr>
            </w:pPr>
            <w:r>
              <w:rPr>
                <w:rFonts w:hint="eastAsia" w:ascii="宋体" w:hAnsi="宋体" w:eastAsia="宋体" w:cs="宋体"/>
                <w:sz w:val="21"/>
                <w:szCs w:val="21"/>
              </w:rPr>
              <w:t>8. 接口类型：</w:t>
            </w:r>
            <w:r>
              <w:rPr>
                <w:rFonts w:hint="eastAsia" w:ascii="宋体" w:hAnsi="宋体" w:eastAsia="宋体" w:cs="宋体"/>
                <w:sz w:val="21"/>
                <w:szCs w:val="21"/>
                <w:highlight w:val="none"/>
                <w:vertAlign w:val="baseline"/>
              </w:rPr>
              <w:t>≥</w:t>
            </w:r>
            <w:r>
              <w:rPr>
                <w:rFonts w:hint="eastAsia" w:ascii="宋体" w:hAnsi="宋体" w:eastAsia="宋体" w:cs="宋体"/>
                <w:sz w:val="21"/>
                <w:szCs w:val="21"/>
              </w:rPr>
              <w:t>Hi-Speed USB 2.0、Ethernet 10/100/1000 Base Tx、USB Host；</w:t>
            </w:r>
          </w:p>
          <w:p>
            <w:pPr>
              <w:rPr>
                <w:rFonts w:hint="eastAsia" w:ascii="宋体" w:hAnsi="宋体" w:eastAsia="宋体" w:cs="宋体"/>
                <w:sz w:val="21"/>
                <w:szCs w:val="21"/>
              </w:rPr>
            </w:pPr>
            <w:r>
              <w:rPr>
                <w:rFonts w:hint="eastAsia" w:ascii="宋体" w:hAnsi="宋体" w:eastAsia="宋体" w:cs="宋体"/>
                <w:sz w:val="21"/>
                <w:szCs w:val="21"/>
              </w:rPr>
              <w:t>9. 纸张输入容量-标准：250(标配）+50（手动）+520（选配）；</w:t>
            </w:r>
          </w:p>
          <w:p>
            <w:pPr>
              <w:rPr>
                <w:rFonts w:hint="eastAsia" w:ascii="宋体" w:hAnsi="宋体" w:eastAsia="宋体" w:cs="宋体"/>
                <w:sz w:val="21"/>
                <w:szCs w:val="21"/>
              </w:rPr>
            </w:pPr>
            <w:r>
              <w:rPr>
                <w:rFonts w:hint="eastAsia" w:ascii="宋体" w:hAnsi="宋体" w:eastAsia="宋体" w:cs="宋体"/>
                <w:sz w:val="21"/>
                <w:szCs w:val="21"/>
              </w:rPr>
              <w:t>10.纸张输出容量-标准：150页；</w:t>
            </w:r>
          </w:p>
          <w:p>
            <w:pPr>
              <w:rPr>
                <w:rFonts w:hint="eastAsia" w:ascii="宋体" w:hAnsi="宋体" w:eastAsia="宋体" w:cs="宋体"/>
                <w:sz w:val="21"/>
                <w:szCs w:val="21"/>
              </w:rPr>
            </w:pPr>
            <w:r>
              <w:rPr>
                <w:rFonts w:hint="eastAsia" w:ascii="宋体" w:hAnsi="宋体" w:eastAsia="宋体" w:cs="宋体"/>
                <w:sz w:val="21"/>
                <w:szCs w:val="21"/>
              </w:rPr>
              <w:t>11.双面打印：标配双面打印单元；</w:t>
            </w:r>
          </w:p>
          <w:p>
            <w:pPr>
              <w:rPr>
                <w:rFonts w:hint="eastAsia" w:ascii="宋体" w:hAnsi="宋体" w:eastAsia="宋体" w:cs="宋体"/>
                <w:sz w:val="21"/>
                <w:szCs w:val="21"/>
                <w:vertAlign w:val="baseline"/>
              </w:rPr>
            </w:pPr>
            <w:r>
              <w:rPr>
                <w:rFonts w:hint="eastAsia" w:ascii="宋体" w:hAnsi="宋体" w:eastAsia="宋体" w:cs="宋体"/>
                <w:sz w:val="21"/>
                <w:szCs w:val="21"/>
              </w:rPr>
              <w:t xml:space="preserve">12.随机硒鼓寿命：2000页(黑)/1500页(彩) (鼓粉一体)；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1" w:hRule="atLeast"/>
        </w:trPr>
        <w:tc>
          <w:tcPr>
            <w:tcW w:w="1076" w:type="dxa"/>
            <w:vAlign w:val="top"/>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w:t>
            </w:r>
          </w:p>
        </w:tc>
        <w:tc>
          <w:tcPr>
            <w:tcW w:w="2679" w:type="dxa"/>
            <w:vAlign w:val="top"/>
          </w:tcPr>
          <w:p>
            <w:pPr>
              <w:jc w:val="center"/>
              <w:rPr>
                <w:rFonts w:hint="eastAsia" w:ascii="宋体" w:hAnsi="宋体" w:eastAsia="宋体" w:cs="宋体"/>
                <w:sz w:val="21"/>
                <w:szCs w:val="21"/>
              </w:rPr>
            </w:pPr>
            <w:r>
              <w:rPr>
                <w:rFonts w:hint="eastAsia" w:ascii="宋体" w:hAnsi="宋体" w:eastAsia="宋体" w:cs="宋体"/>
                <w:sz w:val="21"/>
                <w:szCs w:val="21"/>
                <w:vertAlign w:val="baseline"/>
              </w:rPr>
              <w:t>多功能黑白激光打印、复印、扫描</w:t>
            </w:r>
            <w:r>
              <w:rPr>
                <w:rFonts w:hint="eastAsia" w:ascii="宋体" w:hAnsi="宋体" w:eastAsia="宋体" w:cs="宋体"/>
                <w:sz w:val="21"/>
                <w:szCs w:val="21"/>
                <w:vertAlign w:val="baseline"/>
                <w:lang w:val="en-US" w:eastAsia="zh-CN"/>
              </w:rPr>
              <w:t>一体机</w:t>
            </w:r>
          </w:p>
        </w:tc>
        <w:tc>
          <w:tcPr>
            <w:tcW w:w="1224" w:type="dxa"/>
            <w:vAlign w:val="top"/>
          </w:tcPr>
          <w:p>
            <w:pPr>
              <w:jc w:val="center"/>
              <w:rPr>
                <w:rFonts w:hint="eastAsia" w:ascii="宋体" w:hAnsi="宋体" w:eastAsia="宋体" w:cs="宋体"/>
                <w:sz w:val="21"/>
                <w:szCs w:val="21"/>
              </w:rPr>
            </w:pPr>
            <w:r>
              <w:rPr>
                <w:rFonts w:hint="eastAsia" w:ascii="宋体" w:hAnsi="宋体" w:eastAsia="宋体" w:cs="宋体"/>
                <w:sz w:val="21"/>
                <w:szCs w:val="21"/>
                <w:vertAlign w:val="baseline"/>
                <w:lang w:val="en-US" w:eastAsia="zh-CN"/>
              </w:rPr>
              <w:t>14台</w:t>
            </w:r>
          </w:p>
        </w:tc>
        <w:tc>
          <w:tcPr>
            <w:tcW w:w="4519" w:type="dxa"/>
            <w:vAlign w:val="top"/>
          </w:tcPr>
          <w:p>
            <w:pPr>
              <w:rPr>
                <w:rFonts w:hint="eastAsia" w:ascii="宋体" w:hAnsi="宋体" w:eastAsia="宋体" w:cs="宋体"/>
                <w:sz w:val="21"/>
                <w:szCs w:val="21"/>
              </w:rPr>
            </w:pPr>
            <w:r>
              <w:rPr>
                <w:rFonts w:hint="eastAsia" w:ascii="宋体" w:hAnsi="宋体" w:eastAsia="宋体" w:cs="宋体"/>
                <w:sz w:val="21"/>
                <w:szCs w:val="21"/>
              </w:rPr>
              <w:t>1. 打印幅面：A4；</w:t>
            </w:r>
          </w:p>
          <w:p>
            <w:pPr>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color w:val="FF0000"/>
                <w:sz w:val="21"/>
                <w:szCs w:val="21"/>
              </w:rPr>
              <w:t xml:space="preserve"> </w:t>
            </w:r>
            <w:r>
              <w:rPr>
                <w:rFonts w:hint="eastAsia" w:ascii="宋体" w:hAnsi="宋体" w:eastAsia="宋体" w:cs="宋体"/>
                <w:sz w:val="21"/>
                <w:szCs w:val="21"/>
              </w:rPr>
              <w:t>打印速度：</w:t>
            </w:r>
            <w:r>
              <w:rPr>
                <w:rFonts w:hint="eastAsia" w:ascii="宋体" w:hAnsi="宋体" w:eastAsia="宋体" w:cs="宋体"/>
                <w:sz w:val="21"/>
                <w:szCs w:val="21"/>
                <w:highlight w:val="none"/>
                <w:vertAlign w:val="baseline"/>
              </w:rPr>
              <w:t>≥</w:t>
            </w:r>
            <w:r>
              <w:rPr>
                <w:rFonts w:hint="eastAsia" w:ascii="宋体" w:hAnsi="宋体" w:eastAsia="宋体" w:cs="宋体"/>
                <w:sz w:val="21"/>
                <w:szCs w:val="21"/>
              </w:rPr>
              <w:t>30页/分钟；</w:t>
            </w:r>
          </w:p>
          <w:p>
            <w:pPr>
              <w:rPr>
                <w:rFonts w:hint="eastAsia" w:ascii="宋体" w:hAnsi="宋体" w:eastAsia="宋体" w:cs="宋体"/>
                <w:sz w:val="21"/>
                <w:szCs w:val="21"/>
              </w:rPr>
            </w:pPr>
            <w:r>
              <w:rPr>
                <w:rFonts w:hint="eastAsia" w:ascii="宋体" w:hAnsi="宋体" w:eastAsia="宋体" w:cs="宋体"/>
                <w:sz w:val="21"/>
                <w:szCs w:val="21"/>
              </w:rPr>
              <w:t>3. 打印分辨率：</w:t>
            </w:r>
            <w:r>
              <w:rPr>
                <w:rFonts w:hint="eastAsia" w:ascii="宋体" w:hAnsi="宋体" w:eastAsia="宋体" w:cs="宋体"/>
                <w:sz w:val="21"/>
                <w:szCs w:val="21"/>
                <w:highlight w:val="none"/>
                <w:vertAlign w:val="baseline"/>
              </w:rPr>
              <w:t>≥</w:t>
            </w:r>
            <w:r>
              <w:rPr>
                <w:rFonts w:hint="eastAsia" w:ascii="宋体" w:hAnsi="宋体" w:eastAsia="宋体" w:cs="宋体"/>
                <w:sz w:val="21"/>
                <w:szCs w:val="21"/>
              </w:rPr>
              <w:t>HQ1200、600x600dpi；</w:t>
            </w:r>
          </w:p>
          <w:p>
            <w:pPr>
              <w:rPr>
                <w:rFonts w:hint="eastAsia" w:ascii="宋体" w:hAnsi="宋体" w:eastAsia="宋体" w:cs="宋体"/>
                <w:sz w:val="21"/>
                <w:szCs w:val="21"/>
              </w:rPr>
            </w:pPr>
            <w:r>
              <w:rPr>
                <w:rFonts w:hint="eastAsia" w:ascii="宋体" w:hAnsi="宋体" w:eastAsia="宋体" w:cs="宋体"/>
                <w:sz w:val="21"/>
                <w:szCs w:val="21"/>
              </w:rPr>
              <w:t>4. 打印语言：PCL6, BR-Script3；</w:t>
            </w:r>
          </w:p>
          <w:p>
            <w:pPr>
              <w:rPr>
                <w:rFonts w:hint="eastAsia" w:ascii="宋体" w:hAnsi="宋体" w:eastAsia="宋体" w:cs="宋体"/>
                <w:sz w:val="21"/>
                <w:szCs w:val="21"/>
              </w:rPr>
            </w:pPr>
            <w:r>
              <w:rPr>
                <w:rFonts w:hint="eastAsia" w:ascii="宋体" w:hAnsi="宋体" w:eastAsia="宋体" w:cs="宋体"/>
                <w:sz w:val="21"/>
                <w:szCs w:val="21"/>
              </w:rPr>
              <w:t>5. 打印首页输出时间：&lt;8.5秒；</w:t>
            </w:r>
          </w:p>
          <w:p>
            <w:pPr>
              <w:rPr>
                <w:rFonts w:hint="eastAsia" w:ascii="宋体" w:hAnsi="宋体" w:eastAsia="宋体" w:cs="宋体"/>
                <w:sz w:val="21"/>
                <w:szCs w:val="21"/>
              </w:rPr>
            </w:pPr>
            <w:r>
              <w:rPr>
                <w:rFonts w:hint="eastAsia" w:ascii="宋体" w:hAnsi="宋体" w:eastAsia="宋体" w:cs="宋体"/>
                <w:sz w:val="21"/>
                <w:szCs w:val="21"/>
              </w:rPr>
              <w:t>6. 复印速度：</w:t>
            </w:r>
            <w:r>
              <w:rPr>
                <w:rFonts w:hint="eastAsia" w:ascii="宋体" w:hAnsi="宋体" w:eastAsia="宋体" w:cs="宋体"/>
                <w:sz w:val="21"/>
                <w:szCs w:val="21"/>
                <w:highlight w:val="none"/>
                <w:vertAlign w:val="baseline"/>
              </w:rPr>
              <w:t>≥</w:t>
            </w:r>
            <w:r>
              <w:rPr>
                <w:rFonts w:hint="eastAsia" w:ascii="宋体" w:hAnsi="宋体" w:eastAsia="宋体" w:cs="宋体"/>
                <w:sz w:val="21"/>
                <w:szCs w:val="21"/>
              </w:rPr>
              <w:t>30页/分钟；</w:t>
            </w:r>
          </w:p>
          <w:p>
            <w:pPr>
              <w:rPr>
                <w:rFonts w:hint="eastAsia" w:ascii="宋体" w:hAnsi="宋体" w:eastAsia="宋体" w:cs="宋体"/>
                <w:sz w:val="21"/>
                <w:szCs w:val="21"/>
              </w:rPr>
            </w:pPr>
            <w:r>
              <w:rPr>
                <w:rFonts w:hint="eastAsia" w:ascii="宋体" w:hAnsi="宋体" w:eastAsia="宋体" w:cs="宋体"/>
                <w:sz w:val="21"/>
                <w:szCs w:val="21"/>
              </w:rPr>
              <w:t>7. 复印分辨率：</w:t>
            </w:r>
            <w:r>
              <w:rPr>
                <w:rFonts w:hint="eastAsia" w:ascii="宋体" w:hAnsi="宋体" w:eastAsia="宋体" w:cs="宋体"/>
                <w:sz w:val="21"/>
                <w:szCs w:val="21"/>
                <w:highlight w:val="none"/>
                <w:vertAlign w:val="baseline"/>
              </w:rPr>
              <w:t>≥</w:t>
            </w:r>
            <w:r>
              <w:rPr>
                <w:rFonts w:hint="eastAsia" w:ascii="宋体" w:hAnsi="宋体" w:eastAsia="宋体" w:cs="宋体"/>
                <w:sz w:val="21"/>
                <w:szCs w:val="21"/>
              </w:rPr>
              <w:t>600x600dpi；</w:t>
            </w:r>
          </w:p>
          <w:p>
            <w:pPr>
              <w:rPr>
                <w:rFonts w:hint="eastAsia" w:ascii="宋体" w:hAnsi="宋体" w:eastAsia="宋体" w:cs="宋体"/>
                <w:sz w:val="21"/>
                <w:szCs w:val="21"/>
              </w:rPr>
            </w:pPr>
            <w:r>
              <w:rPr>
                <w:rFonts w:hint="eastAsia" w:ascii="宋体" w:hAnsi="宋体" w:eastAsia="宋体" w:cs="宋体"/>
                <w:sz w:val="21"/>
                <w:szCs w:val="21"/>
              </w:rPr>
              <w:t>8. 复印首页输出时间：&lt;10秒；</w:t>
            </w:r>
          </w:p>
          <w:p>
            <w:pPr>
              <w:rPr>
                <w:rFonts w:hint="eastAsia" w:ascii="宋体" w:hAnsi="宋体" w:eastAsia="宋体" w:cs="宋体"/>
                <w:sz w:val="21"/>
                <w:szCs w:val="21"/>
              </w:rPr>
            </w:pPr>
            <w:r>
              <w:rPr>
                <w:rFonts w:hint="eastAsia" w:ascii="宋体" w:hAnsi="宋体" w:eastAsia="宋体" w:cs="宋体"/>
                <w:sz w:val="21"/>
                <w:szCs w:val="21"/>
              </w:rPr>
              <w:t>9. 扫描元件：彩色CIS；</w:t>
            </w:r>
          </w:p>
          <w:p>
            <w:pPr>
              <w:rPr>
                <w:rFonts w:hint="eastAsia" w:ascii="宋体" w:hAnsi="宋体" w:eastAsia="宋体" w:cs="宋体"/>
                <w:sz w:val="21"/>
                <w:szCs w:val="21"/>
              </w:rPr>
            </w:pPr>
            <w:r>
              <w:rPr>
                <w:rFonts w:hint="eastAsia" w:ascii="宋体" w:hAnsi="宋体" w:eastAsia="宋体" w:cs="宋体"/>
                <w:sz w:val="21"/>
                <w:szCs w:val="21"/>
              </w:rPr>
              <w:t>10. 光学分辨率：</w:t>
            </w:r>
            <w:r>
              <w:rPr>
                <w:rFonts w:hint="eastAsia" w:ascii="宋体" w:hAnsi="宋体" w:eastAsia="宋体" w:cs="宋体"/>
                <w:sz w:val="21"/>
                <w:szCs w:val="21"/>
                <w:highlight w:val="none"/>
                <w:vertAlign w:val="baseline"/>
              </w:rPr>
              <w:t>≥</w:t>
            </w:r>
            <w:r>
              <w:rPr>
                <w:rFonts w:hint="eastAsia" w:ascii="宋体" w:hAnsi="宋体" w:eastAsia="宋体" w:cs="宋体"/>
                <w:sz w:val="21"/>
                <w:szCs w:val="21"/>
              </w:rPr>
              <w:t>600*2400dpi；</w:t>
            </w:r>
          </w:p>
          <w:p>
            <w:pPr>
              <w:rPr>
                <w:rFonts w:hint="eastAsia" w:ascii="宋体" w:hAnsi="宋体" w:eastAsia="宋体" w:cs="宋体"/>
                <w:sz w:val="21"/>
                <w:szCs w:val="21"/>
              </w:rPr>
            </w:pPr>
            <w:r>
              <w:rPr>
                <w:rFonts w:hint="eastAsia" w:ascii="宋体" w:hAnsi="宋体" w:eastAsia="宋体" w:cs="宋体"/>
                <w:sz w:val="21"/>
                <w:szCs w:val="21"/>
              </w:rPr>
              <w:t>11. 最大分辨率：</w:t>
            </w:r>
            <w:r>
              <w:rPr>
                <w:rFonts w:hint="eastAsia" w:ascii="宋体" w:hAnsi="宋体" w:eastAsia="宋体" w:cs="宋体"/>
                <w:sz w:val="21"/>
                <w:szCs w:val="21"/>
                <w:highlight w:val="none"/>
                <w:vertAlign w:val="baseline"/>
              </w:rPr>
              <w:t>≥</w:t>
            </w:r>
            <w:r>
              <w:rPr>
                <w:rFonts w:hint="eastAsia" w:ascii="宋体" w:hAnsi="宋体" w:eastAsia="宋体" w:cs="宋体"/>
                <w:sz w:val="21"/>
                <w:szCs w:val="21"/>
              </w:rPr>
              <w:t>19200*19200dpi；</w:t>
            </w:r>
          </w:p>
          <w:p>
            <w:pPr>
              <w:rPr>
                <w:rFonts w:hint="eastAsia" w:ascii="宋体" w:hAnsi="宋体" w:eastAsia="宋体" w:cs="宋体"/>
                <w:sz w:val="21"/>
                <w:szCs w:val="21"/>
              </w:rPr>
            </w:pPr>
            <w:r>
              <w:rPr>
                <w:rFonts w:hint="eastAsia" w:ascii="宋体" w:hAnsi="宋体" w:eastAsia="宋体" w:cs="宋体"/>
                <w:sz w:val="21"/>
                <w:szCs w:val="21"/>
              </w:rPr>
              <w:t>12. 处理器：</w:t>
            </w:r>
            <w:r>
              <w:rPr>
                <w:rFonts w:hint="eastAsia" w:ascii="宋体" w:hAnsi="宋体" w:eastAsia="宋体" w:cs="宋体"/>
                <w:sz w:val="21"/>
                <w:szCs w:val="21"/>
                <w:highlight w:val="none"/>
                <w:vertAlign w:val="baseline"/>
              </w:rPr>
              <w:t>≥</w:t>
            </w:r>
            <w:r>
              <w:rPr>
                <w:rFonts w:hint="eastAsia" w:ascii="宋体" w:hAnsi="宋体" w:eastAsia="宋体" w:cs="宋体"/>
                <w:sz w:val="21"/>
                <w:szCs w:val="21"/>
              </w:rPr>
              <w:t>266MHz；</w:t>
            </w:r>
          </w:p>
          <w:p>
            <w:pPr>
              <w:rPr>
                <w:rFonts w:hint="eastAsia" w:ascii="宋体" w:hAnsi="宋体" w:eastAsia="宋体" w:cs="宋体"/>
                <w:sz w:val="21"/>
                <w:szCs w:val="21"/>
              </w:rPr>
            </w:pPr>
            <w:r>
              <w:rPr>
                <w:rFonts w:hint="eastAsia" w:ascii="宋体" w:hAnsi="宋体" w:eastAsia="宋体" w:cs="宋体"/>
                <w:sz w:val="21"/>
                <w:szCs w:val="21"/>
              </w:rPr>
              <w:t>13. 标准（最大）内存：</w:t>
            </w:r>
            <w:r>
              <w:rPr>
                <w:rFonts w:hint="eastAsia" w:ascii="宋体" w:hAnsi="宋体" w:eastAsia="宋体" w:cs="宋体"/>
                <w:sz w:val="21"/>
                <w:szCs w:val="21"/>
                <w:highlight w:val="none"/>
                <w:vertAlign w:val="baseline"/>
              </w:rPr>
              <w:t>≥</w:t>
            </w:r>
            <w:r>
              <w:rPr>
                <w:rFonts w:hint="eastAsia" w:ascii="宋体" w:hAnsi="宋体" w:eastAsia="宋体" w:cs="宋体"/>
                <w:sz w:val="21"/>
                <w:szCs w:val="21"/>
              </w:rPr>
              <w:t>32MB；</w:t>
            </w:r>
          </w:p>
          <w:p>
            <w:pPr>
              <w:rPr>
                <w:rFonts w:hint="eastAsia" w:ascii="宋体" w:hAnsi="宋体" w:eastAsia="宋体" w:cs="宋体"/>
                <w:sz w:val="21"/>
                <w:szCs w:val="21"/>
              </w:rPr>
            </w:pPr>
            <w:r>
              <w:rPr>
                <w:rFonts w:hint="eastAsia" w:ascii="宋体" w:hAnsi="宋体" w:eastAsia="宋体" w:cs="宋体"/>
                <w:sz w:val="21"/>
                <w:szCs w:val="21"/>
              </w:rPr>
              <w:t>14.</w:t>
            </w:r>
            <w:r>
              <w:rPr>
                <w:rFonts w:hint="eastAsia" w:ascii="宋体" w:hAnsi="宋体" w:eastAsia="宋体" w:cs="宋体"/>
                <w:color w:val="FF0000"/>
                <w:sz w:val="21"/>
                <w:szCs w:val="21"/>
              </w:rPr>
              <w:t xml:space="preserve"> </w:t>
            </w:r>
            <w:r>
              <w:rPr>
                <w:rFonts w:hint="eastAsia" w:ascii="宋体" w:hAnsi="宋体" w:eastAsia="宋体" w:cs="宋体"/>
                <w:sz w:val="21"/>
                <w:szCs w:val="21"/>
              </w:rPr>
              <w:t>自动进稿器页数：</w:t>
            </w:r>
            <w:r>
              <w:rPr>
                <w:rFonts w:hint="eastAsia" w:ascii="宋体" w:hAnsi="宋体" w:eastAsia="宋体" w:cs="宋体"/>
                <w:sz w:val="21"/>
                <w:szCs w:val="21"/>
                <w:highlight w:val="none"/>
                <w:vertAlign w:val="baseline"/>
              </w:rPr>
              <w:t>≥</w:t>
            </w:r>
            <w:r>
              <w:rPr>
                <w:rFonts w:hint="eastAsia" w:ascii="宋体" w:hAnsi="宋体" w:eastAsia="宋体" w:cs="宋体"/>
                <w:sz w:val="21"/>
                <w:szCs w:val="21"/>
              </w:rPr>
              <w:t>35页；</w:t>
            </w:r>
          </w:p>
          <w:p>
            <w:pPr>
              <w:rPr>
                <w:rFonts w:hint="eastAsia" w:ascii="宋体" w:hAnsi="宋体" w:eastAsia="宋体" w:cs="宋体"/>
                <w:sz w:val="21"/>
                <w:szCs w:val="21"/>
              </w:rPr>
            </w:pPr>
            <w:r>
              <w:rPr>
                <w:rFonts w:hint="eastAsia" w:ascii="宋体" w:hAnsi="宋体" w:eastAsia="宋体" w:cs="宋体"/>
                <w:sz w:val="21"/>
                <w:szCs w:val="21"/>
              </w:rPr>
              <w:t>15. 接口类型：</w:t>
            </w:r>
            <w:r>
              <w:rPr>
                <w:rFonts w:hint="eastAsia" w:ascii="宋体" w:hAnsi="宋体" w:eastAsia="宋体" w:cs="宋体"/>
                <w:sz w:val="21"/>
                <w:szCs w:val="21"/>
                <w:highlight w:val="none"/>
                <w:vertAlign w:val="baseline"/>
              </w:rPr>
              <w:t>≥</w:t>
            </w:r>
            <w:r>
              <w:rPr>
                <w:rFonts w:hint="eastAsia" w:ascii="宋体" w:hAnsi="宋体" w:eastAsia="宋体" w:cs="宋体"/>
                <w:sz w:val="21"/>
                <w:szCs w:val="21"/>
              </w:rPr>
              <w:t>USB2.0, 10/100BASE-TX 以太网；</w:t>
            </w:r>
          </w:p>
          <w:p>
            <w:pPr>
              <w:rPr>
                <w:rFonts w:hint="eastAsia" w:ascii="宋体" w:hAnsi="宋体" w:eastAsia="宋体" w:cs="宋体"/>
                <w:sz w:val="21"/>
                <w:szCs w:val="21"/>
              </w:rPr>
            </w:pPr>
            <w:r>
              <w:rPr>
                <w:rFonts w:hint="eastAsia" w:ascii="宋体" w:hAnsi="宋体" w:eastAsia="宋体" w:cs="宋体"/>
                <w:sz w:val="21"/>
                <w:szCs w:val="21"/>
              </w:rPr>
              <w:t>16. 纸张输入容量-标准：</w:t>
            </w:r>
            <w:r>
              <w:rPr>
                <w:rFonts w:hint="eastAsia" w:ascii="宋体" w:hAnsi="宋体" w:eastAsia="宋体" w:cs="宋体"/>
                <w:sz w:val="21"/>
                <w:szCs w:val="21"/>
                <w:lang w:val="en-US" w:eastAsia="zh-CN"/>
              </w:rPr>
              <w:t>≥</w:t>
            </w:r>
            <w:r>
              <w:rPr>
                <w:rFonts w:hint="eastAsia" w:ascii="宋体" w:hAnsi="宋体" w:eastAsia="宋体" w:cs="宋体"/>
                <w:sz w:val="21"/>
                <w:szCs w:val="21"/>
              </w:rPr>
              <w:t>250页（纸盒）＋1页（手动）；</w:t>
            </w:r>
          </w:p>
          <w:p>
            <w:pPr>
              <w:rPr>
                <w:rFonts w:hint="eastAsia" w:ascii="宋体" w:hAnsi="宋体" w:eastAsia="宋体" w:cs="宋体"/>
                <w:sz w:val="21"/>
                <w:szCs w:val="21"/>
              </w:rPr>
            </w:pPr>
            <w:r>
              <w:rPr>
                <w:rFonts w:hint="eastAsia" w:ascii="宋体" w:hAnsi="宋体" w:eastAsia="宋体" w:cs="宋体"/>
                <w:sz w:val="21"/>
                <w:szCs w:val="21"/>
              </w:rPr>
              <w:t>17. 纸张输出容量-标准：</w:t>
            </w:r>
            <w:r>
              <w:rPr>
                <w:rFonts w:hint="eastAsia" w:ascii="宋体" w:hAnsi="宋体" w:eastAsia="宋体" w:cs="宋体"/>
                <w:sz w:val="21"/>
                <w:szCs w:val="21"/>
                <w:lang w:val="en-US" w:eastAsia="zh-CN"/>
              </w:rPr>
              <w:t>≥</w:t>
            </w:r>
            <w:r>
              <w:rPr>
                <w:rFonts w:hint="eastAsia" w:ascii="宋体" w:hAnsi="宋体" w:eastAsia="宋体" w:cs="宋体"/>
                <w:sz w:val="21"/>
                <w:szCs w:val="21"/>
              </w:rPr>
              <w:t>100页+1；</w:t>
            </w:r>
          </w:p>
          <w:p>
            <w:pPr>
              <w:rPr>
                <w:rFonts w:hint="eastAsia" w:ascii="宋体" w:hAnsi="宋体" w:eastAsia="宋体" w:cs="宋体"/>
                <w:sz w:val="21"/>
                <w:szCs w:val="21"/>
              </w:rPr>
            </w:pPr>
            <w:r>
              <w:rPr>
                <w:rFonts w:hint="eastAsia" w:ascii="宋体" w:hAnsi="宋体" w:eastAsia="宋体" w:cs="宋体"/>
                <w:sz w:val="21"/>
                <w:szCs w:val="21"/>
              </w:rPr>
              <w:t>18 .双面打印：标配双面打印单元；</w:t>
            </w:r>
          </w:p>
          <w:p>
            <w:pPr>
              <w:rPr>
                <w:rFonts w:hint="eastAsia" w:ascii="宋体" w:hAnsi="宋体" w:eastAsia="宋体" w:cs="宋体"/>
                <w:sz w:val="21"/>
                <w:szCs w:val="21"/>
              </w:rPr>
            </w:pPr>
            <w:r>
              <w:rPr>
                <w:rFonts w:hint="eastAsia" w:ascii="宋体" w:hAnsi="宋体" w:eastAsia="宋体" w:cs="宋体"/>
                <w:sz w:val="21"/>
                <w:szCs w:val="21"/>
              </w:rPr>
              <w:t>19. 有线网络打印：标配；</w:t>
            </w:r>
          </w:p>
          <w:p>
            <w:pPr>
              <w:rPr>
                <w:rFonts w:hint="eastAsia" w:ascii="宋体" w:hAnsi="宋体" w:eastAsia="宋体" w:cs="宋体"/>
                <w:sz w:val="21"/>
                <w:szCs w:val="21"/>
              </w:rPr>
            </w:pPr>
            <w:r>
              <w:rPr>
                <w:rFonts w:hint="eastAsia" w:ascii="宋体" w:hAnsi="宋体" w:eastAsia="宋体" w:cs="宋体"/>
                <w:sz w:val="21"/>
                <w:szCs w:val="21"/>
              </w:rPr>
              <w:t>20. 随机硒鼓寿命：</w:t>
            </w:r>
            <w:r>
              <w:rPr>
                <w:rFonts w:hint="eastAsia" w:ascii="宋体" w:hAnsi="宋体" w:eastAsia="宋体" w:cs="宋体"/>
                <w:sz w:val="21"/>
                <w:szCs w:val="21"/>
                <w:lang w:val="en-US" w:eastAsia="zh-CN"/>
              </w:rPr>
              <w:t>≥</w:t>
            </w:r>
            <w:r>
              <w:rPr>
                <w:rFonts w:hint="eastAsia" w:ascii="宋体" w:hAnsi="宋体" w:eastAsia="宋体" w:cs="宋体"/>
                <w:sz w:val="21"/>
                <w:szCs w:val="21"/>
              </w:rPr>
              <w:t>12000页；</w:t>
            </w:r>
          </w:p>
          <w:p>
            <w:pPr>
              <w:rPr>
                <w:rFonts w:hint="eastAsia" w:ascii="宋体" w:hAnsi="宋体" w:eastAsia="宋体" w:cs="宋体"/>
                <w:sz w:val="21"/>
                <w:szCs w:val="21"/>
              </w:rPr>
            </w:pPr>
            <w:r>
              <w:rPr>
                <w:rFonts w:hint="eastAsia" w:ascii="宋体" w:hAnsi="宋体" w:eastAsia="宋体" w:cs="宋体"/>
                <w:sz w:val="21"/>
                <w:szCs w:val="21"/>
              </w:rPr>
              <w:t>21. 随机墨粉容量：</w:t>
            </w:r>
            <w:r>
              <w:rPr>
                <w:rFonts w:hint="eastAsia" w:ascii="宋体" w:hAnsi="宋体" w:eastAsia="宋体" w:cs="宋体"/>
                <w:sz w:val="21"/>
                <w:szCs w:val="21"/>
                <w:lang w:val="en-US" w:eastAsia="zh-CN"/>
              </w:rPr>
              <w:t>≥</w:t>
            </w:r>
            <w:r>
              <w:rPr>
                <w:rFonts w:hint="eastAsia" w:ascii="宋体" w:hAnsi="宋体" w:eastAsia="宋体" w:cs="宋体"/>
                <w:sz w:val="21"/>
                <w:szCs w:val="21"/>
              </w:rPr>
              <w:t>2600页；</w:t>
            </w:r>
          </w:p>
          <w:p>
            <w:pPr>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2</w:t>
            </w:r>
            <w:r>
              <w:rPr>
                <w:rFonts w:hint="eastAsia" w:ascii="宋体" w:hAnsi="宋体" w:eastAsia="宋体" w:cs="宋体"/>
                <w:sz w:val="21"/>
                <w:szCs w:val="21"/>
              </w:rPr>
              <w:t>. 特色功能：支票打印、水印打印，自动双面打印、多页合并打印、反转打印、小册子打印、页眉页脚打印、海报打印、自定义纸张打印、省墨打印、墨粉浓度调整、Airprint打印、支持打印工场；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1" w:hRule="atLeast"/>
        </w:trPr>
        <w:tc>
          <w:tcPr>
            <w:tcW w:w="1076" w:type="dxa"/>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w:t>
            </w:r>
          </w:p>
        </w:tc>
        <w:tc>
          <w:tcPr>
            <w:tcW w:w="2679" w:type="dxa"/>
          </w:tcPr>
          <w:p>
            <w:pPr>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便携式打印机</w:t>
            </w:r>
          </w:p>
        </w:tc>
        <w:tc>
          <w:tcPr>
            <w:tcW w:w="1224" w:type="dxa"/>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10台</w:t>
            </w:r>
          </w:p>
        </w:tc>
        <w:tc>
          <w:tcPr>
            <w:tcW w:w="4519" w:type="dxa"/>
          </w:tcPr>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r>
              <w:rPr>
                <w:rFonts w:hint="eastAsia" w:ascii="宋体" w:hAnsi="宋体" w:eastAsia="宋体" w:cs="宋体"/>
                <w:sz w:val="21"/>
                <w:szCs w:val="21"/>
                <w:vertAlign w:val="baseline"/>
              </w:rPr>
              <w:t>打印方式 ：按需喷墨</w:t>
            </w:r>
            <w:r>
              <w:rPr>
                <w:rFonts w:hint="eastAsia" w:ascii="宋体" w:hAnsi="宋体" w:eastAsia="宋体" w:cs="宋体"/>
                <w:sz w:val="21"/>
                <w:szCs w:val="21"/>
                <w:vertAlign w:val="baseline"/>
                <w:lang w:val="en-US"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r>
              <w:rPr>
                <w:rFonts w:hint="eastAsia" w:ascii="宋体" w:hAnsi="宋体" w:eastAsia="宋体" w:cs="宋体"/>
                <w:sz w:val="21"/>
                <w:szCs w:val="21"/>
                <w:vertAlign w:val="baseline"/>
              </w:rPr>
              <w:t>最高打印分辨率：</w:t>
            </w:r>
            <w:r>
              <w:rPr>
                <w:rFonts w:hint="eastAsia" w:ascii="宋体" w:hAnsi="宋体" w:eastAsia="宋体" w:cs="宋体"/>
                <w:sz w:val="21"/>
                <w:szCs w:val="21"/>
                <w:highlight w:val="none"/>
                <w:vertAlign w:val="baseline"/>
              </w:rPr>
              <w:t>≥</w:t>
            </w:r>
            <w:r>
              <w:rPr>
                <w:rFonts w:hint="eastAsia" w:ascii="宋体" w:hAnsi="宋体" w:eastAsia="宋体" w:cs="宋体"/>
                <w:sz w:val="21"/>
                <w:szCs w:val="21"/>
                <w:vertAlign w:val="baseline"/>
              </w:rPr>
              <w:t>5760x1440 dpi</w:t>
            </w:r>
            <w:r>
              <w:rPr>
                <w:rFonts w:hint="eastAsia" w:ascii="宋体" w:hAnsi="宋体" w:eastAsia="宋体" w:cs="宋体"/>
                <w:sz w:val="21"/>
                <w:szCs w:val="21"/>
                <w:vertAlign w:val="baseline"/>
                <w:lang w:val="en-US"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r>
              <w:rPr>
                <w:rFonts w:hint="eastAsia" w:ascii="宋体" w:hAnsi="宋体" w:eastAsia="宋体" w:cs="宋体"/>
                <w:sz w:val="21"/>
                <w:szCs w:val="21"/>
                <w:vertAlign w:val="baseline"/>
              </w:rPr>
              <w:t>最小墨滴尺寸：</w:t>
            </w:r>
            <w:r>
              <w:rPr>
                <w:rFonts w:hint="eastAsia" w:ascii="宋体" w:hAnsi="宋体" w:eastAsia="宋体" w:cs="宋体"/>
                <w:sz w:val="21"/>
                <w:szCs w:val="21"/>
                <w:highlight w:val="none"/>
                <w:vertAlign w:val="baseline"/>
              </w:rPr>
              <w:t>≥</w:t>
            </w:r>
            <w:r>
              <w:rPr>
                <w:rFonts w:hint="eastAsia" w:ascii="宋体" w:hAnsi="宋体" w:eastAsia="宋体" w:cs="宋体"/>
                <w:sz w:val="21"/>
                <w:szCs w:val="21"/>
                <w:vertAlign w:val="baseline"/>
              </w:rPr>
              <w:t>1.5微微升</w:t>
            </w:r>
            <w:r>
              <w:rPr>
                <w:rFonts w:hint="eastAsia" w:ascii="宋体" w:hAnsi="宋体" w:eastAsia="宋体" w:cs="宋体"/>
                <w:sz w:val="21"/>
                <w:szCs w:val="21"/>
                <w:vertAlign w:val="baseline"/>
                <w:lang w:val="en-US"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r>
              <w:rPr>
                <w:rFonts w:hint="eastAsia" w:ascii="宋体" w:hAnsi="宋体" w:eastAsia="宋体" w:cs="宋体"/>
                <w:sz w:val="21"/>
                <w:szCs w:val="21"/>
                <w:vertAlign w:val="baseline"/>
              </w:rPr>
              <w:t>打印机语言：ESC/P-R</w:t>
            </w:r>
            <w:r>
              <w:rPr>
                <w:rFonts w:hint="eastAsia" w:ascii="宋体" w:hAnsi="宋体" w:eastAsia="宋体" w:cs="宋体"/>
                <w:sz w:val="21"/>
                <w:szCs w:val="21"/>
                <w:vertAlign w:val="baseline"/>
                <w:lang w:val="en-US"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r>
              <w:rPr>
                <w:rFonts w:hint="eastAsia" w:ascii="宋体" w:hAnsi="宋体" w:eastAsia="宋体" w:cs="宋体"/>
                <w:sz w:val="21"/>
                <w:szCs w:val="21"/>
                <w:vertAlign w:val="baseline"/>
              </w:rPr>
              <w:t>打印速度</w:t>
            </w:r>
            <w:r>
              <w:rPr>
                <w:rFonts w:hint="eastAsia" w:ascii="宋体" w:hAnsi="宋体" w:eastAsia="宋体" w:cs="宋体"/>
                <w:sz w:val="21"/>
                <w:szCs w:val="21"/>
                <w:lang w:val="en-US" w:eastAsia="zh-CN"/>
              </w:rPr>
              <w:t>≥</w:t>
            </w:r>
            <w:r>
              <w:rPr>
                <w:rFonts w:hint="eastAsia" w:ascii="宋体" w:hAnsi="宋体" w:eastAsia="宋体" w:cs="宋体"/>
                <w:sz w:val="21"/>
                <w:szCs w:val="21"/>
                <w:vertAlign w:val="baseline"/>
              </w:rPr>
              <w:t>：黑白约7ipm, 彩色约4ipm (A4,普通模式) *1；黑白约14ppm, 彩色约11ppm（A4,草稿模式）*2</w:t>
            </w:r>
            <w:r>
              <w:rPr>
                <w:rFonts w:hint="eastAsia" w:ascii="宋体" w:hAnsi="宋体" w:eastAsia="宋体" w:cs="宋体"/>
                <w:sz w:val="21"/>
                <w:szCs w:val="21"/>
                <w:vertAlign w:val="baseline"/>
                <w:lang w:val="en-US" w:eastAsia="zh-CN"/>
              </w:rPr>
              <w:t>;</w:t>
            </w:r>
          </w:p>
          <w:p>
            <w:pPr>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6.</w:t>
            </w:r>
            <w:r>
              <w:rPr>
                <w:rFonts w:hint="eastAsia" w:ascii="宋体" w:hAnsi="宋体" w:eastAsia="宋体" w:cs="宋体"/>
                <w:sz w:val="21"/>
                <w:szCs w:val="21"/>
                <w:vertAlign w:val="baseline"/>
              </w:rPr>
              <w:t>打印机接口:USB ：高速USB</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rPr>
              <w:t>无线接口 ：IEEE802.11b/g/n, IEEE802.11a/n/acWi-Fi Direct：支持</w:t>
            </w:r>
            <w:r>
              <w:rPr>
                <w:rFonts w:hint="eastAsia" w:ascii="宋体" w:hAnsi="宋体" w:eastAsia="宋体" w:cs="宋体"/>
                <w:sz w:val="21"/>
                <w:szCs w:val="21"/>
                <w:vertAlign w:val="baseline"/>
                <w:lang w:val="en-US"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w:t>
            </w:r>
            <w:r>
              <w:rPr>
                <w:rFonts w:hint="eastAsia" w:ascii="宋体" w:hAnsi="宋体" w:eastAsia="宋体" w:cs="宋体"/>
                <w:sz w:val="21"/>
                <w:szCs w:val="21"/>
                <w:vertAlign w:val="baseline"/>
              </w:rPr>
              <w:t>网络协议：TCP/IPv4, TCP/IPv6</w:t>
            </w:r>
            <w:r>
              <w:rPr>
                <w:rFonts w:hint="eastAsia" w:ascii="宋体" w:hAnsi="宋体" w:eastAsia="宋体" w:cs="宋体"/>
                <w:sz w:val="21"/>
                <w:szCs w:val="21"/>
                <w:vertAlign w:val="baseline"/>
                <w:lang w:val="en-US"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w:t>
            </w:r>
            <w:r>
              <w:rPr>
                <w:rFonts w:hint="eastAsia" w:ascii="宋体" w:hAnsi="宋体" w:eastAsia="宋体" w:cs="宋体"/>
                <w:sz w:val="21"/>
                <w:szCs w:val="21"/>
                <w:vertAlign w:val="baseline"/>
              </w:rPr>
              <w:t>纸张进纸方式：摩擦进纸</w:t>
            </w:r>
            <w:r>
              <w:rPr>
                <w:rFonts w:hint="eastAsia" w:ascii="宋体" w:hAnsi="宋体" w:eastAsia="宋体" w:cs="宋体"/>
                <w:sz w:val="21"/>
                <w:szCs w:val="21"/>
                <w:vertAlign w:val="baseline"/>
                <w:lang w:val="en-US"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9.</w:t>
            </w:r>
            <w:r>
              <w:rPr>
                <w:rFonts w:hint="eastAsia" w:ascii="宋体" w:hAnsi="宋体" w:eastAsia="宋体" w:cs="宋体"/>
                <w:sz w:val="21"/>
                <w:szCs w:val="21"/>
                <w:vertAlign w:val="baseline"/>
              </w:rPr>
              <w:t>进纸器：1个（后部）</w:t>
            </w:r>
            <w:r>
              <w:rPr>
                <w:rFonts w:hint="eastAsia" w:ascii="宋体" w:hAnsi="宋体" w:eastAsia="宋体" w:cs="宋体"/>
                <w:sz w:val="21"/>
                <w:szCs w:val="21"/>
                <w:vertAlign w:val="baseline"/>
                <w:lang w:val="en-US"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w:t>
            </w:r>
            <w:r>
              <w:rPr>
                <w:rFonts w:hint="eastAsia" w:ascii="宋体" w:hAnsi="宋体" w:eastAsia="宋体" w:cs="宋体"/>
                <w:sz w:val="21"/>
                <w:szCs w:val="21"/>
                <w:vertAlign w:val="baseline"/>
              </w:rPr>
              <w:t>进纸器容量：</w:t>
            </w:r>
            <w:r>
              <w:rPr>
                <w:rFonts w:hint="eastAsia" w:ascii="宋体" w:hAnsi="宋体" w:eastAsia="宋体" w:cs="宋体"/>
                <w:sz w:val="21"/>
                <w:szCs w:val="21"/>
                <w:lang w:val="en-US" w:eastAsia="zh-CN"/>
              </w:rPr>
              <w:t>≥</w:t>
            </w:r>
            <w:r>
              <w:rPr>
                <w:rFonts w:hint="eastAsia" w:ascii="宋体" w:hAnsi="宋体" w:eastAsia="宋体" w:cs="宋体"/>
                <w:sz w:val="21"/>
                <w:szCs w:val="21"/>
                <w:vertAlign w:val="baseline"/>
              </w:rPr>
              <w:t>20页，A4普通纸（75g/m2）</w:t>
            </w:r>
            <w:r>
              <w:rPr>
                <w:rFonts w:hint="eastAsia" w:ascii="宋体" w:hAnsi="宋体" w:eastAsia="宋体" w:cs="宋体"/>
                <w:sz w:val="21"/>
                <w:szCs w:val="21"/>
                <w:vertAlign w:val="baseline"/>
                <w:lang w:val="en-US"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11.</w:t>
            </w:r>
            <w:r>
              <w:rPr>
                <w:rFonts w:hint="eastAsia" w:ascii="宋体" w:hAnsi="宋体" w:eastAsia="宋体" w:cs="宋体"/>
                <w:sz w:val="21"/>
                <w:szCs w:val="21"/>
                <w:vertAlign w:val="baseline"/>
              </w:rPr>
              <w:t>出纸方向：面朝上</w:t>
            </w:r>
            <w:r>
              <w:rPr>
                <w:rFonts w:hint="eastAsia" w:ascii="宋体" w:hAnsi="宋体" w:eastAsia="宋体" w:cs="宋体"/>
                <w:sz w:val="21"/>
                <w:szCs w:val="21"/>
                <w:vertAlign w:val="baseline"/>
                <w:lang w:val="en-US"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12.</w:t>
            </w:r>
            <w:r>
              <w:rPr>
                <w:rFonts w:hint="eastAsia" w:ascii="宋体" w:hAnsi="宋体" w:eastAsia="宋体" w:cs="宋体"/>
                <w:sz w:val="21"/>
                <w:szCs w:val="21"/>
                <w:vertAlign w:val="baseline"/>
              </w:rPr>
              <w:t>支持最大纸张尺寸： A4</w:t>
            </w:r>
            <w:r>
              <w:rPr>
                <w:rFonts w:hint="eastAsia" w:ascii="宋体" w:hAnsi="宋体" w:eastAsia="宋体" w:cs="宋体"/>
                <w:sz w:val="21"/>
                <w:szCs w:val="21"/>
                <w:vertAlign w:val="baseline"/>
                <w:lang w:val="en-US"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13.</w:t>
            </w:r>
            <w:r>
              <w:rPr>
                <w:rFonts w:hint="eastAsia" w:ascii="宋体" w:hAnsi="宋体" w:eastAsia="宋体" w:cs="宋体"/>
                <w:sz w:val="21"/>
                <w:szCs w:val="21"/>
                <w:vertAlign w:val="baseline"/>
              </w:rPr>
              <w:t>支持纸张重量：普通纸</w:t>
            </w:r>
            <w:r>
              <w:rPr>
                <w:rFonts w:hint="eastAsia" w:ascii="宋体" w:hAnsi="宋体" w:eastAsia="宋体" w:cs="宋体"/>
                <w:sz w:val="21"/>
                <w:szCs w:val="21"/>
                <w:vertAlign w:val="baseline"/>
                <w:lang w:val="en-US" w:eastAsia="zh-CN"/>
              </w:rPr>
              <w:t>约</w:t>
            </w:r>
            <w:r>
              <w:rPr>
                <w:rFonts w:hint="eastAsia" w:ascii="宋体" w:hAnsi="宋体" w:eastAsia="宋体" w:cs="宋体"/>
                <w:sz w:val="21"/>
                <w:szCs w:val="21"/>
                <w:vertAlign w:val="baseline"/>
              </w:rPr>
              <w:t xml:space="preserve"> 64-90g/m2； 高级光面照片纸</w:t>
            </w:r>
            <w:r>
              <w:rPr>
                <w:rFonts w:hint="eastAsia" w:ascii="宋体" w:hAnsi="宋体" w:eastAsia="宋体" w:cs="宋体"/>
                <w:sz w:val="21"/>
                <w:szCs w:val="21"/>
                <w:vertAlign w:val="baseline"/>
                <w:lang w:val="en-US" w:eastAsia="zh-CN"/>
              </w:rPr>
              <w:t>约</w:t>
            </w:r>
            <w:r>
              <w:rPr>
                <w:rFonts w:hint="eastAsia" w:ascii="宋体" w:hAnsi="宋体" w:eastAsia="宋体" w:cs="宋体"/>
                <w:sz w:val="21"/>
                <w:szCs w:val="21"/>
                <w:vertAlign w:val="baseline"/>
              </w:rPr>
              <w:t xml:space="preserve"> 102-300g/m2</w:t>
            </w:r>
            <w:r>
              <w:rPr>
                <w:rFonts w:hint="eastAsia" w:ascii="宋体" w:hAnsi="宋体" w:eastAsia="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8" w:hRule="atLeast"/>
        </w:trPr>
        <w:tc>
          <w:tcPr>
            <w:tcW w:w="1076" w:type="dxa"/>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9</w:t>
            </w:r>
          </w:p>
        </w:tc>
        <w:tc>
          <w:tcPr>
            <w:tcW w:w="2679" w:type="dxa"/>
          </w:tcPr>
          <w:p>
            <w:pPr>
              <w:jc w:val="center"/>
              <w:rPr>
                <w:rFonts w:hint="eastAsia" w:ascii="宋体" w:hAnsi="宋体" w:eastAsia="宋体" w:cs="宋体"/>
                <w:sz w:val="21"/>
                <w:szCs w:val="21"/>
                <w:highlight w:val="red"/>
                <w:vertAlign w:val="baseline"/>
              </w:rPr>
            </w:pPr>
            <w:r>
              <w:rPr>
                <w:rFonts w:hint="eastAsia" w:ascii="宋体" w:hAnsi="宋体" w:eastAsia="宋体" w:cs="宋体"/>
                <w:sz w:val="21"/>
                <w:szCs w:val="21"/>
                <w:highlight w:val="none"/>
                <w:vertAlign w:val="baseline"/>
              </w:rPr>
              <w:t>针式打印机</w:t>
            </w:r>
          </w:p>
        </w:tc>
        <w:tc>
          <w:tcPr>
            <w:tcW w:w="1224" w:type="dxa"/>
          </w:tcPr>
          <w:p>
            <w:pPr>
              <w:jc w:val="cente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2台</w:t>
            </w:r>
          </w:p>
        </w:tc>
        <w:tc>
          <w:tcPr>
            <w:tcW w:w="4519" w:type="dxa"/>
          </w:tcPr>
          <w:p>
            <w:pP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一、</w:t>
            </w:r>
            <w:r>
              <w:rPr>
                <w:rFonts w:hint="eastAsia" w:ascii="宋体" w:hAnsi="宋体" w:eastAsia="宋体" w:cs="宋体"/>
                <w:sz w:val="21"/>
                <w:szCs w:val="21"/>
                <w:highlight w:val="none"/>
                <w:vertAlign w:val="baseline"/>
              </w:rPr>
              <w:t>功能</w:t>
            </w:r>
            <w:r>
              <w:rPr>
                <w:rFonts w:hint="eastAsia" w:ascii="宋体" w:hAnsi="宋体" w:eastAsia="宋体" w:cs="宋体"/>
                <w:sz w:val="21"/>
                <w:szCs w:val="21"/>
                <w:highlight w:val="none"/>
                <w:vertAlign w:val="baseline"/>
                <w:lang w:val="en-US" w:eastAsia="zh-CN"/>
              </w:rPr>
              <w:t>要求</w:t>
            </w:r>
          </w:p>
          <w:p>
            <w:pPr>
              <w:rPr>
                <w:rFonts w:hint="eastAsia" w:ascii="宋体" w:hAnsi="宋体" w:eastAsia="宋体" w:cs="宋体"/>
                <w:sz w:val="21"/>
                <w:szCs w:val="21"/>
                <w:highlight w:val="none"/>
                <w:vertAlign w:val="baseline"/>
                <w:lang w:eastAsia="zh-CN"/>
              </w:rPr>
            </w:pPr>
            <w:r>
              <w:rPr>
                <w:rFonts w:hint="eastAsia" w:ascii="宋体" w:hAnsi="宋体" w:eastAsia="宋体" w:cs="宋体"/>
                <w:sz w:val="21"/>
                <w:szCs w:val="21"/>
                <w:highlight w:val="none"/>
                <w:vertAlign w:val="baseline"/>
                <w:lang w:val="en-US" w:eastAsia="zh-CN"/>
              </w:rPr>
              <w:t>1.</w:t>
            </w:r>
            <w:r>
              <w:rPr>
                <w:rFonts w:hint="eastAsia" w:ascii="宋体" w:hAnsi="宋体" w:eastAsia="宋体" w:cs="宋体"/>
                <w:sz w:val="21"/>
                <w:szCs w:val="21"/>
                <w:highlight w:val="none"/>
                <w:vertAlign w:val="baseline"/>
              </w:rPr>
              <w:t>复写能力</w:t>
            </w:r>
            <w:r>
              <w:rPr>
                <w:rFonts w:hint="eastAsia" w:ascii="宋体" w:hAnsi="宋体" w:eastAsia="宋体" w:cs="宋体"/>
                <w:sz w:val="21"/>
                <w:szCs w:val="21"/>
                <w:highlight w:val="none"/>
                <w:vertAlign w:val="baseline"/>
                <w:lang w:eastAsia="zh-CN"/>
              </w:rPr>
              <w:t>：</w:t>
            </w:r>
            <w:r>
              <w:rPr>
                <w:rFonts w:hint="eastAsia" w:ascii="宋体" w:hAnsi="宋体" w:eastAsia="宋体" w:cs="宋体"/>
                <w:sz w:val="21"/>
                <w:szCs w:val="21"/>
                <w:highlight w:val="none"/>
                <w:vertAlign w:val="baseline"/>
              </w:rPr>
              <w:t>≥7份（1份原件+6份拷贝）</w:t>
            </w:r>
            <w:r>
              <w:rPr>
                <w:rFonts w:hint="eastAsia" w:ascii="宋体" w:hAnsi="宋体" w:eastAsia="宋体" w:cs="宋体"/>
                <w:sz w:val="21"/>
                <w:szCs w:val="21"/>
                <w:highlight w:val="none"/>
                <w:vertAlign w:val="baseline"/>
                <w:lang w:eastAsia="zh-CN"/>
              </w:rPr>
              <w:t>；</w:t>
            </w:r>
          </w:p>
          <w:p>
            <w:pPr>
              <w:rPr>
                <w:rFonts w:hint="eastAsia" w:ascii="宋体" w:hAnsi="宋体" w:eastAsia="宋体" w:cs="宋体"/>
                <w:sz w:val="21"/>
                <w:szCs w:val="21"/>
                <w:highlight w:val="none"/>
                <w:vertAlign w:val="baseline"/>
                <w:lang w:eastAsia="zh-CN"/>
              </w:rPr>
            </w:pPr>
            <w:r>
              <w:rPr>
                <w:rFonts w:hint="eastAsia" w:ascii="宋体" w:hAnsi="宋体" w:eastAsia="宋体" w:cs="宋体"/>
                <w:sz w:val="21"/>
                <w:szCs w:val="21"/>
                <w:highlight w:val="none"/>
                <w:vertAlign w:val="baseline"/>
                <w:lang w:val="en-US" w:eastAsia="zh-CN"/>
              </w:rPr>
              <w:t>2.</w:t>
            </w:r>
            <w:r>
              <w:rPr>
                <w:rFonts w:hint="eastAsia" w:ascii="宋体" w:hAnsi="宋体" w:eastAsia="宋体" w:cs="宋体"/>
                <w:sz w:val="21"/>
                <w:szCs w:val="21"/>
                <w:highlight w:val="none"/>
                <w:vertAlign w:val="baseline"/>
              </w:rPr>
              <w:t>列宽</w:t>
            </w:r>
            <w:r>
              <w:rPr>
                <w:rFonts w:hint="eastAsia" w:ascii="宋体" w:hAnsi="宋体" w:eastAsia="宋体" w:cs="宋体"/>
                <w:sz w:val="21"/>
                <w:szCs w:val="21"/>
                <w:highlight w:val="none"/>
                <w:vertAlign w:val="baseline"/>
                <w:lang w:eastAsia="zh-CN"/>
              </w:rPr>
              <w:t>：</w:t>
            </w:r>
            <w:r>
              <w:rPr>
                <w:rFonts w:hint="eastAsia" w:ascii="宋体" w:hAnsi="宋体" w:eastAsia="宋体" w:cs="宋体"/>
                <w:sz w:val="21"/>
                <w:szCs w:val="21"/>
                <w:highlight w:val="none"/>
                <w:vertAlign w:val="baseline"/>
              </w:rPr>
              <w:t>≥106列</w:t>
            </w:r>
            <w:r>
              <w:rPr>
                <w:rFonts w:hint="eastAsia" w:ascii="宋体" w:hAnsi="宋体" w:eastAsia="宋体" w:cs="宋体"/>
                <w:sz w:val="21"/>
                <w:szCs w:val="21"/>
                <w:highlight w:val="none"/>
                <w:vertAlign w:val="baseline"/>
                <w:lang w:eastAsia="zh-CN"/>
              </w:rPr>
              <w:t>；</w:t>
            </w:r>
          </w:p>
          <w:p>
            <w:pPr>
              <w:rPr>
                <w:rFonts w:hint="eastAsia" w:ascii="宋体" w:hAnsi="宋体" w:eastAsia="宋体" w:cs="宋体"/>
                <w:sz w:val="21"/>
                <w:szCs w:val="21"/>
                <w:highlight w:val="none"/>
                <w:vertAlign w:val="baseline"/>
                <w:lang w:eastAsia="zh-CN"/>
              </w:rPr>
            </w:pPr>
            <w:r>
              <w:rPr>
                <w:rFonts w:hint="eastAsia" w:ascii="宋体" w:hAnsi="宋体" w:eastAsia="宋体" w:cs="宋体"/>
                <w:sz w:val="21"/>
                <w:szCs w:val="21"/>
                <w:highlight w:val="none"/>
                <w:vertAlign w:val="baseline"/>
                <w:lang w:val="en-US" w:eastAsia="zh-CN"/>
              </w:rPr>
              <w:t>3.</w:t>
            </w:r>
            <w:r>
              <w:rPr>
                <w:rFonts w:hint="eastAsia" w:ascii="宋体" w:hAnsi="宋体" w:eastAsia="宋体" w:cs="宋体"/>
                <w:sz w:val="21"/>
                <w:szCs w:val="21"/>
                <w:highlight w:val="none"/>
                <w:vertAlign w:val="baseline"/>
              </w:rPr>
              <w:t>打印厚度</w:t>
            </w:r>
            <w:r>
              <w:rPr>
                <w:rFonts w:hint="eastAsia" w:ascii="宋体" w:hAnsi="宋体" w:eastAsia="宋体" w:cs="宋体"/>
                <w:sz w:val="21"/>
                <w:szCs w:val="21"/>
                <w:highlight w:val="none"/>
                <w:vertAlign w:val="baseline"/>
                <w:lang w:val="en-US" w:eastAsia="zh-CN"/>
              </w:rPr>
              <w:t>：</w:t>
            </w:r>
            <w:r>
              <w:rPr>
                <w:rFonts w:hint="eastAsia" w:ascii="宋体" w:hAnsi="宋体" w:eastAsia="宋体" w:cs="宋体"/>
                <w:sz w:val="21"/>
                <w:szCs w:val="21"/>
                <w:highlight w:val="none"/>
                <w:vertAlign w:val="baseline"/>
              </w:rPr>
              <w:t>≥0.065-3.6mm</w:t>
            </w:r>
            <w:r>
              <w:rPr>
                <w:rFonts w:hint="eastAsia" w:ascii="宋体" w:hAnsi="宋体" w:eastAsia="宋体" w:cs="宋体"/>
                <w:sz w:val="21"/>
                <w:szCs w:val="21"/>
                <w:highlight w:val="none"/>
                <w:vertAlign w:val="baseline"/>
                <w:lang w:eastAsia="zh-CN"/>
              </w:rPr>
              <w:t>；</w:t>
            </w:r>
          </w:p>
          <w:p>
            <w:pP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4.</w:t>
            </w:r>
            <w:r>
              <w:rPr>
                <w:rFonts w:hint="eastAsia" w:ascii="宋体" w:hAnsi="宋体" w:eastAsia="宋体" w:cs="宋体"/>
                <w:sz w:val="21"/>
                <w:szCs w:val="21"/>
                <w:highlight w:val="none"/>
                <w:vertAlign w:val="baseline"/>
              </w:rPr>
              <w:t>针数</w:t>
            </w:r>
            <w:r>
              <w:rPr>
                <w:rFonts w:hint="eastAsia" w:ascii="宋体" w:hAnsi="宋体" w:eastAsia="宋体" w:cs="宋体"/>
                <w:sz w:val="21"/>
                <w:szCs w:val="21"/>
                <w:highlight w:val="none"/>
                <w:vertAlign w:val="baseline"/>
                <w:lang w:eastAsia="zh-CN"/>
              </w:rPr>
              <w:t>：</w:t>
            </w:r>
            <w:r>
              <w:rPr>
                <w:rFonts w:hint="eastAsia" w:ascii="宋体" w:hAnsi="宋体" w:eastAsia="宋体" w:cs="宋体"/>
                <w:sz w:val="21"/>
                <w:szCs w:val="21"/>
                <w:highlight w:val="none"/>
                <w:vertAlign w:val="baseline"/>
              </w:rPr>
              <w:t>≥24针</w:t>
            </w:r>
            <w:r>
              <w:rPr>
                <w:rFonts w:hint="eastAsia" w:ascii="宋体" w:hAnsi="宋体" w:eastAsia="宋体" w:cs="宋体"/>
                <w:sz w:val="21"/>
                <w:szCs w:val="21"/>
                <w:highlight w:val="none"/>
                <w:vertAlign w:val="baseline"/>
                <w:lang w:val="en-US" w:eastAsia="zh-CN"/>
              </w:rPr>
              <w:t>;</w:t>
            </w:r>
          </w:p>
          <w:p>
            <w:pP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二、</w:t>
            </w:r>
            <w:r>
              <w:rPr>
                <w:rFonts w:hint="eastAsia" w:ascii="宋体" w:hAnsi="宋体" w:eastAsia="宋体" w:cs="宋体"/>
                <w:sz w:val="21"/>
                <w:szCs w:val="21"/>
                <w:highlight w:val="none"/>
                <w:vertAlign w:val="baseline"/>
              </w:rPr>
              <w:t>参数</w:t>
            </w:r>
            <w:r>
              <w:rPr>
                <w:rFonts w:hint="eastAsia" w:ascii="宋体" w:hAnsi="宋体" w:eastAsia="宋体" w:cs="宋体"/>
                <w:sz w:val="21"/>
                <w:szCs w:val="21"/>
                <w:highlight w:val="none"/>
                <w:vertAlign w:val="baseline"/>
                <w:lang w:val="en-US" w:eastAsia="zh-CN"/>
              </w:rPr>
              <w:t>要求</w:t>
            </w:r>
          </w:p>
          <w:p>
            <w:pPr>
              <w:rPr>
                <w:rFonts w:hint="eastAsia" w:ascii="宋体" w:hAnsi="宋体" w:eastAsia="宋体" w:cs="宋体"/>
                <w:sz w:val="21"/>
                <w:szCs w:val="21"/>
                <w:highlight w:val="none"/>
                <w:vertAlign w:val="baseline"/>
                <w:lang w:eastAsia="zh-CN"/>
              </w:rPr>
            </w:pPr>
            <w:r>
              <w:rPr>
                <w:rFonts w:hint="eastAsia" w:ascii="宋体" w:hAnsi="宋体" w:eastAsia="宋体" w:cs="宋体"/>
                <w:sz w:val="21"/>
                <w:szCs w:val="21"/>
                <w:highlight w:val="none"/>
                <w:vertAlign w:val="baseline"/>
                <w:lang w:val="en-US" w:eastAsia="zh-CN"/>
              </w:rPr>
              <w:t>1.</w:t>
            </w:r>
            <w:r>
              <w:rPr>
                <w:rFonts w:hint="eastAsia" w:ascii="宋体" w:hAnsi="宋体" w:eastAsia="宋体" w:cs="宋体"/>
                <w:sz w:val="21"/>
                <w:szCs w:val="21"/>
                <w:highlight w:val="none"/>
                <w:vertAlign w:val="baseline"/>
              </w:rPr>
              <w:t>进纸方式</w:t>
            </w:r>
            <w:r>
              <w:rPr>
                <w:rFonts w:hint="eastAsia" w:ascii="宋体" w:hAnsi="宋体" w:eastAsia="宋体" w:cs="宋体"/>
                <w:sz w:val="21"/>
                <w:szCs w:val="21"/>
                <w:highlight w:val="none"/>
                <w:vertAlign w:val="baseline"/>
                <w:lang w:eastAsia="zh-CN"/>
              </w:rPr>
              <w:t>：</w:t>
            </w:r>
            <w:r>
              <w:rPr>
                <w:rFonts w:hint="eastAsia" w:ascii="宋体" w:hAnsi="宋体" w:eastAsia="宋体" w:cs="宋体"/>
                <w:sz w:val="21"/>
                <w:szCs w:val="21"/>
                <w:highlight w:val="none"/>
                <w:vertAlign w:val="baseline"/>
              </w:rPr>
              <w:t>前后进纸</w:t>
            </w:r>
            <w:r>
              <w:rPr>
                <w:rFonts w:hint="eastAsia" w:ascii="宋体" w:hAnsi="宋体" w:eastAsia="宋体" w:cs="宋体"/>
                <w:sz w:val="21"/>
                <w:szCs w:val="21"/>
                <w:highlight w:val="none"/>
                <w:vertAlign w:val="baseline"/>
                <w:lang w:eastAsia="zh-CN"/>
              </w:rPr>
              <w:t>；</w:t>
            </w:r>
          </w:p>
          <w:p>
            <w:pPr>
              <w:rPr>
                <w:rFonts w:hint="eastAsia" w:ascii="宋体" w:hAnsi="宋体" w:eastAsia="宋体" w:cs="宋体"/>
                <w:sz w:val="21"/>
                <w:szCs w:val="21"/>
                <w:highlight w:val="none"/>
                <w:vertAlign w:val="baseline"/>
                <w:lang w:eastAsia="zh-CN"/>
              </w:rPr>
            </w:pPr>
            <w:r>
              <w:rPr>
                <w:rFonts w:hint="eastAsia" w:ascii="宋体" w:hAnsi="宋体" w:eastAsia="宋体" w:cs="宋体"/>
                <w:sz w:val="21"/>
                <w:szCs w:val="21"/>
                <w:highlight w:val="none"/>
                <w:vertAlign w:val="baseline"/>
                <w:lang w:val="en-US" w:eastAsia="zh-CN"/>
              </w:rPr>
              <w:t>2.</w:t>
            </w:r>
            <w:r>
              <w:rPr>
                <w:rFonts w:hint="eastAsia" w:ascii="宋体" w:hAnsi="宋体" w:eastAsia="宋体" w:cs="宋体"/>
                <w:sz w:val="21"/>
                <w:szCs w:val="21"/>
                <w:highlight w:val="none"/>
                <w:vertAlign w:val="baseline"/>
              </w:rPr>
              <w:t>端口</w:t>
            </w:r>
            <w:r>
              <w:rPr>
                <w:rFonts w:hint="eastAsia" w:ascii="宋体" w:hAnsi="宋体" w:eastAsia="宋体" w:cs="宋体"/>
                <w:sz w:val="21"/>
                <w:szCs w:val="21"/>
                <w:highlight w:val="none"/>
                <w:vertAlign w:val="baseline"/>
                <w:lang w:eastAsia="zh-CN"/>
              </w:rPr>
              <w:t>：</w:t>
            </w:r>
            <w:r>
              <w:rPr>
                <w:rFonts w:hint="eastAsia" w:ascii="宋体" w:hAnsi="宋体" w:eastAsia="宋体" w:cs="宋体"/>
                <w:sz w:val="21"/>
                <w:szCs w:val="21"/>
                <w:highlight w:val="none"/>
                <w:vertAlign w:val="baseline"/>
              </w:rPr>
              <w:t>IEEE - 1284 双向并行接口；USB</w:t>
            </w:r>
            <w:r>
              <w:rPr>
                <w:rFonts w:hint="eastAsia" w:ascii="宋体" w:hAnsi="宋体" w:eastAsia="宋体" w:cs="宋体"/>
                <w:sz w:val="21"/>
                <w:szCs w:val="21"/>
                <w:highlight w:val="none"/>
                <w:vertAlign w:val="baseline"/>
                <w:lang w:eastAsia="zh-CN"/>
              </w:rPr>
              <w:t>；</w:t>
            </w:r>
          </w:p>
          <w:p>
            <w:pPr>
              <w:rPr>
                <w:rFonts w:hint="eastAsia" w:ascii="宋体" w:hAnsi="宋体" w:eastAsia="宋体" w:cs="宋体"/>
                <w:sz w:val="21"/>
                <w:szCs w:val="21"/>
                <w:highlight w:val="none"/>
                <w:vertAlign w:val="baseline"/>
              </w:rPr>
            </w:pPr>
            <w:r>
              <w:rPr>
                <w:rFonts w:hint="eastAsia" w:ascii="宋体" w:hAnsi="宋体" w:eastAsia="宋体" w:cs="宋体"/>
                <w:sz w:val="21"/>
                <w:szCs w:val="21"/>
                <w:highlight w:val="none"/>
                <w:vertAlign w:val="baseline"/>
                <w:lang w:val="en-US" w:eastAsia="zh-CN"/>
              </w:rPr>
              <w:t xml:space="preserve">3.打印方式：24针击打式点阵打印 </w:t>
            </w:r>
          </w:p>
          <w:p>
            <w:pP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4.ESC/P-K、IBM PPDS仿真、OKI5530SC仿真 ；</w:t>
            </w:r>
          </w:p>
          <w:p>
            <w:pP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5.操作系统：Microsoft® Windows® 2000/XP/7、Microsoft® Windows Vista；</w:t>
            </w:r>
          </w:p>
          <w:p>
            <w:pP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三、耗材</w:t>
            </w:r>
          </w:p>
          <w:p>
            <w:pPr>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1.色带架：黑色色带架S015630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5" w:hRule="atLeast"/>
        </w:trPr>
        <w:tc>
          <w:tcPr>
            <w:tcW w:w="1076" w:type="dxa"/>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w:t>
            </w:r>
          </w:p>
        </w:tc>
        <w:tc>
          <w:tcPr>
            <w:tcW w:w="2679" w:type="dxa"/>
          </w:tcPr>
          <w:p>
            <w:pPr>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碎纸机</w:t>
            </w:r>
          </w:p>
        </w:tc>
        <w:tc>
          <w:tcPr>
            <w:tcW w:w="1224" w:type="dxa"/>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30台</w:t>
            </w:r>
          </w:p>
        </w:tc>
        <w:tc>
          <w:tcPr>
            <w:tcW w:w="4519" w:type="dxa"/>
          </w:tcPr>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r>
              <w:rPr>
                <w:rFonts w:hint="eastAsia" w:ascii="宋体" w:hAnsi="宋体" w:eastAsia="宋体" w:cs="宋体"/>
                <w:sz w:val="21"/>
                <w:szCs w:val="21"/>
                <w:vertAlign w:val="baseline"/>
              </w:rPr>
              <w:t>入口个数：</w:t>
            </w:r>
            <w:r>
              <w:rPr>
                <w:rFonts w:hint="eastAsia" w:ascii="宋体" w:hAnsi="宋体" w:eastAsia="宋体" w:cs="宋体"/>
                <w:sz w:val="21"/>
                <w:szCs w:val="21"/>
                <w:highlight w:val="none"/>
                <w:vertAlign w:val="baseline"/>
              </w:rPr>
              <w:t>≥</w:t>
            </w:r>
            <w:r>
              <w:rPr>
                <w:rFonts w:hint="eastAsia" w:ascii="宋体" w:hAnsi="宋体" w:eastAsia="宋体" w:cs="宋体"/>
                <w:sz w:val="21"/>
                <w:szCs w:val="21"/>
                <w:vertAlign w:val="baseline"/>
              </w:rPr>
              <w:t>2个（双刀双入口）</w:t>
            </w:r>
            <w:r>
              <w:rPr>
                <w:rFonts w:hint="eastAsia" w:ascii="宋体" w:hAnsi="宋体" w:eastAsia="宋体" w:cs="宋体"/>
                <w:sz w:val="21"/>
                <w:szCs w:val="21"/>
                <w:vertAlign w:val="baseline"/>
                <w:lang w:val="en-US" w:eastAsia="zh-CN"/>
              </w:rPr>
              <w:t>;</w:t>
            </w:r>
          </w:p>
          <w:p>
            <w:pPr>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2.</w:t>
            </w:r>
            <w:r>
              <w:rPr>
                <w:rFonts w:hint="eastAsia" w:ascii="宋体" w:hAnsi="宋体" w:eastAsia="宋体" w:cs="宋体"/>
                <w:sz w:val="21"/>
                <w:szCs w:val="21"/>
                <w:vertAlign w:val="baseline"/>
              </w:rPr>
              <w:t>碎纸张数：</w:t>
            </w:r>
            <w:r>
              <w:rPr>
                <w:rFonts w:hint="eastAsia" w:ascii="宋体" w:hAnsi="宋体" w:eastAsia="宋体" w:cs="宋体"/>
                <w:sz w:val="21"/>
                <w:szCs w:val="21"/>
                <w:highlight w:val="none"/>
                <w:vertAlign w:val="baseline"/>
              </w:rPr>
              <w:t>≥</w:t>
            </w:r>
            <w:r>
              <w:rPr>
                <w:rFonts w:hint="eastAsia" w:ascii="宋体" w:hAnsi="宋体" w:eastAsia="宋体" w:cs="宋体"/>
                <w:sz w:val="21"/>
                <w:szCs w:val="21"/>
                <w:vertAlign w:val="baseline"/>
              </w:rPr>
              <w:t>12张；</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r>
              <w:rPr>
                <w:rFonts w:hint="eastAsia" w:ascii="宋体" w:hAnsi="宋体" w:eastAsia="宋体" w:cs="宋体"/>
                <w:sz w:val="21"/>
                <w:szCs w:val="21"/>
                <w:vertAlign w:val="baseline"/>
              </w:rPr>
              <w:t>碎纸尺寸：</w:t>
            </w:r>
            <w:r>
              <w:rPr>
                <w:rFonts w:hint="eastAsia" w:ascii="宋体" w:hAnsi="宋体" w:eastAsia="宋体" w:cs="宋体"/>
                <w:sz w:val="21"/>
                <w:szCs w:val="21"/>
                <w:highlight w:val="none"/>
                <w:vertAlign w:val="baseline"/>
              </w:rPr>
              <w:t>≥</w:t>
            </w:r>
            <w:r>
              <w:rPr>
                <w:rFonts w:hint="eastAsia" w:ascii="宋体" w:hAnsi="宋体" w:eastAsia="宋体" w:cs="宋体"/>
                <w:sz w:val="21"/>
                <w:szCs w:val="21"/>
                <w:vertAlign w:val="baseline"/>
              </w:rPr>
              <w:t>2*15mm</w:t>
            </w:r>
            <w:r>
              <w:rPr>
                <w:rFonts w:hint="eastAsia" w:ascii="宋体" w:hAnsi="宋体" w:eastAsia="宋体" w:cs="宋体"/>
                <w:sz w:val="21"/>
                <w:szCs w:val="21"/>
                <w:vertAlign w:val="baseline"/>
                <w:lang w:val="en-US" w:eastAsia="zh-CN"/>
              </w:rPr>
              <w:t>;</w:t>
            </w:r>
          </w:p>
          <w:p>
            <w:pPr>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4.</w:t>
            </w:r>
            <w:r>
              <w:rPr>
                <w:rFonts w:hint="eastAsia" w:ascii="宋体" w:hAnsi="宋体" w:eastAsia="宋体" w:cs="宋体"/>
                <w:sz w:val="21"/>
                <w:szCs w:val="21"/>
                <w:vertAlign w:val="baseline"/>
              </w:rPr>
              <w:t>连续碎纸时间：</w:t>
            </w:r>
            <w:r>
              <w:rPr>
                <w:rFonts w:hint="eastAsia" w:ascii="宋体" w:hAnsi="宋体" w:eastAsia="宋体" w:cs="宋体"/>
                <w:sz w:val="21"/>
                <w:szCs w:val="21"/>
                <w:highlight w:val="none"/>
                <w:vertAlign w:val="baseline"/>
              </w:rPr>
              <w:t>≥</w:t>
            </w:r>
            <w:r>
              <w:rPr>
                <w:rFonts w:hint="eastAsia" w:ascii="宋体" w:hAnsi="宋体" w:eastAsia="宋体" w:cs="宋体"/>
                <w:sz w:val="21"/>
                <w:szCs w:val="21"/>
                <w:vertAlign w:val="baseline"/>
              </w:rPr>
              <w:t>60分钟;</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r>
              <w:rPr>
                <w:rFonts w:hint="eastAsia" w:ascii="宋体" w:hAnsi="宋体" w:eastAsia="宋体" w:cs="宋体"/>
                <w:sz w:val="21"/>
                <w:szCs w:val="21"/>
                <w:vertAlign w:val="baseline"/>
              </w:rPr>
              <w:t>保密程度：5级</w:t>
            </w:r>
            <w:r>
              <w:rPr>
                <w:rFonts w:hint="eastAsia" w:ascii="宋体" w:hAnsi="宋体" w:eastAsia="宋体" w:cs="宋体"/>
                <w:sz w:val="21"/>
                <w:szCs w:val="21"/>
                <w:vertAlign w:val="baseline"/>
                <w:lang w:val="en-US"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w:t>
            </w:r>
            <w:r>
              <w:rPr>
                <w:rFonts w:hint="eastAsia" w:ascii="宋体" w:hAnsi="宋体" w:eastAsia="宋体" w:cs="宋体"/>
                <w:sz w:val="21"/>
                <w:szCs w:val="21"/>
                <w:vertAlign w:val="baseline"/>
              </w:rPr>
              <w:t>可碎介质：纸、订书针、信用卡、光盘</w:t>
            </w:r>
            <w:r>
              <w:rPr>
                <w:rFonts w:hint="eastAsia" w:ascii="宋体" w:hAnsi="宋体" w:eastAsia="宋体" w:cs="宋体"/>
                <w:sz w:val="21"/>
                <w:szCs w:val="21"/>
                <w:vertAlign w:val="baseline"/>
                <w:lang w:val="en-US" w:eastAsia="zh-CN"/>
              </w:rPr>
              <w:t>;</w:t>
            </w:r>
          </w:p>
          <w:p>
            <w:pPr>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7.</w:t>
            </w:r>
            <w:r>
              <w:rPr>
                <w:rFonts w:hint="eastAsia" w:ascii="宋体" w:hAnsi="宋体" w:eastAsia="宋体" w:cs="宋体"/>
                <w:sz w:val="21"/>
                <w:szCs w:val="21"/>
                <w:vertAlign w:val="baseline"/>
              </w:rPr>
              <w:t>碎纸速度：</w:t>
            </w:r>
            <w:r>
              <w:rPr>
                <w:rFonts w:hint="eastAsia" w:ascii="宋体" w:hAnsi="宋体" w:eastAsia="宋体" w:cs="宋体"/>
                <w:sz w:val="21"/>
                <w:szCs w:val="21"/>
                <w:lang w:val="en-US" w:eastAsia="zh-CN"/>
              </w:rPr>
              <w:t>≥</w:t>
            </w:r>
            <w:r>
              <w:rPr>
                <w:rFonts w:hint="eastAsia" w:ascii="宋体" w:hAnsi="宋体" w:eastAsia="宋体" w:cs="宋体"/>
                <w:sz w:val="21"/>
                <w:szCs w:val="21"/>
                <w:vertAlign w:val="baseline"/>
              </w:rPr>
              <w:t>2m/min；</w:t>
            </w:r>
          </w:p>
          <w:p>
            <w:pPr>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8.</w:t>
            </w:r>
            <w:r>
              <w:rPr>
                <w:rFonts w:hint="eastAsia" w:ascii="宋体" w:hAnsi="宋体" w:eastAsia="宋体" w:cs="宋体"/>
                <w:sz w:val="21"/>
                <w:szCs w:val="21"/>
                <w:vertAlign w:val="baseline"/>
              </w:rPr>
              <w:t>机器噪音：&lt;55dB;</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9.</w:t>
            </w:r>
            <w:r>
              <w:rPr>
                <w:rFonts w:hint="eastAsia" w:ascii="宋体" w:hAnsi="宋体" w:eastAsia="宋体" w:cs="宋体"/>
                <w:sz w:val="21"/>
                <w:szCs w:val="21"/>
                <w:vertAlign w:val="baseline"/>
              </w:rPr>
              <w:t>纸屑桶方式：抽屉式、滚轮</w:t>
            </w:r>
            <w:r>
              <w:rPr>
                <w:rFonts w:hint="eastAsia" w:ascii="宋体" w:hAnsi="宋体" w:eastAsia="宋体" w:cs="宋体"/>
                <w:sz w:val="21"/>
                <w:szCs w:val="21"/>
                <w:vertAlign w:val="baseline"/>
                <w:lang w:val="en-US"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10.</w:t>
            </w:r>
            <w:r>
              <w:rPr>
                <w:rFonts w:hint="eastAsia" w:ascii="宋体" w:hAnsi="宋体" w:eastAsia="宋体" w:cs="宋体"/>
                <w:sz w:val="21"/>
                <w:szCs w:val="21"/>
                <w:vertAlign w:val="baseline"/>
              </w:rPr>
              <w:t>容量：</w:t>
            </w:r>
            <w:r>
              <w:rPr>
                <w:rFonts w:hint="eastAsia" w:ascii="宋体" w:hAnsi="宋体" w:eastAsia="宋体" w:cs="宋体"/>
                <w:sz w:val="21"/>
                <w:szCs w:val="21"/>
                <w:highlight w:val="none"/>
                <w:vertAlign w:val="baseline"/>
              </w:rPr>
              <w:t>≥</w:t>
            </w:r>
            <w:r>
              <w:rPr>
                <w:rFonts w:hint="eastAsia" w:ascii="宋体" w:hAnsi="宋体" w:eastAsia="宋体" w:cs="宋体"/>
                <w:sz w:val="21"/>
                <w:szCs w:val="21"/>
                <w:vertAlign w:val="baseline"/>
              </w:rPr>
              <w:t>23L</w:t>
            </w:r>
            <w:r>
              <w:rPr>
                <w:rFonts w:hint="eastAsia" w:ascii="宋体" w:hAnsi="宋体" w:eastAsia="宋体" w:cs="宋体"/>
                <w:sz w:val="21"/>
                <w:szCs w:val="21"/>
                <w:vertAlign w:val="baseline"/>
                <w:lang w:val="en-US"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11.</w:t>
            </w:r>
            <w:r>
              <w:rPr>
                <w:rFonts w:hint="eastAsia" w:ascii="宋体" w:hAnsi="宋体" w:eastAsia="宋体" w:cs="宋体"/>
                <w:sz w:val="21"/>
                <w:szCs w:val="21"/>
                <w:vertAlign w:val="baseline"/>
              </w:rPr>
              <w:t>产品净重11（kg）</w:t>
            </w:r>
            <w:r>
              <w:rPr>
                <w:rFonts w:hint="eastAsia" w:ascii="宋体" w:hAnsi="宋体" w:eastAsia="宋体" w:cs="宋体"/>
                <w:sz w:val="21"/>
                <w:szCs w:val="21"/>
                <w:vertAlign w:val="baseline"/>
                <w:lang w:val="en-US" w:eastAsia="zh-CN"/>
              </w:rPr>
              <w:t>;</w:t>
            </w:r>
          </w:p>
          <w:p>
            <w:pPr>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12.</w:t>
            </w:r>
            <w:r>
              <w:rPr>
                <w:rFonts w:hint="eastAsia" w:ascii="宋体" w:hAnsi="宋体" w:eastAsia="宋体" w:cs="宋体"/>
                <w:sz w:val="21"/>
                <w:szCs w:val="21"/>
                <w:vertAlign w:val="baseline"/>
              </w:rPr>
              <w:t>机器尺寸(mm)：360*280*567mm</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13.</w:t>
            </w:r>
            <w:r>
              <w:rPr>
                <w:rFonts w:hint="eastAsia" w:ascii="宋体" w:hAnsi="宋体" w:eastAsia="宋体" w:cs="宋体"/>
                <w:sz w:val="21"/>
                <w:szCs w:val="21"/>
                <w:vertAlign w:val="baseline"/>
              </w:rPr>
              <w:t>特点：双刀双入口，风冷系统，过热过载保护、自动进纸功能、手动进纸/退纸功能、自动防卡纸功能、涡轮风冷</w:t>
            </w:r>
            <w:r>
              <w:rPr>
                <w:rFonts w:hint="eastAsia" w:ascii="宋体" w:hAnsi="宋体" w:eastAsia="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2" w:hRule="atLeast"/>
        </w:trPr>
        <w:tc>
          <w:tcPr>
            <w:tcW w:w="1076" w:type="dxa"/>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11</w:t>
            </w:r>
          </w:p>
        </w:tc>
        <w:tc>
          <w:tcPr>
            <w:tcW w:w="2679" w:type="dxa"/>
          </w:tcPr>
          <w:p>
            <w:pPr>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摄像机</w:t>
            </w:r>
          </w:p>
        </w:tc>
        <w:tc>
          <w:tcPr>
            <w:tcW w:w="1224" w:type="dxa"/>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3台</w:t>
            </w:r>
          </w:p>
        </w:tc>
        <w:tc>
          <w:tcPr>
            <w:tcW w:w="4519" w:type="dxa"/>
          </w:tcPr>
          <w:p>
            <w:pPr>
              <w:numPr>
                <w:ilvl w:val="0"/>
                <w:numId w:val="9"/>
              </w:numPr>
              <w:rPr>
                <w:rFonts w:hint="eastAsia" w:ascii="宋体" w:hAnsi="宋体" w:eastAsia="宋体" w:cs="宋体"/>
                <w:sz w:val="21"/>
                <w:szCs w:val="21"/>
                <w:vertAlign w:val="baseline"/>
              </w:rPr>
            </w:pPr>
            <w:r>
              <w:rPr>
                <w:rFonts w:hint="eastAsia" w:ascii="宋体" w:hAnsi="宋体" w:eastAsia="宋体" w:cs="宋体"/>
                <w:sz w:val="21"/>
                <w:szCs w:val="21"/>
                <w:vertAlign w:val="baseline"/>
              </w:rPr>
              <w:t>功能</w:t>
            </w:r>
            <w:r>
              <w:rPr>
                <w:rFonts w:hint="eastAsia" w:ascii="宋体" w:hAnsi="宋体" w:eastAsia="宋体" w:cs="宋体"/>
                <w:sz w:val="21"/>
                <w:szCs w:val="21"/>
                <w:vertAlign w:val="baseline"/>
                <w:lang w:val="en-US" w:eastAsia="zh-CN"/>
              </w:rPr>
              <w:t>要求</w:t>
            </w:r>
            <w:r>
              <w:rPr>
                <w:rFonts w:hint="eastAsia" w:ascii="宋体" w:hAnsi="宋体" w:eastAsia="宋体" w:cs="宋体"/>
                <w:sz w:val="21"/>
                <w:szCs w:val="21"/>
                <w:vertAlign w:val="baseline"/>
              </w:rPr>
              <w:t xml:space="preserve"> </w:t>
            </w:r>
          </w:p>
          <w:p>
            <w:pPr>
              <w:numPr>
                <w:ilvl w:val="0"/>
                <w:numId w:val="10"/>
              </w:numPr>
              <w:rPr>
                <w:rFonts w:hint="eastAsia" w:ascii="宋体" w:hAnsi="宋体" w:eastAsia="宋体" w:cs="宋体"/>
                <w:sz w:val="21"/>
                <w:szCs w:val="21"/>
                <w:vertAlign w:val="baseline"/>
              </w:rPr>
            </w:pPr>
            <w:r>
              <w:rPr>
                <w:rFonts w:hint="eastAsia" w:ascii="宋体" w:hAnsi="宋体" w:eastAsia="宋体" w:cs="宋体"/>
                <w:sz w:val="21"/>
                <w:szCs w:val="21"/>
                <w:vertAlign w:val="baseline"/>
              </w:rPr>
              <w:t>音效模式：内置麦克风；</w:t>
            </w:r>
          </w:p>
          <w:p>
            <w:pPr>
              <w:numPr>
                <w:ilvl w:val="0"/>
                <w:numId w:val="10"/>
              </w:numPr>
              <w:rPr>
                <w:rFonts w:hint="eastAsia" w:ascii="宋体" w:hAnsi="宋体" w:eastAsia="宋体" w:cs="宋体"/>
                <w:sz w:val="21"/>
                <w:szCs w:val="21"/>
                <w:vertAlign w:val="baseline"/>
              </w:rPr>
            </w:pPr>
            <w:r>
              <w:rPr>
                <w:rFonts w:hint="eastAsia" w:ascii="宋体" w:hAnsi="宋体" w:eastAsia="宋体" w:cs="宋体"/>
                <w:sz w:val="21"/>
                <w:szCs w:val="21"/>
                <w:vertAlign w:val="baseline"/>
              </w:rPr>
              <w:t>传感器尺寸：</w:t>
            </w:r>
            <w:r>
              <w:rPr>
                <w:rFonts w:hint="eastAsia" w:ascii="宋体" w:hAnsi="宋体" w:eastAsia="宋体" w:cs="宋体"/>
                <w:sz w:val="21"/>
                <w:szCs w:val="21"/>
                <w:highlight w:val="none"/>
                <w:vertAlign w:val="baseline"/>
              </w:rPr>
              <w:t>≥</w:t>
            </w:r>
            <w:r>
              <w:rPr>
                <w:rFonts w:hint="eastAsia" w:ascii="宋体" w:hAnsi="宋体" w:eastAsia="宋体" w:cs="宋体"/>
                <w:sz w:val="21"/>
                <w:szCs w:val="21"/>
                <w:vertAlign w:val="baseline"/>
              </w:rPr>
              <w:t>1/5英寸</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二．</w:t>
            </w:r>
            <w:r>
              <w:rPr>
                <w:rFonts w:hint="eastAsia" w:ascii="宋体" w:hAnsi="宋体" w:eastAsia="宋体" w:cs="宋体"/>
                <w:sz w:val="21"/>
                <w:szCs w:val="21"/>
                <w:vertAlign w:val="baseline"/>
              </w:rPr>
              <w:t>参数</w:t>
            </w:r>
            <w:r>
              <w:rPr>
                <w:rFonts w:hint="eastAsia" w:ascii="宋体" w:hAnsi="宋体" w:eastAsia="宋体" w:cs="宋体"/>
                <w:sz w:val="21"/>
                <w:szCs w:val="21"/>
                <w:vertAlign w:val="baseline"/>
                <w:lang w:val="en-US" w:eastAsia="zh-CN"/>
              </w:rPr>
              <w:t>要求</w:t>
            </w:r>
          </w:p>
          <w:p>
            <w:pPr>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1.</w:t>
            </w:r>
            <w:r>
              <w:rPr>
                <w:rFonts w:hint="eastAsia" w:ascii="宋体" w:hAnsi="宋体" w:eastAsia="宋体" w:cs="宋体"/>
                <w:sz w:val="21"/>
                <w:szCs w:val="21"/>
                <w:vertAlign w:val="baseline"/>
              </w:rPr>
              <w:t>光学变焦倍数：</w:t>
            </w:r>
            <w:r>
              <w:rPr>
                <w:rFonts w:hint="eastAsia" w:ascii="宋体" w:hAnsi="宋体" w:eastAsia="宋体" w:cs="宋体"/>
                <w:sz w:val="21"/>
                <w:szCs w:val="21"/>
                <w:highlight w:val="none"/>
                <w:vertAlign w:val="baseline"/>
              </w:rPr>
              <w:t>≥</w:t>
            </w:r>
            <w:r>
              <w:rPr>
                <w:rFonts w:hint="eastAsia" w:ascii="宋体" w:hAnsi="宋体" w:eastAsia="宋体" w:cs="宋体"/>
                <w:sz w:val="21"/>
                <w:szCs w:val="21"/>
                <w:vertAlign w:val="baseline"/>
              </w:rPr>
              <w:t>15-30</w:t>
            </w:r>
          </w:p>
          <w:p>
            <w:pPr>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2.</w:t>
            </w:r>
            <w:r>
              <w:rPr>
                <w:rFonts w:hint="eastAsia" w:ascii="宋体" w:hAnsi="宋体" w:eastAsia="宋体" w:cs="宋体"/>
                <w:sz w:val="21"/>
                <w:szCs w:val="21"/>
                <w:vertAlign w:val="baseline"/>
              </w:rPr>
              <w:t>倍静态有效像素：</w:t>
            </w:r>
            <w:r>
              <w:rPr>
                <w:rFonts w:hint="eastAsia" w:ascii="宋体" w:hAnsi="宋体" w:eastAsia="宋体" w:cs="宋体"/>
                <w:sz w:val="21"/>
                <w:szCs w:val="21"/>
                <w:highlight w:val="none"/>
                <w:vertAlign w:val="baseline"/>
              </w:rPr>
              <w:t>≥</w:t>
            </w:r>
            <w:r>
              <w:rPr>
                <w:rFonts w:hint="eastAsia" w:ascii="宋体" w:hAnsi="宋体" w:eastAsia="宋体" w:cs="宋体"/>
                <w:sz w:val="21"/>
                <w:szCs w:val="21"/>
                <w:vertAlign w:val="baseline"/>
              </w:rPr>
              <w:t>200万</w:t>
            </w:r>
          </w:p>
          <w:p>
            <w:pPr>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3.</w:t>
            </w:r>
            <w:r>
              <w:rPr>
                <w:rFonts w:hint="eastAsia" w:ascii="宋体" w:hAnsi="宋体" w:eastAsia="宋体" w:cs="宋体"/>
                <w:sz w:val="21"/>
                <w:szCs w:val="21"/>
                <w:vertAlign w:val="baseline"/>
              </w:rPr>
              <w:t>存储方式：闪存高清</w:t>
            </w:r>
          </w:p>
          <w:p>
            <w:pPr>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4.</w:t>
            </w:r>
            <w:r>
              <w:rPr>
                <w:rFonts w:hint="eastAsia" w:ascii="宋体" w:hAnsi="宋体" w:eastAsia="宋体" w:cs="宋体"/>
                <w:sz w:val="21"/>
                <w:szCs w:val="21"/>
                <w:vertAlign w:val="baseline"/>
              </w:rPr>
              <w:t>动态有效像素：</w:t>
            </w:r>
            <w:r>
              <w:rPr>
                <w:rFonts w:hint="eastAsia" w:ascii="宋体" w:hAnsi="宋体" w:eastAsia="宋体" w:cs="宋体"/>
                <w:sz w:val="21"/>
                <w:szCs w:val="21"/>
                <w:highlight w:val="none"/>
                <w:vertAlign w:val="baseline"/>
              </w:rPr>
              <w:t>≥</w:t>
            </w:r>
            <w:r>
              <w:rPr>
                <w:rFonts w:hint="eastAsia" w:ascii="宋体" w:hAnsi="宋体" w:eastAsia="宋体" w:cs="宋体"/>
                <w:sz w:val="21"/>
                <w:szCs w:val="21"/>
                <w:vertAlign w:val="baseline"/>
              </w:rPr>
              <w:t>200-299万</w:t>
            </w:r>
          </w:p>
          <w:p>
            <w:pPr>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5.</w:t>
            </w:r>
            <w:r>
              <w:rPr>
                <w:rFonts w:hint="eastAsia" w:ascii="宋体" w:hAnsi="宋体" w:eastAsia="宋体" w:cs="宋体"/>
                <w:sz w:val="21"/>
                <w:szCs w:val="21"/>
                <w:vertAlign w:val="baseline"/>
              </w:rPr>
              <w:t>传感器像素：</w:t>
            </w:r>
            <w:r>
              <w:rPr>
                <w:rFonts w:hint="eastAsia" w:ascii="宋体" w:hAnsi="宋体" w:eastAsia="宋体" w:cs="宋体"/>
                <w:sz w:val="21"/>
                <w:szCs w:val="21"/>
                <w:highlight w:val="none"/>
                <w:vertAlign w:val="baseline"/>
              </w:rPr>
              <w:t>≥</w:t>
            </w:r>
            <w:r>
              <w:rPr>
                <w:rFonts w:hint="eastAsia" w:ascii="宋体" w:hAnsi="宋体" w:eastAsia="宋体" w:cs="宋体"/>
                <w:sz w:val="21"/>
                <w:szCs w:val="21"/>
                <w:vertAlign w:val="baseline"/>
              </w:rPr>
              <w:t>200-299万</w:t>
            </w:r>
          </w:p>
          <w:p>
            <w:pPr>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6</w:t>
            </w:r>
            <w:r>
              <w:rPr>
                <w:rFonts w:hint="eastAsia" w:ascii="宋体" w:hAnsi="宋体" w:eastAsia="宋体" w:cs="宋体"/>
                <w:sz w:val="21"/>
                <w:szCs w:val="21"/>
                <w:vertAlign w:val="baseline"/>
              </w:rPr>
              <w:t xml:space="preserve"> 画幅</w:t>
            </w:r>
            <w:r>
              <w:rPr>
                <w:rFonts w:hint="eastAsia" w:ascii="宋体" w:hAnsi="宋体" w:eastAsia="宋体" w:cs="宋体"/>
                <w:sz w:val="21"/>
                <w:szCs w:val="21"/>
                <w:vertAlign w:val="baseline"/>
                <w:lang w:eastAsia="zh-CN"/>
              </w:rPr>
              <w:t>：</w:t>
            </w:r>
            <w:r>
              <w:rPr>
                <w:rFonts w:hint="eastAsia" w:ascii="宋体" w:hAnsi="宋体" w:eastAsia="宋体" w:cs="宋体"/>
                <w:sz w:val="21"/>
                <w:szCs w:val="21"/>
                <w:highlight w:val="none"/>
                <w:vertAlign w:val="baseline"/>
              </w:rPr>
              <w:t>≥</w:t>
            </w:r>
            <w:r>
              <w:rPr>
                <w:rFonts w:hint="eastAsia" w:ascii="宋体" w:hAnsi="宋体" w:eastAsia="宋体" w:cs="宋体"/>
                <w:sz w:val="21"/>
                <w:szCs w:val="21"/>
                <w:vertAlign w:val="baseline"/>
              </w:rPr>
              <w:t>1/5.8英寸</w:t>
            </w:r>
          </w:p>
          <w:p>
            <w:pPr>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7.</w:t>
            </w:r>
            <w:r>
              <w:rPr>
                <w:rFonts w:hint="eastAsia" w:ascii="宋体" w:hAnsi="宋体" w:eastAsia="宋体" w:cs="宋体"/>
                <w:sz w:val="21"/>
                <w:szCs w:val="21"/>
                <w:vertAlign w:val="baseline"/>
              </w:rPr>
              <w:t>镜头</w:t>
            </w:r>
            <w:r>
              <w:rPr>
                <w:rFonts w:hint="eastAsia" w:ascii="宋体" w:hAnsi="宋体" w:eastAsia="宋体" w:cs="宋体"/>
                <w:sz w:val="21"/>
                <w:szCs w:val="21"/>
                <w:vertAlign w:val="baseline"/>
                <w:lang w:eastAsia="zh-CN"/>
              </w:rPr>
              <w:t>：</w:t>
            </w:r>
            <w:r>
              <w:rPr>
                <w:rFonts w:hint="eastAsia" w:ascii="宋体" w:hAnsi="宋体" w:eastAsia="宋体" w:cs="宋体"/>
                <w:sz w:val="21"/>
                <w:szCs w:val="21"/>
                <w:highlight w:val="none"/>
                <w:vertAlign w:val="baseline"/>
              </w:rPr>
              <w:t>≥</w:t>
            </w:r>
            <w:r>
              <w:rPr>
                <w:rFonts w:hint="eastAsia" w:ascii="宋体" w:hAnsi="宋体" w:eastAsia="宋体" w:cs="宋体"/>
                <w:sz w:val="21"/>
                <w:szCs w:val="21"/>
                <w:vertAlign w:val="baseline"/>
              </w:rPr>
              <w:t xml:space="preserve">滤镜直径55 </w:t>
            </w:r>
          </w:p>
          <w:p>
            <w:pPr>
              <w:numPr>
                <w:ilvl w:val="0"/>
                <w:numId w:val="0"/>
              </w:num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8.</w:t>
            </w:r>
            <w:r>
              <w:rPr>
                <w:rFonts w:hint="eastAsia" w:ascii="宋体" w:hAnsi="宋体" w:eastAsia="宋体" w:cs="宋体"/>
                <w:sz w:val="21"/>
                <w:szCs w:val="21"/>
                <w:vertAlign w:val="baseline"/>
              </w:rPr>
              <w:t>电池类型</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lang w:val="en-US" w:eastAsia="zh-CN"/>
              </w:rPr>
              <w:t>锂电池</w:t>
            </w:r>
          </w:p>
          <w:p>
            <w:pPr>
              <w:numPr>
                <w:ilvl w:val="0"/>
                <w:numId w:val="0"/>
              </w:numPr>
              <w:rPr>
                <w:rFonts w:hint="eastAsia" w:ascii="宋体" w:hAnsi="宋体" w:eastAsia="宋体" w:cs="宋体"/>
                <w:sz w:val="21"/>
                <w:szCs w:val="21"/>
                <w:highlight w:val="none"/>
                <w:vertAlign w:val="baseline"/>
                <w:lang w:eastAsia="zh-CN"/>
              </w:rPr>
            </w:pPr>
            <w:r>
              <w:rPr>
                <w:rFonts w:hint="eastAsia" w:ascii="宋体" w:hAnsi="宋体" w:eastAsia="宋体" w:cs="宋体"/>
                <w:sz w:val="21"/>
                <w:szCs w:val="21"/>
                <w:highlight w:val="none"/>
                <w:vertAlign w:val="baseline"/>
                <w:lang w:val="en-US" w:eastAsia="zh-CN"/>
              </w:rPr>
              <w:t>9.</w:t>
            </w:r>
            <w:r>
              <w:rPr>
                <w:rFonts w:hint="eastAsia" w:ascii="宋体" w:hAnsi="宋体" w:eastAsia="宋体" w:cs="宋体"/>
                <w:sz w:val="21"/>
                <w:szCs w:val="21"/>
                <w:highlight w:val="none"/>
                <w:vertAlign w:val="baseline"/>
              </w:rPr>
              <w:t>电池续航时间：</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vertAlign w:val="baseline"/>
              </w:rPr>
              <w:t>1</w:t>
            </w:r>
            <w:r>
              <w:rPr>
                <w:rFonts w:hint="eastAsia" w:ascii="宋体" w:hAnsi="宋体" w:eastAsia="宋体" w:cs="宋体"/>
                <w:sz w:val="21"/>
                <w:szCs w:val="21"/>
                <w:highlight w:val="none"/>
                <w:vertAlign w:val="baseline"/>
                <w:lang w:val="en-US" w:eastAsia="zh-CN"/>
              </w:rPr>
              <w:t>2</w:t>
            </w:r>
            <w:r>
              <w:rPr>
                <w:rFonts w:hint="eastAsia" w:ascii="宋体" w:hAnsi="宋体" w:eastAsia="宋体" w:cs="宋体"/>
                <w:sz w:val="21"/>
                <w:szCs w:val="21"/>
                <w:highlight w:val="none"/>
                <w:vertAlign w:val="baseline"/>
                <w:lang w:eastAsia="zh-CN"/>
              </w:rPr>
              <w:t>；</w:t>
            </w:r>
          </w:p>
          <w:p>
            <w:pPr>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10.</w:t>
            </w:r>
            <w:r>
              <w:rPr>
                <w:rFonts w:hint="eastAsia" w:ascii="宋体" w:hAnsi="宋体" w:eastAsia="宋体" w:cs="宋体"/>
                <w:sz w:val="21"/>
                <w:szCs w:val="21"/>
                <w:vertAlign w:val="baseline"/>
              </w:rPr>
              <w:t>屏幕参数：液晶屏尺寸</w:t>
            </w:r>
            <w:r>
              <w:rPr>
                <w:rFonts w:hint="eastAsia" w:ascii="宋体" w:hAnsi="宋体" w:eastAsia="宋体" w:cs="宋体"/>
                <w:sz w:val="21"/>
                <w:szCs w:val="21"/>
                <w:lang w:val="en-US" w:eastAsia="zh-CN"/>
              </w:rPr>
              <w:t>≥</w:t>
            </w:r>
            <w:r>
              <w:rPr>
                <w:rFonts w:hint="eastAsia" w:ascii="宋体" w:hAnsi="宋体" w:eastAsia="宋体" w:cs="宋体"/>
                <w:sz w:val="21"/>
                <w:szCs w:val="21"/>
                <w:vertAlign w:val="baseline"/>
              </w:rPr>
              <w:t>3英寸</w:t>
            </w:r>
            <w:r>
              <w:rPr>
                <w:rFonts w:hint="eastAsia" w:ascii="宋体" w:hAnsi="宋体" w:eastAsia="宋体" w:cs="宋体"/>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3" w:hRule="atLeast"/>
        </w:trPr>
        <w:tc>
          <w:tcPr>
            <w:tcW w:w="1076" w:type="dxa"/>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12</w:t>
            </w:r>
          </w:p>
        </w:tc>
        <w:tc>
          <w:tcPr>
            <w:tcW w:w="2679" w:type="dxa"/>
          </w:tcPr>
          <w:p>
            <w:pPr>
              <w:rPr>
                <w:rFonts w:hint="eastAsia" w:ascii="宋体" w:hAnsi="宋体" w:eastAsia="宋体" w:cs="宋体"/>
                <w:sz w:val="21"/>
                <w:szCs w:val="21"/>
                <w:vertAlign w:val="baseline"/>
              </w:rPr>
            </w:pPr>
            <w:r>
              <w:rPr>
                <w:rFonts w:hint="eastAsia" w:ascii="宋体" w:hAnsi="宋体" w:eastAsia="宋体" w:cs="宋体"/>
                <w:sz w:val="21"/>
                <w:szCs w:val="21"/>
                <w:vertAlign w:val="baseline"/>
              </w:rPr>
              <w:t>普通照相机</w:t>
            </w:r>
          </w:p>
        </w:tc>
        <w:tc>
          <w:tcPr>
            <w:tcW w:w="1224" w:type="dxa"/>
          </w:tcPr>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4台</w:t>
            </w:r>
          </w:p>
        </w:tc>
        <w:tc>
          <w:tcPr>
            <w:tcW w:w="4519" w:type="dxa"/>
          </w:tcPr>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一．</w:t>
            </w:r>
            <w:r>
              <w:rPr>
                <w:rFonts w:hint="eastAsia" w:ascii="宋体" w:hAnsi="宋体" w:eastAsia="宋体" w:cs="宋体"/>
                <w:sz w:val="21"/>
                <w:szCs w:val="21"/>
                <w:vertAlign w:val="baseline"/>
              </w:rPr>
              <w:t>基本参数</w:t>
            </w:r>
            <w:r>
              <w:rPr>
                <w:rFonts w:hint="eastAsia" w:ascii="宋体" w:hAnsi="宋体" w:eastAsia="宋体" w:cs="宋体"/>
                <w:sz w:val="21"/>
                <w:szCs w:val="21"/>
                <w:vertAlign w:val="baseline"/>
                <w:lang w:val="en-US" w:eastAsia="zh-CN"/>
              </w:rPr>
              <w:t>要求</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w:t>
            </w:r>
            <w:r>
              <w:rPr>
                <w:rFonts w:hint="eastAsia" w:ascii="宋体" w:hAnsi="宋体" w:eastAsia="宋体" w:cs="宋体"/>
                <w:sz w:val="21"/>
                <w:szCs w:val="21"/>
                <w:vertAlign w:val="baseline"/>
              </w:rPr>
              <w:t>有效像素：</w:t>
            </w:r>
            <w:r>
              <w:rPr>
                <w:rFonts w:hint="eastAsia" w:ascii="宋体" w:hAnsi="宋体" w:eastAsia="宋体" w:cs="宋体"/>
                <w:sz w:val="21"/>
                <w:szCs w:val="21"/>
                <w:highlight w:val="none"/>
                <w:vertAlign w:val="baseline"/>
              </w:rPr>
              <w:t>≥</w:t>
            </w:r>
            <w:r>
              <w:rPr>
                <w:rFonts w:hint="eastAsia" w:ascii="宋体" w:hAnsi="宋体" w:eastAsia="宋体" w:cs="宋体"/>
                <w:sz w:val="21"/>
                <w:szCs w:val="21"/>
                <w:vertAlign w:val="baseline"/>
              </w:rPr>
              <w:t>1270万像素</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2.</w:t>
            </w:r>
            <w:r>
              <w:rPr>
                <w:rFonts w:hint="eastAsia" w:ascii="宋体" w:hAnsi="宋体" w:eastAsia="宋体" w:cs="宋体"/>
                <w:sz w:val="21"/>
                <w:szCs w:val="21"/>
                <w:vertAlign w:val="baseline"/>
              </w:rPr>
              <w:t>光学变焦倍数：</w:t>
            </w:r>
            <w:r>
              <w:rPr>
                <w:rFonts w:hint="eastAsia" w:ascii="宋体" w:hAnsi="宋体" w:eastAsia="宋体" w:cs="宋体"/>
                <w:sz w:val="21"/>
                <w:szCs w:val="21"/>
                <w:highlight w:val="none"/>
                <w:vertAlign w:val="baseline"/>
              </w:rPr>
              <w:t>≥</w:t>
            </w:r>
            <w:r>
              <w:rPr>
                <w:rFonts w:hint="eastAsia" w:ascii="宋体" w:hAnsi="宋体" w:eastAsia="宋体" w:cs="宋体"/>
                <w:sz w:val="21"/>
                <w:szCs w:val="21"/>
                <w:vertAlign w:val="baseline"/>
              </w:rPr>
              <w:t>3倍光学变焦</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3.</w:t>
            </w:r>
            <w:r>
              <w:rPr>
                <w:rFonts w:hint="eastAsia" w:ascii="宋体" w:hAnsi="宋体" w:eastAsia="宋体" w:cs="宋体"/>
                <w:sz w:val="21"/>
                <w:szCs w:val="21"/>
                <w:vertAlign w:val="baseline"/>
              </w:rPr>
              <w:t>数码变焦倍数：</w:t>
            </w:r>
            <w:r>
              <w:rPr>
                <w:rFonts w:hint="eastAsia" w:ascii="宋体" w:hAnsi="宋体" w:eastAsia="宋体" w:cs="宋体"/>
                <w:sz w:val="21"/>
                <w:szCs w:val="21"/>
                <w:highlight w:val="none"/>
                <w:vertAlign w:val="baseline"/>
              </w:rPr>
              <w:t>≥</w:t>
            </w:r>
            <w:r>
              <w:rPr>
                <w:rFonts w:hint="eastAsia" w:ascii="宋体" w:hAnsi="宋体" w:eastAsia="宋体" w:cs="宋体"/>
                <w:sz w:val="21"/>
                <w:szCs w:val="21"/>
                <w:vertAlign w:val="baseline"/>
              </w:rPr>
              <w:t>5倍数码变焦</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4.</w:t>
            </w:r>
            <w:r>
              <w:rPr>
                <w:rFonts w:hint="eastAsia" w:ascii="宋体" w:hAnsi="宋体" w:eastAsia="宋体" w:cs="宋体"/>
                <w:sz w:val="21"/>
                <w:szCs w:val="21"/>
                <w:vertAlign w:val="baseline"/>
              </w:rPr>
              <w:t>传感器类型：CCD传感器</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5.</w:t>
            </w:r>
            <w:r>
              <w:rPr>
                <w:rFonts w:hint="eastAsia" w:ascii="宋体" w:hAnsi="宋体" w:eastAsia="宋体" w:cs="宋体"/>
                <w:sz w:val="21"/>
                <w:szCs w:val="21"/>
                <w:vertAlign w:val="baseline"/>
              </w:rPr>
              <w:t>传感器尺寸：</w:t>
            </w:r>
            <w:r>
              <w:rPr>
                <w:rFonts w:hint="eastAsia" w:ascii="宋体" w:hAnsi="宋体" w:eastAsia="宋体" w:cs="宋体"/>
                <w:sz w:val="21"/>
                <w:szCs w:val="21"/>
                <w:highlight w:val="none"/>
                <w:vertAlign w:val="baseline"/>
              </w:rPr>
              <w:t>≥</w:t>
            </w:r>
            <w:r>
              <w:rPr>
                <w:rFonts w:hint="eastAsia" w:ascii="宋体" w:hAnsi="宋体" w:eastAsia="宋体" w:cs="宋体"/>
                <w:sz w:val="21"/>
                <w:szCs w:val="21"/>
                <w:vertAlign w:val="baseline"/>
              </w:rPr>
              <w:t>1/2.3</w:t>
            </w:r>
            <w:r>
              <w:rPr>
                <w:rFonts w:hint="eastAsia" w:ascii="宋体" w:hAnsi="宋体" w:eastAsia="宋体" w:cs="宋体"/>
                <w:sz w:val="21"/>
                <w:szCs w:val="21"/>
                <w:vertAlign w:val="baseline"/>
                <w:lang w:val="en-US" w:eastAsia="zh-CN"/>
              </w:rPr>
              <w:t>0</w:t>
            </w:r>
            <w:r>
              <w:rPr>
                <w:rFonts w:hint="eastAsia" w:ascii="宋体" w:hAnsi="宋体" w:eastAsia="宋体" w:cs="宋体"/>
                <w:sz w:val="21"/>
                <w:szCs w:val="21"/>
                <w:vertAlign w:val="baseline"/>
              </w:rPr>
              <w:t>英寸</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6.</w:t>
            </w:r>
            <w:r>
              <w:rPr>
                <w:rFonts w:hint="eastAsia" w:ascii="宋体" w:hAnsi="宋体" w:eastAsia="宋体" w:cs="宋体"/>
                <w:sz w:val="21"/>
                <w:szCs w:val="21"/>
                <w:vertAlign w:val="baseline"/>
              </w:rPr>
              <w:t>影像处理系统：TruePicIII引擎</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7.</w:t>
            </w:r>
            <w:r>
              <w:rPr>
                <w:rFonts w:hint="eastAsia" w:ascii="宋体" w:hAnsi="宋体" w:eastAsia="宋体" w:cs="宋体"/>
                <w:sz w:val="21"/>
                <w:szCs w:val="21"/>
                <w:vertAlign w:val="baseline"/>
              </w:rPr>
              <w:t>最大分辨率：</w:t>
            </w:r>
            <w:r>
              <w:rPr>
                <w:rFonts w:hint="eastAsia" w:ascii="宋体" w:hAnsi="宋体" w:eastAsia="宋体" w:cs="宋体"/>
                <w:sz w:val="21"/>
                <w:szCs w:val="21"/>
                <w:highlight w:val="none"/>
                <w:vertAlign w:val="baseline"/>
              </w:rPr>
              <w:t>≥</w:t>
            </w:r>
            <w:r>
              <w:rPr>
                <w:rFonts w:hint="eastAsia" w:ascii="宋体" w:hAnsi="宋体" w:eastAsia="宋体" w:cs="宋体"/>
                <w:sz w:val="21"/>
                <w:szCs w:val="21"/>
                <w:vertAlign w:val="baseline"/>
              </w:rPr>
              <w:t>3648×2736</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二．</w:t>
            </w:r>
            <w:r>
              <w:rPr>
                <w:rFonts w:hint="eastAsia" w:ascii="宋体" w:hAnsi="宋体" w:eastAsia="宋体" w:cs="宋体"/>
                <w:sz w:val="21"/>
                <w:szCs w:val="21"/>
                <w:vertAlign w:val="baseline"/>
              </w:rPr>
              <w:t>镜头参数</w:t>
            </w:r>
            <w:r>
              <w:rPr>
                <w:rFonts w:hint="eastAsia" w:ascii="宋体" w:hAnsi="宋体" w:eastAsia="宋体" w:cs="宋体"/>
                <w:sz w:val="21"/>
                <w:szCs w:val="21"/>
                <w:vertAlign w:val="baseline"/>
                <w:lang w:val="en-US" w:eastAsia="zh-CN"/>
              </w:rPr>
              <w:t>要求</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w:t>
            </w:r>
            <w:r>
              <w:rPr>
                <w:rFonts w:hint="eastAsia" w:ascii="宋体" w:hAnsi="宋体" w:eastAsia="宋体" w:cs="宋体"/>
                <w:sz w:val="21"/>
                <w:szCs w:val="21"/>
                <w:vertAlign w:val="baseline"/>
              </w:rPr>
              <w:t>变焦方式：电子</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2.</w:t>
            </w:r>
            <w:r>
              <w:rPr>
                <w:rFonts w:hint="eastAsia" w:ascii="宋体" w:hAnsi="宋体" w:eastAsia="宋体" w:cs="宋体"/>
                <w:sz w:val="21"/>
                <w:szCs w:val="21"/>
                <w:vertAlign w:val="baseline"/>
              </w:rPr>
              <w:t>焦距(相当于35mm)：38-114mm</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3.</w:t>
            </w:r>
            <w:r>
              <w:rPr>
                <w:rFonts w:hint="eastAsia" w:ascii="宋体" w:hAnsi="宋体" w:eastAsia="宋体" w:cs="宋体"/>
                <w:sz w:val="21"/>
                <w:szCs w:val="21"/>
                <w:vertAlign w:val="baseline"/>
              </w:rPr>
              <w:t>起始焦距：</w:t>
            </w:r>
            <w:r>
              <w:rPr>
                <w:rFonts w:hint="eastAsia" w:ascii="宋体" w:hAnsi="宋体" w:eastAsia="宋体" w:cs="宋体"/>
                <w:sz w:val="21"/>
                <w:szCs w:val="21"/>
                <w:vertAlign w:val="baseline"/>
                <w:lang w:val="en-US" w:eastAsia="zh-CN"/>
              </w:rPr>
              <w:t>约</w:t>
            </w:r>
            <w:r>
              <w:rPr>
                <w:rFonts w:hint="eastAsia" w:ascii="宋体" w:hAnsi="宋体" w:eastAsia="宋体" w:cs="宋体"/>
                <w:sz w:val="21"/>
                <w:szCs w:val="21"/>
                <w:vertAlign w:val="baseline"/>
              </w:rPr>
              <w:t>38mm</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4.</w:t>
            </w:r>
            <w:r>
              <w:rPr>
                <w:rFonts w:hint="eastAsia" w:ascii="宋体" w:hAnsi="宋体" w:eastAsia="宋体" w:cs="宋体"/>
                <w:sz w:val="21"/>
                <w:szCs w:val="21"/>
                <w:vertAlign w:val="baseline"/>
              </w:rPr>
              <w:t>实际焦距：6.7-20.1mm</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5.</w:t>
            </w:r>
            <w:r>
              <w:rPr>
                <w:rFonts w:hint="eastAsia" w:ascii="宋体" w:hAnsi="宋体" w:eastAsia="宋体" w:cs="宋体"/>
                <w:sz w:val="21"/>
                <w:szCs w:val="21"/>
                <w:vertAlign w:val="baseline"/>
              </w:rPr>
              <w:t>微距： 0.07-0.5m焦距固定</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6.</w:t>
            </w:r>
            <w:r>
              <w:rPr>
                <w:rFonts w:hint="eastAsia" w:ascii="宋体" w:hAnsi="宋体" w:eastAsia="宋体" w:cs="宋体"/>
                <w:sz w:val="21"/>
                <w:szCs w:val="21"/>
                <w:vertAlign w:val="baseline"/>
              </w:rPr>
              <w:t>对焦方式： iESP自动对焦, 点对焦, 面部对焦</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7.</w:t>
            </w:r>
            <w:r>
              <w:rPr>
                <w:rFonts w:hint="eastAsia" w:ascii="宋体" w:hAnsi="宋体" w:eastAsia="宋体" w:cs="宋体"/>
                <w:sz w:val="21"/>
                <w:szCs w:val="21"/>
                <w:vertAlign w:val="baseline"/>
              </w:rPr>
              <w:t>普通对焦范围：50cm-无穷远</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8.</w:t>
            </w:r>
            <w:r>
              <w:rPr>
                <w:rFonts w:hint="eastAsia" w:ascii="宋体" w:hAnsi="宋体" w:eastAsia="宋体" w:cs="宋体"/>
                <w:sz w:val="21"/>
                <w:szCs w:val="21"/>
                <w:vertAlign w:val="baseline"/>
              </w:rPr>
              <w:t>光圈范围：F3.5-F5.0</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9.</w:t>
            </w:r>
            <w:r>
              <w:rPr>
                <w:rFonts w:hint="eastAsia" w:ascii="宋体" w:hAnsi="宋体" w:eastAsia="宋体" w:cs="宋体"/>
                <w:sz w:val="21"/>
                <w:szCs w:val="21"/>
                <w:vertAlign w:val="baseline"/>
              </w:rPr>
              <w:t>镜头描述：镜头:</w:t>
            </w:r>
            <w:r>
              <w:rPr>
                <w:rFonts w:hint="eastAsia" w:ascii="宋体" w:hAnsi="宋体" w:eastAsia="宋体" w:cs="宋体"/>
                <w:sz w:val="21"/>
                <w:szCs w:val="21"/>
                <w:vertAlign w:val="baseline"/>
                <w:lang w:val="en-US" w:eastAsia="zh-CN"/>
              </w:rPr>
              <w:t>不劣于</w:t>
            </w:r>
            <w:r>
              <w:rPr>
                <w:rFonts w:hint="eastAsia" w:ascii="宋体" w:hAnsi="宋体" w:eastAsia="宋体" w:cs="宋体"/>
                <w:sz w:val="21"/>
                <w:szCs w:val="21"/>
                <w:vertAlign w:val="baseline"/>
              </w:rPr>
              <w:t>10片8组, 3片非球</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三．</w:t>
            </w:r>
            <w:r>
              <w:rPr>
                <w:rFonts w:hint="eastAsia" w:ascii="宋体" w:hAnsi="宋体" w:eastAsia="宋体" w:cs="宋体"/>
                <w:sz w:val="21"/>
                <w:szCs w:val="21"/>
                <w:vertAlign w:val="baseline"/>
              </w:rPr>
              <w:t>屏幕参数</w:t>
            </w:r>
            <w:r>
              <w:rPr>
                <w:rFonts w:hint="eastAsia" w:ascii="宋体" w:hAnsi="宋体" w:eastAsia="宋体" w:cs="宋体"/>
                <w:sz w:val="21"/>
                <w:szCs w:val="21"/>
                <w:vertAlign w:val="baseline"/>
                <w:lang w:val="en-US" w:eastAsia="zh-CN"/>
              </w:rPr>
              <w:t>要求</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10.</w:t>
            </w:r>
            <w:r>
              <w:rPr>
                <w:rFonts w:hint="eastAsia" w:ascii="宋体" w:hAnsi="宋体" w:eastAsia="宋体" w:cs="宋体"/>
                <w:sz w:val="21"/>
                <w:szCs w:val="21"/>
                <w:vertAlign w:val="baseline"/>
              </w:rPr>
              <w:t>液晶屏尺寸：</w:t>
            </w:r>
            <w:r>
              <w:rPr>
                <w:rFonts w:hint="eastAsia" w:ascii="宋体" w:hAnsi="宋体" w:eastAsia="宋体" w:cs="宋体"/>
                <w:sz w:val="21"/>
                <w:szCs w:val="21"/>
                <w:highlight w:val="none"/>
                <w:vertAlign w:val="baseline"/>
              </w:rPr>
              <w:t>≥</w:t>
            </w:r>
            <w:r>
              <w:rPr>
                <w:rFonts w:hint="eastAsia" w:ascii="宋体" w:hAnsi="宋体" w:eastAsia="宋体" w:cs="宋体"/>
                <w:sz w:val="21"/>
                <w:szCs w:val="21"/>
                <w:vertAlign w:val="baseline"/>
              </w:rPr>
              <w:t>2.7英寸</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11.</w:t>
            </w:r>
            <w:r>
              <w:rPr>
                <w:rFonts w:hint="eastAsia" w:ascii="宋体" w:hAnsi="宋体" w:eastAsia="宋体" w:cs="宋体"/>
                <w:sz w:val="21"/>
                <w:szCs w:val="21"/>
                <w:vertAlign w:val="baseline"/>
              </w:rPr>
              <w:t>液晶屏像素：</w:t>
            </w:r>
            <w:r>
              <w:rPr>
                <w:rFonts w:hint="eastAsia" w:ascii="宋体" w:hAnsi="宋体" w:eastAsia="宋体" w:cs="宋体"/>
                <w:sz w:val="21"/>
                <w:szCs w:val="21"/>
                <w:highlight w:val="none"/>
                <w:vertAlign w:val="baseline"/>
              </w:rPr>
              <w:t>≥</w:t>
            </w:r>
            <w:r>
              <w:rPr>
                <w:rFonts w:hint="eastAsia" w:ascii="宋体" w:hAnsi="宋体" w:eastAsia="宋体" w:cs="宋体"/>
                <w:sz w:val="21"/>
                <w:szCs w:val="21"/>
                <w:vertAlign w:val="baseline"/>
              </w:rPr>
              <w:t>23万像素</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12.</w:t>
            </w:r>
            <w:r>
              <w:rPr>
                <w:rFonts w:hint="eastAsia" w:ascii="宋体" w:hAnsi="宋体" w:eastAsia="宋体" w:cs="宋体"/>
                <w:sz w:val="21"/>
                <w:szCs w:val="21"/>
                <w:vertAlign w:val="baseline"/>
              </w:rPr>
              <w:t>液晶屏特性：TFT液晶屏</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13.</w:t>
            </w:r>
            <w:r>
              <w:rPr>
                <w:rFonts w:hint="eastAsia" w:ascii="宋体" w:hAnsi="宋体" w:eastAsia="宋体" w:cs="宋体"/>
                <w:sz w:val="21"/>
                <w:szCs w:val="21"/>
                <w:vertAlign w:val="baseline"/>
              </w:rPr>
              <w:t>取景器类型：液晶屏取景</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四．</w:t>
            </w:r>
            <w:r>
              <w:rPr>
                <w:rFonts w:hint="eastAsia" w:ascii="宋体" w:hAnsi="宋体" w:eastAsia="宋体" w:cs="宋体"/>
                <w:sz w:val="21"/>
                <w:szCs w:val="21"/>
                <w:vertAlign w:val="baseline"/>
              </w:rPr>
              <w:t>曝光控制参数</w:t>
            </w:r>
            <w:r>
              <w:rPr>
                <w:rFonts w:hint="eastAsia" w:ascii="宋体" w:hAnsi="宋体" w:eastAsia="宋体" w:cs="宋体"/>
                <w:sz w:val="21"/>
                <w:szCs w:val="21"/>
                <w:vertAlign w:val="baseline"/>
                <w:lang w:val="en-US" w:eastAsia="zh-CN"/>
              </w:rPr>
              <w:t>要求</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w:t>
            </w:r>
            <w:r>
              <w:rPr>
                <w:rFonts w:hint="eastAsia" w:ascii="宋体" w:hAnsi="宋体" w:eastAsia="宋体" w:cs="宋体"/>
                <w:sz w:val="21"/>
                <w:szCs w:val="21"/>
                <w:vertAlign w:val="baseline"/>
              </w:rPr>
              <w:t>曝光模式：全自动曝光, 程序自动曝光</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2.</w:t>
            </w:r>
            <w:r>
              <w:rPr>
                <w:rFonts w:hint="eastAsia" w:ascii="宋体" w:hAnsi="宋体" w:eastAsia="宋体" w:cs="宋体"/>
                <w:sz w:val="21"/>
                <w:szCs w:val="21"/>
                <w:vertAlign w:val="baseline"/>
              </w:rPr>
              <w:t>曝光补偿：±2级, 以1/3级增减</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3.</w:t>
            </w:r>
            <w:r>
              <w:rPr>
                <w:rFonts w:hint="eastAsia" w:ascii="宋体" w:hAnsi="宋体" w:eastAsia="宋体" w:cs="宋体"/>
                <w:sz w:val="21"/>
                <w:szCs w:val="21"/>
                <w:vertAlign w:val="baseline"/>
              </w:rPr>
              <w:t>测光方式：点测光, 数码ESP测光</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4.</w:t>
            </w:r>
            <w:r>
              <w:rPr>
                <w:rFonts w:hint="eastAsia" w:ascii="宋体" w:hAnsi="宋体" w:eastAsia="宋体" w:cs="宋体"/>
                <w:sz w:val="21"/>
                <w:szCs w:val="21"/>
                <w:vertAlign w:val="baseline"/>
              </w:rPr>
              <w:t>ISO感光度：自动, 80, 100, 200, 400, 800</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5.</w:t>
            </w:r>
            <w:r>
              <w:rPr>
                <w:rFonts w:hint="eastAsia" w:ascii="宋体" w:hAnsi="宋体" w:eastAsia="宋体" w:cs="宋体"/>
                <w:sz w:val="21"/>
                <w:szCs w:val="21"/>
                <w:vertAlign w:val="baseline"/>
              </w:rPr>
              <w:t>白平衡模式：阴天, 白炽灯, 晴天, 三种荧光灯</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6.</w:t>
            </w:r>
            <w:r>
              <w:rPr>
                <w:rFonts w:hint="eastAsia" w:ascii="宋体" w:hAnsi="宋体" w:eastAsia="宋体" w:cs="宋体"/>
                <w:sz w:val="21"/>
                <w:szCs w:val="21"/>
                <w:vertAlign w:val="baseline"/>
              </w:rPr>
              <w:t>场景模式：肖像, 风景, 运动, 纪念摄影, 夜</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五．</w:t>
            </w:r>
            <w:r>
              <w:rPr>
                <w:rFonts w:hint="eastAsia" w:ascii="宋体" w:hAnsi="宋体" w:eastAsia="宋体" w:cs="宋体"/>
                <w:sz w:val="21"/>
                <w:szCs w:val="21"/>
                <w:vertAlign w:val="baseline"/>
              </w:rPr>
              <w:t>性能参数</w:t>
            </w:r>
            <w:r>
              <w:rPr>
                <w:rFonts w:hint="eastAsia" w:ascii="宋体" w:hAnsi="宋体" w:eastAsia="宋体" w:cs="宋体"/>
                <w:sz w:val="21"/>
                <w:szCs w:val="21"/>
                <w:vertAlign w:val="baseline"/>
                <w:lang w:val="en-US" w:eastAsia="zh-CN"/>
              </w:rPr>
              <w:t>要求</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w:t>
            </w:r>
            <w:r>
              <w:rPr>
                <w:rFonts w:hint="eastAsia" w:ascii="宋体" w:hAnsi="宋体" w:eastAsia="宋体" w:cs="宋体"/>
                <w:sz w:val="21"/>
                <w:szCs w:val="21"/>
                <w:vertAlign w:val="baseline"/>
              </w:rPr>
              <w:t>快门类型：电子快门</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2.</w:t>
            </w:r>
            <w:r>
              <w:rPr>
                <w:rFonts w:hint="eastAsia" w:ascii="宋体" w:hAnsi="宋体" w:eastAsia="宋体" w:cs="宋体"/>
                <w:sz w:val="21"/>
                <w:szCs w:val="21"/>
                <w:vertAlign w:val="baseline"/>
              </w:rPr>
              <w:t>快门速度：1/2-1/1000秒</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3.</w:t>
            </w:r>
            <w:r>
              <w:rPr>
                <w:rFonts w:hint="eastAsia" w:ascii="宋体" w:hAnsi="宋体" w:eastAsia="宋体" w:cs="宋体"/>
                <w:sz w:val="21"/>
                <w:szCs w:val="21"/>
                <w:vertAlign w:val="baseline"/>
              </w:rPr>
              <w:t>防抖功能：电子防抖</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4.</w:t>
            </w:r>
            <w:r>
              <w:rPr>
                <w:rFonts w:hint="eastAsia" w:ascii="宋体" w:hAnsi="宋体" w:eastAsia="宋体" w:cs="宋体"/>
                <w:sz w:val="21"/>
                <w:szCs w:val="21"/>
                <w:vertAlign w:val="baseline"/>
              </w:rPr>
              <w:t>连拍： 支持连拍功能, 约14张/秒(300万</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5.</w:t>
            </w:r>
            <w:r>
              <w:rPr>
                <w:rFonts w:hint="eastAsia" w:ascii="宋体" w:hAnsi="宋体" w:eastAsia="宋体" w:cs="宋体"/>
                <w:sz w:val="21"/>
                <w:szCs w:val="21"/>
                <w:vertAlign w:val="baseline"/>
              </w:rPr>
              <w:t>自拍：支持自拍功能</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六．</w:t>
            </w:r>
            <w:r>
              <w:rPr>
                <w:rFonts w:hint="eastAsia" w:ascii="宋体" w:hAnsi="宋体" w:eastAsia="宋体" w:cs="宋体"/>
                <w:sz w:val="21"/>
                <w:szCs w:val="21"/>
                <w:vertAlign w:val="baseline"/>
              </w:rPr>
              <w:t>视频拍摄参数</w:t>
            </w:r>
            <w:r>
              <w:rPr>
                <w:rFonts w:hint="eastAsia" w:ascii="宋体" w:hAnsi="宋体" w:eastAsia="宋体" w:cs="宋体"/>
                <w:sz w:val="21"/>
                <w:szCs w:val="21"/>
                <w:vertAlign w:val="baseline"/>
                <w:lang w:val="en-US" w:eastAsia="zh-CN"/>
              </w:rPr>
              <w:t>要求</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w:t>
            </w:r>
            <w:r>
              <w:rPr>
                <w:rFonts w:hint="eastAsia" w:ascii="宋体" w:hAnsi="宋体" w:eastAsia="宋体" w:cs="宋体"/>
                <w:sz w:val="21"/>
                <w:szCs w:val="21"/>
                <w:vertAlign w:val="baseline"/>
              </w:rPr>
              <w:t>视频拍摄功能：支持视频拍摄[1] 视频拍摄帧数(fps)：</w:t>
            </w:r>
            <w:r>
              <w:rPr>
                <w:rFonts w:hint="eastAsia" w:ascii="宋体" w:hAnsi="宋体" w:eastAsia="宋体" w:cs="宋体"/>
                <w:sz w:val="21"/>
                <w:szCs w:val="21"/>
                <w:lang w:val="en-US" w:eastAsia="zh-CN"/>
              </w:rPr>
              <w:t>≥</w:t>
            </w:r>
            <w:r>
              <w:rPr>
                <w:rFonts w:hint="eastAsia" w:ascii="宋体" w:hAnsi="宋体" w:eastAsia="宋体" w:cs="宋体"/>
                <w:sz w:val="21"/>
                <w:szCs w:val="21"/>
                <w:vertAlign w:val="baseline"/>
              </w:rPr>
              <w:t>15, 30帧/秒</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2.</w:t>
            </w:r>
            <w:r>
              <w:rPr>
                <w:rFonts w:hint="eastAsia" w:ascii="宋体" w:hAnsi="宋体" w:eastAsia="宋体" w:cs="宋体"/>
                <w:sz w:val="21"/>
                <w:szCs w:val="21"/>
                <w:vertAlign w:val="baseline"/>
              </w:rPr>
              <w:t>视频分辨率：</w:t>
            </w:r>
            <w:r>
              <w:rPr>
                <w:rFonts w:hint="eastAsia" w:ascii="宋体" w:hAnsi="宋体" w:eastAsia="宋体" w:cs="宋体"/>
                <w:sz w:val="21"/>
                <w:szCs w:val="21"/>
                <w:lang w:val="en-US" w:eastAsia="zh-CN"/>
              </w:rPr>
              <w:t>≥</w:t>
            </w:r>
            <w:r>
              <w:rPr>
                <w:rFonts w:hint="eastAsia" w:ascii="宋体" w:hAnsi="宋体" w:eastAsia="宋体" w:cs="宋体"/>
                <w:sz w:val="21"/>
                <w:szCs w:val="21"/>
                <w:vertAlign w:val="baseline"/>
              </w:rPr>
              <w:t>320×240, 640×480</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3.</w:t>
            </w:r>
            <w:r>
              <w:rPr>
                <w:rFonts w:hint="eastAsia" w:ascii="宋体" w:hAnsi="宋体" w:eastAsia="宋体" w:cs="宋体"/>
                <w:sz w:val="21"/>
                <w:szCs w:val="21"/>
                <w:vertAlign w:val="baseline"/>
              </w:rPr>
              <w:t>高清视频支持：无高清视频功能</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七．</w:t>
            </w:r>
            <w:r>
              <w:rPr>
                <w:rFonts w:hint="eastAsia" w:ascii="宋体" w:hAnsi="宋体" w:eastAsia="宋体" w:cs="宋体"/>
                <w:sz w:val="21"/>
                <w:szCs w:val="21"/>
                <w:vertAlign w:val="baseline"/>
              </w:rPr>
              <w:t>闪光灯参数</w:t>
            </w:r>
            <w:r>
              <w:rPr>
                <w:rFonts w:hint="eastAsia" w:ascii="宋体" w:hAnsi="宋体" w:eastAsia="宋体" w:cs="宋体"/>
                <w:sz w:val="21"/>
                <w:szCs w:val="21"/>
                <w:vertAlign w:val="baseline"/>
                <w:lang w:val="en-US" w:eastAsia="zh-CN"/>
              </w:rPr>
              <w:t>要求</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w:t>
            </w:r>
            <w:r>
              <w:rPr>
                <w:rFonts w:hint="eastAsia" w:ascii="宋体" w:hAnsi="宋体" w:eastAsia="宋体" w:cs="宋体"/>
                <w:sz w:val="21"/>
                <w:szCs w:val="21"/>
                <w:vertAlign w:val="baseline"/>
              </w:rPr>
              <w:t>机身闪光灯：内置闪光灯</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2.</w:t>
            </w:r>
            <w:r>
              <w:rPr>
                <w:rFonts w:hint="eastAsia" w:ascii="宋体" w:hAnsi="宋体" w:eastAsia="宋体" w:cs="宋体"/>
                <w:sz w:val="21"/>
                <w:szCs w:val="21"/>
                <w:vertAlign w:val="baseline"/>
              </w:rPr>
              <w:t>闪光模式：自动, 强制, 关闭, 防红眼</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rPr>
              <w:t>有效闪光范围：广角约0.2-4.1m, 远摄约(ISO800)</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八．</w:t>
            </w:r>
            <w:r>
              <w:rPr>
                <w:rFonts w:hint="eastAsia" w:ascii="宋体" w:hAnsi="宋体" w:eastAsia="宋体" w:cs="宋体"/>
                <w:sz w:val="21"/>
                <w:szCs w:val="21"/>
                <w:vertAlign w:val="baseline"/>
              </w:rPr>
              <w:t>存储及连接参数</w:t>
            </w:r>
            <w:r>
              <w:rPr>
                <w:rFonts w:hint="eastAsia" w:ascii="宋体" w:hAnsi="宋体" w:eastAsia="宋体" w:cs="宋体"/>
                <w:sz w:val="21"/>
                <w:szCs w:val="21"/>
                <w:vertAlign w:val="baseline"/>
                <w:lang w:val="en-US" w:eastAsia="zh-CN"/>
              </w:rPr>
              <w:t>要求</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w:t>
            </w:r>
            <w:r>
              <w:rPr>
                <w:rFonts w:hint="eastAsia" w:ascii="宋体" w:hAnsi="宋体" w:eastAsia="宋体" w:cs="宋体"/>
                <w:sz w:val="21"/>
                <w:szCs w:val="21"/>
                <w:vertAlign w:val="baseline"/>
              </w:rPr>
              <w:t>存储介质：xD卡, TF(Micro SD卡)最大支持8G</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2.</w:t>
            </w:r>
            <w:r>
              <w:rPr>
                <w:rFonts w:hint="eastAsia" w:ascii="宋体" w:hAnsi="宋体" w:eastAsia="宋体" w:cs="宋体"/>
                <w:sz w:val="21"/>
                <w:szCs w:val="21"/>
                <w:vertAlign w:val="baseline"/>
              </w:rPr>
              <w:t>照片格式：JPEG</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3.</w:t>
            </w:r>
            <w:r>
              <w:rPr>
                <w:rFonts w:hint="eastAsia" w:ascii="宋体" w:hAnsi="宋体" w:eastAsia="宋体" w:cs="宋体"/>
                <w:sz w:val="21"/>
                <w:szCs w:val="21"/>
                <w:vertAlign w:val="baseline"/>
              </w:rPr>
              <w:t>数据接口：USB 2.0接口</w:t>
            </w:r>
            <w:r>
              <w:rPr>
                <w:rFonts w:hint="eastAsia" w:ascii="宋体" w:hAnsi="宋体" w:eastAsia="宋体" w:cs="宋体"/>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3" w:hRule="atLeast"/>
        </w:trPr>
        <w:tc>
          <w:tcPr>
            <w:tcW w:w="1076" w:type="dxa"/>
            <w:vAlign w:val="top"/>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13</w:t>
            </w:r>
          </w:p>
        </w:tc>
        <w:tc>
          <w:tcPr>
            <w:tcW w:w="2679" w:type="dxa"/>
            <w:vAlign w:val="top"/>
          </w:tcPr>
          <w:p>
            <w:pPr>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单反照相机</w:t>
            </w:r>
          </w:p>
        </w:tc>
        <w:tc>
          <w:tcPr>
            <w:tcW w:w="1224" w:type="dxa"/>
            <w:vAlign w:val="top"/>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3台</w:t>
            </w:r>
          </w:p>
        </w:tc>
        <w:tc>
          <w:tcPr>
            <w:tcW w:w="4519" w:type="dxa"/>
            <w:vAlign w:val="top"/>
          </w:tcPr>
          <w:p>
            <w:pPr>
              <w:numPr>
                <w:ilvl w:val="0"/>
                <w:numId w:val="11"/>
              </w:num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rPr>
              <w:t>曝光控制</w:t>
            </w:r>
            <w:r>
              <w:rPr>
                <w:rFonts w:hint="eastAsia" w:ascii="宋体" w:hAnsi="宋体" w:eastAsia="宋体" w:cs="宋体"/>
                <w:sz w:val="21"/>
                <w:szCs w:val="21"/>
                <w:vertAlign w:val="baseline"/>
                <w:lang w:val="en-US" w:eastAsia="zh-CN"/>
              </w:rPr>
              <w:t>要求</w:t>
            </w:r>
          </w:p>
          <w:p>
            <w:pPr>
              <w:numPr>
                <w:ilvl w:val="0"/>
                <w:numId w:val="0"/>
              </w:num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rPr>
              <w:t>标准ISO感光度</w:t>
            </w:r>
            <w:r>
              <w:rPr>
                <w:rFonts w:hint="eastAsia" w:ascii="宋体" w:hAnsi="宋体" w:eastAsia="宋体" w:cs="宋体"/>
                <w:sz w:val="21"/>
                <w:szCs w:val="21"/>
                <w:vertAlign w:val="baseline"/>
                <w:lang w:val="en-US" w:eastAsia="zh-CN"/>
              </w:rPr>
              <w:t>:</w:t>
            </w:r>
            <w:r>
              <w:rPr>
                <w:rFonts w:hint="eastAsia" w:ascii="宋体" w:hAnsi="宋体" w:eastAsia="宋体" w:cs="宋体"/>
                <w:sz w:val="21"/>
                <w:szCs w:val="21"/>
                <w:vertAlign w:val="baseline"/>
              </w:rPr>
              <w:t>ISO 100-25600</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二．</w:t>
            </w:r>
            <w:r>
              <w:rPr>
                <w:rFonts w:hint="eastAsia" w:ascii="宋体" w:hAnsi="宋体" w:eastAsia="宋体" w:cs="宋体"/>
                <w:sz w:val="21"/>
                <w:szCs w:val="21"/>
                <w:vertAlign w:val="baseline"/>
              </w:rPr>
              <w:t>电源参数</w:t>
            </w:r>
            <w:r>
              <w:rPr>
                <w:rFonts w:hint="eastAsia" w:ascii="宋体" w:hAnsi="宋体" w:eastAsia="宋体" w:cs="宋体"/>
                <w:sz w:val="21"/>
                <w:szCs w:val="21"/>
                <w:vertAlign w:val="baseline"/>
                <w:lang w:val="en-US" w:eastAsia="zh-CN"/>
              </w:rPr>
              <w:t>要求</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w:t>
            </w:r>
            <w:r>
              <w:rPr>
                <w:rFonts w:hint="eastAsia" w:ascii="宋体" w:hAnsi="宋体" w:eastAsia="宋体" w:cs="宋体"/>
                <w:sz w:val="21"/>
                <w:szCs w:val="21"/>
                <w:vertAlign w:val="baseline"/>
              </w:rPr>
              <w:t>电池拍摄续航</w:t>
            </w:r>
            <w:r>
              <w:rPr>
                <w:rFonts w:hint="eastAsia" w:ascii="宋体" w:hAnsi="宋体" w:eastAsia="宋体" w:cs="宋体"/>
                <w:sz w:val="21"/>
                <w:szCs w:val="21"/>
                <w:vertAlign w:val="baseline"/>
                <w:lang w:eastAsia="zh-CN"/>
              </w:rPr>
              <w:t>：</w:t>
            </w:r>
            <w:r>
              <w:rPr>
                <w:rFonts w:hint="eastAsia" w:ascii="宋体" w:hAnsi="宋体" w:eastAsia="宋体" w:cs="宋体"/>
                <w:sz w:val="21"/>
                <w:szCs w:val="21"/>
                <w:highlight w:val="none"/>
                <w:vertAlign w:val="baseline"/>
              </w:rPr>
              <w:t>≥</w:t>
            </w:r>
            <w:r>
              <w:rPr>
                <w:rFonts w:hint="eastAsia" w:ascii="宋体" w:hAnsi="宋体" w:eastAsia="宋体" w:cs="宋体"/>
                <w:sz w:val="21"/>
                <w:szCs w:val="21"/>
                <w:vertAlign w:val="baseline"/>
              </w:rPr>
              <w:t>440张</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2.</w:t>
            </w:r>
            <w:r>
              <w:rPr>
                <w:rFonts w:hint="eastAsia" w:ascii="宋体" w:hAnsi="宋体" w:eastAsia="宋体" w:cs="宋体"/>
                <w:sz w:val="21"/>
                <w:szCs w:val="21"/>
                <w:vertAlign w:val="baseline"/>
              </w:rPr>
              <w:t>电池类型</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锂离子电池</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3.</w:t>
            </w:r>
            <w:r>
              <w:rPr>
                <w:rFonts w:hint="eastAsia" w:ascii="宋体" w:hAnsi="宋体" w:eastAsia="宋体" w:cs="宋体"/>
                <w:sz w:val="21"/>
                <w:szCs w:val="21"/>
                <w:vertAlign w:val="baseline"/>
              </w:rPr>
              <w:t>外接电源</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支持外接电源</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三．</w:t>
            </w:r>
            <w:r>
              <w:rPr>
                <w:rFonts w:hint="eastAsia" w:ascii="宋体" w:hAnsi="宋体" w:eastAsia="宋体" w:cs="宋体"/>
                <w:sz w:val="21"/>
                <w:szCs w:val="21"/>
                <w:vertAlign w:val="baseline"/>
              </w:rPr>
              <w:t>存储参数</w:t>
            </w:r>
            <w:r>
              <w:rPr>
                <w:rFonts w:hint="eastAsia" w:ascii="宋体" w:hAnsi="宋体" w:eastAsia="宋体" w:cs="宋体"/>
                <w:sz w:val="21"/>
                <w:szCs w:val="21"/>
                <w:vertAlign w:val="baseline"/>
                <w:lang w:val="en-US" w:eastAsia="zh-CN"/>
              </w:rPr>
              <w:t>要求</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rPr>
              <w:t>存储介质</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SD卡；SDHC卡</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rPr>
            </w:pPr>
            <w:r>
              <w:rPr>
                <w:rFonts w:hint="eastAsia" w:ascii="宋体" w:hAnsi="宋体" w:eastAsia="宋体" w:cs="宋体"/>
                <w:sz w:val="21"/>
                <w:szCs w:val="21"/>
                <w:vertAlign w:val="baseline"/>
                <w:lang w:val="en-US" w:eastAsia="zh-CN"/>
              </w:rPr>
              <w:t>四．</w:t>
            </w:r>
            <w:r>
              <w:rPr>
                <w:rFonts w:hint="eastAsia" w:ascii="宋体" w:hAnsi="宋体" w:eastAsia="宋体" w:cs="宋体"/>
                <w:sz w:val="21"/>
                <w:szCs w:val="21"/>
                <w:vertAlign w:val="baseline"/>
              </w:rPr>
              <w:t xml:space="preserve">拍摄性能 </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rPr>
              <w:t>连拍速度</w:t>
            </w:r>
            <w:r>
              <w:rPr>
                <w:rFonts w:hint="eastAsia" w:ascii="宋体" w:hAnsi="宋体" w:eastAsia="宋体" w:cs="宋体"/>
                <w:sz w:val="21"/>
                <w:szCs w:val="21"/>
                <w:vertAlign w:val="baseline"/>
                <w:lang w:eastAsia="zh-CN"/>
              </w:rPr>
              <w:t>：</w:t>
            </w:r>
            <w:r>
              <w:rPr>
                <w:rFonts w:hint="eastAsia" w:ascii="宋体" w:hAnsi="宋体" w:eastAsia="宋体" w:cs="宋体"/>
                <w:sz w:val="21"/>
                <w:szCs w:val="21"/>
                <w:lang w:val="en-US" w:eastAsia="zh-CN"/>
              </w:rPr>
              <w:t>≥</w:t>
            </w:r>
            <w:r>
              <w:rPr>
                <w:rFonts w:hint="eastAsia" w:ascii="宋体" w:hAnsi="宋体" w:eastAsia="宋体" w:cs="宋体"/>
                <w:sz w:val="21"/>
                <w:szCs w:val="21"/>
                <w:vertAlign w:val="baseline"/>
              </w:rPr>
              <w:t>11张/秒</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五．</w:t>
            </w:r>
            <w:r>
              <w:rPr>
                <w:rFonts w:hint="eastAsia" w:ascii="宋体" w:hAnsi="宋体" w:eastAsia="宋体" w:cs="宋体"/>
                <w:sz w:val="21"/>
                <w:szCs w:val="21"/>
                <w:vertAlign w:val="baseline"/>
              </w:rPr>
              <w:t>基本参数</w:t>
            </w:r>
            <w:r>
              <w:rPr>
                <w:rFonts w:hint="eastAsia" w:ascii="宋体" w:hAnsi="宋体" w:eastAsia="宋体" w:cs="宋体"/>
                <w:sz w:val="21"/>
                <w:szCs w:val="21"/>
                <w:vertAlign w:val="baseline"/>
                <w:lang w:val="en-US" w:eastAsia="zh-CN"/>
              </w:rPr>
              <w:t>要求</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w:t>
            </w:r>
            <w:r>
              <w:rPr>
                <w:rFonts w:hint="eastAsia" w:ascii="宋体" w:hAnsi="宋体" w:eastAsia="宋体" w:cs="宋体"/>
                <w:sz w:val="21"/>
                <w:szCs w:val="21"/>
                <w:vertAlign w:val="baseline"/>
              </w:rPr>
              <w:t>高清摄像</w:t>
            </w:r>
            <w:r>
              <w:rPr>
                <w:rFonts w:hint="eastAsia" w:ascii="宋体" w:hAnsi="宋体" w:eastAsia="宋体" w:cs="宋体"/>
                <w:sz w:val="21"/>
                <w:szCs w:val="21"/>
                <w:vertAlign w:val="baseline"/>
                <w:lang w:eastAsia="zh-CN"/>
              </w:rPr>
              <w:t>：</w:t>
            </w:r>
            <w:r>
              <w:rPr>
                <w:rFonts w:hint="eastAsia" w:ascii="宋体" w:hAnsi="宋体" w:eastAsia="宋体" w:cs="宋体"/>
                <w:sz w:val="21"/>
                <w:szCs w:val="21"/>
                <w:highlight w:val="none"/>
                <w:vertAlign w:val="baseline"/>
              </w:rPr>
              <w:t>≥</w:t>
            </w:r>
            <w:r>
              <w:rPr>
                <w:rFonts w:hint="eastAsia" w:ascii="宋体" w:hAnsi="宋体" w:eastAsia="宋体" w:cs="宋体"/>
                <w:sz w:val="21"/>
                <w:szCs w:val="21"/>
                <w:vertAlign w:val="baseline"/>
              </w:rPr>
              <w:t>4K超高清视频</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2..</w:t>
            </w:r>
            <w:r>
              <w:rPr>
                <w:rFonts w:hint="eastAsia" w:ascii="宋体" w:hAnsi="宋体" w:eastAsia="宋体" w:cs="宋体"/>
                <w:sz w:val="21"/>
                <w:szCs w:val="21"/>
                <w:vertAlign w:val="baseline"/>
              </w:rPr>
              <w:t>接口</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 xml:space="preserve">Wi-Fi </w:t>
            </w:r>
            <w:r>
              <w:rPr>
                <w:rFonts w:hint="eastAsia" w:ascii="宋体" w:hAnsi="宋体" w:eastAsia="宋体" w:cs="宋体"/>
                <w:sz w:val="21"/>
                <w:szCs w:val="21"/>
                <w:vertAlign w:val="baseline"/>
                <w:lang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r>
              <w:rPr>
                <w:rFonts w:hint="eastAsia" w:ascii="宋体" w:hAnsi="宋体" w:eastAsia="宋体" w:cs="宋体"/>
                <w:sz w:val="21"/>
                <w:szCs w:val="21"/>
                <w:vertAlign w:val="baseline"/>
              </w:rPr>
              <w:t>传感器类型</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 xml:space="preserve">CMOS </w:t>
            </w:r>
            <w:r>
              <w:rPr>
                <w:rFonts w:hint="eastAsia" w:ascii="宋体" w:hAnsi="宋体" w:eastAsia="宋体" w:cs="宋体"/>
                <w:sz w:val="21"/>
                <w:szCs w:val="21"/>
                <w:vertAlign w:val="baseline"/>
                <w:lang w:val="en-US"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r>
              <w:rPr>
                <w:rFonts w:hint="eastAsia" w:ascii="宋体" w:hAnsi="宋体" w:eastAsia="宋体" w:cs="宋体"/>
                <w:sz w:val="21"/>
                <w:szCs w:val="21"/>
                <w:vertAlign w:val="baseline"/>
              </w:rPr>
              <w:t>产品净重（g）</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 xml:space="preserve">343 </w:t>
            </w:r>
            <w:r>
              <w:rPr>
                <w:rFonts w:hint="eastAsia" w:ascii="宋体" w:hAnsi="宋体" w:eastAsia="宋体" w:cs="宋体"/>
                <w:sz w:val="21"/>
                <w:szCs w:val="21"/>
                <w:vertAlign w:val="baseline"/>
                <w:lang w:val="en-US"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r>
              <w:rPr>
                <w:rFonts w:hint="eastAsia" w:ascii="宋体" w:hAnsi="宋体" w:eastAsia="宋体" w:cs="宋体"/>
                <w:sz w:val="21"/>
                <w:szCs w:val="21"/>
                <w:vertAlign w:val="baseline"/>
              </w:rPr>
              <w:t>有效像素</w:t>
            </w:r>
            <w:r>
              <w:rPr>
                <w:rFonts w:hint="eastAsia" w:ascii="宋体" w:hAnsi="宋体" w:eastAsia="宋体" w:cs="宋体"/>
                <w:sz w:val="21"/>
                <w:szCs w:val="21"/>
                <w:vertAlign w:val="baseline"/>
                <w:lang w:eastAsia="zh-CN"/>
              </w:rPr>
              <w:t>：</w:t>
            </w:r>
            <w:r>
              <w:rPr>
                <w:rFonts w:hint="eastAsia" w:ascii="宋体" w:hAnsi="宋体" w:eastAsia="宋体" w:cs="宋体"/>
                <w:sz w:val="21"/>
                <w:szCs w:val="21"/>
                <w:highlight w:val="none"/>
                <w:vertAlign w:val="baseline"/>
              </w:rPr>
              <w:t>≥</w:t>
            </w:r>
            <w:r>
              <w:rPr>
                <w:rFonts w:hint="eastAsia" w:ascii="宋体" w:hAnsi="宋体" w:eastAsia="宋体" w:cs="宋体"/>
                <w:sz w:val="21"/>
                <w:szCs w:val="21"/>
                <w:vertAlign w:val="baseline"/>
              </w:rPr>
              <w:t>2420万对焦系统混合自动对焦</w:t>
            </w:r>
            <w:r>
              <w:rPr>
                <w:rFonts w:hint="eastAsia" w:ascii="宋体" w:hAnsi="宋体" w:eastAsia="宋体" w:cs="宋体"/>
                <w:sz w:val="21"/>
                <w:szCs w:val="21"/>
                <w:vertAlign w:val="baseline"/>
                <w:lang w:val="en-US"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w:t>
            </w:r>
            <w:r>
              <w:rPr>
                <w:rFonts w:hint="eastAsia" w:ascii="宋体" w:hAnsi="宋体" w:eastAsia="宋体" w:cs="宋体"/>
                <w:sz w:val="21"/>
                <w:szCs w:val="21"/>
                <w:vertAlign w:val="baseline"/>
              </w:rPr>
              <w:t>焦点数量</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lang w:val="en-US" w:eastAsia="zh-CN"/>
              </w:rPr>
              <w:t>约</w:t>
            </w:r>
            <w:r>
              <w:rPr>
                <w:rFonts w:hint="eastAsia" w:ascii="宋体" w:hAnsi="宋体" w:eastAsia="宋体" w:cs="宋体"/>
                <w:sz w:val="21"/>
                <w:szCs w:val="21"/>
                <w:vertAlign w:val="baseline"/>
              </w:rPr>
              <w:t>415个</w:t>
            </w:r>
            <w:r>
              <w:rPr>
                <w:rFonts w:hint="eastAsia" w:ascii="宋体" w:hAnsi="宋体" w:eastAsia="宋体" w:cs="宋体"/>
                <w:sz w:val="21"/>
                <w:szCs w:val="21"/>
                <w:vertAlign w:val="baseline"/>
                <w:lang w:val="en-US"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w:t>
            </w:r>
            <w:r>
              <w:rPr>
                <w:rFonts w:hint="eastAsia" w:ascii="宋体" w:hAnsi="宋体" w:eastAsia="宋体" w:cs="宋体"/>
                <w:sz w:val="21"/>
                <w:szCs w:val="21"/>
                <w:vertAlign w:val="baseline"/>
              </w:rPr>
              <w:t>屏幕参数</w:t>
            </w:r>
            <w:r>
              <w:rPr>
                <w:rFonts w:hint="eastAsia" w:ascii="宋体" w:hAnsi="宋体" w:eastAsia="宋体" w:cs="宋体"/>
                <w:sz w:val="21"/>
                <w:szCs w:val="21"/>
                <w:vertAlign w:val="baseline"/>
                <w:lang w:eastAsia="zh-CN"/>
              </w:rPr>
              <w:t>：</w:t>
            </w:r>
            <w:r>
              <w:rPr>
                <w:rFonts w:hint="eastAsia" w:ascii="宋体" w:hAnsi="宋体" w:eastAsia="宋体" w:cs="宋体"/>
                <w:sz w:val="21"/>
                <w:szCs w:val="21"/>
                <w:highlight w:val="none"/>
                <w:vertAlign w:val="baseline"/>
              </w:rPr>
              <w:t>≥</w:t>
            </w:r>
            <w:r>
              <w:rPr>
                <w:rFonts w:hint="eastAsia" w:ascii="宋体" w:hAnsi="宋体" w:eastAsia="宋体" w:cs="宋体"/>
                <w:sz w:val="21"/>
                <w:szCs w:val="21"/>
                <w:vertAlign w:val="baseline"/>
              </w:rPr>
              <w:t>液晶屏像素92万</w:t>
            </w:r>
            <w:r>
              <w:rPr>
                <w:rFonts w:hint="eastAsia" w:ascii="宋体" w:hAnsi="宋体" w:eastAsia="宋体" w:cs="宋体"/>
                <w:sz w:val="21"/>
                <w:szCs w:val="21"/>
                <w:vertAlign w:val="baseline"/>
                <w:lang w:val="en-US"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w:t>
            </w:r>
            <w:r>
              <w:rPr>
                <w:rFonts w:hint="eastAsia" w:ascii="宋体" w:hAnsi="宋体" w:eastAsia="宋体" w:cs="宋体"/>
                <w:sz w:val="21"/>
                <w:szCs w:val="21"/>
                <w:vertAlign w:val="baseline"/>
              </w:rPr>
              <w:t>液晶屏尺寸</w:t>
            </w:r>
            <w:r>
              <w:rPr>
                <w:rFonts w:hint="eastAsia" w:ascii="宋体" w:hAnsi="宋体" w:eastAsia="宋体" w:cs="宋体"/>
                <w:sz w:val="21"/>
                <w:szCs w:val="21"/>
                <w:vertAlign w:val="baseline"/>
                <w:lang w:val="en-US" w:eastAsia="zh-CN"/>
              </w:rPr>
              <w:t>:</w:t>
            </w:r>
            <w:r>
              <w:rPr>
                <w:rFonts w:hint="eastAsia" w:ascii="宋体" w:hAnsi="宋体" w:eastAsia="宋体" w:cs="宋体"/>
                <w:sz w:val="21"/>
                <w:szCs w:val="21"/>
                <w:highlight w:val="none"/>
                <w:vertAlign w:val="baseline"/>
              </w:rPr>
              <w:t>≥</w:t>
            </w:r>
            <w:r>
              <w:rPr>
                <w:rFonts w:hint="eastAsia" w:ascii="宋体" w:hAnsi="宋体" w:eastAsia="宋体" w:cs="宋体"/>
                <w:sz w:val="21"/>
                <w:szCs w:val="21"/>
                <w:vertAlign w:val="baseline"/>
              </w:rPr>
              <w:t>3英寸</w:t>
            </w:r>
            <w:r>
              <w:rPr>
                <w:rFonts w:hint="eastAsia" w:ascii="宋体" w:hAnsi="宋体" w:eastAsia="宋体" w:cs="宋体"/>
                <w:sz w:val="21"/>
                <w:szCs w:val="21"/>
                <w:vertAlign w:val="baseline"/>
                <w:lang w:val="en-US" w:eastAsia="zh-CN"/>
              </w:rPr>
              <w:t>;</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9.</w:t>
            </w:r>
            <w:r>
              <w:rPr>
                <w:rFonts w:hint="eastAsia" w:ascii="宋体" w:hAnsi="宋体" w:eastAsia="宋体" w:cs="宋体"/>
                <w:sz w:val="21"/>
                <w:szCs w:val="21"/>
                <w:vertAlign w:val="baseline"/>
              </w:rPr>
              <w:t>液晶屏类型</w:t>
            </w:r>
            <w:r>
              <w:rPr>
                <w:rFonts w:hint="eastAsia" w:ascii="宋体" w:hAnsi="宋体" w:eastAsia="宋体" w:cs="宋体"/>
                <w:sz w:val="21"/>
                <w:szCs w:val="21"/>
                <w:vertAlign w:val="baseline"/>
                <w:lang w:eastAsia="zh-CN"/>
              </w:rPr>
              <w:t>：</w:t>
            </w:r>
            <w:r>
              <w:rPr>
                <w:rFonts w:hint="eastAsia" w:ascii="宋体" w:hAnsi="宋体" w:eastAsia="宋体" w:cs="宋体"/>
                <w:sz w:val="21"/>
                <w:szCs w:val="21"/>
                <w:vertAlign w:val="baseline"/>
              </w:rPr>
              <w:t>侧翻屏</w:t>
            </w:r>
            <w:r>
              <w:rPr>
                <w:rFonts w:hint="eastAsia" w:ascii="宋体" w:hAnsi="宋体" w:eastAsia="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7" w:hRule="atLeast"/>
        </w:trPr>
        <w:tc>
          <w:tcPr>
            <w:tcW w:w="1076" w:type="dxa"/>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14</w:t>
            </w:r>
          </w:p>
        </w:tc>
        <w:tc>
          <w:tcPr>
            <w:tcW w:w="2679" w:type="dxa"/>
          </w:tcPr>
          <w:p>
            <w:pPr>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馈纸式扫描仪</w:t>
            </w:r>
          </w:p>
        </w:tc>
        <w:tc>
          <w:tcPr>
            <w:tcW w:w="1224" w:type="dxa"/>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30台</w:t>
            </w:r>
          </w:p>
        </w:tc>
        <w:tc>
          <w:tcPr>
            <w:tcW w:w="4519" w:type="dxa"/>
          </w:tcPr>
          <w:p>
            <w:pPr>
              <w:snapToGrid/>
              <w:spacing w:before="0" w:beforeAutospacing="0" w:after="0" w:afterAutospacing="0" w:line="240" w:lineRule="auto"/>
              <w:jc w:val="left"/>
              <w:textAlignment w:val="baseline"/>
              <w:rPr>
                <w:rFonts w:hint="eastAsia" w:ascii="宋体" w:hAnsi="宋体" w:eastAsia="宋体" w:cs="宋体"/>
                <w:b w:val="0"/>
                <w:i w:val="0"/>
                <w:caps w:val="0"/>
                <w:spacing w:val="0"/>
                <w:w w:val="100"/>
                <w:kern w:val="2"/>
                <w:sz w:val="21"/>
                <w:szCs w:val="21"/>
                <w:lang w:val="en-US" w:eastAsia="zh-CN" w:bidi="ar-SA"/>
              </w:rPr>
            </w:pPr>
            <w:r>
              <w:rPr>
                <w:rStyle w:val="182"/>
                <w:rFonts w:hint="eastAsia" w:ascii="宋体" w:hAnsi="宋体" w:eastAsia="宋体" w:cs="宋体"/>
                <w:b/>
                <w:i w:val="0"/>
                <w:caps w:val="0"/>
                <w:spacing w:val="0"/>
                <w:w w:val="100"/>
                <w:kern w:val="2"/>
                <w:sz w:val="21"/>
                <w:szCs w:val="21"/>
                <w:lang w:val="en-US" w:eastAsia="zh-CN" w:bidi="ar-SA"/>
              </w:rPr>
              <w:t>1.扫描方式：</w:t>
            </w:r>
            <w:r>
              <w:rPr>
                <w:rStyle w:val="182"/>
                <w:rFonts w:hint="eastAsia" w:ascii="宋体" w:hAnsi="宋体" w:eastAsia="宋体" w:cs="宋体"/>
                <w:b w:val="0"/>
                <w:i w:val="0"/>
                <w:caps w:val="0"/>
                <w:spacing w:val="0"/>
                <w:w w:val="100"/>
                <w:kern w:val="2"/>
                <w:sz w:val="21"/>
                <w:szCs w:val="21"/>
                <w:lang w:val="en-US" w:eastAsia="zh-CN" w:bidi="ar-SA"/>
              </w:rPr>
              <w:t>平板+馈纸；</w:t>
            </w:r>
          </w:p>
          <w:p>
            <w:pPr>
              <w:snapToGrid/>
              <w:spacing w:before="0" w:beforeAutospacing="0" w:after="0" w:afterAutospacing="0" w:line="240" w:lineRule="auto"/>
              <w:jc w:val="left"/>
              <w:textAlignment w:val="baseline"/>
              <w:rPr>
                <w:rFonts w:hint="eastAsia" w:ascii="宋体" w:hAnsi="宋体" w:eastAsia="宋体" w:cs="宋体"/>
                <w:b w:val="0"/>
                <w:i w:val="0"/>
                <w:caps w:val="0"/>
                <w:spacing w:val="0"/>
                <w:w w:val="100"/>
                <w:kern w:val="2"/>
                <w:sz w:val="21"/>
                <w:szCs w:val="21"/>
                <w:lang w:val="en-US" w:eastAsia="zh-CN" w:bidi="ar-SA"/>
              </w:rPr>
            </w:pPr>
            <w:r>
              <w:rPr>
                <w:rStyle w:val="182"/>
                <w:rFonts w:hint="eastAsia" w:ascii="宋体" w:hAnsi="宋体" w:eastAsia="宋体" w:cs="宋体"/>
                <w:b/>
                <w:i w:val="0"/>
                <w:caps w:val="0"/>
                <w:spacing w:val="0"/>
                <w:w w:val="100"/>
                <w:kern w:val="2"/>
                <w:sz w:val="21"/>
                <w:szCs w:val="21"/>
                <w:lang w:val="en-US" w:eastAsia="zh-CN" w:bidi="ar-SA"/>
              </w:rPr>
              <w:t xml:space="preserve">2.感光单元: </w:t>
            </w:r>
            <w:r>
              <w:rPr>
                <w:rStyle w:val="182"/>
                <w:rFonts w:hint="eastAsia" w:ascii="宋体" w:hAnsi="宋体" w:eastAsia="宋体" w:cs="宋体"/>
                <w:b w:val="0"/>
                <w:i w:val="0"/>
                <w:caps w:val="0"/>
                <w:spacing w:val="0"/>
                <w:w w:val="100"/>
                <w:kern w:val="2"/>
                <w:sz w:val="21"/>
                <w:szCs w:val="21"/>
                <w:lang w:val="en-US" w:eastAsia="zh-CN" w:bidi="ar-SA"/>
              </w:rPr>
              <w:t>CIS x 2；</w:t>
            </w:r>
          </w:p>
          <w:p>
            <w:pPr>
              <w:snapToGrid/>
              <w:spacing w:before="0" w:beforeAutospacing="0" w:after="0" w:afterAutospacing="0" w:line="240" w:lineRule="auto"/>
              <w:jc w:val="left"/>
              <w:textAlignment w:val="baseline"/>
              <w:rPr>
                <w:rFonts w:hint="eastAsia" w:ascii="宋体" w:hAnsi="宋体" w:eastAsia="宋体" w:cs="宋体"/>
                <w:b w:val="0"/>
                <w:i w:val="0"/>
                <w:caps w:val="0"/>
                <w:spacing w:val="0"/>
                <w:w w:val="100"/>
                <w:kern w:val="2"/>
                <w:sz w:val="21"/>
                <w:szCs w:val="21"/>
                <w:lang w:val="en-US" w:eastAsia="zh-CN" w:bidi="ar-SA"/>
              </w:rPr>
            </w:pPr>
            <w:r>
              <w:rPr>
                <w:rStyle w:val="182"/>
                <w:rFonts w:hint="eastAsia" w:ascii="宋体" w:hAnsi="宋体" w:eastAsia="宋体" w:cs="宋体"/>
                <w:b/>
                <w:i w:val="0"/>
                <w:caps w:val="0"/>
                <w:spacing w:val="0"/>
                <w:w w:val="100"/>
                <w:kern w:val="2"/>
                <w:sz w:val="21"/>
                <w:szCs w:val="21"/>
                <w:lang w:val="en-US" w:eastAsia="zh-CN" w:bidi="ar-SA"/>
              </w:rPr>
              <w:t>3.幅面：</w:t>
            </w:r>
            <w:r>
              <w:rPr>
                <w:rFonts w:hint="eastAsia" w:ascii="宋体" w:hAnsi="宋体" w:eastAsia="宋体" w:cs="宋体"/>
                <w:sz w:val="21"/>
                <w:szCs w:val="21"/>
                <w:highlight w:val="none"/>
                <w:vertAlign w:val="baseline"/>
              </w:rPr>
              <w:t>≥</w:t>
            </w:r>
            <w:r>
              <w:rPr>
                <w:rStyle w:val="182"/>
                <w:rFonts w:hint="eastAsia" w:ascii="宋体" w:hAnsi="宋体" w:eastAsia="宋体" w:cs="宋体"/>
                <w:b w:val="0"/>
                <w:i w:val="0"/>
                <w:caps w:val="0"/>
                <w:spacing w:val="0"/>
                <w:w w:val="100"/>
                <w:kern w:val="2"/>
                <w:sz w:val="21"/>
                <w:szCs w:val="21"/>
                <w:lang w:val="en-US" w:eastAsia="zh-CN" w:bidi="ar-SA"/>
              </w:rPr>
              <w:t>A4；</w:t>
            </w:r>
          </w:p>
          <w:p>
            <w:pPr>
              <w:snapToGrid/>
              <w:spacing w:before="0" w:beforeAutospacing="0" w:after="0" w:afterAutospacing="0" w:line="240" w:lineRule="auto"/>
              <w:jc w:val="left"/>
              <w:textAlignment w:val="baseline"/>
              <w:rPr>
                <w:rFonts w:hint="eastAsia" w:ascii="宋体" w:hAnsi="宋体" w:eastAsia="宋体" w:cs="宋体"/>
                <w:b w:val="0"/>
                <w:i w:val="0"/>
                <w:caps w:val="0"/>
                <w:spacing w:val="0"/>
                <w:w w:val="100"/>
                <w:kern w:val="2"/>
                <w:sz w:val="21"/>
                <w:szCs w:val="21"/>
                <w:lang w:val="en-US" w:eastAsia="zh-CN" w:bidi="ar-SA"/>
              </w:rPr>
            </w:pPr>
            <w:r>
              <w:rPr>
                <w:rStyle w:val="182"/>
                <w:rFonts w:hint="eastAsia" w:ascii="宋体" w:hAnsi="宋体" w:eastAsia="宋体" w:cs="宋体"/>
                <w:b/>
                <w:i w:val="0"/>
                <w:caps w:val="0"/>
                <w:spacing w:val="0"/>
                <w:w w:val="100"/>
                <w:kern w:val="2"/>
                <w:sz w:val="21"/>
                <w:szCs w:val="21"/>
                <w:lang w:val="en-US" w:eastAsia="zh-CN" w:bidi="ar-SA"/>
              </w:rPr>
              <w:t>4.分辨率：</w:t>
            </w:r>
            <w:r>
              <w:rPr>
                <w:rFonts w:hint="eastAsia" w:ascii="宋体" w:hAnsi="宋体" w:eastAsia="宋体" w:cs="宋体"/>
                <w:sz w:val="21"/>
                <w:szCs w:val="21"/>
                <w:highlight w:val="none"/>
                <w:vertAlign w:val="baseline"/>
              </w:rPr>
              <w:t>≥</w:t>
            </w:r>
            <w:r>
              <w:rPr>
                <w:rStyle w:val="182"/>
                <w:rFonts w:hint="eastAsia" w:ascii="宋体" w:hAnsi="宋体" w:eastAsia="宋体" w:cs="宋体"/>
                <w:b w:val="0"/>
                <w:i w:val="0"/>
                <w:caps w:val="0"/>
                <w:spacing w:val="0"/>
                <w:w w:val="100"/>
                <w:kern w:val="2"/>
                <w:sz w:val="21"/>
                <w:szCs w:val="21"/>
                <w:lang w:val="en-US" w:eastAsia="zh-CN" w:bidi="ar-SA"/>
              </w:rPr>
              <w:t>2400*1200dpi；</w:t>
            </w:r>
          </w:p>
          <w:p>
            <w:pPr>
              <w:snapToGrid/>
              <w:spacing w:before="0" w:beforeAutospacing="0" w:after="0" w:afterAutospacing="0" w:line="240" w:lineRule="auto"/>
              <w:jc w:val="left"/>
              <w:textAlignment w:val="baseline"/>
              <w:rPr>
                <w:rFonts w:hint="eastAsia" w:ascii="宋体" w:hAnsi="宋体" w:eastAsia="宋体" w:cs="宋体"/>
                <w:b w:val="0"/>
                <w:i w:val="0"/>
                <w:caps w:val="0"/>
                <w:spacing w:val="0"/>
                <w:w w:val="100"/>
                <w:kern w:val="2"/>
                <w:sz w:val="21"/>
                <w:szCs w:val="21"/>
                <w:lang w:val="en-US" w:eastAsia="zh-CN" w:bidi="ar-SA"/>
              </w:rPr>
            </w:pPr>
            <w:r>
              <w:rPr>
                <w:rStyle w:val="182"/>
                <w:rFonts w:hint="eastAsia" w:ascii="宋体" w:hAnsi="宋体" w:eastAsia="宋体" w:cs="宋体"/>
                <w:b/>
                <w:i w:val="0"/>
                <w:caps w:val="0"/>
                <w:spacing w:val="0"/>
                <w:w w:val="100"/>
                <w:kern w:val="2"/>
                <w:sz w:val="21"/>
                <w:szCs w:val="21"/>
                <w:lang w:val="en-US" w:eastAsia="zh-CN" w:bidi="ar-SA"/>
              </w:rPr>
              <w:t>5.色彩位阶：</w:t>
            </w:r>
            <w:r>
              <w:rPr>
                <w:rFonts w:hint="eastAsia" w:ascii="宋体" w:hAnsi="宋体" w:eastAsia="宋体" w:cs="宋体"/>
                <w:sz w:val="21"/>
                <w:szCs w:val="21"/>
                <w:highlight w:val="none"/>
                <w:vertAlign w:val="baseline"/>
              </w:rPr>
              <w:t>≥</w:t>
            </w:r>
            <w:r>
              <w:rPr>
                <w:rStyle w:val="182"/>
                <w:rFonts w:hint="eastAsia" w:ascii="宋体" w:hAnsi="宋体" w:eastAsia="宋体" w:cs="宋体"/>
                <w:b w:val="0"/>
                <w:i w:val="0"/>
                <w:caps w:val="0"/>
                <w:spacing w:val="0"/>
                <w:w w:val="100"/>
                <w:kern w:val="2"/>
                <w:sz w:val="21"/>
                <w:szCs w:val="21"/>
                <w:lang w:val="en-US" w:eastAsia="zh-CN" w:bidi="ar-SA"/>
              </w:rPr>
              <w:t>48bit；</w:t>
            </w:r>
          </w:p>
          <w:p>
            <w:pPr>
              <w:snapToGrid/>
              <w:spacing w:before="0" w:beforeAutospacing="0" w:after="0" w:afterAutospacing="0" w:line="240" w:lineRule="auto"/>
              <w:jc w:val="left"/>
              <w:textAlignment w:val="baseline"/>
              <w:rPr>
                <w:rFonts w:hint="eastAsia" w:ascii="宋体" w:hAnsi="宋体" w:eastAsia="宋体" w:cs="宋体"/>
                <w:b w:val="0"/>
                <w:i w:val="0"/>
                <w:caps w:val="0"/>
                <w:spacing w:val="0"/>
                <w:w w:val="100"/>
                <w:kern w:val="2"/>
                <w:sz w:val="21"/>
                <w:szCs w:val="21"/>
                <w:lang w:val="en-US" w:eastAsia="zh-CN" w:bidi="ar-SA"/>
              </w:rPr>
            </w:pPr>
            <w:r>
              <w:rPr>
                <w:rStyle w:val="182"/>
                <w:rFonts w:hint="eastAsia" w:ascii="宋体" w:hAnsi="宋体" w:eastAsia="宋体" w:cs="宋体"/>
                <w:b/>
                <w:i w:val="0"/>
                <w:caps w:val="0"/>
                <w:spacing w:val="0"/>
                <w:w w:val="100"/>
                <w:kern w:val="2"/>
                <w:sz w:val="21"/>
                <w:szCs w:val="21"/>
                <w:lang w:val="en-US" w:eastAsia="zh-CN" w:bidi="ar-SA"/>
              </w:rPr>
              <w:t>6.扫描区域：</w:t>
            </w:r>
            <w:r>
              <w:rPr>
                <w:rStyle w:val="182"/>
                <w:rFonts w:hint="eastAsia" w:ascii="宋体" w:hAnsi="宋体" w:eastAsia="宋体" w:cs="宋体"/>
                <w:b w:val="0"/>
                <w:i w:val="0"/>
                <w:caps w:val="0"/>
                <w:spacing w:val="0"/>
                <w:w w:val="100"/>
                <w:kern w:val="2"/>
                <w:sz w:val="21"/>
                <w:szCs w:val="21"/>
                <w:lang w:val="en-US" w:eastAsia="zh-CN" w:bidi="ar-SA"/>
              </w:rPr>
              <w:t>最大：216mm x 356 mm，最小：89mm x148 mm；</w:t>
            </w:r>
          </w:p>
          <w:p>
            <w:pPr>
              <w:snapToGrid/>
              <w:spacing w:before="0" w:beforeAutospacing="0" w:after="0" w:afterAutospacing="0" w:line="240" w:lineRule="auto"/>
              <w:ind w:left="1054" w:hanging="1054"/>
              <w:jc w:val="left"/>
              <w:textAlignment w:val="baseline"/>
              <w:rPr>
                <w:rStyle w:val="182"/>
                <w:rFonts w:hint="eastAsia" w:ascii="宋体" w:hAnsi="宋体" w:eastAsia="宋体" w:cs="宋体"/>
                <w:b w:val="0"/>
                <w:i w:val="0"/>
                <w:caps w:val="0"/>
                <w:spacing w:val="0"/>
                <w:w w:val="100"/>
                <w:kern w:val="2"/>
                <w:sz w:val="21"/>
                <w:szCs w:val="21"/>
                <w:lang w:val="en-US" w:eastAsia="zh-CN" w:bidi="ar-SA"/>
              </w:rPr>
            </w:pPr>
            <w:r>
              <w:rPr>
                <w:rStyle w:val="182"/>
                <w:rFonts w:hint="eastAsia" w:ascii="宋体" w:hAnsi="宋体" w:eastAsia="宋体" w:cs="宋体"/>
                <w:b/>
                <w:i w:val="0"/>
                <w:caps w:val="0"/>
                <w:spacing w:val="0"/>
                <w:w w:val="100"/>
                <w:kern w:val="2"/>
                <w:sz w:val="21"/>
                <w:szCs w:val="21"/>
                <w:lang w:val="en-US" w:eastAsia="zh-CN" w:bidi="ar-SA"/>
              </w:rPr>
              <w:t>7.扫描速度：</w:t>
            </w:r>
            <w:r>
              <w:rPr>
                <w:rFonts w:hint="eastAsia" w:ascii="宋体" w:hAnsi="宋体" w:eastAsia="宋体" w:cs="宋体"/>
                <w:sz w:val="21"/>
                <w:szCs w:val="21"/>
                <w:highlight w:val="none"/>
                <w:vertAlign w:val="baseline"/>
              </w:rPr>
              <w:t>≥</w:t>
            </w:r>
            <w:r>
              <w:rPr>
                <w:rStyle w:val="182"/>
                <w:rFonts w:hint="eastAsia" w:ascii="宋体" w:hAnsi="宋体" w:eastAsia="宋体" w:cs="宋体"/>
                <w:b/>
                <w:i w:val="0"/>
                <w:caps w:val="0"/>
                <w:spacing w:val="0"/>
                <w:w w:val="100"/>
                <w:kern w:val="2"/>
                <w:sz w:val="21"/>
                <w:szCs w:val="21"/>
                <w:lang w:val="en-US" w:eastAsia="zh-CN" w:bidi="ar-SA"/>
              </w:rPr>
              <w:t>25</w:t>
            </w:r>
            <w:r>
              <w:rPr>
                <w:rStyle w:val="182"/>
                <w:rFonts w:hint="eastAsia" w:ascii="宋体" w:hAnsi="宋体" w:eastAsia="宋体" w:cs="宋体"/>
                <w:b w:val="0"/>
                <w:i w:val="0"/>
                <w:caps w:val="0"/>
                <w:spacing w:val="0"/>
                <w:w w:val="100"/>
                <w:kern w:val="2"/>
                <w:sz w:val="21"/>
                <w:szCs w:val="21"/>
                <w:lang w:val="en-US" w:eastAsia="zh-CN" w:bidi="ar-SA"/>
              </w:rPr>
              <w:t>ppm/50ipm（200dpi,彩色、</w:t>
            </w:r>
          </w:p>
          <w:p>
            <w:pPr>
              <w:snapToGrid/>
              <w:spacing w:before="0" w:beforeAutospacing="0" w:after="0" w:afterAutospacing="0" w:line="240" w:lineRule="auto"/>
              <w:ind w:left="1054" w:hanging="1054"/>
              <w:jc w:val="left"/>
              <w:textAlignment w:val="baseline"/>
              <w:rPr>
                <w:rFonts w:hint="eastAsia" w:ascii="宋体" w:hAnsi="宋体" w:eastAsia="宋体" w:cs="宋体"/>
                <w:b w:val="0"/>
                <w:i w:val="0"/>
                <w:caps w:val="0"/>
                <w:spacing w:val="0"/>
                <w:w w:val="100"/>
                <w:kern w:val="2"/>
                <w:sz w:val="21"/>
                <w:szCs w:val="21"/>
                <w:lang w:val="en-US" w:eastAsia="zh-CN" w:bidi="ar-SA"/>
              </w:rPr>
            </w:pPr>
            <w:r>
              <w:rPr>
                <w:rStyle w:val="182"/>
                <w:rFonts w:hint="eastAsia" w:ascii="宋体" w:hAnsi="宋体" w:eastAsia="宋体" w:cs="宋体"/>
                <w:b w:val="0"/>
                <w:i w:val="0"/>
                <w:caps w:val="0"/>
                <w:spacing w:val="0"/>
                <w:w w:val="100"/>
                <w:kern w:val="2"/>
                <w:sz w:val="21"/>
                <w:szCs w:val="21"/>
                <w:lang w:val="en-US" w:eastAsia="zh-CN" w:bidi="ar-SA"/>
              </w:rPr>
              <w:t>灰度、黑白，A4）；</w:t>
            </w:r>
          </w:p>
          <w:p>
            <w:pPr>
              <w:snapToGrid/>
              <w:spacing w:before="0" w:beforeAutospacing="0" w:after="0" w:afterAutospacing="0" w:line="240" w:lineRule="auto"/>
              <w:jc w:val="left"/>
              <w:textAlignment w:val="baseline"/>
              <w:rPr>
                <w:rFonts w:hint="eastAsia" w:ascii="宋体" w:hAnsi="宋体" w:eastAsia="宋体" w:cs="宋体"/>
                <w:b w:val="0"/>
                <w:i w:val="0"/>
                <w:caps w:val="0"/>
                <w:spacing w:val="0"/>
                <w:w w:val="100"/>
                <w:kern w:val="2"/>
                <w:sz w:val="21"/>
                <w:szCs w:val="21"/>
                <w:lang w:val="en-US" w:eastAsia="zh-CN" w:bidi="ar-SA"/>
              </w:rPr>
            </w:pPr>
            <w:r>
              <w:rPr>
                <w:rStyle w:val="182"/>
                <w:rFonts w:hint="eastAsia" w:ascii="宋体" w:hAnsi="宋体" w:eastAsia="宋体" w:cs="宋体"/>
                <w:b/>
                <w:i w:val="0"/>
                <w:caps w:val="0"/>
                <w:spacing w:val="0"/>
                <w:w w:val="100"/>
                <w:kern w:val="2"/>
                <w:sz w:val="21"/>
                <w:szCs w:val="21"/>
                <w:lang w:val="en-US" w:eastAsia="zh-CN" w:bidi="ar-SA"/>
              </w:rPr>
              <w:t>8.接口：</w:t>
            </w:r>
            <w:r>
              <w:rPr>
                <w:rStyle w:val="182"/>
                <w:rFonts w:hint="eastAsia" w:ascii="宋体" w:hAnsi="宋体" w:eastAsia="宋体" w:cs="宋体"/>
                <w:b w:val="0"/>
                <w:i w:val="0"/>
                <w:caps w:val="0"/>
                <w:spacing w:val="0"/>
                <w:w w:val="100"/>
                <w:kern w:val="2"/>
                <w:sz w:val="21"/>
                <w:szCs w:val="21"/>
                <w:lang w:val="en-US" w:eastAsia="zh-CN" w:bidi="ar-SA"/>
              </w:rPr>
              <w:t>USB2.0；</w:t>
            </w:r>
          </w:p>
          <w:p>
            <w:pPr>
              <w:snapToGrid/>
              <w:spacing w:before="0" w:beforeAutospacing="0" w:after="0" w:afterAutospacing="0" w:line="240" w:lineRule="auto"/>
              <w:jc w:val="left"/>
              <w:textAlignment w:val="baseline"/>
              <w:rPr>
                <w:rFonts w:hint="eastAsia" w:ascii="宋体" w:hAnsi="宋体" w:eastAsia="宋体" w:cs="宋体"/>
                <w:b w:val="0"/>
                <w:i w:val="0"/>
                <w:caps w:val="0"/>
                <w:spacing w:val="0"/>
                <w:w w:val="100"/>
                <w:kern w:val="2"/>
                <w:sz w:val="21"/>
                <w:szCs w:val="21"/>
                <w:lang w:val="en-US" w:eastAsia="zh-CN" w:bidi="ar-SA"/>
              </w:rPr>
            </w:pPr>
            <w:r>
              <w:rPr>
                <w:rStyle w:val="182"/>
                <w:rFonts w:hint="eastAsia" w:ascii="宋体" w:hAnsi="宋体" w:eastAsia="宋体" w:cs="宋体"/>
                <w:b/>
                <w:i w:val="0"/>
                <w:caps w:val="0"/>
                <w:spacing w:val="0"/>
                <w:w w:val="100"/>
                <w:kern w:val="2"/>
                <w:sz w:val="21"/>
                <w:szCs w:val="21"/>
                <w:lang w:val="en-US" w:eastAsia="zh-CN" w:bidi="ar-SA"/>
              </w:rPr>
              <w:t>9.光源：</w:t>
            </w:r>
            <w:r>
              <w:rPr>
                <w:rStyle w:val="182"/>
                <w:rFonts w:hint="eastAsia" w:ascii="宋体" w:hAnsi="宋体" w:eastAsia="宋体" w:cs="宋体"/>
                <w:b w:val="0"/>
                <w:i w:val="0"/>
                <w:caps w:val="0"/>
                <w:spacing w:val="0"/>
                <w:w w:val="100"/>
                <w:kern w:val="2"/>
                <w:sz w:val="21"/>
                <w:szCs w:val="21"/>
                <w:lang w:val="en-US" w:eastAsia="zh-CN" w:bidi="ar-SA"/>
              </w:rPr>
              <w:t>LED；</w:t>
            </w:r>
          </w:p>
          <w:p>
            <w:pPr>
              <w:snapToGrid/>
              <w:spacing w:before="0" w:beforeAutospacing="0" w:after="0" w:afterAutospacing="0" w:line="240" w:lineRule="auto"/>
              <w:jc w:val="left"/>
              <w:textAlignment w:val="baseline"/>
              <w:rPr>
                <w:rFonts w:hint="eastAsia" w:ascii="宋体" w:hAnsi="宋体" w:eastAsia="宋体" w:cs="宋体"/>
                <w:b w:val="0"/>
                <w:i w:val="0"/>
                <w:caps w:val="0"/>
                <w:spacing w:val="0"/>
                <w:w w:val="100"/>
                <w:kern w:val="2"/>
                <w:sz w:val="21"/>
                <w:szCs w:val="21"/>
                <w:lang w:val="en-US" w:eastAsia="zh-CN" w:bidi="ar-SA"/>
              </w:rPr>
            </w:pPr>
            <w:r>
              <w:rPr>
                <w:rStyle w:val="182"/>
                <w:rFonts w:hint="eastAsia" w:ascii="宋体" w:hAnsi="宋体" w:eastAsia="宋体" w:cs="宋体"/>
                <w:b/>
                <w:i w:val="0"/>
                <w:caps w:val="0"/>
                <w:spacing w:val="0"/>
                <w:w w:val="100"/>
                <w:kern w:val="2"/>
                <w:sz w:val="21"/>
                <w:szCs w:val="21"/>
                <w:lang w:val="en-US" w:eastAsia="zh-CN" w:bidi="ar-SA"/>
              </w:rPr>
              <w:t>10.按键：</w:t>
            </w:r>
            <w:r>
              <w:rPr>
                <w:rStyle w:val="182"/>
                <w:rFonts w:hint="eastAsia" w:ascii="宋体" w:hAnsi="宋体" w:eastAsia="宋体" w:cs="宋体"/>
                <w:b w:val="0"/>
                <w:i w:val="0"/>
                <w:caps w:val="0"/>
                <w:spacing w:val="0"/>
                <w:w w:val="100"/>
                <w:kern w:val="2"/>
                <w:sz w:val="21"/>
                <w:szCs w:val="21"/>
                <w:lang w:val="en-US" w:eastAsia="zh-CN" w:bidi="ar-SA"/>
              </w:rPr>
              <w:t>电源键,暂停,扫描到云,PDF,自定义；</w:t>
            </w:r>
          </w:p>
          <w:p>
            <w:pPr>
              <w:snapToGrid/>
              <w:spacing w:before="0" w:beforeAutospacing="0" w:after="0" w:afterAutospacing="0" w:line="240" w:lineRule="auto"/>
              <w:jc w:val="left"/>
              <w:textAlignment w:val="baseline"/>
              <w:rPr>
                <w:rFonts w:hint="eastAsia" w:ascii="宋体" w:hAnsi="宋体" w:eastAsia="宋体" w:cs="宋体"/>
                <w:b w:val="0"/>
                <w:i w:val="0"/>
                <w:caps w:val="0"/>
                <w:spacing w:val="0"/>
                <w:w w:val="100"/>
                <w:kern w:val="2"/>
                <w:sz w:val="21"/>
                <w:szCs w:val="21"/>
                <w:lang w:val="en-US" w:eastAsia="zh-CN" w:bidi="ar-SA"/>
              </w:rPr>
            </w:pPr>
            <w:r>
              <w:rPr>
                <w:rStyle w:val="182"/>
                <w:rFonts w:hint="eastAsia" w:ascii="宋体" w:hAnsi="宋体" w:eastAsia="宋体" w:cs="宋体"/>
                <w:b/>
                <w:i w:val="0"/>
                <w:caps w:val="0"/>
                <w:spacing w:val="0"/>
                <w:w w:val="100"/>
                <w:kern w:val="2"/>
                <w:sz w:val="21"/>
                <w:szCs w:val="21"/>
                <w:lang w:val="en-US" w:eastAsia="zh-CN" w:bidi="ar-SA"/>
              </w:rPr>
              <w:t>11.进纸器容量：</w:t>
            </w:r>
            <w:r>
              <w:rPr>
                <w:rFonts w:hint="eastAsia" w:ascii="宋体" w:hAnsi="宋体" w:eastAsia="宋体" w:cs="宋体"/>
                <w:sz w:val="21"/>
                <w:szCs w:val="21"/>
                <w:lang w:val="en-US" w:eastAsia="zh-CN"/>
              </w:rPr>
              <w:t>≥</w:t>
            </w:r>
            <w:r>
              <w:rPr>
                <w:rStyle w:val="182"/>
                <w:rFonts w:hint="eastAsia" w:ascii="宋体" w:hAnsi="宋体" w:eastAsia="宋体" w:cs="宋体"/>
                <w:b w:val="0"/>
                <w:i w:val="0"/>
                <w:caps w:val="0"/>
                <w:spacing w:val="0"/>
                <w:w w:val="100"/>
                <w:kern w:val="2"/>
                <w:sz w:val="21"/>
                <w:szCs w:val="21"/>
                <w:lang w:val="en-US" w:eastAsia="zh-CN" w:bidi="ar-SA"/>
              </w:rPr>
              <w:t>50 pages (A4, 70 gsm)；</w:t>
            </w:r>
          </w:p>
          <w:p>
            <w:pPr>
              <w:snapToGrid/>
              <w:spacing w:before="0" w:beforeAutospacing="0" w:after="0" w:afterAutospacing="0" w:line="240" w:lineRule="auto"/>
              <w:jc w:val="left"/>
              <w:textAlignment w:val="baseline"/>
              <w:rPr>
                <w:rFonts w:hint="eastAsia" w:ascii="宋体" w:hAnsi="宋体" w:eastAsia="宋体" w:cs="宋体"/>
                <w:b w:val="0"/>
                <w:i w:val="0"/>
                <w:caps w:val="0"/>
                <w:spacing w:val="0"/>
                <w:w w:val="100"/>
                <w:kern w:val="2"/>
                <w:sz w:val="21"/>
                <w:szCs w:val="21"/>
                <w:lang w:val="en-US" w:eastAsia="zh-CN" w:bidi="ar-SA"/>
              </w:rPr>
            </w:pPr>
            <w:r>
              <w:rPr>
                <w:rStyle w:val="182"/>
                <w:rFonts w:hint="eastAsia" w:ascii="宋体" w:hAnsi="宋体" w:eastAsia="宋体" w:cs="宋体"/>
                <w:b/>
                <w:i w:val="0"/>
                <w:caps w:val="0"/>
                <w:spacing w:val="0"/>
                <w:w w:val="100"/>
                <w:kern w:val="2"/>
                <w:sz w:val="21"/>
                <w:szCs w:val="21"/>
                <w:lang w:val="en-US" w:eastAsia="zh-CN" w:bidi="ar-SA"/>
              </w:rPr>
              <w:t>12.供电方式：</w:t>
            </w:r>
            <w:r>
              <w:rPr>
                <w:rStyle w:val="182"/>
                <w:rFonts w:hint="eastAsia" w:ascii="宋体" w:hAnsi="宋体" w:eastAsia="宋体" w:cs="宋体"/>
                <w:b w:val="0"/>
                <w:i w:val="0"/>
                <w:caps w:val="0"/>
                <w:spacing w:val="0"/>
                <w:w w:val="100"/>
                <w:kern w:val="2"/>
                <w:sz w:val="21"/>
                <w:szCs w:val="21"/>
                <w:lang w:val="en-US" w:eastAsia="zh-CN" w:bidi="ar-SA"/>
              </w:rPr>
              <w:t>电源适配器；</w:t>
            </w:r>
          </w:p>
          <w:p>
            <w:pPr>
              <w:snapToGrid/>
              <w:spacing w:before="0" w:beforeAutospacing="0" w:after="0" w:afterAutospacing="0" w:line="240" w:lineRule="auto"/>
              <w:jc w:val="left"/>
              <w:textAlignment w:val="baseline"/>
              <w:rPr>
                <w:rFonts w:hint="eastAsia" w:ascii="宋体" w:hAnsi="宋体" w:eastAsia="宋体" w:cs="宋体"/>
                <w:b w:val="0"/>
                <w:i w:val="0"/>
                <w:caps w:val="0"/>
                <w:spacing w:val="0"/>
                <w:w w:val="100"/>
                <w:kern w:val="2"/>
                <w:sz w:val="21"/>
                <w:szCs w:val="21"/>
                <w:lang w:val="en-US" w:eastAsia="zh-CN" w:bidi="ar-SA"/>
              </w:rPr>
            </w:pPr>
            <w:r>
              <w:rPr>
                <w:rStyle w:val="182"/>
                <w:rFonts w:hint="eastAsia" w:ascii="宋体" w:hAnsi="宋体" w:eastAsia="宋体" w:cs="宋体"/>
                <w:b/>
                <w:i w:val="0"/>
                <w:caps w:val="0"/>
                <w:spacing w:val="0"/>
                <w:w w:val="100"/>
                <w:kern w:val="2"/>
                <w:sz w:val="21"/>
                <w:szCs w:val="21"/>
                <w:lang w:val="en-US" w:eastAsia="zh-CN" w:bidi="ar-SA"/>
              </w:rPr>
              <w:t>13.额定电压：</w:t>
            </w:r>
            <w:r>
              <w:rPr>
                <w:rStyle w:val="182"/>
                <w:rFonts w:hint="eastAsia" w:ascii="宋体" w:hAnsi="宋体" w:eastAsia="宋体" w:cs="宋体"/>
                <w:b w:val="0"/>
                <w:i w:val="0"/>
                <w:caps w:val="0"/>
                <w:spacing w:val="0"/>
                <w:w w:val="100"/>
                <w:kern w:val="2"/>
                <w:sz w:val="21"/>
                <w:szCs w:val="21"/>
                <w:lang w:val="en-US" w:eastAsia="zh-CN" w:bidi="ar-SA"/>
              </w:rPr>
              <w:t>24V/1.5A；</w:t>
            </w:r>
          </w:p>
          <w:p>
            <w:pPr>
              <w:snapToGrid/>
              <w:spacing w:before="0" w:beforeAutospacing="0" w:after="0" w:afterAutospacing="0" w:line="240" w:lineRule="auto"/>
              <w:jc w:val="left"/>
              <w:textAlignment w:val="baseline"/>
              <w:rPr>
                <w:rFonts w:hint="eastAsia" w:ascii="宋体" w:hAnsi="宋体" w:eastAsia="宋体" w:cs="宋体"/>
                <w:b w:val="0"/>
                <w:i w:val="0"/>
                <w:caps w:val="0"/>
                <w:spacing w:val="0"/>
                <w:w w:val="100"/>
                <w:kern w:val="2"/>
                <w:sz w:val="21"/>
                <w:szCs w:val="21"/>
                <w:lang w:val="en-US" w:eastAsia="zh-CN" w:bidi="ar-SA"/>
              </w:rPr>
            </w:pPr>
            <w:r>
              <w:rPr>
                <w:rStyle w:val="182"/>
                <w:rFonts w:hint="eastAsia" w:ascii="宋体" w:hAnsi="宋体" w:eastAsia="宋体" w:cs="宋体"/>
                <w:b/>
                <w:i w:val="0"/>
                <w:caps w:val="0"/>
                <w:spacing w:val="0"/>
                <w:w w:val="100"/>
                <w:kern w:val="2"/>
                <w:sz w:val="21"/>
                <w:szCs w:val="21"/>
                <w:lang w:val="en-US" w:eastAsia="zh-CN" w:bidi="ar-SA"/>
              </w:rPr>
              <w:t>14.工作状态功率：</w:t>
            </w:r>
            <w:r>
              <w:rPr>
                <w:rFonts w:hint="eastAsia" w:ascii="宋体" w:hAnsi="宋体" w:eastAsia="宋体" w:cs="宋体"/>
                <w:sz w:val="21"/>
                <w:szCs w:val="21"/>
                <w:lang w:val="en-US" w:eastAsia="zh-CN"/>
              </w:rPr>
              <w:t>≥</w:t>
            </w:r>
            <w:r>
              <w:rPr>
                <w:rStyle w:val="182"/>
                <w:rFonts w:hint="eastAsia" w:ascii="宋体" w:hAnsi="宋体" w:eastAsia="宋体" w:cs="宋体"/>
                <w:b w:val="0"/>
                <w:i w:val="0"/>
                <w:caps w:val="0"/>
                <w:spacing w:val="0"/>
                <w:w w:val="100"/>
                <w:kern w:val="2"/>
                <w:sz w:val="21"/>
                <w:szCs w:val="21"/>
                <w:lang w:val="en-US" w:eastAsia="zh-CN" w:bidi="ar-SA"/>
              </w:rPr>
              <w:t>20W；</w:t>
            </w:r>
          </w:p>
          <w:p>
            <w:pPr>
              <w:snapToGrid/>
              <w:spacing w:before="0" w:beforeAutospacing="0" w:after="0" w:afterAutospacing="0" w:line="240" w:lineRule="auto"/>
              <w:jc w:val="left"/>
              <w:textAlignment w:val="baseline"/>
              <w:rPr>
                <w:rFonts w:hint="eastAsia" w:ascii="宋体" w:hAnsi="宋体" w:eastAsia="宋体" w:cs="宋体"/>
                <w:b w:val="0"/>
                <w:i w:val="0"/>
                <w:caps w:val="0"/>
                <w:spacing w:val="0"/>
                <w:w w:val="100"/>
                <w:kern w:val="2"/>
                <w:sz w:val="21"/>
                <w:szCs w:val="21"/>
                <w:lang w:val="en-US" w:eastAsia="zh-CN" w:bidi="ar-SA"/>
              </w:rPr>
            </w:pPr>
            <w:r>
              <w:rPr>
                <w:rStyle w:val="182"/>
                <w:rFonts w:hint="eastAsia" w:ascii="宋体" w:hAnsi="宋体" w:eastAsia="宋体" w:cs="宋体"/>
                <w:b/>
                <w:i w:val="0"/>
                <w:caps w:val="0"/>
                <w:spacing w:val="0"/>
                <w:w w:val="100"/>
                <w:kern w:val="2"/>
                <w:sz w:val="21"/>
                <w:szCs w:val="21"/>
                <w:lang w:val="en-US" w:eastAsia="zh-CN" w:bidi="ar-SA"/>
              </w:rPr>
              <w:t>15.附加功能：</w:t>
            </w:r>
            <w:r>
              <w:rPr>
                <w:rStyle w:val="182"/>
                <w:rFonts w:hint="eastAsia" w:ascii="宋体" w:hAnsi="宋体" w:eastAsia="宋体" w:cs="宋体"/>
                <w:b w:val="0"/>
                <w:i w:val="0"/>
                <w:caps w:val="0"/>
                <w:spacing w:val="0"/>
                <w:w w:val="100"/>
                <w:kern w:val="2"/>
                <w:sz w:val="21"/>
                <w:szCs w:val="21"/>
                <w:lang w:val="en-US" w:eastAsia="zh-CN" w:bidi="ar-SA"/>
              </w:rPr>
              <w:t>不破坏原文件扫描,支持长达3100mm的长纸，配备正版中文光学字符识别软件；</w:t>
            </w:r>
          </w:p>
          <w:p>
            <w:pPr>
              <w:snapToGrid/>
              <w:spacing w:before="0" w:beforeAutospacing="0" w:after="0" w:afterAutospacing="0" w:line="240" w:lineRule="auto"/>
              <w:jc w:val="left"/>
              <w:textAlignment w:val="baseline"/>
              <w:rPr>
                <w:rFonts w:hint="eastAsia" w:ascii="宋体" w:hAnsi="宋体" w:eastAsia="宋体" w:cs="宋体"/>
                <w:b w:val="0"/>
                <w:i w:val="0"/>
                <w:caps w:val="0"/>
                <w:spacing w:val="0"/>
                <w:w w:val="100"/>
                <w:kern w:val="0"/>
                <w:sz w:val="21"/>
                <w:szCs w:val="21"/>
                <w:lang w:val="en-US" w:eastAsia="zh-CN" w:bidi="ar-SA"/>
              </w:rPr>
            </w:pPr>
            <w:r>
              <w:rPr>
                <w:rStyle w:val="182"/>
                <w:rFonts w:hint="eastAsia" w:ascii="宋体" w:hAnsi="宋体" w:eastAsia="宋体" w:cs="宋体"/>
                <w:b w:val="0"/>
                <w:i w:val="0"/>
                <w:caps w:val="0"/>
                <w:spacing w:val="0"/>
                <w:w w:val="100"/>
                <w:kern w:val="0"/>
                <w:sz w:val="21"/>
                <w:szCs w:val="21"/>
                <w:lang w:val="en-US" w:eastAsia="zh-CN" w:bidi="ar-SA"/>
              </w:rPr>
              <w:t>16.随机附带</w:t>
            </w:r>
            <w:r>
              <w:rPr>
                <w:rStyle w:val="182"/>
                <w:rFonts w:hint="eastAsia" w:ascii="宋体" w:hAnsi="宋体" w:eastAsia="宋体" w:cs="宋体"/>
                <w:b/>
                <w:i w:val="0"/>
                <w:caps w:val="0"/>
                <w:spacing w:val="0"/>
                <w:w w:val="100"/>
                <w:kern w:val="0"/>
                <w:sz w:val="21"/>
                <w:szCs w:val="21"/>
                <w:lang w:val="en-US" w:eastAsia="zh-CN" w:bidi="ar-SA"/>
              </w:rPr>
              <w:t>OCR软件：</w:t>
            </w:r>
            <w:r>
              <w:rPr>
                <w:rStyle w:val="182"/>
                <w:rFonts w:hint="eastAsia" w:ascii="宋体" w:hAnsi="宋体" w:eastAsia="宋体" w:cs="宋体"/>
                <w:b w:val="0"/>
                <w:i w:val="0"/>
                <w:caps w:val="0"/>
                <w:spacing w:val="0"/>
                <w:w w:val="100"/>
                <w:kern w:val="0"/>
                <w:sz w:val="21"/>
                <w:szCs w:val="21"/>
                <w:lang w:val="en-US" w:eastAsia="zh-CN" w:bidi="ar-SA"/>
              </w:rPr>
              <w:t>可识别多个国家二百余种语言和文字，能自由进行区段识别，支持多页文件直接扫描到“Word”文档；</w:t>
            </w:r>
          </w:p>
          <w:p>
            <w:pPr>
              <w:snapToGrid/>
              <w:spacing w:before="0" w:beforeAutospacing="0" w:after="0" w:afterAutospacing="0" w:line="240" w:lineRule="auto"/>
              <w:jc w:val="left"/>
              <w:textAlignment w:val="baseline"/>
              <w:rPr>
                <w:rFonts w:hint="eastAsia" w:ascii="宋体" w:hAnsi="宋体" w:eastAsia="宋体" w:cs="宋体"/>
                <w:b w:val="0"/>
                <w:i w:val="0"/>
                <w:caps w:val="0"/>
                <w:spacing w:val="0"/>
                <w:w w:val="100"/>
                <w:kern w:val="0"/>
                <w:sz w:val="21"/>
                <w:szCs w:val="21"/>
                <w:lang w:val="en-US" w:eastAsia="zh-CN" w:bidi="ar-SA"/>
              </w:rPr>
            </w:pPr>
            <w:r>
              <w:rPr>
                <w:rStyle w:val="182"/>
                <w:rFonts w:hint="eastAsia" w:ascii="宋体" w:hAnsi="宋体" w:eastAsia="宋体" w:cs="宋体"/>
                <w:b w:val="0"/>
                <w:i w:val="0"/>
                <w:caps w:val="0"/>
                <w:spacing w:val="0"/>
                <w:w w:val="100"/>
                <w:kern w:val="0"/>
                <w:sz w:val="21"/>
                <w:szCs w:val="21"/>
                <w:lang w:val="en-US" w:eastAsia="zh-CN" w:bidi="ar-SA"/>
              </w:rPr>
              <w:t>17.随机附带</w:t>
            </w:r>
            <w:r>
              <w:rPr>
                <w:rStyle w:val="182"/>
                <w:rFonts w:hint="eastAsia" w:ascii="宋体" w:hAnsi="宋体" w:eastAsia="宋体" w:cs="宋体"/>
                <w:b/>
                <w:i w:val="0"/>
                <w:caps w:val="0"/>
                <w:spacing w:val="0"/>
                <w:w w:val="100"/>
                <w:kern w:val="0"/>
                <w:sz w:val="21"/>
                <w:szCs w:val="21"/>
                <w:lang w:val="en-US" w:eastAsia="zh-CN" w:bidi="ar-SA"/>
              </w:rPr>
              <w:t>影像中心软件</w:t>
            </w:r>
            <w:r>
              <w:rPr>
                <w:rStyle w:val="182"/>
                <w:rFonts w:hint="eastAsia" w:ascii="宋体" w:hAnsi="宋体" w:eastAsia="宋体" w:cs="宋体"/>
                <w:b w:val="0"/>
                <w:i w:val="0"/>
                <w:caps w:val="0"/>
                <w:spacing w:val="0"/>
                <w:w w:val="100"/>
                <w:kern w:val="0"/>
                <w:sz w:val="21"/>
                <w:szCs w:val="21"/>
                <w:lang w:val="en-US" w:eastAsia="zh-CN" w:bidi="ar-SA"/>
              </w:rPr>
              <w:t>：图像功能：硬件，纠偏裁剪；软件，多流图像输出，自动检测空白页，抖动处理，消除网线，强调轮廓，消除颜色，滤色（无，自定义，饱和度），消除装订孔，可提供影像自动倾斜校正、影像黑边自动裁切、多种文件格式输出、文字自动识别、</w:t>
            </w:r>
          </w:p>
          <w:p>
            <w:pPr>
              <w:snapToGrid/>
              <w:spacing w:before="0" w:beforeAutospacing="0" w:after="0" w:afterAutospacing="0" w:line="240" w:lineRule="auto"/>
              <w:ind w:left="630" w:hanging="630"/>
              <w:jc w:val="left"/>
              <w:textAlignment w:val="baseline"/>
              <w:rPr>
                <w:rStyle w:val="182"/>
                <w:rFonts w:hint="eastAsia" w:ascii="宋体" w:hAnsi="宋体" w:eastAsia="宋体" w:cs="宋体"/>
                <w:b w:val="0"/>
                <w:i w:val="0"/>
                <w:caps w:val="0"/>
                <w:spacing w:val="0"/>
                <w:w w:val="100"/>
                <w:kern w:val="0"/>
                <w:sz w:val="21"/>
                <w:szCs w:val="21"/>
                <w:lang w:val="en-US" w:eastAsia="zh-CN" w:bidi="ar-SA"/>
              </w:rPr>
            </w:pPr>
            <w:r>
              <w:rPr>
                <w:rStyle w:val="182"/>
                <w:rFonts w:hint="eastAsia" w:ascii="宋体" w:hAnsi="宋体" w:eastAsia="宋体" w:cs="宋体"/>
                <w:b w:val="0"/>
                <w:i w:val="0"/>
                <w:caps w:val="0"/>
                <w:spacing w:val="0"/>
                <w:w w:val="100"/>
                <w:kern w:val="0"/>
                <w:sz w:val="21"/>
                <w:szCs w:val="21"/>
                <w:lang w:val="en-US" w:eastAsia="zh-CN" w:bidi="ar-SA"/>
              </w:rPr>
              <w:t>空白页侦测自动删除等多项优质功能；</w:t>
            </w:r>
          </w:p>
          <w:p>
            <w:pPr>
              <w:snapToGrid/>
              <w:spacing w:before="0" w:beforeAutospacing="0" w:after="0" w:afterAutospacing="0" w:line="240" w:lineRule="auto"/>
              <w:ind w:left="630" w:hanging="630"/>
              <w:jc w:val="left"/>
              <w:textAlignment w:val="baseline"/>
              <w:rPr>
                <w:rFonts w:hint="eastAsia" w:ascii="宋体" w:hAnsi="宋体" w:eastAsia="宋体" w:cs="宋体"/>
                <w:b w:val="0"/>
                <w:i w:val="0"/>
                <w:caps w:val="0"/>
                <w:spacing w:val="0"/>
                <w:w w:val="100"/>
                <w:sz w:val="21"/>
                <w:szCs w:val="21"/>
              </w:rPr>
            </w:pPr>
            <w:r>
              <w:rPr>
                <w:rStyle w:val="182"/>
                <w:rFonts w:hint="eastAsia" w:ascii="宋体" w:hAnsi="宋体" w:eastAsia="宋体" w:cs="宋体"/>
                <w:b w:val="0"/>
                <w:i w:val="0"/>
                <w:caps w:val="0"/>
                <w:spacing w:val="0"/>
                <w:w w:val="100"/>
                <w:kern w:val="0"/>
                <w:sz w:val="21"/>
                <w:szCs w:val="21"/>
                <w:lang w:val="en-US" w:eastAsia="zh-CN" w:bidi="ar-SA"/>
              </w:rPr>
              <w:t>条码识别：一维码、二维码的识别；</w:t>
            </w:r>
          </w:p>
          <w:p>
            <w:pPr>
              <w:snapToGrid/>
              <w:spacing w:before="0" w:beforeAutospacing="0" w:after="0" w:afterAutospacing="0" w:line="240" w:lineRule="auto"/>
              <w:jc w:val="left"/>
              <w:textAlignment w:val="baseline"/>
              <w:rPr>
                <w:rFonts w:hint="eastAsia" w:ascii="宋体" w:hAnsi="宋体" w:eastAsia="宋体" w:cs="宋体"/>
                <w:sz w:val="21"/>
                <w:szCs w:val="21"/>
                <w:vertAlign w:val="baseline"/>
              </w:rPr>
            </w:pPr>
            <w:r>
              <w:rPr>
                <w:rStyle w:val="182"/>
                <w:rFonts w:hint="eastAsia" w:ascii="宋体" w:hAnsi="宋体" w:eastAsia="宋体" w:cs="宋体"/>
                <w:b/>
                <w:i w:val="0"/>
                <w:caps w:val="0"/>
                <w:spacing w:val="0"/>
                <w:w w:val="100"/>
                <w:kern w:val="0"/>
                <w:sz w:val="21"/>
                <w:szCs w:val="21"/>
                <w:lang w:val="en-US" w:eastAsia="zh-CN"/>
              </w:rPr>
              <w:t>18.</w:t>
            </w:r>
            <w:r>
              <w:rPr>
                <w:rStyle w:val="182"/>
                <w:rFonts w:hint="eastAsia" w:ascii="宋体" w:hAnsi="宋体" w:eastAsia="宋体" w:cs="宋体"/>
                <w:b w:val="0"/>
                <w:i w:val="0"/>
                <w:caps w:val="0"/>
                <w:spacing w:val="0"/>
                <w:w w:val="100"/>
                <w:kern w:val="0"/>
                <w:sz w:val="21"/>
                <w:szCs w:val="21"/>
                <w:lang w:val="en-US" w:eastAsia="zh-CN" w:bidi="ar-SA"/>
              </w:rPr>
              <w:t>提供《计算机软件著作权》并加盖公章；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8" w:hRule="atLeast"/>
        </w:trPr>
        <w:tc>
          <w:tcPr>
            <w:tcW w:w="1076" w:type="dxa"/>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15</w:t>
            </w:r>
          </w:p>
        </w:tc>
        <w:tc>
          <w:tcPr>
            <w:tcW w:w="2679" w:type="dxa"/>
          </w:tcPr>
          <w:p>
            <w:pPr>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刻录机</w:t>
            </w:r>
          </w:p>
        </w:tc>
        <w:tc>
          <w:tcPr>
            <w:tcW w:w="1224" w:type="dxa"/>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5个</w:t>
            </w:r>
          </w:p>
        </w:tc>
        <w:tc>
          <w:tcPr>
            <w:tcW w:w="4519" w:type="dxa"/>
          </w:tcPr>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rPr>
              <w:t xml:space="preserve">1. </w:t>
            </w:r>
            <w:r>
              <w:rPr>
                <w:rFonts w:hint="eastAsia" w:ascii="宋体" w:hAnsi="宋体" w:eastAsia="宋体" w:cs="宋体"/>
                <w:sz w:val="21"/>
                <w:szCs w:val="21"/>
                <w:vertAlign w:val="baseline"/>
                <w:lang w:val="en-US" w:eastAsia="zh-CN"/>
              </w:rPr>
              <w:t>产品材质：ABS+PC；</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rPr>
              <w:t xml:space="preserve">. </w:t>
            </w:r>
            <w:r>
              <w:rPr>
                <w:rFonts w:hint="eastAsia" w:ascii="宋体" w:hAnsi="宋体" w:eastAsia="宋体" w:cs="宋体"/>
                <w:sz w:val="21"/>
                <w:szCs w:val="21"/>
                <w:vertAlign w:val="baseline"/>
                <w:lang w:val="en-US" w:eastAsia="zh-CN"/>
              </w:rPr>
              <w:t>产品尺寸：约147.2*138.3*14.7mm;</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rPr>
              <w:t xml:space="preserve">. </w:t>
            </w:r>
            <w:r>
              <w:rPr>
                <w:rFonts w:hint="eastAsia" w:ascii="宋体" w:hAnsi="宋体" w:eastAsia="宋体" w:cs="宋体"/>
                <w:sz w:val="21"/>
                <w:szCs w:val="21"/>
                <w:vertAlign w:val="baseline"/>
                <w:lang w:val="en-US" w:eastAsia="zh-CN"/>
              </w:rPr>
              <w:t>输入：5V 2A;</w:t>
            </w:r>
          </w:p>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rPr>
              <w:t xml:space="preserve">. </w:t>
            </w:r>
            <w:r>
              <w:rPr>
                <w:rFonts w:hint="eastAsia" w:ascii="宋体" w:hAnsi="宋体" w:eastAsia="宋体" w:cs="宋体"/>
                <w:sz w:val="21"/>
                <w:szCs w:val="21"/>
                <w:vertAlign w:val="baseline"/>
                <w:lang w:val="en-US" w:eastAsia="zh-CN"/>
              </w:rPr>
              <w:t>接口：mini USB;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8" w:hRule="atLeast"/>
        </w:trPr>
        <w:tc>
          <w:tcPr>
            <w:tcW w:w="1076" w:type="dxa"/>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16</w:t>
            </w:r>
          </w:p>
        </w:tc>
        <w:tc>
          <w:tcPr>
            <w:tcW w:w="2679" w:type="dxa"/>
          </w:tcPr>
          <w:p>
            <w:pPr>
              <w:jc w:val="center"/>
              <w:rPr>
                <w:rFonts w:hint="eastAsia" w:ascii="宋体" w:hAnsi="宋体" w:eastAsia="宋体" w:cs="宋体"/>
                <w:sz w:val="21"/>
                <w:szCs w:val="21"/>
                <w:vertAlign w:val="baseline"/>
              </w:rPr>
            </w:pPr>
            <w:r>
              <w:rPr>
                <w:rFonts w:hint="eastAsia" w:ascii="宋体" w:hAnsi="宋体" w:eastAsia="宋体" w:cs="宋体"/>
                <w:sz w:val="21"/>
                <w:szCs w:val="21"/>
              </w:rPr>
              <w:t>传真机一体机</w:t>
            </w:r>
          </w:p>
        </w:tc>
        <w:tc>
          <w:tcPr>
            <w:tcW w:w="1224" w:type="dxa"/>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2台</w:t>
            </w:r>
          </w:p>
        </w:tc>
        <w:tc>
          <w:tcPr>
            <w:tcW w:w="4519" w:type="dxa"/>
          </w:tcPr>
          <w:p>
            <w:pPr>
              <w:rPr>
                <w:rFonts w:hint="eastAsia" w:ascii="宋体" w:hAnsi="宋体" w:eastAsia="宋体" w:cs="宋体"/>
                <w:sz w:val="21"/>
                <w:szCs w:val="21"/>
              </w:rPr>
            </w:pPr>
            <w:r>
              <w:rPr>
                <w:rFonts w:hint="eastAsia" w:ascii="宋体" w:hAnsi="宋体" w:eastAsia="宋体" w:cs="宋体"/>
                <w:sz w:val="21"/>
                <w:szCs w:val="21"/>
              </w:rPr>
              <w:t>1. 打印幅面：A4；</w:t>
            </w:r>
          </w:p>
          <w:p>
            <w:pPr>
              <w:rPr>
                <w:rFonts w:hint="eastAsia" w:ascii="宋体" w:hAnsi="宋体" w:eastAsia="宋体" w:cs="宋体"/>
                <w:sz w:val="21"/>
                <w:szCs w:val="21"/>
              </w:rPr>
            </w:pPr>
            <w:r>
              <w:rPr>
                <w:rFonts w:hint="eastAsia" w:ascii="宋体" w:hAnsi="宋体" w:eastAsia="宋体" w:cs="宋体"/>
                <w:sz w:val="21"/>
                <w:szCs w:val="21"/>
              </w:rPr>
              <w:t>2. 打印速度：</w:t>
            </w:r>
            <w:r>
              <w:rPr>
                <w:rFonts w:hint="eastAsia" w:ascii="宋体" w:hAnsi="宋体" w:eastAsia="宋体" w:cs="宋体"/>
                <w:sz w:val="21"/>
                <w:szCs w:val="21"/>
                <w:highlight w:val="none"/>
                <w:vertAlign w:val="baseline"/>
              </w:rPr>
              <w:t>≥</w:t>
            </w:r>
            <w:r>
              <w:rPr>
                <w:rFonts w:hint="eastAsia" w:ascii="宋体" w:hAnsi="宋体" w:eastAsia="宋体" w:cs="宋体"/>
                <w:sz w:val="21"/>
                <w:szCs w:val="21"/>
              </w:rPr>
              <w:t>30页/分钟；</w:t>
            </w:r>
          </w:p>
          <w:p>
            <w:pPr>
              <w:rPr>
                <w:rFonts w:hint="eastAsia" w:ascii="宋体" w:hAnsi="宋体" w:eastAsia="宋体" w:cs="宋体"/>
                <w:sz w:val="21"/>
                <w:szCs w:val="21"/>
              </w:rPr>
            </w:pPr>
            <w:r>
              <w:rPr>
                <w:rFonts w:hint="eastAsia" w:ascii="宋体" w:hAnsi="宋体" w:eastAsia="宋体" w:cs="宋体"/>
                <w:sz w:val="21"/>
                <w:szCs w:val="21"/>
              </w:rPr>
              <w:t>3. 打印分辨率：</w:t>
            </w:r>
            <w:r>
              <w:rPr>
                <w:rFonts w:hint="eastAsia" w:ascii="宋体" w:hAnsi="宋体" w:eastAsia="宋体" w:cs="宋体"/>
                <w:sz w:val="21"/>
                <w:szCs w:val="21"/>
                <w:highlight w:val="none"/>
                <w:vertAlign w:val="baseline"/>
              </w:rPr>
              <w:t>≥</w:t>
            </w:r>
            <w:r>
              <w:rPr>
                <w:rFonts w:hint="eastAsia" w:ascii="宋体" w:hAnsi="宋体" w:eastAsia="宋体" w:cs="宋体"/>
                <w:sz w:val="21"/>
                <w:szCs w:val="21"/>
              </w:rPr>
              <w:t>HQ1200、600x600dpi；</w:t>
            </w:r>
          </w:p>
          <w:p>
            <w:pPr>
              <w:rPr>
                <w:rFonts w:hint="eastAsia" w:ascii="宋体" w:hAnsi="宋体" w:eastAsia="宋体" w:cs="宋体"/>
                <w:sz w:val="21"/>
                <w:szCs w:val="21"/>
              </w:rPr>
            </w:pPr>
            <w:r>
              <w:rPr>
                <w:rFonts w:hint="eastAsia" w:ascii="宋体" w:hAnsi="宋体" w:eastAsia="宋体" w:cs="宋体"/>
                <w:sz w:val="21"/>
                <w:szCs w:val="21"/>
              </w:rPr>
              <w:t>4. 打印语言：GDI；</w:t>
            </w:r>
          </w:p>
          <w:p>
            <w:pPr>
              <w:rPr>
                <w:rFonts w:hint="eastAsia" w:ascii="宋体" w:hAnsi="宋体" w:eastAsia="宋体" w:cs="宋体"/>
                <w:sz w:val="21"/>
                <w:szCs w:val="21"/>
              </w:rPr>
            </w:pPr>
            <w:r>
              <w:rPr>
                <w:rFonts w:hint="eastAsia" w:ascii="宋体" w:hAnsi="宋体" w:eastAsia="宋体" w:cs="宋体"/>
                <w:sz w:val="21"/>
                <w:szCs w:val="21"/>
              </w:rPr>
              <w:t>5. 打印首页输出时间：&lt;8.5秒；</w:t>
            </w:r>
          </w:p>
          <w:p>
            <w:pPr>
              <w:rPr>
                <w:rFonts w:hint="eastAsia" w:ascii="宋体" w:hAnsi="宋体" w:eastAsia="宋体" w:cs="宋体"/>
                <w:sz w:val="21"/>
                <w:szCs w:val="21"/>
              </w:rPr>
            </w:pPr>
            <w:r>
              <w:rPr>
                <w:rFonts w:hint="eastAsia" w:ascii="宋体" w:hAnsi="宋体" w:eastAsia="宋体" w:cs="宋体"/>
                <w:sz w:val="21"/>
                <w:szCs w:val="21"/>
              </w:rPr>
              <w:t>6. 复印速度：</w:t>
            </w:r>
            <w:r>
              <w:rPr>
                <w:rFonts w:hint="eastAsia" w:ascii="宋体" w:hAnsi="宋体" w:eastAsia="宋体" w:cs="宋体"/>
                <w:sz w:val="21"/>
                <w:szCs w:val="21"/>
                <w:highlight w:val="none"/>
                <w:vertAlign w:val="baseline"/>
              </w:rPr>
              <w:t>≥</w:t>
            </w:r>
            <w:r>
              <w:rPr>
                <w:rFonts w:hint="eastAsia" w:ascii="宋体" w:hAnsi="宋体" w:eastAsia="宋体" w:cs="宋体"/>
                <w:sz w:val="21"/>
                <w:szCs w:val="21"/>
              </w:rPr>
              <w:t>30页/分钟；</w:t>
            </w:r>
          </w:p>
          <w:p>
            <w:pPr>
              <w:rPr>
                <w:rFonts w:hint="eastAsia" w:ascii="宋体" w:hAnsi="宋体" w:eastAsia="宋体" w:cs="宋体"/>
                <w:sz w:val="21"/>
                <w:szCs w:val="21"/>
              </w:rPr>
            </w:pPr>
            <w:r>
              <w:rPr>
                <w:rFonts w:hint="eastAsia" w:ascii="宋体" w:hAnsi="宋体" w:eastAsia="宋体" w:cs="宋体"/>
                <w:sz w:val="21"/>
                <w:szCs w:val="21"/>
              </w:rPr>
              <w:t>7. 复印分辨率：</w:t>
            </w:r>
            <w:r>
              <w:rPr>
                <w:rFonts w:hint="eastAsia" w:ascii="宋体" w:hAnsi="宋体" w:eastAsia="宋体" w:cs="宋体"/>
                <w:sz w:val="21"/>
                <w:szCs w:val="21"/>
                <w:highlight w:val="none"/>
                <w:vertAlign w:val="baseline"/>
              </w:rPr>
              <w:t>≥</w:t>
            </w:r>
            <w:r>
              <w:rPr>
                <w:rFonts w:hint="eastAsia" w:ascii="宋体" w:hAnsi="宋体" w:eastAsia="宋体" w:cs="宋体"/>
                <w:sz w:val="21"/>
                <w:szCs w:val="21"/>
              </w:rPr>
              <w:t>600x600dpi；</w:t>
            </w:r>
          </w:p>
          <w:p>
            <w:pPr>
              <w:rPr>
                <w:rFonts w:hint="eastAsia" w:ascii="宋体" w:hAnsi="宋体" w:eastAsia="宋体" w:cs="宋体"/>
                <w:sz w:val="21"/>
                <w:szCs w:val="21"/>
              </w:rPr>
            </w:pPr>
            <w:r>
              <w:rPr>
                <w:rFonts w:hint="eastAsia" w:ascii="宋体" w:hAnsi="宋体" w:eastAsia="宋体" w:cs="宋体"/>
                <w:sz w:val="21"/>
                <w:szCs w:val="21"/>
              </w:rPr>
              <w:t>8. 复印首页输出时间：&lt;10秒；</w:t>
            </w:r>
          </w:p>
          <w:p>
            <w:pPr>
              <w:rPr>
                <w:rFonts w:hint="eastAsia" w:ascii="宋体" w:hAnsi="宋体" w:eastAsia="宋体" w:cs="宋体"/>
                <w:sz w:val="21"/>
                <w:szCs w:val="21"/>
              </w:rPr>
            </w:pPr>
            <w:r>
              <w:rPr>
                <w:rFonts w:hint="eastAsia" w:ascii="宋体" w:hAnsi="宋体" w:eastAsia="宋体" w:cs="宋体"/>
                <w:sz w:val="21"/>
                <w:szCs w:val="21"/>
              </w:rPr>
              <w:t>9. 扫描元件：彩色CIS；</w:t>
            </w:r>
          </w:p>
          <w:p>
            <w:pPr>
              <w:rPr>
                <w:rFonts w:hint="eastAsia" w:ascii="宋体" w:hAnsi="宋体" w:eastAsia="宋体" w:cs="宋体"/>
                <w:sz w:val="21"/>
                <w:szCs w:val="21"/>
              </w:rPr>
            </w:pPr>
            <w:r>
              <w:rPr>
                <w:rFonts w:hint="eastAsia" w:ascii="宋体" w:hAnsi="宋体" w:eastAsia="宋体" w:cs="宋体"/>
                <w:sz w:val="21"/>
                <w:szCs w:val="21"/>
              </w:rPr>
              <w:t>10. 光学分辨率：</w:t>
            </w:r>
            <w:r>
              <w:rPr>
                <w:rFonts w:hint="eastAsia" w:ascii="宋体" w:hAnsi="宋体" w:eastAsia="宋体" w:cs="宋体"/>
                <w:sz w:val="21"/>
                <w:szCs w:val="21"/>
                <w:highlight w:val="none"/>
                <w:vertAlign w:val="baseline"/>
              </w:rPr>
              <w:t>≥</w:t>
            </w:r>
            <w:r>
              <w:rPr>
                <w:rFonts w:hint="eastAsia" w:ascii="宋体" w:hAnsi="宋体" w:eastAsia="宋体" w:cs="宋体"/>
                <w:sz w:val="21"/>
                <w:szCs w:val="21"/>
              </w:rPr>
              <w:t>600*2400dpi；</w:t>
            </w:r>
          </w:p>
          <w:p>
            <w:pPr>
              <w:rPr>
                <w:rFonts w:hint="eastAsia" w:ascii="宋体" w:hAnsi="宋体" w:eastAsia="宋体" w:cs="宋体"/>
                <w:sz w:val="21"/>
                <w:szCs w:val="21"/>
              </w:rPr>
            </w:pPr>
            <w:r>
              <w:rPr>
                <w:rFonts w:hint="eastAsia" w:ascii="宋体" w:hAnsi="宋体" w:eastAsia="宋体" w:cs="宋体"/>
                <w:sz w:val="21"/>
                <w:szCs w:val="21"/>
              </w:rPr>
              <w:t>11. 最大分辨率：</w:t>
            </w:r>
            <w:r>
              <w:rPr>
                <w:rFonts w:hint="eastAsia" w:ascii="宋体" w:hAnsi="宋体" w:eastAsia="宋体" w:cs="宋体"/>
                <w:sz w:val="21"/>
                <w:szCs w:val="21"/>
                <w:highlight w:val="none"/>
                <w:vertAlign w:val="baseline"/>
              </w:rPr>
              <w:t>≥</w:t>
            </w:r>
            <w:r>
              <w:rPr>
                <w:rFonts w:hint="eastAsia" w:ascii="宋体" w:hAnsi="宋体" w:eastAsia="宋体" w:cs="宋体"/>
                <w:sz w:val="21"/>
                <w:szCs w:val="21"/>
              </w:rPr>
              <w:t>19200*19200dpi；</w:t>
            </w:r>
          </w:p>
          <w:p>
            <w:pPr>
              <w:rPr>
                <w:rFonts w:hint="eastAsia" w:ascii="宋体" w:hAnsi="宋体" w:eastAsia="宋体" w:cs="宋体"/>
                <w:sz w:val="21"/>
                <w:szCs w:val="21"/>
              </w:rPr>
            </w:pPr>
            <w:r>
              <w:rPr>
                <w:rFonts w:hint="eastAsia" w:ascii="宋体" w:hAnsi="宋体" w:eastAsia="宋体" w:cs="宋体"/>
                <w:sz w:val="21"/>
                <w:szCs w:val="21"/>
              </w:rPr>
              <w:t>12. 传真速度：</w:t>
            </w:r>
            <w:r>
              <w:rPr>
                <w:rFonts w:hint="eastAsia" w:ascii="宋体" w:hAnsi="宋体" w:eastAsia="宋体" w:cs="宋体"/>
                <w:sz w:val="21"/>
                <w:szCs w:val="21"/>
                <w:highlight w:val="none"/>
                <w:vertAlign w:val="baseline"/>
              </w:rPr>
              <w:t>≥</w:t>
            </w:r>
            <w:r>
              <w:rPr>
                <w:rFonts w:hint="eastAsia" w:ascii="宋体" w:hAnsi="宋体" w:eastAsia="宋体" w:cs="宋体"/>
                <w:sz w:val="21"/>
                <w:szCs w:val="21"/>
              </w:rPr>
              <w:t>33.6Kbps；</w:t>
            </w:r>
          </w:p>
          <w:p>
            <w:pPr>
              <w:rPr>
                <w:rFonts w:hint="eastAsia" w:ascii="宋体" w:hAnsi="宋体" w:eastAsia="宋体" w:cs="宋体"/>
                <w:sz w:val="21"/>
                <w:szCs w:val="21"/>
              </w:rPr>
            </w:pPr>
            <w:r>
              <w:rPr>
                <w:rFonts w:hint="eastAsia" w:ascii="宋体" w:hAnsi="宋体" w:eastAsia="宋体" w:cs="宋体"/>
                <w:sz w:val="21"/>
                <w:szCs w:val="21"/>
              </w:rPr>
              <w:t>13. PC-FAX：支持；</w:t>
            </w:r>
          </w:p>
          <w:p>
            <w:pPr>
              <w:rPr>
                <w:rFonts w:hint="eastAsia" w:ascii="宋体" w:hAnsi="宋体" w:eastAsia="宋体" w:cs="宋体"/>
                <w:sz w:val="21"/>
                <w:szCs w:val="21"/>
              </w:rPr>
            </w:pPr>
            <w:r>
              <w:rPr>
                <w:rFonts w:hint="eastAsia" w:ascii="宋体" w:hAnsi="宋体" w:eastAsia="宋体" w:cs="宋体"/>
                <w:sz w:val="21"/>
                <w:szCs w:val="21"/>
              </w:rPr>
              <w:t>14. 处理器：</w:t>
            </w:r>
            <w:r>
              <w:rPr>
                <w:rFonts w:hint="eastAsia" w:ascii="宋体" w:hAnsi="宋体" w:eastAsia="宋体" w:cs="宋体"/>
                <w:sz w:val="21"/>
                <w:szCs w:val="21"/>
                <w:highlight w:val="none"/>
                <w:vertAlign w:val="baseline"/>
              </w:rPr>
              <w:t>≥</w:t>
            </w:r>
            <w:r>
              <w:rPr>
                <w:rFonts w:hint="eastAsia" w:ascii="宋体" w:hAnsi="宋体" w:eastAsia="宋体" w:cs="宋体"/>
                <w:sz w:val="21"/>
                <w:szCs w:val="21"/>
              </w:rPr>
              <w:t>266MHz；</w:t>
            </w:r>
          </w:p>
          <w:p>
            <w:pPr>
              <w:rPr>
                <w:rFonts w:hint="eastAsia" w:ascii="宋体" w:hAnsi="宋体" w:eastAsia="宋体" w:cs="宋体"/>
                <w:sz w:val="21"/>
                <w:szCs w:val="21"/>
              </w:rPr>
            </w:pPr>
            <w:r>
              <w:rPr>
                <w:rFonts w:hint="eastAsia" w:ascii="宋体" w:hAnsi="宋体" w:eastAsia="宋体" w:cs="宋体"/>
                <w:sz w:val="21"/>
                <w:szCs w:val="21"/>
              </w:rPr>
              <w:t>15. 标准（最大）内存：</w:t>
            </w:r>
            <w:r>
              <w:rPr>
                <w:rFonts w:hint="eastAsia" w:ascii="宋体" w:hAnsi="宋体" w:eastAsia="宋体" w:cs="宋体"/>
                <w:sz w:val="21"/>
                <w:szCs w:val="21"/>
                <w:highlight w:val="none"/>
                <w:vertAlign w:val="baseline"/>
              </w:rPr>
              <w:t>≥</w:t>
            </w:r>
            <w:r>
              <w:rPr>
                <w:rFonts w:hint="eastAsia" w:ascii="宋体" w:hAnsi="宋体" w:eastAsia="宋体" w:cs="宋体"/>
                <w:sz w:val="21"/>
                <w:szCs w:val="21"/>
              </w:rPr>
              <w:t>32MB；</w:t>
            </w:r>
          </w:p>
          <w:p>
            <w:pPr>
              <w:rPr>
                <w:rFonts w:hint="eastAsia" w:ascii="宋体" w:hAnsi="宋体" w:eastAsia="宋体" w:cs="宋体"/>
                <w:sz w:val="21"/>
                <w:szCs w:val="21"/>
              </w:rPr>
            </w:pPr>
            <w:r>
              <w:rPr>
                <w:rFonts w:hint="eastAsia" w:ascii="宋体" w:hAnsi="宋体" w:eastAsia="宋体" w:cs="宋体"/>
                <w:sz w:val="21"/>
                <w:szCs w:val="21"/>
              </w:rPr>
              <w:t>16. 自动进稿器页数：</w:t>
            </w:r>
            <w:r>
              <w:rPr>
                <w:rFonts w:hint="eastAsia" w:ascii="宋体" w:hAnsi="宋体" w:eastAsia="宋体" w:cs="宋体"/>
                <w:sz w:val="21"/>
                <w:szCs w:val="21"/>
                <w:highlight w:val="none"/>
                <w:vertAlign w:val="baseline"/>
              </w:rPr>
              <w:t>≥</w:t>
            </w:r>
            <w:r>
              <w:rPr>
                <w:rFonts w:hint="eastAsia" w:ascii="宋体" w:hAnsi="宋体" w:eastAsia="宋体" w:cs="宋体"/>
                <w:sz w:val="21"/>
                <w:szCs w:val="21"/>
              </w:rPr>
              <w:t>35页；</w:t>
            </w:r>
          </w:p>
          <w:p>
            <w:pPr>
              <w:rPr>
                <w:rFonts w:hint="eastAsia" w:ascii="宋体" w:hAnsi="宋体" w:eastAsia="宋体" w:cs="宋体"/>
                <w:sz w:val="21"/>
                <w:szCs w:val="21"/>
              </w:rPr>
            </w:pPr>
            <w:r>
              <w:rPr>
                <w:rFonts w:hint="eastAsia" w:ascii="宋体" w:hAnsi="宋体" w:eastAsia="宋体" w:cs="宋体"/>
                <w:sz w:val="21"/>
                <w:szCs w:val="21"/>
              </w:rPr>
              <w:t>17. 接口类型：</w:t>
            </w:r>
            <w:r>
              <w:rPr>
                <w:rFonts w:hint="eastAsia" w:ascii="宋体" w:hAnsi="宋体" w:eastAsia="宋体" w:cs="宋体"/>
                <w:sz w:val="21"/>
                <w:szCs w:val="21"/>
                <w:highlight w:val="none"/>
                <w:vertAlign w:val="baseline"/>
              </w:rPr>
              <w:t>≥</w:t>
            </w:r>
            <w:r>
              <w:rPr>
                <w:rFonts w:hint="eastAsia" w:ascii="宋体" w:hAnsi="宋体" w:eastAsia="宋体" w:cs="宋体"/>
                <w:sz w:val="21"/>
                <w:szCs w:val="21"/>
              </w:rPr>
              <w:t>USB2.0 , 10/100BASE-TX 以太网，电话扩展接口；</w:t>
            </w:r>
          </w:p>
          <w:p>
            <w:pPr>
              <w:rPr>
                <w:rFonts w:hint="eastAsia" w:ascii="宋体" w:hAnsi="宋体" w:eastAsia="宋体" w:cs="宋体"/>
                <w:sz w:val="21"/>
                <w:szCs w:val="21"/>
              </w:rPr>
            </w:pPr>
            <w:r>
              <w:rPr>
                <w:rFonts w:hint="eastAsia" w:ascii="宋体" w:hAnsi="宋体" w:eastAsia="宋体" w:cs="宋体"/>
                <w:sz w:val="21"/>
                <w:szCs w:val="21"/>
              </w:rPr>
              <w:t>18. 纸张输入容量-标准：</w:t>
            </w:r>
            <w:r>
              <w:rPr>
                <w:rFonts w:hint="eastAsia" w:ascii="宋体" w:hAnsi="宋体" w:eastAsia="宋体" w:cs="宋体"/>
                <w:sz w:val="21"/>
                <w:szCs w:val="21"/>
                <w:lang w:val="en-US" w:eastAsia="zh-CN"/>
              </w:rPr>
              <w:t>≥</w:t>
            </w:r>
            <w:r>
              <w:rPr>
                <w:rFonts w:hint="eastAsia" w:ascii="宋体" w:hAnsi="宋体" w:eastAsia="宋体" w:cs="宋体"/>
                <w:sz w:val="21"/>
                <w:szCs w:val="21"/>
              </w:rPr>
              <w:t>250页（纸盒）＋1页（手动）；</w:t>
            </w:r>
          </w:p>
          <w:p>
            <w:pPr>
              <w:rPr>
                <w:rFonts w:hint="eastAsia" w:ascii="宋体" w:hAnsi="宋体" w:eastAsia="宋体" w:cs="宋体"/>
                <w:sz w:val="21"/>
                <w:szCs w:val="21"/>
              </w:rPr>
            </w:pPr>
            <w:r>
              <w:rPr>
                <w:rFonts w:hint="eastAsia" w:ascii="宋体" w:hAnsi="宋体" w:eastAsia="宋体" w:cs="宋体"/>
                <w:sz w:val="21"/>
                <w:szCs w:val="21"/>
              </w:rPr>
              <w:t>19. 纸张输出容量-标准：</w:t>
            </w:r>
            <w:r>
              <w:rPr>
                <w:rFonts w:hint="eastAsia" w:ascii="宋体" w:hAnsi="宋体" w:eastAsia="宋体" w:cs="宋体"/>
                <w:sz w:val="21"/>
                <w:szCs w:val="21"/>
                <w:lang w:val="en-US" w:eastAsia="zh-CN"/>
              </w:rPr>
              <w:t>≥</w:t>
            </w:r>
            <w:r>
              <w:rPr>
                <w:rFonts w:hint="eastAsia" w:ascii="宋体" w:hAnsi="宋体" w:eastAsia="宋体" w:cs="宋体"/>
                <w:sz w:val="21"/>
                <w:szCs w:val="21"/>
              </w:rPr>
              <w:t>100页+1；</w:t>
            </w:r>
          </w:p>
          <w:p>
            <w:pPr>
              <w:rPr>
                <w:rFonts w:hint="eastAsia" w:ascii="宋体" w:hAnsi="宋体" w:eastAsia="宋体" w:cs="宋体"/>
                <w:sz w:val="21"/>
                <w:szCs w:val="21"/>
              </w:rPr>
            </w:pPr>
            <w:r>
              <w:rPr>
                <w:rFonts w:hint="eastAsia" w:ascii="宋体" w:hAnsi="宋体" w:eastAsia="宋体" w:cs="宋体"/>
                <w:sz w:val="21"/>
                <w:szCs w:val="21"/>
              </w:rPr>
              <w:t>20 .双面打印：标配双面打印单元；</w:t>
            </w:r>
          </w:p>
          <w:p>
            <w:pPr>
              <w:rPr>
                <w:rFonts w:hint="eastAsia" w:ascii="宋体" w:hAnsi="宋体" w:eastAsia="宋体" w:cs="宋体"/>
                <w:sz w:val="21"/>
                <w:szCs w:val="21"/>
              </w:rPr>
            </w:pPr>
            <w:r>
              <w:rPr>
                <w:rFonts w:hint="eastAsia" w:ascii="宋体" w:hAnsi="宋体" w:eastAsia="宋体" w:cs="宋体"/>
                <w:sz w:val="21"/>
                <w:szCs w:val="21"/>
              </w:rPr>
              <w:t>21. 有线网络打印：标配；</w:t>
            </w:r>
          </w:p>
          <w:p>
            <w:pPr>
              <w:rPr>
                <w:rFonts w:hint="eastAsia" w:ascii="宋体" w:hAnsi="宋体" w:eastAsia="宋体" w:cs="宋体"/>
                <w:sz w:val="21"/>
                <w:szCs w:val="21"/>
              </w:rPr>
            </w:pPr>
            <w:r>
              <w:rPr>
                <w:rFonts w:hint="eastAsia" w:ascii="宋体" w:hAnsi="宋体" w:eastAsia="宋体" w:cs="宋体"/>
                <w:sz w:val="21"/>
                <w:szCs w:val="21"/>
              </w:rPr>
              <w:t>22. 随机硒鼓寿命：</w:t>
            </w:r>
            <w:r>
              <w:rPr>
                <w:rFonts w:hint="eastAsia" w:ascii="宋体" w:hAnsi="宋体" w:eastAsia="宋体" w:cs="宋体"/>
                <w:sz w:val="21"/>
                <w:szCs w:val="21"/>
                <w:lang w:val="en-US" w:eastAsia="zh-CN"/>
              </w:rPr>
              <w:t>≥</w:t>
            </w:r>
            <w:r>
              <w:rPr>
                <w:rFonts w:hint="eastAsia" w:ascii="宋体" w:hAnsi="宋体" w:eastAsia="宋体" w:cs="宋体"/>
                <w:sz w:val="21"/>
                <w:szCs w:val="21"/>
              </w:rPr>
              <w:t>12000页；</w:t>
            </w:r>
          </w:p>
          <w:p>
            <w:pPr>
              <w:rPr>
                <w:rFonts w:hint="eastAsia" w:ascii="宋体" w:hAnsi="宋体" w:eastAsia="宋体" w:cs="宋体"/>
                <w:sz w:val="21"/>
                <w:szCs w:val="21"/>
              </w:rPr>
            </w:pPr>
            <w:r>
              <w:rPr>
                <w:rFonts w:hint="eastAsia" w:ascii="宋体" w:hAnsi="宋体" w:eastAsia="宋体" w:cs="宋体"/>
                <w:sz w:val="21"/>
                <w:szCs w:val="21"/>
              </w:rPr>
              <w:t>23. 随机墨粉容量：</w:t>
            </w:r>
            <w:r>
              <w:rPr>
                <w:rFonts w:hint="eastAsia" w:ascii="宋体" w:hAnsi="宋体" w:eastAsia="宋体" w:cs="宋体"/>
                <w:sz w:val="21"/>
                <w:szCs w:val="21"/>
                <w:lang w:val="en-US" w:eastAsia="zh-CN"/>
              </w:rPr>
              <w:t>≥</w:t>
            </w:r>
            <w:r>
              <w:rPr>
                <w:rFonts w:hint="eastAsia" w:ascii="宋体" w:hAnsi="宋体" w:eastAsia="宋体" w:cs="宋体"/>
                <w:sz w:val="21"/>
                <w:szCs w:val="21"/>
              </w:rPr>
              <w:t>2600页；</w:t>
            </w:r>
          </w:p>
          <w:p>
            <w:pPr>
              <w:rPr>
                <w:rFonts w:hint="eastAsia" w:ascii="宋体" w:hAnsi="宋体" w:eastAsia="宋体" w:cs="宋体"/>
                <w:sz w:val="21"/>
                <w:szCs w:val="21"/>
              </w:rPr>
            </w:pPr>
            <w:r>
              <w:rPr>
                <w:rFonts w:hint="eastAsia" w:ascii="宋体" w:hAnsi="宋体" w:eastAsia="宋体" w:cs="宋体"/>
                <w:sz w:val="21"/>
                <w:szCs w:val="21"/>
              </w:rPr>
              <w:t>24. 零售硒鼓型号/容量：LD2451/12000页；</w:t>
            </w:r>
          </w:p>
          <w:p>
            <w:pPr>
              <w:rPr>
                <w:rFonts w:hint="eastAsia" w:ascii="宋体" w:hAnsi="宋体" w:eastAsia="宋体" w:cs="宋体"/>
                <w:sz w:val="21"/>
                <w:szCs w:val="21"/>
              </w:rPr>
            </w:pPr>
            <w:r>
              <w:rPr>
                <w:rFonts w:hint="eastAsia" w:ascii="宋体" w:hAnsi="宋体" w:eastAsia="宋体" w:cs="宋体"/>
                <w:sz w:val="21"/>
                <w:szCs w:val="21"/>
              </w:rPr>
              <w:t>25. 零售墨粉型号/容量：LT2451/1500页; LT2451H/2600页；</w:t>
            </w:r>
          </w:p>
          <w:p>
            <w:pPr>
              <w:rPr>
                <w:rFonts w:hint="eastAsia" w:ascii="宋体" w:hAnsi="宋体" w:eastAsia="宋体" w:cs="宋体"/>
                <w:sz w:val="21"/>
                <w:szCs w:val="21"/>
              </w:rPr>
            </w:pPr>
            <w:r>
              <w:rPr>
                <w:rFonts w:hint="eastAsia" w:ascii="宋体" w:hAnsi="宋体" w:eastAsia="宋体" w:cs="宋体"/>
                <w:sz w:val="21"/>
                <w:szCs w:val="21"/>
              </w:rPr>
              <w:t>26. 特色功能：支票打印、水印打印，自动双面打印、多页合并打印、反转打印、小册子打印、页眉页脚打印、海报打印、自定义纸张打印、省墨打印、墨粉浓度调整、Airprint打印、支持打印工场；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0" w:hRule="atLeast"/>
        </w:trPr>
        <w:tc>
          <w:tcPr>
            <w:tcW w:w="1076" w:type="dxa"/>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17</w:t>
            </w:r>
          </w:p>
        </w:tc>
        <w:tc>
          <w:tcPr>
            <w:tcW w:w="2679" w:type="dxa"/>
          </w:tcPr>
          <w:p>
            <w:pPr>
              <w:jc w:val="center"/>
              <w:rPr>
                <w:rFonts w:hint="eastAsia" w:ascii="宋体" w:hAnsi="宋体" w:eastAsia="宋体" w:cs="宋体"/>
                <w:sz w:val="21"/>
                <w:szCs w:val="21"/>
                <w:vertAlign w:val="baseline"/>
              </w:rPr>
            </w:pPr>
            <w:r>
              <w:rPr>
                <w:rFonts w:hint="eastAsia" w:ascii="宋体" w:hAnsi="宋体" w:eastAsia="宋体" w:cs="宋体"/>
                <w:sz w:val="21"/>
                <w:szCs w:val="21"/>
              </w:rPr>
              <w:t>移动硬盘</w:t>
            </w:r>
          </w:p>
        </w:tc>
        <w:tc>
          <w:tcPr>
            <w:tcW w:w="1224" w:type="dxa"/>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80块</w:t>
            </w:r>
          </w:p>
        </w:tc>
        <w:tc>
          <w:tcPr>
            <w:tcW w:w="4519" w:type="dxa"/>
          </w:tcPr>
          <w:p>
            <w:pPr>
              <w:rPr>
                <w:rFonts w:hint="eastAsia" w:ascii="宋体" w:hAnsi="宋体" w:eastAsia="宋体" w:cs="宋体"/>
                <w:sz w:val="21"/>
                <w:szCs w:val="21"/>
              </w:rPr>
            </w:pPr>
            <w:r>
              <w:rPr>
                <w:rFonts w:hint="eastAsia" w:ascii="宋体" w:hAnsi="宋体" w:eastAsia="宋体" w:cs="宋体"/>
                <w:sz w:val="21"/>
                <w:szCs w:val="21"/>
                <w:lang w:val="en-US" w:eastAsia="zh-CN"/>
              </w:rPr>
              <w:t>1、</w:t>
            </w:r>
            <w:r>
              <w:rPr>
                <w:rFonts w:hint="eastAsia" w:ascii="宋体" w:hAnsi="宋体" w:eastAsia="宋体" w:cs="宋体"/>
                <w:sz w:val="21"/>
                <w:szCs w:val="21"/>
              </w:rPr>
              <w:t>类型：便携式存储</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rPr>
              <w:t>硬盘尺寸：</w:t>
            </w:r>
            <w:r>
              <w:rPr>
                <w:rFonts w:hint="eastAsia" w:ascii="宋体" w:hAnsi="宋体" w:eastAsia="宋体" w:cs="宋体"/>
                <w:sz w:val="21"/>
                <w:szCs w:val="21"/>
                <w:lang w:val="en-US" w:eastAsia="zh-CN"/>
              </w:rPr>
              <w:t>≥</w:t>
            </w:r>
            <w:r>
              <w:rPr>
                <w:rFonts w:hint="eastAsia" w:ascii="宋体" w:hAnsi="宋体" w:eastAsia="宋体" w:cs="宋体"/>
                <w:sz w:val="21"/>
                <w:szCs w:val="21"/>
              </w:rPr>
              <w:t>2.5英寸</w:t>
            </w:r>
          </w:p>
          <w:p>
            <w:pPr>
              <w:rPr>
                <w:rFonts w:hint="eastAsia" w:ascii="宋体" w:hAnsi="宋体" w:eastAsia="宋体" w:cs="宋体"/>
                <w:sz w:val="21"/>
                <w:szCs w:val="21"/>
                <w:lang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rPr>
              <w:t>外壳材质</w:t>
            </w:r>
            <w:r>
              <w:rPr>
                <w:rFonts w:hint="eastAsia" w:ascii="宋体" w:hAnsi="宋体" w:eastAsia="宋体" w:cs="宋体"/>
                <w:sz w:val="21"/>
                <w:szCs w:val="21"/>
                <w:lang w:eastAsia="zh-CN"/>
              </w:rPr>
              <w:t>：</w:t>
            </w:r>
            <w:r>
              <w:rPr>
                <w:rFonts w:hint="eastAsia" w:ascii="宋体" w:hAnsi="宋体" w:eastAsia="宋体" w:cs="宋体"/>
                <w:sz w:val="21"/>
                <w:szCs w:val="21"/>
              </w:rPr>
              <w:t>塑料</w:t>
            </w:r>
            <w:r>
              <w:rPr>
                <w:rFonts w:hint="eastAsia" w:ascii="宋体" w:hAnsi="宋体" w:eastAsia="宋体" w:cs="宋体"/>
                <w:sz w:val="21"/>
                <w:szCs w:val="21"/>
                <w:lang w:eastAsia="zh-CN"/>
              </w:rPr>
              <w:t>；</w:t>
            </w:r>
          </w:p>
          <w:p>
            <w:pPr>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rPr>
              <w:t>指示灯</w:t>
            </w:r>
            <w:r>
              <w:rPr>
                <w:rFonts w:hint="eastAsia" w:ascii="宋体" w:hAnsi="宋体" w:eastAsia="宋体" w:cs="宋体"/>
                <w:sz w:val="21"/>
                <w:szCs w:val="21"/>
                <w:lang w:eastAsia="zh-CN"/>
              </w:rPr>
              <w:t>：</w:t>
            </w:r>
            <w:r>
              <w:rPr>
                <w:rFonts w:hint="eastAsia" w:ascii="宋体" w:hAnsi="宋体" w:eastAsia="宋体" w:cs="宋体"/>
                <w:sz w:val="21"/>
                <w:szCs w:val="21"/>
              </w:rPr>
              <w:t>有指示灯</w:t>
            </w:r>
            <w:r>
              <w:rPr>
                <w:rFonts w:hint="eastAsia" w:ascii="宋体" w:hAnsi="宋体" w:eastAsia="宋体" w:cs="宋体"/>
                <w:sz w:val="21"/>
                <w:szCs w:val="21"/>
                <w:lang w:eastAsia="zh-CN"/>
              </w:rPr>
              <w:t>；</w:t>
            </w:r>
          </w:p>
          <w:p>
            <w:pPr>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r>
              <w:rPr>
                <w:rFonts w:hint="eastAsia" w:ascii="宋体" w:hAnsi="宋体" w:eastAsia="宋体" w:cs="宋体"/>
                <w:sz w:val="21"/>
                <w:szCs w:val="21"/>
              </w:rPr>
              <w:t>支持系统</w:t>
            </w:r>
            <w:r>
              <w:rPr>
                <w:rFonts w:hint="eastAsia" w:ascii="宋体" w:hAnsi="宋体" w:eastAsia="宋体" w:cs="宋体"/>
                <w:sz w:val="21"/>
                <w:szCs w:val="21"/>
                <w:lang w:eastAsia="zh-CN"/>
              </w:rPr>
              <w:t>：</w:t>
            </w:r>
            <w:r>
              <w:rPr>
                <w:rFonts w:hint="eastAsia" w:ascii="宋体" w:hAnsi="宋体" w:eastAsia="宋体" w:cs="宋体"/>
                <w:sz w:val="21"/>
                <w:szCs w:val="21"/>
              </w:rPr>
              <w:t>Win10；MAC</w:t>
            </w:r>
            <w:r>
              <w:rPr>
                <w:rFonts w:hint="eastAsia" w:ascii="宋体" w:hAnsi="宋体" w:eastAsia="宋体" w:cs="宋体"/>
                <w:sz w:val="21"/>
                <w:szCs w:val="21"/>
                <w:lang w:eastAsia="zh-CN"/>
              </w:rPr>
              <w:t>；</w:t>
            </w:r>
          </w:p>
          <w:p>
            <w:pPr>
              <w:rPr>
                <w:rFonts w:hint="eastAsia" w:ascii="宋体" w:hAnsi="宋体" w:eastAsia="宋体" w:cs="宋体"/>
                <w:sz w:val="21"/>
                <w:szCs w:val="21"/>
              </w:rPr>
            </w:pPr>
            <w:r>
              <w:rPr>
                <w:rFonts w:hint="eastAsia" w:ascii="宋体" w:hAnsi="宋体" w:eastAsia="宋体" w:cs="宋体"/>
                <w:sz w:val="21"/>
                <w:szCs w:val="21"/>
                <w:lang w:val="en-US" w:eastAsia="zh-CN"/>
              </w:rPr>
              <w:t>6.存储容量</w:t>
            </w:r>
            <w:r>
              <w:rPr>
                <w:rFonts w:hint="eastAsia" w:ascii="宋体" w:hAnsi="宋体" w:eastAsia="宋体" w:cs="宋体"/>
                <w:sz w:val="21"/>
                <w:szCs w:val="21"/>
                <w:lang w:eastAsia="zh-CN"/>
              </w:rPr>
              <w:t>：</w:t>
            </w:r>
            <w:r>
              <w:rPr>
                <w:rFonts w:hint="eastAsia" w:ascii="宋体" w:hAnsi="宋体" w:eastAsia="宋体" w:cs="宋体"/>
                <w:sz w:val="21"/>
                <w:szCs w:val="21"/>
                <w:highlight w:val="none"/>
                <w:vertAlign w:val="baseline"/>
              </w:rPr>
              <w:t>≥</w:t>
            </w:r>
            <w:r>
              <w:rPr>
                <w:rFonts w:hint="eastAsia" w:ascii="宋体" w:hAnsi="宋体" w:eastAsia="宋体" w:cs="宋体"/>
                <w:sz w:val="21"/>
                <w:szCs w:val="21"/>
                <w:lang w:val="en-US" w:eastAsia="zh-CN"/>
              </w:rPr>
              <w:t>4T</w:t>
            </w:r>
            <w:r>
              <w:rPr>
                <w:rFonts w:hint="eastAsia" w:ascii="宋体" w:hAnsi="宋体" w:eastAsia="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3" w:hRule="atLeast"/>
        </w:trPr>
        <w:tc>
          <w:tcPr>
            <w:tcW w:w="1076" w:type="dxa"/>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18</w:t>
            </w:r>
          </w:p>
        </w:tc>
        <w:tc>
          <w:tcPr>
            <w:tcW w:w="2679" w:type="dxa"/>
          </w:tcPr>
          <w:p>
            <w:pPr>
              <w:jc w:val="center"/>
              <w:rPr>
                <w:rFonts w:hint="eastAsia" w:ascii="宋体" w:hAnsi="宋体" w:eastAsia="宋体" w:cs="宋体"/>
                <w:sz w:val="21"/>
                <w:szCs w:val="21"/>
                <w:vertAlign w:val="baseline"/>
              </w:rPr>
            </w:pPr>
            <w:r>
              <w:rPr>
                <w:rFonts w:hint="eastAsia" w:ascii="宋体" w:hAnsi="宋体" w:eastAsia="宋体" w:cs="宋体"/>
                <w:sz w:val="21"/>
                <w:szCs w:val="21"/>
              </w:rPr>
              <w:t>高拍仪</w:t>
            </w:r>
          </w:p>
        </w:tc>
        <w:tc>
          <w:tcPr>
            <w:tcW w:w="1224" w:type="dxa"/>
          </w:tcPr>
          <w:p>
            <w:pPr>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3台</w:t>
            </w:r>
          </w:p>
        </w:tc>
        <w:tc>
          <w:tcPr>
            <w:tcW w:w="4519" w:type="dxa"/>
          </w:tcPr>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折叠伸缩便携式设计标配LED辅助照明灯最大拍摄A3幅面高清晰变焦镜头标配人像副镜头基于TWAIN协议接口标配纸张定位软垫可选配纸张定位底座</w:t>
            </w:r>
          </w:p>
          <w:p>
            <w:pPr>
              <w:rPr>
                <w:rFonts w:hint="eastAsia" w:ascii="宋体" w:hAnsi="宋体" w:eastAsia="宋体" w:cs="宋体"/>
                <w:sz w:val="21"/>
                <w:szCs w:val="21"/>
                <w:vertAlign w:val="subscript"/>
                <w:lang w:val="en-US" w:eastAsia="zh-CN"/>
              </w:rPr>
            </w:pPr>
            <w:r>
              <w:rPr>
                <w:rFonts w:hint="eastAsia" w:ascii="宋体" w:hAnsi="宋体" w:eastAsia="宋体" w:cs="宋体"/>
                <w:sz w:val="21"/>
                <w:szCs w:val="21"/>
                <w:vertAlign w:val="baseline"/>
                <w:lang w:eastAsia="zh-CN"/>
              </w:rPr>
              <w:t>像素</w:t>
            </w:r>
            <w:r>
              <w:rPr>
                <w:rFonts w:hint="eastAsia" w:ascii="宋体" w:hAnsi="宋体" w:eastAsia="宋体" w:cs="宋体"/>
                <w:sz w:val="21"/>
                <w:szCs w:val="21"/>
                <w:vertAlign w:val="baseline"/>
                <w:lang w:val="en-US" w:eastAsia="zh-CN"/>
              </w:rPr>
              <w:t>:</w:t>
            </w:r>
            <w:r>
              <w:rPr>
                <w:rFonts w:hint="eastAsia" w:ascii="宋体" w:hAnsi="宋体" w:eastAsia="宋体" w:cs="宋体"/>
                <w:sz w:val="21"/>
                <w:szCs w:val="21"/>
                <w:lang w:val="en-US" w:eastAsia="zh-CN"/>
              </w:rPr>
              <w:t>≥</w:t>
            </w:r>
            <w:r>
              <w:rPr>
                <w:rFonts w:hint="eastAsia" w:ascii="宋体" w:hAnsi="宋体" w:eastAsia="宋体" w:cs="宋体"/>
                <w:sz w:val="21"/>
                <w:szCs w:val="21"/>
                <w:vertAlign w:val="baseline"/>
                <w:lang w:eastAsia="zh-CN"/>
              </w:rPr>
              <w:t>1000万像素</w:t>
            </w:r>
            <w:r>
              <w:rPr>
                <w:rFonts w:hint="eastAsia" w:ascii="宋体" w:hAnsi="宋体" w:eastAsia="宋体" w:cs="宋体"/>
                <w:sz w:val="21"/>
                <w:szCs w:val="21"/>
                <w:vertAlign w:val="baseline"/>
                <w:lang w:val="en-US" w:eastAsia="zh-CN"/>
              </w:rPr>
              <w:t>+200万像素</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图像色彩RGB24位真彩</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对焦方式</w:t>
            </w:r>
            <w:r>
              <w:rPr>
                <w:rFonts w:hint="eastAsia" w:ascii="宋体" w:hAnsi="宋体" w:eastAsia="宋体" w:cs="宋体"/>
                <w:sz w:val="21"/>
                <w:szCs w:val="21"/>
                <w:vertAlign w:val="baseline"/>
                <w:lang w:val="en-US" w:eastAsia="zh-CN"/>
              </w:rPr>
              <w:t>:</w:t>
            </w:r>
            <w:r>
              <w:rPr>
                <w:rFonts w:hint="eastAsia" w:ascii="宋体" w:hAnsi="宋体" w:eastAsia="宋体" w:cs="宋体"/>
                <w:sz w:val="21"/>
                <w:szCs w:val="21"/>
                <w:vertAlign w:val="baseline"/>
                <w:lang w:eastAsia="zh-CN"/>
              </w:rPr>
              <w:t>手动变焦</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曝光模式</w:t>
            </w:r>
            <w:r>
              <w:rPr>
                <w:rFonts w:hint="eastAsia" w:ascii="宋体" w:hAnsi="宋体" w:eastAsia="宋体" w:cs="宋体"/>
                <w:sz w:val="21"/>
                <w:szCs w:val="21"/>
                <w:vertAlign w:val="baseline"/>
                <w:lang w:val="en-US" w:eastAsia="zh-CN"/>
              </w:rPr>
              <w:t>:</w:t>
            </w:r>
            <w:r>
              <w:rPr>
                <w:rFonts w:hint="eastAsia" w:ascii="宋体" w:hAnsi="宋体" w:eastAsia="宋体" w:cs="宋体"/>
                <w:sz w:val="21"/>
                <w:szCs w:val="21"/>
                <w:vertAlign w:val="baseline"/>
                <w:lang w:eastAsia="zh-CN"/>
              </w:rPr>
              <w:t>自动/ 手动</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可拍物件类型证件</w:t>
            </w:r>
            <w:r>
              <w:rPr>
                <w:rFonts w:hint="eastAsia" w:ascii="宋体" w:hAnsi="宋体" w:eastAsia="宋体" w:cs="宋体"/>
                <w:sz w:val="21"/>
                <w:szCs w:val="21"/>
                <w:vertAlign w:val="baseline"/>
                <w:lang w:val="en-US" w:eastAsia="zh-CN"/>
              </w:rPr>
              <w:t>:</w:t>
            </w:r>
            <w:r>
              <w:rPr>
                <w:rFonts w:hint="eastAsia" w:ascii="宋体" w:hAnsi="宋体" w:eastAsia="宋体" w:cs="宋体"/>
                <w:sz w:val="21"/>
                <w:szCs w:val="21"/>
                <w:vertAlign w:val="baseline"/>
                <w:lang w:eastAsia="zh-CN"/>
              </w:rPr>
              <w:t>文档、各类凭证、立体实物等A3、A4、A5、A6、sim卡JPG、TIF、PNG、BMP、PDF彩色≤300K:黑白</w:t>
            </w:r>
            <w:r>
              <w:rPr>
                <w:rFonts w:hint="eastAsia" w:ascii="宋体" w:hAnsi="宋体" w:eastAsia="宋体" w:cs="宋体"/>
                <w:sz w:val="21"/>
                <w:szCs w:val="21"/>
                <w:lang w:val="en-US" w:eastAsia="zh-CN"/>
              </w:rPr>
              <w:t>≥</w:t>
            </w:r>
            <w:r>
              <w:rPr>
                <w:rFonts w:hint="eastAsia" w:ascii="宋体" w:hAnsi="宋体" w:eastAsia="宋体" w:cs="宋体"/>
                <w:sz w:val="21"/>
                <w:szCs w:val="21"/>
                <w:vertAlign w:val="baseline"/>
                <w:lang w:eastAsia="zh-CN"/>
              </w:rPr>
              <w:t>560K无肉眼可识别的闪烁、波纹、噪点等、常规光线变化不影响图片质量自然光、LED辅助光源</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拍摄速度：</w:t>
            </w:r>
            <w:r>
              <w:rPr>
                <w:rFonts w:hint="eastAsia" w:ascii="宋体" w:hAnsi="宋体" w:eastAsia="宋体" w:cs="宋体"/>
                <w:sz w:val="21"/>
                <w:szCs w:val="21"/>
                <w:lang w:val="en-US" w:eastAsia="zh-CN"/>
              </w:rPr>
              <w:t>≤</w:t>
            </w:r>
            <w:r>
              <w:rPr>
                <w:rFonts w:hint="eastAsia" w:ascii="宋体" w:hAnsi="宋体" w:eastAsia="宋体" w:cs="宋体"/>
                <w:sz w:val="21"/>
                <w:szCs w:val="21"/>
                <w:vertAlign w:val="baseline"/>
                <w:lang w:eastAsia="zh-CN"/>
              </w:rPr>
              <w:t>E1秒</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电脑接口：USB2.0</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二次开发接口提供完整的二次开发包及DEMO</w:t>
            </w:r>
          </w:p>
        </w:tc>
      </w:tr>
    </w:tbl>
    <w:p>
      <w:pPr>
        <w:pStyle w:val="2"/>
        <w:jc w:val="center"/>
        <w:rPr>
          <w:rFonts w:hint="eastAsia"/>
          <w:lang w:eastAsia="zh-CN"/>
        </w:rPr>
        <w:sectPr>
          <w:pgSz w:w="11906" w:h="16838"/>
          <w:pgMar w:top="1417" w:right="1134" w:bottom="1417" w:left="1417" w:header="1134" w:footer="992" w:gutter="0"/>
          <w:cols w:space="720" w:num="1"/>
          <w:titlePg/>
          <w:docGrid w:type="lines" w:linePitch="333" w:charSpace="0"/>
        </w:sectPr>
      </w:pPr>
    </w:p>
    <w:p>
      <w:pPr>
        <w:pStyle w:val="2"/>
        <w:jc w:val="center"/>
        <w:rPr>
          <w:rFonts w:hint="eastAsia"/>
          <w:b/>
          <w:bCs/>
          <w:sz w:val="24"/>
          <w:szCs w:val="24"/>
          <w:lang w:eastAsia="zh-CN"/>
        </w:rPr>
      </w:pPr>
      <w:r>
        <w:rPr>
          <w:rFonts w:hint="eastAsia"/>
          <w:b/>
          <w:bCs/>
          <w:sz w:val="24"/>
          <w:szCs w:val="24"/>
          <w:lang w:eastAsia="zh-CN"/>
        </w:rPr>
        <w:t>第三包：</w:t>
      </w:r>
      <w:r>
        <w:rPr>
          <w:rFonts w:hint="eastAsia" w:cs="宋体" w:asciiTheme="minorEastAsia" w:hAnsiTheme="minorEastAsia" w:eastAsiaTheme="minorEastAsia"/>
          <w:b/>
          <w:bCs/>
          <w:sz w:val="24"/>
          <w:szCs w:val="24"/>
        </w:rPr>
        <w:t>警用装备</w:t>
      </w:r>
    </w:p>
    <w:tbl>
      <w:tblPr>
        <w:tblStyle w:val="47"/>
        <w:tblW w:w="94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3270"/>
        <w:gridCol w:w="1466"/>
        <w:gridCol w:w="4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trPr>
        <w:tc>
          <w:tcPr>
            <w:tcW w:w="662" w:type="dxa"/>
          </w:tcPr>
          <w:p>
            <w:pPr>
              <w:spacing w:line="360" w:lineRule="auto"/>
              <w:jc w:val="center"/>
              <w:rPr>
                <w:rFonts w:hint="eastAsia" w:ascii="宋体" w:hAnsi="宋体" w:eastAsia="宋体" w:cs="宋体"/>
                <w:sz w:val="22"/>
                <w:szCs w:val="22"/>
                <w:vertAlign w:val="baseline"/>
                <w:lang w:val="en-US" w:eastAsia="zh-CN"/>
              </w:rPr>
            </w:pPr>
            <w:r>
              <w:rPr>
                <w:rFonts w:hint="eastAsia" w:ascii="宋体" w:hAnsi="宋体" w:eastAsia="宋体" w:cs="宋体"/>
                <w:sz w:val="22"/>
                <w:szCs w:val="22"/>
                <w:vertAlign w:val="baseline"/>
                <w:lang w:val="en-US" w:eastAsia="zh-CN"/>
              </w:rPr>
              <w:t>产品名称</w:t>
            </w:r>
          </w:p>
        </w:tc>
        <w:tc>
          <w:tcPr>
            <w:tcW w:w="3270" w:type="dxa"/>
          </w:tcPr>
          <w:p>
            <w:pPr>
              <w:spacing w:line="360" w:lineRule="auto"/>
              <w:jc w:val="center"/>
              <w:rPr>
                <w:rFonts w:hint="eastAsia" w:ascii="宋体" w:hAnsi="宋体" w:eastAsia="宋体" w:cs="宋体"/>
                <w:sz w:val="22"/>
                <w:szCs w:val="22"/>
                <w:vertAlign w:val="baseline"/>
                <w:lang w:val="en-US" w:eastAsia="zh-CN"/>
              </w:rPr>
            </w:pPr>
            <w:r>
              <w:rPr>
                <w:rFonts w:hint="eastAsia" w:ascii="宋体" w:hAnsi="宋体" w:eastAsia="宋体" w:cs="宋体"/>
                <w:sz w:val="22"/>
                <w:szCs w:val="22"/>
                <w:vertAlign w:val="baseline"/>
                <w:lang w:val="en-US" w:eastAsia="zh-CN"/>
              </w:rPr>
              <w:t>产品参数</w:t>
            </w:r>
          </w:p>
        </w:tc>
        <w:tc>
          <w:tcPr>
            <w:tcW w:w="1466" w:type="dxa"/>
            <w:vAlign w:val="center"/>
          </w:tcPr>
          <w:p>
            <w:pPr>
              <w:spacing w:line="360" w:lineRule="auto"/>
              <w:jc w:val="center"/>
              <w:rPr>
                <w:rFonts w:hint="eastAsia" w:ascii="宋体" w:hAnsi="宋体" w:eastAsia="宋体" w:cs="宋体"/>
                <w:sz w:val="22"/>
                <w:szCs w:val="22"/>
                <w:vertAlign w:val="baseline"/>
                <w:lang w:val="en-US" w:eastAsia="zh-CN"/>
              </w:rPr>
            </w:pPr>
            <w:r>
              <w:rPr>
                <w:rFonts w:hint="eastAsia" w:hAnsi="宋体" w:cs="宋体"/>
                <w:sz w:val="22"/>
                <w:szCs w:val="22"/>
                <w:vertAlign w:val="baseline"/>
                <w:lang w:val="en-US" w:eastAsia="zh-CN"/>
              </w:rPr>
              <w:t>数量</w:t>
            </w:r>
          </w:p>
        </w:tc>
        <w:tc>
          <w:tcPr>
            <w:tcW w:w="4050" w:type="dxa"/>
          </w:tcPr>
          <w:p>
            <w:pPr>
              <w:spacing w:line="360" w:lineRule="auto"/>
              <w:jc w:val="center"/>
              <w:rPr>
                <w:rFonts w:hint="eastAsia" w:ascii="宋体" w:hAnsi="宋体" w:eastAsia="宋体" w:cs="宋体"/>
                <w:sz w:val="22"/>
                <w:szCs w:val="22"/>
                <w:vertAlign w:val="baseline"/>
                <w:lang w:val="en-US" w:eastAsia="zh-CN"/>
              </w:rPr>
            </w:pPr>
            <w:r>
              <w:rPr>
                <w:rFonts w:hint="eastAsia" w:ascii="宋体" w:hAnsi="宋体" w:eastAsia="宋体" w:cs="宋体"/>
                <w:sz w:val="22"/>
                <w:szCs w:val="22"/>
                <w:vertAlign w:val="baseline"/>
                <w:lang w:val="en-US" w:eastAsia="zh-CN"/>
              </w:rPr>
              <w:t>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2" w:type="dxa"/>
            <w:vAlign w:val="center"/>
          </w:tcPr>
          <w:p>
            <w:pPr>
              <w:keepNext w:val="0"/>
              <w:keepLines w:val="0"/>
              <w:widowControl/>
              <w:suppressLineNumbers w:val="0"/>
              <w:spacing w:line="360" w:lineRule="auto"/>
              <w:jc w:val="center"/>
              <w:textAlignment w:val="center"/>
              <w:rPr>
                <w:rFonts w:hint="eastAsia" w:ascii="宋体" w:hAnsi="宋体" w:eastAsia="宋体" w:cs="宋体"/>
                <w:sz w:val="22"/>
                <w:szCs w:val="22"/>
                <w:vertAlign w:val="baseline"/>
              </w:rPr>
            </w:pPr>
            <w:r>
              <w:rPr>
                <w:rFonts w:hint="eastAsia" w:ascii="宋体" w:hAnsi="宋体" w:eastAsia="宋体" w:cs="宋体"/>
                <w:i w:val="0"/>
                <w:iCs w:val="0"/>
                <w:color w:val="000000"/>
                <w:kern w:val="0"/>
                <w:sz w:val="22"/>
                <w:szCs w:val="22"/>
                <w:u w:val="none"/>
                <w:lang w:val="en-US" w:eastAsia="zh-CN" w:bidi="ar"/>
              </w:rPr>
              <w:t>执法记录仪</w:t>
            </w:r>
          </w:p>
        </w:tc>
        <w:tc>
          <w:tcPr>
            <w:tcW w:w="3270" w:type="dxa"/>
            <w:vAlign w:val="top"/>
          </w:tcPr>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w:t>
            </w:r>
            <w:r>
              <w:rPr>
                <w:rFonts w:hint="eastAsia" w:ascii="宋体" w:hAnsi="宋体" w:eastAsia="宋体" w:cs="宋体"/>
                <w:sz w:val="21"/>
                <w:szCs w:val="21"/>
                <w:vertAlign w:val="baseline"/>
                <w:lang w:eastAsia="zh-CN"/>
              </w:rPr>
              <w:t>.▲电池工作时间:采用内置不可更换电池供电，可满足连续摄录时间＞10h;</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2</w:t>
            </w:r>
            <w:r>
              <w:rPr>
                <w:rFonts w:hint="eastAsia" w:ascii="宋体" w:hAnsi="宋体" w:eastAsia="宋体" w:cs="宋体"/>
                <w:sz w:val="21"/>
                <w:szCs w:val="21"/>
                <w:vertAlign w:val="baseline"/>
                <w:lang w:eastAsia="zh-CN"/>
              </w:rPr>
              <w:t>.防摔抗跌:裸机跌落高度 2000mm，水泥地面，任意6个面各跌落≥5 次，试验期间执法记录仪处于工作状态。</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3</w:t>
            </w:r>
            <w:r>
              <w:rPr>
                <w:rFonts w:hint="eastAsia" w:ascii="宋体" w:hAnsi="宋体" w:eastAsia="宋体" w:cs="宋体"/>
                <w:sz w:val="21"/>
                <w:szCs w:val="21"/>
                <w:vertAlign w:val="baseline"/>
                <w:lang w:eastAsia="zh-CN"/>
              </w:rPr>
              <w:t>.外壳防护:外壳防护等级符合 IP68 的要求。</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 xml:space="preserve">7.接口:支持Mini USB和Type-C接口传输数据及充电。 </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4</w:t>
            </w:r>
            <w:r>
              <w:rPr>
                <w:rFonts w:hint="eastAsia" w:ascii="宋体" w:hAnsi="宋体" w:eastAsia="宋体" w:cs="宋体"/>
                <w:sz w:val="21"/>
                <w:szCs w:val="21"/>
                <w:vertAlign w:val="baseline"/>
                <w:lang w:eastAsia="zh-CN"/>
              </w:rPr>
              <w:t>.夜视功能:设备在开启夜视功能后,红外有效拍摄距离≥3m.有效拍摄距离处应能看清人物面部特征，红外补光范围在 3m处覆盖摄录画面≥70%面积。</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5</w:t>
            </w:r>
            <w:r>
              <w:rPr>
                <w:rFonts w:hint="eastAsia" w:ascii="宋体" w:hAnsi="宋体" w:eastAsia="宋体" w:cs="宋体"/>
                <w:sz w:val="21"/>
                <w:szCs w:val="21"/>
                <w:vertAlign w:val="baseline"/>
                <w:lang w:eastAsia="zh-CN"/>
              </w:rPr>
              <w:t>.设备具有省电模式，开机后可自动或通过人工方式进入省电状态:按下任意按键应能进入取景预览模式。</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6</w:t>
            </w:r>
            <w:r>
              <w:rPr>
                <w:rFonts w:hint="eastAsia" w:ascii="宋体" w:hAnsi="宋体" w:eastAsia="宋体" w:cs="宋体"/>
                <w:sz w:val="21"/>
                <w:szCs w:val="21"/>
                <w:vertAlign w:val="baseline"/>
                <w:lang w:eastAsia="zh-CN"/>
              </w:rPr>
              <w:t>.显示屏:显示屏对角线尺寸&gt;2.0in，显示屏最大亮度&gt;1200cd/m2。</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7</w:t>
            </w:r>
            <w:r>
              <w:rPr>
                <w:rFonts w:hint="eastAsia" w:ascii="宋体" w:hAnsi="宋体" w:eastAsia="宋体" w:cs="宋体"/>
                <w:sz w:val="21"/>
                <w:szCs w:val="21"/>
                <w:vertAlign w:val="baseline"/>
                <w:lang w:eastAsia="zh-CN"/>
              </w:rPr>
              <w:t>.视频性能:在2560x1440清晰度下视频分辨力≥1000线，帧率 30 帧/s。</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8</w:t>
            </w:r>
            <w:r>
              <w:rPr>
                <w:rFonts w:hint="eastAsia" w:ascii="宋体" w:hAnsi="宋体" w:eastAsia="宋体" w:cs="宋体"/>
                <w:sz w:val="21"/>
                <w:szCs w:val="21"/>
                <w:vertAlign w:val="baseline"/>
                <w:lang w:eastAsia="zh-CN"/>
              </w:rPr>
              <w:t>.视场角;执法记录仪摄像头的水平视场角在生产厂商声明的所有分辨率条件下均＞120°</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9</w:t>
            </w:r>
            <w:r>
              <w:rPr>
                <w:rFonts w:hint="eastAsia" w:ascii="宋体" w:hAnsi="宋体" w:eastAsia="宋体" w:cs="宋体"/>
                <w:sz w:val="21"/>
                <w:szCs w:val="21"/>
                <w:vertAlign w:val="baseline"/>
                <w:lang w:eastAsia="zh-CN"/>
              </w:rPr>
              <w:t>.▲几何失真:＜3%。</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1</w:t>
            </w:r>
            <w:r>
              <w:rPr>
                <w:rFonts w:hint="eastAsia" w:ascii="宋体" w:hAnsi="宋体" w:eastAsia="宋体" w:cs="宋体"/>
                <w:sz w:val="21"/>
                <w:szCs w:val="21"/>
                <w:vertAlign w:val="baseline"/>
                <w:lang w:val="en-US" w:eastAsia="zh-CN"/>
              </w:rPr>
              <w:t>0</w:t>
            </w:r>
            <w:r>
              <w:rPr>
                <w:rFonts w:hint="eastAsia" w:ascii="宋体" w:hAnsi="宋体" w:eastAsia="宋体" w:cs="宋体"/>
                <w:sz w:val="21"/>
                <w:szCs w:val="21"/>
                <w:vertAlign w:val="baseline"/>
                <w:lang w:eastAsia="zh-CN"/>
              </w:rPr>
              <w:t>.照片分辨力:照片分辨力应≥1100线。</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1</w:t>
            </w:r>
            <w:r>
              <w:rPr>
                <w:rFonts w:hint="eastAsia" w:ascii="宋体" w:hAnsi="宋体" w:eastAsia="宋体" w:cs="宋体"/>
                <w:sz w:val="21"/>
                <w:szCs w:val="21"/>
                <w:vertAlign w:val="baseline"/>
                <w:lang w:val="en-US" w:eastAsia="zh-CN"/>
              </w:rPr>
              <w:t>1</w:t>
            </w:r>
            <w:r>
              <w:rPr>
                <w:rFonts w:hint="eastAsia" w:ascii="宋体" w:hAnsi="宋体" w:eastAsia="宋体" w:cs="宋体"/>
                <w:sz w:val="21"/>
                <w:szCs w:val="21"/>
                <w:vertAlign w:val="baseline"/>
                <w:lang w:eastAsia="zh-CN"/>
              </w:rPr>
              <w:t>.重点文件标记:执法记录仪在摄录过程中应能通过一键操作的方式对重点文件进行标记。</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1</w:t>
            </w:r>
            <w:r>
              <w:rPr>
                <w:rFonts w:hint="eastAsia" w:ascii="宋体" w:hAnsi="宋体" w:eastAsia="宋体" w:cs="宋体"/>
                <w:sz w:val="21"/>
                <w:szCs w:val="21"/>
                <w:vertAlign w:val="baseline"/>
                <w:lang w:val="en-US" w:eastAsia="zh-CN"/>
              </w:rPr>
              <w:t>2</w:t>
            </w:r>
            <w:r>
              <w:rPr>
                <w:rFonts w:hint="eastAsia" w:ascii="宋体" w:hAnsi="宋体" w:eastAsia="宋体" w:cs="宋体"/>
                <w:sz w:val="21"/>
                <w:szCs w:val="21"/>
                <w:vertAlign w:val="baseline"/>
                <w:lang w:eastAsia="zh-CN"/>
              </w:rPr>
              <w:t>.视音频预录功能:预录和延录时间可通过本机菜单设置。</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1</w:t>
            </w:r>
            <w:r>
              <w:rPr>
                <w:rFonts w:hint="eastAsia" w:ascii="宋体" w:hAnsi="宋体" w:eastAsia="宋体" w:cs="宋体"/>
                <w:sz w:val="21"/>
                <w:szCs w:val="21"/>
                <w:vertAlign w:val="baseline"/>
                <w:lang w:val="en-US" w:eastAsia="zh-CN"/>
              </w:rPr>
              <w:t>3</w:t>
            </w:r>
            <w:r>
              <w:rPr>
                <w:rFonts w:hint="eastAsia" w:ascii="宋体" w:hAnsi="宋体" w:eastAsia="宋体" w:cs="宋体"/>
                <w:sz w:val="21"/>
                <w:szCs w:val="21"/>
                <w:vertAlign w:val="baseline"/>
                <w:lang w:eastAsia="zh-CN"/>
              </w:rPr>
              <w:t>.快充;充电时间≤2 小时</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1</w:t>
            </w:r>
            <w:r>
              <w:rPr>
                <w:rFonts w:hint="eastAsia" w:ascii="宋体" w:hAnsi="宋体" w:eastAsia="宋体" w:cs="宋体"/>
                <w:sz w:val="21"/>
                <w:szCs w:val="21"/>
                <w:vertAlign w:val="baseline"/>
                <w:lang w:val="en-US" w:eastAsia="zh-CN"/>
              </w:rPr>
              <w:t>4</w:t>
            </w:r>
            <w:r>
              <w:rPr>
                <w:rFonts w:hint="eastAsia" w:ascii="宋体" w:hAnsi="宋体" w:eastAsia="宋体" w:cs="宋体"/>
                <w:sz w:val="21"/>
                <w:szCs w:val="21"/>
                <w:vertAlign w:val="baseline"/>
                <w:lang w:eastAsia="zh-CN"/>
              </w:rPr>
              <w:t>.防抖功能:可通过菜单设置开启/关闭防抖功能。</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15</w:t>
            </w:r>
            <w:r>
              <w:rPr>
                <w:rFonts w:hint="eastAsia" w:ascii="宋体" w:hAnsi="宋体" w:eastAsia="宋体" w:cs="宋体"/>
                <w:sz w:val="21"/>
                <w:szCs w:val="21"/>
                <w:vertAlign w:val="baseline"/>
                <w:lang w:eastAsia="zh-CN"/>
              </w:rPr>
              <w:t>.紧急摄录:具有开启/关闭紧急摄录功能，在紧急摄录功能开启状态下，录像过程中发生撞击时，可自动保存录像文件并重新进入摄录模式。在待机状态下发生撞击时，可自动进入摄录模式。</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16</w:t>
            </w:r>
            <w:r>
              <w:rPr>
                <w:rFonts w:hint="eastAsia" w:ascii="宋体" w:hAnsi="宋体" w:eastAsia="宋体" w:cs="宋体"/>
                <w:sz w:val="21"/>
                <w:szCs w:val="21"/>
                <w:vertAlign w:val="baseline"/>
                <w:lang w:eastAsia="zh-CN"/>
              </w:rPr>
              <w:t>.一键切换分辨率:在录像状态下，可通过一次按键实现1440P、1296P、1080P、720P、480P 五种分辨率之间的切换。</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17</w:t>
            </w:r>
            <w:r>
              <w:rPr>
                <w:rFonts w:hint="eastAsia" w:ascii="宋体" w:hAnsi="宋体" w:eastAsia="宋体" w:cs="宋体"/>
                <w:sz w:val="21"/>
                <w:szCs w:val="21"/>
                <w:vertAlign w:val="baseline"/>
                <w:lang w:eastAsia="zh-CN"/>
              </w:rPr>
              <w:t>.编码格式：为节约存储空间，支持H.265编码格式。</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18</w:t>
            </w:r>
            <w:r>
              <w:rPr>
                <w:rFonts w:hint="eastAsia" w:ascii="宋体" w:hAnsi="宋体" w:eastAsia="宋体" w:cs="宋体"/>
                <w:sz w:val="21"/>
                <w:szCs w:val="21"/>
                <w:vertAlign w:val="baseline"/>
                <w:lang w:eastAsia="zh-CN"/>
              </w:rPr>
              <w:t>.语音播报：在开机、录像、录音、重点文件标记时进行语音播报。具有摄录时长播报及整点报时功能。</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19</w:t>
            </w:r>
            <w:r>
              <w:rPr>
                <w:rFonts w:hint="eastAsia" w:ascii="宋体" w:hAnsi="宋体" w:eastAsia="宋体" w:cs="宋体"/>
                <w:sz w:val="21"/>
                <w:szCs w:val="21"/>
                <w:vertAlign w:val="baseline"/>
                <w:lang w:eastAsia="zh-CN"/>
              </w:rPr>
              <w:t>.最低可用照度：输出图像的中心水平分辨力下降到标称亮度条件下分辨力的70%时目标景物的照度应满足≤2.9x。</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2</w:t>
            </w:r>
            <w:r>
              <w:rPr>
                <w:rFonts w:hint="eastAsia" w:ascii="宋体" w:hAnsi="宋体" w:eastAsia="宋体" w:cs="宋体"/>
                <w:sz w:val="21"/>
                <w:szCs w:val="21"/>
                <w:vertAlign w:val="baseline"/>
                <w:lang w:val="en-US" w:eastAsia="zh-CN"/>
              </w:rPr>
              <w:t>0</w:t>
            </w:r>
            <w:r>
              <w:rPr>
                <w:rFonts w:hint="eastAsia" w:ascii="宋体" w:hAnsi="宋体" w:eastAsia="宋体" w:cs="宋体"/>
                <w:sz w:val="21"/>
                <w:szCs w:val="21"/>
                <w:vertAlign w:val="baseline"/>
                <w:lang w:eastAsia="zh-CN"/>
              </w:rPr>
              <w:t>.设备内置RFID电子标签，可通过阅读机器对内置RFID电子标签进行读取。</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2</w:t>
            </w:r>
            <w:r>
              <w:rPr>
                <w:rFonts w:hint="eastAsia" w:ascii="宋体" w:hAnsi="宋体" w:eastAsia="宋体" w:cs="宋体"/>
                <w:sz w:val="21"/>
                <w:szCs w:val="21"/>
                <w:vertAlign w:val="baseline"/>
                <w:lang w:val="en-US" w:eastAsia="zh-CN"/>
              </w:rPr>
              <w:t>1</w:t>
            </w:r>
            <w:r>
              <w:rPr>
                <w:rFonts w:hint="eastAsia" w:ascii="宋体" w:hAnsi="宋体" w:eastAsia="宋体" w:cs="宋体"/>
                <w:sz w:val="21"/>
                <w:szCs w:val="21"/>
                <w:vertAlign w:val="baseline"/>
                <w:lang w:eastAsia="zh-CN"/>
              </w:rPr>
              <w:t>.设备具有开关机统计功能，能自动生成开关机统计日志。</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2</w:t>
            </w:r>
            <w:r>
              <w:rPr>
                <w:rFonts w:hint="eastAsia" w:ascii="宋体" w:hAnsi="宋体" w:eastAsia="宋体" w:cs="宋体"/>
                <w:sz w:val="21"/>
                <w:szCs w:val="21"/>
                <w:vertAlign w:val="baseline"/>
                <w:lang w:val="en-US" w:eastAsia="zh-CN"/>
              </w:rPr>
              <w:t>2</w:t>
            </w:r>
            <w:r>
              <w:rPr>
                <w:rFonts w:hint="eastAsia" w:ascii="宋体" w:hAnsi="宋体" w:eastAsia="宋体" w:cs="宋体"/>
                <w:sz w:val="21"/>
                <w:szCs w:val="21"/>
                <w:vertAlign w:val="baseline"/>
                <w:lang w:eastAsia="zh-CN"/>
              </w:rPr>
              <w:t>.支持车载，室内，室外场景模式，可通过设备菜单开启、选择或关闭。</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t>2</w:t>
            </w:r>
            <w:r>
              <w:rPr>
                <w:rFonts w:hint="eastAsia" w:ascii="宋体" w:hAnsi="宋体" w:eastAsia="宋体" w:cs="宋体"/>
                <w:sz w:val="21"/>
                <w:szCs w:val="21"/>
                <w:vertAlign w:val="baseline"/>
                <w:lang w:val="en-US" w:eastAsia="zh-CN"/>
              </w:rPr>
              <w:t>3</w:t>
            </w:r>
            <w:r>
              <w:rPr>
                <w:rFonts w:hint="eastAsia" w:ascii="宋体" w:hAnsi="宋体" w:eastAsia="宋体" w:cs="宋体"/>
                <w:sz w:val="21"/>
                <w:szCs w:val="21"/>
                <w:vertAlign w:val="baseline"/>
                <w:lang w:eastAsia="zh-CN"/>
              </w:rPr>
              <w:t>.设备应能将实时电量百分比以字符叠加方式叠加在拍摄的照片或录像视频画面中。</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24</w:t>
            </w:r>
            <w:r>
              <w:rPr>
                <w:rFonts w:hint="eastAsia" w:ascii="宋体" w:hAnsi="宋体" w:eastAsia="宋体" w:cs="宋体"/>
                <w:sz w:val="21"/>
                <w:szCs w:val="21"/>
                <w:vertAlign w:val="baseline"/>
                <w:lang w:eastAsia="zh-CN"/>
              </w:rPr>
              <w:t>.数字变倍功能：执法记录仪具有64倍数字变倍功能。</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25</w:t>
            </w:r>
            <w:r>
              <w:rPr>
                <w:rFonts w:hint="eastAsia" w:ascii="宋体" w:hAnsi="宋体" w:eastAsia="宋体" w:cs="宋体"/>
                <w:sz w:val="21"/>
                <w:szCs w:val="21"/>
                <w:vertAlign w:val="baseline"/>
                <w:lang w:eastAsia="zh-CN"/>
              </w:rPr>
              <w:t>.音量大小调节：具有音量调节功能，可在设备菜单中进行1-12级调节功能</w:t>
            </w:r>
          </w:p>
          <w:p>
            <w:pPr>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val="en-US" w:eastAsia="zh-CN"/>
              </w:rPr>
              <w:t>26</w:t>
            </w:r>
            <w:r>
              <w:rPr>
                <w:rFonts w:hint="eastAsia" w:ascii="宋体" w:hAnsi="宋体" w:eastAsia="宋体" w:cs="宋体"/>
                <w:sz w:val="21"/>
                <w:szCs w:val="21"/>
                <w:vertAlign w:val="baseline"/>
                <w:lang w:eastAsia="zh-CN"/>
              </w:rPr>
              <w:t>.执法记录仪具有亮度调节功能，可在设备菜单中进行高、中、低调节功能。</w:t>
            </w:r>
          </w:p>
          <w:p>
            <w:pP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27.存储介质容量:≥32G</w:t>
            </w:r>
          </w:p>
          <w:p>
            <w:pPr>
              <w:rPr>
                <w:rFonts w:hint="default" w:eastAsia="宋体"/>
                <w:lang w:val="en-US" w:eastAsia="zh-CN"/>
              </w:rPr>
            </w:pPr>
            <w:r>
              <w:rPr>
                <w:rFonts w:hint="eastAsia" w:ascii="宋体" w:hAnsi="宋体" w:eastAsia="宋体" w:cs="宋体"/>
                <w:sz w:val="21"/>
                <w:szCs w:val="21"/>
                <w:vertAlign w:val="baseline"/>
                <w:lang w:val="en-US" w:eastAsia="zh-CN"/>
              </w:rPr>
              <w:t>28</w:t>
            </w:r>
            <w:r>
              <w:rPr>
                <w:rFonts w:hint="eastAsia" w:ascii="宋体" w:hAnsi="宋体" w:eastAsia="宋体" w:cs="宋体"/>
                <w:sz w:val="21"/>
                <w:szCs w:val="21"/>
                <w:vertAlign w:val="baseline"/>
                <w:lang w:eastAsia="zh-CN"/>
              </w:rPr>
              <w:t>.需提供公安部特种警用装备的检测报告</w:t>
            </w:r>
          </w:p>
        </w:tc>
        <w:tc>
          <w:tcPr>
            <w:tcW w:w="1466" w:type="dxa"/>
            <w:vAlign w:val="center"/>
          </w:tcPr>
          <w:p>
            <w:pPr>
              <w:jc w:val="center"/>
              <w:rPr>
                <w:rFonts w:hint="default" w:ascii="宋体" w:hAnsi="宋体" w:eastAsia="宋体" w:cs="宋体"/>
                <w:sz w:val="22"/>
                <w:szCs w:val="22"/>
                <w:vertAlign w:val="baseline"/>
                <w:lang w:val="en-US" w:eastAsia="zh-CN"/>
              </w:rPr>
            </w:pPr>
            <w:r>
              <w:rPr>
                <w:rFonts w:hint="eastAsia" w:hAnsi="宋体" w:cs="宋体"/>
                <w:sz w:val="22"/>
                <w:szCs w:val="22"/>
                <w:vertAlign w:val="baseline"/>
                <w:lang w:val="en-US" w:eastAsia="zh-CN"/>
              </w:rPr>
              <w:t>300台</w:t>
            </w:r>
          </w:p>
        </w:tc>
        <w:tc>
          <w:tcPr>
            <w:tcW w:w="4050" w:type="dxa"/>
          </w:tcPr>
          <w:p>
            <w:pPr>
              <w:rPr>
                <w:rFonts w:hint="eastAsia" w:ascii="宋体" w:hAnsi="宋体" w:eastAsia="宋体" w:cs="宋体"/>
                <w:sz w:val="22"/>
                <w:szCs w:val="22"/>
                <w:vertAlign w:val="baseline"/>
              </w:rPr>
            </w:pPr>
            <w:r>
              <w:drawing>
                <wp:inline distT="0" distB="0" distL="114300" distR="114300">
                  <wp:extent cx="2087245" cy="2567940"/>
                  <wp:effectExtent l="0" t="0" r="8255" b="381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26"/>
                          <a:stretch>
                            <a:fillRect/>
                          </a:stretch>
                        </pic:blipFill>
                        <pic:spPr>
                          <a:xfrm>
                            <a:off x="0" y="0"/>
                            <a:ext cx="2087245" cy="25679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2" w:type="dxa"/>
            <w:vAlign w:val="center"/>
          </w:tcPr>
          <w:p>
            <w:pPr>
              <w:keepNext w:val="0"/>
              <w:keepLines w:val="0"/>
              <w:widowControl/>
              <w:suppressLineNumbers w:val="0"/>
              <w:spacing w:line="360" w:lineRule="auto"/>
              <w:jc w:val="center"/>
              <w:textAlignment w:val="center"/>
              <w:rPr>
                <w:rFonts w:hint="eastAsia" w:ascii="宋体" w:hAnsi="宋体" w:eastAsia="宋体" w:cs="宋体"/>
                <w:sz w:val="22"/>
                <w:szCs w:val="22"/>
                <w:vertAlign w:val="baseline"/>
              </w:rPr>
            </w:pPr>
            <w:r>
              <w:rPr>
                <w:rFonts w:hint="eastAsia" w:ascii="宋体" w:hAnsi="宋体" w:eastAsia="宋体" w:cs="宋体"/>
                <w:i w:val="0"/>
                <w:iCs w:val="0"/>
                <w:color w:val="000000"/>
                <w:kern w:val="0"/>
                <w:sz w:val="22"/>
                <w:szCs w:val="22"/>
                <w:u w:val="none"/>
                <w:lang w:val="en-US" w:eastAsia="zh-CN" w:bidi="ar"/>
              </w:rPr>
              <w:t>单警装备（套）</w:t>
            </w:r>
          </w:p>
        </w:tc>
        <w:tc>
          <w:tcPr>
            <w:tcW w:w="3270" w:type="dxa"/>
            <w:vAlign w:val="top"/>
          </w:tcPr>
          <w:p>
            <w:pPr>
              <w:spacing w:line="360" w:lineRule="auto"/>
              <w:rPr>
                <w:rFonts w:hint="eastAsia" w:ascii="宋体" w:hAnsi="宋体" w:eastAsia="宋体" w:cs="宋体"/>
                <w:b w:val="0"/>
                <w:bCs w:val="0"/>
                <w:sz w:val="22"/>
                <w:szCs w:val="22"/>
                <w:lang w:val="en-US" w:eastAsia="zh-CN"/>
              </w:rPr>
            </w:pPr>
            <w:r>
              <w:rPr>
                <w:rFonts w:hint="eastAsia" w:ascii="宋体" w:hAnsi="宋体" w:eastAsia="宋体" w:cs="宋体"/>
                <w:b w:val="0"/>
                <w:bCs w:val="0"/>
                <w:sz w:val="22"/>
                <w:szCs w:val="22"/>
                <w:lang w:val="en-US" w:eastAsia="zh-CN"/>
              </w:rPr>
              <w:t>1.多功能腰带</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1.1</w:t>
            </w:r>
            <w:r>
              <w:rPr>
                <w:rFonts w:hint="eastAsia" w:ascii="宋体" w:hAnsi="宋体" w:eastAsia="宋体" w:cs="宋体"/>
                <w:sz w:val="22"/>
                <w:szCs w:val="22"/>
              </w:rPr>
              <w:t>结构：多功能腰带由主腰带、内带、斜挂带和装具套组成，装具套含警棍套、强光手电套、工作包、手铐套、催泪喷射器套、对讲机套、警用水壶套、弹夹套、手枪套。</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1.2</w:t>
            </w:r>
            <w:r>
              <w:rPr>
                <w:rFonts w:hint="eastAsia" w:ascii="宋体" w:hAnsi="宋体" w:eastAsia="宋体" w:cs="宋体"/>
                <w:sz w:val="22"/>
                <w:szCs w:val="22"/>
              </w:rPr>
              <w:t>颜色：黑色。</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1.3</w:t>
            </w:r>
            <w:r>
              <w:rPr>
                <w:rFonts w:hint="eastAsia" w:ascii="宋体" w:hAnsi="宋体" w:eastAsia="宋体" w:cs="宋体"/>
                <w:sz w:val="22"/>
                <w:szCs w:val="22"/>
              </w:rPr>
              <w:t>规格：多功能腰带按带体长度分为XL、L、M、S、SS五种规格。</w:t>
            </w:r>
          </w:p>
          <w:p>
            <w:pPr>
              <w:spacing w:line="360" w:lineRule="auto"/>
              <w:rPr>
                <w:rFonts w:hint="eastAsia" w:ascii="宋体" w:hAnsi="宋体" w:eastAsia="宋体" w:cs="宋体"/>
                <w:sz w:val="22"/>
                <w:szCs w:val="22"/>
              </w:rPr>
            </w:pPr>
            <w:r>
              <w:rPr>
                <w:rFonts w:hint="eastAsia" w:ascii="宋体" w:hAnsi="宋体" w:eastAsia="宋体" w:cs="宋体"/>
                <w:sz w:val="22"/>
                <w:szCs w:val="22"/>
              </w:rPr>
              <w:t>▲</w:t>
            </w:r>
            <w:r>
              <w:rPr>
                <w:rFonts w:hint="eastAsia" w:ascii="宋体" w:hAnsi="宋体" w:eastAsia="宋体" w:cs="宋体"/>
                <w:sz w:val="22"/>
                <w:szCs w:val="22"/>
                <w:lang w:val="en-US" w:eastAsia="zh-CN"/>
              </w:rPr>
              <w:t>1.4</w:t>
            </w:r>
            <w:r>
              <w:rPr>
                <w:rFonts w:hint="eastAsia" w:ascii="宋体" w:hAnsi="宋体" w:eastAsia="宋体" w:cs="宋体"/>
                <w:sz w:val="22"/>
                <w:szCs w:val="22"/>
              </w:rPr>
              <w:t>质量：≤</w:t>
            </w:r>
            <w:r>
              <w:rPr>
                <w:rFonts w:hint="eastAsia" w:ascii="宋体" w:hAnsi="宋体" w:eastAsia="宋体" w:cs="宋体"/>
                <w:sz w:val="22"/>
                <w:szCs w:val="22"/>
                <w:lang w:val="en-US" w:eastAsia="zh-CN"/>
              </w:rPr>
              <w:t>1</w:t>
            </w:r>
            <w:r>
              <w:rPr>
                <w:rFonts w:hint="eastAsia" w:ascii="宋体" w:hAnsi="宋体" w:eastAsia="宋体" w:cs="宋体"/>
                <w:sz w:val="22"/>
                <w:szCs w:val="22"/>
              </w:rPr>
              <w:t>kg。</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1.5</w:t>
            </w:r>
            <w:r>
              <w:rPr>
                <w:rFonts w:hint="eastAsia" w:ascii="宋体" w:hAnsi="宋体" w:eastAsia="宋体" w:cs="宋体"/>
                <w:sz w:val="22"/>
                <w:szCs w:val="22"/>
              </w:rPr>
              <w:t>耐摩擦色牢度：干摩≥4～5级、湿摩≥4～5级。</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1.6</w:t>
            </w:r>
            <w:r>
              <w:rPr>
                <w:rFonts w:hint="eastAsia" w:ascii="宋体" w:hAnsi="宋体" w:eastAsia="宋体" w:cs="宋体"/>
                <w:sz w:val="22"/>
                <w:szCs w:val="22"/>
              </w:rPr>
              <w:t>耐刷洗色牢度：≥5级。</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1.7</w:t>
            </w:r>
            <w:r>
              <w:rPr>
                <w:rFonts w:hint="eastAsia" w:ascii="宋体" w:hAnsi="宋体" w:eastAsia="宋体" w:cs="宋体"/>
                <w:sz w:val="22"/>
                <w:szCs w:val="22"/>
              </w:rPr>
              <w:t>耐汗渍色牢度：≥4级。</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1.8</w:t>
            </w:r>
            <w:r>
              <w:rPr>
                <w:rFonts w:hint="eastAsia" w:ascii="宋体" w:hAnsi="宋体" w:eastAsia="宋体" w:cs="宋体"/>
                <w:sz w:val="22"/>
                <w:szCs w:val="22"/>
              </w:rPr>
              <w:t>耐光色牢度：≥4级。</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1.9</w:t>
            </w:r>
            <w:r>
              <w:rPr>
                <w:rFonts w:hint="eastAsia" w:ascii="宋体" w:hAnsi="宋体" w:eastAsia="宋体" w:cs="宋体"/>
                <w:sz w:val="22"/>
                <w:szCs w:val="22"/>
              </w:rPr>
              <w:t>腰带钎子耐盐雾：≥48h主要表面无腐蚀斑点。</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1.10</w:t>
            </w:r>
            <w:r>
              <w:rPr>
                <w:rFonts w:hint="eastAsia" w:ascii="宋体" w:hAnsi="宋体" w:eastAsia="宋体" w:cs="宋体"/>
                <w:sz w:val="22"/>
                <w:szCs w:val="22"/>
              </w:rPr>
              <w:t>腰带钎子插拔性能：插拔≥6000次后，能正常使用。</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1.11</w:t>
            </w:r>
            <w:r>
              <w:rPr>
                <w:rFonts w:hint="eastAsia" w:ascii="宋体" w:hAnsi="宋体" w:eastAsia="宋体" w:cs="宋体"/>
                <w:sz w:val="22"/>
                <w:szCs w:val="22"/>
              </w:rPr>
              <w:t>腰带钎子温度适应性：-30℃～</w:t>
            </w:r>
            <w:r>
              <w:rPr>
                <w:rFonts w:hint="eastAsia" w:ascii="宋体" w:hAnsi="宋体" w:eastAsia="宋体" w:cs="宋体"/>
                <w:sz w:val="22"/>
                <w:szCs w:val="22"/>
                <w:lang w:val="en-US" w:eastAsia="zh-CN"/>
              </w:rPr>
              <w:t>+</w:t>
            </w:r>
            <w:r>
              <w:rPr>
                <w:rFonts w:hint="eastAsia" w:ascii="宋体" w:hAnsi="宋体" w:eastAsia="宋体" w:cs="宋体"/>
                <w:sz w:val="22"/>
                <w:szCs w:val="22"/>
              </w:rPr>
              <w:t>50℃能正常使用。</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1.12</w:t>
            </w:r>
            <w:r>
              <w:rPr>
                <w:rFonts w:hint="eastAsia" w:ascii="宋体" w:hAnsi="宋体" w:eastAsia="宋体" w:cs="宋体"/>
                <w:sz w:val="22"/>
                <w:szCs w:val="22"/>
              </w:rPr>
              <w:t>四件子母扣侧掀强力：15～30N。</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1.13</w:t>
            </w:r>
            <w:r>
              <w:rPr>
                <w:rFonts w:hint="eastAsia" w:ascii="宋体" w:hAnsi="宋体" w:eastAsia="宋体" w:cs="宋体"/>
                <w:sz w:val="22"/>
                <w:szCs w:val="22"/>
              </w:rPr>
              <w:t>警棍套旋转性能：旋转≥6000次后，能正常使用。</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1.14</w:t>
            </w:r>
            <w:r>
              <w:rPr>
                <w:rFonts w:hint="eastAsia" w:ascii="宋体" w:hAnsi="宋体" w:eastAsia="宋体" w:cs="宋体"/>
                <w:sz w:val="22"/>
                <w:szCs w:val="22"/>
              </w:rPr>
              <w:t>警棍套警棍插拔性能：插拔≥6000次后，能正常使用。</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1.15</w:t>
            </w:r>
            <w:r>
              <w:rPr>
                <w:rFonts w:hint="eastAsia" w:ascii="宋体" w:hAnsi="宋体" w:eastAsia="宋体" w:cs="宋体"/>
                <w:sz w:val="22"/>
                <w:szCs w:val="22"/>
              </w:rPr>
              <w:t>催泪喷射器旋转性能：旋转≥6000次后，能正常使用。</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1.16</w:t>
            </w:r>
            <w:r>
              <w:rPr>
                <w:rFonts w:hint="eastAsia" w:ascii="宋体" w:hAnsi="宋体" w:eastAsia="宋体" w:cs="宋体"/>
                <w:sz w:val="22"/>
                <w:szCs w:val="22"/>
              </w:rPr>
              <w:t>斜跨带卡扣抗拉性能：斜跨带卡扣在扣合状态下，施加≥700N的拉力并保持30s，卡扣不破损，并能正常使用。</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1.17</w:t>
            </w:r>
            <w:r>
              <w:rPr>
                <w:rFonts w:hint="eastAsia" w:ascii="宋体" w:hAnsi="宋体" w:eastAsia="宋体" w:cs="宋体"/>
                <w:sz w:val="22"/>
                <w:szCs w:val="22"/>
              </w:rPr>
              <w:t>装具套缝合抗拉性能：装具套在开口缝合部位施加≥600N的拉力并保持30s，不被撕裂。</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1.18</w:t>
            </w:r>
            <w:r>
              <w:rPr>
                <w:rFonts w:hint="eastAsia" w:ascii="宋体" w:hAnsi="宋体" w:eastAsia="宋体" w:cs="宋体"/>
                <w:sz w:val="22"/>
                <w:szCs w:val="22"/>
              </w:rPr>
              <w:t>腰带钎子抗拉性能：腰带钎子在扣合状态下，施加≥950N的拉力并保持30s，钎子不脱出或破损，并能正常使用。</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1.19</w:t>
            </w:r>
            <w:r>
              <w:rPr>
                <w:rFonts w:hint="eastAsia" w:ascii="宋体" w:hAnsi="宋体" w:eastAsia="宋体" w:cs="宋体"/>
                <w:sz w:val="22"/>
                <w:szCs w:val="22"/>
              </w:rPr>
              <w:t>警棍套抗拉性能：对警棍套施加≥1200N的拉力并保持30s，连接件不应断裂。</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1.20</w:t>
            </w:r>
            <w:r>
              <w:rPr>
                <w:rFonts w:hint="eastAsia" w:ascii="宋体" w:hAnsi="宋体" w:eastAsia="宋体" w:cs="宋体"/>
                <w:sz w:val="22"/>
                <w:szCs w:val="22"/>
              </w:rPr>
              <w:t>催泪喷射器套抗拉性能：对催泪喷射器施加≥1200N的拉力并保持30s，连接件不应断裂。</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1.21执行标准：</w:t>
            </w:r>
            <w:r>
              <w:rPr>
                <w:rFonts w:hint="eastAsia" w:ascii="宋体" w:hAnsi="宋体" w:eastAsia="宋体" w:cs="宋体"/>
                <w:sz w:val="22"/>
                <w:szCs w:val="22"/>
              </w:rPr>
              <w:t>GA 889-2018《公安单警装备多功能腰带》</w:t>
            </w:r>
          </w:p>
          <w:p>
            <w:pPr>
              <w:pStyle w:val="60"/>
              <w:spacing w:line="360" w:lineRule="auto"/>
              <w:ind w:left="0" w:leftChars="0" w:firstLine="0" w:firstLineChars="0"/>
              <w:jc w:val="left"/>
              <w:rPr>
                <w:rFonts w:hint="eastAsia" w:ascii="宋体" w:hAnsi="宋体" w:eastAsia="宋体" w:cs="宋体"/>
                <w:b/>
                <w:bCs/>
                <w:sz w:val="22"/>
                <w:szCs w:val="22"/>
                <w:vertAlign w:val="baseline"/>
              </w:rPr>
            </w:pPr>
            <w:r>
              <w:rPr>
                <w:rFonts w:hint="eastAsia" w:ascii="宋体" w:hAnsi="宋体" w:eastAsia="宋体" w:cs="宋体"/>
                <w:b/>
                <w:bCs/>
                <w:sz w:val="22"/>
                <w:szCs w:val="22"/>
                <w:vertAlign w:val="baseline"/>
              </w:rPr>
              <w:t>需提供公安部检测机构出具的产品检测报告</w:t>
            </w:r>
            <w:r>
              <w:rPr>
                <w:rFonts w:hint="eastAsia" w:ascii="宋体" w:hAnsi="宋体" w:eastAsia="宋体" w:cs="宋体"/>
                <w:b/>
                <w:bCs/>
                <w:sz w:val="22"/>
                <w:szCs w:val="22"/>
                <w:vertAlign w:val="baseline"/>
                <w:lang w:eastAsia="zh-CN"/>
              </w:rPr>
              <w:t>（</w:t>
            </w:r>
            <w:r>
              <w:rPr>
                <w:rFonts w:hint="eastAsia" w:ascii="宋体" w:hAnsi="宋体" w:eastAsia="宋体" w:cs="宋体"/>
                <w:b/>
                <w:bCs/>
                <w:sz w:val="22"/>
                <w:szCs w:val="22"/>
                <w:vertAlign w:val="baseline"/>
                <w:lang w:val="en-US" w:eastAsia="zh-CN"/>
              </w:rPr>
              <w:t>复印件加盖公章</w:t>
            </w:r>
            <w:r>
              <w:rPr>
                <w:rFonts w:hint="eastAsia" w:ascii="宋体" w:hAnsi="宋体" w:eastAsia="宋体" w:cs="宋体"/>
                <w:b/>
                <w:bCs/>
                <w:sz w:val="22"/>
                <w:szCs w:val="22"/>
                <w:vertAlign w:val="baseline"/>
                <w:lang w:eastAsia="zh-CN"/>
              </w:rPr>
              <w:t>）</w:t>
            </w:r>
            <w:r>
              <w:rPr>
                <w:rFonts w:hint="eastAsia" w:ascii="宋体" w:hAnsi="宋体" w:eastAsia="宋体" w:cs="宋体"/>
                <w:b/>
                <w:bCs/>
                <w:sz w:val="22"/>
                <w:szCs w:val="22"/>
                <w:vertAlign w:val="baseline"/>
              </w:rPr>
              <w:t>。</w:t>
            </w:r>
          </w:p>
          <w:p>
            <w:pPr>
              <w:numPr>
                <w:ilvl w:val="0"/>
                <w:numId w:val="0"/>
              </w:num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2.急救包</w:t>
            </w:r>
          </w:p>
          <w:p>
            <w:pPr>
              <w:pStyle w:val="60"/>
              <w:numPr>
                <w:ilvl w:val="0"/>
                <w:numId w:val="0"/>
              </w:num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2.1外观：警用急救包包内有急救用品与药物，急救包正面印有“警徽、警察、police和警用急救包”字样。</w:t>
            </w:r>
          </w:p>
          <w:p>
            <w:pPr>
              <w:pStyle w:val="60"/>
              <w:numPr>
                <w:ilvl w:val="0"/>
                <w:numId w:val="0"/>
              </w:num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2.2材质：移膜皮革。</w:t>
            </w:r>
          </w:p>
          <w:p>
            <w:pPr>
              <w:pStyle w:val="60"/>
              <w:numPr>
                <w:ilvl w:val="0"/>
                <w:numId w:val="0"/>
              </w:num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2.3尺寸：展开长220mm±2mm，宽125mm±2mm。</w:t>
            </w:r>
          </w:p>
          <w:p>
            <w:pPr>
              <w:pStyle w:val="60"/>
              <w:numPr>
                <w:ilvl w:val="0"/>
                <w:numId w:val="0"/>
              </w:num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2.4重量（含药品）：≤160g。</w:t>
            </w:r>
          </w:p>
          <w:p>
            <w:pPr>
              <w:pStyle w:val="60"/>
              <w:numPr>
                <w:ilvl w:val="0"/>
                <w:numId w:val="0"/>
              </w:num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2.5颜色：急救包所用移膜皮革及辅料配件的颜色为黑色，警徽图案和文字标识为银白色。</w:t>
            </w:r>
          </w:p>
          <w:p>
            <w:pPr>
              <w:pStyle w:val="60"/>
              <w:numPr>
                <w:ilvl w:val="0"/>
                <w:numId w:val="0"/>
              </w:num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2.6耐摩擦色牢度：干摩50次色牢度≥4级，干摩10次色牢度≥4级。</w:t>
            </w:r>
          </w:p>
          <w:p>
            <w:pPr>
              <w:pStyle w:val="60"/>
              <w:numPr>
                <w:ilvl w:val="0"/>
                <w:numId w:val="0"/>
              </w:num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2.7拉链平拉强力：≥600N。</w:t>
            </w:r>
          </w:p>
          <w:p>
            <w:pPr>
              <w:pStyle w:val="60"/>
              <w:numPr>
                <w:ilvl w:val="0"/>
                <w:numId w:val="0"/>
              </w:num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2.8拉链拉头拉片结合力：≥250N。</w:t>
            </w:r>
          </w:p>
          <w:p>
            <w:pPr>
              <w:pStyle w:val="60"/>
              <w:numPr>
                <w:ilvl w:val="0"/>
                <w:numId w:val="0"/>
              </w:num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2.9拉链负荷拉次：≥2000次。</w:t>
            </w:r>
          </w:p>
          <w:p>
            <w:pPr>
              <w:pStyle w:val="60"/>
              <w:numPr>
                <w:ilvl w:val="0"/>
                <w:numId w:val="0"/>
              </w:num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2.10皮革撕裂强度：≥48N/mm。</w:t>
            </w:r>
          </w:p>
          <w:p>
            <w:pPr>
              <w:pStyle w:val="60"/>
              <w:numPr>
                <w:ilvl w:val="0"/>
                <w:numId w:val="0"/>
              </w:num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2.11阻燃性能：外表面皮革续燃时间≤5s</w:t>
            </w:r>
          </w:p>
          <w:p>
            <w:pPr>
              <w:pStyle w:val="60"/>
              <w:numPr>
                <w:ilvl w:val="0"/>
                <w:numId w:val="0"/>
              </w:num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2.12皮革顶破强力：≥550N</w:t>
            </w:r>
          </w:p>
          <w:p>
            <w:pPr>
              <w:pStyle w:val="60"/>
              <w:numPr>
                <w:ilvl w:val="0"/>
                <w:numId w:val="0"/>
              </w:num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2.13甲醛含量：≤20mg/kg。</w:t>
            </w:r>
          </w:p>
          <w:p>
            <w:pPr>
              <w:pStyle w:val="60"/>
              <w:numPr>
                <w:ilvl w:val="0"/>
                <w:numId w:val="0"/>
              </w:num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2.14可分解致癌芳香胺染料：≤20mg/kg。</w:t>
            </w:r>
          </w:p>
          <w:p>
            <w:pPr>
              <w:pStyle w:val="60"/>
              <w:numPr>
                <w:ilvl w:val="0"/>
                <w:numId w:val="0"/>
              </w:num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2.15pH值：7±2</w:t>
            </w:r>
          </w:p>
          <w:p>
            <w:pPr>
              <w:pStyle w:val="60"/>
              <w:numPr>
                <w:ilvl w:val="0"/>
                <w:numId w:val="0"/>
              </w:num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2.16抗摔性能：水泥地面，跌落高度≥2米，产品在水平状态，竖直状态分别自由跌落≥10次，急救包外表面没有破损，且包内药品无损坏。</w:t>
            </w:r>
          </w:p>
          <w:p>
            <w:pPr>
              <w:pStyle w:val="60"/>
              <w:numPr>
                <w:ilvl w:val="0"/>
                <w:numId w:val="0"/>
              </w:num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2.17拉链耐腐蚀性能：喷雾周期≥8h，金属零部件耐腐蚀等级应≥7级。</w:t>
            </w:r>
          </w:p>
          <w:p>
            <w:pPr>
              <w:pStyle w:val="60"/>
              <w:numPr>
                <w:ilvl w:val="0"/>
                <w:numId w:val="0"/>
              </w:num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2.18执行标准： GA 891-2010《警用急救包》</w:t>
            </w:r>
          </w:p>
          <w:p>
            <w:pPr>
              <w:pStyle w:val="60"/>
              <w:spacing w:line="360" w:lineRule="auto"/>
              <w:ind w:left="0" w:leftChars="0" w:firstLine="0" w:firstLineChars="0"/>
              <w:jc w:val="left"/>
              <w:rPr>
                <w:rFonts w:hint="eastAsia" w:ascii="宋体" w:hAnsi="宋体" w:eastAsia="宋体" w:cs="宋体"/>
                <w:b/>
                <w:bCs/>
                <w:sz w:val="22"/>
                <w:szCs w:val="22"/>
                <w:vertAlign w:val="baseline"/>
              </w:rPr>
            </w:pPr>
            <w:r>
              <w:rPr>
                <w:rFonts w:hint="eastAsia" w:ascii="宋体" w:hAnsi="宋体" w:eastAsia="宋体" w:cs="宋体"/>
                <w:b/>
                <w:bCs/>
                <w:sz w:val="22"/>
                <w:szCs w:val="22"/>
                <w:vertAlign w:val="baseline"/>
              </w:rPr>
              <w:t>需提供公安部检测机构出具的产品检测报告</w:t>
            </w:r>
            <w:r>
              <w:rPr>
                <w:rFonts w:hint="eastAsia" w:ascii="宋体" w:hAnsi="宋体" w:eastAsia="宋体" w:cs="宋体"/>
                <w:b/>
                <w:bCs/>
                <w:sz w:val="22"/>
                <w:szCs w:val="22"/>
                <w:vertAlign w:val="baseline"/>
                <w:lang w:eastAsia="zh-CN"/>
              </w:rPr>
              <w:t>（</w:t>
            </w:r>
            <w:r>
              <w:rPr>
                <w:rFonts w:hint="eastAsia" w:ascii="宋体" w:hAnsi="宋体" w:eastAsia="宋体" w:cs="宋体"/>
                <w:b/>
                <w:bCs/>
                <w:sz w:val="22"/>
                <w:szCs w:val="22"/>
                <w:vertAlign w:val="baseline"/>
                <w:lang w:val="en-US" w:eastAsia="zh-CN"/>
              </w:rPr>
              <w:t>复印件加盖公章</w:t>
            </w:r>
            <w:r>
              <w:rPr>
                <w:rFonts w:hint="eastAsia" w:ascii="宋体" w:hAnsi="宋体" w:eastAsia="宋体" w:cs="宋体"/>
                <w:b/>
                <w:bCs/>
                <w:sz w:val="22"/>
                <w:szCs w:val="22"/>
                <w:vertAlign w:val="baseline"/>
                <w:lang w:eastAsia="zh-CN"/>
              </w:rPr>
              <w:t>）</w:t>
            </w:r>
            <w:r>
              <w:rPr>
                <w:rFonts w:hint="eastAsia" w:ascii="宋体" w:hAnsi="宋体" w:eastAsia="宋体" w:cs="宋体"/>
                <w:b/>
                <w:bCs/>
                <w:sz w:val="22"/>
                <w:szCs w:val="22"/>
                <w:vertAlign w:val="baseline"/>
              </w:rPr>
              <w:t>。</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3.强光手电</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3.1</w:t>
            </w:r>
            <w:r>
              <w:rPr>
                <w:rFonts w:hint="eastAsia" w:ascii="宋体" w:hAnsi="宋体" w:eastAsia="宋体" w:cs="宋体"/>
                <w:sz w:val="22"/>
                <w:szCs w:val="22"/>
              </w:rPr>
              <w:t>结构：强光手电采用尾盖开关，按钮区域分为照明键和爆闪键，外壳为防滚动圆柱形结构，由头盖组件（包括头盖、攻击头等）、筒身组件（包括筒身、隐蔽式USB充电接口）、电池、尾盖组件（包括开关组件、4格电量提示灯）及手绳（包括调节扣）组成。</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3.2</w:t>
            </w:r>
            <w:r>
              <w:rPr>
                <w:rFonts w:hint="eastAsia" w:ascii="宋体" w:hAnsi="宋体" w:eastAsia="宋体" w:cs="宋体"/>
                <w:sz w:val="22"/>
                <w:szCs w:val="22"/>
              </w:rPr>
              <w:t>尺寸：总长154.6mm±0.5mm，握柄直径27.5mm±0.5mm，头盖外径35mm±0.5mm</w:t>
            </w:r>
            <w:r>
              <w:rPr>
                <w:rFonts w:hint="eastAsia" w:ascii="宋体" w:hAnsi="宋体" w:eastAsia="宋体" w:cs="宋体"/>
                <w:sz w:val="22"/>
                <w:szCs w:val="22"/>
                <w:lang w:eastAsia="zh-CN"/>
              </w:rPr>
              <w:t>，</w:t>
            </w:r>
            <w:r>
              <w:rPr>
                <w:rFonts w:hint="eastAsia" w:ascii="宋体" w:hAnsi="宋体" w:eastAsia="宋体" w:cs="宋体"/>
                <w:sz w:val="22"/>
                <w:szCs w:val="22"/>
              </w:rPr>
              <w:t>手绳长度155mm±0.55mm。</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3.3</w:t>
            </w:r>
            <w:r>
              <w:rPr>
                <w:rFonts w:hint="eastAsia" w:ascii="宋体" w:hAnsi="宋体" w:eastAsia="宋体" w:cs="宋体"/>
                <w:sz w:val="22"/>
                <w:szCs w:val="22"/>
              </w:rPr>
              <w:t>颜色：强光手电主体为黑色，激光雕刻处为银白色，手绳为黑色。</w:t>
            </w:r>
          </w:p>
          <w:p>
            <w:pPr>
              <w:spacing w:line="360" w:lineRule="auto"/>
              <w:rPr>
                <w:rFonts w:hint="eastAsia" w:ascii="宋体" w:hAnsi="宋体" w:eastAsia="宋体" w:cs="宋体"/>
                <w:sz w:val="22"/>
                <w:szCs w:val="22"/>
              </w:rPr>
            </w:pPr>
            <w:r>
              <w:rPr>
                <w:rFonts w:hint="eastAsia" w:ascii="宋体" w:hAnsi="宋体" w:eastAsia="宋体" w:cs="宋体"/>
                <w:i w:val="0"/>
                <w:iCs w:val="0"/>
                <w:color w:val="000000"/>
                <w:kern w:val="0"/>
                <w:sz w:val="22"/>
                <w:szCs w:val="22"/>
                <w:u w:val="none"/>
                <w:lang w:val="en-US" w:eastAsia="zh-CN" w:bidi="ar"/>
              </w:rPr>
              <w:t>3.4</w:t>
            </w:r>
            <w:r>
              <w:rPr>
                <w:rFonts w:hint="eastAsia" w:ascii="宋体" w:hAnsi="宋体" w:eastAsia="宋体" w:cs="宋体"/>
                <w:sz w:val="22"/>
                <w:szCs w:val="22"/>
              </w:rPr>
              <w:t>质量：≤</w:t>
            </w:r>
            <w:r>
              <w:rPr>
                <w:rFonts w:hint="eastAsia" w:ascii="宋体" w:hAnsi="宋体" w:eastAsia="宋体" w:cs="宋体"/>
                <w:sz w:val="22"/>
                <w:szCs w:val="22"/>
                <w:lang w:val="en-US" w:eastAsia="zh-CN"/>
              </w:rPr>
              <w:t>200</w:t>
            </w:r>
            <w:r>
              <w:rPr>
                <w:rFonts w:hint="eastAsia" w:ascii="宋体" w:hAnsi="宋体" w:eastAsia="宋体" w:cs="宋体"/>
                <w:sz w:val="22"/>
                <w:szCs w:val="22"/>
              </w:rPr>
              <w:t>g。</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3.5</w:t>
            </w:r>
            <w:r>
              <w:rPr>
                <w:rFonts w:hint="eastAsia" w:ascii="宋体" w:hAnsi="宋体" w:eastAsia="宋体" w:cs="宋体"/>
                <w:sz w:val="22"/>
                <w:szCs w:val="22"/>
              </w:rPr>
              <w:t>电池兼容性：强光手电使用1节18650锂离子充电电池、3节AAA碱性电池或1节AA碱性电池，应互相兼容。</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3.6</w:t>
            </w:r>
            <w:r>
              <w:rPr>
                <w:rFonts w:hint="eastAsia" w:ascii="宋体" w:hAnsi="宋体" w:eastAsia="宋体" w:cs="宋体"/>
                <w:sz w:val="22"/>
                <w:szCs w:val="22"/>
              </w:rPr>
              <w:t>强光初始通光量：≥</w:t>
            </w:r>
            <w:r>
              <w:rPr>
                <w:rFonts w:hint="eastAsia" w:ascii="宋体" w:hAnsi="宋体" w:eastAsia="宋体" w:cs="宋体"/>
                <w:sz w:val="22"/>
                <w:szCs w:val="22"/>
                <w:lang w:val="en-US" w:eastAsia="zh-CN"/>
              </w:rPr>
              <w:t>210</w:t>
            </w:r>
            <w:r>
              <w:rPr>
                <w:rFonts w:hint="eastAsia" w:ascii="宋体" w:hAnsi="宋体" w:eastAsia="宋体" w:cs="宋体"/>
                <w:sz w:val="22"/>
                <w:szCs w:val="22"/>
              </w:rPr>
              <w:t xml:space="preserve"> lm。</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3.7</w:t>
            </w:r>
            <w:r>
              <w:rPr>
                <w:rFonts w:hint="eastAsia" w:ascii="宋体" w:hAnsi="宋体" w:eastAsia="宋体" w:cs="宋体"/>
                <w:sz w:val="22"/>
                <w:szCs w:val="22"/>
              </w:rPr>
              <w:t>强光初始照度：≥</w:t>
            </w:r>
            <w:r>
              <w:rPr>
                <w:rFonts w:hint="eastAsia" w:ascii="宋体" w:hAnsi="宋体" w:eastAsia="宋体" w:cs="宋体"/>
                <w:sz w:val="22"/>
                <w:szCs w:val="22"/>
                <w:lang w:val="en-US" w:eastAsia="zh-CN"/>
              </w:rPr>
              <w:t>230</w:t>
            </w:r>
            <w:r>
              <w:rPr>
                <w:rFonts w:hint="eastAsia" w:ascii="宋体" w:hAnsi="宋体" w:eastAsia="宋体" w:cs="宋体"/>
                <w:sz w:val="22"/>
                <w:szCs w:val="22"/>
              </w:rPr>
              <w:t xml:space="preserve"> lx。</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3.8</w:t>
            </w:r>
            <w:r>
              <w:rPr>
                <w:rFonts w:hint="eastAsia" w:ascii="宋体" w:hAnsi="宋体" w:eastAsia="宋体" w:cs="宋体"/>
                <w:sz w:val="22"/>
                <w:szCs w:val="22"/>
              </w:rPr>
              <w:t>强光照明时间：使用18650锂电子充电电池，在完全充电状态下强光手电进入强光模式，连续照明300min，距光源5m处光斑中心照度值≥20</w:t>
            </w:r>
            <w:r>
              <w:rPr>
                <w:rFonts w:hint="eastAsia" w:ascii="宋体" w:hAnsi="宋体" w:eastAsia="宋体" w:cs="宋体"/>
                <w:sz w:val="22"/>
                <w:szCs w:val="22"/>
                <w:lang w:val="en-US" w:eastAsia="zh-CN"/>
              </w:rPr>
              <w:t xml:space="preserve">0 </w:t>
            </w:r>
            <w:r>
              <w:rPr>
                <w:rFonts w:hint="eastAsia" w:ascii="宋体" w:hAnsi="宋体" w:eastAsia="宋体" w:cs="宋体"/>
                <w:sz w:val="22"/>
                <w:szCs w:val="22"/>
              </w:rPr>
              <w:t>lx。</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3.9</w:t>
            </w:r>
            <w:r>
              <w:rPr>
                <w:rFonts w:hint="eastAsia" w:ascii="宋体" w:hAnsi="宋体" w:eastAsia="宋体" w:cs="宋体"/>
                <w:sz w:val="22"/>
                <w:szCs w:val="22"/>
              </w:rPr>
              <w:t>强光爆闪频率：强光手电的强光爆闪频率为9Hz～10 Hz。</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3.10</w:t>
            </w:r>
            <w:r>
              <w:rPr>
                <w:rFonts w:hint="eastAsia" w:ascii="宋体" w:hAnsi="宋体" w:eastAsia="宋体" w:cs="宋体"/>
                <w:sz w:val="22"/>
                <w:szCs w:val="22"/>
              </w:rPr>
              <w:t>光束角：强光手电的光束角为6°～9°。</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3.11</w:t>
            </w:r>
            <w:r>
              <w:rPr>
                <w:rFonts w:hint="eastAsia" w:ascii="宋体" w:hAnsi="宋体" w:eastAsia="宋体" w:cs="宋体"/>
                <w:sz w:val="22"/>
                <w:szCs w:val="22"/>
              </w:rPr>
              <w:t>外壳温升：强光手电的外壳温升≤9K。</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3.12</w:t>
            </w:r>
            <w:r>
              <w:rPr>
                <w:rFonts w:hint="eastAsia" w:ascii="宋体" w:hAnsi="宋体" w:eastAsia="宋体" w:cs="宋体"/>
                <w:sz w:val="22"/>
                <w:szCs w:val="22"/>
              </w:rPr>
              <w:t>电量提示功能：强光手电设置4格电量提示灯，使用18650锂离子充电电池在开启或关闭光源时，提示灯点亮，显示剩余电量状态。</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3.13</w:t>
            </w:r>
            <w:r>
              <w:rPr>
                <w:rFonts w:hint="eastAsia" w:ascii="宋体" w:hAnsi="宋体" w:eastAsia="宋体" w:cs="宋体"/>
                <w:sz w:val="22"/>
                <w:szCs w:val="22"/>
              </w:rPr>
              <w:t>外壳强度：≥980N的径向压力后，强光手电不变形，能正常使用，开关工作模式转换功能正常。</w:t>
            </w:r>
          </w:p>
          <w:p>
            <w:pPr>
              <w:spacing w:line="360" w:lineRule="auto"/>
              <w:rPr>
                <w:rFonts w:hint="eastAsia" w:ascii="宋体" w:hAnsi="宋体" w:eastAsia="宋体" w:cs="宋体"/>
                <w:sz w:val="22"/>
                <w:szCs w:val="22"/>
              </w:rPr>
            </w:pPr>
            <w:r>
              <w:rPr>
                <w:rFonts w:hint="eastAsia" w:ascii="宋体" w:hAnsi="宋体" w:eastAsia="宋体" w:cs="宋体"/>
                <w:i w:val="0"/>
                <w:iCs w:val="0"/>
                <w:color w:val="000000"/>
                <w:kern w:val="0"/>
                <w:sz w:val="22"/>
                <w:szCs w:val="22"/>
                <w:u w:val="none"/>
                <w:lang w:val="en-US" w:eastAsia="zh-CN" w:bidi="ar"/>
              </w:rPr>
              <w:t>3.14</w:t>
            </w:r>
            <w:r>
              <w:rPr>
                <w:rFonts w:hint="eastAsia" w:ascii="宋体" w:hAnsi="宋体" w:eastAsia="宋体" w:cs="宋体"/>
                <w:sz w:val="22"/>
                <w:szCs w:val="22"/>
              </w:rPr>
              <w:t>手绳强度：手绳承受≥80N的拉力无断裂。</w:t>
            </w:r>
          </w:p>
          <w:p>
            <w:pPr>
              <w:spacing w:line="360" w:lineRule="auto"/>
              <w:rPr>
                <w:rFonts w:hint="eastAsia" w:ascii="宋体" w:hAnsi="宋体" w:eastAsia="宋体" w:cs="宋体"/>
                <w:sz w:val="22"/>
                <w:szCs w:val="22"/>
              </w:rPr>
            </w:pPr>
            <w:r>
              <w:rPr>
                <w:rFonts w:hint="eastAsia" w:ascii="宋体" w:hAnsi="宋体" w:eastAsia="宋体" w:cs="宋体"/>
                <w:i w:val="0"/>
                <w:iCs w:val="0"/>
                <w:color w:val="000000"/>
                <w:kern w:val="0"/>
                <w:sz w:val="22"/>
                <w:szCs w:val="22"/>
                <w:u w:val="none"/>
                <w:lang w:val="en-US" w:eastAsia="zh-CN" w:bidi="ar"/>
              </w:rPr>
              <w:t>3.15</w:t>
            </w:r>
            <w:r>
              <w:rPr>
                <w:rFonts w:hint="eastAsia" w:ascii="宋体" w:hAnsi="宋体" w:eastAsia="宋体" w:cs="宋体"/>
                <w:sz w:val="22"/>
                <w:szCs w:val="22"/>
              </w:rPr>
              <w:t>碎玻璃功能：攻击头的氮化硅球部位能击碎≥8mm厚钢化玻璃，氮化硅球不掉洛，不碎裂，开关工作模式转换功能正常。</w:t>
            </w:r>
          </w:p>
          <w:p>
            <w:pPr>
              <w:spacing w:line="360" w:lineRule="auto"/>
              <w:rPr>
                <w:rFonts w:hint="eastAsia" w:ascii="宋体" w:hAnsi="宋体" w:eastAsia="宋体" w:cs="宋体"/>
                <w:sz w:val="22"/>
                <w:szCs w:val="22"/>
              </w:rPr>
            </w:pPr>
            <w:r>
              <w:rPr>
                <w:rFonts w:hint="eastAsia" w:ascii="宋体" w:hAnsi="宋体" w:eastAsia="宋体" w:cs="宋体"/>
                <w:i w:val="0"/>
                <w:iCs w:val="0"/>
                <w:color w:val="000000"/>
                <w:kern w:val="0"/>
                <w:sz w:val="22"/>
                <w:szCs w:val="22"/>
                <w:u w:val="none"/>
                <w:lang w:val="en-US" w:eastAsia="zh-CN" w:bidi="ar"/>
              </w:rPr>
              <w:t>3.16</w:t>
            </w:r>
            <w:r>
              <w:rPr>
                <w:rFonts w:hint="eastAsia" w:ascii="宋体" w:hAnsi="宋体" w:eastAsia="宋体" w:cs="宋体"/>
                <w:sz w:val="22"/>
                <w:szCs w:val="22"/>
              </w:rPr>
              <w:t>跌落可靠性：强光手电以水平状态、头部向下状态和尾部向下3种姿态，从≥2m高度自由跌落至水泥地面上，各试验3次，强光手电无裂纹、破碎，氮化硅球不脱落，开关工作模式转换功能正常。</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3.17</w:t>
            </w:r>
            <w:r>
              <w:rPr>
                <w:rFonts w:hint="eastAsia" w:ascii="宋体" w:hAnsi="宋体" w:eastAsia="宋体" w:cs="宋体"/>
                <w:sz w:val="22"/>
                <w:szCs w:val="22"/>
              </w:rPr>
              <w:t>防水性能：强光手电在0.5m深度水中进行防水试验≥2h，内部不应进水，且开关工作模式转换功能正常。</w:t>
            </w:r>
          </w:p>
          <w:p>
            <w:pPr>
              <w:spacing w:line="360" w:lineRule="auto"/>
              <w:rPr>
                <w:rFonts w:hint="eastAsia" w:ascii="宋体" w:hAnsi="宋体" w:eastAsia="宋体" w:cs="宋体"/>
                <w:sz w:val="22"/>
                <w:szCs w:val="22"/>
              </w:rPr>
            </w:pPr>
            <w:r>
              <w:rPr>
                <w:rFonts w:hint="eastAsia" w:ascii="宋体" w:hAnsi="宋体" w:eastAsia="宋体" w:cs="宋体"/>
                <w:i w:val="0"/>
                <w:iCs w:val="0"/>
                <w:color w:val="000000"/>
                <w:kern w:val="0"/>
                <w:sz w:val="22"/>
                <w:szCs w:val="22"/>
                <w:u w:val="none"/>
                <w:lang w:val="en-US" w:eastAsia="zh-CN" w:bidi="ar"/>
              </w:rPr>
              <w:t>3.18</w:t>
            </w:r>
            <w:r>
              <w:rPr>
                <w:rFonts w:hint="eastAsia" w:ascii="宋体" w:hAnsi="宋体" w:eastAsia="宋体" w:cs="宋体"/>
                <w:sz w:val="22"/>
                <w:szCs w:val="22"/>
              </w:rPr>
              <w:t>开关耐久性：对照明键爆闪键分别触压≥50000次，开关按键正常，且开关工作模式转换功能正常。</w:t>
            </w:r>
          </w:p>
          <w:p>
            <w:pPr>
              <w:spacing w:line="360" w:lineRule="auto"/>
              <w:rPr>
                <w:rFonts w:hint="eastAsia" w:ascii="宋体" w:hAnsi="宋体" w:eastAsia="宋体" w:cs="宋体"/>
                <w:sz w:val="22"/>
                <w:szCs w:val="22"/>
              </w:rPr>
            </w:pPr>
            <w:r>
              <w:rPr>
                <w:rFonts w:hint="eastAsia" w:ascii="宋体" w:hAnsi="宋体" w:eastAsia="宋体" w:cs="宋体"/>
                <w:i w:val="0"/>
                <w:iCs w:val="0"/>
                <w:color w:val="000000"/>
                <w:kern w:val="0"/>
                <w:sz w:val="22"/>
                <w:szCs w:val="22"/>
                <w:u w:val="none"/>
                <w:lang w:val="en-US" w:eastAsia="zh-CN" w:bidi="ar"/>
              </w:rPr>
              <w:t>3.19</w:t>
            </w:r>
            <w:r>
              <w:rPr>
                <w:rFonts w:hint="eastAsia" w:ascii="宋体" w:hAnsi="宋体" w:eastAsia="宋体" w:cs="宋体"/>
                <w:sz w:val="22"/>
                <w:szCs w:val="22"/>
              </w:rPr>
              <w:t>充电插头连接可靠性：充电插头插拔≥5000次，不应变形，且能正常充电。</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3.20</w:t>
            </w:r>
            <w:r>
              <w:rPr>
                <w:rFonts w:hint="eastAsia" w:ascii="宋体" w:hAnsi="宋体" w:eastAsia="宋体" w:cs="宋体"/>
                <w:sz w:val="22"/>
                <w:szCs w:val="22"/>
              </w:rPr>
              <w:t>低温性能：强光手电在温度-20℃±2℃的环境下，持续放置2h，开关工作模式转换功能正常。</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3.21</w:t>
            </w:r>
            <w:r>
              <w:rPr>
                <w:rFonts w:hint="eastAsia" w:ascii="宋体" w:hAnsi="宋体" w:eastAsia="宋体" w:cs="宋体"/>
                <w:sz w:val="22"/>
                <w:szCs w:val="22"/>
              </w:rPr>
              <w:t>湿热性能：强光手电在温度45℃±2℃、湿度95%±2%RH的环境下，持续放置48h，开关工作模式转换功能正常。</w:t>
            </w:r>
          </w:p>
          <w:p>
            <w:p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3.22执行标准：GA 883-2018《公安单警装备 强光手电》</w:t>
            </w:r>
          </w:p>
          <w:p>
            <w:pPr>
              <w:pStyle w:val="60"/>
              <w:spacing w:line="360" w:lineRule="auto"/>
              <w:ind w:left="0" w:leftChars="0" w:firstLine="0" w:firstLineChars="0"/>
              <w:jc w:val="left"/>
              <w:rPr>
                <w:rFonts w:hint="eastAsia" w:ascii="宋体" w:hAnsi="宋体" w:eastAsia="宋体" w:cs="宋体"/>
                <w:b/>
                <w:bCs/>
                <w:sz w:val="22"/>
                <w:szCs w:val="22"/>
                <w:vertAlign w:val="baseline"/>
              </w:rPr>
            </w:pPr>
            <w:r>
              <w:rPr>
                <w:rFonts w:hint="eastAsia" w:ascii="宋体" w:hAnsi="宋体" w:eastAsia="宋体" w:cs="宋体"/>
                <w:b/>
                <w:bCs/>
                <w:sz w:val="22"/>
                <w:szCs w:val="22"/>
                <w:vertAlign w:val="baseline"/>
              </w:rPr>
              <w:t>需提供公安部检测机构出具的产品检测报告</w:t>
            </w:r>
            <w:r>
              <w:rPr>
                <w:rFonts w:hint="eastAsia" w:ascii="宋体" w:hAnsi="宋体" w:eastAsia="宋体" w:cs="宋体"/>
                <w:b/>
                <w:bCs/>
                <w:sz w:val="22"/>
                <w:szCs w:val="22"/>
                <w:vertAlign w:val="baseline"/>
                <w:lang w:eastAsia="zh-CN"/>
              </w:rPr>
              <w:t>（</w:t>
            </w:r>
            <w:r>
              <w:rPr>
                <w:rFonts w:hint="eastAsia" w:ascii="宋体" w:hAnsi="宋体" w:eastAsia="宋体" w:cs="宋体"/>
                <w:b/>
                <w:bCs/>
                <w:sz w:val="22"/>
                <w:szCs w:val="22"/>
                <w:vertAlign w:val="baseline"/>
                <w:lang w:val="en-US" w:eastAsia="zh-CN"/>
              </w:rPr>
              <w:t>复印件加盖公章</w:t>
            </w:r>
            <w:r>
              <w:rPr>
                <w:rFonts w:hint="eastAsia" w:ascii="宋体" w:hAnsi="宋体" w:eastAsia="宋体" w:cs="宋体"/>
                <w:b/>
                <w:bCs/>
                <w:sz w:val="22"/>
                <w:szCs w:val="22"/>
                <w:vertAlign w:val="baseline"/>
                <w:lang w:eastAsia="zh-CN"/>
              </w:rPr>
              <w:t>）</w:t>
            </w:r>
            <w:r>
              <w:rPr>
                <w:rFonts w:hint="eastAsia" w:ascii="宋体" w:hAnsi="宋体" w:eastAsia="宋体" w:cs="宋体"/>
                <w:b/>
                <w:bCs/>
                <w:sz w:val="22"/>
                <w:szCs w:val="22"/>
                <w:vertAlign w:val="baseline"/>
              </w:rPr>
              <w:t>。</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4.催泪喷射器</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4.1结构：竖喷型催泪喷射器由保险盖、扭簧、转轴、喷嘴、压套、支撑套、支撑盖、内罐、囊袋组件、催泪剂溶液、外罐等零部件组成。</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4.2尺寸：高188.5mm±0.5mm，筒身最大外径为40mm±0.5mm，外罐外径为37.5mm±0.5mm。观察窗的尺寸为宽8mm±0.5mm，高80 mm±0.5mm。</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4.3颜色：催泪喷射器主体颜色为黑色，喷嘴颜色为白色，催泪剂溶液颜色为蓝色。</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4.4质量：185g±5g</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4.5催泪剂溶液：催泪剂溶液体积为70ml±1ml，包含溶质（合成辣椒素）和溶剂；合成辣椒素含量为1.5%～2.0%。</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▲4.6连续喷射性能：催泪喷射器喷射为定向射流状，喷射距离≥4.5m，有效喷射时间≥10s，完全喷射后剩余溶液量≤0.8ml。</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4.7间断喷射性能：催泪喷射器有效喷射3s后，放置8h后再次进行喷射，喷射距离≥3m，喷射距离达到3m的时间≥7.2s。完全喷射后剩余溶液量≤0.8ml。</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4.8承压安全性能：≥980N。</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4.9保险盖可靠性能：保险盖重复启闭≥100次可正常使用，且喷射性能符合要求。</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4.10温度适应性：-30℃～+55℃。</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4.11执行标准：GA 884-2018 《公安单警装备 催泪喷射器》</w:t>
            </w:r>
          </w:p>
          <w:p>
            <w:pPr>
              <w:pStyle w:val="60"/>
              <w:spacing w:line="360" w:lineRule="auto"/>
              <w:ind w:left="0" w:leftChars="0" w:firstLine="0" w:firstLineChars="0"/>
              <w:jc w:val="left"/>
              <w:rPr>
                <w:rFonts w:hint="eastAsia" w:ascii="宋体" w:hAnsi="宋体" w:eastAsia="宋体" w:cs="宋体"/>
                <w:b/>
                <w:bCs/>
                <w:sz w:val="22"/>
                <w:szCs w:val="22"/>
                <w:vertAlign w:val="baseline"/>
              </w:rPr>
            </w:pPr>
            <w:r>
              <w:rPr>
                <w:rFonts w:hint="eastAsia" w:ascii="宋体" w:hAnsi="宋体" w:eastAsia="宋体" w:cs="宋体"/>
                <w:b/>
                <w:bCs/>
                <w:sz w:val="22"/>
                <w:szCs w:val="22"/>
                <w:vertAlign w:val="baseline"/>
              </w:rPr>
              <w:t>需提供公安部检测机构出具的产品检测报告</w:t>
            </w:r>
            <w:r>
              <w:rPr>
                <w:rFonts w:hint="eastAsia" w:ascii="宋体" w:hAnsi="宋体" w:eastAsia="宋体" w:cs="宋体"/>
                <w:b/>
                <w:bCs/>
                <w:sz w:val="22"/>
                <w:szCs w:val="22"/>
                <w:vertAlign w:val="baseline"/>
                <w:lang w:eastAsia="zh-CN"/>
              </w:rPr>
              <w:t>（</w:t>
            </w:r>
            <w:r>
              <w:rPr>
                <w:rFonts w:hint="eastAsia" w:ascii="宋体" w:hAnsi="宋体" w:eastAsia="宋体" w:cs="宋体"/>
                <w:b/>
                <w:bCs/>
                <w:sz w:val="22"/>
                <w:szCs w:val="22"/>
                <w:vertAlign w:val="baseline"/>
                <w:lang w:val="en-US" w:eastAsia="zh-CN"/>
              </w:rPr>
              <w:t>复印件加盖公章</w:t>
            </w:r>
            <w:r>
              <w:rPr>
                <w:rFonts w:hint="eastAsia" w:ascii="宋体" w:hAnsi="宋体" w:eastAsia="宋体" w:cs="宋体"/>
                <w:b/>
                <w:bCs/>
                <w:sz w:val="22"/>
                <w:szCs w:val="22"/>
                <w:vertAlign w:val="baseline"/>
                <w:lang w:eastAsia="zh-CN"/>
              </w:rPr>
              <w:t>）</w:t>
            </w:r>
            <w:r>
              <w:rPr>
                <w:rFonts w:hint="eastAsia" w:ascii="宋体" w:hAnsi="宋体" w:eastAsia="宋体" w:cs="宋体"/>
                <w:b/>
                <w:bCs/>
                <w:sz w:val="22"/>
                <w:szCs w:val="22"/>
                <w:vertAlign w:val="baseline"/>
              </w:rPr>
              <w:t>。</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5.手铐</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▲5.1金属手铐铐体与扇梁铆接处晃动量：≤0.05mm。</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5.2结构：金属手铐由左、右铐体和三排齿的扇梁、链座、链环、钥匙等组成。</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5.3尺寸：铐体间距L：（52～56）mm，啮合三尺状态下手铐的最小孔径H：（55±2）mm，啮合三尺状态下手铐的最大孔径B：（82±2）mm。</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5.4颜色：金属手铐铐体表面颜色为烁金色，左、右铐体颜色一致，无明显色差；扇梁为亚光银色。</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5.5质量：≤230g。</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5.6反锁定位：金属手铐在锁闭并反锁定位状态下施加≥3500N静压力，不出现啮合松动或失效现象。</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5.7防拨性能：金属手铐的三个锁齿相互独立，在拨动任意一个锁齿时，其余两个锁齿不联动。金属手铐在锁闭状态下，防拨净工作时间应大于或等于2min。</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5.8啮合强度：金属手铐啮合牢固可靠，不能被逆向拉开。</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5.9纵向静拉力：金属手铐在锁闭状态下，施加≥3500N纵向静拉力并保持30s，金属手铐不应被拉开，试验后铐体上不应有永久性变形或裂纹。</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5.10横向静拉力：金属手铐在锁闭状态下，施加≥3500N横向静拉力并保持30s，金属手铐不应被打开，试验过程中金属手铐不应被打开，试验后铐体上不应有永久性变形或裂纹，符合灵活性的要求。</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5.11固定连接件强度：对金属手铐的扇梁铆钉施加≥4500N静拉力，保持30s，试验后固定连接件不松脱，符合灵活性的要求。</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5.12钥匙强度：对金属手铐的钥匙施加≥4Nm的扭矩，保持30s，试验后钥匙不出现变形、断裂，且符合灵活性的要求。</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5.13铐体强度：金属手铐在锁闭状态下，对铐体施加≥25Nm的扭矩，保持30s，试验后铐体与扇梁不脱离，且符合灵活性的要求。</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5.14耐用度：金属手铐用钥匙正常开启，锁闭为一个循环，经过≥15000次循环（每1000次循环后反锁定位1次）。</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5.15跌落可靠性：≥2m高度处自由跌落至水泥地面后，符合灵活性的要求。</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5.16耐腐蚀性：≥9级。</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5.17执行标准：GA1512-2018《公安单警装备 金属手铐》</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需提供公安部检测机构出具的产品检测报告（复印件加盖公章）。</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需提供不低于6年1500万元产品责任保险（复印件加盖公章）。</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6.伸缩警棍</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6.1</w:t>
            </w:r>
            <w:r>
              <w:rPr>
                <w:rFonts w:hint="eastAsia" w:ascii="宋体" w:hAnsi="宋体" w:eastAsia="宋体" w:cs="宋体"/>
                <w:sz w:val="22"/>
                <w:szCs w:val="22"/>
              </w:rPr>
              <w:t>结构：伸缩警棍由小管组件、中管组件、握把组件和开关组件组成。</w:t>
            </w:r>
          </w:p>
          <w:p>
            <w:pPr>
              <w:spacing w:line="360" w:lineRule="auto"/>
              <w:rPr>
                <w:rFonts w:hint="eastAsia" w:ascii="宋体" w:hAnsi="宋体" w:eastAsia="宋体" w:cs="宋体"/>
                <w:sz w:val="22"/>
                <w:szCs w:val="22"/>
                <w:lang w:eastAsia="zh-CN"/>
              </w:rPr>
            </w:pPr>
            <w:r>
              <w:rPr>
                <w:rFonts w:hint="eastAsia" w:ascii="宋体" w:hAnsi="宋体" w:eastAsia="宋体" w:cs="宋体"/>
                <w:sz w:val="22"/>
                <w:szCs w:val="22"/>
                <w:lang w:val="en-US" w:eastAsia="zh-CN"/>
              </w:rPr>
              <w:t>6.2尺寸：</w:t>
            </w:r>
            <w:r>
              <w:rPr>
                <w:rFonts w:hint="eastAsia" w:ascii="宋体" w:hAnsi="宋体" w:eastAsia="宋体" w:cs="宋体"/>
                <w:sz w:val="22"/>
                <w:szCs w:val="22"/>
              </w:rPr>
              <w:t>收回长度224mm±</w:t>
            </w:r>
            <w:r>
              <w:rPr>
                <w:rFonts w:hint="eastAsia" w:ascii="宋体" w:hAnsi="宋体" w:eastAsia="宋体" w:cs="宋体"/>
                <w:sz w:val="22"/>
                <w:szCs w:val="22"/>
                <w:lang w:val="en-US" w:eastAsia="zh-CN"/>
              </w:rPr>
              <w:t>2</w:t>
            </w:r>
            <w:r>
              <w:rPr>
                <w:rFonts w:hint="eastAsia" w:ascii="宋体" w:hAnsi="宋体" w:eastAsia="宋体" w:cs="宋体"/>
                <w:sz w:val="22"/>
                <w:szCs w:val="22"/>
              </w:rPr>
              <w:t>mm</w:t>
            </w:r>
            <w:r>
              <w:rPr>
                <w:rFonts w:hint="eastAsia" w:ascii="宋体" w:hAnsi="宋体" w:eastAsia="宋体" w:cs="宋体"/>
                <w:sz w:val="22"/>
                <w:szCs w:val="22"/>
                <w:lang w:eastAsia="zh-CN"/>
              </w:rPr>
              <w:t>；</w:t>
            </w:r>
            <w:r>
              <w:rPr>
                <w:rFonts w:hint="eastAsia" w:ascii="宋体" w:hAnsi="宋体" w:eastAsia="宋体" w:cs="宋体"/>
                <w:sz w:val="22"/>
                <w:szCs w:val="22"/>
              </w:rPr>
              <w:t>伸展长度508mm±</w:t>
            </w:r>
            <w:r>
              <w:rPr>
                <w:rFonts w:hint="eastAsia" w:ascii="宋体" w:hAnsi="宋体" w:eastAsia="宋体" w:cs="宋体"/>
                <w:sz w:val="22"/>
                <w:szCs w:val="22"/>
                <w:lang w:val="en-US" w:eastAsia="zh-CN"/>
              </w:rPr>
              <w:t>2</w:t>
            </w:r>
            <w:r>
              <w:rPr>
                <w:rFonts w:hint="eastAsia" w:ascii="宋体" w:hAnsi="宋体" w:eastAsia="宋体" w:cs="宋体"/>
                <w:sz w:val="22"/>
                <w:szCs w:val="22"/>
              </w:rPr>
              <w:t>mm</w:t>
            </w:r>
            <w:r>
              <w:rPr>
                <w:rFonts w:hint="eastAsia" w:ascii="宋体" w:hAnsi="宋体" w:eastAsia="宋体" w:cs="宋体"/>
                <w:sz w:val="22"/>
                <w:szCs w:val="22"/>
                <w:lang w:eastAsia="zh-CN"/>
              </w:rPr>
              <w:t>；</w:t>
            </w:r>
            <w:r>
              <w:rPr>
                <w:rFonts w:hint="eastAsia" w:ascii="宋体" w:hAnsi="宋体" w:eastAsia="宋体" w:cs="宋体"/>
                <w:sz w:val="22"/>
                <w:szCs w:val="22"/>
              </w:rPr>
              <w:t>握把外径φ26.5mm±0.1mm</w:t>
            </w:r>
            <w:r>
              <w:rPr>
                <w:rFonts w:hint="eastAsia" w:ascii="宋体" w:hAnsi="宋体" w:eastAsia="宋体" w:cs="宋体"/>
                <w:sz w:val="22"/>
                <w:szCs w:val="22"/>
                <w:lang w:eastAsia="zh-CN"/>
              </w:rPr>
              <w:t>；</w:t>
            </w:r>
            <w:r>
              <w:rPr>
                <w:rFonts w:hint="eastAsia" w:ascii="宋体" w:hAnsi="宋体" w:eastAsia="宋体" w:cs="宋体"/>
                <w:sz w:val="22"/>
                <w:szCs w:val="22"/>
              </w:rPr>
              <w:t>中管外径φ20.5mm±0.1mm</w:t>
            </w:r>
            <w:r>
              <w:rPr>
                <w:rFonts w:hint="eastAsia" w:ascii="宋体" w:hAnsi="宋体" w:eastAsia="宋体" w:cs="宋体"/>
                <w:sz w:val="22"/>
                <w:szCs w:val="22"/>
                <w:lang w:eastAsia="zh-CN"/>
              </w:rPr>
              <w:t>；</w:t>
            </w:r>
            <w:r>
              <w:rPr>
                <w:rFonts w:hint="eastAsia" w:ascii="宋体" w:hAnsi="宋体" w:eastAsia="宋体" w:cs="宋体"/>
                <w:sz w:val="22"/>
                <w:szCs w:val="22"/>
              </w:rPr>
              <w:t>小管外径φ16mm±0.1mm</w:t>
            </w:r>
            <w:r>
              <w:rPr>
                <w:rFonts w:hint="eastAsia" w:ascii="宋体" w:hAnsi="宋体" w:eastAsia="宋体" w:cs="宋体"/>
                <w:sz w:val="22"/>
                <w:szCs w:val="22"/>
                <w:lang w:eastAsia="zh-CN"/>
              </w:rPr>
              <w:t>；</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6.3</w:t>
            </w:r>
            <w:r>
              <w:rPr>
                <w:rFonts w:hint="eastAsia" w:ascii="宋体" w:hAnsi="宋体" w:eastAsia="宋体" w:cs="宋体"/>
                <w:sz w:val="22"/>
                <w:szCs w:val="22"/>
              </w:rPr>
              <w:t>颜色：金属部件亚光黑色，握把胶套黑色,激光雕刻处颜色为银白色。</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6.4</w:t>
            </w:r>
            <w:r>
              <w:rPr>
                <w:rFonts w:hint="eastAsia" w:ascii="宋体" w:hAnsi="宋体" w:eastAsia="宋体" w:cs="宋体"/>
                <w:sz w:val="22"/>
                <w:szCs w:val="22"/>
              </w:rPr>
              <w:t>质量：</w:t>
            </w:r>
            <w:r>
              <w:rPr>
                <w:rFonts w:hint="eastAsia" w:ascii="宋体" w:hAnsi="宋体" w:eastAsia="宋体" w:cs="宋体"/>
                <w:sz w:val="22"/>
                <w:szCs w:val="22"/>
                <w:lang w:val="en-US" w:eastAsia="zh-CN"/>
              </w:rPr>
              <w:t>≤</w:t>
            </w:r>
            <w:r>
              <w:rPr>
                <w:rFonts w:hint="eastAsia" w:ascii="宋体" w:hAnsi="宋体" w:eastAsia="宋体" w:cs="宋体"/>
                <w:sz w:val="22"/>
                <w:szCs w:val="22"/>
              </w:rPr>
              <w:t>31</w:t>
            </w:r>
            <w:r>
              <w:rPr>
                <w:rFonts w:hint="eastAsia" w:ascii="宋体" w:hAnsi="宋体" w:eastAsia="宋体" w:cs="宋体"/>
                <w:sz w:val="22"/>
                <w:szCs w:val="22"/>
                <w:lang w:val="en-US" w:eastAsia="zh-CN"/>
              </w:rPr>
              <w:t>2</w:t>
            </w:r>
            <w:r>
              <w:rPr>
                <w:rFonts w:hint="eastAsia" w:ascii="宋体" w:hAnsi="宋体" w:eastAsia="宋体" w:cs="宋体"/>
                <w:sz w:val="22"/>
                <w:szCs w:val="22"/>
              </w:rPr>
              <w:t>g</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6.5</w:t>
            </w:r>
            <w:r>
              <w:rPr>
                <w:rFonts w:hint="eastAsia" w:ascii="宋体" w:hAnsi="宋体" w:eastAsia="宋体" w:cs="宋体"/>
                <w:sz w:val="22"/>
                <w:szCs w:val="22"/>
              </w:rPr>
              <w:t>防脱出性能：伸缩警棍在收回状态下，对棍头施加5N轴向拉力，不应被拉出。</w:t>
            </w:r>
          </w:p>
          <w:p>
            <w:pPr>
              <w:spacing w:line="360" w:lineRule="auto"/>
              <w:rPr>
                <w:rFonts w:hint="eastAsia" w:ascii="宋体" w:hAnsi="宋体" w:eastAsia="宋体" w:cs="宋体"/>
                <w:sz w:val="22"/>
                <w:szCs w:val="22"/>
              </w:rPr>
            </w:pPr>
            <w:r>
              <w:rPr>
                <w:rFonts w:hint="eastAsia" w:ascii="宋体" w:hAnsi="宋体" w:eastAsia="宋体" w:cs="宋体"/>
                <w:sz w:val="22"/>
                <w:szCs w:val="22"/>
              </w:rPr>
              <w:t>▲</w:t>
            </w:r>
            <w:r>
              <w:rPr>
                <w:rFonts w:hint="eastAsia" w:ascii="宋体" w:hAnsi="宋体" w:eastAsia="宋体" w:cs="宋体"/>
                <w:sz w:val="22"/>
                <w:szCs w:val="22"/>
                <w:lang w:val="en-US" w:eastAsia="zh-CN"/>
              </w:rPr>
              <w:t>6.6</w:t>
            </w:r>
            <w:r>
              <w:rPr>
                <w:rFonts w:hint="eastAsia" w:ascii="宋体" w:hAnsi="宋体" w:eastAsia="宋体" w:cs="宋体"/>
                <w:sz w:val="22"/>
                <w:szCs w:val="22"/>
              </w:rPr>
              <w:t>伸缩可靠性：拉出伸展</w:t>
            </w:r>
            <w:r>
              <w:rPr>
                <w:rFonts w:hint="eastAsia" w:ascii="宋体" w:hAnsi="宋体" w:eastAsia="宋体" w:cs="宋体"/>
                <w:sz w:val="22"/>
                <w:szCs w:val="22"/>
                <w:lang w:val="en-US" w:eastAsia="zh-CN"/>
              </w:rPr>
              <w:t>≥</w:t>
            </w:r>
            <w:r>
              <w:rPr>
                <w:rFonts w:hint="eastAsia" w:ascii="宋体" w:hAnsi="宋体" w:eastAsia="宋体" w:cs="宋体"/>
                <w:sz w:val="22"/>
                <w:szCs w:val="22"/>
              </w:rPr>
              <w:t>6000次后伸缩警棍能正常伸展和收回。甩动伸展</w:t>
            </w:r>
            <w:r>
              <w:rPr>
                <w:rFonts w:hint="eastAsia" w:ascii="宋体" w:hAnsi="宋体" w:eastAsia="宋体" w:cs="宋体"/>
                <w:sz w:val="22"/>
                <w:szCs w:val="22"/>
                <w:lang w:val="en-US" w:eastAsia="zh-CN"/>
              </w:rPr>
              <w:t>≥</w:t>
            </w:r>
            <w:r>
              <w:rPr>
                <w:rFonts w:hint="eastAsia" w:ascii="宋体" w:hAnsi="宋体" w:eastAsia="宋体" w:cs="宋体"/>
                <w:sz w:val="22"/>
                <w:szCs w:val="22"/>
              </w:rPr>
              <w:t>6000次后伸缩警棍能</w:t>
            </w:r>
            <w:r>
              <w:rPr>
                <w:rFonts w:hint="eastAsia" w:ascii="宋体" w:hAnsi="宋体" w:eastAsia="宋体" w:cs="宋体"/>
                <w:sz w:val="22"/>
                <w:szCs w:val="22"/>
                <w:lang w:val="en-US" w:eastAsia="zh-CN"/>
              </w:rPr>
              <w:t>正常</w:t>
            </w:r>
            <w:r>
              <w:rPr>
                <w:rFonts w:hint="eastAsia" w:ascii="宋体" w:hAnsi="宋体" w:eastAsia="宋体" w:cs="宋体"/>
                <w:sz w:val="22"/>
                <w:szCs w:val="22"/>
              </w:rPr>
              <w:t>伸展和收回。</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6.7</w:t>
            </w:r>
            <w:r>
              <w:rPr>
                <w:rFonts w:hint="eastAsia" w:ascii="宋体" w:hAnsi="宋体" w:eastAsia="宋体" w:cs="宋体"/>
                <w:sz w:val="22"/>
                <w:szCs w:val="22"/>
              </w:rPr>
              <w:t>轴向抗拉性能：伸缩警棍完全伸展并锁定状态下，对棍头施加轴向拉力至</w:t>
            </w:r>
            <w:r>
              <w:rPr>
                <w:rFonts w:hint="eastAsia" w:ascii="宋体" w:hAnsi="宋体" w:eastAsia="宋体" w:cs="宋体"/>
                <w:sz w:val="22"/>
                <w:szCs w:val="22"/>
                <w:lang w:val="en-US" w:eastAsia="zh-CN"/>
              </w:rPr>
              <w:t>≥</w:t>
            </w:r>
            <w:r>
              <w:rPr>
                <w:rFonts w:hint="eastAsia" w:ascii="宋体" w:hAnsi="宋体" w:eastAsia="宋体" w:cs="宋体"/>
                <w:sz w:val="22"/>
                <w:szCs w:val="22"/>
              </w:rPr>
              <w:t>1300N，并保持1min后，伸缩警棍能正常使用。</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6.8</w:t>
            </w:r>
            <w:r>
              <w:rPr>
                <w:rFonts w:hint="eastAsia" w:ascii="宋体" w:hAnsi="宋体" w:eastAsia="宋体" w:cs="宋体"/>
                <w:sz w:val="22"/>
                <w:szCs w:val="22"/>
              </w:rPr>
              <w:t>抗弯性能：伸缩警棍完全伸展并锁定状态下，对伸缩警棍的中管施加</w:t>
            </w:r>
            <w:r>
              <w:rPr>
                <w:rFonts w:hint="eastAsia" w:ascii="宋体" w:hAnsi="宋体" w:eastAsia="宋体" w:cs="宋体"/>
                <w:sz w:val="22"/>
                <w:szCs w:val="22"/>
                <w:lang w:val="en-US" w:eastAsia="zh-CN"/>
              </w:rPr>
              <w:t>≥</w:t>
            </w:r>
            <w:r>
              <w:rPr>
                <w:rFonts w:hint="eastAsia" w:ascii="宋体" w:hAnsi="宋体" w:eastAsia="宋体" w:cs="宋体"/>
                <w:sz w:val="22"/>
                <w:szCs w:val="22"/>
              </w:rPr>
              <w:t>8000N压力，并保持1min后，能正常伸展和收回。</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6.9</w:t>
            </w:r>
            <w:r>
              <w:rPr>
                <w:rFonts w:hint="eastAsia" w:ascii="宋体" w:hAnsi="宋体" w:eastAsia="宋体" w:cs="宋体"/>
                <w:sz w:val="22"/>
                <w:szCs w:val="22"/>
              </w:rPr>
              <w:t>耐击打性能：伸缩警棍完全伸展并锁定状态下，以</w:t>
            </w:r>
            <w:r>
              <w:rPr>
                <w:rFonts w:hint="eastAsia" w:ascii="宋体" w:hAnsi="宋体" w:eastAsia="宋体" w:cs="宋体"/>
                <w:sz w:val="22"/>
                <w:szCs w:val="22"/>
                <w:lang w:val="en-US" w:eastAsia="zh-CN"/>
              </w:rPr>
              <w:t>≥</w:t>
            </w:r>
            <w:r>
              <w:rPr>
                <w:rFonts w:hint="eastAsia" w:ascii="宋体" w:hAnsi="宋体" w:eastAsia="宋体" w:cs="宋体"/>
                <w:sz w:val="22"/>
                <w:szCs w:val="22"/>
              </w:rPr>
              <w:t>4000N击打力连续击打</w:t>
            </w:r>
            <w:r>
              <w:rPr>
                <w:rFonts w:hint="eastAsia" w:ascii="宋体" w:hAnsi="宋体" w:eastAsia="宋体" w:cs="宋体"/>
                <w:sz w:val="22"/>
                <w:szCs w:val="22"/>
                <w:lang w:val="en-US" w:eastAsia="zh-CN"/>
              </w:rPr>
              <w:t>≥</w:t>
            </w:r>
            <w:r>
              <w:rPr>
                <w:rFonts w:hint="eastAsia" w:ascii="宋体" w:hAnsi="宋体" w:eastAsia="宋体" w:cs="宋体"/>
                <w:sz w:val="22"/>
                <w:szCs w:val="22"/>
              </w:rPr>
              <w:t>6000次后，伸缩警棍不应断裂，棍头不应脱落，能正常伸展和收回。</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6.10</w:t>
            </w:r>
            <w:r>
              <w:rPr>
                <w:rFonts w:hint="eastAsia" w:ascii="宋体" w:hAnsi="宋体" w:eastAsia="宋体" w:cs="宋体"/>
                <w:sz w:val="22"/>
                <w:szCs w:val="22"/>
              </w:rPr>
              <w:t>极限击打性能：伸缩警棍完全伸展并锁定状态下，固定在专用击打试验机上，对钢制刀具进行击打，按</w:t>
            </w:r>
            <w:r>
              <w:rPr>
                <w:rFonts w:hint="eastAsia" w:ascii="宋体" w:hAnsi="宋体" w:eastAsia="宋体" w:cs="宋体"/>
                <w:sz w:val="22"/>
                <w:szCs w:val="22"/>
                <w:lang w:val="en-US" w:eastAsia="zh-CN"/>
              </w:rPr>
              <w:t>≥</w:t>
            </w:r>
            <w:r>
              <w:rPr>
                <w:rFonts w:hint="eastAsia" w:ascii="宋体" w:hAnsi="宋体" w:eastAsia="宋体" w:cs="宋体"/>
                <w:sz w:val="22"/>
                <w:szCs w:val="22"/>
              </w:rPr>
              <w:t>10000N的击打力值进行5次试验，击打后伸缩警棍不应断裂，棍头不应脱落，应能正常伸展和收回。</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6.11</w:t>
            </w:r>
            <w:r>
              <w:rPr>
                <w:rFonts w:hint="eastAsia" w:ascii="宋体" w:hAnsi="宋体" w:eastAsia="宋体" w:cs="宋体"/>
                <w:sz w:val="22"/>
                <w:szCs w:val="22"/>
              </w:rPr>
              <w:t>握把橡胶套防脱性能：伸缩警棍在收回状态下，在警棍套中进行插拔试验</w:t>
            </w:r>
            <w:r>
              <w:rPr>
                <w:rFonts w:hint="eastAsia" w:ascii="宋体" w:hAnsi="宋体" w:eastAsia="宋体" w:cs="宋体"/>
                <w:sz w:val="22"/>
                <w:szCs w:val="22"/>
                <w:lang w:val="en-US" w:eastAsia="zh-CN"/>
              </w:rPr>
              <w:t>≥</w:t>
            </w:r>
            <w:r>
              <w:rPr>
                <w:rFonts w:hint="eastAsia" w:ascii="宋体" w:hAnsi="宋体" w:eastAsia="宋体" w:cs="宋体"/>
                <w:sz w:val="22"/>
                <w:szCs w:val="22"/>
              </w:rPr>
              <w:t>6000次后，握把橡胶套应无卷边、翘起、鼓包、龟裂、移位等现象。</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6.12</w:t>
            </w:r>
            <w:r>
              <w:rPr>
                <w:rFonts w:hint="eastAsia" w:ascii="宋体" w:hAnsi="宋体" w:eastAsia="宋体" w:cs="宋体"/>
                <w:sz w:val="22"/>
                <w:szCs w:val="22"/>
              </w:rPr>
              <w:t>跌落可靠性：水平、正立、倒立3种姿态，从</w:t>
            </w:r>
            <w:r>
              <w:rPr>
                <w:rFonts w:hint="eastAsia" w:ascii="宋体" w:hAnsi="宋体" w:eastAsia="宋体" w:cs="宋体"/>
                <w:sz w:val="22"/>
                <w:szCs w:val="22"/>
                <w:lang w:val="en-US" w:eastAsia="zh-CN"/>
              </w:rPr>
              <w:t>≥</w:t>
            </w:r>
            <w:r>
              <w:rPr>
                <w:rFonts w:hint="eastAsia" w:ascii="宋体" w:hAnsi="宋体" w:eastAsia="宋体" w:cs="宋体"/>
                <w:sz w:val="22"/>
                <w:szCs w:val="22"/>
              </w:rPr>
              <w:t>2m高度自由跌落至水泥地面上，各试验1次，伸缩警棍能正常使用。</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6.13</w:t>
            </w:r>
            <w:r>
              <w:rPr>
                <w:rFonts w:hint="eastAsia" w:ascii="宋体" w:hAnsi="宋体" w:eastAsia="宋体" w:cs="宋体"/>
                <w:sz w:val="22"/>
                <w:szCs w:val="22"/>
              </w:rPr>
              <w:t>耐腐蚀性能：</w:t>
            </w:r>
            <w:r>
              <w:rPr>
                <w:rFonts w:hint="eastAsia" w:ascii="宋体" w:hAnsi="宋体" w:eastAsia="宋体" w:cs="宋体"/>
                <w:sz w:val="22"/>
                <w:szCs w:val="22"/>
                <w:lang w:val="en-US" w:eastAsia="zh-CN"/>
              </w:rPr>
              <w:t>≥</w:t>
            </w:r>
            <w:r>
              <w:rPr>
                <w:rFonts w:hint="eastAsia" w:ascii="宋体" w:hAnsi="宋体" w:eastAsia="宋体" w:cs="宋体"/>
                <w:sz w:val="22"/>
                <w:szCs w:val="22"/>
              </w:rPr>
              <w:t>9级。</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6.14</w:t>
            </w:r>
            <w:r>
              <w:rPr>
                <w:rFonts w:hint="eastAsia" w:ascii="宋体" w:hAnsi="宋体" w:eastAsia="宋体" w:cs="宋体"/>
                <w:sz w:val="22"/>
                <w:szCs w:val="22"/>
              </w:rPr>
              <w:t>温度适应性：-40℃～</w:t>
            </w:r>
            <w:r>
              <w:rPr>
                <w:rFonts w:hint="eastAsia" w:ascii="宋体" w:hAnsi="宋体" w:eastAsia="宋体" w:cs="宋体"/>
                <w:sz w:val="22"/>
                <w:szCs w:val="22"/>
                <w:lang w:val="en-US" w:eastAsia="zh-CN"/>
              </w:rPr>
              <w:t>+</w:t>
            </w:r>
            <w:r>
              <w:rPr>
                <w:rFonts w:hint="eastAsia" w:ascii="宋体" w:hAnsi="宋体" w:eastAsia="宋体" w:cs="宋体"/>
                <w:sz w:val="22"/>
                <w:szCs w:val="22"/>
              </w:rPr>
              <w:t>60℃。</w:t>
            </w:r>
          </w:p>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6.15</w:t>
            </w:r>
            <w:r>
              <w:rPr>
                <w:rFonts w:hint="eastAsia" w:ascii="宋体" w:hAnsi="宋体" w:eastAsia="宋体" w:cs="宋体"/>
                <w:sz w:val="22"/>
                <w:szCs w:val="22"/>
              </w:rPr>
              <w:t>防脱环跌落可靠性：水平、正立、倒立3种姿态，从</w:t>
            </w:r>
            <w:r>
              <w:rPr>
                <w:rFonts w:hint="eastAsia" w:ascii="宋体" w:hAnsi="宋体" w:eastAsia="宋体" w:cs="宋体"/>
                <w:sz w:val="22"/>
                <w:szCs w:val="22"/>
                <w:lang w:val="en-US" w:eastAsia="zh-CN"/>
              </w:rPr>
              <w:t>≥</w:t>
            </w:r>
            <w:r>
              <w:rPr>
                <w:rFonts w:hint="eastAsia" w:ascii="宋体" w:hAnsi="宋体" w:eastAsia="宋体" w:cs="宋体"/>
                <w:sz w:val="22"/>
                <w:szCs w:val="22"/>
              </w:rPr>
              <w:t>2m高度自由跌落至水泥地面上，试验3次，防脱环不应开裂、破碎。</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6.16</w:t>
            </w:r>
            <w:r>
              <w:rPr>
                <w:rFonts w:hint="eastAsia" w:ascii="宋体" w:hAnsi="宋体" w:eastAsia="宋体" w:cs="宋体"/>
                <w:sz w:val="22"/>
                <w:szCs w:val="22"/>
              </w:rPr>
              <w:t>执行标准： GA 886-2018《公安单警装备伸缩警棍》</w:t>
            </w:r>
          </w:p>
          <w:p>
            <w:pPr>
              <w:pStyle w:val="60"/>
              <w:numPr>
                <w:ilvl w:val="0"/>
                <w:numId w:val="0"/>
              </w:numPr>
              <w:spacing w:line="360" w:lineRule="auto"/>
              <w:ind w:leftChars="0"/>
              <w:rPr>
                <w:rFonts w:hint="eastAsia" w:ascii="宋体" w:hAnsi="宋体" w:eastAsia="宋体" w:cs="宋体"/>
                <w:sz w:val="22"/>
                <w:szCs w:val="22"/>
                <w:lang w:val="en-US" w:eastAsia="zh-CN"/>
              </w:rPr>
            </w:pPr>
            <w:r>
              <w:rPr>
                <w:rFonts w:hint="eastAsia" w:ascii="宋体" w:hAnsi="宋体" w:eastAsia="宋体" w:cs="宋体"/>
                <w:b/>
                <w:bCs/>
                <w:sz w:val="22"/>
                <w:szCs w:val="22"/>
                <w:lang w:val="en-US" w:eastAsia="zh-CN"/>
              </w:rPr>
              <w:t>需提供公安部检测机构出具的产品检测报告（复印件加盖公章）。</w:t>
            </w:r>
          </w:p>
        </w:tc>
        <w:tc>
          <w:tcPr>
            <w:tcW w:w="1466" w:type="dxa"/>
            <w:vAlign w:val="center"/>
          </w:tcPr>
          <w:p>
            <w:pPr>
              <w:pStyle w:val="60"/>
              <w:numPr>
                <w:ilvl w:val="0"/>
                <w:numId w:val="0"/>
              </w:numPr>
              <w:spacing w:line="360" w:lineRule="auto"/>
              <w:ind w:leftChars="0"/>
              <w:jc w:val="center"/>
              <w:rPr>
                <w:rFonts w:hint="default" w:ascii="宋体" w:hAnsi="宋体" w:eastAsia="宋体" w:cs="宋体"/>
                <w:b/>
                <w:bCs/>
                <w:sz w:val="22"/>
                <w:szCs w:val="22"/>
                <w:lang w:val="en-US" w:eastAsia="zh-CN"/>
              </w:rPr>
            </w:pPr>
            <w:r>
              <w:rPr>
                <w:rFonts w:hint="eastAsia" w:ascii="宋体" w:hAnsi="宋体" w:cs="宋体"/>
                <w:b/>
                <w:bCs/>
                <w:sz w:val="22"/>
                <w:szCs w:val="22"/>
                <w:lang w:val="en-US" w:eastAsia="zh-CN"/>
              </w:rPr>
              <w:t>100套</w:t>
            </w:r>
          </w:p>
        </w:tc>
        <w:tc>
          <w:tcPr>
            <w:tcW w:w="4050" w:type="dxa"/>
            <w:vAlign w:val="top"/>
          </w:tcPr>
          <w:p>
            <w:pPr>
              <w:pStyle w:val="60"/>
              <w:numPr>
                <w:ilvl w:val="0"/>
                <w:numId w:val="0"/>
              </w:numPr>
              <w:spacing w:line="360" w:lineRule="auto"/>
              <w:ind w:leftChars="0"/>
              <w:rPr>
                <w:rFonts w:hint="eastAsia"/>
              </w:rPr>
            </w:pPr>
          </w:p>
          <w:p>
            <w:pPr>
              <w:bidi w:val="0"/>
              <w:rPr>
                <w:rFonts w:hint="eastAsia"/>
              </w:rPr>
            </w:pPr>
          </w:p>
          <w:p>
            <w:pPr>
              <w:bidi w:val="0"/>
              <w:rPr>
                <w:rFonts w:hint="eastAsia"/>
              </w:rPr>
            </w:pPr>
          </w:p>
          <w:p>
            <w:pPr>
              <w:bidi w:val="0"/>
              <w:rPr>
                <w:rFonts w:hint="eastAsia"/>
              </w:rPr>
            </w:pPr>
          </w:p>
          <w:p>
            <w:pPr>
              <w:bidi w:val="0"/>
              <w:jc w:val="left"/>
              <w:rPr>
                <w:rFonts w:hint="eastAsia"/>
              </w:rPr>
            </w:pPr>
            <w:r>
              <w:rPr>
                <w:rFonts w:hint="eastAsia"/>
                <w:lang w:eastAsia="zh-CN"/>
              </w:rPr>
              <w:drawing>
                <wp:inline distT="0" distB="0" distL="114300" distR="114300">
                  <wp:extent cx="1108075" cy="611505"/>
                  <wp:effectExtent l="0" t="0" r="15875" b="17145"/>
                  <wp:docPr id="553" name="图片 5" descr="2020022816020000063211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5" descr="2020022816020000063211_medium"/>
                          <pic:cNvPicPr>
                            <a:picLocks noChangeAspect="1"/>
                          </pic:cNvPicPr>
                        </pic:nvPicPr>
                        <pic:blipFill>
                          <a:blip r:embed="rId27"/>
                          <a:srcRect l="5862" t="21786" r="3790" b="28322"/>
                          <a:stretch>
                            <a:fillRect/>
                          </a:stretch>
                        </pic:blipFill>
                        <pic:spPr>
                          <a:xfrm>
                            <a:off x="0" y="0"/>
                            <a:ext cx="1108075" cy="611505"/>
                          </a:xfrm>
                          <a:prstGeom prst="rect">
                            <a:avLst/>
                          </a:prstGeom>
                          <a:noFill/>
                          <a:ln>
                            <a:noFill/>
                          </a:ln>
                        </pic:spPr>
                      </pic:pic>
                    </a:graphicData>
                  </a:graphic>
                </wp:inline>
              </w:drawing>
            </w:r>
            <w:r>
              <w:fldChar w:fldCharType="begin"/>
            </w:r>
            <w:r>
              <w:instrText xml:space="preserve">INCLUDEPICTURE \d "http://www.hngtzb.com/uploads/allimg/151126/1-151126091S3257.jpg" \* MERGEFORMATINET </w:instrText>
            </w:r>
            <w:r>
              <w:fldChar w:fldCharType="separate"/>
            </w:r>
            <w:r>
              <w:drawing>
                <wp:inline distT="0" distB="0" distL="114300" distR="114300">
                  <wp:extent cx="1027430" cy="1292860"/>
                  <wp:effectExtent l="0" t="0" r="1270" b="2540"/>
                  <wp:docPr id="55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7" descr="IMG_256"/>
                          <pic:cNvPicPr>
                            <a:picLocks noChangeAspect="1"/>
                          </pic:cNvPicPr>
                        </pic:nvPicPr>
                        <pic:blipFill>
                          <a:blip r:embed="rId28"/>
                          <a:srcRect l="22501" r="24500"/>
                          <a:stretch>
                            <a:fillRect/>
                          </a:stretch>
                        </pic:blipFill>
                        <pic:spPr>
                          <a:xfrm>
                            <a:off x="0" y="0"/>
                            <a:ext cx="1027430" cy="1292860"/>
                          </a:xfrm>
                          <a:prstGeom prst="rect">
                            <a:avLst/>
                          </a:prstGeom>
                          <a:noFill/>
                          <a:ln>
                            <a:noFill/>
                          </a:ln>
                        </pic:spPr>
                      </pic:pic>
                    </a:graphicData>
                  </a:graphic>
                </wp:inline>
              </w:drawing>
            </w:r>
            <w:r>
              <w:fldChar w:fldCharType="end"/>
            </w:r>
            <w:r>
              <w:rPr>
                <w:rFonts w:hint="eastAsia"/>
                <w:lang w:val="en-US" w:eastAsia="zh-CN"/>
              </w:rPr>
              <w:drawing>
                <wp:inline distT="0" distB="0" distL="114300" distR="114300">
                  <wp:extent cx="1108710" cy="1108710"/>
                  <wp:effectExtent l="0" t="0" r="15240" b="15240"/>
                  <wp:docPr id="549" name="图片 1" descr="2020022019480001480539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1" descr="2020022019480001480539_medium"/>
                          <pic:cNvPicPr>
                            <a:picLocks noChangeAspect="1"/>
                          </pic:cNvPicPr>
                        </pic:nvPicPr>
                        <pic:blipFill>
                          <a:blip r:embed="rId29"/>
                          <a:stretch>
                            <a:fillRect/>
                          </a:stretch>
                        </pic:blipFill>
                        <pic:spPr>
                          <a:xfrm>
                            <a:off x="0" y="0"/>
                            <a:ext cx="1108710" cy="1108710"/>
                          </a:xfrm>
                          <a:prstGeom prst="rect">
                            <a:avLst/>
                          </a:prstGeom>
                          <a:noFill/>
                          <a:ln>
                            <a:noFill/>
                          </a:ln>
                        </pic:spPr>
                      </pic:pic>
                    </a:graphicData>
                  </a:graphic>
                </wp:inline>
              </w:drawing>
            </w:r>
            <w:r>
              <w:drawing>
                <wp:inline distT="0" distB="0" distL="114300" distR="114300">
                  <wp:extent cx="1167130" cy="1170305"/>
                  <wp:effectExtent l="0" t="0" r="13970" b="10795"/>
                  <wp:docPr id="470" name="图片 6" descr="1c21de5f5367986b578ca8c80dfaa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图片 6" descr="1c21de5f5367986b578ca8c80dfaac6"/>
                          <pic:cNvPicPr>
                            <a:picLocks noChangeAspect="1"/>
                          </pic:cNvPicPr>
                        </pic:nvPicPr>
                        <pic:blipFill>
                          <a:blip r:embed="rId30"/>
                          <a:stretch>
                            <a:fillRect/>
                          </a:stretch>
                        </pic:blipFill>
                        <pic:spPr>
                          <a:xfrm>
                            <a:off x="0" y="0"/>
                            <a:ext cx="1167130" cy="1170305"/>
                          </a:xfrm>
                          <a:prstGeom prst="rect">
                            <a:avLst/>
                          </a:prstGeom>
                          <a:noFill/>
                          <a:ln>
                            <a:noFill/>
                          </a:ln>
                        </pic:spPr>
                      </pic:pic>
                    </a:graphicData>
                  </a:graphic>
                </wp:inline>
              </w:drawing>
            </w:r>
            <w:r>
              <w:fldChar w:fldCharType="begin"/>
            </w:r>
            <w:r>
              <w:instrText xml:space="preserve">INCLUDEPICTURE \d "http://www.ytyuanda.com/upload/201805/thumb/1527217940.jpg" \* MERGEFORMATINET </w:instrText>
            </w:r>
            <w:r>
              <w:fldChar w:fldCharType="separate"/>
            </w:r>
            <w:r>
              <w:drawing>
                <wp:inline distT="0" distB="0" distL="114300" distR="114300">
                  <wp:extent cx="1185545" cy="664845"/>
                  <wp:effectExtent l="0" t="0" r="14605" b="1905"/>
                  <wp:docPr id="55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4" descr="IMG_256"/>
                          <pic:cNvPicPr>
                            <a:picLocks noChangeAspect="1"/>
                          </pic:cNvPicPr>
                        </pic:nvPicPr>
                        <pic:blipFill>
                          <a:blip r:embed="rId31"/>
                          <a:srcRect t="14680" b="12160"/>
                          <a:stretch>
                            <a:fillRect/>
                          </a:stretch>
                        </pic:blipFill>
                        <pic:spPr>
                          <a:xfrm>
                            <a:off x="0" y="0"/>
                            <a:ext cx="1185545" cy="664845"/>
                          </a:xfrm>
                          <a:prstGeom prst="rect">
                            <a:avLst/>
                          </a:prstGeom>
                          <a:noFill/>
                          <a:ln>
                            <a:noFill/>
                          </a:ln>
                        </pic:spPr>
                      </pic:pic>
                    </a:graphicData>
                  </a:graphic>
                </wp:inline>
              </w:drawing>
            </w:r>
            <w:r>
              <w:fldChar w:fldCharType="end"/>
            </w:r>
            <w:r>
              <w:rPr>
                <w:rFonts w:ascii="宋体" w:hAnsi="宋体" w:cs="宋体"/>
                <w:kern w:val="0"/>
                <w:sz w:val="24"/>
              </w:rPr>
              <w:drawing>
                <wp:inline distT="0" distB="0" distL="0" distR="0">
                  <wp:extent cx="1207770" cy="655955"/>
                  <wp:effectExtent l="0" t="0" r="11430" b="10795"/>
                  <wp:docPr id="343" name="图片 25" descr="C:\Users\Administrator\AppData\Roaming\Tencent\Users\121414\QQ\WinTemp\RichOle\_@K{[9X[4}JY3G)M$BS_}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25" descr="C:\Users\Administrator\AppData\Roaming\Tencent\Users\121414\QQ\WinTemp\RichOle\_@K{[9X[4}JY3G)M$BS_}D0.png"/>
                          <pic:cNvPicPr>
                            <a:picLocks noChangeAspect="1" noChangeArrowheads="1"/>
                          </pic:cNvPicPr>
                        </pic:nvPicPr>
                        <pic:blipFill>
                          <a:blip r:embed="rId32" cstate="print"/>
                          <a:srcRect/>
                          <a:stretch>
                            <a:fillRect/>
                          </a:stretch>
                        </pic:blipFill>
                        <pic:spPr>
                          <a:xfrm>
                            <a:off x="0" y="0"/>
                            <a:ext cx="1207770" cy="65595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62"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反光背心</w:t>
            </w:r>
          </w:p>
        </w:tc>
        <w:tc>
          <w:tcPr>
            <w:tcW w:w="3270" w:type="dxa"/>
            <w:vAlign w:val="top"/>
          </w:tcPr>
          <w:p>
            <w:p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▲款式：前开襟马甲式样。荧光网眼布为荧光黄色，有银白色晶格反光带和银灰色玻璃微珠反光沿条。</w:t>
            </w:r>
          </w:p>
          <w:p>
            <w:p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反光面积：晶格反光条带和玻璃微珠反光沿条的总面积≥0.2㎡</w:t>
            </w:r>
          </w:p>
          <w:p>
            <w:p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拉链平拉强力：≥620N。</w:t>
            </w:r>
          </w:p>
          <w:p>
            <w:p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锦丝搭扣带扣合强力：肩部≥10N/cm²，腰部≥10N/cm²</w:t>
            </w:r>
          </w:p>
          <w:p>
            <w:p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pH值：5～7</w:t>
            </w:r>
          </w:p>
          <w:p>
            <w:p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游离甲醛含量：不得检出</w:t>
            </w:r>
          </w:p>
          <w:p>
            <w:p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异味：无</w:t>
            </w:r>
          </w:p>
          <w:p>
            <w:p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遮盖率：≥45%</w:t>
            </w:r>
          </w:p>
          <w:p>
            <w:p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重量：150±5g/m²</w:t>
            </w:r>
          </w:p>
          <w:p>
            <w:p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顶破强力：≥850N</w:t>
            </w:r>
          </w:p>
          <w:p>
            <w:p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耐摩擦色牢度：干摩≥5级，湿摩≥5级</w:t>
            </w:r>
          </w:p>
          <w:p>
            <w:p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耐酸汗渍色牢度：变色≥5级，沾色≥5级</w:t>
            </w:r>
          </w:p>
          <w:p>
            <w:p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耐碱汗渍色牢度：变色≥5级，沾色≥5级</w:t>
            </w:r>
          </w:p>
          <w:p>
            <w:p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耐水洗色牢度：变色≥5级，沾色≥5级</w:t>
            </w:r>
          </w:p>
          <w:p>
            <w:p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耐光色牢度：≥4-5级</w:t>
            </w:r>
          </w:p>
          <w:p>
            <w:p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观察角12ˊ初始逆反射系数（cd/1x.m²）：入射角5°质量指标≥1100、入射角20°质量指标≥950、入射角 30°质量指标≥600 、入射角 40°质量指标≥250 ；</w:t>
            </w:r>
          </w:p>
          <w:p>
            <w:p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观察角 20ˊ初始逆反射系数（cd/1x.m²）：入射角5°质量指标≥750、入射角20°质量指标≥600、入射角 30°质量指标≥400、入射角40°质量指标≥250；</w:t>
            </w:r>
          </w:p>
          <w:p>
            <w:p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观察角1°初始逆反射系数（cd/1x.m²）：入射角5°质量指标≥150 、入射角20°质量指标≥140、入射角30°质量指标≥80、入射角 40°质量指标≥70；</w:t>
            </w:r>
          </w:p>
          <w:p>
            <w:p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观察角1°30ˊ初始逆反射系数（cd/1x.m²）：入射角 5°质量指标≥55 、入射角 20°质量指标≥50、入射角30°质量指标≥45、入射角40°质量指标≥30</w:t>
            </w:r>
          </w:p>
          <w:p>
            <w:p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▲淋雨逆反射系数：</w:t>
            </w:r>
            <w:r>
              <w:rPr>
                <w:rFonts w:hint="eastAsia" w:ascii="宋体" w:hAnsi="宋体" w:eastAsia="宋体" w:cs="宋体"/>
                <w:sz w:val="22"/>
                <w:szCs w:val="22"/>
              </w:rPr>
              <w:t>晶格反光带淋雨状态，在入射角为5°、观测角为12′时的逆反射系数</w:t>
            </w:r>
            <w:r>
              <w:rPr>
                <w:rFonts w:hint="eastAsia" w:ascii="宋体" w:hAnsi="宋体" w:eastAsia="宋体" w:cs="宋体"/>
                <w:sz w:val="22"/>
                <w:szCs w:val="22"/>
                <w:lang w:val="en-US" w:eastAsia="zh-CN"/>
              </w:rPr>
              <w:t>900cd/(1x*㎡)</w:t>
            </w:r>
          </w:p>
          <w:p>
            <w:p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晶格反光带挠曲≥9000次逆反射系数：≥1000cd/(1x*㎡)</w:t>
            </w:r>
          </w:p>
          <w:p>
            <w:p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晶格反光带水洗≥40次逆反射系数：≥800cd/(1x*㎡)</w:t>
            </w:r>
          </w:p>
          <w:p>
            <w:p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晶格反光带摩擦≥6200次逆反射系数：≥950 cd/(1x*㎡)</w:t>
            </w:r>
          </w:p>
          <w:p>
            <w:p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执行标准：GA446-2003《警服反光背心》</w:t>
            </w:r>
          </w:p>
          <w:p>
            <w:pPr>
              <w:pStyle w:val="60"/>
              <w:spacing w:line="360" w:lineRule="auto"/>
              <w:ind w:left="0" w:leftChars="0" w:firstLine="0" w:firstLineChars="0"/>
              <w:jc w:val="both"/>
              <w:rPr>
                <w:rFonts w:hint="eastAsia" w:ascii="宋体" w:hAnsi="宋体" w:eastAsia="宋体" w:cs="宋体"/>
                <w:b/>
                <w:bCs/>
                <w:sz w:val="22"/>
                <w:szCs w:val="22"/>
                <w:lang w:val="en-US" w:eastAsia="zh-CN"/>
              </w:rPr>
            </w:pPr>
            <w:r>
              <w:rPr>
                <w:rFonts w:hint="eastAsia" w:ascii="宋体" w:hAnsi="宋体" w:eastAsia="宋体" w:cs="宋体"/>
                <w:b/>
                <w:bCs/>
                <w:kern w:val="2"/>
                <w:sz w:val="22"/>
                <w:szCs w:val="22"/>
                <w:vertAlign w:val="baseline"/>
                <w:lang w:val="en-US" w:eastAsia="zh-CN" w:bidi="ar-SA"/>
              </w:rPr>
              <w:t>需提供公安部检测机构出具的产品检测报告（复印件加盖公章）。</w:t>
            </w:r>
          </w:p>
        </w:tc>
        <w:tc>
          <w:tcPr>
            <w:tcW w:w="1466" w:type="dxa"/>
            <w:vAlign w:val="center"/>
          </w:tcPr>
          <w:p>
            <w:pPr>
              <w:pStyle w:val="60"/>
              <w:spacing w:line="360" w:lineRule="auto"/>
              <w:ind w:left="0" w:leftChars="0" w:firstLine="0" w:firstLineChars="0"/>
              <w:jc w:val="center"/>
              <w:rPr>
                <w:rFonts w:hint="eastAsia" w:ascii="宋体" w:hAnsi="宋体" w:cs="宋体"/>
                <w:b/>
                <w:bCs/>
                <w:sz w:val="22"/>
                <w:szCs w:val="22"/>
                <w:lang w:val="en-US" w:eastAsia="zh-CN"/>
              </w:rPr>
            </w:pPr>
            <w:r>
              <w:rPr>
                <w:rFonts w:hint="eastAsia" w:ascii="宋体" w:hAnsi="宋体" w:cs="宋体"/>
                <w:b/>
                <w:bCs/>
                <w:kern w:val="2"/>
                <w:sz w:val="22"/>
                <w:szCs w:val="22"/>
                <w:vertAlign w:val="baseline"/>
                <w:lang w:val="en-US" w:eastAsia="zh-CN" w:bidi="ar-SA"/>
              </w:rPr>
              <w:t>200件</w:t>
            </w:r>
          </w:p>
        </w:tc>
        <w:tc>
          <w:tcPr>
            <w:tcW w:w="4050" w:type="dxa"/>
            <w:vAlign w:val="top"/>
          </w:tcPr>
          <w:p>
            <w:pPr>
              <w:pStyle w:val="60"/>
              <w:spacing w:line="360" w:lineRule="auto"/>
              <w:ind w:left="0" w:leftChars="0" w:firstLine="0" w:firstLineChars="0"/>
              <w:jc w:val="both"/>
              <w:rPr>
                <w:rFonts w:hint="eastAsia"/>
                <w:lang w:eastAsia="zh-CN"/>
              </w:rPr>
            </w:pPr>
            <w:r>
              <w:rPr>
                <w:rFonts w:hint="eastAsia" w:ascii="宋体" w:hAnsi="宋体" w:eastAsia="宋体" w:cs="宋体"/>
                <w:sz w:val="22"/>
                <w:szCs w:val="22"/>
                <w:lang w:eastAsia="zh-CN"/>
              </w:rPr>
              <w:drawing>
                <wp:inline distT="0" distB="0" distL="114300" distR="114300">
                  <wp:extent cx="2667000" cy="4000500"/>
                  <wp:effectExtent l="0" t="0" r="0" b="0"/>
                  <wp:docPr id="37" name="图片 37" descr="abdd597ce3d079b2f5f9475974c6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abdd597ce3d079b2f5f9475974c60b0"/>
                          <pic:cNvPicPr>
                            <a:picLocks noChangeAspect="1"/>
                          </pic:cNvPicPr>
                        </pic:nvPicPr>
                        <pic:blipFill>
                          <a:blip r:embed="rId33"/>
                          <a:stretch>
                            <a:fillRect/>
                          </a:stretch>
                        </pic:blipFill>
                        <pic:spPr>
                          <a:xfrm>
                            <a:off x="0" y="0"/>
                            <a:ext cx="2667000" cy="40005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2" w:hRule="atLeast"/>
        </w:trPr>
        <w:tc>
          <w:tcPr>
            <w:tcW w:w="662" w:type="dxa"/>
            <w:vAlign w:val="center"/>
          </w:tcPr>
          <w:p>
            <w:pPr>
              <w:keepNext w:val="0"/>
              <w:keepLines w:val="0"/>
              <w:widowControl/>
              <w:suppressLineNumbers w:val="0"/>
              <w:spacing w:line="360" w:lineRule="auto"/>
              <w:jc w:val="center"/>
              <w:textAlignment w:val="center"/>
              <w:rPr>
                <w:rFonts w:hint="eastAsia" w:ascii="宋体" w:hAnsi="宋体" w:eastAsia="宋体" w:cs="宋体"/>
                <w:sz w:val="22"/>
                <w:szCs w:val="22"/>
                <w:vertAlign w:val="baseline"/>
              </w:rPr>
            </w:pPr>
            <w:r>
              <w:rPr>
                <w:rFonts w:hint="eastAsia" w:ascii="宋体" w:hAnsi="宋体" w:eastAsia="宋体" w:cs="宋体"/>
                <w:i w:val="0"/>
                <w:iCs w:val="0"/>
                <w:color w:val="000000"/>
                <w:kern w:val="0"/>
                <w:sz w:val="22"/>
                <w:szCs w:val="22"/>
                <w:u w:val="none"/>
                <w:lang w:val="en-US" w:eastAsia="zh-CN" w:bidi="ar"/>
              </w:rPr>
              <w:t>肩灯</w:t>
            </w:r>
          </w:p>
        </w:tc>
        <w:tc>
          <w:tcPr>
            <w:tcW w:w="3270" w:type="dxa"/>
            <w:vAlign w:val="top"/>
          </w:tcPr>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外观</w:t>
            </w:r>
            <w:r>
              <w:rPr>
                <w:rFonts w:hint="eastAsia" w:ascii="宋体" w:hAnsi="宋体" w:eastAsia="宋体" w:cs="宋体"/>
                <w:sz w:val="22"/>
                <w:szCs w:val="22"/>
                <w:lang w:eastAsia="zh-CN"/>
              </w:rPr>
              <w:t>：</w:t>
            </w:r>
            <w:r>
              <w:rPr>
                <w:rFonts w:hint="eastAsia" w:ascii="宋体" w:hAnsi="宋体" w:eastAsia="宋体" w:cs="宋体"/>
                <w:sz w:val="22"/>
                <w:szCs w:val="22"/>
              </w:rPr>
              <w:t>正面两排红、蓝警示灯，侧面360°灯带环绕，有红、蓝两种发光颜色</w:t>
            </w: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采用内置可充电电池供电。</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2"/>
                <w:szCs w:val="22"/>
              </w:rPr>
            </w:pPr>
            <w:r>
              <w:rPr>
                <w:rFonts w:hint="eastAsia" w:ascii="宋体" w:hAnsi="宋体" w:eastAsia="宋体" w:cs="宋体"/>
                <w:sz w:val="22"/>
                <w:szCs w:val="22"/>
              </w:rPr>
              <w:t>规格尺寸：长≥7</w:t>
            </w:r>
            <w:r>
              <w:rPr>
                <w:rFonts w:hint="eastAsia" w:ascii="宋体" w:hAnsi="宋体" w:eastAsia="宋体" w:cs="宋体"/>
                <w:sz w:val="22"/>
                <w:szCs w:val="22"/>
                <w:lang w:val="en-US" w:eastAsia="zh-CN"/>
              </w:rPr>
              <w:t>3</w:t>
            </w:r>
            <w:r>
              <w:rPr>
                <w:rFonts w:hint="eastAsia" w:ascii="宋体" w:hAnsi="宋体" w:eastAsia="宋体" w:cs="宋体"/>
                <w:sz w:val="22"/>
                <w:szCs w:val="22"/>
              </w:rPr>
              <w:t>mm，宽≥50mm，厚度≥3</w:t>
            </w:r>
            <w:r>
              <w:rPr>
                <w:rFonts w:hint="eastAsia" w:ascii="宋体" w:hAnsi="宋体" w:eastAsia="宋体" w:cs="宋体"/>
                <w:sz w:val="22"/>
                <w:szCs w:val="22"/>
                <w:lang w:val="en-US" w:eastAsia="zh-CN"/>
              </w:rPr>
              <w:t>9</w:t>
            </w:r>
            <w:r>
              <w:rPr>
                <w:rFonts w:hint="eastAsia" w:ascii="宋体" w:hAnsi="宋体" w:eastAsia="宋体" w:cs="宋体"/>
                <w:sz w:val="22"/>
                <w:szCs w:val="22"/>
              </w:rPr>
              <w:t>mm。</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2"/>
                <w:szCs w:val="22"/>
              </w:rPr>
            </w:pPr>
            <w:r>
              <w:rPr>
                <w:rFonts w:hint="eastAsia" w:ascii="宋体" w:hAnsi="宋体" w:eastAsia="宋体" w:cs="宋体"/>
                <w:sz w:val="22"/>
                <w:szCs w:val="22"/>
              </w:rPr>
              <w:t>质量：</w:t>
            </w:r>
            <w:r>
              <w:rPr>
                <w:rFonts w:hint="eastAsia" w:ascii="宋体" w:hAnsi="宋体" w:eastAsia="宋体" w:cs="宋体"/>
                <w:sz w:val="22"/>
                <w:szCs w:val="22"/>
                <w:lang w:val="en-US" w:eastAsia="zh-CN"/>
              </w:rPr>
              <w:t>≥</w:t>
            </w:r>
            <w:r>
              <w:rPr>
                <w:rFonts w:hint="eastAsia" w:ascii="宋体" w:hAnsi="宋体" w:eastAsia="宋体" w:cs="宋体"/>
                <w:sz w:val="22"/>
                <w:szCs w:val="22"/>
              </w:rPr>
              <w:t>8</w:t>
            </w:r>
            <w:r>
              <w:rPr>
                <w:rFonts w:hint="eastAsia" w:ascii="宋体" w:hAnsi="宋体" w:eastAsia="宋体" w:cs="宋体"/>
                <w:sz w:val="22"/>
                <w:szCs w:val="22"/>
                <w:lang w:val="en-US" w:eastAsia="zh-CN"/>
              </w:rPr>
              <w:t>0</w:t>
            </w:r>
            <w:r>
              <w:rPr>
                <w:rFonts w:hint="eastAsia" w:ascii="宋体" w:hAnsi="宋体" w:eastAsia="宋体" w:cs="宋体"/>
                <w:sz w:val="22"/>
                <w:szCs w:val="22"/>
              </w:rPr>
              <w:t>g（含电池）</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2"/>
                <w:szCs w:val="22"/>
              </w:rPr>
            </w:pPr>
            <w:r>
              <w:rPr>
                <w:rFonts w:hint="eastAsia" w:ascii="宋体" w:hAnsi="宋体" w:eastAsia="宋体" w:cs="宋体"/>
                <w:sz w:val="22"/>
                <w:szCs w:val="22"/>
              </w:rPr>
              <w:t>灯体功能：具有重力感应功能，能通过感应重力自动切换垂直、水平方向的红蓝闪烁；连续两次拍打灯体可临时关闭或开启照明；内置强磁，可吸附于金属车身表面。</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2"/>
                <w:szCs w:val="22"/>
              </w:rPr>
            </w:pPr>
            <w:r>
              <w:rPr>
                <w:rFonts w:hint="eastAsia" w:ascii="宋体" w:hAnsi="宋体" w:eastAsia="宋体" w:cs="宋体"/>
                <w:sz w:val="22"/>
                <w:szCs w:val="22"/>
              </w:rPr>
              <w:t>工作模式：水平LED灯频闪、垂直LED灯频闪、LED照明灯常亮</w:t>
            </w: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LED照明灯频闪四</w:t>
            </w:r>
            <w:r>
              <w:rPr>
                <w:rFonts w:hint="eastAsia" w:ascii="宋体" w:hAnsi="宋体" w:eastAsia="宋体" w:cs="宋体"/>
                <w:sz w:val="22"/>
                <w:szCs w:val="22"/>
              </w:rPr>
              <w:t>种工作模式。</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2"/>
                <w:szCs w:val="22"/>
              </w:rPr>
            </w:pPr>
            <w:r>
              <w:rPr>
                <w:rFonts w:hint="eastAsia" w:ascii="宋体" w:hAnsi="宋体" w:eastAsia="宋体" w:cs="宋体"/>
                <w:sz w:val="22"/>
                <w:szCs w:val="22"/>
              </w:rPr>
              <w:t>灯珠数量：≥2</w:t>
            </w:r>
            <w:r>
              <w:rPr>
                <w:rFonts w:hint="eastAsia" w:ascii="宋体" w:hAnsi="宋体" w:eastAsia="宋体" w:cs="宋体"/>
                <w:sz w:val="22"/>
                <w:szCs w:val="22"/>
                <w:lang w:val="en-US" w:eastAsia="zh-CN"/>
              </w:rPr>
              <w:t>0</w:t>
            </w:r>
            <w:r>
              <w:rPr>
                <w:rFonts w:hint="eastAsia" w:ascii="宋体" w:hAnsi="宋体" w:eastAsia="宋体" w:cs="宋体"/>
                <w:sz w:val="22"/>
                <w:szCs w:val="22"/>
              </w:rPr>
              <w:t>颗</w:t>
            </w:r>
          </w:p>
          <w:p>
            <w:pPr>
              <w:pStyle w:val="60"/>
              <w:keepNext w:val="0"/>
              <w:keepLines w:val="0"/>
              <w:pageBreakBefore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充电时间：≤4h可充满。</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开关耐久性：对</w:t>
            </w:r>
            <w:r>
              <w:rPr>
                <w:rFonts w:hint="eastAsia" w:ascii="宋体" w:hAnsi="宋体" w:eastAsia="宋体" w:cs="宋体"/>
                <w:sz w:val="22"/>
                <w:szCs w:val="22"/>
                <w:lang w:val="en-US" w:eastAsia="zh-CN"/>
              </w:rPr>
              <w:t>肩灯开关</w:t>
            </w:r>
            <w:r>
              <w:rPr>
                <w:rFonts w:hint="eastAsia" w:ascii="宋体" w:hAnsi="宋体" w:eastAsia="宋体" w:cs="宋体"/>
                <w:sz w:val="22"/>
                <w:szCs w:val="22"/>
              </w:rPr>
              <w:t>触压</w:t>
            </w:r>
            <w:r>
              <w:rPr>
                <w:rFonts w:hint="eastAsia" w:ascii="宋体" w:hAnsi="宋体" w:eastAsia="宋体" w:cs="宋体"/>
                <w:sz w:val="22"/>
                <w:szCs w:val="22"/>
                <w:lang w:val="en-US" w:eastAsia="zh-CN"/>
              </w:rPr>
              <w:t>≥1</w:t>
            </w:r>
            <w:r>
              <w:rPr>
                <w:rFonts w:hint="eastAsia" w:ascii="宋体" w:hAnsi="宋体" w:eastAsia="宋体" w:cs="宋体"/>
                <w:sz w:val="22"/>
                <w:szCs w:val="22"/>
              </w:rPr>
              <w:t>00次，开关按键正常，且开关工作模式转换功能正常。</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2"/>
                <w:szCs w:val="22"/>
              </w:rPr>
            </w:pPr>
            <w:r>
              <w:rPr>
                <w:rFonts w:hint="eastAsia" w:ascii="宋体" w:hAnsi="宋体" w:eastAsia="宋体" w:cs="宋体"/>
                <w:sz w:val="22"/>
                <w:szCs w:val="22"/>
              </w:rPr>
              <w:t>夹具功能：背夹采用不锈钢背夹固定，夹子上有咬合齿</w:t>
            </w:r>
            <w:r>
              <w:rPr>
                <w:rFonts w:hint="eastAsia" w:ascii="宋体" w:hAnsi="宋体" w:eastAsia="宋体" w:cs="宋体"/>
                <w:sz w:val="22"/>
                <w:szCs w:val="22"/>
                <w:lang w:eastAsia="zh-CN"/>
              </w:rPr>
              <w:t>，</w:t>
            </w:r>
            <w:r>
              <w:rPr>
                <w:rFonts w:hint="eastAsia" w:ascii="宋体" w:hAnsi="宋体" w:eastAsia="宋体" w:cs="宋体"/>
                <w:sz w:val="22"/>
                <w:szCs w:val="22"/>
              </w:rPr>
              <w:t>夹具可360°旋转，可用于肩带、携具织带、背包、战术头盔等</w:t>
            </w:r>
            <w:r>
              <w:rPr>
                <w:rFonts w:hint="eastAsia" w:ascii="宋体" w:hAnsi="宋体" w:eastAsia="宋体" w:cs="宋体"/>
                <w:sz w:val="22"/>
                <w:szCs w:val="22"/>
                <w:lang w:val="en-US" w:eastAsia="zh-CN"/>
              </w:rPr>
              <w:t>多种搭载平台</w:t>
            </w:r>
            <w:r>
              <w:rPr>
                <w:rFonts w:hint="eastAsia" w:ascii="宋体" w:hAnsi="宋体" w:eastAsia="宋体" w:cs="宋体"/>
                <w:sz w:val="22"/>
                <w:szCs w:val="22"/>
              </w:rPr>
              <w:t>。</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2"/>
                <w:szCs w:val="22"/>
                <w:lang w:eastAsia="zh-CN"/>
              </w:rPr>
            </w:pPr>
            <w:r>
              <w:rPr>
                <w:rFonts w:hint="eastAsia" w:ascii="宋体" w:hAnsi="宋体" w:eastAsia="宋体" w:cs="宋体"/>
                <w:sz w:val="22"/>
                <w:szCs w:val="22"/>
                <w:lang w:eastAsia="zh-CN"/>
              </w:rPr>
              <w:t>▲</w:t>
            </w:r>
            <w:r>
              <w:rPr>
                <w:rFonts w:hint="eastAsia" w:ascii="宋体" w:hAnsi="宋体" w:eastAsia="宋体" w:cs="宋体"/>
                <w:sz w:val="22"/>
                <w:szCs w:val="22"/>
              </w:rPr>
              <w:t>充电接口：肩灯底部配备隐藏式Type-C接口</w:t>
            </w:r>
            <w:r>
              <w:rPr>
                <w:rFonts w:hint="eastAsia" w:ascii="宋体" w:hAnsi="宋体" w:eastAsia="宋体" w:cs="宋体"/>
                <w:sz w:val="22"/>
                <w:szCs w:val="22"/>
                <w:lang w:eastAsia="zh-CN"/>
              </w:rPr>
              <w:t>。</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2"/>
                <w:szCs w:val="22"/>
                <w:lang w:eastAsia="zh-CN"/>
              </w:rPr>
            </w:pPr>
            <w:r>
              <w:rPr>
                <w:rFonts w:hint="eastAsia" w:ascii="宋体" w:hAnsi="宋体" w:eastAsia="宋体" w:cs="宋体"/>
                <w:sz w:val="22"/>
                <w:szCs w:val="22"/>
                <w:lang w:val="en-US" w:eastAsia="zh-CN"/>
              </w:rPr>
              <w:t>电量指示：</w:t>
            </w:r>
            <w:r>
              <w:rPr>
                <w:rFonts w:hint="eastAsia" w:ascii="宋体" w:hAnsi="宋体" w:eastAsia="宋体" w:cs="宋体"/>
                <w:sz w:val="22"/>
                <w:szCs w:val="22"/>
              </w:rPr>
              <w:t>具有充电指示和低电量提示功能</w:t>
            </w:r>
            <w:r>
              <w:rPr>
                <w:rFonts w:hint="eastAsia" w:ascii="宋体" w:hAnsi="宋体" w:eastAsia="宋体" w:cs="宋体"/>
                <w:sz w:val="22"/>
                <w:szCs w:val="22"/>
                <w:lang w:eastAsia="zh-CN"/>
              </w:rPr>
              <w:t>。</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2"/>
                <w:szCs w:val="22"/>
              </w:rPr>
            </w:pPr>
            <w:r>
              <w:rPr>
                <w:rFonts w:hint="eastAsia" w:ascii="宋体" w:hAnsi="宋体" w:eastAsia="宋体" w:cs="宋体"/>
                <w:sz w:val="22"/>
                <w:szCs w:val="22"/>
                <w:lang w:val="en-US" w:eastAsia="zh-CN"/>
              </w:rPr>
              <w:t>电池：</w:t>
            </w:r>
            <w:r>
              <w:rPr>
                <w:rFonts w:hint="eastAsia" w:ascii="宋体" w:hAnsi="宋体" w:eastAsia="宋体" w:cs="宋体"/>
                <w:sz w:val="22"/>
                <w:szCs w:val="22"/>
              </w:rPr>
              <w:t>内置</w:t>
            </w:r>
            <w:r>
              <w:rPr>
                <w:rFonts w:hint="eastAsia" w:ascii="宋体" w:hAnsi="宋体" w:eastAsia="宋体" w:cs="宋体"/>
                <w:sz w:val="22"/>
                <w:szCs w:val="22"/>
                <w:lang w:val="en-US" w:eastAsia="zh-CN"/>
              </w:rPr>
              <w:t>≥</w:t>
            </w:r>
            <w:r>
              <w:rPr>
                <w:rFonts w:hint="eastAsia" w:ascii="宋体" w:hAnsi="宋体" w:eastAsia="宋体" w:cs="宋体"/>
                <w:sz w:val="22"/>
                <w:szCs w:val="22"/>
              </w:rPr>
              <w:t>6</w:t>
            </w:r>
            <w:r>
              <w:rPr>
                <w:rFonts w:hint="eastAsia" w:ascii="宋体" w:hAnsi="宋体" w:eastAsia="宋体" w:cs="宋体"/>
                <w:sz w:val="22"/>
                <w:szCs w:val="22"/>
                <w:lang w:val="en-US" w:eastAsia="zh-CN"/>
              </w:rPr>
              <w:t>5</w:t>
            </w:r>
            <w:r>
              <w:rPr>
                <w:rFonts w:hint="eastAsia" w:ascii="宋体" w:hAnsi="宋体" w:eastAsia="宋体" w:cs="宋体"/>
                <w:sz w:val="22"/>
                <w:szCs w:val="22"/>
              </w:rPr>
              <w:t>0 mAh可充电锂离子电池。</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2"/>
                <w:szCs w:val="22"/>
              </w:rPr>
            </w:pPr>
            <w:r>
              <w:rPr>
                <w:rFonts w:hint="eastAsia" w:ascii="宋体" w:hAnsi="宋体" w:eastAsia="宋体" w:cs="宋体"/>
                <w:sz w:val="22"/>
                <w:szCs w:val="22"/>
              </w:rPr>
              <w:t>工作时间：水平方向LED灯频闪连续工作时间＞</w:t>
            </w:r>
            <w:r>
              <w:rPr>
                <w:rFonts w:hint="eastAsia" w:ascii="宋体" w:hAnsi="宋体" w:eastAsia="宋体" w:cs="宋体"/>
                <w:sz w:val="22"/>
                <w:szCs w:val="22"/>
                <w:lang w:val="en-US" w:eastAsia="zh-CN"/>
              </w:rPr>
              <w:t>21</w:t>
            </w:r>
            <w:r>
              <w:rPr>
                <w:rFonts w:hint="eastAsia" w:ascii="宋体" w:hAnsi="宋体" w:eastAsia="宋体" w:cs="宋体"/>
                <w:sz w:val="22"/>
                <w:szCs w:val="22"/>
              </w:rPr>
              <w:t>h</w:t>
            </w:r>
            <w:r>
              <w:rPr>
                <w:rFonts w:hint="eastAsia" w:ascii="宋体" w:hAnsi="宋体" w:eastAsia="宋体" w:cs="宋体"/>
                <w:sz w:val="22"/>
                <w:szCs w:val="22"/>
                <w:lang w:eastAsia="zh-CN"/>
              </w:rPr>
              <w:t>；</w:t>
            </w:r>
            <w:r>
              <w:rPr>
                <w:rFonts w:hint="eastAsia" w:ascii="宋体" w:hAnsi="宋体" w:eastAsia="宋体" w:cs="宋体"/>
                <w:sz w:val="22"/>
                <w:szCs w:val="22"/>
              </w:rPr>
              <w:t>垂直方向LED灯频闪连续工作时间＞2</w:t>
            </w:r>
            <w:r>
              <w:rPr>
                <w:rFonts w:hint="eastAsia" w:ascii="宋体" w:hAnsi="宋体" w:eastAsia="宋体" w:cs="宋体"/>
                <w:sz w:val="22"/>
                <w:szCs w:val="22"/>
                <w:lang w:val="en-US" w:eastAsia="zh-CN"/>
              </w:rPr>
              <w:t>2</w:t>
            </w:r>
            <w:r>
              <w:rPr>
                <w:rFonts w:hint="eastAsia" w:ascii="宋体" w:hAnsi="宋体" w:eastAsia="宋体" w:cs="宋体"/>
                <w:sz w:val="22"/>
                <w:szCs w:val="22"/>
              </w:rPr>
              <w:t>h；LED照明灯常亮连续工作时间＞2</w:t>
            </w:r>
            <w:r>
              <w:rPr>
                <w:rFonts w:hint="eastAsia" w:ascii="宋体" w:hAnsi="宋体" w:eastAsia="宋体" w:cs="宋体"/>
                <w:sz w:val="22"/>
                <w:szCs w:val="22"/>
                <w:lang w:val="en-US" w:eastAsia="zh-CN"/>
              </w:rPr>
              <w:t>3</w:t>
            </w:r>
            <w:r>
              <w:rPr>
                <w:rFonts w:hint="eastAsia" w:ascii="宋体" w:hAnsi="宋体" w:eastAsia="宋体" w:cs="宋体"/>
                <w:sz w:val="22"/>
                <w:szCs w:val="22"/>
              </w:rPr>
              <w:t>h。</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2"/>
                <w:szCs w:val="22"/>
              </w:rPr>
            </w:pPr>
            <w:r>
              <w:rPr>
                <w:rFonts w:hint="eastAsia" w:ascii="宋体" w:hAnsi="宋体" w:eastAsia="宋体" w:cs="宋体"/>
                <w:sz w:val="22"/>
                <w:szCs w:val="22"/>
              </w:rPr>
              <w:t>夜视距离：在环境照度低于</w:t>
            </w:r>
            <w:r>
              <w:rPr>
                <w:rFonts w:hint="eastAsia" w:ascii="宋体" w:hAnsi="宋体" w:eastAsia="宋体" w:cs="宋体"/>
                <w:sz w:val="22"/>
                <w:szCs w:val="22"/>
                <w:lang w:val="en-US" w:eastAsia="zh-CN"/>
              </w:rPr>
              <w:t>45</w:t>
            </w:r>
            <w:r>
              <w:rPr>
                <w:rFonts w:hint="eastAsia" w:ascii="宋体" w:hAnsi="宋体" w:eastAsia="宋体" w:cs="宋体"/>
                <w:sz w:val="22"/>
                <w:szCs w:val="22"/>
              </w:rPr>
              <w:t xml:space="preserve"> lx，距离</w:t>
            </w:r>
            <w:r>
              <w:rPr>
                <w:rFonts w:hint="eastAsia" w:ascii="宋体" w:hAnsi="宋体" w:eastAsia="宋体" w:cs="宋体"/>
                <w:sz w:val="22"/>
                <w:szCs w:val="22"/>
                <w:lang w:val="en-US" w:eastAsia="zh-CN"/>
              </w:rPr>
              <w:t>≥</w:t>
            </w:r>
            <w:r>
              <w:rPr>
                <w:rFonts w:hint="eastAsia" w:ascii="宋体" w:hAnsi="宋体" w:eastAsia="宋体" w:cs="宋体"/>
                <w:sz w:val="22"/>
                <w:szCs w:val="22"/>
              </w:rPr>
              <w:t>0.</w:t>
            </w:r>
            <w:r>
              <w:rPr>
                <w:rFonts w:hint="eastAsia" w:ascii="宋体" w:hAnsi="宋体" w:eastAsia="宋体" w:cs="宋体"/>
                <w:sz w:val="22"/>
                <w:szCs w:val="22"/>
                <w:lang w:val="en-US" w:eastAsia="zh-CN"/>
              </w:rPr>
              <w:t>6</w:t>
            </w:r>
            <w:r>
              <w:rPr>
                <w:rFonts w:hint="eastAsia" w:ascii="宋体" w:hAnsi="宋体" w:eastAsia="宋体" w:cs="宋体"/>
                <w:sz w:val="22"/>
                <w:szCs w:val="22"/>
              </w:rPr>
              <w:t>米处可分辨灯光颜色。</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2"/>
                <w:szCs w:val="22"/>
                <w:lang w:val="en-US" w:eastAsia="zh-CN"/>
              </w:rPr>
            </w:pPr>
            <w:r>
              <w:rPr>
                <w:rFonts w:hint="eastAsia" w:ascii="宋体" w:hAnsi="宋体" w:eastAsia="宋体" w:cs="宋体"/>
                <w:sz w:val="22"/>
                <w:szCs w:val="22"/>
              </w:rPr>
              <w:t>频闪频率：</w:t>
            </w:r>
            <w:r>
              <w:rPr>
                <w:rFonts w:hint="eastAsia" w:ascii="宋体" w:hAnsi="宋体" w:eastAsia="宋体" w:cs="宋体"/>
                <w:sz w:val="22"/>
                <w:szCs w:val="22"/>
                <w:lang w:val="en-US" w:eastAsia="zh-CN"/>
              </w:rPr>
              <w:t>7</w:t>
            </w:r>
            <w:r>
              <w:rPr>
                <w:rFonts w:hint="eastAsia" w:ascii="宋体" w:hAnsi="宋体" w:eastAsia="宋体" w:cs="宋体"/>
                <w:sz w:val="22"/>
                <w:szCs w:val="22"/>
              </w:rPr>
              <w:t>Hz</w:t>
            </w:r>
            <w:r>
              <w:rPr>
                <w:rFonts w:hint="eastAsia" w:ascii="宋体" w:hAnsi="宋体" w:eastAsia="宋体" w:cs="宋体"/>
                <w:sz w:val="22"/>
                <w:szCs w:val="22"/>
                <w:lang w:val="en-US" w:eastAsia="zh-CN"/>
              </w:rPr>
              <w:t>±2</w:t>
            </w:r>
            <w:r>
              <w:rPr>
                <w:rFonts w:hint="eastAsia" w:ascii="宋体" w:hAnsi="宋体" w:eastAsia="宋体" w:cs="宋体"/>
                <w:sz w:val="22"/>
                <w:szCs w:val="22"/>
              </w:rPr>
              <w:t>Hz</w:t>
            </w:r>
          </w:p>
          <w:p>
            <w:pPr>
              <w:pStyle w:val="60"/>
              <w:keepNext w:val="0"/>
              <w:keepLines w:val="0"/>
              <w:pageBreakBefore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防摔性能：硬质水泥地面，跌落高度≥3.2m，随意任何不规则跌落≥4次，能正常使用。</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外壳防脱色性能：用酒精擦拭≥60次无脱色掉漆情况。</w:t>
            </w:r>
          </w:p>
          <w:p>
            <w:pPr>
              <w:pStyle w:val="60"/>
              <w:keepNext w:val="0"/>
              <w:keepLines w:val="0"/>
              <w:pageBreakBefore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eastAsia="zh-CN"/>
              </w:rPr>
              <w:t>▲</w:t>
            </w:r>
            <w:r>
              <w:rPr>
                <w:rFonts w:hint="eastAsia" w:ascii="宋体" w:hAnsi="宋体" w:eastAsia="宋体" w:cs="宋体"/>
                <w:sz w:val="22"/>
                <w:szCs w:val="22"/>
                <w:lang w:val="en-US" w:eastAsia="zh-CN"/>
              </w:rPr>
              <w:t>外壳防护等级：≥IP55</w:t>
            </w:r>
          </w:p>
          <w:p>
            <w:pPr>
              <w:pStyle w:val="60"/>
              <w:keepNext w:val="0"/>
              <w:keepLines w:val="0"/>
              <w:pageBreakBefore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sz w:val="22"/>
                <w:szCs w:val="22"/>
                <w:lang w:eastAsia="zh-CN"/>
              </w:rPr>
            </w:pPr>
            <w:r>
              <w:rPr>
                <w:rFonts w:hint="eastAsia" w:ascii="宋体" w:hAnsi="宋体" w:eastAsia="宋体" w:cs="宋体"/>
                <w:sz w:val="22"/>
                <w:szCs w:val="22"/>
              </w:rPr>
              <w:t>温度适应性：-</w:t>
            </w:r>
            <w:r>
              <w:rPr>
                <w:rFonts w:hint="eastAsia" w:ascii="宋体" w:hAnsi="宋体" w:eastAsia="宋体" w:cs="宋体"/>
                <w:sz w:val="22"/>
                <w:szCs w:val="22"/>
                <w:lang w:val="en-US" w:eastAsia="zh-CN"/>
              </w:rPr>
              <w:t>45</w:t>
            </w:r>
            <w:r>
              <w:rPr>
                <w:rFonts w:hint="eastAsia" w:ascii="宋体" w:hAnsi="宋体" w:eastAsia="宋体" w:cs="宋体"/>
                <w:sz w:val="22"/>
                <w:szCs w:val="22"/>
              </w:rPr>
              <w:t>℃</w:t>
            </w:r>
            <w:r>
              <w:rPr>
                <w:rFonts w:hint="eastAsia" w:ascii="宋体" w:hAnsi="宋体" w:eastAsia="宋体" w:cs="宋体"/>
                <w:sz w:val="22"/>
                <w:szCs w:val="22"/>
                <w:lang w:val="en-US" w:eastAsia="zh-CN"/>
              </w:rPr>
              <w:t>～+65</w:t>
            </w:r>
            <w:r>
              <w:rPr>
                <w:rFonts w:hint="eastAsia" w:ascii="宋体" w:hAnsi="宋体" w:eastAsia="宋体" w:cs="宋体"/>
                <w:sz w:val="22"/>
                <w:szCs w:val="22"/>
              </w:rPr>
              <w:t>℃</w:t>
            </w:r>
            <w:r>
              <w:rPr>
                <w:rFonts w:hint="eastAsia" w:ascii="宋体" w:hAnsi="宋体" w:eastAsia="宋体" w:cs="宋体"/>
                <w:sz w:val="22"/>
                <w:szCs w:val="22"/>
                <w:lang w:eastAsia="zh-CN"/>
              </w:rPr>
              <w:t>。</w:t>
            </w:r>
          </w:p>
          <w:p>
            <w:pPr>
              <w:pStyle w:val="60"/>
              <w:keepNext w:val="0"/>
              <w:keepLines w:val="0"/>
              <w:pageBreakBefore w:val="0"/>
              <w:kinsoku/>
              <w:wordWrap/>
              <w:overflowPunct/>
              <w:topLinePunct w:val="0"/>
              <w:autoSpaceDE/>
              <w:autoSpaceDN/>
              <w:bidi w:val="0"/>
              <w:adjustRightInd/>
              <w:snapToGrid/>
              <w:spacing w:line="360" w:lineRule="auto"/>
              <w:ind w:left="0" w:leftChars="0" w:firstLine="0" w:firstLineChars="0"/>
              <w:jc w:val="left"/>
              <w:textAlignment w:val="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产品特性：多功能磁吸警示灯，由警示灯、可拆卸抱夹和充电器组成，具有红蓝警闪，白光照明的功能。</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执行标准：GB/T 15211-2013《安全防范报警设备环境适应性要求和试验方法》</w:t>
            </w:r>
          </w:p>
          <w:p>
            <w:pPr>
              <w:pStyle w:val="60"/>
              <w:spacing w:line="360" w:lineRule="auto"/>
              <w:ind w:left="0" w:leftChars="0" w:firstLine="0" w:firstLineChars="0"/>
              <w:jc w:val="left"/>
              <w:rPr>
                <w:rFonts w:hint="eastAsia" w:ascii="宋体" w:hAnsi="宋体" w:eastAsia="宋体" w:cs="宋体"/>
                <w:kern w:val="2"/>
                <w:sz w:val="22"/>
                <w:szCs w:val="22"/>
                <w:lang w:val="en-US" w:eastAsia="zh-CN" w:bidi="ar-SA"/>
              </w:rPr>
            </w:pPr>
            <w:r>
              <w:rPr>
                <w:rFonts w:hint="eastAsia" w:ascii="宋体" w:hAnsi="宋体" w:eastAsia="宋体" w:cs="宋体"/>
                <w:b/>
                <w:bCs/>
                <w:kern w:val="2"/>
                <w:sz w:val="22"/>
                <w:szCs w:val="22"/>
                <w:vertAlign w:val="baseline"/>
                <w:lang w:val="en-US" w:eastAsia="zh-CN" w:bidi="ar-SA"/>
              </w:rPr>
              <w:t>需提供公安部检测机构出具的产品检测报告（复印件加盖公章）。</w:t>
            </w:r>
          </w:p>
        </w:tc>
        <w:tc>
          <w:tcPr>
            <w:tcW w:w="1466" w:type="dxa"/>
            <w:vAlign w:val="center"/>
          </w:tcPr>
          <w:p>
            <w:pPr>
              <w:pStyle w:val="60"/>
              <w:spacing w:line="360" w:lineRule="auto"/>
              <w:ind w:left="0" w:leftChars="0" w:firstLine="0" w:firstLineChars="0"/>
              <w:jc w:val="center"/>
              <w:rPr>
                <w:rFonts w:hint="default" w:ascii="宋体" w:hAnsi="宋体" w:eastAsia="宋体" w:cs="宋体"/>
                <w:b/>
                <w:bCs/>
                <w:kern w:val="2"/>
                <w:sz w:val="22"/>
                <w:szCs w:val="22"/>
                <w:vertAlign w:val="baseline"/>
                <w:lang w:val="en-US" w:eastAsia="zh-CN" w:bidi="ar-SA"/>
              </w:rPr>
            </w:pPr>
            <w:r>
              <w:rPr>
                <w:rFonts w:hint="eastAsia" w:ascii="宋体" w:hAnsi="宋体" w:cs="宋体"/>
                <w:b/>
                <w:bCs/>
                <w:kern w:val="2"/>
                <w:sz w:val="22"/>
                <w:szCs w:val="22"/>
                <w:vertAlign w:val="baseline"/>
                <w:lang w:val="en-US" w:eastAsia="zh-CN" w:bidi="ar-SA"/>
              </w:rPr>
              <w:t>300个</w:t>
            </w:r>
          </w:p>
        </w:tc>
        <w:tc>
          <w:tcPr>
            <w:tcW w:w="4050" w:type="dxa"/>
            <w:vAlign w:val="top"/>
          </w:tcPr>
          <w:p>
            <w:pPr>
              <w:pStyle w:val="60"/>
              <w:spacing w:line="360" w:lineRule="auto"/>
              <w:ind w:left="0" w:leftChars="0" w:firstLine="0" w:firstLineChars="0"/>
              <w:jc w:val="left"/>
              <w:rPr>
                <w:rFonts w:hint="eastAsia" w:ascii="宋体" w:hAnsi="宋体" w:eastAsia="宋体" w:cs="宋体"/>
                <w:sz w:val="22"/>
                <w:szCs w:val="22"/>
              </w:rPr>
            </w:pPr>
            <w:r>
              <w:drawing>
                <wp:inline distT="0" distB="0" distL="114300" distR="114300">
                  <wp:extent cx="984250" cy="861060"/>
                  <wp:effectExtent l="0" t="0" r="6350" b="15240"/>
                  <wp:docPr id="3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1"/>
                          <pic:cNvPicPr>
                            <a:picLocks noChangeAspect="1"/>
                          </pic:cNvPicPr>
                        </pic:nvPicPr>
                        <pic:blipFill>
                          <a:blip r:embed="rId34"/>
                          <a:stretch>
                            <a:fillRect/>
                          </a:stretch>
                        </pic:blipFill>
                        <pic:spPr>
                          <a:xfrm>
                            <a:off x="0" y="0"/>
                            <a:ext cx="984250" cy="8610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2" w:hRule="atLeast"/>
        </w:trPr>
        <w:tc>
          <w:tcPr>
            <w:tcW w:w="662"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催泪喷射器</w:t>
            </w:r>
          </w:p>
        </w:tc>
        <w:tc>
          <w:tcPr>
            <w:tcW w:w="3270" w:type="dxa"/>
            <w:vAlign w:val="top"/>
          </w:tcPr>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结构：竖喷型催泪喷射器由保险盖、扭簧、转轴、喷嘴、压套、支撑套、支撑盖、内罐、囊袋组件、催泪剂溶液、外罐等零部件组成。</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尺寸：高188.5mm±0.5mm，筒身最大外径为40mm±0.5mm，外罐外径为37.5mm±0.5mm。观察窗的尺寸为宽8mm±0.5mm，高80 mm±0.5mm。</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颜色：催泪喷射器主体颜色为黑色，喷嘴颜色为白色，催泪剂溶液颜色为蓝色。</w:t>
            </w:r>
          </w:p>
          <w:p>
            <w:pPr>
              <w:spacing w:line="360" w:lineRule="auto"/>
              <w:jc w:val="left"/>
              <w:rPr>
                <w:rFonts w:hint="eastAsia" w:ascii="宋体" w:hAnsi="宋体" w:eastAsia="宋体" w:cs="宋体"/>
                <w:sz w:val="22"/>
                <w:szCs w:val="22"/>
                <w:lang w:val="en-US" w:eastAsia="zh-CN"/>
              </w:rPr>
            </w:pPr>
            <w:r>
              <w:rPr>
                <w:rFonts w:hint="eastAsia" w:ascii="宋体" w:hAnsi="宋体" w:eastAsia="宋体" w:cs="宋体"/>
                <w:sz w:val="22"/>
                <w:szCs w:val="22"/>
              </w:rPr>
              <w:t>质量：1</w:t>
            </w:r>
            <w:r>
              <w:rPr>
                <w:rFonts w:hint="eastAsia" w:ascii="宋体" w:hAnsi="宋体" w:eastAsia="宋体" w:cs="宋体"/>
                <w:sz w:val="22"/>
                <w:szCs w:val="22"/>
                <w:lang w:val="en-US" w:eastAsia="zh-CN"/>
              </w:rPr>
              <w:t>85</w:t>
            </w:r>
            <w:r>
              <w:rPr>
                <w:rFonts w:hint="eastAsia" w:ascii="宋体" w:hAnsi="宋体" w:eastAsia="宋体" w:cs="宋体"/>
                <w:sz w:val="22"/>
                <w:szCs w:val="22"/>
              </w:rPr>
              <w:t>g</w:t>
            </w:r>
            <w:r>
              <w:rPr>
                <w:rFonts w:hint="eastAsia" w:ascii="宋体" w:hAnsi="宋体" w:eastAsia="宋体" w:cs="宋体"/>
                <w:sz w:val="22"/>
                <w:szCs w:val="22"/>
                <w:lang w:val="en-US" w:eastAsia="zh-CN"/>
              </w:rPr>
              <w:t>±5g</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催泪剂溶液：催泪剂溶液体积为70ml±1ml，包含溶质（合成辣椒素）和溶剂；合成辣椒素含量为1.5%～2.0%。</w:t>
            </w:r>
          </w:p>
          <w:p>
            <w:pPr>
              <w:spacing w:line="360" w:lineRule="auto"/>
              <w:jc w:val="left"/>
              <w:rPr>
                <w:rFonts w:hint="eastAsia" w:ascii="宋体" w:hAnsi="宋体" w:eastAsia="宋体" w:cs="宋体"/>
                <w:sz w:val="22"/>
                <w:szCs w:val="22"/>
                <w:lang w:eastAsia="zh-CN"/>
              </w:rPr>
            </w:pPr>
            <w:r>
              <w:rPr>
                <w:rFonts w:hint="eastAsia" w:ascii="宋体" w:hAnsi="宋体" w:eastAsia="宋体" w:cs="宋体"/>
                <w:sz w:val="22"/>
                <w:szCs w:val="22"/>
              </w:rPr>
              <w:t>▲连续喷射性能：催泪喷射器喷射为定向射流状，喷射距离≥4.5m，有效喷射时间≥10s，完全喷射后剩余溶液量≤0.</w:t>
            </w:r>
            <w:r>
              <w:rPr>
                <w:rFonts w:hint="eastAsia" w:ascii="宋体" w:hAnsi="宋体" w:eastAsia="宋体" w:cs="宋体"/>
                <w:sz w:val="22"/>
                <w:szCs w:val="22"/>
                <w:lang w:val="en-US" w:eastAsia="zh-CN"/>
              </w:rPr>
              <w:t>8</w:t>
            </w:r>
            <w:r>
              <w:rPr>
                <w:rFonts w:hint="eastAsia" w:ascii="宋体" w:hAnsi="宋体" w:eastAsia="宋体" w:cs="宋体"/>
                <w:sz w:val="22"/>
                <w:szCs w:val="22"/>
              </w:rPr>
              <w:t>ml</w:t>
            </w:r>
            <w:r>
              <w:rPr>
                <w:rFonts w:hint="eastAsia" w:ascii="宋体" w:hAnsi="宋体" w:eastAsia="宋体" w:cs="宋体"/>
                <w:sz w:val="22"/>
                <w:szCs w:val="22"/>
                <w:lang w:val="en-US" w:eastAsia="zh-CN"/>
              </w:rPr>
              <w:t>。</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间断喷射性能：催泪喷射器有效喷射3s后，放置8h后再次进行喷射，喷射距离≥3m，喷射距离达到3m的时间≥7.2s。完全喷射后剩余溶液量≤0.8ml。</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承压安全性能：≥980N。</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保险盖可靠性能：保险盖重复启闭≥100次可正常使用，且喷射性能符合要求。</w:t>
            </w:r>
          </w:p>
          <w:p>
            <w:pPr>
              <w:spacing w:line="360" w:lineRule="auto"/>
              <w:jc w:val="left"/>
              <w:rPr>
                <w:rFonts w:hint="eastAsia" w:ascii="宋体" w:hAnsi="宋体" w:eastAsia="宋体" w:cs="宋体"/>
                <w:sz w:val="22"/>
                <w:szCs w:val="22"/>
                <w:lang w:val="en-US" w:eastAsia="zh-CN"/>
              </w:rPr>
            </w:pPr>
            <w:r>
              <w:rPr>
                <w:rFonts w:hint="eastAsia" w:ascii="宋体" w:hAnsi="宋体" w:eastAsia="宋体" w:cs="宋体"/>
                <w:sz w:val="22"/>
                <w:szCs w:val="22"/>
              </w:rPr>
              <w:t>温度适应性：</w:t>
            </w:r>
            <w:r>
              <w:rPr>
                <w:rFonts w:hint="eastAsia" w:ascii="宋体" w:hAnsi="宋体" w:eastAsia="宋体" w:cs="宋体"/>
                <w:sz w:val="22"/>
                <w:szCs w:val="22"/>
                <w:lang w:val="en-US" w:eastAsia="zh-CN"/>
              </w:rPr>
              <w:t>-30℃～+55℃。</w:t>
            </w:r>
          </w:p>
          <w:p>
            <w:pPr>
              <w:spacing w:line="360" w:lineRule="auto"/>
              <w:jc w:val="left"/>
              <w:rPr>
                <w:rFonts w:hint="eastAsia" w:ascii="宋体" w:hAnsi="宋体" w:eastAsia="宋体" w:cs="宋体"/>
                <w:sz w:val="22"/>
                <w:szCs w:val="22"/>
                <w:lang w:eastAsia="zh-CN"/>
              </w:rPr>
            </w:pPr>
            <w:r>
              <w:rPr>
                <w:rFonts w:hint="eastAsia" w:ascii="宋体" w:hAnsi="宋体" w:eastAsia="宋体" w:cs="宋体"/>
                <w:sz w:val="22"/>
                <w:szCs w:val="22"/>
                <w:lang w:val="en-US" w:eastAsia="zh-CN"/>
              </w:rPr>
              <w:t>执行标准：</w:t>
            </w:r>
            <w:r>
              <w:rPr>
                <w:rFonts w:hint="eastAsia" w:ascii="宋体" w:hAnsi="宋体" w:eastAsia="宋体" w:cs="宋体"/>
                <w:sz w:val="22"/>
                <w:szCs w:val="22"/>
                <w:lang w:eastAsia="zh-CN"/>
              </w:rPr>
              <w:t>GA 884-2018 《公安单警装备 催泪喷射器》</w:t>
            </w:r>
          </w:p>
          <w:p>
            <w:pPr>
              <w:pStyle w:val="60"/>
              <w:spacing w:line="360" w:lineRule="auto"/>
              <w:ind w:left="0" w:leftChars="0" w:firstLine="0" w:firstLineChars="0"/>
              <w:jc w:val="left"/>
              <w:rPr>
                <w:rFonts w:hint="eastAsia" w:ascii="宋体" w:hAnsi="宋体" w:eastAsia="宋体" w:cs="宋体"/>
                <w:b/>
                <w:bCs/>
                <w:kern w:val="2"/>
                <w:sz w:val="22"/>
                <w:szCs w:val="22"/>
                <w:vertAlign w:val="baseline"/>
                <w:lang w:val="en-US" w:eastAsia="zh-CN" w:bidi="ar-SA"/>
              </w:rPr>
            </w:pPr>
            <w:r>
              <w:rPr>
                <w:rFonts w:hint="eastAsia" w:ascii="宋体" w:hAnsi="宋体" w:eastAsia="宋体" w:cs="宋体"/>
                <w:b/>
                <w:bCs/>
                <w:kern w:val="2"/>
                <w:sz w:val="22"/>
                <w:szCs w:val="22"/>
                <w:vertAlign w:val="baseline"/>
                <w:lang w:val="en-US" w:eastAsia="zh-CN" w:bidi="ar-SA"/>
              </w:rPr>
              <w:t>需提供公安部检测机构出具的产品检测报告（复印件加盖公章）。</w:t>
            </w:r>
          </w:p>
        </w:tc>
        <w:tc>
          <w:tcPr>
            <w:tcW w:w="1466" w:type="dxa"/>
            <w:vAlign w:val="center"/>
          </w:tcPr>
          <w:p>
            <w:pPr>
              <w:pStyle w:val="60"/>
              <w:spacing w:line="360" w:lineRule="auto"/>
              <w:ind w:left="0" w:leftChars="0" w:firstLine="0" w:firstLineChars="0"/>
              <w:jc w:val="center"/>
              <w:rPr>
                <w:rFonts w:hint="eastAsia" w:ascii="宋体" w:hAnsi="宋体" w:cs="宋体"/>
                <w:b/>
                <w:bCs/>
                <w:kern w:val="2"/>
                <w:sz w:val="22"/>
                <w:szCs w:val="22"/>
                <w:vertAlign w:val="baseline"/>
                <w:lang w:val="en-US" w:eastAsia="zh-CN" w:bidi="ar-SA"/>
              </w:rPr>
            </w:pPr>
            <w:r>
              <w:rPr>
                <w:rFonts w:hint="eastAsia" w:ascii="宋体" w:hAnsi="宋体" w:cs="宋体"/>
                <w:b/>
                <w:bCs/>
                <w:kern w:val="2"/>
                <w:sz w:val="22"/>
                <w:szCs w:val="22"/>
                <w:vertAlign w:val="baseline"/>
                <w:lang w:val="en-US" w:eastAsia="zh-CN" w:bidi="ar-SA"/>
              </w:rPr>
              <w:t>300个</w:t>
            </w:r>
          </w:p>
        </w:tc>
        <w:tc>
          <w:tcPr>
            <w:tcW w:w="4050" w:type="dxa"/>
            <w:vAlign w:val="top"/>
          </w:tcPr>
          <w:p>
            <w:pPr>
              <w:pStyle w:val="60"/>
              <w:spacing w:line="360" w:lineRule="auto"/>
              <w:ind w:left="0" w:leftChars="0" w:firstLine="0" w:firstLineChars="0"/>
              <w:jc w:val="left"/>
            </w:pPr>
            <w:r>
              <w:drawing>
                <wp:inline distT="0" distB="0" distL="114300" distR="114300">
                  <wp:extent cx="917575" cy="920115"/>
                  <wp:effectExtent l="0" t="0" r="15875" b="13335"/>
                  <wp:docPr id="31" name="图片 6" descr="1c21de5f5367986b578ca8c80dfaa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descr="1c21de5f5367986b578ca8c80dfaac6"/>
                          <pic:cNvPicPr>
                            <a:picLocks noChangeAspect="1"/>
                          </pic:cNvPicPr>
                        </pic:nvPicPr>
                        <pic:blipFill>
                          <a:blip r:embed="rId30"/>
                          <a:stretch>
                            <a:fillRect/>
                          </a:stretch>
                        </pic:blipFill>
                        <pic:spPr>
                          <a:xfrm>
                            <a:off x="0" y="0"/>
                            <a:ext cx="917575" cy="9201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2" w:hRule="atLeast"/>
        </w:trPr>
        <w:tc>
          <w:tcPr>
            <w:tcW w:w="662"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警用水壶</w:t>
            </w:r>
          </w:p>
        </w:tc>
        <w:tc>
          <w:tcPr>
            <w:tcW w:w="3270" w:type="dxa"/>
            <w:vAlign w:val="center"/>
          </w:tcPr>
          <w:p>
            <w:pPr>
              <w:spacing w:line="360" w:lineRule="auto"/>
              <w:jc w:val="left"/>
              <w:rPr>
                <w:rFonts w:hint="eastAsia" w:ascii="宋体" w:hAnsi="宋体" w:eastAsia="宋体" w:cs="宋体"/>
                <w:color w:val="000000"/>
                <w:sz w:val="22"/>
                <w:szCs w:val="22"/>
              </w:rPr>
            </w:pPr>
            <w:r>
              <w:rPr>
                <w:rFonts w:hint="eastAsia" w:ascii="宋体" w:hAnsi="宋体" w:eastAsia="宋体" w:cs="宋体"/>
                <w:color w:val="000000"/>
                <w:sz w:val="22"/>
                <w:szCs w:val="22"/>
              </w:rPr>
              <w:t>结构：保温型警用水壶，由壶体、壶塞和壶盖构成，壶体为不锈钢双层真空结构，塑料壶塞为拨杆及出水口结构。</w:t>
            </w:r>
          </w:p>
          <w:p>
            <w:pPr>
              <w:spacing w:line="360" w:lineRule="auto"/>
              <w:jc w:val="left"/>
              <w:rPr>
                <w:rFonts w:hint="eastAsia" w:ascii="宋体" w:hAnsi="宋体" w:eastAsia="宋体" w:cs="宋体"/>
                <w:color w:val="000000"/>
                <w:sz w:val="22"/>
                <w:szCs w:val="22"/>
              </w:rPr>
            </w:pPr>
            <w:r>
              <w:rPr>
                <w:rFonts w:hint="eastAsia" w:ascii="宋体" w:hAnsi="宋体" w:eastAsia="宋体" w:cs="宋体"/>
                <w:color w:val="000000"/>
                <w:sz w:val="22"/>
                <w:szCs w:val="22"/>
              </w:rPr>
              <w:t>外观：保温型水壶，壶体正面激光雕刻警徽图案和“警察”、“POLICE”、“警用水壶”。</w:t>
            </w:r>
          </w:p>
          <w:p>
            <w:pPr>
              <w:spacing w:line="360" w:lineRule="auto"/>
              <w:jc w:val="left"/>
              <w:rPr>
                <w:rFonts w:hint="eastAsia" w:ascii="宋体" w:hAnsi="宋体" w:eastAsia="宋体" w:cs="宋体"/>
                <w:color w:val="000000"/>
                <w:sz w:val="22"/>
                <w:szCs w:val="22"/>
              </w:rPr>
            </w:pPr>
            <w:r>
              <w:rPr>
                <w:rFonts w:hint="eastAsia" w:ascii="宋体" w:hAnsi="宋体" w:eastAsia="宋体" w:cs="宋体"/>
                <w:color w:val="000000"/>
                <w:sz w:val="22"/>
                <w:szCs w:val="22"/>
              </w:rPr>
              <w:t>颜色：警用水壶壶体、壶盖和壶带的颜色为亚光藏蓝色；壶塞颜色为光亮浅灰色，其中拨杆为光亮藏蓝色。</w:t>
            </w:r>
          </w:p>
          <w:p>
            <w:pPr>
              <w:spacing w:line="360" w:lineRule="auto"/>
              <w:jc w:val="left"/>
              <w:rPr>
                <w:rFonts w:hint="eastAsia" w:ascii="宋体" w:hAnsi="宋体" w:eastAsia="宋体" w:cs="宋体"/>
                <w:color w:val="000000"/>
                <w:sz w:val="22"/>
                <w:szCs w:val="22"/>
              </w:rPr>
            </w:pPr>
            <w:r>
              <w:rPr>
                <w:rFonts w:hint="eastAsia" w:ascii="宋体" w:hAnsi="宋体" w:eastAsia="宋体" w:cs="宋体"/>
                <w:color w:val="000000"/>
                <w:sz w:val="22"/>
                <w:szCs w:val="22"/>
              </w:rPr>
              <w:t>质量： 395g±5g。</w:t>
            </w:r>
          </w:p>
          <w:p>
            <w:pPr>
              <w:spacing w:line="360" w:lineRule="auto"/>
              <w:jc w:val="left"/>
              <w:rPr>
                <w:rFonts w:hint="eastAsia" w:ascii="宋体" w:hAnsi="宋体" w:eastAsia="宋体" w:cs="宋体"/>
                <w:color w:val="000000"/>
                <w:sz w:val="22"/>
                <w:szCs w:val="22"/>
              </w:rPr>
            </w:pPr>
            <w:r>
              <w:rPr>
                <w:rFonts w:hint="eastAsia" w:ascii="宋体" w:hAnsi="宋体" w:eastAsia="宋体" w:cs="宋体"/>
                <w:color w:val="000000"/>
                <w:sz w:val="22"/>
                <w:szCs w:val="22"/>
              </w:rPr>
              <w:t>尺寸：壶体高195mm±1mm，带壶盖成品总高215mm±1mm，壶体宽85mm±1mm，壶体厚58mm±1mm，壶口内径37mm±1mm。</w:t>
            </w:r>
          </w:p>
          <w:p>
            <w:pPr>
              <w:spacing w:line="360" w:lineRule="auto"/>
              <w:jc w:val="left"/>
              <w:rPr>
                <w:rFonts w:hint="eastAsia" w:ascii="宋体" w:hAnsi="宋体" w:eastAsia="宋体" w:cs="宋体"/>
                <w:color w:val="000000"/>
                <w:sz w:val="22"/>
                <w:szCs w:val="22"/>
              </w:rPr>
            </w:pPr>
            <w:r>
              <w:rPr>
                <w:rFonts w:hint="eastAsia" w:ascii="宋体" w:hAnsi="宋体" w:eastAsia="宋体" w:cs="宋体"/>
                <w:color w:val="000000"/>
                <w:sz w:val="22"/>
                <w:szCs w:val="22"/>
              </w:rPr>
              <w:t>容积：</w:t>
            </w:r>
            <w:r>
              <w:rPr>
                <w:rFonts w:hint="eastAsia" w:ascii="宋体" w:hAnsi="宋体" w:eastAsia="宋体" w:cs="宋体"/>
                <w:color w:val="000000"/>
                <w:sz w:val="22"/>
                <w:szCs w:val="22"/>
                <w:lang w:val="en-US" w:eastAsia="zh-CN"/>
              </w:rPr>
              <w:t>≥</w:t>
            </w:r>
            <w:r>
              <w:rPr>
                <w:rFonts w:hint="eastAsia" w:ascii="宋体" w:hAnsi="宋体" w:eastAsia="宋体" w:cs="宋体"/>
                <w:color w:val="000000"/>
                <w:sz w:val="22"/>
                <w:szCs w:val="22"/>
              </w:rPr>
              <w:t>500ml。</w:t>
            </w:r>
          </w:p>
          <w:p>
            <w:pPr>
              <w:spacing w:line="360" w:lineRule="auto"/>
              <w:jc w:val="left"/>
              <w:rPr>
                <w:rFonts w:hint="eastAsia" w:ascii="宋体" w:hAnsi="宋体" w:eastAsia="宋体" w:cs="宋体"/>
                <w:color w:val="000000"/>
                <w:sz w:val="22"/>
                <w:szCs w:val="22"/>
              </w:rPr>
            </w:pPr>
            <w:r>
              <w:rPr>
                <w:rFonts w:hint="eastAsia" w:ascii="宋体" w:hAnsi="宋体" w:eastAsia="宋体" w:cs="宋体"/>
                <w:sz w:val="22"/>
                <w:szCs w:val="22"/>
              </w:rPr>
              <w:t>▲</w:t>
            </w:r>
            <w:r>
              <w:rPr>
                <w:rFonts w:hint="eastAsia" w:ascii="宋体" w:hAnsi="宋体" w:eastAsia="宋体" w:cs="宋体"/>
                <w:color w:val="000000"/>
                <w:sz w:val="22"/>
                <w:szCs w:val="22"/>
              </w:rPr>
              <w:t>保温性能：给壶中注入95℃以上的热水，注水水面低于密封处5mm，垂直静置24h后，壶内水温</w:t>
            </w:r>
            <w:r>
              <w:rPr>
                <w:rFonts w:hint="eastAsia" w:ascii="宋体" w:hAnsi="宋体" w:eastAsia="宋体" w:cs="宋体"/>
                <w:color w:val="000000"/>
                <w:sz w:val="22"/>
                <w:szCs w:val="22"/>
                <w:lang w:val="en-US" w:eastAsia="zh-CN"/>
              </w:rPr>
              <w:t>≥</w:t>
            </w:r>
            <w:r>
              <w:rPr>
                <w:rFonts w:hint="eastAsia" w:ascii="宋体" w:hAnsi="宋体" w:eastAsia="宋体" w:cs="宋体"/>
                <w:color w:val="000000"/>
                <w:sz w:val="22"/>
                <w:szCs w:val="22"/>
              </w:rPr>
              <w:t>4</w:t>
            </w:r>
            <w:r>
              <w:rPr>
                <w:rFonts w:hint="eastAsia" w:ascii="宋体" w:hAnsi="宋体" w:eastAsia="宋体" w:cs="宋体"/>
                <w:color w:val="000000"/>
                <w:sz w:val="22"/>
                <w:szCs w:val="22"/>
                <w:lang w:val="en-US" w:eastAsia="zh-CN"/>
              </w:rPr>
              <w:t>0</w:t>
            </w:r>
            <w:r>
              <w:rPr>
                <w:rFonts w:hint="eastAsia" w:ascii="宋体" w:hAnsi="宋体" w:eastAsia="宋体" w:cs="宋体"/>
                <w:color w:val="000000"/>
                <w:sz w:val="22"/>
                <w:szCs w:val="22"/>
              </w:rPr>
              <w:t>℃。</w:t>
            </w:r>
          </w:p>
          <w:p>
            <w:pPr>
              <w:spacing w:line="360" w:lineRule="auto"/>
              <w:jc w:val="left"/>
              <w:rPr>
                <w:rFonts w:hint="eastAsia" w:ascii="宋体" w:hAnsi="宋体" w:eastAsia="宋体" w:cs="宋体"/>
                <w:kern w:val="0"/>
                <w:sz w:val="22"/>
                <w:szCs w:val="22"/>
              </w:rPr>
            </w:pPr>
            <w:r>
              <w:rPr>
                <w:rFonts w:hint="eastAsia" w:ascii="宋体" w:hAnsi="宋体" w:eastAsia="宋体" w:cs="宋体"/>
                <w:color w:val="000000"/>
                <w:sz w:val="22"/>
                <w:szCs w:val="22"/>
              </w:rPr>
              <w:t>漆膜附着力：</w:t>
            </w:r>
            <w:r>
              <w:rPr>
                <w:rFonts w:hint="eastAsia" w:ascii="宋体" w:hAnsi="宋体" w:eastAsia="宋体" w:cs="宋体"/>
                <w:color w:val="000000"/>
                <w:sz w:val="22"/>
                <w:szCs w:val="22"/>
                <w:lang w:val="en-US" w:eastAsia="zh-CN"/>
              </w:rPr>
              <w:t>≥</w:t>
            </w:r>
            <w:r>
              <w:rPr>
                <w:rFonts w:hint="eastAsia" w:ascii="宋体" w:hAnsi="宋体" w:eastAsia="宋体" w:cs="宋体"/>
                <w:kern w:val="0"/>
                <w:sz w:val="22"/>
                <w:szCs w:val="22"/>
              </w:rPr>
              <w:t>1级。</w:t>
            </w:r>
          </w:p>
          <w:p>
            <w:pPr>
              <w:spacing w:line="360" w:lineRule="auto"/>
              <w:jc w:val="left"/>
              <w:rPr>
                <w:rFonts w:hint="eastAsia" w:ascii="宋体" w:hAnsi="宋体" w:eastAsia="宋体" w:cs="宋体"/>
                <w:kern w:val="0"/>
                <w:sz w:val="22"/>
                <w:szCs w:val="22"/>
              </w:rPr>
            </w:pPr>
            <w:r>
              <w:rPr>
                <w:rFonts w:hint="eastAsia" w:ascii="宋体" w:hAnsi="宋体" w:eastAsia="宋体" w:cs="宋体"/>
                <w:kern w:val="0"/>
                <w:sz w:val="22"/>
                <w:szCs w:val="22"/>
              </w:rPr>
              <w:t>壶体回弹性能：壶体回弹后无变形。</w:t>
            </w:r>
          </w:p>
          <w:p>
            <w:pPr>
              <w:spacing w:line="360" w:lineRule="auto"/>
              <w:jc w:val="left"/>
              <w:rPr>
                <w:rFonts w:hint="eastAsia" w:ascii="宋体" w:hAnsi="宋体" w:eastAsia="宋体" w:cs="宋体"/>
                <w:kern w:val="0"/>
                <w:sz w:val="22"/>
                <w:szCs w:val="22"/>
              </w:rPr>
            </w:pPr>
            <w:r>
              <w:rPr>
                <w:rFonts w:hint="eastAsia" w:ascii="宋体" w:hAnsi="宋体" w:eastAsia="宋体" w:cs="宋体"/>
                <w:color w:val="000000"/>
                <w:sz w:val="22"/>
                <w:szCs w:val="22"/>
              </w:rPr>
              <w:t>壶塞拨杆的使用寿命：拨杆拨开次数</w:t>
            </w:r>
            <w:r>
              <w:rPr>
                <w:rFonts w:hint="eastAsia" w:ascii="宋体" w:hAnsi="宋体" w:eastAsia="宋体" w:cs="宋体"/>
                <w:kern w:val="0"/>
                <w:sz w:val="22"/>
                <w:szCs w:val="22"/>
              </w:rPr>
              <w:t>大于2000次。</w:t>
            </w:r>
          </w:p>
          <w:p>
            <w:pPr>
              <w:spacing w:line="360" w:lineRule="auto"/>
              <w:jc w:val="left"/>
              <w:rPr>
                <w:rFonts w:hint="eastAsia" w:ascii="宋体" w:hAnsi="宋体" w:eastAsia="宋体" w:cs="宋体"/>
                <w:kern w:val="0"/>
                <w:sz w:val="22"/>
                <w:szCs w:val="22"/>
              </w:rPr>
            </w:pPr>
            <w:r>
              <w:rPr>
                <w:rFonts w:hint="eastAsia" w:ascii="宋体" w:hAnsi="宋体" w:eastAsia="宋体" w:cs="宋体"/>
                <w:kern w:val="0"/>
                <w:sz w:val="22"/>
                <w:szCs w:val="22"/>
              </w:rPr>
              <w:t>跌落性能：保温型水壶，跌落后零件无脱落、无破损，保温水壶保温性能符合要求。</w:t>
            </w:r>
          </w:p>
          <w:p>
            <w:pPr>
              <w:spacing w:line="360" w:lineRule="auto"/>
              <w:jc w:val="left"/>
              <w:rPr>
                <w:rFonts w:hint="eastAsia" w:ascii="宋体" w:hAnsi="宋体" w:eastAsia="宋体" w:cs="宋体"/>
                <w:color w:val="000000"/>
                <w:sz w:val="22"/>
                <w:szCs w:val="22"/>
              </w:rPr>
            </w:pPr>
            <w:r>
              <w:rPr>
                <w:rFonts w:hint="eastAsia" w:ascii="宋体" w:hAnsi="宋体" w:eastAsia="宋体" w:cs="宋体"/>
                <w:color w:val="000000"/>
                <w:sz w:val="22"/>
                <w:szCs w:val="22"/>
              </w:rPr>
              <w:t>执行标准：《GA887-2010公安单警装备警用水壶》</w:t>
            </w:r>
          </w:p>
          <w:p>
            <w:pPr>
              <w:pStyle w:val="60"/>
              <w:spacing w:line="360" w:lineRule="auto"/>
              <w:ind w:left="0" w:leftChars="0" w:firstLine="0" w:firstLineChars="0"/>
              <w:jc w:val="left"/>
              <w:rPr>
                <w:rFonts w:hint="eastAsia" w:ascii="宋体" w:hAnsi="宋体" w:eastAsia="宋体" w:cs="宋体"/>
                <w:b/>
                <w:bCs/>
                <w:kern w:val="2"/>
                <w:sz w:val="22"/>
                <w:szCs w:val="22"/>
                <w:vertAlign w:val="baseline"/>
                <w:lang w:val="en-US" w:eastAsia="zh-CN" w:bidi="ar-SA"/>
              </w:rPr>
            </w:pPr>
            <w:r>
              <w:rPr>
                <w:rFonts w:hint="eastAsia" w:ascii="宋体" w:hAnsi="宋体" w:eastAsia="宋体" w:cs="宋体"/>
                <w:b/>
                <w:bCs/>
                <w:kern w:val="2"/>
                <w:sz w:val="22"/>
                <w:szCs w:val="22"/>
                <w:vertAlign w:val="baseline"/>
                <w:lang w:val="en-US" w:eastAsia="zh-CN" w:bidi="ar-SA"/>
              </w:rPr>
              <w:t>需提供公安部检测机构出具的产品检测报告（复印件加盖公章）。</w:t>
            </w:r>
          </w:p>
        </w:tc>
        <w:tc>
          <w:tcPr>
            <w:tcW w:w="1466" w:type="dxa"/>
            <w:vAlign w:val="center"/>
          </w:tcPr>
          <w:p>
            <w:pPr>
              <w:pStyle w:val="60"/>
              <w:spacing w:line="360" w:lineRule="auto"/>
              <w:ind w:left="0" w:leftChars="0" w:firstLine="0" w:firstLineChars="0"/>
              <w:jc w:val="center"/>
              <w:rPr>
                <w:rFonts w:hint="eastAsia" w:ascii="宋体" w:hAnsi="宋体" w:cs="宋体"/>
                <w:b/>
                <w:bCs/>
                <w:kern w:val="2"/>
                <w:sz w:val="22"/>
                <w:szCs w:val="22"/>
                <w:vertAlign w:val="baseline"/>
                <w:lang w:val="en-US" w:eastAsia="zh-CN" w:bidi="ar-SA"/>
              </w:rPr>
            </w:pPr>
            <w:r>
              <w:rPr>
                <w:rFonts w:hint="eastAsia" w:ascii="宋体" w:hAnsi="宋体" w:cs="宋体"/>
                <w:b/>
                <w:bCs/>
                <w:kern w:val="2"/>
                <w:sz w:val="22"/>
                <w:szCs w:val="22"/>
                <w:vertAlign w:val="baseline"/>
                <w:lang w:val="en-US" w:eastAsia="zh-CN" w:bidi="ar-SA"/>
              </w:rPr>
              <w:t>50个</w:t>
            </w:r>
          </w:p>
        </w:tc>
        <w:tc>
          <w:tcPr>
            <w:tcW w:w="4050" w:type="dxa"/>
            <w:vAlign w:val="center"/>
          </w:tcPr>
          <w:p>
            <w:pPr>
              <w:pStyle w:val="60"/>
              <w:spacing w:line="360" w:lineRule="auto"/>
              <w:ind w:left="0" w:leftChars="0" w:firstLine="0" w:firstLineChars="0"/>
              <w:jc w:val="left"/>
            </w:pPr>
            <w:r>
              <w:fldChar w:fldCharType="begin"/>
            </w:r>
            <w:r>
              <w:instrText xml:space="preserve">INCLUDEPICTURE \d "http://6933078.s21i.faiusr.com/2/ABUIABACGAAg2KHgsQUoouYRMMIDOMID.jpg" \* MERGEFORMATINET </w:instrText>
            </w:r>
            <w:r>
              <w:fldChar w:fldCharType="separate"/>
            </w:r>
            <w:r>
              <w:drawing>
                <wp:inline distT="0" distB="0" distL="114300" distR="114300">
                  <wp:extent cx="945515" cy="1395095"/>
                  <wp:effectExtent l="0" t="0" r="6985" b="14605"/>
                  <wp:docPr id="3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IMG_256"/>
                          <pic:cNvPicPr>
                            <a:picLocks noChangeAspect="1"/>
                          </pic:cNvPicPr>
                        </pic:nvPicPr>
                        <pic:blipFill>
                          <a:blip r:embed="rId35"/>
                          <a:srcRect l="10526" r="21555"/>
                          <a:stretch>
                            <a:fillRect/>
                          </a:stretch>
                        </pic:blipFill>
                        <pic:spPr>
                          <a:xfrm>
                            <a:off x="0" y="0"/>
                            <a:ext cx="945515" cy="1395095"/>
                          </a:xfrm>
                          <a:prstGeom prst="rect">
                            <a:avLst/>
                          </a:prstGeom>
                          <a:noFill/>
                          <a:ln>
                            <a:noFill/>
                          </a:ln>
                        </pic:spPr>
                      </pic:pic>
                    </a:graphicData>
                  </a:graphic>
                </wp:inline>
              </w:drawing>
            </w:r>
            <w: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8" w:hRule="atLeast"/>
        </w:trPr>
        <w:tc>
          <w:tcPr>
            <w:tcW w:w="662" w:type="dxa"/>
            <w:vAlign w:val="center"/>
          </w:tcPr>
          <w:p>
            <w:pPr>
              <w:keepNext w:val="0"/>
              <w:keepLines w:val="0"/>
              <w:widowControl/>
              <w:suppressLineNumbers w:val="0"/>
              <w:spacing w:line="360" w:lineRule="auto"/>
              <w:jc w:val="center"/>
              <w:textAlignment w:val="center"/>
              <w:rPr>
                <w:rFonts w:hint="eastAsia" w:ascii="宋体" w:hAnsi="宋体" w:eastAsia="宋体" w:cs="宋体"/>
                <w:sz w:val="22"/>
                <w:szCs w:val="22"/>
                <w:vertAlign w:val="baseline"/>
              </w:rPr>
            </w:pPr>
            <w:r>
              <w:rPr>
                <w:rFonts w:hint="eastAsia" w:ascii="宋体" w:hAnsi="宋体" w:eastAsia="宋体" w:cs="宋体"/>
                <w:i w:val="0"/>
                <w:iCs w:val="0"/>
                <w:color w:val="000000"/>
                <w:kern w:val="0"/>
                <w:sz w:val="22"/>
                <w:szCs w:val="22"/>
                <w:u w:val="none"/>
                <w:lang w:val="en-US" w:eastAsia="zh-CN" w:bidi="ar"/>
              </w:rPr>
              <w:t>手铐</w:t>
            </w:r>
          </w:p>
        </w:tc>
        <w:tc>
          <w:tcPr>
            <w:tcW w:w="3270" w:type="dxa"/>
            <w:vAlign w:val="top"/>
          </w:tcPr>
          <w:p>
            <w:pPr>
              <w:tabs>
                <w:tab w:val="left" w:pos="658"/>
              </w:tabs>
              <w:spacing w:line="360" w:lineRule="auto"/>
              <w:jc w:val="left"/>
              <w:rPr>
                <w:rFonts w:hint="eastAsia" w:ascii="宋体" w:hAnsi="宋体" w:eastAsia="宋体" w:cs="宋体"/>
                <w:sz w:val="22"/>
                <w:szCs w:val="22"/>
              </w:rPr>
            </w:pPr>
            <w:r>
              <w:rPr>
                <w:rFonts w:hint="eastAsia" w:ascii="宋体" w:hAnsi="宋体" w:eastAsia="宋体" w:cs="宋体"/>
                <w:sz w:val="22"/>
                <w:szCs w:val="22"/>
              </w:rPr>
              <w:t>▲金属手铐铐体与扇梁铆接处晃动量：≤0.05mm。</w:t>
            </w:r>
          </w:p>
          <w:p>
            <w:pPr>
              <w:tabs>
                <w:tab w:val="left" w:pos="658"/>
              </w:tabs>
              <w:spacing w:line="360" w:lineRule="auto"/>
              <w:jc w:val="left"/>
              <w:rPr>
                <w:rFonts w:hint="eastAsia" w:ascii="宋体" w:hAnsi="宋体" w:eastAsia="宋体" w:cs="宋体"/>
                <w:sz w:val="22"/>
                <w:szCs w:val="22"/>
              </w:rPr>
            </w:pPr>
            <w:r>
              <w:rPr>
                <w:rFonts w:hint="eastAsia" w:ascii="宋体" w:hAnsi="宋体" w:eastAsia="宋体" w:cs="宋体"/>
                <w:sz w:val="22"/>
                <w:szCs w:val="22"/>
              </w:rPr>
              <w:t>结构：金属手铐由左、右铐体和三排齿的扇梁、链座、链环、钥匙等组成。</w:t>
            </w:r>
          </w:p>
          <w:p>
            <w:pPr>
              <w:tabs>
                <w:tab w:val="left" w:pos="658"/>
              </w:tabs>
              <w:spacing w:line="360" w:lineRule="auto"/>
              <w:jc w:val="left"/>
              <w:rPr>
                <w:rFonts w:hint="eastAsia" w:ascii="宋体" w:hAnsi="宋体" w:eastAsia="宋体" w:cs="宋体"/>
                <w:sz w:val="22"/>
                <w:szCs w:val="22"/>
              </w:rPr>
            </w:pPr>
            <w:r>
              <w:rPr>
                <w:rFonts w:hint="eastAsia" w:ascii="宋体" w:hAnsi="宋体" w:eastAsia="宋体" w:cs="宋体"/>
                <w:sz w:val="22"/>
                <w:szCs w:val="22"/>
              </w:rPr>
              <w:t>尺寸：铐体间距L：（52～56）mm，啮合三尺状态下手铐的最小孔径H：（55±2）mm，啮合三尺状态下手铐的最大孔径B：（82±2）mm。</w:t>
            </w:r>
          </w:p>
          <w:p>
            <w:pPr>
              <w:tabs>
                <w:tab w:val="left" w:pos="658"/>
              </w:tabs>
              <w:spacing w:line="360" w:lineRule="auto"/>
              <w:jc w:val="left"/>
              <w:rPr>
                <w:rFonts w:hint="eastAsia" w:ascii="宋体" w:hAnsi="宋体" w:eastAsia="宋体" w:cs="宋体"/>
                <w:sz w:val="22"/>
                <w:szCs w:val="22"/>
              </w:rPr>
            </w:pPr>
            <w:r>
              <w:rPr>
                <w:rFonts w:hint="eastAsia" w:ascii="宋体" w:hAnsi="宋体" w:eastAsia="宋体" w:cs="宋体"/>
                <w:sz w:val="22"/>
                <w:szCs w:val="22"/>
              </w:rPr>
              <w:t>颜色：金属手铐铐体表面颜色为烁金色，左、右铐体颜色一致，无明显色差；扇梁为亚光银色。</w:t>
            </w:r>
          </w:p>
          <w:p>
            <w:pPr>
              <w:tabs>
                <w:tab w:val="left" w:pos="658"/>
              </w:tabs>
              <w:spacing w:line="360" w:lineRule="auto"/>
              <w:jc w:val="left"/>
              <w:rPr>
                <w:rFonts w:hint="eastAsia" w:ascii="宋体" w:hAnsi="宋体" w:eastAsia="宋体" w:cs="宋体"/>
                <w:sz w:val="22"/>
                <w:szCs w:val="22"/>
              </w:rPr>
            </w:pPr>
            <w:r>
              <w:rPr>
                <w:rFonts w:hint="eastAsia" w:ascii="宋体" w:hAnsi="宋体" w:eastAsia="宋体" w:cs="宋体"/>
                <w:sz w:val="22"/>
                <w:szCs w:val="22"/>
              </w:rPr>
              <w:t>质量：≤</w:t>
            </w:r>
            <w:r>
              <w:rPr>
                <w:rFonts w:hint="eastAsia" w:ascii="宋体" w:hAnsi="宋体" w:eastAsia="宋体" w:cs="宋体"/>
                <w:sz w:val="22"/>
                <w:szCs w:val="22"/>
                <w:lang w:val="en-US" w:eastAsia="zh-CN"/>
              </w:rPr>
              <w:t>230</w:t>
            </w:r>
            <w:r>
              <w:rPr>
                <w:rFonts w:hint="eastAsia" w:ascii="宋体" w:hAnsi="宋体" w:eastAsia="宋体" w:cs="宋体"/>
                <w:sz w:val="22"/>
                <w:szCs w:val="22"/>
              </w:rPr>
              <w:t>g。</w:t>
            </w:r>
          </w:p>
          <w:p>
            <w:pPr>
              <w:tabs>
                <w:tab w:val="left" w:pos="658"/>
              </w:tabs>
              <w:spacing w:line="360" w:lineRule="auto"/>
              <w:jc w:val="left"/>
              <w:rPr>
                <w:rFonts w:hint="eastAsia" w:ascii="宋体" w:hAnsi="宋体" w:eastAsia="宋体" w:cs="宋体"/>
                <w:sz w:val="22"/>
                <w:szCs w:val="22"/>
              </w:rPr>
            </w:pPr>
            <w:r>
              <w:rPr>
                <w:rFonts w:hint="eastAsia" w:ascii="宋体" w:hAnsi="宋体" w:eastAsia="宋体" w:cs="宋体"/>
                <w:sz w:val="22"/>
                <w:szCs w:val="22"/>
              </w:rPr>
              <w:t>反锁定位：金属手铐在锁闭并反锁定位状态下施加</w:t>
            </w:r>
            <w:r>
              <w:rPr>
                <w:rFonts w:hint="eastAsia" w:ascii="宋体" w:hAnsi="宋体" w:eastAsia="宋体" w:cs="宋体"/>
                <w:sz w:val="22"/>
                <w:szCs w:val="22"/>
                <w:lang w:val="en-US" w:eastAsia="zh-CN"/>
              </w:rPr>
              <w:t>≥</w:t>
            </w:r>
            <w:r>
              <w:rPr>
                <w:rFonts w:hint="eastAsia" w:ascii="宋体" w:hAnsi="宋体" w:eastAsia="宋体" w:cs="宋体"/>
                <w:sz w:val="22"/>
                <w:szCs w:val="22"/>
              </w:rPr>
              <w:t>3500N静压力，不出现啮合松动或失效现象。</w:t>
            </w:r>
          </w:p>
          <w:p>
            <w:pPr>
              <w:tabs>
                <w:tab w:val="left" w:pos="658"/>
              </w:tabs>
              <w:spacing w:line="360" w:lineRule="auto"/>
              <w:jc w:val="left"/>
              <w:rPr>
                <w:rFonts w:hint="eastAsia" w:ascii="宋体" w:hAnsi="宋体" w:eastAsia="宋体" w:cs="宋体"/>
                <w:sz w:val="22"/>
                <w:szCs w:val="22"/>
              </w:rPr>
            </w:pPr>
            <w:r>
              <w:rPr>
                <w:rFonts w:hint="eastAsia" w:ascii="宋体" w:hAnsi="宋体" w:eastAsia="宋体" w:cs="宋体"/>
                <w:sz w:val="22"/>
                <w:szCs w:val="22"/>
              </w:rPr>
              <w:t>防拨性能：金属手铐的三个锁齿相互独立，在拨动任意一个锁齿时，其余两个锁齿不联动。金属手铐在锁闭状态下，防拨净工作时间应大于或等于2min。</w:t>
            </w:r>
          </w:p>
          <w:p>
            <w:pPr>
              <w:tabs>
                <w:tab w:val="left" w:pos="658"/>
              </w:tabs>
              <w:spacing w:line="360" w:lineRule="auto"/>
              <w:jc w:val="left"/>
              <w:rPr>
                <w:rFonts w:hint="eastAsia" w:ascii="宋体" w:hAnsi="宋体" w:eastAsia="宋体" w:cs="宋体"/>
                <w:sz w:val="22"/>
                <w:szCs w:val="22"/>
              </w:rPr>
            </w:pPr>
            <w:r>
              <w:rPr>
                <w:rFonts w:hint="eastAsia" w:ascii="宋体" w:hAnsi="宋体" w:eastAsia="宋体" w:cs="宋体"/>
                <w:sz w:val="22"/>
                <w:szCs w:val="22"/>
              </w:rPr>
              <w:t>啮合强度：金属手铐啮合牢固可靠，不能被逆向拉开。</w:t>
            </w:r>
          </w:p>
          <w:p>
            <w:pPr>
              <w:tabs>
                <w:tab w:val="left" w:pos="658"/>
              </w:tabs>
              <w:spacing w:line="360" w:lineRule="auto"/>
              <w:jc w:val="left"/>
              <w:rPr>
                <w:rFonts w:hint="eastAsia" w:ascii="宋体" w:hAnsi="宋体" w:eastAsia="宋体" w:cs="宋体"/>
                <w:sz w:val="22"/>
                <w:szCs w:val="22"/>
              </w:rPr>
            </w:pPr>
            <w:r>
              <w:rPr>
                <w:rFonts w:hint="eastAsia" w:ascii="宋体" w:hAnsi="宋体" w:eastAsia="宋体" w:cs="宋体"/>
                <w:sz w:val="22"/>
                <w:szCs w:val="22"/>
              </w:rPr>
              <w:t>纵向静拉力：金属手铐在锁闭状态下，施加</w:t>
            </w:r>
            <w:r>
              <w:rPr>
                <w:rFonts w:hint="eastAsia" w:ascii="宋体" w:hAnsi="宋体" w:eastAsia="宋体" w:cs="宋体"/>
                <w:sz w:val="22"/>
                <w:szCs w:val="22"/>
                <w:lang w:val="en-US" w:eastAsia="zh-CN"/>
              </w:rPr>
              <w:t>≥</w:t>
            </w:r>
            <w:r>
              <w:rPr>
                <w:rFonts w:hint="eastAsia" w:ascii="宋体" w:hAnsi="宋体" w:eastAsia="宋体" w:cs="宋体"/>
                <w:sz w:val="22"/>
                <w:szCs w:val="22"/>
              </w:rPr>
              <w:t>3500N纵向静拉力并保持30s，金属手铐不应被拉开，试验后铐体上不应有永久性变形或裂纹。</w:t>
            </w:r>
          </w:p>
          <w:p>
            <w:pPr>
              <w:tabs>
                <w:tab w:val="left" w:pos="658"/>
              </w:tabs>
              <w:spacing w:line="360" w:lineRule="auto"/>
              <w:jc w:val="left"/>
              <w:rPr>
                <w:rFonts w:hint="eastAsia" w:ascii="宋体" w:hAnsi="宋体" w:eastAsia="宋体" w:cs="宋体"/>
                <w:sz w:val="22"/>
                <w:szCs w:val="22"/>
              </w:rPr>
            </w:pPr>
            <w:r>
              <w:rPr>
                <w:rFonts w:hint="eastAsia" w:ascii="宋体" w:hAnsi="宋体" w:eastAsia="宋体" w:cs="宋体"/>
                <w:sz w:val="22"/>
                <w:szCs w:val="22"/>
              </w:rPr>
              <w:t>横向静拉力：金属手铐在锁闭状态下，施加</w:t>
            </w:r>
            <w:r>
              <w:rPr>
                <w:rFonts w:hint="eastAsia" w:ascii="宋体" w:hAnsi="宋体" w:eastAsia="宋体" w:cs="宋体"/>
                <w:sz w:val="22"/>
                <w:szCs w:val="22"/>
                <w:lang w:val="en-US" w:eastAsia="zh-CN"/>
              </w:rPr>
              <w:t>≥</w:t>
            </w:r>
            <w:r>
              <w:rPr>
                <w:rFonts w:hint="eastAsia" w:ascii="宋体" w:hAnsi="宋体" w:eastAsia="宋体" w:cs="宋体"/>
                <w:sz w:val="22"/>
                <w:szCs w:val="22"/>
              </w:rPr>
              <w:t>3500N横向静拉力并保持30s，金属手铐不应被打开，试验过程中金属手铐不应被打开，试验后铐体上不应有永久性变形或裂纹，符合灵活性的要求。</w:t>
            </w:r>
          </w:p>
          <w:p>
            <w:pPr>
              <w:tabs>
                <w:tab w:val="left" w:pos="658"/>
              </w:tabs>
              <w:spacing w:line="360" w:lineRule="auto"/>
              <w:jc w:val="left"/>
              <w:rPr>
                <w:rFonts w:hint="eastAsia" w:ascii="宋体" w:hAnsi="宋体" w:eastAsia="宋体" w:cs="宋体"/>
                <w:sz w:val="22"/>
                <w:szCs w:val="22"/>
              </w:rPr>
            </w:pPr>
            <w:r>
              <w:rPr>
                <w:rFonts w:hint="eastAsia" w:ascii="宋体" w:hAnsi="宋体" w:eastAsia="宋体" w:cs="宋体"/>
                <w:sz w:val="22"/>
                <w:szCs w:val="22"/>
              </w:rPr>
              <w:t>固定连接件强度：对金属手铐的扇梁铆钉施加</w:t>
            </w:r>
            <w:r>
              <w:rPr>
                <w:rFonts w:hint="eastAsia" w:ascii="宋体" w:hAnsi="宋体" w:eastAsia="宋体" w:cs="宋体"/>
                <w:sz w:val="22"/>
                <w:szCs w:val="22"/>
                <w:lang w:val="en-US" w:eastAsia="zh-CN"/>
              </w:rPr>
              <w:t>≥</w:t>
            </w:r>
            <w:r>
              <w:rPr>
                <w:rFonts w:hint="eastAsia" w:ascii="宋体" w:hAnsi="宋体" w:eastAsia="宋体" w:cs="宋体"/>
                <w:sz w:val="22"/>
                <w:szCs w:val="22"/>
              </w:rPr>
              <w:t>4500N静拉力，保持30s，试验后固定连接件不松脱，符合灵活性的要求。</w:t>
            </w:r>
          </w:p>
          <w:p>
            <w:pPr>
              <w:tabs>
                <w:tab w:val="left" w:pos="658"/>
              </w:tabs>
              <w:spacing w:line="360" w:lineRule="auto"/>
              <w:jc w:val="left"/>
              <w:rPr>
                <w:rFonts w:hint="eastAsia" w:ascii="宋体" w:hAnsi="宋体" w:eastAsia="宋体" w:cs="宋体"/>
                <w:sz w:val="22"/>
                <w:szCs w:val="22"/>
              </w:rPr>
            </w:pPr>
            <w:r>
              <w:rPr>
                <w:rFonts w:hint="eastAsia" w:ascii="宋体" w:hAnsi="宋体" w:eastAsia="宋体" w:cs="宋体"/>
                <w:sz w:val="22"/>
                <w:szCs w:val="22"/>
              </w:rPr>
              <w:t>钥匙强度：对金属手铐的钥匙施加</w:t>
            </w:r>
            <w:r>
              <w:rPr>
                <w:rFonts w:hint="eastAsia" w:ascii="宋体" w:hAnsi="宋体" w:eastAsia="宋体" w:cs="宋体"/>
                <w:sz w:val="22"/>
                <w:szCs w:val="22"/>
                <w:lang w:val="en-US" w:eastAsia="zh-CN"/>
              </w:rPr>
              <w:t>≥</w:t>
            </w:r>
            <w:r>
              <w:rPr>
                <w:rFonts w:hint="eastAsia" w:ascii="宋体" w:hAnsi="宋体" w:eastAsia="宋体" w:cs="宋体"/>
                <w:sz w:val="22"/>
                <w:szCs w:val="22"/>
              </w:rPr>
              <w:t>4Nm的扭矩，保持30s，试验后钥匙不出现变形、断裂，且符合灵活性的要求。</w:t>
            </w:r>
          </w:p>
          <w:p>
            <w:pPr>
              <w:tabs>
                <w:tab w:val="left" w:pos="658"/>
              </w:tabs>
              <w:spacing w:line="360" w:lineRule="auto"/>
              <w:jc w:val="left"/>
              <w:rPr>
                <w:rFonts w:hint="eastAsia" w:ascii="宋体" w:hAnsi="宋体" w:eastAsia="宋体" w:cs="宋体"/>
                <w:sz w:val="22"/>
                <w:szCs w:val="22"/>
              </w:rPr>
            </w:pPr>
            <w:r>
              <w:rPr>
                <w:rFonts w:hint="eastAsia" w:ascii="宋体" w:hAnsi="宋体" w:eastAsia="宋体" w:cs="宋体"/>
                <w:sz w:val="22"/>
                <w:szCs w:val="22"/>
              </w:rPr>
              <w:t>铐体强度：金属手铐在锁闭状态下，对铐体施加</w:t>
            </w:r>
            <w:r>
              <w:rPr>
                <w:rFonts w:hint="eastAsia" w:ascii="宋体" w:hAnsi="宋体" w:eastAsia="宋体" w:cs="宋体"/>
                <w:sz w:val="22"/>
                <w:szCs w:val="22"/>
                <w:lang w:val="en-US" w:eastAsia="zh-CN"/>
              </w:rPr>
              <w:t>≥</w:t>
            </w:r>
            <w:r>
              <w:rPr>
                <w:rFonts w:hint="eastAsia" w:ascii="宋体" w:hAnsi="宋体" w:eastAsia="宋体" w:cs="宋体"/>
                <w:sz w:val="22"/>
                <w:szCs w:val="22"/>
              </w:rPr>
              <w:t>25Nm的扭矩，保持30s，试验后铐体与扇梁不脱离，且符合灵活性的要求。</w:t>
            </w:r>
          </w:p>
          <w:p>
            <w:pPr>
              <w:tabs>
                <w:tab w:val="left" w:pos="658"/>
              </w:tabs>
              <w:spacing w:line="360" w:lineRule="auto"/>
              <w:jc w:val="left"/>
              <w:rPr>
                <w:rFonts w:hint="eastAsia" w:ascii="宋体" w:hAnsi="宋体" w:eastAsia="宋体" w:cs="宋体"/>
                <w:sz w:val="22"/>
                <w:szCs w:val="22"/>
              </w:rPr>
            </w:pPr>
            <w:r>
              <w:rPr>
                <w:rFonts w:hint="eastAsia" w:ascii="宋体" w:hAnsi="宋体" w:eastAsia="宋体" w:cs="宋体"/>
                <w:sz w:val="22"/>
                <w:szCs w:val="22"/>
              </w:rPr>
              <w:t>耐用度：金属手铐用钥匙正常开启，锁闭为一个循环，经过</w:t>
            </w:r>
            <w:r>
              <w:rPr>
                <w:rFonts w:hint="eastAsia" w:ascii="宋体" w:hAnsi="宋体" w:eastAsia="宋体" w:cs="宋体"/>
                <w:sz w:val="22"/>
                <w:szCs w:val="22"/>
                <w:lang w:val="en-US" w:eastAsia="zh-CN"/>
              </w:rPr>
              <w:t>≥</w:t>
            </w:r>
            <w:r>
              <w:rPr>
                <w:rFonts w:hint="eastAsia" w:ascii="宋体" w:hAnsi="宋体" w:eastAsia="宋体" w:cs="宋体"/>
                <w:sz w:val="22"/>
                <w:szCs w:val="22"/>
              </w:rPr>
              <w:t>15000次循环（每1000次循环后反锁定位1次）。</w:t>
            </w:r>
          </w:p>
          <w:p>
            <w:pPr>
              <w:tabs>
                <w:tab w:val="left" w:pos="658"/>
              </w:tabs>
              <w:spacing w:line="360" w:lineRule="auto"/>
              <w:jc w:val="left"/>
              <w:rPr>
                <w:rFonts w:hint="eastAsia" w:ascii="宋体" w:hAnsi="宋体" w:eastAsia="宋体" w:cs="宋体"/>
                <w:sz w:val="22"/>
                <w:szCs w:val="22"/>
              </w:rPr>
            </w:pPr>
            <w:r>
              <w:rPr>
                <w:rFonts w:hint="eastAsia" w:ascii="宋体" w:hAnsi="宋体" w:eastAsia="宋体" w:cs="宋体"/>
                <w:sz w:val="22"/>
                <w:szCs w:val="22"/>
              </w:rPr>
              <w:t>跌落可靠性：</w:t>
            </w:r>
            <w:r>
              <w:rPr>
                <w:rFonts w:hint="eastAsia" w:ascii="宋体" w:hAnsi="宋体" w:eastAsia="宋体" w:cs="宋体"/>
                <w:sz w:val="22"/>
                <w:szCs w:val="22"/>
                <w:lang w:val="en-US" w:eastAsia="zh-CN"/>
              </w:rPr>
              <w:t>≥</w:t>
            </w:r>
            <w:r>
              <w:rPr>
                <w:rFonts w:hint="eastAsia" w:ascii="宋体" w:hAnsi="宋体" w:eastAsia="宋体" w:cs="宋体"/>
                <w:sz w:val="22"/>
                <w:szCs w:val="22"/>
              </w:rPr>
              <w:t>2m高度处自由跌落至水泥地面后，符合灵活性的要求。</w:t>
            </w:r>
          </w:p>
          <w:p>
            <w:pPr>
              <w:tabs>
                <w:tab w:val="left" w:pos="658"/>
              </w:tabs>
              <w:spacing w:line="360" w:lineRule="auto"/>
              <w:jc w:val="left"/>
              <w:rPr>
                <w:rFonts w:hint="eastAsia" w:ascii="宋体" w:hAnsi="宋体" w:eastAsia="宋体" w:cs="宋体"/>
                <w:sz w:val="22"/>
                <w:szCs w:val="22"/>
              </w:rPr>
            </w:pPr>
            <w:r>
              <w:rPr>
                <w:rFonts w:hint="eastAsia" w:ascii="宋体" w:hAnsi="宋体" w:eastAsia="宋体" w:cs="宋体"/>
                <w:sz w:val="22"/>
                <w:szCs w:val="22"/>
              </w:rPr>
              <w:t>耐腐蚀性：≥</w:t>
            </w:r>
            <w:r>
              <w:rPr>
                <w:rFonts w:hint="eastAsia" w:ascii="宋体" w:hAnsi="宋体" w:eastAsia="宋体" w:cs="宋体"/>
                <w:sz w:val="22"/>
                <w:szCs w:val="22"/>
                <w:lang w:val="en-US" w:eastAsia="zh-CN"/>
              </w:rPr>
              <w:t>9</w:t>
            </w:r>
            <w:r>
              <w:rPr>
                <w:rFonts w:hint="eastAsia" w:ascii="宋体" w:hAnsi="宋体" w:eastAsia="宋体" w:cs="宋体"/>
                <w:sz w:val="22"/>
                <w:szCs w:val="22"/>
              </w:rPr>
              <w:t>级。</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lang w:val="en-US" w:eastAsia="zh-CN"/>
              </w:rPr>
              <w:t>执行标准：</w:t>
            </w:r>
            <w:r>
              <w:rPr>
                <w:rFonts w:hint="eastAsia" w:ascii="宋体" w:hAnsi="宋体" w:eastAsia="宋体" w:cs="宋体"/>
                <w:sz w:val="22"/>
                <w:szCs w:val="22"/>
              </w:rPr>
              <w:t>GA1512-2018《公安单警装备</w:t>
            </w:r>
            <w:r>
              <w:rPr>
                <w:rFonts w:hint="eastAsia" w:ascii="宋体" w:hAnsi="宋体" w:eastAsia="宋体" w:cs="宋体"/>
                <w:sz w:val="22"/>
                <w:szCs w:val="22"/>
                <w:lang w:val="en-US" w:eastAsia="zh-CN"/>
              </w:rPr>
              <w:t xml:space="preserve"> </w:t>
            </w:r>
            <w:r>
              <w:rPr>
                <w:rFonts w:hint="eastAsia" w:ascii="宋体" w:hAnsi="宋体" w:eastAsia="宋体" w:cs="宋体"/>
                <w:sz w:val="22"/>
                <w:szCs w:val="22"/>
              </w:rPr>
              <w:t>金属手铐》</w:t>
            </w:r>
          </w:p>
          <w:p>
            <w:pPr>
              <w:pStyle w:val="60"/>
              <w:spacing w:line="360" w:lineRule="auto"/>
              <w:ind w:left="0" w:leftChars="0" w:firstLine="0" w:firstLineChars="0"/>
              <w:jc w:val="left"/>
              <w:rPr>
                <w:rFonts w:hint="eastAsia" w:ascii="宋体" w:hAnsi="宋体" w:eastAsia="宋体" w:cs="宋体"/>
                <w:kern w:val="2"/>
                <w:sz w:val="22"/>
                <w:szCs w:val="22"/>
                <w:lang w:val="en-US" w:eastAsia="zh-CN" w:bidi="ar-SA"/>
              </w:rPr>
            </w:pPr>
            <w:r>
              <w:rPr>
                <w:rFonts w:hint="eastAsia" w:ascii="宋体" w:hAnsi="宋体" w:eastAsia="宋体" w:cs="宋体"/>
                <w:b/>
                <w:bCs/>
                <w:kern w:val="2"/>
                <w:sz w:val="22"/>
                <w:szCs w:val="22"/>
                <w:vertAlign w:val="baseline"/>
                <w:lang w:val="en-US" w:eastAsia="zh-CN" w:bidi="ar-SA"/>
              </w:rPr>
              <w:t>需提供公安部检测机构出具的产品检测报告（复印件加盖公章）。</w:t>
            </w:r>
          </w:p>
        </w:tc>
        <w:tc>
          <w:tcPr>
            <w:tcW w:w="1466" w:type="dxa"/>
            <w:vAlign w:val="center"/>
          </w:tcPr>
          <w:p>
            <w:pPr>
              <w:pStyle w:val="60"/>
              <w:spacing w:line="360" w:lineRule="auto"/>
              <w:ind w:left="0" w:leftChars="0" w:firstLine="0" w:firstLineChars="0"/>
              <w:jc w:val="center"/>
              <w:rPr>
                <w:rFonts w:hint="default" w:ascii="宋体" w:hAnsi="宋体" w:eastAsia="宋体" w:cs="宋体"/>
                <w:b/>
                <w:bCs/>
                <w:kern w:val="2"/>
                <w:sz w:val="22"/>
                <w:szCs w:val="22"/>
                <w:vertAlign w:val="baseline"/>
                <w:lang w:val="en-US" w:eastAsia="zh-CN" w:bidi="ar-SA"/>
              </w:rPr>
            </w:pPr>
            <w:r>
              <w:rPr>
                <w:rFonts w:hint="eastAsia" w:ascii="宋体" w:hAnsi="宋体" w:cs="宋体"/>
                <w:b/>
                <w:bCs/>
                <w:kern w:val="2"/>
                <w:sz w:val="22"/>
                <w:szCs w:val="22"/>
                <w:vertAlign w:val="baseline"/>
                <w:lang w:val="en-US" w:eastAsia="zh-CN" w:bidi="ar-SA"/>
              </w:rPr>
              <w:t>100副</w:t>
            </w:r>
          </w:p>
        </w:tc>
        <w:tc>
          <w:tcPr>
            <w:tcW w:w="4050" w:type="dxa"/>
            <w:vAlign w:val="top"/>
          </w:tcPr>
          <w:p>
            <w:pPr>
              <w:spacing w:line="360" w:lineRule="auto"/>
              <w:jc w:val="left"/>
              <w:rPr>
                <w:rFonts w:hint="eastAsia" w:ascii="宋体" w:hAnsi="宋体" w:eastAsia="宋体" w:cs="宋体"/>
                <w:sz w:val="22"/>
                <w:szCs w:val="22"/>
              </w:rPr>
            </w:pPr>
            <w:r>
              <w:fldChar w:fldCharType="begin"/>
            </w:r>
            <w:r>
              <w:instrText xml:space="preserve">INCLUDEPICTURE \d "http://www.ytyuanda.com/upload/201805/thumb/1527217940.jpg" \* MERGEFORMATINET </w:instrText>
            </w:r>
            <w:r>
              <w:fldChar w:fldCharType="separate"/>
            </w:r>
            <w:r>
              <w:drawing>
                <wp:inline distT="0" distB="0" distL="114300" distR="114300">
                  <wp:extent cx="1077595" cy="604520"/>
                  <wp:effectExtent l="0" t="0" r="8255" b="508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31"/>
                          <a:srcRect t="14680" b="12160"/>
                          <a:stretch>
                            <a:fillRect/>
                          </a:stretch>
                        </pic:blipFill>
                        <pic:spPr>
                          <a:xfrm>
                            <a:off x="0" y="0"/>
                            <a:ext cx="1077595" cy="604520"/>
                          </a:xfrm>
                          <a:prstGeom prst="rect">
                            <a:avLst/>
                          </a:prstGeom>
                          <a:noFill/>
                          <a:ln>
                            <a:noFill/>
                          </a:ln>
                        </pic:spPr>
                      </pic:pic>
                    </a:graphicData>
                  </a:graphic>
                </wp:inline>
              </w:drawing>
            </w:r>
            <w: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8" w:hRule="atLeast"/>
        </w:trPr>
        <w:tc>
          <w:tcPr>
            <w:tcW w:w="662"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脚镣手铐</w:t>
            </w:r>
          </w:p>
        </w:tc>
        <w:tc>
          <w:tcPr>
            <w:tcW w:w="3270" w:type="dxa"/>
            <w:vAlign w:val="top"/>
          </w:tcPr>
          <w:p>
            <w:pPr>
              <w:spacing w:line="360" w:lineRule="auto"/>
              <w:rPr>
                <w:rFonts w:hint="eastAsia" w:ascii="宋体" w:hAnsi="宋体" w:eastAsia="宋体" w:cs="宋体"/>
                <w:sz w:val="22"/>
                <w:szCs w:val="22"/>
              </w:rPr>
            </w:pPr>
            <w:r>
              <w:rPr>
                <w:rFonts w:hint="eastAsia" w:ascii="宋体" w:hAnsi="宋体" w:eastAsia="宋体" w:cs="宋体"/>
                <w:sz w:val="22"/>
                <w:szCs w:val="22"/>
                <w:lang w:val="en-US" w:eastAsia="zh-CN"/>
              </w:rPr>
              <w:t>组成：</w:t>
            </w:r>
            <w:r>
              <w:rPr>
                <w:rFonts w:hint="eastAsia" w:ascii="宋体" w:hAnsi="宋体" w:eastAsia="宋体" w:cs="宋体"/>
                <w:sz w:val="22"/>
                <w:szCs w:val="22"/>
              </w:rPr>
              <w:t>由手铐、脚镣以及两者连接链组成。</w:t>
            </w:r>
          </w:p>
          <w:p>
            <w:pPr>
              <w:spacing w:line="360" w:lineRule="auto"/>
              <w:rPr>
                <w:rFonts w:hint="eastAsia" w:ascii="宋体" w:hAnsi="宋体" w:eastAsia="宋体" w:cs="宋体"/>
                <w:sz w:val="22"/>
                <w:szCs w:val="22"/>
              </w:rPr>
            </w:pPr>
            <w:r>
              <w:rPr>
                <w:rFonts w:hint="eastAsia" w:ascii="宋体" w:hAnsi="宋体" w:eastAsia="宋体" w:cs="宋体"/>
                <w:sz w:val="22"/>
                <w:szCs w:val="22"/>
              </w:rPr>
              <w:t>手铐结构：手铐结构由铐体、扇粱、接头、链条和钥匙组成。</w:t>
            </w:r>
          </w:p>
          <w:p>
            <w:pPr>
              <w:spacing w:line="360" w:lineRule="auto"/>
              <w:rPr>
                <w:rFonts w:hint="eastAsia" w:ascii="宋体" w:hAnsi="宋体" w:eastAsia="宋体" w:cs="宋体"/>
                <w:sz w:val="22"/>
                <w:szCs w:val="22"/>
              </w:rPr>
            </w:pPr>
            <w:r>
              <w:rPr>
                <w:rFonts w:hint="eastAsia" w:ascii="宋体" w:hAnsi="宋体" w:eastAsia="宋体" w:cs="宋体"/>
                <w:sz w:val="22"/>
                <w:szCs w:val="22"/>
              </w:rPr>
              <w:t>手铐规格：L：180mm±2mm，H55mm±2mm，B68mm±2mm</w:t>
            </w:r>
          </w:p>
          <w:p>
            <w:pPr>
              <w:spacing w:line="360" w:lineRule="auto"/>
              <w:rPr>
                <w:rFonts w:hint="eastAsia" w:ascii="宋体" w:hAnsi="宋体" w:eastAsia="宋体" w:cs="宋体"/>
                <w:sz w:val="22"/>
                <w:szCs w:val="22"/>
              </w:rPr>
            </w:pPr>
            <w:r>
              <w:rPr>
                <w:rFonts w:hint="eastAsia" w:ascii="宋体" w:hAnsi="宋体" w:eastAsia="宋体" w:cs="宋体"/>
                <w:sz w:val="22"/>
                <w:szCs w:val="22"/>
              </w:rPr>
              <w:t>手铐灵活度：金属手铐的钥匙与锁芯应配合紧密，钥匙插入锁芯后应旋转灵活、无阻滞；金属手铐的启闭应灵活、无阻滞。</w:t>
            </w:r>
          </w:p>
          <w:p>
            <w:pPr>
              <w:spacing w:line="360" w:lineRule="auto"/>
              <w:rPr>
                <w:rFonts w:hint="eastAsia" w:ascii="宋体" w:hAnsi="宋体" w:eastAsia="宋体" w:cs="宋体"/>
                <w:sz w:val="22"/>
                <w:szCs w:val="22"/>
              </w:rPr>
            </w:pPr>
            <w:r>
              <w:rPr>
                <w:rFonts w:hint="eastAsia" w:ascii="宋体" w:hAnsi="宋体" w:eastAsia="宋体" w:cs="宋体"/>
                <w:sz w:val="22"/>
                <w:szCs w:val="22"/>
              </w:rPr>
              <w:t>反锁定位性能：手铐反锁定位功能方便、可靠，处于反锁定位状态的金属手铐在</w:t>
            </w:r>
            <w:r>
              <w:rPr>
                <w:rFonts w:hint="eastAsia" w:ascii="宋体" w:hAnsi="宋体" w:eastAsia="宋体" w:cs="宋体"/>
                <w:sz w:val="22"/>
                <w:szCs w:val="22"/>
                <w:lang w:val="en-US" w:eastAsia="zh-CN"/>
              </w:rPr>
              <w:t>≥</w:t>
            </w:r>
            <w:r>
              <w:rPr>
                <w:rFonts w:hint="eastAsia" w:ascii="宋体" w:hAnsi="宋体" w:eastAsia="宋体" w:cs="宋体"/>
                <w:sz w:val="22"/>
                <w:szCs w:val="22"/>
              </w:rPr>
              <w:t>1500N静压力作用下不出现啮合松动或失效现象。</w:t>
            </w:r>
          </w:p>
          <w:p>
            <w:pPr>
              <w:spacing w:line="360" w:lineRule="auto"/>
              <w:rPr>
                <w:rFonts w:hint="eastAsia" w:ascii="宋体" w:hAnsi="宋体" w:eastAsia="宋体" w:cs="宋体"/>
                <w:sz w:val="22"/>
                <w:szCs w:val="22"/>
              </w:rPr>
            </w:pPr>
            <w:r>
              <w:rPr>
                <w:rFonts w:hint="eastAsia" w:ascii="宋体" w:hAnsi="宋体" w:eastAsia="宋体" w:cs="宋体"/>
                <w:sz w:val="22"/>
                <w:szCs w:val="22"/>
              </w:rPr>
              <w:t>防拨性能：防拨净工作时间达到2min。</w:t>
            </w:r>
          </w:p>
          <w:p>
            <w:pPr>
              <w:spacing w:line="360" w:lineRule="auto"/>
              <w:rPr>
                <w:rFonts w:hint="eastAsia" w:ascii="宋体" w:hAnsi="宋体" w:eastAsia="宋体" w:cs="宋体"/>
                <w:sz w:val="22"/>
                <w:szCs w:val="22"/>
              </w:rPr>
            </w:pPr>
            <w:r>
              <w:rPr>
                <w:rFonts w:hint="eastAsia" w:ascii="宋体" w:hAnsi="宋体" w:eastAsia="宋体" w:cs="宋体"/>
                <w:sz w:val="22"/>
                <w:szCs w:val="22"/>
              </w:rPr>
              <w:t>纵向强度：对金属手铐施加</w:t>
            </w:r>
            <w:r>
              <w:rPr>
                <w:rFonts w:hint="eastAsia" w:ascii="宋体" w:hAnsi="宋体" w:eastAsia="宋体" w:cs="宋体"/>
                <w:sz w:val="22"/>
                <w:szCs w:val="22"/>
                <w:lang w:val="en-US" w:eastAsia="zh-CN"/>
              </w:rPr>
              <w:t>≥</w:t>
            </w:r>
            <w:r>
              <w:rPr>
                <w:rFonts w:hint="eastAsia" w:ascii="宋体" w:hAnsi="宋体" w:eastAsia="宋体" w:cs="宋体"/>
                <w:sz w:val="22"/>
                <w:szCs w:val="22"/>
              </w:rPr>
              <w:t>2200N纵向静拉力，保持30s，金属手铐不被打开，不产生永久性变形或裂纹，金属手铐能正常使用。</w:t>
            </w:r>
          </w:p>
          <w:p>
            <w:pPr>
              <w:spacing w:line="360" w:lineRule="auto"/>
              <w:rPr>
                <w:rFonts w:hint="eastAsia" w:ascii="宋体" w:hAnsi="宋体" w:eastAsia="宋体" w:cs="宋体"/>
                <w:sz w:val="22"/>
                <w:szCs w:val="22"/>
              </w:rPr>
            </w:pPr>
            <w:r>
              <w:rPr>
                <w:rFonts w:hint="eastAsia" w:ascii="宋体" w:hAnsi="宋体" w:eastAsia="宋体" w:cs="宋体"/>
                <w:sz w:val="22"/>
                <w:szCs w:val="22"/>
              </w:rPr>
              <w:t>横向强度：对金属手铐施加</w:t>
            </w:r>
            <w:r>
              <w:rPr>
                <w:rFonts w:hint="eastAsia" w:ascii="宋体" w:hAnsi="宋体" w:eastAsia="宋体" w:cs="宋体"/>
                <w:sz w:val="22"/>
                <w:szCs w:val="22"/>
                <w:lang w:val="en-US" w:eastAsia="zh-CN"/>
              </w:rPr>
              <w:t>≥</w:t>
            </w:r>
            <w:r>
              <w:rPr>
                <w:rFonts w:hint="eastAsia" w:ascii="宋体" w:hAnsi="宋体" w:eastAsia="宋体" w:cs="宋体"/>
                <w:sz w:val="22"/>
                <w:szCs w:val="22"/>
              </w:rPr>
              <w:t>2200N横向静拉力，保持30s，金属手铐不被打开，不产生永久性变形或裂纹，金属手铐能正常使用。</w:t>
            </w:r>
          </w:p>
          <w:p>
            <w:pPr>
              <w:spacing w:line="360" w:lineRule="auto"/>
              <w:rPr>
                <w:rFonts w:hint="eastAsia" w:ascii="宋体" w:hAnsi="宋体" w:eastAsia="宋体" w:cs="宋体"/>
                <w:sz w:val="22"/>
                <w:szCs w:val="22"/>
              </w:rPr>
            </w:pPr>
            <w:r>
              <w:rPr>
                <w:rFonts w:hint="eastAsia" w:ascii="宋体" w:hAnsi="宋体" w:eastAsia="宋体" w:cs="宋体"/>
                <w:sz w:val="22"/>
                <w:szCs w:val="22"/>
              </w:rPr>
              <w:t>固定件强度：对金属手铐的固定件施加</w:t>
            </w:r>
            <w:r>
              <w:rPr>
                <w:rFonts w:hint="eastAsia" w:ascii="宋体" w:hAnsi="宋体" w:eastAsia="宋体" w:cs="宋体"/>
                <w:sz w:val="22"/>
                <w:szCs w:val="22"/>
                <w:lang w:val="en-US" w:eastAsia="zh-CN"/>
              </w:rPr>
              <w:t>≥</w:t>
            </w:r>
            <w:r>
              <w:rPr>
                <w:rFonts w:hint="eastAsia" w:ascii="宋体" w:hAnsi="宋体" w:eastAsia="宋体" w:cs="宋体"/>
                <w:sz w:val="22"/>
                <w:szCs w:val="22"/>
              </w:rPr>
              <w:t>2940N静拉力，保持30s，固定连接件不松脱，金属手铐能正常使用。</w:t>
            </w:r>
          </w:p>
          <w:p>
            <w:pPr>
              <w:spacing w:line="360" w:lineRule="auto"/>
              <w:rPr>
                <w:rFonts w:hint="eastAsia" w:ascii="宋体" w:hAnsi="宋体" w:eastAsia="宋体" w:cs="宋体"/>
                <w:sz w:val="22"/>
                <w:szCs w:val="22"/>
              </w:rPr>
            </w:pPr>
            <w:r>
              <w:rPr>
                <w:rFonts w:hint="eastAsia" w:ascii="宋体" w:hAnsi="宋体" w:eastAsia="宋体" w:cs="宋体"/>
                <w:sz w:val="22"/>
                <w:szCs w:val="22"/>
              </w:rPr>
              <w:t>手铐钥匙强度：对金属手铐的钥匙施加</w:t>
            </w:r>
            <w:r>
              <w:rPr>
                <w:rFonts w:hint="eastAsia" w:ascii="宋体" w:hAnsi="宋体" w:eastAsia="宋体" w:cs="宋体"/>
                <w:sz w:val="22"/>
                <w:szCs w:val="22"/>
                <w:lang w:val="en-US" w:eastAsia="zh-CN"/>
              </w:rPr>
              <w:t>≥</w:t>
            </w:r>
            <w:r>
              <w:rPr>
                <w:rFonts w:hint="eastAsia" w:ascii="宋体" w:hAnsi="宋体" w:eastAsia="宋体" w:cs="宋体"/>
                <w:sz w:val="22"/>
                <w:szCs w:val="22"/>
              </w:rPr>
              <w:t>2Nm扭矩，保持30s，钥匙能正常使用。</w:t>
            </w:r>
          </w:p>
          <w:p>
            <w:pPr>
              <w:spacing w:line="360" w:lineRule="auto"/>
              <w:rPr>
                <w:rFonts w:hint="eastAsia" w:ascii="宋体" w:hAnsi="宋体" w:eastAsia="宋体" w:cs="宋体"/>
                <w:sz w:val="22"/>
                <w:szCs w:val="22"/>
              </w:rPr>
            </w:pPr>
            <w:r>
              <w:rPr>
                <w:rFonts w:hint="eastAsia" w:ascii="宋体" w:hAnsi="宋体" w:eastAsia="宋体" w:cs="宋体"/>
                <w:sz w:val="22"/>
                <w:szCs w:val="22"/>
              </w:rPr>
              <w:t>耐用度：金属手铐正常开启、锁闭</w:t>
            </w:r>
            <w:r>
              <w:rPr>
                <w:rFonts w:hint="eastAsia" w:ascii="宋体" w:hAnsi="宋体" w:eastAsia="宋体" w:cs="宋体"/>
                <w:sz w:val="22"/>
                <w:szCs w:val="22"/>
                <w:lang w:val="en-US" w:eastAsia="zh-CN"/>
              </w:rPr>
              <w:t>≥</w:t>
            </w:r>
            <w:r>
              <w:rPr>
                <w:rFonts w:hint="eastAsia" w:ascii="宋体" w:hAnsi="宋体" w:eastAsia="宋体" w:cs="宋体"/>
                <w:sz w:val="22"/>
                <w:szCs w:val="22"/>
              </w:rPr>
              <w:t>6000次后能正常使用。</w:t>
            </w:r>
          </w:p>
          <w:p>
            <w:pPr>
              <w:pStyle w:val="14"/>
              <w:spacing w:line="360" w:lineRule="auto"/>
              <w:ind w:left="0" w:leftChars="0"/>
              <w:rPr>
                <w:rFonts w:hint="eastAsia" w:ascii="宋体" w:hAnsi="宋体" w:eastAsia="宋体" w:cs="宋体"/>
                <w:sz w:val="22"/>
                <w:szCs w:val="22"/>
              </w:rPr>
            </w:pPr>
            <w:r>
              <w:rPr>
                <w:rFonts w:hint="eastAsia" w:ascii="宋体" w:hAnsi="宋体" w:eastAsia="宋体" w:cs="宋体"/>
                <w:sz w:val="22"/>
                <w:szCs w:val="22"/>
              </w:rPr>
              <w:t>金属脚镣外表面应光滑，无棱角、毛刺、起泡和脱落等现象。各连接部位应圆滑。金属脚镣的左、右镣体形状应一致，无明显弯曲变形。金属脚镣的镣体腕口尺寸应能调节。</w:t>
            </w:r>
          </w:p>
          <w:p>
            <w:pPr>
              <w:spacing w:line="360" w:lineRule="auto"/>
              <w:rPr>
                <w:rFonts w:hint="eastAsia" w:ascii="宋体" w:hAnsi="宋体" w:eastAsia="宋体" w:cs="宋体"/>
                <w:sz w:val="22"/>
                <w:szCs w:val="22"/>
              </w:rPr>
            </w:pPr>
            <w:r>
              <w:rPr>
                <w:rFonts w:hint="eastAsia" w:ascii="宋体" w:hAnsi="宋体" w:eastAsia="宋体" w:cs="宋体"/>
                <w:sz w:val="22"/>
                <w:szCs w:val="22"/>
              </w:rPr>
              <w:t>尺寸：H80mm±5mm，B80mm±5mm。</w:t>
            </w:r>
          </w:p>
          <w:p>
            <w:pPr>
              <w:pStyle w:val="14"/>
              <w:spacing w:line="360" w:lineRule="auto"/>
              <w:ind w:left="0" w:leftChars="0"/>
              <w:rPr>
                <w:rFonts w:hint="eastAsia" w:ascii="宋体" w:hAnsi="宋体" w:eastAsia="宋体" w:cs="宋体"/>
                <w:sz w:val="22"/>
                <w:szCs w:val="22"/>
              </w:rPr>
            </w:pPr>
            <w:r>
              <w:rPr>
                <w:rFonts w:hint="eastAsia" w:ascii="宋体" w:hAnsi="宋体" w:eastAsia="宋体" w:cs="宋体"/>
                <w:sz w:val="22"/>
                <w:szCs w:val="22"/>
              </w:rPr>
              <w:t>灵活度：螺扣型金属脚镣的启闭应灵活、无阻滞。螺扣型金属脚镣的开启工具应为专用工具，开启工具与螺扣应配合紧密。</w:t>
            </w:r>
          </w:p>
          <w:p>
            <w:pPr>
              <w:spacing w:line="360" w:lineRule="auto"/>
              <w:rPr>
                <w:rFonts w:hint="eastAsia" w:ascii="宋体" w:hAnsi="宋体" w:eastAsia="宋体" w:cs="宋体"/>
                <w:sz w:val="22"/>
                <w:szCs w:val="22"/>
              </w:rPr>
            </w:pPr>
            <w:r>
              <w:rPr>
                <w:rFonts w:hint="eastAsia" w:ascii="宋体" w:hAnsi="宋体" w:eastAsia="宋体" w:cs="宋体"/>
                <w:sz w:val="22"/>
                <w:szCs w:val="22"/>
              </w:rPr>
              <w:t>防开启性能：螺扣型金属脚镣的防开启工作时间应能达到5min。</w:t>
            </w:r>
          </w:p>
          <w:p>
            <w:pPr>
              <w:pStyle w:val="14"/>
              <w:spacing w:line="360" w:lineRule="auto"/>
              <w:ind w:left="0" w:leftChars="0"/>
              <w:rPr>
                <w:rFonts w:hint="eastAsia" w:ascii="宋体" w:hAnsi="宋体" w:eastAsia="宋体" w:cs="宋体"/>
                <w:sz w:val="22"/>
                <w:szCs w:val="22"/>
              </w:rPr>
            </w:pPr>
            <w:r>
              <w:rPr>
                <w:rFonts w:hint="eastAsia" w:ascii="宋体" w:hAnsi="宋体" w:eastAsia="宋体" w:cs="宋体"/>
                <w:sz w:val="22"/>
                <w:szCs w:val="22"/>
              </w:rPr>
              <w:t>强度：对金属脚镣施加</w:t>
            </w:r>
            <w:r>
              <w:rPr>
                <w:rFonts w:hint="eastAsia" w:ascii="宋体" w:hAnsi="宋体" w:eastAsia="宋体" w:cs="宋体"/>
                <w:sz w:val="22"/>
                <w:szCs w:val="22"/>
                <w:lang w:val="en-US" w:eastAsia="zh-CN"/>
              </w:rPr>
              <w:t>≥</w:t>
            </w:r>
            <w:r>
              <w:rPr>
                <w:rFonts w:hint="eastAsia" w:ascii="宋体" w:hAnsi="宋体" w:eastAsia="宋体" w:cs="宋体"/>
                <w:sz w:val="22"/>
                <w:szCs w:val="22"/>
              </w:rPr>
              <w:t>3000N的纵向静拉力保持30s．试验过程中金属脚镣不应被打开，试验后镣体上不应产生永久变形或裂缝,金属脚镣应能正常开启和锁闭。对金属脚镣施加</w:t>
            </w:r>
            <w:r>
              <w:rPr>
                <w:rFonts w:hint="eastAsia" w:ascii="宋体" w:hAnsi="宋体" w:eastAsia="宋体" w:cs="宋体"/>
                <w:sz w:val="22"/>
                <w:szCs w:val="22"/>
                <w:lang w:val="en-US" w:eastAsia="zh-CN"/>
              </w:rPr>
              <w:t>≥</w:t>
            </w:r>
            <w:r>
              <w:rPr>
                <w:rFonts w:hint="eastAsia" w:ascii="宋体" w:hAnsi="宋体" w:eastAsia="宋体" w:cs="宋体"/>
                <w:sz w:val="22"/>
                <w:szCs w:val="22"/>
              </w:rPr>
              <w:t>3000N的横向静拉力，保持30s．试验过程中金属脚镣不应被打开，试验后镣体上不应产生永久变形或裂缝,金属脚镣应能正常开启和锁闭。</w:t>
            </w:r>
          </w:p>
          <w:p>
            <w:pPr>
              <w:spacing w:line="360" w:lineRule="auto"/>
              <w:rPr>
                <w:rFonts w:hint="eastAsia" w:ascii="宋体" w:hAnsi="宋体" w:eastAsia="宋体" w:cs="宋体"/>
                <w:sz w:val="22"/>
                <w:szCs w:val="22"/>
              </w:rPr>
            </w:pPr>
            <w:r>
              <w:rPr>
                <w:rFonts w:hint="eastAsia" w:ascii="宋体" w:hAnsi="宋体" w:eastAsia="宋体" w:cs="宋体"/>
                <w:sz w:val="22"/>
                <w:szCs w:val="22"/>
              </w:rPr>
              <w:t>耐用度：金属脚镣开启、关闭</w:t>
            </w:r>
            <w:r>
              <w:rPr>
                <w:rFonts w:hint="eastAsia" w:ascii="宋体" w:hAnsi="宋体" w:eastAsia="宋体" w:cs="宋体"/>
                <w:sz w:val="22"/>
                <w:szCs w:val="22"/>
                <w:lang w:val="en-US" w:eastAsia="zh-CN"/>
              </w:rPr>
              <w:t>≥</w:t>
            </w:r>
            <w:r>
              <w:rPr>
                <w:rFonts w:hint="eastAsia" w:ascii="宋体" w:hAnsi="宋体" w:eastAsia="宋体" w:cs="宋体"/>
                <w:sz w:val="22"/>
                <w:szCs w:val="22"/>
              </w:rPr>
              <w:t>3000次后，灵活度应满足要求。</w:t>
            </w:r>
          </w:p>
          <w:p>
            <w:pPr>
              <w:pStyle w:val="14"/>
              <w:spacing w:line="360" w:lineRule="auto"/>
              <w:ind w:left="0" w:leftChars="0"/>
              <w:rPr>
                <w:rFonts w:hint="eastAsia" w:ascii="宋体" w:hAnsi="宋体" w:eastAsia="宋体" w:cs="宋体"/>
                <w:sz w:val="22"/>
                <w:szCs w:val="22"/>
              </w:rPr>
            </w:pPr>
            <w:r>
              <w:rPr>
                <w:rFonts w:hint="eastAsia" w:ascii="宋体" w:hAnsi="宋体" w:eastAsia="宋体" w:cs="宋体"/>
                <w:sz w:val="22"/>
                <w:szCs w:val="22"/>
              </w:rPr>
              <w:t>漆膜附着力：金属脚镣的涂漆部件的漆膜附着力不低GB/T 1720-1979中规定的二级；金属脚镣表面涂覆层的附着力应不低于GB/T 9286-1998中规定的4级。</w:t>
            </w:r>
          </w:p>
          <w:p>
            <w:pPr>
              <w:spacing w:line="360" w:lineRule="auto"/>
              <w:rPr>
                <w:rFonts w:hint="eastAsia" w:ascii="宋体" w:hAnsi="宋体" w:eastAsia="宋体" w:cs="宋体"/>
                <w:sz w:val="22"/>
                <w:szCs w:val="22"/>
              </w:rPr>
            </w:pPr>
            <w:r>
              <w:rPr>
                <w:rFonts w:hint="eastAsia" w:ascii="宋体" w:hAnsi="宋体" w:eastAsia="宋体" w:cs="宋体"/>
                <w:sz w:val="22"/>
                <w:szCs w:val="22"/>
              </w:rPr>
              <w:t>耐跌落性能：金属脚镣处于锁闭状态，将金属脚镣分别以水平横放、链条朝上两只镣体垂直向下、链条垂直向下两只镣体朝上3种状态，自</w:t>
            </w:r>
            <w:r>
              <w:rPr>
                <w:rFonts w:hint="eastAsia" w:ascii="宋体" w:hAnsi="宋体" w:eastAsia="宋体" w:cs="宋体"/>
                <w:sz w:val="22"/>
                <w:szCs w:val="22"/>
                <w:lang w:val="en-US" w:eastAsia="zh-CN"/>
              </w:rPr>
              <w:t>≥</w:t>
            </w:r>
            <w:r>
              <w:rPr>
                <w:rFonts w:hint="eastAsia" w:ascii="宋体" w:hAnsi="宋体" w:eastAsia="宋体" w:cs="宋体"/>
                <w:sz w:val="22"/>
                <w:szCs w:val="22"/>
              </w:rPr>
              <w:t>1.5m高度处于自由跌落至水泥地面3次，试验后金属脚镣不应出现开启现象并且应能正常使用。</w:t>
            </w:r>
          </w:p>
          <w:p>
            <w:pPr>
              <w:pStyle w:val="14"/>
              <w:spacing w:line="360" w:lineRule="auto"/>
              <w:ind w:left="0" w:leftChars="0"/>
              <w:rPr>
                <w:rFonts w:hint="eastAsia" w:ascii="宋体" w:hAnsi="宋体" w:eastAsia="宋体" w:cs="宋体"/>
                <w:sz w:val="22"/>
                <w:szCs w:val="22"/>
              </w:rPr>
            </w:pPr>
            <w:r>
              <w:rPr>
                <w:rFonts w:hint="eastAsia" w:ascii="宋体" w:hAnsi="宋体" w:eastAsia="宋体" w:cs="宋体"/>
                <w:sz w:val="22"/>
                <w:szCs w:val="22"/>
              </w:rPr>
              <w:t>耐碰撞性能：使螺扣型金属脚镣处于锁闭状态，经过峰值加速度为10g、脉冲持续时间为16ms、沿镣体中心线方向及其垂直方向各1000次的碰撞试验，试验后金属脚镣不应出现开启现象并且能正常使用。</w:t>
            </w:r>
          </w:p>
          <w:p>
            <w:pPr>
              <w:spacing w:line="360" w:lineRule="auto"/>
              <w:rPr>
                <w:rFonts w:hint="eastAsia" w:ascii="宋体" w:hAnsi="宋体" w:eastAsia="宋体" w:cs="宋体"/>
                <w:sz w:val="22"/>
                <w:szCs w:val="22"/>
              </w:rPr>
            </w:pPr>
            <w:r>
              <w:rPr>
                <w:rFonts w:hint="eastAsia" w:ascii="宋体" w:hAnsi="宋体" w:eastAsia="宋体" w:cs="宋体"/>
                <w:sz w:val="22"/>
                <w:szCs w:val="22"/>
              </w:rPr>
              <w:t>耐腐蚀性能：金属脚镣的耐腐蚀等级应大于或等于简易10级制定级法中的7级,连续喷雾时间为12h。</w:t>
            </w:r>
          </w:p>
          <w:p>
            <w:pPr>
              <w:pStyle w:val="14"/>
              <w:spacing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质量：≤</w:t>
            </w:r>
            <w:r>
              <w:rPr>
                <w:rFonts w:hint="eastAsia" w:ascii="宋体" w:hAnsi="宋体" w:eastAsia="宋体" w:cs="宋体"/>
                <w:sz w:val="22"/>
                <w:szCs w:val="22"/>
                <w:lang w:val="en-US" w:eastAsia="zh-CN"/>
              </w:rPr>
              <w:t>2.20</w:t>
            </w:r>
            <w:r>
              <w:rPr>
                <w:rFonts w:hint="eastAsia" w:ascii="宋体" w:hAnsi="宋体" w:eastAsia="宋体" w:cs="宋体"/>
                <w:sz w:val="22"/>
                <w:szCs w:val="22"/>
              </w:rPr>
              <w:t>kg</w:t>
            </w:r>
          </w:p>
          <w:p>
            <w:pPr>
              <w:pStyle w:val="14"/>
              <w:spacing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连接件尺寸：中间连接链长度1100mm±10mm</w:t>
            </w:r>
          </w:p>
          <w:p>
            <w:pPr>
              <w:spacing w:line="360" w:lineRule="auto"/>
              <w:rPr>
                <w:rFonts w:hint="eastAsia" w:ascii="宋体" w:hAnsi="宋体" w:eastAsia="宋体" w:cs="宋体"/>
                <w:sz w:val="22"/>
                <w:szCs w:val="22"/>
              </w:rPr>
            </w:pPr>
            <w:r>
              <w:rPr>
                <w:rFonts w:hint="eastAsia" w:ascii="宋体" w:hAnsi="宋体" w:eastAsia="宋体" w:cs="宋体"/>
                <w:sz w:val="22"/>
                <w:szCs w:val="22"/>
              </w:rPr>
              <w:t>执行标准：</w:t>
            </w:r>
            <w:r>
              <w:rPr>
                <w:rFonts w:hint="eastAsia" w:ascii="宋体" w:hAnsi="宋体" w:eastAsia="宋体" w:cs="宋体"/>
                <w:sz w:val="22"/>
                <w:szCs w:val="22"/>
                <w:lang w:val="en-US" w:eastAsia="zh-CN"/>
              </w:rPr>
              <w:t>GA 172-2014 《金属手铐》、</w:t>
            </w:r>
            <w:r>
              <w:rPr>
                <w:rFonts w:hint="eastAsia" w:ascii="宋体" w:hAnsi="宋体" w:eastAsia="宋体" w:cs="宋体"/>
                <w:sz w:val="22"/>
                <w:szCs w:val="22"/>
              </w:rPr>
              <w:t>GA 237-2018《金属脚镣》</w:t>
            </w:r>
          </w:p>
          <w:p>
            <w:pPr>
              <w:pStyle w:val="60"/>
              <w:spacing w:line="360" w:lineRule="auto"/>
              <w:ind w:left="0" w:leftChars="0" w:firstLine="0" w:firstLineChars="0"/>
              <w:jc w:val="left"/>
              <w:rPr>
                <w:rFonts w:hint="eastAsia" w:ascii="宋体" w:hAnsi="宋体" w:eastAsia="宋体" w:cs="宋体"/>
                <w:b/>
                <w:bCs/>
                <w:kern w:val="2"/>
                <w:sz w:val="22"/>
                <w:szCs w:val="22"/>
                <w:vertAlign w:val="baseline"/>
                <w:lang w:val="en-US" w:eastAsia="zh-CN" w:bidi="ar-SA"/>
              </w:rPr>
            </w:pPr>
            <w:r>
              <w:rPr>
                <w:rFonts w:hint="eastAsia" w:ascii="宋体" w:hAnsi="宋体" w:eastAsia="宋体" w:cs="宋体"/>
                <w:b/>
                <w:bCs/>
                <w:kern w:val="2"/>
                <w:sz w:val="22"/>
                <w:szCs w:val="22"/>
                <w:vertAlign w:val="baseline"/>
                <w:lang w:val="en-US" w:eastAsia="zh-CN" w:bidi="ar-SA"/>
              </w:rPr>
              <w:t>需提供公安部检测机构出具的产品检测报告（复印件加盖公章）。</w:t>
            </w:r>
          </w:p>
        </w:tc>
        <w:tc>
          <w:tcPr>
            <w:tcW w:w="1466" w:type="dxa"/>
            <w:vAlign w:val="center"/>
          </w:tcPr>
          <w:p>
            <w:pPr>
              <w:pStyle w:val="60"/>
              <w:spacing w:line="360" w:lineRule="auto"/>
              <w:ind w:left="0" w:leftChars="0" w:firstLine="0" w:firstLineChars="0"/>
              <w:jc w:val="center"/>
              <w:rPr>
                <w:rFonts w:hint="eastAsia" w:ascii="宋体" w:hAnsi="宋体" w:cs="宋体"/>
                <w:b/>
                <w:bCs/>
                <w:kern w:val="2"/>
                <w:sz w:val="22"/>
                <w:szCs w:val="22"/>
                <w:vertAlign w:val="baseline"/>
                <w:lang w:val="en-US" w:eastAsia="zh-CN" w:bidi="ar-SA"/>
              </w:rPr>
            </w:pPr>
            <w:r>
              <w:rPr>
                <w:rFonts w:hint="eastAsia" w:ascii="宋体" w:hAnsi="宋体" w:cs="宋体"/>
                <w:b/>
                <w:bCs/>
                <w:kern w:val="2"/>
                <w:sz w:val="22"/>
                <w:szCs w:val="22"/>
                <w:vertAlign w:val="baseline"/>
                <w:lang w:val="en-US" w:eastAsia="zh-CN" w:bidi="ar-SA"/>
              </w:rPr>
              <w:t>10副</w:t>
            </w:r>
          </w:p>
        </w:tc>
        <w:tc>
          <w:tcPr>
            <w:tcW w:w="4050" w:type="dxa"/>
            <w:vAlign w:val="top"/>
          </w:tcPr>
          <w:p>
            <w:pPr>
              <w:pStyle w:val="60"/>
              <w:spacing w:line="360" w:lineRule="auto"/>
              <w:ind w:left="0" w:leftChars="0" w:firstLine="0" w:firstLineChars="0"/>
              <w:jc w:val="left"/>
            </w:pPr>
            <w:r>
              <w:drawing>
                <wp:inline distT="0" distB="0" distL="114300" distR="114300">
                  <wp:extent cx="962660" cy="601345"/>
                  <wp:effectExtent l="0" t="0" r="8890" b="8255"/>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36" cstate="print"/>
                          <a:stretch>
                            <a:fillRect/>
                          </a:stretch>
                        </pic:blipFill>
                        <pic:spPr>
                          <a:xfrm>
                            <a:off x="0" y="0"/>
                            <a:ext cx="962660" cy="6013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1" w:hRule="atLeast"/>
        </w:trPr>
        <w:tc>
          <w:tcPr>
            <w:tcW w:w="662" w:type="dxa"/>
            <w:vAlign w:val="center"/>
          </w:tcPr>
          <w:p>
            <w:pPr>
              <w:keepNext w:val="0"/>
              <w:keepLines w:val="0"/>
              <w:widowControl/>
              <w:suppressLineNumbers w:val="0"/>
              <w:spacing w:line="360" w:lineRule="auto"/>
              <w:jc w:val="center"/>
              <w:textAlignment w:val="center"/>
              <w:rPr>
                <w:rFonts w:hint="eastAsia" w:ascii="宋体" w:hAnsi="宋体" w:eastAsia="宋体" w:cs="宋体"/>
                <w:sz w:val="22"/>
                <w:szCs w:val="22"/>
                <w:vertAlign w:val="baseline"/>
              </w:rPr>
            </w:pPr>
            <w:r>
              <w:rPr>
                <w:rFonts w:hint="eastAsia" w:ascii="宋体" w:hAnsi="宋体" w:eastAsia="宋体" w:cs="宋体"/>
                <w:i w:val="0"/>
                <w:iCs w:val="0"/>
                <w:color w:val="000000"/>
                <w:kern w:val="0"/>
                <w:sz w:val="22"/>
                <w:szCs w:val="22"/>
                <w:u w:val="none"/>
                <w:lang w:val="en-US" w:eastAsia="zh-CN" w:bidi="ar"/>
              </w:rPr>
              <w:t>警戒带</w:t>
            </w:r>
          </w:p>
        </w:tc>
        <w:tc>
          <w:tcPr>
            <w:tcW w:w="3270" w:type="dxa"/>
            <w:vAlign w:val="top"/>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r>
              <w:rPr>
                <w:rFonts w:hint="eastAsia" w:ascii="宋体" w:hAnsi="宋体" w:eastAsia="宋体" w:cs="宋体"/>
                <w:sz w:val="22"/>
                <w:szCs w:val="22"/>
              </w:rPr>
              <w:t>尺寸：长度≥60m、宽度≥75mm。</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r>
              <w:rPr>
                <w:rFonts w:hint="eastAsia" w:ascii="宋体" w:hAnsi="宋体" w:eastAsia="宋体" w:cs="宋体"/>
                <w:sz w:val="22"/>
                <w:szCs w:val="22"/>
              </w:rPr>
              <w:t>颜色：带体由乳白色(表面有反光层)和蓝色相间组成主体颜色。带体上的“警察"“POLICE"额色为蓝色，“禁止通行”和“○"标志的颜色为红色。</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r>
              <w:rPr>
                <w:rFonts w:hint="eastAsia" w:ascii="宋体" w:hAnsi="宋体" w:eastAsia="宋体" w:cs="宋体"/>
                <w:sz w:val="22"/>
                <w:szCs w:val="22"/>
              </w:rPr>
              <w:t>带体线密度：经向66/24f，纬向66/24f。</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r>
              <w:rPr>
                <w:rFonts w:hint="eastAsia" w:ascii="宋体" w:hAnsi="宋体" w:eastAsia="宋体" w:cs="宋体"/>
                <w:sz w:val="22"/>
                <w:szCs w:val="22"/>
              </w:rPr>
              <w:t>带体密度：经向420/10cm，纬向310/10cm。</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r>
              <w:rPr>
                <w:rFonts w:hint="eastAsia" w:ascii="宋体" w:hAnsi="宋体" w:eastAsia="宋体" w:cs="宋体"/>
                <w:sz w:val="22"/>
                <w:szCs w:val="22"/>
              </w:rPr>
              <w:t>带体材质：聚酯纤维。</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r>
              <w:rPr>
                <w:rFonts w:hint="eastAsia" w:ascii="宋体" w:hAnsi="宋体" w:eastAsia="宋体" w:cs="宋体"/>
                <w:sz w:val="22"/>
                <w:szCs w:val="22"/>
              </w:rPr>
              <w:t>带体径向断裂强力：≥101</w:t>
            </w:r>
            <w:r>
              <w:rPr>
                <w:rFonts w:hint="eastAsia" w:ascii="宋体" w:hAnsi="宋体" w:eastAsia="宋体" w:cs="宋体"/>
                <w:sz w:val="22"/>
                <w:szCs w:val="22"/>
                <w:lang w:val="en-US" w:eastAsia="zh-CN"/>
              </w:rPr>
              <w:t>0</w:t>
            </w:r>
            <w:r>
              <w:rPr>
                <w:rFonts w:hint="eastAsia" w:ascii="宋体" w:hAnsi="宋体" w:eastAsia="宋体" w:cs="宋体"/>
                <w:sz w:val="22"/>
                <w:szCs w:val="22"/>
              </w:rPr>
              <w:t>N。</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r>
              <w:rPr>
                <w:rFonts w:hint="eastAsia" w:ascii="宋体" w:hAnsi="宋体" w:eastAsia="宋体" w:cs="宋体"/>
                <w:sz w:val="22"/>
                <w:szCs w:val="22"/>
              </w:rPr>
              <w:t>带体径向断裂伸长率：≤20%。</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r>
              <w:rPr>
                <w:rFonts w:hint="eastAsia" w:ascii="宋体" w:hAnsi="宋体" w:eastAsia="宋体" w:cs="宋体"/>
                <w:sz w:val="22"/>
                <w:szCs w:val="22"/>
              </w:rPr>
              <w:t>带体单位长度质量：≥18g/m。</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r>
              <w:rPr>
                <w:rFonts w:hint="eastAsia" w:ascii="宋体" w:hAnsi="宋体" w:eastAsia="宋体" w:cs="宋体"/>
                <w:sz w:val="22"/>
                <w:szCs w:val="22"/>
              </w:rPr>
              <w:t>带体乳白色反光层逆反射系数：≥6</w:t>
            </w:r>
            <w:r>
              <w:rPr>
                <w:rFonts w:hint="eastAsia" w:ascii="宋体" w:hAnsi="宋体" w:eastAsia="宋体" w:cs="宋体"/>
                <w:sz w:val="22"/>
                <w:szCs w:val="22"/>
                <w:lang w:val="en-US" w:eastAsia="zh-CN"/>
              </w:rPr>
              <w:t>5</w:t>
            </w:r>
            <w:r>
              <w:rPr>
                <w:rFonts w:hint="eastAsia" w:ascii="宋体" w:hAnsi="宋体" w:eastAsia="宋体" w:cs="宋体"/>
                <w:sz w:val="22"/>
                <w:szCs w:val="22"/>
              </w:rPr>
              <w:t xml:space="preserve"> cd/(1x·㎡)。</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r>
              <w:rPr>
                <w:rFonts w:hint="eastAsia" w:ascii="宋体" w:hAnsi="宋体" w:eastAsia="宋体" w:cs="宋体"/>
                <w:sz w:val="22"/>
                <w:szCs w:val="22"/>
              </w:rPr>
              <w:t>带体耐光色牢度：≥4级。</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r>
              <w:rPr>
                <w:rFonts w:hint="eastAsia" w:ascii="宋体" w:hAnsi="宋体" w:eastAsia="宋体" w:cs="宋体"/>
                <w:sz w:val="22"/>
                <w:szCs w:val="22"/>
              </w:rPr>
              <w:t>带体耐水色牢度：变色≥4级，沾色≥4级。</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r>
              <w:rPr>
                <w:rFonts w:hint="eastAsia" w:ascii="宋体" w:hAnsi="宋体" w:eastAsia="宋体" w:cs="宋体"/>
                <w:sz w:val="22"/>
                <w:szCs w:val="22"/>
              </w:rPr>
              <w:t>带体耐摩擦色牢度（经向）：干摩≥4级，湿摩≥4级。</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r>
              <w:rPr>
                <w:rFonts w:hint="eastAsia" w:ascii="宋体" w:hAnsi="宋体" w:eastAsia="宋体" w:cs="宋体"/>
                <w:sz w:val="22"/>
                <w:szCs w:val="22"/>
              </w:rPr>
              <w:t>收放盒外观：表面应无毛刺、锈迹和明显划痕。</w:t>
            </w:r>
          </w:p>
          <w:p>
            <w:pPr>
              <w:pStyle w:val="60"/>
              <w:spacing w:line="360" w:lineRule="auto"/>
              <w:ind w:left="0" w:leftChars="0" w:firstLine="0" w:firstLineChars="0"/>
              <w:rPr>
                <w:rFonts w:hint="eastAsia" w:ascii="宋体" w:hAnsi="宋体" w:eastAsia="宋体" w:cs="宋体"/>
                <w:sz w:val="22"/>
                <w:szCs w:val="22"/>
              </w:rPr>
            </w:pPr>
            <w:r>
              <w:rPr>
                <w:rFonts w:hint="eastAsia" w:ascii="宋体" w:hAnsi="宋体" w:eastAsia="宋体" w:cs="宋体"/>
                <w:sz w:val="22"/>
                <w:szCs w:val="22"/>
              </w:rPr>
              <w:t>收放盒灵活度：收放警戒带时，应操作方便、转动灵活。电动收带集成模块采用不低于150r/Min的减速电机，</w:t>
            </w:r>
            <w:r>
              <w:rPr>
                <w:rFonts w:hint="eastAsia" w:ascii="宋体" w:hAnsi="宋体" w:eastAsia="宋体" w:cs="宋体"/>
                <w:sz w:val="22"/>
                <w:szCs w:val="22"/>
                <w:lang w:val="en-US" w:eastAsia="zh-CN"/>
              </w:rPr>
              <w:t>不低于</w:t>
            </w:r>
            <w:r>
              <w:rPr>
                <w:rFonts w:hint="eastAsia" w:ascii="宋体" w:hAnsi="宋体" w:eastAsia="宋体" w:cs="宋体"/>
                <w:sz w:val="22"/>
                <w:szCs w:val="22"/>
              </w:rPr>
              <w:t>1500mah锂电池，应操作方便、转动灵活。</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r>
              <w:rPr>
                <w:rFonts w:hint="eastAsia" w:ascii="宋体" w:hAnsi="宋体" w:eastAsia="宋体" w:cs="宋体"/>
                <w:sz w:val="22"/>
                <w:szCs w:val="22"/>
              </w:rPr>
              <w:t>抗跌落性能：</w:t>
            </w:r>
            <w:r>
              <w:rPr>
                <w:rFonts w:hint="eastAsia" w:ascii="宋体" w:hAnsi="宋体" w:eastAsia="宋体" w:cs="宋体"/>
                <w:sz w:val="22"/>
                <w:szCs w:val="22"/>
                <w:lang w:eastAsia="zh-CN"/>
              </w:rPr>
              <w:t>≥</w:t>
            </w:r>
            <w:r>
              <w:rPr>
                <w:rFonts w:hint="eastAsia" w:ascii="宋体" w:hAnsi="宋体" w:eastAsia="宋体" w:cs="宋体"/>
                <w:sz w:val="22"/>
                <w:szCs w:val="22"/>
              </w:rPr>
              <w:t>2m高处自由跌落至水泥地面后,收放盒不应出现开裂、破碎等现象,并能正常收放。</w:t>
            </w:r>
          </w:p>
          <w:p>
            <w:pPr>
              <w:pStyle w:val="60"/>
              <w:spacing w:line="360" w:lineRule="auto"/>
              <w:ind w:left="0" w:leftChars="0" w:firstLine="0" w:firstLine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温度适应性：-</w:t>
            </w:r>
            <w:r>
              <w:rPr>
                <w:rFonts w:hint="eastAsia" w:ascii="宋体" w:hAnsi="宋体" w:eastAsia="宋体" w:cs="宋体"/>
                <w:sz w:val="22"/>
                <w:szCs w:val="22"/>
              </w:rPr>
              <w:t>20℃</w:t>
            </w:r>
            <w:r>
              <w:rPr>
                <w:rFonts w:hint="eastAsia" w:ascii="宋体" w:hAnsi="宋体" w:eastAsia="宋体" w:cs="宋体"/>
                <w:sz w:val="22"/>
                <w:szCs w:val="22"/>
                <w:lang w:val="en-US" w:eastAsia="zh-CN"/>
              </w:rPr>
              <w:t>～+</w:t>
            </w:r>
            <w:r>
              <w:rPr>
                <w:rFonts w:hint="eastAsia" w:ascii="宋体" w:hAnsi="宋体" w:eastAsia="宋体" w:cs="宋体"/>
                <w:sz w:val="22"/>
                <w:szCs w:val="22"/>
              </w:rPr>
              <w:t>55℃</w:t>
            </w:r>
            <w:r>
              <w:rPr>
                <w:rFonts w:hint="eastAsia" w:ascii="宋体" w:hAnsi="宋体" w:eastAsia="宋体" w:cs="宋体"/>
                <w:sz w:val="22"/>
                <w:szCs w:val="22"/>
                <w:lang w:eastAsia="zh-CN"/>
              </w:rPr>
              <w:t>。</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2"/>
                <w:szCs w:val="22"/>
              </w:rPr>
            </w:pPr>
            <w:r>
              <w:rPr>
                <w:rFonts w:hint="eastAsia" w:ascii="宋体" w:hAnsi="宋体" w:eastAsia="宋体" w:cs="宋体"/>
                <w:sz w:val="22"/>
                <w:szCs w:val="22"/>
              </w:rPr>
              <w:t>执行标准：GA/T 375-2016《警戒带》</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kern w:val="2"/>
                <w:sz w:val="22"/>
                <w:szCs w:val="22"/>
                <w:vertAlign w:val="baseline"/>
                <w:lang w:val="en-US" w:eastAsia="zh-CN" w:bidi="ar-SA"/>
              </w:rPr>
            </w:pPr>
            <w:r>
              <w:rPr>
                <w:rFonts w:hint="eastAsia" w:ascii="宋体" w:hAnsi="宋体" w:eastAsia="宋体" w:cs="宋体"/>
                <w:b/>
                <w:bCs/>
                <w:kern w:val="2"/>
                <w:sz w:val="22"/>
                <w:szCs w:val="22"/>
                <w:vertAlign w:val="baseline"/>
                <w:lang w:val="en-US" w:eastAsia="zh-CN" w:bidi="ar-SA"/>
              </w:rPr>
              <w:t>需提供公安部检测机构出具的产品检测报告（复印件加盖公章）。</w:t>
            </w:r>
          </w:p>
        </w:tc>
        <w:tc>
          <w:tcPr>
            <w:tcW w:w="1466" w:type="dxa"/>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cs="宋体"/>
                <w:b/>
                <w:bCs/>
                <w:kern w:val="2"/>
                <w:sz w:val="22"/>
                <w:szCs w:val="22"/>
                <w:vertAlign w:val="baseline"/>
                <w:lang w:val="en-US" w:eastAsia="zh-CN" w:bidi="ar-SA"/>
              </w:rPr>
            </w:pPr>
            <w:r>
              <w:rPr>
                <w:rFonts w:hint="eastAsia" w:hAnsi="宋体" w:cs="宋体"/>
                <w:b/>
                <w:bCs/>
                <w:kern w:val="2"/>
                <w:sz w:val="22"/>
                <w:szCs w:val="22"/>
                <w:vertAlign w:val="baseline"/>
                <w:lang w:val="en-US" w:eastAsia="zh-CN" w:bidi="ar-SA"/>
              </w:rPr>
              <w:t>100个</w:t>
            </w:r>
          </w:p>
        </w:tc>
        <w:tc>
          <w:tcPr>
            <w:tcW w:w="4050" w:type="dxa"/>
            <w:vAlign w:val="top"/>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bCs/>
                <w:sz w:val="22"/>
                <w:szCs w:val="22"/>
              </w:rPr>
            </w:pPr>
            <w:r>
              <w:rPr>
                <w:rFonts w:ascii="宋体" w:hAnsi="宋体" w:eastAsia="宋体" w:cs="宋体"/>
                <w:sz w:val="24"/>
              </w:rPr>
              <w:fldChar w:fldCharType="begin"/>
            </w:r>
            <w:r>
              <w:rPr>
                <w:rFonts w:ascii="宋体" w:hAnsi="宋体" w:eastAsia="宋体" w:cs="宋体"/>
                <w:sz w:val="24"/>
              </w:rPr>
              <w:instrText xml:space="preserve">INCLUDEPICTURE \d "http://www.longlinjia.com/attachment/20127414494622348.gif"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1155065" cy="887730"/>
                  <wp:effectExtent l="0" t="0" r="6985" b="7620"/>
                  <wp:docPr id="18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8" descr="IMG_256"/>
                          <pic:cNvPicPr>
                            <a:picLocks noChangeAspect="1"/>
                          </pic:cNvPicPr>
                        </pic:nvPicPr>
                        <pic:blipFill>
                          <a:blip r:embed="rId37" cstate="print"/>
                          <a:stretch>
                            <a:fillRect/>
                          </a:stretch>
                        </pic:blipFill>
                        <pic:spPr>
                          <a:xfrm>
                            <a:off x="0" y="0"/>
                            <a:ext cx="1155065" cy="887730"/>
                          </a:xfrm>
                          <a:prstGeom prst="rect">
                            <a:avLst/>
                          </a:prstGeom>
                          <a:noFill/>
                          <a:ln w="9525">
                            <a:noFill/>
                          </a:ln>
                        </pic:spPr>
                      </pic:pic>
                    </a:graphicData>
                  </a:graphic>
                </wp:inline>
              </w:drawing>
            </w:r>
            <w:r>
              <w:rPr>
                <w:rFonts w:ascii="宋体" w:hAnsi="宋体" w:eastAsia="宋体" w:cs="宋体"/>
                <w:sz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1" w:hRule="atLeast"/>
        </w:trPr>
        <w:tc>
          <w:tcPr>
            <w:tcW w:w="662"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防割手套</w:t>
            </w:r>
          </w:p>
        </w:tc>
        <w:tc>
          <w:tcPr>
            <w:tcW w:w="3270" w:type="dxa"/>
            <w:vAlign w:val="top"/>
          </w:tcPr>
          <w:p>
            <w:pPr>
              <w:spacing w:line="360" w:lineRule="auto"/>
              <w:rPr>
                <w:rFonts w:hint="eastAsia" w:ascii="宋体" w:hAnsi="宋体" w:eastAsia="宋体" w:cs="宋体"/>
                <w:sz w:val="22"/>
                <w:szCs w:val="22"/>
              </w:rPr>
            </w:pPr>
            <w:r>
              <w:rPr>
                <w:rFonts w:hint="eastAsia" w:ascii="宋体" w:hAnsi="宋体" w:eastAsia="宋体" w:cs="宋体"/>
                <w:sz w:val="22"/>
                <w:szCs w:val="22"/>
              </w:rPr>
              <w:t>结构：防割手套为纤维材料包覆金属钢丝。</w:t>
            </w:r>
          </w:p>
          <w:p>
            <w:pPr>
              <w:spacing w:line="360" w:lineRule="auto"/>
              <w:rPr>
                <w:rFonts w:hint="eastAsia" w:ascii="宋体" w:hAnsi="宋体" w:eastAsia="宋体" w:cs="宋体"/>
                <w:sz w:val="22"/>
                <w:szCs w:val="22"/>
              </w:rPr>
            </w:pPr>
            <w:r>
              <w:rPr>
                <w:rFonts w:hint="eastAsia" w:ascii="宋体" w:hAnsi="宋体" w:eastAsia="宋体" w:cs="宋体"/>
                <w:sz w:val="22"/>
                <w:szCs w:val="22"/>
              </w:rPr>
              <w:t>外观要求：警用防割手套表面平整，无线头、破损、缺口、开线、漏针和污渍等缺陷。</w:t>
            </w:r>
          </w:p>
          <w:p>
            <w:pPr>
              <w:spacing w:line="360" w:lineRule="auto"/>
              <w:rPr>
                <w:rFonts w:hint="eastAsia" w:ascii="宋体" w:hAnsi="宋体" w:eastAsia="宋体" w:cs="宋体"/>
                <w:sz w:val="22"/>
                <w:szCs w:val="22"/>
              </w:rPr>
            </w:pPr>
            <w:r>
              <w:rPr>
                <w:rFonts w:hint="eastAsia" w:ascii="宋体" w:hAnsi="宋体" w:eastAsia="宋体" w:cs="宋体"/>
                <w:sz w:val="22"/>
                <w:szCs w:val="22"/>
              </w:rPr>
              <w:t>规格：总长约245mm±5mm，掌宽105mm±5mm。</w:t>
            </w:r>
          </w:p>
          <w:p>
            <w:pPr>
              <w:spacing w:line="360" w:lineRule="auto"/>
              <w:rPr>
                <w:rFonts w:hint="eastAsia" w:ascii="宋体" w:hAnsi="宋体" w:eastAsia="宋体" w:cs="宋体"/>
                <w:sz w:val="22"/>
                <w:szCs w:val="22"/>
              </w:rPr>
            </w:pPr>
            <w:r>
              <w:rPr>
                <w:rFonts w:hint="eastAsia" w:ascii="宋体" w:hAnsi="宋体" w:eastAsia="宋体" w:cs="宋体"/>
                <w:sz w:val="22"/>
                <w:szCs w:val="22"/>
                <w:lang w:eastAsia="zh-CN"/>
              </w:rPr>
              <w:t>▲</w:t>
            </w:r>
            <w:r>
              <w:rPr>
                <w:rFonts w:hint="eastAsia" w:ascii="宋体" w:hAnsi="宋体" w:eastAsia="宋体" w:cs="宋体"/>
                <w:sz w:val="22"/>
                <w:szCs w:val="22"/>
              </w:rPr>
              <w:t>常温防割性能：设定刀口压力为20N，刀片转速20r/min，在防割手套的掌部或背部垂直手指方向进行5次切割，每次割穿发生时，切割周数不小于7周，且耐切割系数≥3.</w:t>
            </w:r>
            <w:r>
              <w:rPr>
                <w:rFonts w:hint="eastAsia" w:ascii="宋体" w:hAnsi="宋体" w:eastAsia="宋体" w:cs="宋体"/>
                <w:sz w:val="22"/>
                <w:szCs w:val="22"/>
                <w:lang w:val="en-US" w:eastAsia="zh-CN"/>
              </w:rPr>
              <w:t>0</w:t>
            </w:r>
            <w:r>
              <w:rPr>
                <w:rFonts w:hint="eastAsia" w:ascii="宋体" w:hAnsi="宋体" w:eastAsia="宋体" w:cs="宋体"/>
                <w:sz w:val="22"/>
                <w:szCs w:val="22"/>
              </w:rPr>
              <w:t>。</w:t>
            </w:r>
          </w:p>
          <w:p>
            <w:pPr>
              <w:spacing w:line="360" w:lineRule="auto"/>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高低温切割性能：</w:t>
            </w:r>
            <w:r>
              <w:rPr>
                <w:rFonts w:hint="eastAsia" w:ascii="宋体" w:hAnsi="宋体" w:eastAsia="宋体" w:cs="宋体"/>
                <w:sz w:val="22"/>
                <w:szCs w:val="22"/>
              </w:rPr>
              <w:t>-20℃～</w:t>
            </w:r>
            <w:r>
              <w:rPr>
                <w:rFonts w:hint="eastAsia" w:ascii="宋体" w:hAnsi="宋体" w:eastAsia="宋体" w:cs="宋体"/>
                <w:sz w:val="22"/>
                <w:szCs w:val="22"/>
                <w:lang w:val="en-US" w:eastAsia="zh-CN"/>
              </w:rPr>
              <w:t>+</w:t>
            </w:r>
            <w:r>
              <w:rPr>
                <w:rFonts w:hint="eastAsia" w:ascii="宋体" w:hAnsi="宋体" w:eastAsia="宋体" w:cs="宋体"/>
                <w:sz w:val="22"/>
                <w:szCs w:val="22"/>
              </w:rPr>
              <w:t>55℃</w:t>
            </w:r>
            <w:r>
              <w:rPr>
                <w:rFonts w:hint="eastAsia" w:ascii="宋体" w:hAnsi="宋体" w:eastAsia="宋体" w:cs="宋体"/>
                <w:sz w:val="22"/>
                <w:szCs w:val="22"/>
                <w:lang w:eastAsia="zh-CN"/>
              </w:rPr>
              <w:t>，</w:t>
            </w:r>
            <w:r>
              <w:rPr>
                <w:rFonts w:hint="eastAsia" w:ascii="宋体" w:hAnsi="宋体" w:eastAsia="宋体" w:cs="宋体"/>
                <w:sz w:val="22"/>
                <w:szCs w:val="22"/>
              </w:rPr>
              <w:t>切割周数≥7周，且耐切割系数</w:t>
            </w:r>
            <w:r>
              <w:rPr>
                <w:rFonts w:hint="eastAsia" w:ascii="宋体" w:hAnsi="宋体" w:eastAsia="宋体" w:cs="宋体"/>
                <w:sz w:val="22"/>
                <w:szCs w:val="22"/>
                <w:lang w:val="en-US" w:eastAsia="zh-CN"/>
              </w:rPr>
              <w:t>均</w:t>
            </w:r>
            <w:r>
              <w:rPr>
                <w:rFonts w:hint="eastAsia" w:ascii="宋体" w:hAnsi="宋体" w:eastAsia="宋体" w:cs="宋体"/>
                <w:sz w:val="22"/>
                <w:szCs w:val="22"/>
              </w:rPr>
              <w:t>≥2.9</w:t>
            </w:r>
            <w:r>
              <w:rPr>
                <w:rFonts w:hint="eastAsia" w:ascii="宋体" w:hAnsi="宋体" w:eastAsia="宋体" w:cs="宋体"/>
                <w:sz w:val="22"/>
                <w:szCs w:val="22"/>
                <w:lang w:val="en-US" w:eastAsia="zh-CN"/>
              </w:rPr>
              <w:t>0</w:t>
            </w:r>
            <w:r>
              <w:rPr>
                <w:rFonts w:hint="eastAsia" w:ascii="宋体" w:hAnsi="宋体" w:eastAsia="宋体" w:cs="宋体"/>
                <w:sz w:val="22"/>
                <w:szCs w:val="22"/>
              </w:rPr>
              <w:t>。</w:t>
            </w:r>
          </w:p>
          <w:p>
            <w:pPr>
              <w:spacing w:line="360" w:lineRule="auto"/>
              <w:rPr>
                <w:rFonts w:hint="eastAsia" w:ascii="宋体" w:hAnsi="宋体" w:eastAsia="宋体" w:cs="宋体"/>
                <w:sz w:val="22"/>
                <w:szCs w:val="22"/>
              </w:rPr>
            </w:pPr>
            <w:r>
              <w:rPr>
                <w:rFonts w:hint="eastAsia" w:ascii="宋体" w:hAnsi="宋体" w:eastAsia="宋体" w:cs="宋体"/>
                <w:sz w:val="22"/>
                <w:szCs w:val="22"/>
              </w:rPr>
              <w:t>执行标准： GA614-2006《警用防割手套》</w:t>
            </w:r>
          </w:p>
          <w:p>
            <w:pPr>
              <w:pStyle w:val="60"/>
              <w:spacing w:line="360" w:lineRule="auto"/>
              <w:ind w:left="0" w:leftChars="0" w:firstLine="0" w:firstLineChars="0"/>
              <w:jc w:val="left"/>
              <w:rPr>
                <w:rFonts w:hint="eastAsia" w:ascii="宋体" w:hAnsi="宋体" w:eastAsia="宋体" w:cs="宋体"/>
                <w:b/>
                <w:bCs/>
                <w:kern w:val="2"/>
                <w:sz w:val="22"/>
                <w:szCs w:val="22"/>
                <w:vertAlign w:val="baseline"/>
                <w:lang w:val="en-US" w:eastAsia="zh-CN" w:bidi="ar-SA"/>
              </w:rPr>
            </w:pPr>
            <w:r>
              <w:rPr>
                <w:rFonts w:hint="eastAsia" w:ascii="宋体" w:hAnsi="宋体" w:eastAsia="宋体" w:cs="宋体"/>
                <w:b/>
                <w:bCs/>
                <w:kern w:val="2"/>
                <w:sz w:val="22"/>
                <w:szCs w:val="22"/>
                <w:vertAlign w:val="baseline"/>
                <w:lang w:val="en-US" w:eastAsia="zh-CN" w:bidi="ar-SA"/>
              </w:rPr>
              <w:t>需提供公安部检测机构出具的产品检测报告（复印件加盖公章）。</w:t>
            </w:r>
          </w:p>
        </w:tc>
        <w:tc>
          <w:tcPr>
            <w:tcW w:w="1466" w:type="dxa"/>
            <w:vAlign w:val="center"/>
          </w:tcPr>
          <w:p>
            <w:pPr>
              <w:pStyle w:val="60"/>
              <w:spacing w:line="360" w:lineRule="auto"/>
              <w:ind w:left="0" w:leftChars="0" w:firstLine="0" w:firstLineChars="0"/>
              <w:jc w:val="center"/>
              <w:rPr>
                <w:rFonts w:hint="eastAsia" w:hAnsi="宋体" w:cs="宋体"/>
                <w:b/>
                <w:bCs/>
                <w:kern w:val="2"/>
                <w:sz w:val="22"/>
                <w:szCs w:val="22"/>
                <w:vertAlign w:val="baseline"/>
                <w:lang w:val="en-US" w:eastAsia="zh-CN" w:bidi="ar-SA"/>
              </w:rPr>
            </w:pPr>
            <w:r>
              <w:rPr>
                <w:rFonts w:hint="eastAsia" w:ascii="宋体" w:hAnsi="宋体" w:cs="宋体"/>
                <w:b/>
                <w:bCs/>
                <w:kern w:val="2"/>
                <w:sz w:val="22"/>
                <w:szCs w:val="22"/>
                <w:vertAlign w:val="baseline"/>
                <w:lang w:val="en-US" w:eastAsia="zh-CN" w:bidi="ar-SA"/>
              </w:rPr>
              <w:t>30副</w:t>
            </w:r>
          </w:p>
        </w:tc>
        <w:tc>
          <w:tcPr>
            <w:tcW w:w="4050" w:type="dxa"/>
            <w:vAlign w:val="top"/>
          </w:tcPr>
          <w:p>
            <w:pPr>
              <w:spacing w:line="360" w:lineRule="auto"/>
              <w:rPr>
                <w:rFonts w:ascii="宋体" w:hAnsi="宋体" w:eastAsia="宋体" w:cs="宋体"/>
                <w:sz w:val="24"/>
              </w:rPr>
            </w:pPr>
            <w:r>
              <w:drawing>
                <wp:inline distT="0" distB="0" distL="114300" distR="114300">
                  <wp:extent cx="1113790" cy="793115"/>
                  <wp:effectExtent l="0" t="0" r="10160" b="6985"/>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38" cstate="print"/>
                          <a:stretch>
                            <a:fillRect/>
                          </a:stretch>
                        </pic:blipFill>
                        <pic:spPr>
                          <a:xfrm>
                            <a:off x="0" y="0"/>
                            <a:ext cx="1113790" cy="79311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5" w:hRule="atLeast"/>
        </w:trPr>
        <w:tc>
          <w:tcPr>
            <w:tcW w:w="662" w:type="dxa"/>
            <w:vAlign w:val="center"/>
          </w:tcPr>
          <w:p>
            <w:pPr>
              <w:keepNext w:val="0"/>
              <w:keepLines w:val="0"/>
              <w:widowControl/>
              <w:suppressLineNumbers w:val="0"/>
              <w:spacing w:line="360" w:lineRule="auto"/>
              <w:jc w:val="center"/>
              <w:textAlignment w:val="center"/>
              <w:rPr>
                <w:rFonts w:hint="eastAsia" w:ascii="宋体" w:hAnsi="宋体" w:eastAsia="宋体" w:cs="宋体"/>
                <w:sz w:val="22"/>
                <w:szCs w:val="22"/>
                <w:vertAlign w:val="baseline"/>
              </w:rPr>
            </w:pPr>
            <w:r>
              <w:rPr>
                <w:rFonts w:hint="eastAsia" w:ascii="宋体" w:hAnsi="宋体" w:eastAsia="宋体" w:cs="宋体"/>
                <w:i w:val="0"/>
                <w:iCs w:val="0"/>
                <w:color w:val="000000"/>
                <w:kern w:val="0"/>
                <w:sz w:val="22"/>
                <w:szCs w:val="22"/>
                <w:u w:val="none"/>
                <w:lang w:val="en-US" w:eastAsia="zh-CN" w:bidi="ar"/>
              </w:rPr>
              <w:t>督查腰带</w:t>
            </w:r>
          </w:p>
        </w:tc>
        <w:tc>
          <w:tcPr>
            <w:tcW w:w="3270" w:type="dxa"/>
          </w:tcPr>
          <w:p>
            <w:pPr>
              <w:spacing w:line="360" w:lineRule="auto"/>
              <w:jc w:val="left"/>
              <w:rPr>
                <w:rFonts w:hint="eastAsia" w:ascii="宋体" w:hAnsi="宋体" w:eastAsia="宋体" w:cs="宋体"/>
                <w:color w:val="000000"/>
                <w:sz w:val="22"/>
                <w:szCs w:val="22"/>
                <w:lang w:eastAsia="zh-CN"/>
              </w:rPr>
            </w:pPr>
            <w:r>
              <w:rPr>
                <w:rFonts w:hint="eastAsia" w:ascii="宋体" w:hAnsi="宋体" w:eastAsia="宋体" w:cs="宋体"/>
                <w:color w:val="000000"/>
                <w:sz w:val="22"/>
                <w:szCs w:val="22"/>
              </w:rPr>
              <w:t>材质：</w:t>
            </w:r>
            <w:r>
              <w:rPr>
                <w:rFonts w:hint="eastAsia" w:ascii="宋体" w:hAnsi="宋体" w:eastAsia="宋体" w:cs="宋体"/>
                <w:color w:val="000000"/>
                <w:sz w:val="22"/>
                <w:szCs w:val="22"/>
                <w:lang w:val="en-US" w:eastAsia="zh-CN"/>
              </w:rPr>
              <w:t>皮质</w:t>
            </w:r>
          </w:p>
          <w:p>
            <w:pPr>
              <w:spacing w:line="360" w:lineRule="auto"/>
              <w:jc w:val="left"/>
              <w:rPr>
                <w:rFonts w:hint="eastAsia" w:ascii="宋体" w:hAnsi="宋体" w:eastAsia="宋体" w:cs="宋体"/>
                <w:color w:val="000000"/>
                <w:sz w:val="22"/>
                <w:szCs w:val="22"/>
              </w:rPr>
            </w:pPr>
            <w:r>
              <w:rPr>
                <w:rFonts w:hint="eastAsia" w:ascii="宋体" w:hAnsi="宋体" w:eastAsia="宋体" w:cs="宋体"/>
                <w:color w:val="000000"/>
                <w:sz w:val="22"/>
                <w:szCs w:val="22"/>
              </w:rPr>
              <w:t>外观：扣头为合金亚光镍色，铸印有徽章标识字样</w:t>
            </w:r>
          </w:p>
          <w:p>
            <w:pPr>
              <w:pStyle w:val="60"/>
              <w:spacing w:line="360" w:lineRule="auto"/>
              <w:ind w:left="0" w:leftChars="0" w:firstLine="0" w:firstLineChars="0"/>
              <w:jc w:val="left"/>
              <w:rPr>
                <w:rFonts w:hint="eastAsia" w:ascii="宋体" w:hAnsi="宋体" w:eastAsia="宋体" w:cs="宋体"/>
                <w:sz w:val="22"/>
                <w:szCs w:val="22"/>
                <w:lang w:val="en-US" w:eastAsia="zh-CN"/>
              </w:rPr>
            </w:pPr>
            <w:r>
              <w:rPr>
                <w:rFonts w:hint="eastAsia" w:ascii="宋体" w:hAnsi="宋体" w:eastAsia="宋体" w:cs="宋体"/>
                <w:color w:val="000000"/>
                <w:sz w:val="22"/>
                <w:szCs w:val="22"/>
                <w:lang w:val="en-US" w:eastAsia="zh-CN"/>
              </w:rPr>
              <w:t>颜色：白色</w:t>
            </w:r>
          </w:p>
          <w:p>
            <w:pPr>
              <w:spacing w:line="360" w:lineRule="auto"/>
              <w:jc w:val="left"/>
              <w:rPr>
                <w:rFonts w:hint="eastAsia" w:ascii="宋体" w:hAnsi="宋体" w:eastAsia="宋体" w:cs="宋体"/>
                <w:color w:val="000000"/>
                <w:sz w:val="22"/>
                <w:szCs w:val="22"/>
              </w:rPr>
            </w:pPr>
            <w:r>
              <w:rPr>
                <w:rFonts w:hint="eastAsia" w:ascii="宋体" w:hAnsi="宋体" w:eastAsia="宋体" w:cs="宋体"/>
                <w:color w:val="000000"/>
                <w:sz w:val="22"/>
                <w:szCs w:val="22"/>
              </w:rPr>
              <w:t>质量：</w:t>
            </w:r>
            <w:r>
              <w:rPr>
                <w:rFonts w:hint="eastAsia" w:ascii="宋体" w:hAnsi="宋体" w:eastAsia="宋体" w:cs="宋体"/>
                <w:color w:val="000000"/>
                <w:sz w:val="22"/>
                <w:szCs w:val="22"/>
                <w:lang w:val="en-US" w:eastAsia="zh-CN"/>
              </w:rPr>
              <w:t>≤</w:t>
            </w:r>
            <w:r>
              <w:rPr>
                <w:rFonts w:hint="eastAsia" w:ascii="宋体" w:hAnsi="宋体" w:eastAsia="宋体" w:cs="宋体"/>
                <w:color w:val="000000"/>
                <w:sz w:val="22"/>
                <w:szCs w:val="22"/>
              </w:rPr>
              <w:t>1</w:t>
            </w:r>
            <w:r>
              <w:rPr>
                <w:rFonts w:hint="eastAsia" w:ascii="宋体" w:hAnsi="宋体" w:eastAsia="宋体" w:cs="宋体"/>
                <w:color w:val="000000"/>
                <w:sz w:val="22"/>
                <w:szCs w:val="22"/>
                <w:lang w:val="en-US" w:eastAsia="zh-CN"/>
              </w:rPr>
              <w:t>.2</w:t>
            </w:r>
            <w:r>
              <w:rPr>
                <w:rFonts w:hint="eastAsia" w:ascii="宋体" w:hAnsi="宋体" w:eastAsia="宋体" w:cs="宋体"/>
                <w:color w:val="000000"/>
                <w:sz w:val="22"/>
                <w:szCs w:val="22"/>
              </w:rPr>
              <w:t>kg</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斜跨带卡扣抗拉性能：斜跨带卡扣在扣合状态下，施加</w:t>
            </w:r>
            <w:r>
              <w:rPr>
                <w:rFonts w:hint="eastAsia" w:ascii="宋体" w:hAnsi="宋体" w:eastAsia="宋体" w:cs="宋体"/>
                <w:sz w:val="22"/>
                <w:szCs w:val="22"/>
                <w:lang w:val="en-US" w:eastAsia="zh-CN"/>
              </w:rPr>
              <w:t>≥5</w:t>
            </w:r>
            <w:r>
              <w:rPr>
                <w:rFonts w:hint="eastAsia" w:ascii="宋体" w:hAnsi="宋体" w:eastAsia="宋体" w:cs="宋体"/>
                <w:sz w:val="22"/>
                <w:szCs w:val="22"/>
              </w:rPr>
              <w:t>00N的拉力并保持30s，卡扣不破损，并能正常使用。</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腰带钎子插拔性能：插拔</w:t>
            </w:r>
            <w:r>
              <w:rPr>
                <w:rFonts w:hint="eastAsia" w:ascii="宋体" w:hAnsi="宋体" w:eastAsia="宋体" w:cs="宋体"/>
                <w:sz w:val="22"/>
                <w:szCs w:val="22"/>
                <w:lang w:val="en-US" w:eastAsia="zh-CN"/>
              </w:rPr>
              <w:t>≥2</w:t>
            </w:r>
            <w:r>
              <w:rPr>
                <w:rFonts w:hint="eastAsia" w:ascii="宋体" w:hAnsi="宋体" w:eastAsia="宋体" w:cs="宋体"/>
                <w:sz w:val="22"/>
                <w:szCs w:val="22"/>
              </w:rPr>
              <w:t>000次后，能正常使用。</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腰带钎子耐盐雾：48h主要表面无腐蚀斑点。</w:t>
            </w:r>
          </w:p>
          <w:p>
            <w:pPr>
              <w:spacing w:line="360" w:lineRule="auto"/>
              <w:jc w:val="left"/>
              <w:rPr>
                <w:rFonts w:hint="eastAsia" w:ascii="宋体" w:hAnsi="宋体" w:eastAsia="宋体" w:cs="宋体"/>
                <w:color w:val="000000"/>
                <w:sz w:val="22"/>
                <w:szCs w:val="22"/>
                <w:shd w:val="clear" w:color="auto" w:fill="FFFFFF"/>
              </w:rPr>
            </w:pPr>
            <w:r>
              <w:rPr>
                <w:rFonts w:hint="eastAsia" w:ascii="宋体" w:hAnsi="宋体" w:eastAsia="宋体" w:cs="宋体"/>
                <w:color w:val="000000"/>
                <w:sz w:val="22"/>
                <w:szCs w:val="22"/>
              </w:rPr>
              <w:t>腰带钎子镍镀层厚度：</w:t>
            </w:r>
            <w:r>
              <w:rPr>
                <w:rFonts w:hint="eastAsia" w:ascii="宋体" w:hAnsi="宋体" w:eastAsia="宋体" w:cs="宋体"/>
                <w:sz w:val="22"/>
                <w:szCs w:val="22"/>
                <w:lang w:val="en-US" w:eastAsia="zh-CN"/>
              </w:rPr>
              <w:t>≥</w:t>
            </w:r>
            <w:r>
              <w:rPr>
                <w:rFonts w:hint="eastAsia" w:ascii="宋体" w:hAnsi="宋体" w:eastAsia="宋体" w:cs="宋体"/>
                <w:color w:val="000000"/>
                <w:sz w:val="22"/>
                <w:szCs w:val="22"/>
              </w:rPr>
              <w:t>10</w:t>
            </w:r>
            <w:r>
              <w:rPr>
                <w:rFonts w:hint="eastAsia" w:ascii="宋体" w:hAnsi="宋体" w:eastAsia="宋体" w:cs="宋体"/>
                <w:color w:val="000000"/>
                <w:sz w:val="22"/>
                <w:szCs w:val="22"/>
                <w:shd w:val="clear" w:color="auto" w:fill="FFFFFF"/>
              </w:rPr>
              <w:t>um</w:t>
            </w:r>
          </w:p>
          <w:p>
            <w:pPr>
              <w:spacing w:line="360" w:lineRule="auto"/>
              <w:jc w:val="left"/>
              <w:rPr>
                <w:rFonts w:hint="eastAsia" w:ascii="宋体" w:hAnsi="宋体" w:eastAsia="宋体" w:cs="宋体"/>
                <w:color w:val="000000"/>
                <w:sz w:val="22"/>
                <w:szCs w:val="22"/>
                <w:shd w:val="clear" w:color="auto" w:fill="FFFFFF"/>
              </w:rPr>
            </w:pPr>
            <w:r>
              <w:rPr>
                <w:rFonts w:hint="eastAsia" w:ascii="宋体" w:hAnsi="宋体" w:eastAsia="宋体" w:cs="宋体"/>
                <w:color w:val="000000"/>
                <w:sz w:val="22"/>
                <w:szCs w:val="22"/>
                <w:shd w:val="clear" w:color="auto" w:fill="FFFFFF"/>
              </w:rPr>
              <w:t>甲醛含量：不得检出。</w:t>
            </w:r>
          </w:p>
          <w:p>
            <w:pPr>
              <w:spacing w:line="360" w:lineRule="auto"/>
              <w:jc w:val="left"/>
              <w:rPr>
                <w:rFonts w:hint="eastAsia" w:ascii="宋体" w:hAnsi="宋体" w:eastAsia="宋体" w:cs="宋体"/>
                <w:color w:val="000000"/>
                <w:sz w:val="22"/>
                <w:szCs w:val="22"/>
                <w:shd w:val="clear" w:color="auto" w:fill="FFFFFF"/>
              </w:rPr>
            </w:pPr>
            <w:r>
              <w:rPr>
                <w:rFonts w:hint="eastAsia" w:ascii="宋体" w:hAnsi="宋体" w:eastAsia="宋体" w:cs="宋体"/>
                <w:color w:val="000000"/>
                <w:sz w:val="22"/>
                <w:szCs w:val="22"/>
                <w:shd w:val="clear" w:color="auto" w:fill="FFFFFF"/>
              </w:rPr>
              <w:t>耐汗渍色牢度：变色</w:t>
            </w:r>
            <w:r>
              <w:rPr>
                <w:rFonts w:hint="eastAsia" w:ascii="宋体" w:hAnsi="宋体" w:eastAsia="宋体" w:cs="宋体"/>
                <w:sz w:val="22"/>
                <w:szCs w:val="22"/>
                <w:lang w:val="en-US" w:eastAsia="zh-CN"/>
              </w:rPr>
              <w:t>≥</w:t>
            </w:r>
            <w:r>
              <w:rPr>
                <w:rFonts w:hint="eastAsia" w:ascii="宋体" w:hAnsi="宋体" w:eastAsia="宋体" w:cs="宋体"/>
                <w:color w:val="000000"/>
                <w:sz w:val="22"/>
                <w:szCs w:val="22"/>
                <w:shd w:val="clear" w:color="auto" w:fill="FFFFFF"/>
                <w:lang w:val="en-US" w:eastAsia="zh-CN"/>
              </w:rPr>
              <w:t>4</w:t>
            </w:r>
            <w:r>
              <w:rPr>
                <w:rFonts w:hint="eastAsia" w:ascii="宋体" w:hAnsi="宋体" w:eastAsia="宋体" w:cs="宋体"/>
                <w:color w:val="000000"/>
                <w:sz w:val="22"/>
                <w:szCs w:val="22"/>
                <w:shd w:val="clear" w:color="auto" w:fill="FFFFFF"/>
              </w:rPr>
              <w:t>级，沾色</w:t>
            </w:r>
            <w:r>
              <w:rPr>
                <w:rFonts w:hint="eastAsia" w:ascii="宋体" w:hAnsi="宋体" w:eastAsia="宋体" w:cs="宋体"/>
                <w:sz w:val="22"/>
                <w:szCs w:val="22"/>
                <w:lang w:val="en-US" w:eastAsia="zh-CN"/>
              </w:rPr>
              <w:t>≥</w:t>
            </w:r>
            <w:r>
              <w:rPr>
                <w:rFonts w:hint="eastAsia" w:ascii="宋体" w:hAnsi="宋体" w:eastAsia="宋体" w:cs="宋体"/>
                <w:color w:val="000000"/>
                <w:sz w:val="22"/>
                <w:szCs w:val="22"/>
                <w:shd w:val="clear" w:color="auto" w:fill="FFFFFF"/>
                <w:lang w:val="en-US" w:eastAsia="zh-CN"/>
              </w:rPr>
              <w:t>4</w:t>
            </w:r>
            <w:r>
              <w:rPr>
                <w:rFonts w:hint="eastAsia" w:ascii="宋体" w:hAnsi="宋体" w:eastAsia="宋体" w:cs="宋体"/>
                <w:color w:val="000000"/>
                <w:sz w:val="22"/>
                <w:szCs w:val="22"/>
                <w:shd w:val="clear" w:color="auto" w:fill="FFFFFF"/>
              </w:rPr>
              <w:t>级。</w:t>
            </w:r>
          </w:p>
          <w:p>
            <w:pPr>
              <w:spacing w:line="360" w:lineRule="auto"/>
              <w:jc w:val="left"/>
              <w:rPr>
                <w:rFonts w:hint="eastAsia" w:ascii="宋体" w:hAnsi="宋体" w:eastAsia="宋体" w:cs="宋体"/>
                <w:color w:val="000000"/>
                <w:sz w:val="22"/>
                <w:szCs w:val="22"/>
                <w:shd w:val="clear" w:color="auto" w:fill="FFFFFF"/>
              </w:rPr>
            </w:pPr>
            <w:r>
              <w:rPr>
                <w:rFonts w:hint="eastAsia" w:ascii="宋体" w:hAnsi="宋体" w:eastAsia="宋体" w:cs="宋体"/>
                <w:color w:val="000000"/>
                <w:sz w:val="22"/>
                <w:szCs w:val="22"/>
                <w:shd w:val="clear" w:color="auto" w:fill="FFFFFF"/>
              </w:rPr>
              <w:t>耐摩擦色牢度：干摩</w:t>
            </w:r>
            <w:r>
              <w:rPr>
                <w:rFonts w:hint="eastAsia" w:ascii="宋体" w:hAnsi="宋体" w:eastAsia="宋体" w:cs="宋体"/>
                <w:sz w:val="22"/>
                <w:szCs w:val="22"/>
                <w:lang w:val="en-US" w:eastAsia="zh-CN"/>
              </w:rPr>
              <w:t>≥</w:t>
            </w:r>
            <w:r>
              <w:rPr>
                <w:rFonts w:hint="eastAsia" w:ascii="宋体" w:hAnsi="宋体" w:eastAsia="宋体" w:cs="宋体"/>
                <w:color w:val="000000"/>
                <w:sz w:val="22"/>
                <w:szCs w:val="22"/>
                <w:shd w:val="clear" w:color="auto" w:fill="FFFFFF"/>
              </w:rPr>
              <w:t>4级，湿摩</w:t>
            </w:r>
            <w:r>
              <w:rPr>
                <w:rFonts w:hint="eastAsia" w:ascii="宋体" w:hAnsi="宋体" w:eastAsia="宋体" w:cs="宋体"/>
                <w:sz w:val="22"/>
                <w:szCs w:val="22"/>
                <w:lang w:val="en-US" w:eastAsia="zh-CN"/>
              </w:rPr>
              <w:t>≥</w:t>
            </w:r>
            <w:r>
              <w:rPr>
                <w:rFonts w:hint="eastAsia" w:ascii="宋体" w:hAnsi="宋体" w:eastAsia="宋体" w:cs="宋体"/>
                <w:color w:val="000000"/>
                <w:sz w:val="22"/>
                <w:szCs w:val="22"/>
                <w:shd w:val="clear" w:color="auto" w:fill="FFFFFF"/>
              </w:rPr>
              <w:t>4级。</w:t>
            </w:r>
          </w:p>
          <w:p>
            <w:pPr>
              <w:spacing w:line="360" w:lineRule="auto"/>
              <w:jc w:val="left"/>
              <w:rPr>
                <w:rFonts w:hint="eastAsia" w:ascii="宋体" w:hAnsi="宋体" w:eastAsia="宋体" w:cs="宋体"/>
                <w:color w:val="000000"/>
                <w:sz w:val="22"/>
                <w:szCs w:val="22"/>
                <w:shd w:val="clear" w:color="auto" w:fill="FFFFFF"/>
              </w:rPr>
            </w:pPr>
            <w:r>
              <w:rPr>
                <w:rFonts w:hint="eastAsia" w:ascii="宋体" w:hAnsi="宋体" w:eastAsia="宋体" w:cs="宋体"/>
                <w:color w:val="000000"/>
                <w:sz w:val="22"/>
                <w:szCs w:val="22"/>
                <w:shd w:val="clear" w:color="auto" w:fill="FFFFFF"/>
              </w:rPr>
              <w:t>耐刷洗色牢度：</w:t>
            </w:r>
            <w:r>
              <w:rPr>
                <w:rFonts w:hint="eastAsia" w:ascii="宋体" w:hAnsi="宋体" w:eastAsia="宋体" w:cs="宋体"/>
                <w:sz w:val="22"/>
                <w:szCs w:val="22"/>
                <w:lang w:val="en-US" w:eastAsia="zh-CN"/>
              </w:rPr>
              <w:t>≥</w:t>
            </w:r>
            <w:r>
              <w:rPr>
                <w:rFonts w:hint="eastAsia" w:ascii="宋体" w:hAnsi="宋体" w:eastAsia="宋体" w:cs="宋体"/>
                <w:color w:val="000000"/>
                <w:sz w:val="22"/>
                <w:szCs w:val="22"/>
                <w:shd w:val="clear" w:color="auto" w:fill="FFFFFF"/>
                <w:lang w:val="en-US" w:eastAsia="zh-CN"/>
              </w:rPr>
              <w:t>4</w:t>
            </w:r>
            <w:r>
              <w:rPr>
                <w:rFonts w:hint="eastAsia" w:ascii="宋体" w:hAnsi="宋体" w:eastAsia="宋体" w:cs="宋体"/>
                <w:color w:val="000000"/>
                <w:sz w:val="22"/>
                <w:szCs w:val="22"/>
                <w:shd w:val="clear" w:color="auto" w:fill="FFFFFF"/>
              </w:rPr>
              <w:t>级。</w:t>
            </w:r>
          </w:p>
          <w:p>
            <w:pPr>
              <w:spacing w:line="360" w:lineRule="auto"/>
              <w:jc w:val="left"/>
              <w:rPr>
                <w:rFonts w:hint="eastAsia" w:ascii="宋体" w:hAnsi="宋体" w:eastAsia="宋体" w:cs="宋体"/>
                <w:sz w:val="22"/>
                <w:szCs w:val="22"/>
                <w:vertAlign w:val="baseline"/>
              </w:rPr>
            </w:pPr>
            <w:r>
              <w:rPr>
                <w:rFonts w:hint="eastAsia" w:ascii="宋体" w:hAnsi="宋体" w:eastAsia="宋体" w:cs="宋体"/>
                <w:color w:val="000000"/>
                <w:sz w:val="22"/>
                <w:szCs w:val="22"/>
                <w:shd w:val="clear" w:color="auto" w:fill="FFFFFF"/>
              </w:rPr>
              <w:t>耐光色牢度：</w:t>
            </w:r>
            <w:r>
              <w:rPr>
                <w:rFonts w:hint="eastAsia" w:ascii="宋体" w:hAnsi="宋体" w:eastAsia="宋体" w:cs="宋体"/>
                <w:sz w:val="22"/>
                <w:szCs w:val="22"/>
                <w:lang w:val="en-US" w:eastAsia="zh-CN"/>
              </w:rPr>
              <w:t>≥</w:t>
            </w:r>
            <w:r>
              <w:rPr>
                <w:rFonts w:hint="eastAsia" w:ascii="宋体" w:hAnsi="宋体" w:eastAsia="宋体" w:cs="宋体"/>
                <w:color w:val="000000"/>
                <w:sz w:val="22"/>
                <w:szCs w:val="22"/>
                <w:shd w:val="clear" w:color="auto" w:fill="FFFFFF"/>
                <w:lang w:val="en-US" w:eastAsia="zh-CN"/>
              </w:rPr>
              <w:t>4</w:t>
            </w:r>
            <w:r>
              <w:rPr>
                <w:rFonts w:hint="eastAsia" w:ascii="宋体" w:hAnsi="宋体" w:eastAsia="宋体" w:cs="宋体"/>
                <w:color w:val="000000"/>
                <w:sz w:val="22"/>
                <w:szCs w:val="22"/>
                <w:shd w:val="clear" w:color="auto" w:fill="FFFFFF"/>
              </w:rPr>
              <w:t>级</w:t>
            </w:r>
          </w:p>
        </w:tc>
        <w:tc>
          <w:tcPr>
            <w:tcW w:w="1466" w:type="dxa"/>
            <w:vAlign w:val="center"/>
          </w:tcPr>
          <w:p>
            <w:pPr>
              <w:spacing w:line="360" w:lineRule="auto"/>
              <w:jc w:val="center"/>
              <w:rPr>
                <w:rFonts w:hint="eastAsia" w:ascii="宋体" w:hAnsi="宋体" w:eastAsia="宋体" w:cs="宋体"/>
                <w:color w:val="000000"/>
                <w:sz w:val="22"/>
                <w:szCs w:val="22"/>
                <w:shd w:val="clear" w:color="auto" w:fill="FFFFFF"/>
                <w:lang w:val="en-US" w:eastAsia="zh-CN"/>
              </w:rPr>
            </w:pPr>
            <w:r>
              <w:rPr>
                <w:rFonts w:hint="eastAsia" w:hAnsi="宋体" w:cs="宋体"/>
                <w:color w:val="000000"/>
                <w:sz w:val="22"/>
                <w:szCs w:val="22"/>
                <w:shd w:val="clear" w:color="auto" w:fill="FFFFFF"/>
                <w:lang w:val="en-US" w:eastAsia="zh-CN"/>
              </w:rPr>
              <w:t>5条</w:t>
            </w:r>
          </w:p>
        </w:tc>
        <w:tc>
          <w:tcPr>
            <w:tcW w:w="4050" w:type="dxa"/>
          </w:tcPr>
          <w:p>
            <w:pPr>
              <w:spacing w:line="360" w:lineRule="auto"/>
              <w:jc w:val="left"/>
              <w:rPr>
                <w:rFonts w:hint="eastAsia" w:ascii="宋体" w:hAnsi="宋体" w:eastAsia="宋体" w:cs="宋体"/>
                <w:color w:val="000000"/>
                <w:sz w:val="22"/>
                <w:szCs w:val="22"/>
                <w:shd w:val="clear" w:color="auto" w:fill="FFFFFF"/>
              </w:rPr>
            </w:pPr>
            <w:r>
              <w:drawing>
                <wp:inline distT="0" distB="0" distL="114300" distR="114300">
                  <wp:extent cx="974725" cy="835025"/>
                  <wp:effectExtent l="0" t="0" r="15875" b="3175"/>
                  <wp:docPr id="2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3"/>
                          <pic:cNvPicPr>
                            <a:picLocks noChangeAspect="1"/>
                          </pic:cNvPicPr>
                        </pic:nvPicPr>
                        <pic:blipFill>
                          <a:blip r:embed="rId39" cstate="print"/>
                          <a:stretch>
                            <a:fillRect/>
                          </a:stretch>
                        </pic:blipFill>
                        <pic:spPr>
                          <a:xfrm>
                            <a:off x="0" y="0"/>
                            <a:ext cx="974725" cy="8350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5" w:hRule="atLeast"/>
        </w:trPr>
        <w:tc>
          <w:tcPr>
            <w:tcW w:w="662" w:type="dxa"/>
            <w:vAlign w:val="center"/>
          </w:tcPr>
          <w:p>
            <w:pPr>
              <w:keepNext w:val="0"/>
              <w:keepLines w:val="0"/>
              <w:widowControl/>
              <w:suppressLineNumbers w:val="0"/>
              <w:spacing w:line="360" w:lineRule="auto"/>
              <w:jc w:val="center"/>
              <w:textAlignment w:val="center"/>
              <w:rPr>
                <w:rFonts w:hint="eastAsia" w:ascii="宋体" w:hAnsi="宋体" w:eastAsia="宋体" w:cs="宋体"/>
                <w:sz w:val="22"/>
                <w:szCs w:val="22"/>
                <w:vertAlign w:val="baseline"/>
              </w:rPr>
            </w:pPr>
            <w:r>
              <w:rPr>
                <w:rFonts w:hint="eastAsia" w:ascii="宋体" w:hAnsi="宋体" w:eastAsia="宋体" w:cs="宋体"/>
                <w:i w:val="0"/>
                <w:iCs w:val="0"/>
                <w:color w:val="000000"/>
                <w:kern w:val="0"/>
                <w:sz w:val="22"/>
                <w:szCs w:val="22"/>
                <w:u w:val="none"/>
                <w:lang w:val="en-US" w:eastAsia="zh-CN" w:bidi="ar"/>
              </w:rPr>
              <w:t>防暴头盔</w:t>
            </w:r>
          </w:p>
        </w:tc>
        <w:tc>
          <w:tcPr>
            <w:tcW w:w="3270" w:type="dxa"/>
            <w:vAlign w:val="top"/>
          </w:tcPr>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2"/>
                <w:szCs w:val="22"/>
              </w:rPr>
            </w:pPr>
            <w:r>
              <w:rPr>
                <w:rFonts w:hint="eastAsia" w:ascii="宋体" w:hAnsi="宋体" w:eastAsia="宋体" w:cs="宋体"/>
                <w:sz w:val="22"/>
                <w:szCs w:val="22"/>
                <w:lang w:val="en-US" w:eastAsia="zh-CN"/>
              </w:rPr>
              <w:t>结构：</w:t>
            </w:r>
            <w:r>
              <w:rPr>
                <w:rFonts w:hint="eastAsia" w:ascii="宋体" w:hAnsi="宋体" w:eastAsia="宋体" w:cs="宋体"/>
                <w:sz w:val="22"/>
                <w:szCs w:val="22"/>
              </w:rPr>
              <w:t>防暴头盔</w:t>
            </w:r>
            <w:r>
              <w:rPr>
                <w:rFonts w:hint="eastAsia" w:ascii="宋体" w:hAnsi="宋体" w:eastAsia="宋体" w:cs="宋体"/>
                <w:color w:val="000000"/>
                <w:sz w:val="22"/>
                <w:szCs w:val="22"/>
              </w:rPr>
              <w:t>头盔由壳体、缓冲层、衬垫、面罩、佩戴装置(系带、下颚托、佩戴扣和盔顶悬挂系统)、护颈组成。</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材质：壳体材质为工程塑料，缓冲层使用泡沫加软质吸能材料制作，面罩使用PC材料制作。</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颜色：“99”式警服藏蓝色。</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质量：≤1.</w:t>
            </w:r>
            <w:r>
              <w:rPr>
                <w:rFonts w:hint="eastAsia" w:ascii="宋体" w:hAnsi="宋体" w:eastAsia="宋体" w:cs="宋体"/>
                <w:color w:val="000000"/>
                <w:sz w:val="22"/>
                <w:szCs w:val="22"/>
                <w:lang w:val="en-US" w:eastAsia="zh-CN"/>
              </w:rPr>
              <w:t>50</w:t>
            </w:r>
            <w:r>
              <w:rPr>
                <w:rFonts w:hint="eastAsia" w:ascii="宋体" w:hAnsi="宋体" w:eastAsia="宋体" w:cs="宋体"/>
                <w:color w:val="000000"/>
                <w:sz w:val="22"/>
                <w:szCs w:val="22"/>
              </w:rPr>
              <w:t>kg。</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面罩透光率：≥8</w:t>
            </w:r>
            <w:r>
              <w:rPr>
                <w:rFonts w:hint="eastAsia" w:ascii="宋体" w:hAnsi="宋体" w:eastAsia="宋体" w:cs="宋体"/>
                <w:color w:val="000000"/>
                <w:sz w:val="22"/>
                <w:szCs w:val="22"/>
                <w:lang w:val="en-US" w:eastAsia="zh-CN"/>
              </w:rPr>
              <w:t>5</w:t>
            </w:r>
            <w:r>
              <w:rPr>
                <w:rFonts w:hint="eastAsia" w:ascii="宋体" w:hAnsi="宋体" w:eastAsia="宋体" w:cs="宋体"/>
                <w:color w:val="000000"/>
                <w:sz w:val="22"/>
                <w:szCs w:val="22"/>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面罩的光畸变最大量：≤2.</w:t>
            </w:r>
            <w:r>
              <w:rPr>
                <w:rFonts w:hint="eastAsia" w:ascii="宋体" w:hAnsi="宋体" w:eastAsia="宋体" w:cs="宋体"/>
                <w:color w:val="000000"/>
                <w:sz w:val="22"/>
                <w:szCs w:val="22"/>
                <w:lang w:val="en-US" w:eastAsia="zh-CN"/>
              </w:rPr>
              <w:t>5</w:t>
            </w:r>
            <w:r>
              <w:rPr>
                <w:rFonts w:hint="eastAsia" w:ascii="宋体" w:hAnsi="宋体" w:eastAsia="宋体" w:cs="宋体"/>
                <w:color w:val="000000"/>
                <w:sz w:val="22"/>
                <w:szCs w:val="22"/>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佩戴装置：头盔系带宽度20mm±1mm，佩戴扣的开启闭合功能方便可靠，能有效调节系带松紧程度。系带能承受≥1100N的拉伸负载，加载过程中系带不出现撕裂、撕断、连接件脱落、佩戴扣松脱的现象，系带伸长量≤17mm，卸载后佩戴扣能正常使用，盔顶悬挂系统保证通风透气，便于调节。</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护颈：护颈使用软质材料制成，为可拆卸式，与壳体连接可靠，沿中矢面延伸出头盔盔体的有效部分长度为120mm±20mm。</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吸收碰撞能量性能：防暴头盔能承受≥65J能量冲击，冲击时传递到试验头模上的力小于4300N，且壳体不破裂。</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2"/>
                <w:szCs w:val="22"/>
              </w:rPr>
            </w:pPr>
            <w:r>
              <w:rPr>
                <w:rFonts w:hint="eastAsia" w:ascii="宋体" w:hAnsi="宋体" w:eastAsia="宋体" w:cs="宋体"/>
                <w:sz w:val="22"/>
                <w:szCs w:val="22"/>
              </w:rPr>
              <w:t>▲</w:t>
            </w:r>
            <w:r>
              <w:rPr>
                <w:rFonts w:hint="eastAsia" w:ascii="宋体" w:hAnsi="宋体" w:eastAsia="宋体" w:cs="宋体"/>
                <w:color w:val="000000"/>
                <w:sz w:val="22"/>
                <w:szCs w:val="22"/>
              </w:rPr>
              <w:t>耐穿透性能：头盔能承受≥3kg钢锥以≥128J能量的穿刺，钢锥不能穿透头盔与头型接触。</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侧向刚性：头盔侧向≥440N加压，最大变形量≤17mm，剩余变形量≤</w:t>
            </w:r>
            <w:r>
              <w:rPr>
                <w:rFonts w:hint="eastAsia" w:ascii="宋体" w:hAnsi="宋体" w:eastAsia="宋体" w:cs="宋体"/>
                <w:color w:val="000000"/>
                <w:sz w:val="22"/>
                <w:szCs w:val="22"/>
                <w:lang w:val="en-US" w:eastAsia="zh-CN"/>
              </w:rPr>
              <w:t>5</w:t>
            </w:r>
            <w:r>
              <w:rPr>
                <w:rFonts w:hint="eastAsia" w:ascii="宋体" w:hAnsi="宋体" w:eastAsia="宋体" w:cs="宋体"/>
                <w:color w:val="000000"/>
                <w:sz w:val="22"/>
                <w:szCs w:val="22"/>
              </w:rPr>
              <w:t>mm，壳体无破片脱落。</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2"/>
                <w:szCs w:val="22"/>
              </w:rPr>
            </w:pPr>
            <w:r>
              <w:rPr>
                <w:rFonts w:hint="eastAsia" w:ascii="宋体" w:hAnsi="宋体" w:eastAsia="宋体" w:cs="宋体"/>
                <w:sz w:val="22"/>
                <w:szCs w:val="22"/>
              </w:rPr>
              <w:t>▲</w:t>
            </w:r>
            <w:r>
              <w:rPr>
                <w:rFonts w:hint="eastAsia" w:ascii="宋体" w:hAnsi="宋体" w:eastAsia="宋体" w:cs="宋体"/>
                <w:color w:val="000000"/>
                <w:sz w:val="22"/>
                <w:szCs w:val="22"/>
              </w:rPr>
              <w:t>防弹性能：防暴头盔</w:t>
            </w:r>
            <w:r>
              <w:rPr>
                <w:rFonts w:hint="eastAsia" w:ascii="宋体" w:hAnsi="宋体" w:eastAsia="宋体" w:cs="宋体"/>
                <w:color w:val="000000"/>
                <w:kern w:val="0"/>
                <w:sz w:val="22"/>
                <w:szCs w:val="22"/>
              </w:rPr>
              <w:t>具有</w:t>
            </w:r>
            <w:r>
              <w:rPr>
                <w:rFonts w:hint="eastAsia" w:ascii="宋体" w:hAnsi="宋体" w:eastAsia="宋体" w:cs="宋体"/>
                <w:color w:val="000000"/>
                <w:sz w:val="22"/>
                <w:szCs w:val="22"/>
              </w:rPr>
              <w:t>在</w:t>
            </w:r>
            <w:r>
              <w:rPr>
                <w:rFonts w:hint="eastAsia" w:ascii="宋体" w:hAnsi="宋体" w:eastAsia="宋体" w:cs="宋体"/>
                <w:color w:val="000000"/>
                <w:sz w:val="22"/>
                <w:szCs w:val="22"/>
                <w:lang w:val="en-US" w:eastAsia="zh-CN"/>
              </w:rPr>
              <w:t>≤</w:t>
            </w:r>
            <w:r>
              <w:rPr>
                <w:rFonts w:hint="eastAsia" w:ascii="宋体" w:hAnsi="宋体" w:eastAsia="宋体" w:cs="宋体"/>
                <w:color w:val="000000"/>
                <w:sz w:val="22"/>
                <w:szCs w:val="22"/>
              </w:rPr>
              <w:t>10m距离</w:t>
            </w:r>
            <w:r>
              <w:rPr>
                <w:rFonts w:hint="eastAsia" w:ascii="宋体" w:hAnsi="宋体" w:eastAsia="宋体" w:cs="宋体"/>
                <w:color w:val="000000"/>
                <w:kern w:val="0"/>
                <w:sz w:val="22"/>
                <w:szCs w:val="22"/>
              </w:rPr>
              <w:t>防护18.4mm军用散枪弹和12号猎枪弹，3号弹珠，在有效击中的情况下</w:t>
            </w:r>
            <w:r>
              <w:rPr>
                <w:rFonts w:hint="eastAsia" w:ascii="宋体" w:hAnsi="宋体" w:eastAsia="宋体" w:cs="宋体"/>
                <w:color w:val="000000"/>
                <w:sz w:val="22"/>
                <w:szCs w:val="22"/>
              </w:rPr>
              <w:t>，头盔无破裂或穿透。</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阻燃性能：≤8s。</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2"/>
                <w:szCs w:val="22"/>
              </w:rPr>
            </w:pPr>
            <w:r>
              <w:rPr>
                <w:rFonts w:hint="eastAsia" w:ascii="宋体" w:hAnsi="宋体" w:eastAsia="宋体" w:cs="宋体"/>
                <w:color w:val="000000"/>
                <w:sz w:val="22"/>
                <w:szCs w:val="22"/>
              </w:rPr>
              <w:t>气候环境适应性：-35℃～</w:t>
            </w:r>
            <w:r>
              <w:rPr>
                <w:rFonts w:hint="eastAsia" w:ascii="宋体" w:hAnsi="宋体" w:eastAsia="宋体" w:cs="宋体"/>
                <w:color w:val="000000"/>
                <w:sz w:val="22"/>
                <w:szCs w:val="22"/>
                <w:lang w:val="en-US" w:eastAsia="zh-CN"/>
              </w:rPr>
              <w:t>+</w:t>
            </w:r>
            <w:r>
              <w:rPr>
                <w:rFonts w:hint="eastAsia" w:ascii="宋体" w:hAnsi="宋体" w:eastAsia="宋体" w:cs="宋体"/>
                <w:color w:val="000000"/>
                <w:sz w:val="22"/>
                <w:szCs w:val="22"/>
              </w:rPr>
              <w:t>60℃和常温淋雨的条件下，</w:t>
            </w:r>
            <w:r>
              <w:rPr>
                <w:rFonts w:hint="eastAsia" w:ascii="宋体" w:hAnsi="宋体" w:eastAsia="宋体" w:cs="宋体"/>
                <w:color w:val="000000"/>
                <w:sz w:val="22"/>
                <w:szCs w:val="22"/>
                <w:lang w:val="en-US" w:eastAsia="zh-CN"/>
              </w:rPr>
              <w:t>性能符合要求</w:t>
            </w:r>
            <w:r>
              <w:rPr>
                <w:rFonts w:hint="eastAsia" w:ascii="宋体" w:hAnsi="宋体" w:eastAsia="宋体" w:cs="宋体"/>
                <w:color w:val="000000"/>
                <w:sz w:val="22"/>
                <w:szCs w:val="22"/>
              </w:rPr>
              <w:t>。</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2"/>
                <w:szCs w:val="22"/>
              </w:rPr>
            </w:pPr>
            <w:r>
              <w:rPr>
                <w:rFonts w:hint="eastAsia" w:ascii="宋体" w:hAnsi="宋体" w:eastAsia="宋体" w:cs="宋体"/>
                <w:sz w:val="22"/>
                <w:szCs w:val="22"/>
              </w:rPr>
              <w:t>执行标准：</w:t>
            </w:r>
            <w:r>
              <w:rPr>
                <w:rFonts w:hint="eastAsia" w:ascii="宋体" w:hAnsi="宋体" w:eastAsia="宋体" w:cs="宋体"/>
                <w:color w:val="000000"/>
                <w:sz w:val="22"/>
                <w:szCs w:val="22"/>
              </w:rPr>
              <w:t>《GA 294-2012 警用防暴头盔》</w:t>
            </w:r>
          </w:p>
          <w:p>
            <w:pPr>
              <w:pStyle w:val="60"/>
              <w:spacing w:line="360" w:lineRule="auto"/>
              <w:ind w:left="0" w:leftChars="0" w:firstLine="0" w:firstLineChars="0"/>
              <w:jc w:val="left"/>
              <w:rPr>
                <w:rFonts w:hint="eastAsia" w:ascii="宋体" w:hAnsi="宋体" w:eastAsia="宋体" w:cs="宋体"/>
                <w:b/>
                <w:bCs/>
                <w:kern w:val="2"/>
                <w:sz w:val="22"/>
                <w:szCs w:val="22"/>
                <w:vertAlign w:val="baseline"/>
                <w:lang w:val="en-US" w:eastAsia="zh-CN" w:bidi="ar-SA"/>
              </w:rPr>
            </w:pPr>
            <w:r>
              <w:rPr>
                <w:rFonts w:hint="eastAsia" w:ascii="宋体" w:hAnsi="宋体" w:eastAsia="宋体" w:cs="宋体"/>
                <w:b/>
                <w:bCs/>
                <w:kern w:val="2"/>
                <w:sz w:val="22"/>
                <w:szCs w:val="22"/>
                <w:vertAlign w:val="baseline"/>
                <w:lang w:val="en-US" w:eastAsia="zh-CN" w:bidi="ar-SA"/>
              </w:rPr>
              <w:t>需提供公安部检测机构出具的产品检测报告（复印件加盖公章）。</w:t>
            </w:r>
          </w:p>
        </w:tc>
        <w:tc>
          <w:tcPr>
            <w:tcW w:w="1466" w:type="dxa"/>
            <w:vAlign w:val="center"/>
          </w:tcPr>
          <w:p>
            <w:pPr>
              <w:pStyle w:val="60"/>
              <w:spacing w:line="360" w:lineRule="auto"/>
              <w:ind w:left="0" w:leftChars="0" w:firstLine="0" w:firstLineChars="0"/>
              <w:jc w:val="center"/>
              <w:rPr>
                <w:rFonts w:hint="default" w:ascii="宋体" w:hAnsi="宋体" w:eastAsia="宋体" w:cs="宋体"/>
                <w:b/>
                <w:bCs/>
                <w:kern w:val="2"/>
                <w:sz w:val="22"/>
                <w:szCs w:val="22"/>
                <w:vertAlign w:val="baseline"/>
                <w:lang w:val="en-US" w:eastAsia="zh-CN" w:bidi="ar-SA"/>
              </w:rPr>
            </w:pPr>
            <w:r>
              <w:rPr>
                <w:rFonts w:hint="eastAsia" w:ascii="宋体" w:hAnsi="宋体" w:cs="宋体"/>
                <w:b/>
                <w:bCs/>
                <w:kern w:val="2"/>
                <w:sz w:val="22"/>
                <w:szCs w:val="22"/>
                <w:vertAlign w:val="baseline"/>
                <w:lang w:val="en-US" w:eastAsia="zh-CN" w:bidi="ar-SA"/>
              </w:rPr>
              <w:t>8个</w:t>
            </w:r>
          </w:p>
        </w:tc>
        <w:tc>
          <w:tcPr>
            <w:tcW w:w="4050" w:type="dxa"/>
            <w:vAlign w:val="top"/>
          </w:tcPr>
          <w:p>
            <w:pPr>
              <w:pStyle w:val="60"/>
              <w:spacing w:line="360" w:lineRule="auto"/>
              <w:ind w:left="0" w:leftChars="0" w:firstLine="0" w:firstLineChars="0"/>
              <w:rPr>
                <w:rFonts w:hint="eastAsia" w:ascii="宋体" w:hAnsi="宋体" w:eastAsia="宋体" w:cs="宋体"/>
                <w:sz w:val="22"/>
                <w:szCs w:val="22"/>
              </w:rPr>
            </w:pPr>
            <w:r>
              <w:drawing>
                <wp:inline distT="0" distB="0" distL="114300" distR="114300">
                  <wp:extent cx="828675" cy="828675"/>
                  <wp:effectExtent l="0" t="0" r="9525" b="9525"/>
                  <wp:docPr id="1545" name="图片 8" descr="E65A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 name="图片 8" descr="E65A1208"/>
                          <pic:cNvPicPr>
                            <a:picLocks noChangeAspect="1"/>
                          </pic:cNvPicPr>
                        </pic:nvPicPr>
                        <pic:blipFill>
                          <a:blip r:embed="rId40"/>
                          <a:stretch>
                            <a:fillRect/>
                          </a:stretch>
                        </pic:blipFill>
                        <pic:spPr>
                          <a:xfrm>
                            <a:off x="0" y="0"/>
                            <a:ext cx="828675" cy="8286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3" w:hRule="atLeast"/>
        </w:trPr>
        <w:tc>
          <w:tcPr>
            <w:tcW w:w="662" w:type="dxa"/>
            <w:vAlign w:val="center"/>
          </w:tcPr>
          <w:p>
            <w:pPr>
              <w:keepNext w:val="0"/>
              <w:keepLines w:val="0"/>
              <w:widowControl/>
              <w:suppressLineNumbers w:val="0"/>
              <w:spacing w:line="360" w:lineRule="auto"/>
              <w:jc w:val="center"/>
              <w:textAlignment w:val="center"/>
              <w:rPr>
                <w:rFonts w:hint="eastAsia" w:ascii="宋体" w:hAnsi="宋体" w:eastAsia="宋体" w:cs="宋体"/>
                <w:sz w:val="22"/>
                <w:szCs w:val="22"/>
                <w:vertAlign w:val="baseline"/>
              </w:rPr>
            </w:pPr>
            <w:r>
              <w:rPr>
                <w:rFonts w:hint="eastAsia" w:ascii="宋体" w:hAnsi="宋体" w:eastAsia="宋体" w:cs="宋体"/>
                <w:i w:val="0"/>
                <w:iCs w:val="0"/>
                <w:color w:val="000000"/>
                <w:kern w:val="0"/>
                <w:sz w:val="22"/>
                <w:szCs w:val="22"/>
                <w:u w:val="none"/>
                <w:lang w:val="en-US" w:eastAsia="zh-CN" w:bidi="ar"/>
              </w:rPr>
              <w:t>停车警示牌</w:t>
            </w:r>
          </w:p>
        </w:tc>
        <w:tc>
          <w:tcPr>
            <w:tcW w:w="3270" w:type="dxa"/>
            <w:vAlign w:val="top"/>
          </w:tcPr>
          <w:p>
            <w:pPr>
              <w:spacing w:line="360" w:lineRule="auto"/>
              <w:rPr>
                <w:rFonts w:hint="eastAsia" w:ascii="宋体" w:hAnsi="宋体" w:eastAsia="宋体" w:cs="宋体"/>
                <w:sz w:val="22"/>
                <w:szCs w:val="22"/>
              </w:rPr>
            </w:pPr>
            <w:r>
              <w:rPr>
                <w:rFonts w:hint="eastAsia" w:ascii="宋体" w:hAnsi="宋体" w:eastAsia="宋体" w:cs="宋体"/>
                <w:sz w:val="22"/>
                <w:szCs w:val="22"/>
              </w:rPr>
              <w:t>外观：停车牌外观应整洁、无裂纹、损伤和划痕，塑料件应无明显变形，表面无褪色，外壳材料彩页工程塑料制作。</w:t>
            </w:r>
          </w:p>
          <w:p>
            <w:pPr>
              <w:spacing w:line="360" w:lineRule="auto"/>
              <w:rPr>
                <w:rFonts w:hint="eastAsia" w:ascii="宋体" w:hAnsi="宋体" w:eastAsia="宋体" w:cs="宋体"/>
                <w:sz w:val="22"/>
                <w:szCs w:val="22"/>
              </w:rPr>
            </w:pPr>
            <w:r>
              <w:rPr>
                <w:rFonts w:hint="eastAsia" w:ascii="宋体" w:hAnsi="宋体" w:eastAsia="宋体" w:cs="宋体"/>
                <w:sz w:val="22"/>
                <w:szCs w:val="22"/>
              </w:rPr>
              <w:t>工作模式：LED灯组提高警示宽度；警示闪光工作时间≥8h，手电筒工作时间≥2h，有长亮、频闪两种工作模式，灯为红色。</w:t>
            </w:r>
          </w:p>
          <w:p>
            <w:pPr>
              <w:spacing w:line="360" w:lineRule="auto"/>
              <w:rPr>
                <w:rFonts w:hint="eastAsia" w:ascii="宋体" w:hAnsi="宋体" w:eastAsia="宋体" w:cs="宋体"/>
                <w:sz w:val="22"/>
                <w:szCs w:val="22"/>
              </w:rPr>
            </w:pPr>
            <w:r>
              <w:rPr>
                <w:rFonts w:hint="eastAsia" w:ascii="宋体" w:hAnsi="宋体" w:eastAsia="宋体" w:cs="宋体"/>
                <w:sz w:val="22"/>
                <w:szCs w:val="22"/>
              </w:rPr>
              <w:t>质量：≤280g</w:t>
            </w:r>
          </w:p>
          <w:p>
            <w:pPr>
              <w:spacing w:line="360" w:lineRule="auto"/>
              <w:rPr>
                <w:rFonts w:hint="eastAsia" w:ascii="宋体" w:hAnsi="宋体" w:eastAsia="宋体" w:cs="宋体"/>
                <w:sz w:val="22"/>
                <w:szCs w:val="22"/>
              </w:rPr>
            </w:pPr>
            <w:r>
              <w:rPr>
                <w:rFonts w:hint="eastAsia" w:ascii="宋体" w:hAnsi="宋体" w:eastAsia="宋体" w:cs="宋体"/>
                <w:sz w:val="22"/>
                <w:szCs w:val="22"/>
              </w:rPr>
              <w:t>警示灯出光面直径：120mm±2mm</w:t>
            </w:r>
          </w:p>
          <w:p>
            <w:pPr>
              <w:spacing w:line="360" w:lineRule="auto"/>
              <w:rPr>
                <w:rFonts w:hint="eastAsia" w:ascii="宋体" w:hAnsi="宋体" w:eastAsia="宋体" w:cs="宋体"/>
                <w:sz w:val="22"/>
                <w:szCs w:val="22"/>
              </w:rPr>
            </w:pPr>
            <w:r>
              <w:rPr>
                <w:rFonts w:hint="eastAsia" w:ascii="宋体" w:hAnsi="宋体" w:eastAsia="宋体" w:cs="宋体"/>
                <w:sz w:val="22"/>
                <w:szCs w:val="22"/>
              </w:rPr>
              <w:t>工作时间：连续工作8h后，发光强度≥40cd。</w:t>
            </w:r>
          </w:p>
          <w:p>
            <w:pPr>
              <w:spacing w:line="360" w:lineRule="auto"/>
              <w:rPr>
                <w:rFonts w:hint="eastAsia" w:ascii="宋体" w:hAnsi="宋体" w:eastAsia="宋体" w:cs="宋体"/>
                <w:sz w:val="22"/>
                <w:szCs w:val="22"/>
              </w:rPr>
            </w:pPr>
            <w:r>
              <w:rPr>
                <w:rFonts w:hint="eastAsia" w:ascii="宋体" w:hAnsi="宋体" w:eastAsia="宋体" w:cs="宋体"/>
                <w:sz w:val="22"/>
                <w:szCs w:val="22"/>
              </w:rPr>
              <w:t>工作电压：≥3.6v</w:t>
            </w:r>
          </w:p>
          <w:p>
            <w:pPr>
              <w:spacing w:line="360" w:lineRule="auto"/>
              <w:rPr>
                <w:rFonts w:hint="eastAsia" w:ascii="宋体" w:hAnsi="宋体" w:eastAsia="宋体" w:cs="宋体"/>
                <w:sz w:val="22"/>
                <w:szCs w:val="22"/>
              </w:rPr>
            </w:pPr>
            <w:r>
              <w:rPr>
                <w:rFonts w:hint="eastAsia" w:ascii="宋体" w:hAnsi="宋体" w:eastAsia="宋体" w:cs="宋体"/>
                <w:sz w:val="22"/>
                <w:szCs w:val="22"/>
              </w:rPr>
              <w:t>特性：停车牌正面能发出红色光信号，背面为“停”字。</w:t>
            </w:r>
          </w:p>
          <w:p>
            <w:pPr>
              <w:spacing w:line="360" w:lineRule="auto"/>
              <w:rPr>
                <w:rFonts w:hint="eastAsia" w:ascii="宋体" w:hAnsi="宋体" w:eastAsia="宋体" w:cs="宋体"/>
                <w:sz w:val="22"/>
                <w:szCs w:val="22"/>
              </w:rPr>
            </w:pPr>
            <w:r>
              <w:rPr>
                <w:rFonts w:hint="eastAsia" w:ascii="宋体" w:hAnsi="宋体" w:eastAsia="宋体" w:cs="宋体"/>
                <w:sz w:val="22"/>
                <w:szCs w:val="22"/>
              </w:rPr>
              <w:t>执行标准：GAT 1370-2016《警用停车示意牌》</w:t>
            </w:r>
          </w:p>
          <w:p>
            <w:pPr>
              <w:pStyle w:val="60"/>
              <w:spacing w:line="360" w:lineRule="auto"/>
              <w:ind w:left="0" w:leftChars="0" w:firstLine="0" w:firstLineChars="0"/>
              <w:jc w:val="left"/>
              <w:rPr>
                <w:rFonts w:hint="eastAsia" w:ascii="宋体" w:hAnsi="宋体" w:eastAsia="宋体" w:cs="宋体"/>
                <w:kern w:val="2"/>
                <w:sz w:val="22"/>
                <w:szCs w:val="22"/>
                <w:lang w:val="en-US" w:eastAsia="zh-CN" w:bidi="ar-SA"/>
              </w:rPr>
            </w:pPr>
            <w:r>
              <w:rPr>
                <w:rFonts w:hint="eastAsia" w:ascii="宋体" w:hAnsi="宋体" w:eastAsia="宋体" w:cs="宋体"/>
                <w:b/>
                <w:bCs/>
                <w:kern w:val="2"/>
                <w:sz w:val="22"/>
                <w:szCs w:val="22"/>
                <w:vertAlign w:val="baseline"/>
                <w:lang w:val="en-US" w:eastAsia="zh-CN" w:bidi="ar-SA"/>
              </w:rPr>
              <w:t>需提供公安部检测机构出具的产品检测报告（复印件加盖公章）。</w:t>
            </w:r>
          </w:p>
        </w:tc>
        <w:tc>
          <w:tcPr>
            <w:tcW w:w="1466" w:type="dxa"/>
            <w:vAlign w:val="center"/>
          </w:tcPr>
          <w:p>
            <w:pPr>
              <w:pStyle w:val="60"/>
              <w:spacing w:line="360" w:lineRule="auto"/>
              <w:ind w:left="0" w:leftChars="0" w:firstLine="0" w:firstLineChars="0"/>
              <w:jc w:val="center"/>
              <w:rPr>
                <w:rFonts w:hint="default" w:ascii="宋体" w:hAnsi="宋体" w:eastAsia="宋体" w:cs="宋体"/>
                <w:b/>
                <w:bCs/>
                <w:kern w:val="2"/>
                <w:sz w:val="22"/>
                <w:szCs w:val="22"/>
                <w:vertAlign w:val="baseline"/>
                <w:lang w:val="en-US" w:eastAsia="zh-CN" w:bidi="ar-SA"/>
              </w:rPr>
            </w:pPr>
            <w:r>
              <w:rPr>
                <w:rFonts w:hint="eastAsia" w:ascii="宋体" w:hAnsi="宋体" w:cs="宋体"/>
                <w:b/>
                <w:bCs/>
                <w:kern w:val="2"/>
                <w:sz w:val="22"/>
                <w:szCs w:val="22"/>
                <w:vertAlign w:val="baseline"/>
                <w:lang w:val="en-US" w:eastAsia="zh-CN" w:bidi="ar-SA"/>
              </w:rPr>
              <w:t>20个</w:t>
            </w:r>
          </w:p>
        </w:tc>
        <w:tc>
          <w:tcPr>
            <w:tcW w:w="4050" w:type="dxa"/>
            <w:vAlign w:val="top"/>
          </w:tcPr>
          <w:p>
            <w:pPr>
              <w:pStyle w:val="60"/>
              <w:spacing w:line="360" w:lineRule="auto"/>
              <w:ind w:left="0" w:leftChars="0" w:firstLine="0" w:firstLineChars="0"/>
              <w:jc w:val="left"/>
              <w:rPr>
                <w:rFonts w:hint="eastAsia" w:ascii="宋体" w:hAnsi="宋体" w:eastAsia="宋体" w:cs="宋体"/>
                <w:sz w:val="22"/>
                <w:szCs w:val="22"/>
              </w:rPr>
            </w:pPr>
            <w:r>
              <w:drawing>
                <wp:inline distT="0" distB="0" distL="114300" distR="114300">
                  <wp:extent cx="928370" cy="861060"/>
                  <wp:effectExtent l="0" t="0" r="5080" b="15240"/>
                  <wp:docPr id="1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2"/>
                          <pic:cNvPicPr>
                            <a:picLocks noChangeAspect="1"/>
                          </pic:cNvPicPr>
                        </pic:nvPicPr>
                        <pic:blipFill>
                          <a:blip r:embed="rId41" cstate="print"/>
                          <a:stretch>
                            <a:fillRect/>
                          </a:stretch>
                        </pic:blipFill>
                        <pic:spPr>
                          <a:xfrm>
                            <a:off x="0" y="0"/>
                            <a:ext cx="928370" cy="8610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0" w:hRule="atLeast"/>
        </w:trPr>
        <w:tc>
          <w:tcPr>
            <w:tcW w:w="662" w:type="dxa"/>
            <w:vAlign w:val="center"/>
          </w:tcPr>
          <w:p>
            <w:pPr>
              <w:keepNext w:val="0"/>
              <w:keepLines w:val="0"/>
              <w:widowControl/>
              <w:suppressLineNumbers w:val="0"/>
              <w:spacing w:line="360" w:lineRule="auto"/>
              <w:jc w:val="center"/>
              <w:textAlignment w:val="center"/>
              <w:rPr>
                <w:rFonts w:hint="eastAsia" w:ascii="宋体" w:hAnsi="宋体" w:eastAsia="宋体" w:cs="宋体"/>
                <w:sz w:val="22"/>
                <w:szCs w:val="22"/>
                <w:vertAlign w:val="baseline"/>
              </w:rPr>
            </w:pPr>
            <w:r>
              <w:rPr>
                <w:rFonts w:hint="eastAsia" w:ascii="宋体" w:hAnsi="宋体" w:eastAsia="宋体" w:cs="宋体"/>
                <w:i w:val="0"/>
                <w:iCs w:val="0"/>
                <w:color w:val="000000"/>
                <w:kern w:val="0"/>
                <w:sz w:val="22"/>
                <w:szCs w:val="22"/>
                <w:u w:val="none"/>
                <w:lang w:val="en-US" w:eastAsia="zh-CN" w:bidi="ar"/>
              </w:rPr>
              <w:t>钢叉</w:t>
            </w:r>
          </w:p>
        </w:tc>
        <w:tc>
          <w:tcPr>
            <w:tcW w:w="3270" w:type="dxa"/>
            <w:vAlign w:val="top"/>
          </w:tcPr>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结构：约束叉由叉头、叉杆、连接部位、握持部位等组成。</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收缩方式</w:t>
            </w:r>
            <w:r>
              <w:rPr>
                <w:rFonts w:hint="eastAsia" w:ascii="宋体" w:hAnsi="宋体" w:eastAsia="宋体" w:cs="宋体"/>
                <w:sz w:val="22"/>
                <w:szCs w:val="22"/>
                <w:lang w:eastAsia="zh-CN"/>
              </w:rPr>
              <w:t>：</w:t>
            </w:r>
            <w:r>
              <w:rPr>
                <w:rFonts w:hint="eastAsia" w:ascii="宋体" w:hAnsi="宋体" w:eastAsia="宋体" w:cs="宋体"/>
                <w:sz w:val="22"/>
                <w:szCs w:val="22"/>
              </w:rPr>
              <w:t>折叠式。</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颜色：黑色。</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尺寸：工作长度2320mm±10mm，携行长度1360mm±10mm，叉杆握持部位直径Φ32mm±0.2mm，插头闭合缝隙≤105mm，活动扇粱最大开启距离≥460mm。</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质量：≤3.</w:t>
            </w:r>
            <w:r>
              <w:rPr>
                <w:rFonts w:hint="eastAsia" w:ascii="宋体" w:hAnsi="宋体" w:eastAsia="宋体" w:cs="宋体"/>
                <w:sz w:val="22"/>
                <w:szCs w:val="22"/>
                <w:lang w:val="en-US" w:eastAsia="zh-CN"/>
              </w:rPr>
              <w:t>5</w:t>
            </w:r>
            <w:r>
              <w:rPr>
                <w:rFonts w:hint="eastAsia" w:ascii="宋体" w:hAnsi="宋体" w:eastAsia="宋体" w:cs="宋体"/>
                <w:sz w:val="22"/>
                <w:szCs w:val="22"/>
              </w:rPr>
              <w:t>kg</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快速约束功能：通过碰触方式叉套被约束对象，当叉头碰触约束部位时，叉头能迅速叉套并闭合。</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自锁功能：约束叉叉头闭合后，叉头自内向外不能自由开启。</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状态转换时间：约束叉的携行状态与工作状态能快速有效地转换，转换时间≤7s。</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抗破坏能力：</w:t>
            </w:r>
            <w:r>
              <w:rPr>
                <w:rFonts w:hint="eastAsia" w:ascii="宋体" w:hAnsi="宋体" w:eastAsia="宋体" w:cs="宋体"/>
                <w:sz w:val="22"/>
                <w:szCs w:val="22"/>
                <w:lang w:val="en-US" w:eastAsia="zh-CN"/>
              </w:rPr>
              <w:t>≥</w:t>
            </w:r>
            <w:r>
              <w:rPr>
                <w:rFonts w:hint="eastAsia" w:ascii="宋体" w:hAnsi="宋体" w:eastAsia="宋体" w:cs="宋体"/>
                <w:sz w:val="22"/>
                <w:szCs w:val="22"/>
              </w:rPr>
              <w:t>1000N。</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操作可靠性：约束叉经过≥3000次开启、闭合循环后，能正常使用。</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携行袋阻燃性能：阴燃</w:t>
            </w:r>
            <w:r>
              <w:rPr>
                <w:rFonts w:hint="eastAsia" w:ascii="宋体" w:hAnsi="宋体" w:eastAsia="宋体" w:cs="宋体"/>
                <w:sz w:val="22"/>
                <w:szCs w:val="22"/>
                <w:lang w:val="en-US" w:eastAsia="zh-CN"/>
              </w:rPr>
              <w:t>0s</w:t>
            </w:r>
            <w:r>
              <w:rPr>
                <w:rFonts w:hint="eastAsia" w:ascii="宋体" w:hAnsi="宋体" w:eastAsia="宋体" w:cs="宋体"/>
                <w:sz w:val="22"/>
                <w:szCs w:val="22"/>
              </w:rPr>
              <w:t>、续燃≤20s，损毁长度≤90mm，燃烧特性：熔融滴落物不会引燃脱脂棉。</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耐腐蚀性能：≥9级。</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执行标准：《GA/T1145-2014警用约束叉》</w:t>
            </w:r>
          </w:p>
          <w:p>
            <w:pPr>
              <w:pStyle w:val="60"/>
              <w:spacing w:line="360" w:lineRule="auto"/>
              <w:ind w:left="0" w:leftChars="0" w:firstLine="0" w:firstLineChars="0"/>
              <w:jc w:val="left"/>
              <w:rPr>
                <w:rFonts w:hint="eastAsia" w:ascii="宋体" w:hAnsi="宋体" w:eastAsia="宋体" w:cs="宋体"/>
                <w:kern w:val="2"/>
                <w:sz w:val="22"/>
                <w:szCs w:val="22"/>
                <w:lang w:val="en-US" w:eastAsia="zh-CN" w:bidi="ar-SA"/>
              </w:rPr>
            </w:pPr>
            <w:r>
              <w:rPr>
                <w:rFonts w:hint="eastAsia" w:ascii="宋体" w:hAnsi="宋体" w:eastAsia="宋体" w:cs="宋体"/>
                <w:b/>
                <w:bCs/>
                <w:kern w:val="2"/>
                <w:sz w:val="22"/>
                <w:szCs w:val="22"/>
                <w:vertAlign w:val="baseline"/>
                <w:lang w:val="en-US" w:eastAsia="zh-CN" w:bidi="ar-SA"/>
              </w:rPr>
              <w:t>需提供公安部检测机构出具的产品检测报告（复印件加盖公章）。</w:t>
            </w:r>
          </w:p>
        </w:tc>
        <w:tc>
          <w:tcPr>
            <w:tcW w:w="1466" w:type="dxa"/>
            <w:vAlign w:val="center"/>
          </w:tcPr>
          <w:p>
            <w:pPr>
              <w:pStyle w:val="60"/>
              <w:spacing w:line="360" w:lineRule="auto"/>
              <w:ind w:left="0" w:leftChars="0" w:firstLine="0" w:firstLineChars="0"/>
              <w:jc w:val="center"/>
              <w:rPr>
                <w:rFonts w:hint="default" w:ascii="宋体" w:hAnsi="宋体" w:eastAsia="宋体" w:cs="宋体"/>
                <w:b/>
                <w:bCs/>
                <w:kern w:val="2"/>
                <w:sz w:val="22"/>
                <w:szCs w:val="22"/>
                <w:vertAlign w:val="baseline"/>
                <w:lang w:val="en-US" w:eastAsia="zh-CN" w:bidi="ar-SA"/>
              </w:rPr>
            </w:pPr>
            <w:r>
              <w:rPr>
                <w:rFonts w:hint="eastAsia" w:ascii="宋体" w:hAnsi="宋体" w:cs="宋体"/>
                <w:b/>
                <w:bCs/>
                <w:kern w:val="2"/>
                <w:sz w:val="22"/>
                <w:szCs w:val="22"/>
                <w:vertAlign w:val="baseline"/>
                <w:lang w:val="en-US" w:eastAsia="zh-CN" w:bidi="ar-SA"/>
              </w:rPr>
              <w:t>16个</w:t>
            </w:r>
          </w:p>
        </w:tc>
        <w:tc>
          <w:tcPr>
            <w:tcW w:w="4050" w:type="dxa"/>
            <w:vAlign w:val="top"/>
          </w:tcPr>
          <w:p>
            <w:pPr>
              <w:pStyle w:val="60"/>
              <w:spacing w:line="360" w:lineRule="auto"/>
              <w:ind w:left="0" w:leftChars="0" w:firstLine="0" w:firstLineChars="0"/>
              <w:jc w:val="left"/>
              <w:rPr>
                <w:rFonts w:hint="eastAsia" w:ascii="宋体" w:hAnsi="宋体" w:eastAsia="宋体" w:cs="宋体"/>
                <w:sz w:val="22"/>
                <w:szCs w:val="22"/>
                <w:lang w:eastAsia="zh-CN"/>
              </w:rPr>
            </w:pPr>
            <w:r>
              <w:rPr>
                <w:rFonts w:hint="eastAsia" w:ascii="宋体" w:hAnsi="宋体" w:eastAsia="宋体" w:cs="宋体"/>
                <w:sz w:val="22"/>
                <w:szCs w:val="22"/>
                <w:lang w:eastAsia="zh-CN"/>
              </w:rPr>
              <w:drawing>
                <wp:inline distT="0" distB="0" distL="114300" distR="114300">
                  <wp:extent cx="1219200" cy="650240"/>
                  <wp:effectExtent l="0" t="0" r="0" b="16510"/>
                  <wp:docPr id="11" name="图片 11" descr="c125850d6716b29de98a8e9e5fe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125850d6716b29de98a8e9e5fe2647"/>
                          <pic:cNvPicPr>
                            <a:picLocks noChangeAspect="1"/>
                          </pic:cNvPicPr>
                        </pic:nvPicPr>
                        <pic:blipFill>
                          <a:blip r:embed="rId42"/>
                          <a:stretch>
                            <a:fillRect/>
                          </a:stretch>
                        </pic:blipFill>
                        <pic:spPr>
                          <a:xfrm>
                            <a:off x="0" y="0"/>
                            <a:ext cx="1219200" cy="650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4" w:hRule="atLeast"/>
        </w:trPr>
        <w:tc>
          <w:tcPr>
            <w:tcW w:w="662"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圆盾</w:t>
            </w:r>
          </w:p>
        </w:tc>
        <w:tc>
          <w:tcPr>
            <w:tcW w:w="3270" w:type="dxa"/>
          </w:tcPr>
          <w:p>
            <w:pPr>
              <w:numPr>
                <w:ilvl w:val="0"/>
                <w:numId w:val="0"/>
              </w:numPr>
              <w:spacing w:line="360" w:lineRule="auto"/>
              <w:ind w:leftChars="0"/>
              <w:jc w:val="left"/>
              <w:rPr>
                <w:rFonts w:hint="eastAsia" w:ascii="宋体" w:hAnsi="宋体" w:eastAsia="宋体" w:cs="宋体"/>
                <w:sz w:val="22"/>
                <w:szCs w:val="22"/>
              </w:rPr>
            </w:pPr>
            <w:r>
              <w:rPr>
                <w:rFonts w:hint="eastAsia" w:ascii="宋体" w:hAnsi="宋体" w:eastAsia="宋体" w:cs="宋体"/>
                <w:sz w:val="22"/>
                <w:szCs w:val="22"/>
              </w:rPr>
              <w:t>结构：盾体上下沿装有防砍包边，</w:t>
            </w:r>
            <w:r>
              <w:rPr>
                <w:rFonts w:hint="eastAsia" w:ascii="宋体" w:hAnsi="宋体" w:eastAsia="宋体" w:cs="宋体"/>
                <w:sz w:val="22"/>
                <w:szCs w:val="22"/>
                <w:lang w:val="en-US" w:eastAsia="zh-CN"/>
              </w:rPr>
              <w:t>防砍包边为橡胶材料内嵌钢丝，</w:t>
            </w:r>
            <w:r>
              <w:rPr>
                <w:rFonts w:hint="eastAsia" w:ascii="宋体" w:hAnsi="宋体" w:eastAsia="宋体" w:cs="宋体"/>
                <w:sz w:val="22"/>
                <w:szCs w:val="22"/>
              </w:rPr>
              <w:t>盾体厚度≥2.</w:t>
            </w:r>
            <w:r>
              <w:rPr>
                <w:rFonts w:hint="eastAsia" w:ascii="宋体" w:hAnsi="宋体" w:eastAsia="宋体" w:cs="宋体"/>
                <w:sz w:val="22"/>
                <w:szCs w:val="22"/>
                <w:lang w:val="en-US" w:eastAsia="zh-CN"/>
              </w:rPr>
              <w:t>5</w:t>
            </w:r>
            <w:r>
              <w:rPr>
                <w:rFonts w:hint="eastAsia" w:ascii="宋体" w:hAnsi="宋体" w:eastAsia="宋体" w:cs="宋体"/>
                <w:sz w:val="22"/>
                <w:szCs w:val="22"/>
              </w:rPr>
              <w:t>mm。</w:t>
            </w:r>
          </w:p>
          <w:p>
            <w:pPr>
              <w:pStyle w:val="14"/>
              <w:spacing w:line="360" w:lineRule="auto"/>
              <w:ind w:left="0" w:leftChars="0" w:firstLine="0" w:firstLineChars="0"/>
              <w:jc w:val="left"/>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外形尺寸：≥φ550mm</w:t>
            </w:r>
          </w:p>
          <w:p>
            <w:pPr>
              <w:spacing w:line="360" w:lineRule="auto"/>
              <w:ind w:left="0" w:leftChars="0" w:firstLine="0" w:firstLineChars="0"/>
              <w:jc w:val="left"/>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质量：≤2.5kg</w:t>
            </w:r>
          </w:p>
          <w:p>
            <w:pPr>
              <w:spacing w:line="360" w:lineRule="auto"/>
              <w:ind w:left="0" w:leftChars="0" w:firstLine="0" w:firstLineChars="0"/>
              <w:jc w:val="left"/>
              <w:rPr>
                <w:rFonts w:hint="eastAsia" w:ascii="宋体" w:hAnsi="宋体" w:eastAsia="宋体" w:cs="宋体"/>
                <w:sz w:val="22"/>
                <w:szCs w:val="22"/>
              </w:rPr>
            </w:pPr>
            <w:r>
              <w:rPr>
                <w:rFonts w:hint="eastAsia" w:ascii="宋体" w:hAnsi="宋体" w:eastAsia="宋体" w:cs="宋体"/>
                <w:sz w:val="22"/>
                <w:szCs w:val="22"/>
              </w:rPr>
              <w:t>握把连接强度：握把与盾体间的连接应能承受</w:t>
            </w:r>
            <w:r>
              <w:rPr>
                <w:rFonts w:hint="eastAsia" w:ascii="宋体" w:hAnsi="宋体" w:eastAsia="宋体" w:cs="宋体"/>
                <w:sz w:val="22"/>
                <w:szCs w:val="22"/>
                <w:lang w:val="en-US" w:eastAsia="zh-CN"/>
              </w:rPr>
              <w:t>≥</w:t>
            </w:r>
            <w:r>
              <w:rPr>
                <w:rFonts w:hint="eastAsia" w:ascii="宋体" w:hAnsi="宋体" w:eastAsia="宋体" w:cs="宋体"/>
                <w:sz w:val="22"/>
                <w:szCs w:val="22"/>
              </w:rPr>
              <w:t xml:space="preserve">1000N的拉力，不应有断裂、松动或脱落现象。 </w:t>
            </w:r>
          </w:p>
          <w:p>
            <w:pPr>
              <w:spacing w:line="360" w:lineRule="auto"/>
              <w:ind w:left="0" w:leftChars="0" w:firstLine="0" w:firstLineChars="0"/>
              <w:jc w:val="left"/>
              <w:rPr>
                <w:rFonts w:hint="eastAsia" w:ascii="宋体" w:hAnsi="宋体" w:eastAsia="宋体" w:cs="宋体"/>
                <w:sz w:val="22"/>
                <w:szCs w:val="22"/>
              </w:rPr>
            </w:pPr>
            <w:r>
              <w:rPr>
                <w:rFonts w:hint="eastAsia" w:ascii="宋体" w:hAnsi="宋体" w:eastAsia="宋体" w:cs="宋体"/>
                <w:sz w:val="22"/>
                <w:szCs w:val="22"/>
              </w:rPr>
              <w:t>臂带连接强度：臂带的搭扣搭合好后，臂带与盾体间连接应能承受</w:t>
            </w:r>
            <w:r>
              <w:rPr>
                <w:rFonts w:hint="eastAsia" w:ascii="宋体" w:hAnsi="宋体" w:eastAsia="宋体" w:cs="宋体"/>
                <w:sz w:val="22"/>
                <w:szCs w:val="22"/>
                <w:lang w:val="en-US" w:eastAsia="zh-CN"/>
              </w:rPr>
              <w:t>≥</w:t>
            </w:r>
            <w:r>
              <w:rPr>
                <w:rFonts w:hint="eastAsia" w:ascii="宋体" w:hAnsi="宋体" w:eastAsia="宋体" w:cs="宋体"/>
                <w:sz w:val="22"/>
                <w:szCs w:val="22"/>
              </w:rPr>
              <w:t xml:space="preserve">1000N的拉力，不应有脱落、松动、脱扣或臂带断裂现象。 </w:t>
            </w:r>
          </w:p>
          <w:p>
            <w:pPr>
              <w:spacing w:line="360" w:lineRule="auto"/>
              <w:ind w:left="0" w:leftChars="0" w:firstLine="0" w:firstLineChars="0"/>
              <w:jc w:val="left"/>
              <w:rPr>
                <w:rFonts w:hint="eastAsia" w:ascii="宋体" w:hAnsi="宋体" w:eastAsia="宋体" w:cs="宋体"/>
                <w:sz w:val="22"/>
                <w:szCs w:val="22"/>
              </w:rPr>
            </w:pPr>
            <w:r>
              <w:rPr>
                <w:rFonts w:hint="eastAsia" w:ascii="宋体" w:hAnsi="宋体" w:eastAsia="宋体" w:cs="宋体"/>
                <w:sz w:val="22"/>
                <w:szCs w:val="22"/>
              </w:rPr>
              <w:t>耐冲击强度：防暴盾牌应能承受</w:t>
            </w:r>
            <w:r>
              <w:rPr>
                <w:rFonts w:hint="eastAsia" w:ascii="宋体" w:hAnsi="宋体" w:eastAsia="宋体" w:cs="宋体"/>
                <w:sz w:val="22"/>
                <w:szCs w:val="22"/>
                <w:lang w:val="en-US" w:eastAsia="zh-CN"/>
              </w:rPr>
              <w:t>≥</w:t>
            </w:r>
            <w:r>
              <w:rPr>
                <w:rFonts w:hint="eastAsia" w:ascii="宋体" w:hAnsi="宋体" w:eastAsia="宋体" w:cs="宋体"/>
                <w:sz w:val="22"/>
                <w:szCs w:val="22"/>
              </w:rPr>
              <w:t xml:space="preserve">240J动能的冲击,冲击后受力点不应有穿洞或在受力点半径50mm之外出现贯穿性开裂。 </w:t>
            </w:r>
          </w:p>
          <w:p>
            <w:pPr>
              <w:spacing w:line="360" w:lineRule="auto"/>
              <w:ind w:left="0" w:leftChars="0" w:firstLine="0" w:firstLineChars="0"/>
              <w:jc w:val="left"/>
              <w:rPr>
                <w:rFonts w:hint="eastAsia" w:ascii="宋体" w:hAnsi="宋体" w:eastAsia="宋体" w:cs="宋体"/>
                <w:sz w:val="22"/>
                <w:szCs w:val="22"/>
              </w:rPr>
            </w:pPr>
            <w:r>
              <w:rPr>
                <w:rFonts w:hint="eastAsia" w:ascii="宋体" w:hAnsi="宋体" w:eastAsia="宋体" w:cs="宋体"/>
                <w:sz w:val="22"/>
                <w:szCs w:val="22"/>
              </w:rPr>
              <w:t>耐穿刺性能：防暴盾牌应能承受</w:t>
            </w:r>
            <w:r>
              <w:rPr>
                <w:rFonts w:hint="eastAsia" w:ascii="宋体" w:hAnsi="宋体" w:eastAsia="宋体" w:cs="宋体"/>
                <w:sz w:val="22"/>
                <w:szCs w:val="22"/>
                <w:lang w:val="en-US" w:eastAsia="zh-CN"/>
              </w:rPr>
              <w:t>≥</w:t>
            </w:r>
            <w:r>
              <w:rPr>
                <w:rFonts w:hint="eastAsia" w:ascii="宋体" w:hAnsi="宋体" w:eastAsia="宋体" w:cs="宋体"/>
                <w:sz w:val="22"/>
                <w:szCs w:val="22"/>
              </w:rPr>
              <w:t>1</w:t>
            </w:r>
            <w:r>
              <w:rPr>
                <w:rFonts w:hint="eastAsia" w:ascii="宋体" w:hAnsi="宋体" w:eastAsia="宋体" w:cs="宋体"/>
                <w:sz w:val="22"/>
                <w:szCs w:val="22"/>
                <w:lang w:val="en-US" w:eastAsia="zh-CN"/>
              </w:rPr>
              <w:t>5</w:t>
            </w:r>
            <w:r>
              <w:rPr>
                <w:rFonts w:hint="eastAsia" w:ascii="宋体" w:hAnsi="宋体" w:eastAsia="宋体" w:cs="宋体"/>
                <w:sz w:val="22"/>
                <w:szCs w:val="22"/>
              </w:rPr>
              <w:t>0J动能的穿刺，穿刺后受力点不应有直径大于6 mm穿洞或在受力点半径20mm之外出现贯穿性开裂。</w:t>
            </w:r>
          </w:p>
          <w:p>
            <w:pPr>
              <w:spacing w:line="360" w:lineRule="auto"/>
              <w:ind w:left="0" w:leftChars="0" w:firstLine="0" w:firstLineChars="0"/>
              <w:jc w:val="left"/>
              <w:rPr>
                <w:rFonts w:hint="eastAsia" w:ascii="宋体" w:hAnsi="宋体" w:eastAsia="宋体" w:cs="宋体"/>
                <w:sz w:val="22"/>
                <w:szCs w:val="22"/>
              </w:rPr>
            </w:pPr>
            <w:r>
              <w:rPr>
                <w:rFonts w:hint="eastAsia" w:ascii="宋体" w:hAnsi="宋体" w:eastAsia="宋体" w:cs="宋体"/>
                <w:sz w:val="22"/>
                <w:szCs w:val="22"/>
              </w:rPr>
              <w:t>▲耐击打强度：防暴盾牌应能承受线速度为18 m/s士0.3 m/s、能量为450 J±13 J的击打,击打后盾体不应破碎或出现长度大于50mm的贯穿性开裂,击打后盾体产生的最大凹陷深度</w:t>
            </w:r>
            <w:r>
              <w:rPr>
                <w:rFonts w:hint="eastAsia" w:ascii="宋体" w:hAnsi="宋体" w:eastAsia="宋体" w:cs="宋体"/>
                <w:sz w:val="22"/>
                <w:szCs w:val="22"/>
                <w:lang w:val="en-US" w:eastAsia="zh-CN"/>
              </w:rPr>
              <w:t>≤30</w:t>
            </w:r>
            <w:r>
              <w:rPr>
                <w:rFonts w:hint="eastAsia" w:ascii="宋体" w:hAnsi="宋体" w:eastAsia="宋体" w:cs="宋体"/>
                <w:sz w:val="22"/>
                <w:szCs w:val="22"/>
              </w:rPr>
              <w:t xml:space="preserve">mm。 </w:t>
            </w:r>
          </w:p>
          <w:p>
            <w:pPr>
              <w:spacing w:line="360" w:lineRule="auto"/>
              <w:ind w:left="0" w:leftChars="0" w:firstLine="0" w:firstLineChars="0"/>
              <w:jc w:val="left"/>
              <w:rPr>
                <w:rFonts w:hint="eastAsia" w:ascii="宋体" w:hAnsi="宋体" w:eastAsia="宋体" w:cs="宋体"/>
                <w:sz w:val="22"/>
                <w:szCs w:val="22"/>
              </w:rPr>
            </w:pPr>
            <w:r>
              <w:rPr>
                <w:rFonts w:hint="eastAsia" w:ascii="宋体" w:hAnsi="宋体" w:eastAsia="宋体" w:cs="宋体"/>
                <w:sz w:val="22"/>
                <w:szCs w:val="22"/>
              </w:rPr>
              <w:t>耐刀砍性能：防暴盾牌的上边沿应能抵御线速度为8.5m/s±0.5m/s、能量为1</w:t>
            </w:r>
            <w:r>
              <w:rPr>
                <w:rFonts w:hint="eastAsia" w:ascii="宋体" w:hAnsi="宋体" w:eastAsia="宋体" w:cs="宋体"/>
                <w:sz w:val="22"/>
                <w:szCs w:val="22"/>
                <w:lang w:val="en-US" w:eastAsia="zh-CN"/>
              </w:rPr>
              <w:t>2</w:t>
            </w:r>
            <w:r>
              <w:rPr>
                <w:rFonts w:hint="eastAsia" w:ascii="宋体" w:hAnsi="宋体" w:eastAsia="宋体" w:cs="宋体"/>
                <w:sz w:val="22"/>
                <w:szCs w:val="22"/>
              </w:rPr>
              <w:t>0J±5J的击砍,试验后刀砍痕迹深度</w:t>
            </w:r>
            <w:r>
              <w:rPr>
                <w:rFonts w:hint="eastAsia" w:ascii="宋体" w:hAnsi="宋体" w:eastAsia="宋体" w:cs="宋体"/>
                <w:sz w:val="22"/>
                <w:szCs w:val="22"/>
                <w:lang w:val="en-US" w:eastAsia="zh-CN"/>
              </w:rPr>
              <w:t>≤25</w:t>
            </w:r>
            <w:r>
              <w:rPr>
                <w:rFonts w:hint="eastAsia" w:ascii="宋体" w:hAnsi="宋体" w:eastAsia="宋体" w:cs="宋体"/>
                <w:sz w:val="22"/>
                <w:szCs w:val="22"/>
              </w:rPr>
              <w:t xml:space="preserve">mm。 </w:t>
            </w:r>
          </w:p>
          <w:p>
            <w:pPr>
              <w:pStyle w:val="14"/>
              <w:spacing w:line="360" w:lineRule="auto"/>
              <w:ind w:left="0" w:leftChars="0" w:firstLine="0" w:firstLineChars="0"/>
              <w:jc w:val="left"/>
              <w:rPr>
                <w:rFonts w:hint="eastAsia" w:ascii="宋体" w:hAnsi="宋体" w:eastAsia="宋体" w:cs="宋体"/>
                <w:sz w:val="22"/>
                <w:szCs w:val="22"/>
              </w:rPr>
            </w:pPr>
            <w:r>
              <w:rPr>
                <w:rFonts w:hint="eastAsia" w:ascii="宋体" w:hAnsi="宋体" w:eastAsia="宋体" w:cs="宋体"/>
                <w:sz w:val="22"/>
                <w:szCs w:val="22"/>
                <w:lang w:val="en-US" w:eastAsia="zh-CN"/>
              </w:rPr>
              <w:t>1</w:t>
            </w:r>
            <w:r>
              <w:rPr>
                <w:rFonts w:hint="eastAsia" w:ascii="宋体" w:hAnsi="宋体" w:eastAsia="宋体" w:cs="宋体"/>
                <w:sz w:val="22"/>
                <w:szCs w:val="22"/>
              </w:rPr>
              <w:t>图层附着力：涂层附着力应≥GB/T 9286-1998中3级的规定。</w:t>
            </w:r>
          </w:p>
          <w:p>
            <w:pPr>
              <w:spacing w:line="360" w:lineRule="auto"/>
              <w:ind w:left="0" w:leftChars="0" w:firstLine="0" w:firstLineChars="0"/>
              <w:jc w:val="left"/>
              <w:rPr>
                <w:rFonts w:hint="eastAsia" w:ascii="宋体" w:hAnsi="宋体" w:eastAsia="宋体" w:cs="宋体"/>
                <w:sz w:val="22"/>
                <w:szCs w:val="22"/>
              </w:rPr>
            </w:pPr>
            <w:r>
              <w:rPr>
                <w:rFonts w:hint="eastAsia" w:ascii="宋体" w:hAnsi="宋体" w:eastAsia="宋体" w:cs="宋体"/>
                <w:sz w:val="22"/>
                <w:szCs w:val="22"/>
              </w:rPr>
              <w:t>阻燃性能：</w:t>
            </w:r>
            <w:r>
              <w:rPr>
                <w:rFonts w:hint="eastAsia" w:ascii="宋体" w:hAnsi="宋体" w:eastAsia="宋体" w:cs="宋体"/>
                <w:sz w:val="22"/>
                <w:szCs w:val="22"/>
                <w:lang w:val="en-US" w:eastAsia="zh-CN"/>
              </w:rPr>
              <w:t>0s</w:t>
            </w:r>
            <w:r>
              <w:rPr>
                <w:rFonts w:hint="eastAsia" w:ascii="宋体" w:hAnsi="宋体" w:eastAsia="宋体" w:cs="宋体"/>
                <w:sz w:val="22"/>
                <w:szCs w:val="22"/>
              </w:rPr>
              <w:t>。</w:t>
            </w:r>
          </w:p>
          <w:p>
            <w:pPr>
              <w:spacing w:line="360" w:lineRule="auto"/>
              <w:ind w:left="0" w:leftChars="0" w:firstLine="0" w:firstLineChars="0"/>
              <w:jc w:val="left"/>
              <w:rPr>
                <w:rFonts w:hint="eastAsia" w:ascii="宋体" w:hAnsi="宋体" w:eastAsia="宋体" w:cs="宋体"/>
                <w:sz w:val="22"/>
                <w:szCs w:val="22"/>
              </w:rPr>
            </w:pPr>
            <w:r>
              <w:rPr>
                <w:rFonts w:hint="eastAsia" w:ascii="宋体" w:hAnsi="宋体" w:eastAsia="宋体" w:cs="宋体"/>
                <w:sz w:val="22"/>
                <w:szCs w:val="22"/>
              </w:rPr>
              <w:t>温度适应性：-3</w:t>
            </w:r>
            <w:r>
              <w:rPr>
                <w:rFonts w:hint="eastAsia" w:ascii="宋体" w:hAnsi="宋体" w:eastAsia="宋体" w:cs="宋体"/>
                <w:sz w:val="22"/>
                <w:szCs w:val="22"/>
                <w:lang w:val="en-US" w:eastAsia="zh-CN"/>
              </w:rPr>
              <w:t>0</w:t>
            </w:r>
            <w:r>
              <w:rPr>
                <w:rFonts w:hint="eastAsia" w:ascii="宋体" w:hAnsi="宋体" w:eastAsia="宋体" w:cs="宋体"/>
                <w:sz w:val="22"/>
                <w:szCs w:val="22"/>
              </w:rPr>
              <w:t>℃</w:t>
            </w:r>
            <w:r>
              <w:rPr>
                <w:rFonts w:hint="eastAsia" w:ascii="宋体" w:hAnsi="宋体" w:eastAsia="宋体" w:cs="宋体"/>
                <w:sz w:val="22"/>
                <w:szCs w:val="22"/>
                <w:lang w:val="en-US" w:eastAsia="zh-CN"/>
              </w:rPr>
              <w:t>～+</w:t>
            </w:r>
            <w:r>
              <w:rPr>
                <w:rFonts w:hint="eastAsia" w:ascii="宋体" w:hAnsi="宋体" w:eastAsia="宋体" w:cs="宋体"/>
                <w:sz w:val="22"/>
                <w:szCs w:val="22"/>
              </w:rPr>
              <w:t>55℃。</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sz w:val="22"/>
                <w:szCs w:val="22"/>
              </w:rPr>
            </w:pPr>
            <w:r>
              <w:rPr>
                <w:rFonts w:hint="eastAsia" w:ascii="宋体" w:hAnsi="宋体" w:eastAsia="宋体" w:cs="宋体"/>
                <w:sz w:val="22"/>
                <w:szCs w:val="22"/>
              </w:rPr>
              <w:t>执行标准：GA 422-2019《警用防暴盾牌》</w:t>
            </w:r>
          </w:p>
          <w:p>
            <w:pPr>
              <w:pStyle w:val="60"/>
              <w:spacing w:line="360" w:lineRule="auto"/>
              <w:ind w:left="0" w:leftChars="0" w:firstLine="0" w:firstLineChars="0"/>
              <w:jc w:val="left"/>
              <w:rPr>
                <w:rFonts w:hint="eastAsia" w:ascii="宋体" w:hAnsi="宋体" w:eastAsia="宋体" w:cs="宋体"/>
                <w:sz w:val="22"/>
                <w:szCs w:val="22"/>
                <w:vertAlign w:val="baseline"/>
              </w:rPr>
            </w:pPr>
            <w:r>
              <w:rPr>
                <w:rFonts w:hint="eastAsia" w:ascii="宋体" w:hAnsi="宋体" w:eastAsia="宋体" w:cs="宋体"/>
                <w:b/>
                <w:bCs/>
                <w:kern w:val="2"/>
                <w:sz w:val="22"/>
                <w:szCs w:val="22"/>
                <w:vertAlign w:val="baseline"/>
                <w:lang w:val="en-US" w:eastAsia="zh-CN" w:bidi="ar-SA"/>
              </w:rPr>
              <w:t>需提供公安部检测机构出具的产品检测报告（复印件加盖公章）。</w:t>
            </w:r>
          </w:p>
        </w:tc>
        <w:tc>
          <w:tcPr>
            <w:tcW w:w="1466" w:type="dxa"/>
            <w:vAlign w:val="center"/>
          </w:tcPr>
          <w:p>
            <w:pPr>
              <w:pStyle w:val="60"/>
              <w:spacing w:line="360" w:lineRule="auto"/>
              <w:ind w:left="0" w:leftChars="0" w:firstLine="0" w:firstLineChars="0"/>
              <w:jc w:val="center"/>
              <w:rPr>
                <w:rFonts w:hint="default" w:ascii="宋体" w:hAnsi="宋体" w:eastAsia="宋体" w:cs="宋体"/>
                <w:b/>
                <w:bCs/>
                <w:kern w:val="2"/>
                <w:sz w:val="22"/>
                <w:szCs w:val="22"/>
                <w:vertAlign w:val="baseline"/>
                <w:lang w:val="en-US" w:eastAsia="zh-CN" w:bidi="ar-SA"/>
              </w:rPr>
            </w:pPr>
            <w:r>
              <w:rPr>
                <w:rFonts w:hint="eastAsia" w:ascii="宋体" w:hAnsi="宋体" w:cs="宋体"/>
                <w:b/>
                <w:bCs/>
                <w:kern w:val="2"/>
                <w:sz w:val="22"/>
                <w:szCs w:val="22"/>
                <w:vertAlign w:val="baseline"/>
                <w:lang w:val="en-US" w:eastAsia="zh-CN" w:bidi="ar-SA"/>
              </w:rPr>
              <w:t>30个</w:t>
            </w:r>
          </w:p>
        </w:tc>
        <w:tc>
          <w:tcPr>
            <w:tcW w:w="4050" w:type="dxa"/>
          </w:tcPr>
          <w:p>
            <w:pPr>
              <w:spacing w:line="360" w:lineRule="auto"/>
              <w:jc w:val="left"/>
              <w:rPr>
                <w:rFonts w:hint="eastAsia" w:ascii="宋体" w:hAnsi="宋体" w:eastAsia="宋体" w:cs="宋体"/>
                <w:sz w:val="22"/>
                <w:szCs w:val="22"/>
                <w:lang w:eastAsia="zh-CN"/>
              </w:rPr>
            </w:pPr>
            <w:r>
              <w:rPr>
                <w:rFonts w:hint="eastAsia" w:ascii="宋体" w:hAnsi="宋体" w:eastAsia="宋体" w:cs="宋体"/>
                <w:sz w:val="22"/>
                <w:szCs w:val="22"/>
                <w:lang w:eastAsia="zh-CN"/>
              </w:rPr>
              <w:drawing>
                <wp:inline distT="0" distB="0" distL="114300" distR="114300">
                  <wp:extent cx="1218565" cy="655955"/>
                  <wp:effectExtent l="0" t="0" r="635" b="10795"/>
                  <wp:docPr id="12" name="图片 12" descr="dd74179055e25209f833b7ec944b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d74179055e25209f833b7ec944b52a"/>
                          <pic:cNvPicPr>
                            <a:picLocks noChangeAspect="1"/>
                          </pic:cNvPicPr>
                        </pic:nvPicPr>
                        <pic:blipFill>
                          <a:blip r:embed="rId43"/>
                          <a:stretch>
                            <a:fillRect/>
                          </a:stretch>
                        </pic:blipFill>
                        <pic:spPr>
                          <a:xfrm>
                            <a:off x="0" y="0"/>
                            <a:ext cx="1218565" cy="6559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56" w:hRule="atLeast"/>
        </w:trPr>
        <w:tc>
          <w:tcPr>
            <w:tcW w:w="662"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长盾</w:t>
            </w:r>
          </w:p>
        </w:tc>
        <w:tc>
          <w:tcPr>
            <w:tcW w:w="3270" w:type="dxa"/>
            <w:vAlign w:val="top"/>
          </w:tcPr>
          <w:p>
            <w:pPr>
              <w:spacing w:line="360" w:lineRule="auto"/>
              <w:rPr>
                <w:rFonts w:hint="eastAsia" w:ascii="宋体" w:hAnsi="宋体" w:eastAsia="宋体" w:cs="宋体"/>
                <w:sz w:val="22"/>
                <w:szCs w:val="22"/>
                <w:vertAlign w:val="baseline"/>
              </w:rPr>
            </w:pPr>
            <w:r>
              <w:rPr>
                <w:rFonts w:hint="eastAsia" w:ascii="宋体" w:hAnsi="宋体" w:eastAsia="宋体" w:cs="宋体"/>
                <w:sz w:val="22"/>
                <w:szCs w:val="22"/>
                <w:vertAlign w:val="baseline"/>
              </w:rPr>
              <w:t>结构：盾体上下沿装有不锈钢防砍包边，盾体厚度≥2.</w:t>
            </w:r>
            <w:r>
              <w:rPr>
                <w:rFonts w:hint="eastAsia" w:ascii="宋体" w:hAnsi="宋体" w:eastAsia="宋体" w:cs="宋体"/>
                <w:sz w:val="22"/>
                <w:szCs w:val="22"/>
                <w:vertAlign w:val="baseline"/>
                <w:lang w:val="en-US" w:eastAsia="zh-CN"/>
              </w:rPr>
              <w:t>5</w:t>
            </w:r>
            <w:r>
              <w:rPr>
                <w:rFonts w:hint="eastAsia" w:ascii="宋体" w:hAnsi="宋体" w:eastAsia="宋体" w:cs="宋体"/>
                <w:sz w:val="22"/>
                <w:szCs w:val="22"/>
                <w:vertAlign w:val="baseline"/>
              </w:rPr>
              <w:t>mm。</w:t>
            </w:r>
          </w:p>
          <w:p>
            <w:pPr>
              <w:spacing w:line="360" w:lineRule="auto"/>
              <w:rPr>
                <w:rFonts w:hint="eastAsia" w:ascii="宋体" w:hAnsi="宋体" w:eastAsia="宋体" w:cs="宋体"/>
                <w:sz w:val="22"/>
                <w:szCs w:val="22"/>
                <w:vertAlign w:val="baseline"/>
              </w:rPr>
            </w:pPr>
            <w:r>
              <w:rPr>
                <w:rFonts w:hint="eastAsia" w:ascii="宋体" w:hAnsi="宋体" w:eastAsia="宋体" w:cs="宋体"/>
                <w:sz w:val="22"/>
                <w:szCs w:val="22"/>
                <w:vertAlign w:val="baseline"/>
              </w:rPr>
              <w:t>颜色：藏蓝色。</w:t>
            </w:r>
          </w:p>
          <w:p>
            <w:pPr>
              <w:spacing w:line="360" w:lineRule="auto"/>
              <w:rPr>
                <w:rFonts w:hint="eastAsia" w:ascii="宋体" w:hAnsi="宋体" w:eastAsia="宋体" w:cs="宋体"/>
                <w:sz w:val="22"/>
                <w:szCs w:val="22"/>
                <w:vertAlign w:val="baseline"/>
              </w:rPr>
            </w:pPr>
            <w:r>
              <w:rPr>
                <w:rFonts w:hint="eastAsia" w:ascii="宋体" w:hAnsi="宋体" w:eastAsia="宋体" w:cs="宋体"/>
                <w:sz w:val="22"/>
                <w:szCs w:val="22"/>
                <w:vertAlign w:val="baseline"/>
              </w:rPr>
              <w:t>观察窗：≥24</w:t>
            </w:r>
            <w:r>
              <w:rPr>
                <w:rFonts w:hint="eastAsia" w:ascii="宋体" w:hAnsi="宋体" w:eastAsia="宋体" w:cs="宋体"/>
                <w:sz w:val="22"/>
                <w:szCs w:val="22"/>
                <w:vertAlign w:val="baseline"/>
                <w:lang w:val="en-US" w:eastAsia="zh-CN"/>
              </w:rPr>
              <w:t>0</w:t>
            </w:r>
            <w:r>
              <w:rPr>
                <w:rFonts w:hint="eastAsia" w:ascii="宋体" w:hAnsi="宋体" w:eastAsia="宋体" w:cs="宋体"/>
                <w:sz w:val="22"/>
                <w:szCs w:val="22"/>
                <w:vertAlign w:val="baseline"/>
              </w:rPr>
              <w:t>mm(宽)×11</w:t>
            </w:r>
            <w:r>
              <w:rPr>
                <w:rFonts w:hint="eastAsia" w:ascii="宋体" w:hAnsi="宋体" w:eastAsia="宋体" w:cs="宋体"/>
                <w:sz w:val="22"/>
                <w:szCs w:val="22"/>
                <w:vertAlign w:val="baseline"/>
                <w:lang w:val="en-US" w:eastAsia="zh-CN"/>
              </w:rPr>
              <w:t>0</w:t>
            </w:r>
            <w:r>
              <w:rPr>
                <w:rFonts w:hint="eastAsia" w:ascii="宋体" w:hAnsi="宋体" w:eastAsia="宋体" w:cs="宋体"/>
                <w:sz w:val="22"/>
                <w:szCs w:val="22"/>
                <w:vertAlign w:val="baseline"/>
              </w:rPr>
              <w:t>mm(高)</w:t>
            </w:r>
          </w:p>
          <w:p>
            <w:pPr>
              <w:spacing w:line="360" w:lineRule="auto"/>
              <w:rPr>
                <w:rFonts w:hint="eastAsia" w:ascii="宋体" w:hAnsi="宋体" w:eastAsia="宋体" w:cs="宋体"/>
                <w:sz w:val="22"/>
                <w:szCs w:val="22"/>
                <w:vertAlign w:val="baseline"/>
              </w:rPr>
            </w:pPr>
            <w:r>
              <w:rPr>
                <w:rFonts w:hint="eastAsia" w:ascii="宋体" w:hAnsi="宋体" w:eastAsia="宋体" w:cs="宋体"/>
                <w:sz w:val="22"/>
                <w:szCs w:val="22"/>
                <w:vertAlign w:val="baseline"/>
              </w:rPr>
              <w:t>尺寸：≥910mm×50</w:t>
            </w:r>
            <w:r>
              <w:rPr>
                <w:rFonts w:hint="eastAsia" w:ascii="宋体" w:hAnsi="宋体" w:eastAsia="宋体" w:cs="宋体"/>
                <w:sz w:val="22"/>
                <w:szCs w:val="22"/>
                <w:vertAlign w:val="baseline"/>
                <w:lang w:val="en-US" w:eastAsia="zh-CN"/>
              </w:rPr>
              <w:t>0</w:t>
            </w:r>
            <w:r>
              <w:rPr>
                <w:rFonts w:hint="eastAsia" w:ascii="宋体" w:hAnsi="宋体" w:eastAsia="宋体" w:cs="宋体"/>
                <w:sz w:val="22"/>
                <w:szCs w:val="22"/>
                <w:vertAlign w:val="baseline"/>
              </w:rPr>
              <w:t>mm</w:t>
            </w:r>
          </w:p>
          <w:p>
            <w:pPr>
              <w:spacing w:line="360" w:lineRule="auto"/>
              <w:rPr>
                <w:rFonts w:hint="eastAsia" w:ascii="宋体" w:hAnsi="宋体" w:eastAsia="宋体" w:cs="宋体"/>
                <w:sz w:val="22"/>
                <w:szCs w:val="22"/>
                <w:vertAlign w:val="baseline"/>
              </w:rPr>
            </w:pPr>
            <w:r>
              <w:rPr>
                <w:rFonts w:hint="eastAsia" w:ascii="宋体" w:hAnsi="宋体" w:eastAsia="宋体" w:cs="宋体"/>
                <w:sz w:val="22"/>
                <w:szCs w:val="22"/>
                <w:vertAlign w:val="baseline"/>
              </w:rPr>
              <w:t>防护面积：≥0.46㎡</w:t>
            </w:r>
          </w:p>
          <w:p>
            <w:pPr>
              <w:spacing w:line="360" w:lineRule="auto"/>
              <w:rPr>
                <w:rFonts w:hint="eastAsia" w:ascii="宋体" w:hAnsi="宋体" w:eastAsia="宋体" w:cs="宋体"/>
                <w:sz w:val="22"/>
                <w:szCs w:val="22"/>
                <w:vertAlign w:val="baseline"/>
              </w:rPr>
            </w:pPr>
            <w:r>
              <w:rPr>
                <w:rFonts w:hint="eastAsia" w:ascii="宋体" w:hAnsi="宋体" w:eastAsia="宋体" w:cs="宋体"/>
                <w:sz w:val="22"/>
                <w:szCs w:val="22"/>
                <w:vertAlign w:val="baseline"/>
              </w:rPr>
              <w:t>质量：≤3kg</w:t>
            </w:r>
          </w:p>
          <w:p>
            <w:pPr>
              <w:spacing w:line="360" w:lineRule="auto"/>
              <w:rPr>
                <w:rFonts w:hint="eastAsia" w:ascii="宋体" w:hAnsi="宋体" w:eastAsia="宋体" w:cs="宋体"/>
                <w:sz w:val="22"/>
                <w:szCs w:val="22"/>
                <w:vertAlign w:val="baseline"/>
              </w:rPr>
            </w:pPr>
            <w:r>
              <w:rPr>
                <w:rFonts w:hint="eastAsia" w:ascii="宋体" w:hAnsi="宋体" w:eastAsia="宋体" w:cs="宋体"/>
                <w:sz w:val="22"/>
                <w:szCs w:val="22"/>
                <w:vertAlign w:val="baseline"/>
              </w:rPr>
              <w:t xml:space="preserve">握把连接强度：握把与盾体间的连接应能承受≥1000N的拉力，不应有断裂、松动或脱落现象。 </w:t>
            </w:r>
          </w:p>
          <w:p>
            <w:pPr>
              <w:spacing w:line="360" w:lineRule="auto"/>
              <w:rPr>
                <w:rFonts w:hint="eastAsia" w:ascii="宋体" w:hAnsi="宋体" w:eastAsia="宋体" w:cs="宋体"/>
                <w:sz w:val="22"/>
                <w:szCs w:val="22"/>
                <w:vertAlign w:val="baseline"/>
              </w:rPr>
            </w:pPr>
            <w:r>
              <w:rPr>
                <w:rFonts w:hint="eastAsia" w:ascii="宋体" w:hAnsi="宋体" w:eastAsia="宋体" w:cs="宋体"/>
                <w:sz w:val="22"/>
                <w:szCs w:val="22"/>
                <w:vertAlign w:val="baseline"/>
              </w:rPr>
              <w:t xml:space="preserve">臂带连接强度：臂带的搭扣搭合好后，臂带与盾体间连接应能承受≥1000N的拉力，不应有脱落、松动、脱扣或臂带断裂现象。 </w:t>
            </w:r>
          </w:p>
          <w:p>
            <w:pPr>
              <w:spacing w:line="360" w:lineRule="auto"/>
              <w:rPr>
                <w:rFonts w:hint="eastAsia" w:ascii="宋体" w:hAnsi="宋体" w:eastAsia="宋体" w:cs="宋体"/>
                <w:sz w:val="22"/>
                <w:szCs w:val="22"/>
                <w:vertAlign w:val="baseline"/>
              </w:rPr>
            </w:pPr>
            <w:r>
              <w:rPr>
                <w:rFonts w:hint="eastAsia" w:ascii="宋体" w:hAnsi="宋体" w:eastAsia="宋体" w:cs="宋体"/>
                <w:sz w:val="22"/>
                <w:szCs w:val="22"/>
                <w:vertAlign w:val="baseline"/>
              </w:rPr>
              <w:t>透光率：≥88%</w:t>
            </w:r>
          </w:p>
          <w:p>
            <w:pPr>
              <w:spacing w:line="360" w:lineRule="auto"/>
              <w:rPr>
                <w:rFonts w:hint="eastAsia" w:ascii="宋体" w:hAnsi="宋体" w:eastAsia="宋体" w:cs="宋体"/>
                <w:sz w:val="22"/>
                <w:szCs w:val="22"/>
                <w:vertAlign w:val="baseline"/>
              </w:rPr>
            </w:pPr>
            <w:r>
              <w:rPr>
                <w:rFonts w:hint="eastAsia" w:ascii="宋体" w:hAnsi="宋体" w:eastAsia="宋体" w:cs="宋体"/>
                <w:sz w:val="22"/>
                <w:szCs w:val="22"/>
                <w:vertAlign w:val="baseline"/>
              </w:rPr>
              <w:t xml:space="preserve">耐冲击强度：≥240J动能的冲击。 </w:t>
            </w:r>
          </w:p>
          <w:p>
            <w:pPr>
              <w:spacing w:line="360" w:lineRule="auto"/>
              <w:rPr>
                <w:rFonts w:hint="eastAsia" w:ascii="宋体" w:hAnsi="宋体" w:eastAsia="宋体" w:cs="宋体"/>
                <w:sz w:val="22"/>
                <w:szCs w:val="22"/>
                <w:vertAlign w:val="baseline"/>
              </w:rPr>
            </w:pPr>
            <w:r>
              <w:rPr>
                <w:rFonts w:hint="eastAsia" w:ascii="宋体" w:hAnsi="宋体" w:eastAsia="宋体" w:cs="宋体"/>
                <w:sz w:val="22"/>
                <w:szCs w:val="22"/>
                <w:vertAlign w:val="baseline"/>
              </w:rPr>
              <w:t>耐穿刺性能：≥170J动能的穿刺。</w:t>
            </w:r>
          </w:p>
          <w:p>
            <w:pPr>
              <w:spacing w:line="360" w:lineRule="auto"/>
              <w:rPr>
                <w:rFonts w:hint="eastAsia" w:ascii="宋体" w:hAnsi="宋体" w:eastAsia="宋体" w:cs="宋体"/>
                <w:sz w:val="22"/>
                <w:szCs w:val="22"/>
                <w:vertAlign w:val="baseline"/>
              </w:rPr>
            </w:pPr>
            <w:r>
              <w:rPr>
                <w:rFonts w:hint="eastAsia" w:ascii="宋体" w:hAnsi="宋体" w:eastAsia="宋体" w:cs="宋体"/>
                <w:sz w:val="22"/>
                <w:szCs w:val="22"/>
                <w:vertAlign w:val="baseline"/>
              </w:rPr>
              <w:t xml:space="preserve">▲耐击打强度：450 J±13 J的击打,击打后盾体不应破碎或出现长度大于50mm的贯穿性开裂,击打后盾体产生的最大凹陷深度应小于或等于15mm。 </w:t>
            </w:r>
          </w:p>
          <w:p>
            <w:pPr>
              <w:spacing w:line="360" w:lineRule="auto"/>
              <w:rPr>
                <w:rFonts w:hint="eastAsia" w:ascii="宋体" w:hAnsi="宋体" w:eastAsia="宋体" w:cs="宋体"/>
                <w:sz w:val="22"/>
                <w:szCs w:val="22"/>
                <w:vertAlign w:val="baseline"/>
              </w:rPr>
            </w:pPr>
            <w:r>
              <w:rPr>
                <w:rFonts w:hint="eastAsia" w:ascii="宋体" w:hAnsi="宋体" w:eastAsia="宋体" w:cs="宋体"/>
                <w:sz w:val="22"/>
                <w:szCs w:val="22"/>
                <w:vertAlign w:val="baseline"/>
              </w:rPr>
              <w:t>耐刀砍性能：防暴盾牌的上边沿应能抵御线速度为8.5m/s±0.5m/s、能量为150J±5J的击砍,试验后刀砍痕迹深度应小于或等于</w:t>
            </w:r>
            <w:r>
              <w:rPr>
                <w:rFonts w:hint="eastAsia" w:ascii="宋体" w:hAnsi="宋体" w:eastAsia="宋体" w:cs="宋体"/>
                <w:sz w:val="22"/>
                <w:szCs w:val="22"/>
                <w:vertAlign w:val="baseline"/>
                <w:lang w:val="en-US" w:eastAsia="zh-CN"/>
              </w:rPr>
              <w:t>10</w:t>
            </w:r>
            <w:r>
              <w:rPr>
                <w:rFonts w:hint="eastAsia" w:ascii="宋体" w:hAnsi="宋体" w:eastAsia="宋体" w:cs="宋体"/>
                <w:sz w:val="22"/>
                <w:szCs w:val="22"/>
                <w:vertAlign w:val="baseline"/>
              </w:rPr>
              <w:t xml:space="preserve">mm。 </w:t>
            </w:r>
          </w:p>
          <w:p>
            <w:pPr>
              <w:spacing w:line="360" w:lineRule="auto"/>
              <w:rPr>
                <w:rFonts w:hint="eastAsia" w:ascii="宋体" w:hAnsi="宋体" w:eastAsia="宋体" w:cs="宋体"/>
                <w:sz w:val="22"/>
                <w:szCs w:val="22"/>
                <w:vertAlign w:val="baseline"/>
              </w:rPr>
            </w:pPr>
            <w:r>
              <w:rPr>
                <w:rFonts w:hint="eastAsia" w:ascii="宋体" w:hAnsi="宋体" w:eastAsia="宋体" w:cs="宋体"/>
                <w:sz w:val="22"/>
                <w:szCs w:val="22"/>
                <w:vertAlign w:val="baseline"/>
              </w:rPr>
              <w:t>▲防护性能：在距离防暴盾牌≤8m处，使用12号猎枪弹、3号弹珠进行枪击试验，在有效击中的情况下，盾牌应无破裂或穿透。</w:t>
            </w:r>
          </w:p>
          <w:p>
            <w:pPr>
              <w:spacing w:line="360" w:lineRule="auto"/>
              <w:rPr>
                <w:rFonts w:hint="eastAsia" w:ascii="宋体" w:hAnsi="宋体" w:eastAsia="宋体" w:cs="宋体"/>
                <w:sz w:val="22"/>
                <w:szCs w:val="22"/>
                <w:vertAlign w:val="baseline"/>
              </w:rPr>
            </w:pPr>
            <w:r>
              <w:rPr>
                <w:rFonts w:hint="eastAsia" w:ascii="宋体" w:hAnsi="宋体" w:eastAsia="宋体" w:cs="宋体"/>
                <w:sz w:val="22"/>
                <w:szCs w:val="22"/>
                <w:vertAlign w:val="baseline"/>
              </w:rPr>
              <w:t>图层附着力：涂层附着力应≥GB/T 9286-1998中3级的规定。</w:t>
            </w:r>
          </w:p>
          <w:p>
            <w:pPr>
              <w:spacing w:line="360" w:lineRule="auto"/>
              <w:rPr>
                <w:rFonts w:hint="eastAsia" w:ascii="宋体" w:hAnsi="宋体" w:eastAsia="宋体" w:cs="宋体"/>
                <w:sz w:val="22"/>
                <w:szCs w:val="22"/>
                <w:vertAlign w:val="baseline"/>
              </w:rPr>
            </w:pPr>
            <w:r>
              <w:rPr>
                <w:rFonts w:hint="eastAsia" w:ascii="宋体" w:hAnsi="宋体" w:eastAsia="宋体" w:cs="宋体"/>
                <w:sz w:val="22"/>
                <w:szCs w:val="22"/>
                <w:vertAlign w:val="baseline"/>
              </w:rPr>
              <w:t>阻燃性能：盾体表面未燃烧。</w:t>
            </w:r>
          </w:p>
          <w:p>
            <w:pPr>
              <w:spacing w:line="360" w:lineRule="auto"/>
              <w:rPr>
                <w:rFonts w:hint="eastAsia" w:ascii="宋体" w:hAnsi="宋体" w:eastAsia="宋体" w:cs="宋体"/>
                <w:sz w:val="22"/>
                <w:szCs w:val="22"/>
                <w:vertAlign w:val="baseline"/>
              </w:rPr>
            </w:pPr>
            <w:r>
              <w:rPr>
                <w:rFonts w:hint="eastAsia" w:ascii="宋体" w:hAnsi="宋体" w:eastAsia="宋体" w:cs="宋体"/>
                <w:sz w:val="22"/>
                <w:szCs w:val="22"/>
                <w:vertAlign w:val="baseline"/>
              </w:rPr>
              <w:t>温度适应性：-35℃～+55℃。</w:t>
            </w:r>
          </w:p>
          <w:p>
            <w:pPr>
              <w:spacing w:line="360" w:lineRule="auto"/>
              <w:rPr>
                <w:rFonts w:hint="eastAsia" w:ascii="宋体" w:hAnsi="宋体" w:eastAsia="宋体" w:cs="宋体"/>
                <w:sz w:val="22"/>
                <w:szCs w:val="22"/>
                <w:vertAlign w:val="baseline"/>
              </w:rPr>
            </w:pPr>
            <w:r>
              <w:rPr>
                <w:rFonts w:hint="eastAsia" w:ascii="宋体" w:hAnsi="宋体" w:eastAsia="宋体" w:cs="宋体"/>
                <w:sz w:val="22"/>
                <w:szCs w:val="22"/>
                <w:vertAlign w:val="baseline"/>
              </w:rPr>
              <w:t>执行标准：GA 422-2019《警用防暴盾牌》</w:t>
            </w:r>
          </w:p>
          <w:p>
            <w:pPr>
              <w:pStyle w:val="60"/>
              <w:spacing w:line="360" w:lineRule="auto"/>
              <w:ind w:left="0" w:leftChars="0" w:firstLine="0" w:firstLineChars="0"/>
              <w:jc w:val="left"/>
              <w:rPr>
                <w:rFonts w:hint="eastAsia" w:ascii="宋体" w:hAnsi="宋体" w:eastAsia="宋体" w:cs="宋体"/>
                <w:kern w:val="2"/>
                <w:sz w:val="22"/>
                <w:szCs w:val="22"/>
                <w:lang w:val="en-US" w:eastAsia="zh-CN" w:bidi="ar-SA"/>
              </w:rPr>
            </w:pPr>
            <w:r>
              <w:rPr>
                <w:rFonts w:hint="eastAsia" w:ascii="宋体" w:hAnsi="宋体" w:eastAsia="宋体" w:cs="宋体"/>
                <w:b/>
                <w:bCs/>
                <w:kern w:val="2"/>
                <w:sz w:val="22"/>
                <w:szCs w:val="22"/>
                <w:vertAlign w:val="baseline"/>
                <w:lang w:val="en-US" w:eastAsia="zh-CN" w:bidi="ar-SA"/>
              </w:rPr>
              <w:t>需提供公安部检测机构出具的产品检测报告（复印件加盖公章）。</w:t>
            </w:r>
          </w:p>
        </w:tc>
        <w:tc>
          <w:tcPr>
            <w:tcW w:w="1466" w:type="dxa"/>
            <w:vAlign w:val="center"/>
          </w:tcPr>
          <w:p>
            <w:pPr>
              <w:pStyle w:val="60"/>
              <w:spacing w:line="360" w:lineRule="auto"/>
              <w:ind w:left="0" w:leftChars="0" w:firstLine="0" w:firstLineChars="0"/>
              <w:jc w:val="center"/>
              <w:rPr>
                <w:rFonts w:hint="default" w:ascii="宋体" w:hAnsi="宋体" w:eastAsia="宋体" w:cs="宋体"/>
                <w:b/>
                <w:bCs/>
                <w:kern w:val="2"/>
                <w:sz w:val="22"/>
                <w:szCs w:val="22"/>
                <w:vertAlign w:val="baseline"/>
                <w:lang w:val="en-US" w:eastAsia="zh-CN" w:bidi="ar-SA"/>
              </w:rPr>
            </w:pPr>
            <w:r>
              <w:rPr>
                <w:rFonts w:hint="eastAsia" w:ascii="宋体" w:hAnsi="宋体" w:cs="宋体"/>
                <w:b/>
                <w:bCs/>
                <w:kern w:val="2"/>
                <w:sz w:val="22"/>
                <w:szCs w:val="22"/>
                <w:vertAlign w:val="baseline"/>
                <w:lang w:val="en-US" w:eastAsia="zh-CN" w:bidi="ar-SA"/>
              </w:rPr>
              <w:t>10个</w:t>
            </w:r>
          </w:p>
        </w:tc>
        <w:tc>
          <w:tcPr>
            <w:tcW w:w="4050" w:type="dxa"/>
            <w:vAlign w:val="top"/>
          </w:tcPr>
          <w:p>
            <w:pPr>
              <w:spacing w:line="360" w:lineRule="auto"/>
              <w:rPr>
                <w:rFonts w:hint="eastAsia" w:ascii="宋体" w:hAnsi="宋体" w:eastAsia="宋体" w:cs="宋体"/>
                <w:sz w:val="22"/>
                <w:szCs w:val="22"/>
              </w:rPr>
            </w:pPr>
            <w:r>
              <w:drawing>
                <wp:inline distT="0" distB="0" distL="0" distR="0">
                  <wp:extent cx="940435" cy="1000125"/>
                  <wp:effectExtent l="0" t="0" r="12065" b="9525"/>
                  <wp:docPr id="172" name="图片 172" descr="C:\Users\ADMINI~1\AppData\Local\Temp\15846816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C:\Users\ADMINI~1\AppData\Local\Temp\1584681693(1).png"/>
                          <pic:cNvPicPr>
                            <a:picLocks noChangeAspect="1" noChangeArrowheads="1"/>
                          </pic:cNvPicPr>
                        </pic:nvPicPr>
                        <pic:blipFill>
                          <a:blip r:embed="rId44"/>
                          <a:srcRect/>
                          <a:stretch>
                            <a:fillRect/>
                          </a:stretch>
                        </pic:blipFill>
                        <pic:spPr>
                          <a:xfrm>
                            <a:off x="0" y="0"/>
                            <a:ext cx="940435" cy="100012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5" w:hRule="atLeast"/>
        </w:trPr>
        <w:tc>
          <w:tcPr>
            <w:tcW w:w="662"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搜索灯</w:t>
            </w:r>
          </w:p>
        </w:tc>
        <w:tc>
          <w:tcPr>
            <w:tcW w:w="3270" w:type="dxa"/>
            <w:vAlign w:val="top"/>
          </w:tcPr>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外观：灯具无明显的划伤、凹陷、变形、脱漆、壳体保持整洁。充电器采用插头与交直流转换器分离式结构，灯具或充电器设置充、放电保护；灯具整体外壳、提手均采用铝材，表面采用氧化处理，不能使用喷塑、烤漆电泳等表面处理。</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功能：具有强、弱光切换功能。具备双灯源采用固态免维护LED光源，光源有白光</w:t>
            </w:r>
            <w:r>
              <w:rPr>
                <w:rFonts w:hint="eastAsia" w:ascii="宋体" w:hAnsi="宋体" w:eastAsia="宋体" w:cs="宋体"/>
                <w:sz w:val="22"/>
                <w:szCs w:val="22"/>
                <w:lang w:val="en-US" w:eastAsia="zh-CN"/>
              </w:rPr>
              <w:t>≥</w:t>
            </w:r>
            <w:r>
              <w:rPr>
                <w:rFonts w:hint="eastAsia" w:ascii="宋体" w:hAnsi="宋体" w:eastAsia="宋体" w:cs="宋体"/>
                <w:sz w:val="22"/>
                <w:szCs w:val="22"/>
              </w:rPr>
              <w:t>12瓦和两只</w:t>
            </w:r>
            <w:r>
              <w:rPr>
                <w:rFonts w:hint="eastAsia" w:ascii="宋体" w:hAnsi="宋体" w:eastAsia="宋体" w:cs="宋体"/>
                <w:sz w:val="22"/>
                <w:szCs w:val="22"/>
                <w:lang w:val="en-US" w:eastAsia="zh-CN"/>
              </w:rPr>
              <w:t>≥</w:t>
            </w:r>
            <w:r>
              <w:rPr>
                <w:rFonts w:hint="eastAsia" w:ascii="宋体" w:hAnsi="宋体" w:eastAsia="宋体" w:cs="宋体"/>
                <w:sz w:val="22"/>
                <w:szCs w:val="22"/>
              </w:rPr>
              <w:t>3瓦穿透力强的黄光。</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结构：灯具尾部具有红色信号指示灯</w:t>
            </w:r>
            <w:r>
              <w:rPr>
                <w:rFonts w:hint="eastAsia" w:ascii="宋体" w:hAnsi="宋体" w:eastAsia="宋体" w:cs="宋体"/>
                <w:sz w:val="22"/>
                <w:szCs w:val="22"/>
                <w:lang w:val="en-US" w:eastAsia="zh-CN"/>
              </w:rPr>
              <w:t>和电量显示器</w:t>
            </w:r>
            <w:r>
              <w:rPr>
                <w:rFonts w:hint="eastAsia" w:ascii="宋体" w:hAnsi="宋体" w:eastAsia="宋体" w:cs="宋体"/>
                <w:sz w:val="22"/>
                <w:szCs w:val="22"/>
              </w:rPr>
              <w:t>，灯具</w:t>
            </w:r>
            <w:r>
              <w:rPr>
                <w:rFonts w:hint="eastAsia" w:ascii="宋体" w:hAnsi="宋体" w:eastAsia="宋体" w:cs="宋体"/>
                <w:sz w:val="22"/>
                <w:szCs w:val="22"/>
                <w:lang w:val="en-US" w:eastAsia="zh-CN"/>
              </w:rPr>
              <w:t>具有</w:t>
            </w:r>
            <w:r>
              <w:rPr>
                <w:rFonts w:hint="eastAsia" w:ascii="宋体" w:hAnsi="宋体" w:eastAsia="宋体" w:cs="宋体"/>
                <w:sz w:val="22"/>
                <w:szCs w:val="22"/>
              </w:rPr>
              <w:t>倾斜感应功能；</w:t>
            </w:r>
          </w:p>
          <w:p>
            <w:pPr>
              <w:spacing w:line="360" w:lineRule="auto"/>
              <w:jc w:val="left"/>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照度：强光≥1000 lx，弱光≥240 lx。</w:t>
            </w:r>
          </w:p>
          <w:p>
            <w:pPr>
              <w:pStyle w:val="60"/>
              <w:spacing w:line="360" w:lineRule="auto"/>
              <w:ind w:left="0" w:leftChars="0" w:firstLine="0" w:firstLineChars="0"/>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工作时间：强光连续稳定工作时间≥300min，弱光连续稳定工作时间≥600min，强光低压状态下连续工作时间≥15min，弱光低压状态下连续工作时间≥30min，</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尺寸：≤1</w:t>
            </w:r>
            <w:r>
              <w:rPr>
                <w:rFonts w:hint="eastAsia" w:ascii="宋体" w:hAnsi="宋体" w:eastAsia="宋体" w:cs="宋体"/>
                <w:sz w:val="22"/>
                <w:szCs w:val="22"/>
                <w:lang w:val="en-US" w:eastAsia="zh-CN"/>
              </w:rPr>
              <w:t>70</w:t>
            </w:r>
            <w:r>
              <w:rPr>
                <w:rFonts w:hint="eastAsia" w:ascii="宋体" w:hAnsi="宋体" w:eastAsia="宋体" w:cs="宋体"/>
                <w:sz w:val="22"/>
                <w:szCs w:val="22"/>
              </w:rPr>
              <w:t>mm×1</w:t>
            </w:r>
            <w:r>
              <w:rPr>
                <w:rFonts w:hint="eastAsia" w:ascii="宋体" w:hAnsi="宋体" w:eastAsia="宋体" w:cs="宋体"/>
                <w:sz w:val="22"/>
                <w:szCs w:val="22"/>
                <w:lang w:val="en-US" w:eastAsia="zh-CN"/>
              </w:rPr>
              <w:t>20</w:t>
            </w:r>
            <w:r>
              <w:rPr>
                <w:rFonts w:hint="eastAsia" w:ascii="宋体" w:hAnsi="宋体" w:eastAsia="宋体" w:cs="宋体"/>
                <w:sz w:val="22"/>
                <w:szCs w:val="22"/>
              </w:rPr>
              <w:t>mm×70mm</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质量：≤0.8kg</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低电压报警时间： 1</w:t>
            </w:r>
            <w:r>
              <w:rPr>
                <w:rFonts w:hint="eastAsia" w:ascii="宋体" w:hAnsi="宋体" w:eastAsia="宋体" w:cs="宋体"/>
                <w:sz w:val="22"/>
                <w:szCs w:val="22"/>
                <w:lang w:val="en-US" w:eastAsia="zh-CN"/>
              </w:rPr>
              <w:t>0</w:t>
            </w:r>
            <w:r>
              <w:rPr>
                <w:rFonts w:hint="eastAsia" w:ascii="宋体" w:hAnsi="宋体" w:eastAsia="宋体" w:cs="宋体"/>
                <w:sz w:val="22"/>
                <w:szCs w:val="22"/>
              </w:rPr>
              <w:t>s～20s</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开关性能可靠性：≥5000</w:t>
            </w:r>
            <w:r>
              <w:rPr>
                <w:rFonts w:hint="eastAsia" w:ascii="宋体" w:hAnsi="宋体" w:eastAsia="宋体" w:cs="宋体"/>
                <w:sz w:val="22"/>
                <w:szCs w:val="22"/>
                <w:lang w:val="en-US" w:eastAsia="zh-CN"/>
              </w:rPr>
              <w:t>0</w:t>
            </w:r>
            <w:r>
              <w:rPr>
                <w:rFonts w:hint="eastAsia" w:ascii="宋体" w:hAnsi="宋体" w:eastAsia="宋体" w:cs="宋体"/>
                <w:sz w:val="22"/>
                <w:szCs w:val="22"/>
              </w:rPr>
              <w:t>次可靠性能试验后应保持完好，且灯具能正常点亮并实现强、弱光切换。</w:t>
            </w:r>
          </w:p>
          <w:p>
            <w:pPr>
              <w:widowControl/>
              <w:spacing w:line="360" w:lineRule="auto"/>
              <w:jc w:val="left"/>
              <w:rPr>
                <w:rFonts w:hint="eastAsia" w:ascii="宋体" w:hAnsi="宋体" w:eastAsia="宋体" w:cs="宋体"/>
                <w:sz w:val="22"/>
                <w:szCs w:val="22"/>
                <w:lang w:eastAsia="zh-CN"/>
              </w:rPr>
            </w:pPr>
            <w:r>
              <w:rPr>
                <w:rFonts w:hint="eastAsia" w:ascii="宋体" w:hAnsi="宋体" w:eastAsia="宋体" w:cs="宋体"/>
                <w:sz w:val="22"/>
                <w:szCs w:val="22"/>
                <w:lang w:val="en-US" w:eastAsia="zh-CN"/>
              </w:rPr>
              <w:t>温度适应性：-10</w:t>
            </w:r>
            <w:r>
              <w:rPr>
                <w:rFonts w:hint="eastAsia" w:ascii="宋体" w:hAnsi="宋体" w:eastAsia="宋体" w:cs="宋体"/>
                <w:sz w:val="22"/>
                <w:szCs w:val="22"/>
              </w:rPr>
              <w:t>℃～</w:t>
            </w:r>
            <w:r>
              <w:rPr>
                <w:rFonts w:hint="eastAsia" w:ascii="宋体" w:hAnsi="宋体" w:eastAsia="宋体" w:cs="宋体"/>
                <w:sz w:val="22"/>
                <w:szCs w:val="22"/>
                <w:lang w:val="en-US" w:eastAsia="zh-CN"/>
              </w:rPr>
              <w:t>+</w:t>
            </w:r>
            <w:r>
              <w:rPr>
                <w:rFonts w:hint="eastAsia" w:ascii="宋体" w:hAnsi="宋体" w:eastAsia="宋体" w:cs="宋体"/>
                <w:sz w:val="22"/>
                <w:szCs w:val="22"/>
              </w:rPr>
              <w:t>40℃</w:t>
            </w:r>
            <w:r>
              <w:rPr>
                <w:rFonts w:hint="eastAsia" w:ascii="宋体" w:hAnsi="宋体" w:eastAsia="宋体" w:cs="宋体"/>
                <w:sz w:val="22"/>
                <w:szCs w:val="22"/>
                <w:lang w:eastAsia="zh-CN"/>
              </w:rPr>
              <w:t>。</w:t>
            </w:r>
          </w:p>
          <w:p>
            <w:pPr>
              <w:widowControl/>
              <w:spacing w:line="360" w:lineRule="auto"/>
              <w:jc w:val="left"/>
              <w:rPr>
                <w:rFonts w:hint="eastAsia" w:ascii="宋体" w:hAnsi="宋体" w:eastAsia="宋体" w:cs="宋体"/>
                <w:sz w:val="22"/>
                <w:szCs w:val="22"/>
              </w:rPr>
            </w:pPr>
            <w:r>
              <w:rPr>
                <w:rFonts w:hint="eastAsia" w:ascii="宋体" w:hAnsi="宋体" w:eastAsia="宋体" w:cs="宋体"/>
                <w:sz w:val="22"/>
                <w:szCs w:val="22"/>
              </w:rPr>
              <w:t>执行标准：GB 30734-2014 《消防员照明灯具》</w:t>
            </w:r>
          </w:p>
          <w:p>
            <w:pPr>
              <w:pStyle w:val="60"/>
              <w:spacing w:line="360" w:lineRule="auto"/>
              <w:ind w:left="0" w:leftChars="0" w:firstLine="0" w:firstLineChars="0"/>
              <w:jc w:val="left"/>
              <w:rPr>
                <w:rFonts w:hint="eastAsia" w:ascii="宋体" w:hAnsi="宋体" w:eastAsia="宋体" w:cs="宋体"/>
                <w:kern w:val="2"/>
                <w:sz w:val="22"/>
                <w:szCs w:val="22"/>
                <w:lang w:val="en-US" w:eastAsia="zh-CN" w:bidi="ar-SA"/>
              </w:rPr>
            </w:pPr>
            <w:r>
              <w:rPr>
                <w:rFonts w:hint="eastAsia" w:ascii="宋体" w:hAnsi="宋体" w:eastAsia="宋体" w:cs="宋体"/>
                <w:b/>
                <w:bCs/>
                <w:kern w:val="2"/>
                <w:sz w:val="22"/>
                <w:szCs w:val="22"/>
                <w:vertAlign w:val="baseline"/>
                <w:lang w:val="en-US" w:eastAsia="zh-CN" w:bidi="ar-SA"/>
              </w:rPr>
              <w:t>需提供公安部检测机构出具的产品检测报告（复印件加盖公章）。</w:t>
            </w:r>
          </w:p>
        </w:tc>
        <w:tc>
          <w:tcPr>
            <w:tcW w:w="1466" w:type="dxa"/>
            <w:vAlign w:val="center"/>
          </w:tcPr>
          <w:p>
            <w:pPr>
              <w:pStyle w:val="60"/>
              <w:spacing w:line="360" w:lineRule="auto"/>
              <w:ind w:left="0" w:leftChars="0" w:firstLine="0" w:firstLineChars="0"/>
              <w:jc w:val="center"/>
              <w:rPr>
                <w:rFonts w:hint="default" w:ascii="宋体" w:hAnsi="宋体" w:eastAsia="宋体" w:cs="宋体"/>
                <w:b/>
                <w:bCs/>
                <w:kern w:val="2"/>
                <w:sz w:val="22"/>
                <w:szCs w:val="22"/>
                <w:vertAlign w:val="baseline"/>
                <w:lang w:val="en-US" w:eastAsia="zh-CN" w:bidi="ar-SA"/>
              </w:rPr>
            </w:pPr>
            <w:r>
              <w:rPr>
                <w:rFonts w:hint="eastAsia" w:ascii="宋体" w:hAnsi="宋体" w:cs="宋体"/>
                <w:b/>
                <w:bCs/>
                <w:kern w:val="2"/>
                <w:sz w:val="22"/>
                <w:szCs w:val="22"/>
                <w:vertAlign w:val="baseline"/>
                <w:lang w:val="en-US" w:eastAsia="zh-CN" w:bidi="ar-SA"/>
              </w:rPr>
              <w:t>10个</w:t>
            </w:r>
          </w:p>
        </w:tc>
        <w:tc>
          <w:tcPr>
            <w:tcW w:w="4050" w:type="dxa"/>
            <w:vAlign w:val="top"/>
          </w:tcPr>
          <w:p>
            <w:pPr>
              <w:pStyle w:val="14"/>
              <w:spacing w:line="360" w:lineRule="auto"/>
              <w:ind w:left="0" w:leftChars="0" w:firstLine="0" w:firstLineChars="0"/>
              <w:rPr>
                <w:rFonts w:hint="eastAsia" w:ascii="宋体" w:hAnsi="宋体" w:eastAsia="宋体" w:cs="宋体"/>
                <w:b/>
                <w:bCs/>
                <w:sz w:val="22"/>
                <w:szCs w:val="22"/>
              </w:rPr>
            </w:pPr>
            <w:r>
              <w:rPr>
                <w:rFonts w:hint="eastAsia" w:ascii="宋体" w:hAnsi="宋体" w:eastAsia="宋体" w:cs="宋体"/>
                <w:color w:val="000000"/>
                <w:sz w:val="18"/>
                <w:szCs w:val="18"/>
              </w:rPr>
              <w:drawing>
                <wp:inline distT="0" distB="0" distL="114300" distR="114300">
                  <wp:extent cx="1093470" cy="678180"/>
                  <wp:effectExtent l="0" t="0" r="11430" b="7620"/>
                  <wp:docPr id="225" name="图片 225" descr="849647_10000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849647_100007123"/>
                          <pic:cNvPicPr>
                            <a:picLocks noChangeAspect="1"/>
                          </pic:cNvPicPr>
                        </pic:nvPicPr>
                        <pic:blipFill>
                          <a:blip r:embed="rId45" cstate="print"/>
                          <a:stretch>
                            <a:fillRect/>
                          </a:stretch>
                        </pic:blipFill>
                        <pic:spPr>
                          <a:xfrm>
                            <a:off x="0" y="0"/>
                            <a:ext cx="1093470" cy="6781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3" w:hRule="atLeast"/>
        </w:trPr>
        <w:tc>
          <w:tcPr>
            <w:tcW w:w="662"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望远镜（军用)</w:t>
            </w:r>
          </w:p>
        </w:tc>
        <w:tc>
          <w:tcPr>
            <w:tcW w:w="3270" w:type="dxa"/>
          </w:tcPr>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尺寸：≤1</w:t>
            </w:r>
            <w:r>
              <w:rPr>
                <w:rFonts w:hint="eastAsia" w:ascii="宋体" w:hAnsi="宋体" w:eastAsia="宋体" w:cs="宋体"/>
                <w:sz w:val="22"/>
                <w:szCs w:val="22"/>
                <w:lang w:val="en-US" w:eastAsia="zh-CN"/>
              </w:rPr>
              <w:t>90</w:t>
            </w:r>
            <w:r>
              <w:rPr>
                <w:rFonts w:hint="eastAsia" w:ascii="宋体" w:hAnsi="宋体" w:eastAsia="宋体" w:cs="宋体"/>
                <w:sz w:val="22"/>
                <w:szCs w:val="22"/>
              </w:rPr>
              <w:t>mm×190mm×</w:t>
            </w:r>
            <w:r>
              <w:rPr>
                <w:rFonts w:hint="eastAsia" w:ascii="宋体" w:hAnsi="宋体" w:eastAsia="宋体" w:cs="宋体"/>
                <w:sz w:val="22"/>
                <w:szCs w:val="22"/>
                <w:lang w:val="en-US" w:eastAsia="zh-CN"/>
              </w:rPr>
              <w:t>70</w:t>
            </w:r>
            <w:r>
              <w:rPr>
                <w:rFonts w:hint="eastAsia" w:ascii="宋体" w:hAnsi="宋体" w:eastAsia="宋体" w:cs="宋体"/>
                <w:sz w:val="22"/>
                <w:szCs w:val="22"/>
              </w:rPr>
              <w:t>mm</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重量：≤1100g</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放大倍率：≥12倍</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左右放大倍率差：≤2.5%</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视场：≥5.8°</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出瞳直径：≤4mm</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出瞳距离：≤22mm</w:t>
            </w:r>
          </w:p>
          <w:p>
            <w:pPr>
              <w:spacing w:line="360" w:lineRule="auto"/>
              <w:jc w:val="left"/>
              <w:rPr>
                <w:rFonts w:hint="eastAsia" w:ascii="宋体" w:hAnsi="宋体" w:eastAsia="宋体" w:cs="宋体"/>
                <w:sz w:val="22"/>
                <w:szCs w:val="22"/>
              </w:rPr>
            </w:pPr>
            <w:r>
              <w:rPr>
                <w:rFonts w:hint="eastAsia" w:ascii="宋体" w:hAnsi="宋体" w:eastAsia="宋体" w:cs="宋体"/>
                <w:sz w:val="22"/>
                <w:szCs w:val="22"/>
              </w:rPr>
              <w:t xml:space="preserve">物镜口径：50mm </w:t>
            </w:r>
          </w:p>
          <w:p>
            <w:pPr>
              <w:spacing w:line="360" w:lineRule="auto"/>
              <w:jc w:val="left"/>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温度适应性：-10℃～+40℃</w:t>
            </w:r>
          </w:p>
          <w:p>
            <w:pPr>
              <w:pStyle w:val="60"/>
              <w:spacing w:line="360" w:lineRule="auto"/>
              <w:ind w:left="0" w:leftChars="0" w:firstLine="0" w:firstLineChars="0"/>
              <w:jc w:val="left"/>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执行标准：GA/T 1352-2018视频监控镜头</w:t>
            </w:r>
          </w:p>
          <w:p>
            <w:pPr>
              <w:pStyle w:val="60"/>
              <w:spacing w:line="360" w:lineRule="auto"/>
              <w:ind w:left="0" w:leftChars="0" w:firstLine="0" w:firstLineChars="0"/>
              <w:jc w:val="left"/>
              <w:rPr>
                <w:rFonts w:hint="eastAsia" w:ascii="宋体" w:hAnsi="宋体" w:eastAsia="宋体" w:cs="宋体"/>
                <w:sz w:val="22"/>
                <w:szCs w:val="22"/>
                <w:lang w:val="en-US" w:eastAsia="zh-CN"/>
              </w:rPr>
            </w:pPr>
            <w:r>
              <w:rPr>
                <w:rFonts w:hint="eastAsia" w:ascii="宋体" w:hAnsi="宋体" w:eastAsia="宋体" w:cs="宋体"/>
                <w:b/>
                <w:bCs/>
                <w:kern w:val="2"/>
                <w:sz w:val="22"/>
                <w:szCs w:val="22"/>
                <w:vertAlign w:val="baseline"/>
                <w:lang w:val="en-US" w:eastAsia="zh-CN" w:bidi="ar-SA"/>
              </w:rPr>
              <w:t>需提供公安部检测机构出具的产品检测报告（复印件加盖公章）。</w:t>
            </w:r>
          </w:p>
        </w:tc>
        <w:tc>
          <w:tcPr>
            <w:tcW w:w="1466" w:type="dxa"/>
            <w:vAlign w:val="center"/>
          </w:tcPr>
          <w:p>
            <w:pPr>
              <w:pStyle w:val="60"/>
              <w:spacing w:line="360" w:lineRule="auto"/>
              <w:ind w:left="0" w:leftChars="0" w:firstLine="0" w:firstLineChars="0"/>
              <w:jc w:val="center"/>
              <w:rPr>
                <w:rFonts w:hint="default" w:ascii="宋体" w:hAnsi="宋体" w:eastAsia="宋体" w:cs="宋体"/>
                <w:b/>
                <w:bCs/>
                <w:kern w:val="2"/>
                <w:sz w:val="22"/>
                <w:szCs w:val="22"/>
                <w:vertAlign w:val="baseline"/>
                <w:lang w:val="en-US" w:eastAsia="zh-CN" w:bidi="ar-SA"/>
              </w:rPr>
            </w:pPr>
            <w:r>
              <w:rPr>
                <w:rFonts w:hint="eastAsia" w:ascii="宋体" w:hAnsi="宋体" w:cs="宋体"/>
                <w:b/>
                <w:bCs/>
                <w:kern w:val="2"/>
                <w:sz w:val="22"/>
                <w:szCs w:val="22"/>
                <w:vertAlign w:val="baseline"/>
                <w:lang w:val="en-US" w:eastAsia="zh-CN" w:bidi="ar-SA"/>
              </w:rPr>
              <w:t>3个</w:t>
            </w:r>
          </w:p>
        </w:tc>
        <w:tc>
          <w:tcPr>
            <w:tcW w:w="4050" w:type="dxa"/>
          </w:tcPr>
          <w:p>
            <w:pPr>
              <w:pStyle w:val="60"/>
              <w:spacing w:line="360" w:lineRule="auto"/>
              <w:ind w:left="0" w:leftChars="0" w:firstLine="0" w:firstLineChars="0"/>
              <w:jc w:val="left"/>
              <w:rPr>
                <w:rFonts w:hint="eastAsia" w:ascii="宋体" w:hAnsi="宋体" w:eastAsia="宋体" w:cs="宋体"/>
                <w:b/>
                <w:bCs/>
                <w:sz w:val="22"/>
                <w:szCs w:val="22"/>
              </w:rPr>
            </w:pPr>
            <w:r>
              <w:rPr>
                <w:rFonts w:hint="eastAsia" w:ascii="宋体" w:hAnsi="宋体" w:eastAsia="宋体" w:cs="宋体"/>
                <w:color w:val="000000"/>
                <w:sz w:val="18"/>
                <w:szCs w:val="18"/>
              </w:rPr>
              <w:drawing>
                <wp:inline distT="0" distB="0" distL="114300" distR="114300">
                  <wp:extent cx="1101725" cy="678815"/>
                  <wp:effectExtent l="0" t="0" r="3175" b="6985"/>
                  <wp:docPr id="393" name="图片 2" descr="dao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图片 2" descr="dao001"/>
                          <pic:cNvPicPr>
                            <a:picLocks noChangeAspect="1"/>
                          </pic:cNvPicPr>
                        </pic:nvPicPr>
                        <pic:blipFill>
                          <a:blip r:embed="rId46"/>
                          <a:stretch>
                            <a:fillRect/>
                          </a:stretch>
                        </pic:blipFill>
                        <pic:spPr>
                          <a:xfrm>
                            <a:off x="0" y="0"/>
                            <a:ext cx="1101725" cy="67881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62"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手持喊话器</w:t>
            </w:r>
          </w:p>
        </w:tc>
        <w:tc>
          <w:tcPr>
            <w:tcW w:w="3270" w:type="dxa"/>
            <w:vAlign w:val="top"/>
          </w:tcPr>
          <w:p>
            <w:pPr>
              <w:spacing w:line="360" w:lineRule="auto"/>
              <w:rPr>
                <w:rFonts w:hint="eastAsia" w:ascii="宋体" w:hAnsi="宋体" w:eastAsia="宋体" w:cs="宋体"/>
                <w:sz w:val="22"/>
                <w:szCs w:val="22"/>
                <w:vertAlign w:val="baseline"/>
              </w:rPr>
            </w:pPr>
            <w:r>
              <w:rPr>
                <w:rFonts w:hint="eastAsia" w:ascii="宋体" w:hAnsi="宋体" w:eastAsia="宋体" w:cs="宋体"/>
                <w:sz w:val="22"/>
                <w:szCs w:val="22"/>
                <w:vertAlign w:val="baseline"/>
              </w:rPr>
              <w:t>功能：扩音、录音、警音、照明、MP3、多媒体USB插口。</w:t>
            </w:r>
          </w:p>
          <w:p>
            <w:pPr>
              <w:spacing w:line="360" w:lineRule="auto"/>
              <w:rPr>
                <w:rFonts w:hint="eastAsia" w:ascii="宋体" w:hAnsi="宋体" w:eastAsia="宋体" w:cs="宋体"/>
                <w:sz w:val="22"/>
                <w:szCs w:val="22"/>
                <w:vertAlign w:val="baseline"/>
              </w:rPr>
            </w:pPr>
            <w:r>
              <w:rPr>
                <w:rFonts w:hint="eastAsia" w:ascii="宋体" w:hAnsi="宋体" w:eastAsia="宋体" w:cs="宋体"/>
                <w:sz w:val="22"/>
                <w:szCs w:val="22"/>
                <w:vertAlign w:val="baseline"/>
              </w:rPr>
              <w:t>供电方式：使用干电池（或锂电池）供电。</w:t>
            </w:r>
          </w:p>
          <w:p>
            <w:pPr>
              <w:spacing w:line="360" w:lineRule="auto"/>
              <w:rPr>
                <w:rFonts w:hint="eastAsia" w:ascii="宋体" w:hAnsi="宋体" w:eastAsia="宋体" w:cs="宋体"/>
                <w:sz w:val="22"/>
                <w:szCs w:val="22"/>
                <w:vertAlign w:val="baseline"/>
              </w:rPr>
            </w:pPr>
            <w:r>
              <w:rPr>
                <w:rFonts w:hint="eastAsia" w:ascii="宋体" w:hAnsi="宋体" w:eastAsia="宋体" w:cs="宋体"/>
                <w:sz w:val="22"/>
                <w:szCs w:val="22"/>
                <w:vertAlign w:val="baseline"/>
              </w:rPr>
              <w:t>工作电压：12V。</w:t>
            </w:r>
          </w:p>
          <w:p>
            <w:pPr>
              <w:spacing w:line="360" w:lineRule="auto"/>
              <w:rPr>
                <w:rFonts w:hint="eastAsia" w:ascii="宋体" w:hAnsi="宋体" w:eastAsia="宋体" w:cs="宋体"/>
                <w:sz w:val="22"/>
                <w:szCs w:val="22"/>
                <w:vertAlign w:val="baseline"/>
              </w:rPr>
            </w:pPr>
            <w:r>
              <w:rPr>
                <w:rFonts w:hint="eastAsia" w:ascii="宋体" w:hAnsi="宋体" w:eastAsia="宋体" w:cs="宋体"/>
                <w:sz w:val="22"/>
                <w:szCs w:val="22"/>
                <w:vertAlign w:val="baseline"/>
              </w:rPr>
              <w:t>充电时间：≤4h充满电。</w:t>
            </w:r>
          </w:p>
          <w:p>
            <w:pPr>
              <w:spacing w:line="360" w:lineRule="auto"/>
              <w:rPr>
                <w:rFonts w:hint="eastAsia" w:ascii="宋体" w:hAnsi="宋体" w:eastAsia="宋体" w:cs="宋体"/>
                <w:sz w:val="22"/>
                <w:szCs w:val="22"/>
                <w:vertAlign w:val="baseline"/>
              </w:rPr>
            </w:pPr>
            <w:r>
              <w:rPr>
                <w:rFonts w:hint="eastAsia" w:ascii="宋体" w:hAnsi="宋体" w:eastAsia="宋体" w:cs="宋体"/>
                <w:sz w:val="22"/>
                <w:szCs w:val="22"/>
                <w:vertAlign w:val="baseline"/>
              </w:rPr>
              <w:t>充电器：DC 10V/500Ma。</w:t>
            </w:r>
          </w:p>
          <w:p>
            <w:pPr>
              <w:spacing w:line="360" w:lineRule="auto"/>
              <w:rPr>
                <w:rFonts w:hint="eastAsia" w:ascii="宋体" w:hAnsi="宋体" w:eastAsia="宋体" w:cs="宋体"/>
                <w:sz w:val="22"/>
                <w:szCs w:val="22"/>
                <w:vertAlign w:val="baseline"/>
              </w:rPr>
            </w:pPr>
            <w:r>
              <w:rPr>
                <w:rFonts w:hint="eastAsia" w:ascii="宋体" w:hAnsi="宋体" w:eastAsia="宋体" w:cs="宋体"/>
                <w:sz w:val="22"/>
                <w:szCs w:val="22"/>
                <w:lang w:eastAsia="zh-CN"/>
              </w:rPr>
              <w:t>▲</w:t>
            </w:r>
            <w:r>
              <w:rPr>
                <w:rFonts w:hint="eastAsia" w:ascii="宋体" w:hAnsi="宋体" w:eastAsia="宋体" w:cs="宋体"/>
                <w:sz w:val="22"/>
                <w:szCs w:val="22"/>
                <w:vertAlign w:val="baseline"/>
              </w:rPr>
              <w:t>录音时间：≥240秒。</w:t>
            </w:r>
          </w:p>
          <w:p>
            <w:pPr>
              <w:spacing w:line="360" w:lineRule="auto"/>
              <w:rPr>
                <w:rFonts w:hint="eastAsia" w:ascii="宋体" w:hAnsi="宋体" w:eastAsia="宋体" w:cs="宋体"/>
                <w:sz w:val="22"/>
                <w:szCs w:val="22"/>
                <w:vertAlign w:val="baseline"/>
              </w:rPr>
            </w:pPr>
            <w:r>
              <w:rPr>
                <w:rFonts w:hint="eastAsia" w:ascii="宋体" w:hAnsi="宋体" w:eastAsia="宋体" w:cs="宋体"/>
                <w:sz w:val="22"/>
                <w:szCs w:val="22"/>
                <w:lang w:eastAsia="zh-CN"/>
              </w:rPr>
              <w:t>▲</w:t>
            </w:r>
            <w:r>
              <w:rPr>
                <w:rFonts w:hint="eastAsia" w:ascii="宋体" w:hAnsi="宋体" w:eastAsia="宋体" w:cs="宋体"/>
                <w:sz w:val="22"/>
                <w:szCs w:val="22"/>
                <w:vertAlign w:val="baseline"/>
              </w:rPr>
              <w:t>电池使用时间：可连续使用≥20h（喊话）。</w:t>
            </w:r>
          </w:p>
          <w:p>
            <w:pPr>
              <w:spacing w:line="360" w:lineRule="auto"/>
              <w:rPr>
                <w:rFonts w:hint="eastAsia" w:ascii="宋体" w:hAnsi="宋体" w:eastAsia="宋体" w:cs="宋体"/>
                <w:sz w:val="22"/>
                <w:szCs w:val="22"/>
                <w:vertAlign w:val="baseline"/>
              </w:rPr>
            </w:pPr>
            <w:r>
              <w:rPr>
                <w:rFonts w:hint="eastAsia" w:ascii="宋体" w:hAnsi="宋体" w:eastAsia="宋体" w:cs="宋体"/>
                <w:sz w:val="22"/>
                <w:szCs w:val="22"/>
                <w:vertAlign w:val="baseline"/>
              </w:rPr>
              <w:t>正常工作条件下发热测试：保护装置不工作，正常工作1小时，外壳温升≤</w:t>
            </w:r>
            <w:r>
              <w:rPr>
                <w:rFonts w:hint="eastAsia" w:ascii="宋体" w:hAnsi="宋体" w:eastAsia="宋体" w:cs="宋体"/>
                <w:sz w:val="22"/>
                <w:szCs w:val="22"/>
                <w:vertAlign w:val="baseline"/>
                <w:lang w:val="en-US" w:eastAsia="zh-CN"/>
              </w:rPr>
              <w:t>30℃</w:t>
            </w:r>
            <w:r>
              <w:rPr>
                <w:rFonts w:hint="eastAsia" w:ascii="宋体" w:hAnsi="宋体" w:eastAsia="宋体" w:cs="宋体"/>
                <w:sz w:val="22"/>
                <w:szCs w:val="22"/>
                <w:vertAlign w:val="baseline"/>
              </w:rPr>
              <w:t>。</w:t>
            </w:r>
          </w:p>
          <w:p>
            <w:pPr>
              <w:spacing w:line="360" w:lineRule="auto"/>
              <w:rPr>
                <w:rFonts w:hint="eastAsia" w:ascii="宋体" w:hAnsi="宋体" w:eastAsia="宋体" w:cs="宋体"/>
                <w:sz w:val="22"/>
                <w:szCs w:val="22"/>
                <w:vertAlign w:val="baseline"/>
              </w:rPr>
            </w:pPr>
            <w:r>
              <w:rPr>
                <w:rFonts w:hint="eastAsia" w:ascii="宋体" w:hAnsi="宋体" w:eastAsia="宋体" w:cs="宋体"/>
                <w:sz w:val="22"/>
                <w:szCs w:val="22"/>
                <w:vertAlign w:val="baseline"/>
              </w:rPr>
              <w:t>故障测试：喊话器样品短路情况下，声音变小，5min后，外壳温升≤</w:t>
            </w:r>
            <w:r>
              <w:rPr>
                <w:rFonts w:hint="eastAsia" w:ascii="宋体" w:hAnsi="宋体" w:eastAsia="宋体" w:cs="宋体"/>
                <w:sz w:val="22"/>
                <w:szCs w:val="22"/>
                <w:vertAlign w:val="baseline"/>
                <w:lang w:val="en-US" w:eastAsia="zh-CN"/>
              </w:rPr>
              <w:t>40℃</w:t>
            </w:r>
            <w:r>
              <w:rPr>
                <w:rFonts w:hint="eastAsia" w:ascii="宋体" w:hAnsi="宋体" w:eastAsia="宋体" w:cs="宋体"/>
                <w:sz w:val="22"/>
                <w:szCs w:val="22"/>
                <w:vertAlign w:val="baseline"/>
              </w:rPr>
              <w:t>。</w:t>
            </w:r>
          </w:p>
          <w:p>
            <w:pPr>
              <w:spacing w:line="360" w:lineRule="auto"/>
              <w:rPr>
                <w:rFonts w:hint="eastAsia" w:ascii="宋体" w:hAnsi="宋体" w:eastAsia="宋体" w:cs="宋体"/>
                <w:sz w:val="22"/>
                <w:szCs w:val="22"/>
                <w:vertAlign w:val="baseline"/>
              </w:rPr>
            </w:pPr>
            <w:r>
              <w:rPr>
                <w:rFonts w:hint="eastAsia" w:ascii="宋体" w:hAnsi="宋体" w:eastAsia="宋体" w:cs="宋体"/>
                <w:sz w:val="22"/>
                <w:szCs w:val="22"/>
                <w:vertAlign w:val="baseline"/>
              </w:rPr>
              <w:t>温度适应性：-10℃～+40℃</w:t>
            </w:r>
          </w:p>
          <w:p>
            <w:pPr>
              <w:spacing w:line="360" w:lineRule="auto"/>
              <w:rPr>
                <w:rFonts w:hint="eastAsia" w:ascii="宋体" w:hAnsi="宋体" w:eastAsia="宋体" w:cs="宋体"/>
                <w:sz w:val="22"/>
                <w:szCs w:val="22"/>
                <w:vertAlign w:val="baseline"/>
              </w:rPr>
            </w:pPr>
            <w:r>
              <w:rPr>
                <w:rFonts w:hint="eastAsia" w:ascii="宋体" w:hAnsi="宋体" w:eastAsia="宋体" w:cs="宋体"/>
                <w:sz w:val="22"/>
                <w:szCs w:val="22"/>
                <w:vertAlign w:val="baseline"/>
              </w:rPr>
              <w:t>组成：由喊话器和充电器组成，由可充电电池供电。</w:t>
            </w:r>
          </w:p>
          <w:p>
            <w:pPr>
              <w:spacing w:line="360" w:lineRule="auto"/>
              <w:rPr>
                <w:rFonts w:hint="eastAsia" w:ascii="宋体" w:hAnsi="宋体" w:eastAsia="宋体" w:cs="宋体"/>
                <w:sz w:val="22"/>
                <w:szCs w:val="22"/>
                <w:vertAlign w:val="baseline"/>
              </w:rPr>
            </w:pPr>
            <w:r>
              <w:rPr>
                <w:rFonts w:hint="eastAsia" w:ascii="宋体" w:hAnsi="宋体" w:eastAsia="宋体" w:cs="宋体"/>
                <w:sz w:val="22"/>
                <w:szCs w:val="22"/>
                <w:vertAlign w:val="baseline"/>
              </w:rPr>
              <w:t>执行标准：GB 8898-2001《音频、视频及类似电子设备 安全要求》</w:t>
            </w:r>
          </w:p>
          <w:p>
            <w:pPr>
              <w:pStyle w:val="60"/>
              <w:spacing w:line="360" w:lineRule="auto"/>
              <w:ind w:left="0" w:leftChars="0" w:firstLine="0" w:firstLineChars="0"/>
              <w:jc w:val="left"/>
              <w:rPr>
                <w:rFonts w:hint="eastAsia" w:ascii="宋体" w:hAnsi="宋体" w:eastAsia="宋体" w:cs="宋体"/>
                <w:kern w:val="2"/>
                <w:sz w:val="22"/>
                <w:szCs w:val="22"/>
                <w:vertAlign w:val="baseline"/>
                <w:lang w:val="en-US" w:eastAsia="zh-CN" w:bidi="ar-SA"/>
              </w:rPr>
            </w:pPr>
            <w:r>
              <w:rPr>
                <w:rFonts w:hint="eastAsia" w:ascii="宋体" w:hAnsi="宋体" w:eastAsia="宋体" w:cs="宋体"/>
                <w:b/>
                <w:bCs/>
                <w:kern w:val="2"/>
                <w:sz w:val="22"/>
                <w:szCs w:val="22"/>
                <w:vertAlign w:val="baseline"/>
                <w:lang w:val="en-US" w:eastAsia="zh-CN" w:bidi="ar-SA"/>
              </w:rPr>
              <w:t>需提供公安部检测机构出具的产品检测报告（复印件加盖公章）。</w:t>
            </w:r>
          </w:p>
        </w:tc>
        <w:tc>
          <w:tcPr>
            <w:tcW w:w="1466" w:type="dxa"/>
            <w:vAlign w:val="center"/>
          </w:tcPr>
          <w:p>
            <w:pPr>
              <w:pStyle w:val="60"/>
              <w:spacing w:line="360" w:lineRule="auto"/>
              <w:ind w:left="0" w:leftChars="0" w:firstLine="0" w:firstLineChars="0"/>
              <w:jc w:val="center"/>
              <w:rPr>
                <w:rFonts w:hint="default" w:ascii="宋体" w:hAnsi="宋体" w:eastAsia="宋体" w:cs="宋体"/>
                <w:b/>
                <w:bCs/>
                <w:kern w:val="2"/>
                <w:sz w:val="22"/>
                <w:szCs w:val="22"/>
                <w:vertAlign w:val="baseline"/>
                <w:lang w:val="en-US" w:eastAsia="zh-CN" w:bidi="ar-SA"/>
              </w:rPr>
            </w:pPr>
            <w:r>
              <w:rPr>
                <w:rFonts w:hint="eastAsia" w:ascii="宋体" w:hAnsi="宋体" w:cs="宋体"/>
                <w:b/>
                <w:bCs/>
                <w:kern w:val="2"/>
                <w:sz w:val="22"/>
                <w:szCs w:val="22"/>
                <w:vertAlign w:val="baseline"/>
                <w:lang w:val="en-US" w:eastAsia="zh-CN" w:bidi="ar-SA"/>
              </w:rPr>
              <w:t>10个</w:t>
            </w:r>
          </w:p>
        </w:tc>
        <w:tc>
          <w:tcPr>
            <w:tcW w:w="4050" w:type="dxa"/>
            <w:vAlign w:val="top"/>
          </w:tcPr>
          <w:p>
            <w:pPr>
              <w:spacing w:line="360" w:lineRule="auto"/>
              <w:rPr>
                <w:rFonts w:hint="eastAsia" w:ascii="宋体" w:hAnsi="宋体" w:eastAsia="宋体" w:cs="宋体"/>
                <w:b/>
                <w:bCs/>
                <w:sz w:val="22"/>
                <w:szCs w:val="22"/>
              </w:rPr>
            </w:pPr>
            <w:r>
              <w:rPr>
                <w:rFonts w:ascii="宋体" w:hAnsi="宋体" w:cs="宋体"/>
                <w:kern w:val="0"/>
                <w:sz w:val="24"/>
                <w:szCs w:val="24"/>
              </w:rPr>
              <w:drawing>
                <wp:inline distT="0" distB="0" distL="0" distR="0">
                  <wp:extent cx="1440180" cy="946150"/>
                  <wp:effectExtent l="0" t="0" r="7620" b="6350"/>
                  <wp:docPr id="165" name="图片 165" descr="C:\Users\Administrator\AppData\Roaming\Tencent\Users\121414\QQ\WinTemp\RichOle\QB{A7VF87}C9}_YCQ{FZM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C:\Users\Administrator\AppData\Roaming\Tencent\Users\121414\QQ\WinTemp\RichOle\QB{A7VF87}C9}_YCQ{FZM8E.png"/>
                          <pic:cNvPicPr>
                            <a:picLocks noChangeAspect="1" noChangeArrowheads="1"/>
                          </pic:cNvPicPr>
                        </pic:nvPicPr>
                        <pic:blipFill>
                          <a:blip r:embed="rId47"/>
                          <a:srcRect/>
                          <a:stretch>
                            <a:fillRect/>
                          </a:stretch>
                        </pic:blipFill>
                        <pic:spPr>
                          <a:xfrm>
                            <a:off x="0" y="0"/>
                            <a:ext cx="1440180" cy="94615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0" w:hRule="atLeast"/>
        </w:trPr>
        <w:tc>
          <w:tcPr>
            <w:tcW w:w="662"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电视机</w:t>
            </w:r>
          </w:p>
        </w:tc>
        <w:tc>
          <w:tcPr>
            <w:tcW w:w="3270" w:type="dxa"/>
          </w:tcPr>
          <w:p>
            <w:pPr>
              <w:rPr>
                <w:rFonts w:hint="eastAsia" w:ascii="宋体" w:hAnsi="宋体" w:eastAsia="宋体" w:cs="宋体"/>
                <w:sz w:val="22"/>
                <w:szCs w:val="22"/>
                <w:vertAlign w:val="baseline"/>
              </w:rPr>
            </w:pPr>
            <w:r>
              <w:rPr>
                <w:rFonts w:hint="eastAsia" w:ascii="宋体" w:hAnsi="宋体" w:eastAsia="宋体" w:cs="宋体"/>
                <w:sz w:val="22"/>
                <w:szCs w:val="22"/>
                <w:vertAlign w:val="baseline"/>
              </w:rPr>
              <w:t>屏幕</w:t>
            </w:r>
          </w:p>
          <w:p>
            <w:pPr>
              <w:rPr>
                <w:rFonts w:hint="eastAsia" w:ascii="宋体" w:hAnsi="宋体" w:eastAsia="宋体" w:cs="宋体"/>
                <w:sz w:val="22"/>
                <w:szCs w:val="22"/>
                <w:vertAlign w:val="baseline"/>
              </w:rPr>
            </w:pPr>
            <w:r>
              <w:rPr>
                <w:rFonts w:hint="eastAsia" w:ascii="宋体" w:hAnsi="宋体" w:eastAsia="宋体" w:cs="宋体"/>
                <w:sz w:val="22"/>
                <w:szCs w:val="22"/>
                <w:vertAlign w:val="baseline"/>
              </w:rPr>
              <w:t>屏幕尺寸</w:t>
            </w:r>
            <w:r>
              <w:rPr>
                <w:rFonts w:hint="eastAsia" w:ascii="宋体" w:hAnsi="宋体" w:eastAsia="宋体" w:cs="宋体"/>
                <w:sz w:val="22"/>
                <w:szCs w:val="22"/>
                <w:vertAlign w:val="baseline"/>
                <w:lang w:val="en-US" w:eastAsia="zh-CN"/>
              </w:rPr>
              <w:t>≥</w:t>
            </w:r>
            <w:r>
              <w:rPr>
                <w:rFonts w:hint="eastAsia" w:ascii="宋体" w:hAnsi="宋体" w:eastAsia="宋体" w:cs="宋体"/>
                <w:sz w:val="22"/>
                <w:szCs w:val="22"/>
                <w:vertAlign w:val="baseline"/>
              </w:rPr>
              <w:t>65英寸</w:t>
            </w:r>
          </w:p>
          <w:p>
            <w:pPr>
              <w:rPr>
                <w:rFonts w:hint="eastAsia" w:ascii="宋体" w:hAnsi="宋体" w:eastAsia="宋体" w:cs="宋体"/>
                <w:sz w:val="22"/>
                <w:szCs w:val="22"/>
                <w:vertAlign w:val="baseline"/>
              </w:rPr>
            </w:pPr>
            <w:r>
              <w:rPr>
                <w:rFonts w:hint="eastAsia" w:ascii="宋体" w:hAnsi="宋体" w:eastAsia="宋体" w:cs="宋体"/>
                <w:sz w:val="22"/>
                <w:szCs w:val="22"/>
                <w:vertAlign w:val="baseline"/>
              </w:rPr>
              <w:t>分辨率3840x2160</w:t>
            </w:r>
          </w:p>
          <w:p>
            <w:pPr>
              <w:rPr>
                <w:rFonts w:hint="eastAsia" w:ascii="宋体" w:hAnsi="宋体" w:eastAsia="宋体" w:cs="宋体"/>
                <w:sz w:val="22"/>
                <w:szCs w:val="22"/>
                <w:vertAlign w:val="baseline"/>
              </w:rPr>
            </w:pPr>
            <w:r>
              <w:rPr>
                <w:rFonts w:hint="eastAsia" w:ascii="宋体" w:hAnsi="宋体" w:eastAsia="宋体" w:cs="宋体"/>
                <w:sz w:val="22"/>
                <w:szCs w:val="22"/>
                <w:vertAlign w:val="baseline"/>
              </w:rPr>
              <w:t>屏幕色彩</w:t>
            </w:r>
            <w:r>
              <w:rPr>
                <w:rFonts w:hint="eastAsia" w:ascii="宋体" w:hAnsi="宋体" w:eastAsia="宋体" w:cs="宋体"/>
                <w:sz w:val="22"/>
                <w:szCs w:val="22"/>
                <w:vertAlign w:val="baseline"/>
                <w:lang w:val="en-US" w:eastAsia="zh-CN"/>
              </w:rPr>
              <w:t>≥10</w:t>
            </w:r>
            <w:r>
              <w:rPr>
                <w:rFonts w:hint="eastAsia" w:ascii="宋体" w:hAnsi="宋体" w:eastAsia="宋体" w:cs="宋体"/>
                <w:sz w:val="22"/>
                <w:szCs w:val="22"/>
                <w:vertAlign w:val="baseline"/>
              </w:rPr>
              <w:t>亿色</w:t>
            </w:r>
          </w:p>
          <w:p>
            <w:pPr>
              <w:rPr>
                <w:rFonts w:hint="eastAsia" w:ascii="宋体" w:hAnsi="宋体" w:eastAsia="宋体" w:cs="宋体"/>
                <w:sz w:val="22"/>
                <w:szCs w:val="22"/>
                <w:vertAlign w:val="baseline"/>
              </w:rPr>
            </w:pPr>
            <w:r>
              <w:rPr>
                <w:rFonts w:hint="eastAsia" w:ascii="宋体" w:hAnsi="宋体" w:eastAsia="宋体" w:cs="宋体"/>
                <w:sz w:val="22"/>
                <w:szCs w:val="22"/>
                <w:vertAlign w:val="baseline"/>
              </w:rPr>
              <w:t>屏幕类型LCD</w:t>
            </w:r>
          </w:p>
          <w:p>
            <w:pPr>
              <w:rPr>
                <w:rFonts w:hint="eastAsia" w:ascii="宋体" w:hAnsi="宋体" w:eastAsia="宋体" w:cs="宋体"/>
                <w:sz w:val="22"/>
                <w:szCs w:val="22"/>
                <w:vertAlign w:val="baseline"/>
              </w:rPr>
            </w:pPr>
            <w:r>
              <w:rPr>
                <w:rFonts w:hint="eastAsia" w:ascii="宋体" w:hAnsi="宋体" w:eastAsia="宋体" w:cs="宋体"/>
                <w:sz w:val="22"/>
                <w:szCs w:val="22"/>
                <w:vertAlign w:val="baseline"/>
              </w:rPr>
              <w:t>刷新率</w:t>
            </w:r>
            <w:r>
              <w:rPr>
                <w:rFonts w:hint="eastAsia" w:ascii="宋体" w:hAnsi="宋体" w:eastAsia="宋体" w:cs="宋体"/>
                <w:sz w:val="22"/>
                <w:szCs w:val="22"/>
                <w:vertAlign w:val="baseline"/>
                <w:lang w:val="en-US" w:eastAsia="zh-CN"/>
              </w:rPr>
              <w:t>≥</w:t>
            </w:r>
            <w:r>
              <w:rPr>
                <w:rFonts w:hint="eastAsia" w:ascii="宋体" w:hAnsi="宋体" w:eastAsia="宋体" w:cs="宋体"/>
                <w:sz w:val="22"/>
                <w:szCs w:val="22"/>
                <w:vertAlign w:val="baseline"/>
              </w:rPr>
              <w:t>60Hz</w:t>
            </w:r>
          </w:p>
          <w:p>
            <w:pPr>
              <w:rPr>
                <w:rFonts w:hint="eastAsia" w:ascii="宋体" w:hAnsi="宋体" w:eastAsia="宋体" w:cs="宋体"/>
                <w:sz w:val="22"/>
                <w:szCs w:val="22"/>
                <w:vertAlign w:val="baseline"/>
              </w:rPr>
            </w:pPr>
            <w:r>
              <w:rPr>
                <w:rFonts w:hint="eastAsia" w:ascii="宋体" w:hAnsi="宋体" w:eastAsia="宋体" w:cs="宋体"/>
                <w:sz w:val="22"/>
                <w:szCs w:val="22"/>
                <w:vertAlign w:val="baseline"/>
              </w:rPr>
              <w:t>可视角度</w:t>
            </w:r>
            <w:r>
              <w:rPr>
                <w:rFonts w:hint="eastAsia" w:ascii="宋体" w:hAnsi="宋体" w:eastAsia="宋体" w:cs="宋体"/>
                <w:sz w:val="22"/>
                <w:szCs w:val="22"/>
                <w:vertAlign w:val="baseline"/>
                <w:lang w:val="en-US" w:eastAsia="zh-CN"/>
              </w:rPr>
              <w:t>≥</w:t>
            </w:r>
            <w:r>
              <w:rPr>
                <w:rFonts w:hint="eastAsia" w:ascii="宋体" w:hAnsi="宋体" w:eastAsia="宋体" w:cs="宋体"/>
                <w:sz w:val="22"/>
                <w:szCs w:val="22"/>
                <w:vertAlign w:val="baseline"/>
              </w:rPr>
              <w:t>17</w:t>
            </w:r>
            <w:r>
              <w:rPr>
                <w:rFonts w:hint="eastAsia" w:ascii="宋体" w:hAnsi="宋体" w:eastAsia="宋体" w:cs="宋体"/>
                <w:sz w:val="22"/>
                <w:szCs w:val="22"/>
                <w:vertAlign w:val="baseline"/>
                <w:lang w:val="en-US" w:eastAsia="zh-CN"/>
              </w:rPr>
              <w:t>8</w:t>
            </w:r>
            <w:r>
              <w:rPr>
                <w:rFonts w:hint="eastAsia" w:ascii="宋体" w:hAnsi="宋体" w:eastAsia="宋体" w:cs="宋体"/>
                <w:sz w:val="22"/>
                <w:szCs w:val="22"/>
                <w:vertAlign w:val="baseline"/>
              </w:rPr>
              <w:t>°</w:t>
            </w:r>
          </w:p>
          <w:p>
            <w:pPr>
              <w:rPr>
                <w:rFonts w:hint="eastAsia" w:ascii="宋体" w:hAnsi="宋体" w:eastAsia="宋体" w:cs="宋体"/>
                <w:sz w:val="22"/>
                <w:szCs w:val="22"/>
                <w:vertAlign w:val="baseline"/>
              </w:rPr>
            </w:pPr>
            <w:r>
              <w:rPr>
                <w:rFonts w:hint="eastAsia" w:ascii="宋体" w:hAnsi="宋体" w:eastAsia="宋体" w:cs="宋体"/>
                <w:sz w:val="22"/>
                <w:szCs w:val="22"/>
                <w:vertAlign w:val="baseline"/>
              </w:rPr>
              <w:t>屏占比</w:t>
            </w:r>
            <w:r>
              <w:rPr>
                <w:rFonts w:hint="eastAsia" w:ascii="宋体" w:hAnsi="宋体" w:eastAsia="宋体" w:cs="宋体"/>
                <w:sz w:val="22"/>
                <w:szCs w:val="22"/>
                <w:vertAlign w:val="baseline"/>
                <w:lang w:val="en-US" w:eastAsia="zh-CN"/>
              </w:rPr>
              <w:t>≥97</w:t>
            </w:r>
            <w:r>
              <w:rPr>
                <w:rFonts w:hint="eastAsia" w:ascii="宋体" w:hAnsi="宋体" w:eastAsia="宋体" w:cs="宋体"/>
                <w:sz w:val="22"/>
                <w:szCs w:val="22"/>
                <w:vertAlign w:val="baseline"/>
              </w:rPr>
              <w:t>%</w:t>
            </w:r>
          </w:p>
          <w:p>
            <w:pPr>
              <w:rPr>
                <w:rFonts w:hint="eastAsia" w:ascii="宋体" w:hAnsi="宋体" w:eastAsia="宋体" w:cs="宋体"/>
                <w:sz w:val="22"/>
                <w:szCs w:val="22"/>
                <w:vertAlign w:val="baseline"/>
              </w:rPr>
            </w:pPr>
            <w:r>
              <w:rPr>
                <w:rFonts w:hint="eastAsia" w:ascii="宋体" w:hAnsi="宋体" w:eastAsia="宋体" w:cs="宋体"/>
                <w:sz w:val="22"/>
                <w:szCs w:val="22"/>
                <w:vertAlign w:val="baseline"/>
              </w:rPr>
              <w:t>屏幕长宽比16:9</w:t>
            </w:r>
          </w:p>
          <w:p>
            <w:pPr>
              <w:rPr>
                <w:rFonts w:hint="eastAsia" w:ascii="宋体" w:hAnsi="宋体" w:eastAsia="宋体" w:cs="宋体"/>
                <w:sz w:val="22"/>
                <w:szCs w:val="22"/>
                <w:vertAlign w:val="baseline"/>
              </w:rPr>
            </w:pPr>
            <w:r>
              <w:rPr>
                <w:rFonts w:hint="eastAsia" w:ascii="宋体" w:hAnsi="宋体" w:eastAsia="宋体" w:cs="宋体"/>
                <w:sz w:val="22"/>
                <w:szCs w:val="22"/>
                <w:vertAlign w:val="baseline"/>
              </w:rPr>
              <w:t>CPU核数四核芯片</w:t>
            </w:r>
          </w:p>
          <w:p>
            <w:pPr>
              <w:rPr>
                <w:rFonts w:hint="eastAsia" w:ascii="宋体" w:hAnsi="宋体" w:eastAsia="宋体" w:cs="宋体"/>
                <w:sz w:val="22"/>
                <w:szCs w:val="22"/>
                <w:vertAlign w:val="baseline"/>
                <w:lang w:eastAsia="zh-CN"/>
              </w:rPr>
            </w:pPr>
            <w:r>
              <w:rPr>
                <w:rFonts w:hint="eastAsia" w:ascii="宋体" w:hAnsi="宋体" w:eastAsia="宋体" w:cs="宋体"/>
                <w:sz w:val="22"/>
                <w:szCs w:val="22"/>
                <w:vertAlign w:val="baseline"/>
              </w:rPr>
              <w:t>存储</w:t>
            </w:r>
            <w:r>
              <w:rPr>
                <w:rFonts w:hint="eastAsia" w:ascii="宋体" w:hAnsi="宋体" w:eastAsia="宋体" w:cs="宋体"/>
                <w:sz w:val="22"/>
                <w:szCs w:val="22"/>
                <w:vertAlign w:val="baseline"/>
                <w:lang w:eastAsia="zh-CN"/>
              </w:rPr>
              <w:t>：</w:t>
            </w:r>
          </w:p>
          <w:p>
            <w:pPr>
              <w:rPr>
                <w:rFonts w:hint="eastAsia" w:ascii="宋体" w:hAnsi="宋体" w:eastAsia="宋体" w:cs="宋体"/>
                <w:sz w:val="22"/>
                <w:szCs w:val="22"/>
                <w:vertAlign w:val="baseline"/>
              </w:rPr>
            </w:pPr>
            <w:r>
              <w:rPr>
                <w:rFonts w:hint="eastAsia" w:ascii="宋体" w:hAnsi="宋体" w:eastAsia="宋体" w:cs="宋体"/>
                <w:sz w:val="22"/>
                <w:szCs w:val="22"/>
                <w:vertAlign w:val="baseline"/>
              </w:rPr>
              <w:t>运行内存（RAM）</w:t>
            </w:r>
            <w:r>
              <w:rPr>
                <w:rFonts w:hint="eastAsia" w:ascii="宋体" w:hAnsi="宋体" w:eastAsia="宋体" w:cs="宋体"/>
                <w:sz w:val="22"/>
                <w:szCs w:val="22"/>
                <w:vertAlign w:val="baseline"/>
                <w:lang w:val="en-US" w:eastAsia="zh-CN"/>
              </w:rPr>
              <w:t>≥</w:t>
            </w:r>
            <w:r>
              <w:rPr>
                <w:rFonts w:hint="eastAsia" w:ascii="宋体" w:hAnsi="宋体" w:eastAsia="宋体" w:cs="宋体"/>
                <w:sz w:val="22"/>
                <w:szCs w:val="22"/>
                <w:vertAlign w:val="baseline"/>
              </w:rPr>
              <w:t>3GB</w:t>
            </w:r>
          </w:p>
          <w:p>
            <w:pPr>
              <w:rPr>
                <w:rFonts w:hint="eastAsia" w:ascii="宋体" w:hAnsi="宋体" w:eastAsia="宋体" w:cs="宋体"/>
                <w:sz w:val="22"/>
                <w:szCs w:val="22"/>
                <w:vertAlign w:val="baseline"/>
              </w:rPr>
            </w:pPr>
            <w:r>
              <w:rPr>
                <w:rFonts w:hint="eastAsia" w:ascii="宋体" w:hAnsi="宋体" w:eastAsia="宋体" w:cs="宋体"/>
                <w:sz w:val="22"/>
                <w:szCs w:val="22"/>
                <w:vertAlign w:val="baseline"/>
              </w:rPr>
              <w:t>机身内存（ROM）</w:t>
            </w:r>
            <w:r>
              <w:rPr>
                <w:rFonts w:hint="eastAsia" w:ascii="宋体" w:hAnsi="宋体" w:eastAsia="宋体" w:cs="宋体"/>
                <w:sz w:val="22"/>
                <w:szCs w:val="22"/>
                <w:vertAlign w:val="baseline"/>
                <w:lang w:val="en-US" w:eastAsia="zh-CN"/>
              </w:rPr>
              <w:t>≥</w:t>
            </w:r>
            <w:r>
              <w:rPr>
                <w:rFonts w:hint="eastAsia" w:ascii="宋体" w:hAnsi="宋体" w:eastAsia="宋体" w:cs="宋体"/>
                <w:sz w:val="22"/>
                <w:szCs w:val="22"/>
                <w:vertAlign w:val="baseline"/>
              </w:rPr>
              <w:t>32GB</w:t>
            </w:r>
          </w:p>
        </w:tc>
        <w:tc>
          <w:tcPr>
            <w:tcW w:w="1466" w:type="dxa"/>
            <w:vAlign w:val="center"/>
          </w:tcPr>
          <w:p>
            <w:pPr>
              <w:jc w:val="center"/>
              <w:rPr>
                <w:rFonts w:hint="eastAsia" w:ascii="宋体" w:hAnsi="宋体" w:eastAsia="宋体" w:cs="宋体"/>
                <w:sz w:val="22"/>
                <w:szCs w:val="22"/>
                <w:vertAlign w:val="baseline"/>
                <w:lang w:val="en-US" w:eastAsia="zh-CN"/>
              </w:rPr>
            </w:pPr>
            <w:r>
              <w:rPr>
                <w:rFonts w:hint="eastAsia" w:hAnsi="宋体" w:cs="宋体"/>
                <w:sz w:val="22"/>
                <w:szCs w:val="22"/>
                <w:vertAlign w:val="baseline"/>
                <w:lang w:val="en-US" w:eastAsia="zh-CN"/>
              </w:rPr>
              <w:t>5台</w:t>
            </w:r>
          </w:p>
        </w:tc>
        <w:tc>
          <w:tcPr>
            <w:tcW w:w="4050" w:type="dxa"/>
          </w:tcPr>
          <w:p>
            <w:pPr>
              <w:rPr>
                <w:rFonts w:hint="eastAsia" w:ascii="宋体" w:hAnsi="宋体" w:eastAsia="宋体" w:cs="宋体"/>
                <w:sz w:val="22"/>
                <w:szCs w:val="22"/>
                <w:vertAlign w:val="baseline"/>
              </w:rPr>
            </w:pPr>
            <w:r>
              <w:drawing>
                <wp:inline distT="0" distB="0" distL="0" distR="0">
                  <wp:extent cx="2667000" cy="1991360"/>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667000" cy="19913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6" w:hRule="atLeast"/>
        </w:trPr>
        <w:tc>
          <w:tcPr>
            <w:tcW w:w="662" w:type="dxa"/>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救援绳</w:t>
            </w:r>
          </w:p>
        </w:tc>
        <w:tc>
          <w:tcPr>
            <w:tcW w:w="3270" w:type="dxa"/>
            <w:vAlign w:val="top"/>
          </w:tcPr>
          <w:p>
            <w:pPr>
              <w:widowControl/>
              <w:jc w:val="left"/>
              <w:rPr>
                <w:rFonts w:ascii="宋体" w:hAnsi="宋体"/>
                <w:szCs w:val="21"/>
              </w:rPr>
            </w:pPr>
            <w:r>
              <w:rPr>
                <w:rFonts w:hint="eastAsia" w:ascii="宋体" w:hAnsi="宋体"/>
                <w:szCs w:val="21"/>
              </w:rPr>
              <w:t>材质：高强丙纶长丝线</w:t>
            </w:r>
          </w:p>
          <w:p>
            <w:pPr>
              <w:widowControl/>
              <w:jc w:val="left"/>
              <w:rPr>
                <w:rFonts w:ascii="宋体" w:hAnsi="宋体"/>
                <w:szCs w:val="21"/>
              </w:rPr>
            </w:pPr>
            <w:r>
              <w:rPr>
                <w:rFonts w:hint="eastAsia" w:ascii="宋体" w:hAnsi="宋体"/>
                <w:szCs w:val="21"/>
              </w:rPr>
              <w:t>长度：</w:t>
            </w:r>
            <w:r>
              <w:rPr>
                <w:rFonts w:ascii="宋体" w:hAnsi="宋体"/>
                <w:szCs w:val="21"/>
              </w:rPr>
              <w:t>30</w:t>
            </w:r>
            <w:r>
              <w:rPr>
                <w:rFonts w:hint="eastAsia" w:ascii="宋体" w:hAnsi="宋体"/>
                <w:szCs w:val="21"/>
              </w:rPr>
              <w:t>米</w:t>
            </w:r>
            <w:r>
              <w:rPr>
                <w:rFonts w:ascii="宋体" w:hAnsi="宋体"/>
                <w:szCs w:val="21"/>
              </w:rPr>
              <w:t xml:space="preserve"> </w:t>
            </w:r>
          </w:p>
          <w:p>
            <w:pPr>
              <w:rPr>
                <w:rFonts w:hint="eastAsia" w:ascii="宋体" w:hAnsi="宋体" w:eastAsia="宋体" w:cs="宋体"/>
                <w:sz w:val="22"/>
                <w:szCs w:val="22"/>
                <w:vertAlign w:val="baseline"/>
              </w:rPr>
            </w:pPr>
            <w:r>
              <w:rPr>
                <w:rFonts w:hint="eastAsia" w:ascii="宋体" w:hAnsi="宋体"/>
                <w:szCs w:val="21"/>
              </w:rPr>
              <w:t>直径：</w:t>
            </w:r>
            <w:r>
              <w:rPr>
                <w:rFonts w:hint="eastAsia" w:ascii="宋体" w:hAnsi="宋体"/>
                <w:szCs w:val="21"/>
                <w:lang w:val="en-US" w:eastAsia="zh-CN"/>
              </w:rPr>
              <w:t>≥</w:t>
            </w:r>
            <w:r>
              <w:rPr>
                <w:rFonts w:hint="eastAsia" w:ascii="宋体" w:hAnsi="宋体"/>
                <w:szCs w:val="21"/>
              </w:rPr>
              <w:t>Φ</w:t>
            </w:r>
            <w:r>
              <w:rPr>
                <w:rFonts w:ascii="宋体" w:hAnsi="宋体"/>
                <w:szCs w:val="21"/>
              </w:rPr>
              <w:t>6mm</w:t>
            </w:r>
          </w:p>
        </w:tc>
        <w:tc>
          <w:tcPr>
            <w:tcW w:w="1466" w:type="dxa"/>
            <w:vAlign w:val="center"/>
          </w:tcPr>
          <w:p>
            <w:pPr>
              <w:jc w:val="center"/>
              <w:rPr>
                <w:rFonts w:hint="default" w:ascii="宋体" w:hAnsi="宋体" w:eastAsia="宋体"/>
                <w:szCs w:val="21"/>
                <w:lang w:val="en-US" w:eastAsia="zh-CN"/>
              </w:rPr>
            </w:pPr>
            <w:r>
              <w:rPr>
                <w:rFonts w:hint="eastAsia" w:hAnsi="宋体"/>
                <w:szCs w:val="21"/>
                <w:lang w:val="en-US" w:eastAsia="zh-CN"/>
              </w:rPr>
              <w:t>80条</w:t>
            </w:r>
          </w:p>
        </w:tc>
        <w:tc>
          <w:tcPr>
            <w:tcW w:w="4050" w:type="dxa"/>
            <w:vAlign w:val="top"/>
          </w:tcPr>
          <w:p>
            <w:r>
              <w:drawing>
                <wp:inline distT="0" distB="0" distL="0" distR="0">
                  <wp:extent cx="1076325" cy="9810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9"/>
                          <a:srcRect/>
                          <a:stretch>
                            <a:fillRect/>
                          </a:stretch>
                        </pic:blipFill>
                        <pic:spPr>
                          <a:xfrm>
                            <a:off x="0" y="0"/>
                            <a:ext cx="1076325" cy="981075"/>
                          </a:xfrm>
                          <a:prstGeom prst="rect">
                            <a:avLst/>
                          </a:prstGeom>
                          <a:noFill/>
                          <a:ln w="9525">
                            <a:noFill/>
                            <a:miter lim="800000"/>
                            <a:headEnd/>
                            <a:tailEnd/>
                          </a:ln>
                        </pic:spPr>
                      </pic:pic>
                    </a:graphicData>
                  </a:graphic>
                </wp:inline>
              </w:drawing>
            </w:r>
          </w:p>
        </w:tc>
      </w:tr>
    </w:tbl>
    <w:p>
      <w:pPr>
        <w:pStyle w:val="2"/>
        <w:jc w:val="center"/>
        <w:rPr>
          <w:rFonts w:hint="eastAsia"/>
          <w:lang w:eastAsia="zh-CN"/>
        </w:rPr>
      </w:pPr>
    </w:p>
    <w:p>
      <w:pPr>
        <w:spacing w:line="360" w:lineRule="auto"/>
        <w:outlineLvl w:val="1"/>
        <w:rPr>
          <w:rFonts w:hAnsi="宋体" w:cs="宋体"/>
          <w:b/>
          <w:color w:val="000000"/>
          <w:szCs w:val="24"/>
        </w:rPr>
      </w:pPr>
      <w:r>
        <w:rPr>
          <w:rFonts w:hint="eastAsia"/>
        </w:rPr>
        <w:t>二、</w:t>
      </w:r>
      <w:bookmarkStart w:id="139" w:name="_Toc13275"/>
      <w:r>
        <w:rPr>
          <w:rFonts w:hint="eastAsia" w:hAnsi="宋体" w:cs="宋体"/>
          <w:b/>
          <w:color w:val="000000"/>
          <w:szCs w:val="24"/>
        </w:rPr>
        <w:t>商务条款</w:t>
      </w:r>
      <w:bookmarkEnd w:id="139"/>
    </w:p>
    <w:p>
      <w:pPr>
        <w:spacing w:line="360" w:lineRule="auto"/>
        <w:ind w:firstLine="482" w:firstLineChars="200"/>
        <w:rPr>
          <w:rFonts w:hAnsi="宋体" w:cs="宋体"/>
          <w:color w:val="auto"/>
          <w:szCs w:val="24"/>
        </w:rPr>
      </w:pPr>
      <w:r>
        <w:rPr>
          <w:rFonts w:hint="eastAsia" w:hAnsi="宋体" w:cs="宋体"/>
          <w:b/>
          <w:bCs/>
          <w:color w:val="auto"/>
          <w:szCs w:val="24"/>
        </w:rPr>
        <w:t>（一）交货期：自合同签订之日起</w:t>
      </w:r>
      <w:r>
        <w:rPr>
          <w:rFonts w:hint="eastAsia" w:hAnsi="宋体" w:cs="宋体"/>
          <w:b/>
          <w:bCs/>
          <w:color w:val="auto"/>
          <w:szCs w:val="24"/>
          <w:lang w:val="en-US" w:eastAsia="zh-CN"/>
        </w:rPr>
        <w:t>20</w:t>
      </w:r>
      <w:r>
        <w:rPr>
          <w:rFonts w:hint="eastAsia" w:hAnsi="宋体" w:cs="宋体"/>
          <w:b/>
          <w:bCs/>
          <w:color w:val="auto"/>
          <w:szCs w:val="24"/>
        </w:rPr>
        <w:t>个日历日内完成全部项目内容，并交付采购人验收合格。</w:t>
      </w:r>
    </w:p>
    <w:p>
      <w:pPr>
        <w:spacing w:line="360" w:lineRule="auto"/>
        <w:ind w:firstLine="482" w:firstLineChars="200"/>
        <w:rPr>
          <w:rFonts w:hAnsi="宋体" w:cs="宋体"/>
        </w:rPr>
      </w:pPr>
      <w:r>
        <w:rPr>
          <w:rFonts w:hint="eastAsia" w:hAnsi="宋体" w:cs="宋体"/>
          <w:b/>
          <w:bCs/>
          <w:color w:val="auto"/>
          <w:szCs w:val="24"/>
        </w:rPr>
        <w:t>（二）质保期：验收</w:t>
      </w:r>
      <w:r>
        <w:rPr>
          <w:rFonts w:hint="eastAsia" w:hAnsi="宋体" w:cs="宋体"/>
          <w:b/>
          <w:bCs/>
          <w:szCs w:val="24"/>
        </w:rPr>
        <w:t>合格后不少于</w:t>
      </w:r>
      <w:r>
        <w:rPr>
          <w:rFonts w:hint="eastAsia" w:hAnsi="宋体" w:cs="宋体"/>
          <w:b/>
          <w:bCs/>
          <w:szCs w:val="24"/>
          <w:u w:val="single"/>
        </w:rPr>
        <w:t>壹</w:t>
      </w:r>
      <w:r>
        <w:rPr>
          <w:rFonts w:hint="eastAsia" w:hAnsi="宋体" w:cs="宋体"/>
          <w:b/>
          <w:bCs/>
          <w:szCs w:val="24"/>
        </w:rPr>
        <w:t>年。</w:t>
      </w:r>
    </w:p>
    <w:p>
      <w:pPr>
        <w:spacing w:line="360" w:lineRule="auto"/>
        <w:ind w:firstLine="482" w:firstLineChars="200"/>
        <w:rPr>
          <w:rFonts w:hAnsi="宋体" w:cs="宋体"/>
          <w:b/>
          <w:bCs/>
          <w:szCs w:val="24"/>
        </w:rPr>
      </w:pPr>
      <w:r>
        <w:rPr>
          <w:rFonts w:hint="eastAsia" w:hAnsi="宋体" w:cs="宋体"/>
          <w:b/>
          <w:bCs/>
          <w:szCs w:val="24"/>
        </w:rPr>
        <w:t>（三）交货地点：采购人指定地点。</w:t>
      </w:r>
    </w:p>
    <w:p>
      <w:pPr>
        <w:spacing w:line="360" w:lineRule="auto"/>
        <w:ind w:firstLine="482" w:firstLineChars="200"/>
        <w:rPr>
          <w:rFonts w:hAnsi="宋体" w:cs="宋体"/>
          <w:b/>
          <w:bCs/>
          <w:szCs w:val="24"/>
        </w:rPr>
      </w:pPr>
      <w:r>
        <w:rPr>
          <w:rFonts w:hint="eastAsia" w:hAnsi="宋体" w:cs="宋体"/>
          <w:b/>
          <w:bCs/>
          <w:szCs w:val="24"/>
        </w:rPr>
        <w:t>（四）付款方式：</w:t>
      </w:r>
      <w:r>
        <w:rPr>
          <w:rFonts w:hint="eastAsia"/>
          <w:b/>
          <w:bCs/>
        </w:rPr>
        <w:t>全部货物到达采购人指定地点并验收合格后一次性付清。</w:t>
      </w:r>
    </w:p>
    <w:p>
      <w:pPr>
        <w:pStyle w:val="2"/>
        <w:rPr>
          <w:b/>
          <w:bCs/>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bookmarkEnd w:id="131"/>
    <w:p>
      <w:pPr>
        <w:pStyle w:val="3"/>
        <w:jc w:val="center"/>
        <w:rPr>
          <w:rFonts w:ascii="宋体" w:eastAsia="宋体" w:cs="宋体"/>
          <w:b w:val="0"/>
          <w:sz w:val="36"/>
          <w:szCs w:val="36"/>
        </w:rPr>
      </w:pPr>
      <w:bookmarkStart w:id="140" w:name="_Toc2203"/>
      <w:bookmarkStart w:id="141" w:name="_Toc29624"/>
      <w:bookmarkStart w:id="142" w:name="_Toc25607"/>
      <w:bookmarkStart w:id="143" w:name="_Toc426457697"/>
      <w:bookmarkStart w:id="144" w:name="_Toc1462"/>
      <w:r>
        <w:rPr>
          <w:rFonts w:hint="eastAsia" w:ascii="宋体" w:eastAsia="宋体" w:cs="宋体"/>
          <w:bCs/>
          <w:sz w:val="36"/>
          <w:szCs w:val="36"/>
        </w:rPr>
        <w:t>第五章 评标方法</w:t>
      </w:r>
      <w:bookmarkEnd w:id="140"/>
      <w:bookmarkEnd w:id="141"/>
      <w:bookmarkEnd w:id="142"/>
      <w:bookmarkEnd w:id="143"/>
      <w:bookmarkEnd w:id="144"/>
    </w:p>
    <w:p>
      <w:pPr>
        <w:spacing w:line="500" w:lineRule="exact"/>
        <w:outlineLvl w:val="1"/>
        <w:rPr>
          <w:rFonts w:hAnsi="宋体" w:cs="宋体"/>
          <w:b/>
          <w:szCs w:val="24"/>
        </w:rPr>
      </w:pPr>
      <w:bookmarkStart w:id="145" w:name="_Toc363463332"/>
      <w:bookmarkStart w:id="146" w:name="_Toc8449"/>
      <w:bookmarkStart w:id="147" w:name="_Toc12882"/>
      <w:r>
        <w:rPr>
          <w:rFonts w:hint="eastAsia" w:hAnsi="宋体" w:cs="宋体"/>
          <w:b/>
          <w:szCs w:val="24"/>
        </w:rPr>
        <w:t>一．评标方法</w:t>
      </w:r>
      <w:bookmarkEnd w:id="145"/>
      <w:bookmarkEnd w:id="146"/>
      <w:bookmarkEnd w:id="147"/>
    </w:p>
    <w:p>
      <w:pPr>
        <w:spacing w:line="360" w:lineRule="auto"/>
        <w:ind w:firstLine="480" w:firstLineChars="200"/>
        <w:rPr>
          <w:rFonts w:hAnsi="宋体" w:cs="宋体"/>
          <w:spacing w:val="4"/>
          <w:szCs w:val="24"/>
        </w:rPr>
      </w:pPr>
      <w:r>
        <w:rPr>
          <w:rFonts w:hint="eastAsia" w:hAnsi="宋体"/>
          <w:szCs w:val="21"/>
        </w:rPr>
        <w:t>按照《中华人民共和国政府采购法》、中华人民共和国2015年第658号国务院令--《中华人民共和国政府采购法实施条例》和中华人民共和国财政部2017年第87号部长令--《政府采购货物和服务招标投标管理办法》的规定，</w:t>
      </w:r>
      <w:r>
        <w:rPr>
          <w:rFonts w:hint="eastAsia" w:hAnsi="宋体"/>
          <w:spacing w:val="4"/>
          <w:szCs w:val="21"/>
        </w:rPr>
        <w:t>本次评标采用</w:t>
      </w:r>
      <w:r>
        <w:rPr>
          <w:rFonts w:hint="eastAsia" w:hAnsi="宋体"/>
          <w:b/>
          <w:spacing w:val="4"/>
          <w:szCs w:val="21"/>
        </w:rPr>
        <w:t>综合评分法</w:t>
      </w:r>
      <w:r>
        <w:rPr>
          <w:rFonts w:hint="eastAsia" w:hAnsi="宋体"/>
          <w:spacing w:val="4"/>
          <w:szCs w:val="21"/>
        </w:rPr>
        <w:t>--</w:t>
      </w:r>
      <w:r>
        <w:rPr>
          <w:rFonts w:hint="eastAsia" w:hAnsi="宋体"/>
          <w:szCs w:val="21"/>
        </w:rPr>
        <w:t>投标文件满足招标文件全部实质性要求，且按照评审因素的量化指标评审得分最高的供应商为中标候选人。</w:t>
      </w:r>
      <w:r>
        <w:rPr>
          <w:rFonts w:hint="eastAsia" w:hAnsi="宋体" w:cs="宋体"/>
          <w:spacing w:val="4"/>
          <w:szCs w:val="24"/>
        </w:rPr>
        <w:t>（最低报价不是中标的唯一标准）。</w:t>
      </w:r>
    </w:p>
    <w:p>
      <w:pPr>
        <w:spacing w:line="360" w:lineRule="auto"/>
        <w:outlineLvl w:val="1"/>
        <w:rPr>
          <w:rFonts w:hAnsi="宋体"/>
          <w:b/>
          <w:spacing w:val="4"/>
          <w:szCs w:val="21"/>
        </w:rPr>
      </w:pPr>
      <w:bookmarkStart w:id="148" w:name="_Toc14393"/>
      <w:bookmarkStart w:id="149" w:name="_Toc20618"/>
      <w:r>
        <w:rPr>
          <w:rFonts w:hint="eastAsia" w:hAnsi="宋体"/>
          <w:b/>
          <w:spacing w:val="4"/>
          <w:szCs w:val="21"/>
        </w:rPr>
        <w:t>二．评标委员会负责具体评标事务，并独立履行下列职责</w:t>
      </w:r>
      <w:bookmarkEnd w:id="148"/>
      <w:bookmarkEnd w:id="149"/>
    </w:p>
    <w:p>
      <w:pPr>
        <w:spacing w:line="360" w:lineRule="auto"/>
        <w:ind w:firstLine="496" w:firstLineChars="200"/>
        <w:rPr>
          <w:rFonts w:hAnsi="宋体"/>
          <w:spacing w:val="4"/>
          <w:szCs w:val="21"/>
        </w:rPr>
      </w:pPr>
      <w:r>
        <w:rPr>
          <w:rFonts w:hint="eastAsia" w:hAnsi="宋体"/>
          <w:spacing w:val="4"/>
          <w:szCs w:val="21"/>
        </w:rPr>
        <w:t>2.1审查、评价投标文件是否符合招标文件的商务、技术、合同条款等实质性要求；</w:t>
      </w:r>
    </w:p>
    <w:p>
      <w:pPr>
        <w:spacing w:line="360" w:lineRule="auto"/>
        <w:ind w:firstLine="496" w:firstLineChars="200"/>
        <w:rPr>
          <w:rFonts w:hAnsi="宋体"/>
          <w:spacing w:val="4"/>
          <w:szCs w:val="21"/>
        </w:rPr>
      </w:pPr>
      <w:r>
        <w:rPr>
          <w:rFonts w:hint="eastAsia" w:hAnsi="宋体"/>
          <w:spacing w:val="4"/>
          <w:szCs w:val="21"/>
        </w:rPr>
        <w:t>2.2要求供应商对投标文件有关事项作出澄清或者说明；</w:t>
      </w:r>
    </w:p>
    <w:p>
      <w:pPr>
        <w:spacing w:line="360" w:lineRule="auto"/>
        <w:ind w:firstLine="496" w:firstLineChars="200"/>
        <w:rPr>
          <w:rFonts w:hAnsi="宋体"/>
          <w:spacing w:val="4"/>
          <w:szCs w:val="21"/>
        </w:rPr>
      </w:pPr>
      <w:r>
        <w:rPr>
          <w:rFonts w:hint="eastAsia" w:hAnsi="宋体"/>
          <w:spacing w:val="4"/>
          <w:szCs w:val="21"/>
        </w:rPr>
        <w:t>2.3对投标文件进行比较和评价；</w:t>
      </w:r>
    </w:p>
    <w:p>
      <w:pPr>
        <w:spacing w:line="360" w:lineRule="auto"/>
        <w:ind w:firstLine="496" w:firstLineChars="200"/>
        <w:rPr>
          <w:rFonts w:hAnsi="宋体"/>
          <w:spacing w:val="4"/>
          <w:szCs w:val="21"/>
        </w:rPr>
      </w:pPr>
      <w:r>
        <w:rPr>
          <w:rFonts w:hint="eastAsia" w:hAnsi="宋体"/>
          <w:spacing w:val="4"/>
          <w:szCs w:val="21"/>
        </w:rPr>
        <w:t>2.4确定中标候选人名单，以及根据采购人委托直接确定中标人；</w:t>
      </w:r>
    </w:p>
    <w:p>
      <w:pPr>
        <w:spacing w:line="360" w:lineRule="auto"/>
        <w:ind w:firstLine="496" w:firstLineChars="200"/>
        <w:rPr>
          <w:rFonts w:hAnsi="宋体"/>
          <w:spacing w:val="4"/>
          <w:szCs w:val="21"/>
        </w:rPr>
      </w:pPr>
      <w:r>
        <w:rPr>
          <w:rFonts w:hint="eastAsia" w:hAnsi="宋体"/>
          <w:spacing w:val="4"/>
          <w:szCs w:val="21"/>
        </w:rPr>
        <w:t>2.5向采购人、采购代理机构或者有关部门报告评标中发现的违法行为。</w:t>
      </w:r>
    </w:p>
    <w:p>
      <w:pPr>
        <w:spacing w:line="360" w:lineRule="auto"/>
        <w:outlineLvl w:val="1"/>
        <w:rPr>
          <w:rFonts w:hAnsi="宋体"/>
          <w:spacing w:val="4"/>
          <w:szCs w:val="21"/>
        </w:rPr>
      </w:pPr>
      <w:bookmarkStart w:id="150" w:name="_Toc31944"/>
      <w:r>
        <w:rPr>
          <w:rFonts w:hint="eastAsia" w:hAnsi="宋体"/>
          <w:b/>
          <w:spacing w:val="4"/>
          <w:szCs w:val="21"/>
        </w:rPr>
        <w:t>三．供应商存在下列情况之一的，投标无效</w:t>
      </w:r>
      <w:bookmarkEnd w:id="150"/>
    </w:p>
    <w:p>
      <w:pPr>
        <w:spacing w:line="360" w:lineRule="auto"/>
        <w:ind w:firstLine="496" w:firstLineChars="200"/>
        <w:rPr>
          <w:rFonts w:hAnsi="宋体"/>
          <w:spacing w:val="4"/>
          <w:szCs w:val="21"/>
        </w:rPr>
      </w:pPr>
      <w:r>
        <w:rPr>
          <w:rFonts w:hint="eastAsia" w:hAnsi="宋体"/>
          <w:spacing w:val="4"/>
          <w:szCs w:val="21"/>
        </w:rPr>
        <w:t>3.1投标文件未按招标文件要求签署、盖章的；</w:t>
      </w:r>
    </w:p>
    <w:p>
      <w:pPr>
        <w:spacing w:line="360" w:lineRule="auto"/>
        <w:ind w:firstLine="496" w:firstLineChars="200"/>
        <w:rPr>
          <w:rFonts w:hAnsi="宋体"/>
          <w:spacing w:val="4"/>
          <w:szCs w:val="21"/>
        </w:rPr>
      </w:pPr>
      <w:r>
        <w:rPr>
          <w:rFonts w:hint="eastAsia" w:hAnsi="宋体"/>
          <w:spacing w:val="4"/>
          <w:szCs w:val="21"/>
        </w:rPr>
        <w:t>3.2不具备招标文件中规定的资格要求的；</w:t>
      </w:r>
    </w:p>
    <w:p>
      <w:pPr>
        <w:spacing w:line="360" w:lineRule="auto"/>
        <w:ind w:firstLine="496" w:firstLineChars="200"/>
        <w:rPr>
          <w:rFonts w:hAnsi="宋体"/>
          <w:spacing w:val="4"/>
          <w:szCs w:val="21"/>
        </w:rPr>
      </w:pPr>
      <w:r>
        <w:rPr>
          <w:rFonts w:hint="eastAsia" w:hAnsi="宋体"/>
          <w:spacing w:val="4"/>
          <w:szCs w:val="21"/>
        </w:rPr>
        <w:t>3.3报价超过招标文件中规定的预算金额或者最高限价的；</w:t>
      </w:r>
    </w:p>
    <w:p>
      <w:pPr>
        <w:spacing w:line="360" w:lineRule="auto"/>
        <w:ind w:firstLine="496" w:firstLineChars="200"/>
        <w:rPr>
          <w:rFonts w:hAnsi="宋体"/>
          <w:spacing w:val="4"/>
          <w:szCs w:val="21"/>
        </w:rPr>
      </w:pPr>
      <w:r>
        <w:rPr>
          <w:rFonts w:hint="eastAsia" w:hAnsi="宋体"/>
          <w:spacing w:val="4"/>
          <w:szCs w:val="21"/>
        </w:rPr>
        <w:t>3.4投标文件含有采购人不能接受的附加条件的；</w:t>
      </w:r>
    </w:p>
    <w:p>
      <w:pPr>
        <w:pStyle w:val="19"/>
        <w:ind w:firstLine="496" w:firstLineChars="200"/>
        <w:rPr>
          <w:rFonts w:ascii="宋体" w:hAnsi="宋体"/>
          <w:spacing w:val="4"/>
          <w:kern w:val="0"/>
          <w:sz w:val="24"/>
          <w:szCs w:val="21"/>
        </w:rPr>
      </w:pPr>
      <w:r>
        <w:rPr>
          <w:rFonts w:hint="eastAsia" w:ascii="宋体" w:hAnsi="宋体"/>
          <w:spacing w:val="4"/>
          <w:kern w:val="0"/>
          <w:sz w:val="24"/>
          <w:szCs w:val="21"/>
        </w:rPr>
        <w:t>3.6无投标有效期或有效期达不到招标文件要求的；</w:t>
      </w:r>
    </w:p>
    <w:p>
      <w:pPr>
        <w:spacing w:line="360" w:lineRule="auto"/>
        <w:ind w:firstLine="496" w:firstLineChars="200"/>
        <w:rPr>
          <w:rFonts w:hAnsi="宋体"/>
          <w:spacing w:val="4"/>
          <w:szCs w:val="21"/>
        </w:rPr>
      </w:pPr>
      <w:r>
        <w:rPr>
          <w:rFonts w:hint="eastAsia" w:hAnsi="宋体"/>
          <w:spacing w:val="4"/>
          <w:szCs w:val="21"/>
        </w:rPr>
        <w:t>3.</w:t>
      </w:r>
      <w:r>
        <w:rPr>
          <w:rFonts w:hAnsi="宋体"/>
          <w:spacing w:val="4"/>
          <w:szCs w:val="21"/>
        </w:rPr>
        <w:t>7</w:t>
      </w:r>
      <w:r>
        <w:rPr>
          <w:rFonts w:hint="eastAsia" w:hAnsi="宋体"/>
          <w:spacing w:val="4"/>
          <w:szCs w:val="21"/>
        </w:rPr>
        <w:t>单位负责人为同一人或者存在直接控股、管理关系的不同供应商，参加本项目同一合同项下的投标的；</w:t>
      </w:r>
    </w:p>
    <w:p>
      <w:pPr>
        <w:spacing w:line="360" w:lineRule="auto"/>
        <w:ind w:firstLine="496" w:firstLineChars="200"/>
        <w:rPr>
          <w:rFonts w:hAnsi="宋体"/>
          <w:spacing w:val="4"/>
          <w:szCs w:val="21"/>
        </w:rPr>
      </w:pPr>
      <w:r>
        <w:rPr>
          <w:rFonts w:hint="eastAsia" w:hAnsi="宋体"/>
          <w:spacing w:val="4"/>
          <w:szCs w:val="21"/>
        </w:rPr>
        <w:t>3.</w:t>
      </w:r>
      <w:r>
        <w:rPr>
          <w:rFonts w:hAnsi="宋体"/>
          <w:spacing w:val="4"/>
          <w:szCs w:val="21"/>
        </w:rPr>
        <w:t>8</w:t>
      </w:r>
      <w:r>
        <w:rPr>
          <w:rFonts w:hint="eastAsia" w:hAnsi="宋体"/>
          <w:spacing w:val="4"/>
          <w:szCs w:val="21"/>
        </w:rPr>
        <w:t>为本采购项目提供整体设计、规范编制或者项目管理、监理、检测等服务的供应商，参加本采购项目投标的；</w:t>
      </w:r>
    </w:p>
    <w:p>
      <w:pPr>
        <w:spacing w:line="360" w:lineRule="auto"/>
        <w:ind w:firstLine="496" w:firstLineChars="200"/>
        <w:rPr>
          <w:rFonts w:hAnsi="宋体"/>
          <w:spacing w:val="4"/>
          <w:szCs w:val="21"/>
        </w:rPr>
      </w:pPr>
      <w:r>
        <w:rPr>
          <w:rFonts w:hint="eastAsia" w:hAnsi="宋体"/>
          <w:spacing w:val="4"/>
          <w:szCs w:val="21"/>
        </w:rPr>
        <w:t>3.</w:t>
      </w:r>
      <w:r>
        <w:rPr>
          <w:rFonts w:hAnsi="宋体"/>
          <w:spacing w:val="4"/>
          <w:szCs w:val="21"/>
        </w:rPr>
        <w:t>9</w:t>
      </w:r>
      <w:r>
        <w:rPr>
          <w:rFonts w:hint="eastAsia" w:hAnsi="宋体"/>
          <w:spacing w:val="4"/>
          <w:szCs w:val="21"/>
        </w:rPr>
        <w:t>提供虚假投标文件和资料的。</w:t>
      </w:r>
    </w:p>
    <w:p>
      <w:pPr>
        <w:spacing w:line="360" w:lineRule="auto"/>
        <w:ind w:firstLine="496" w:firstLineChars="200"/>
        <w:rPr>
          <w:rFonts w:hAnsi="宋体"/>
          <w:spacing w:val="4"/>
          <w:szCs w:val="21"/>
        </w:rPr>
      </w:pPr>
      <w:r>
        <w:rPr>
          <w:rFonts w:hint="eastAsia" w:hAnsi="宋体"/>
          <w:spacing w:val="4"/>
          <w:szCs w:val="21"/>
        </w:rPr>
        <w:t>3.</w:t>
      </w:r>
      <w:r>
        <w:rPr>
          <w:rFonts w:hAnsi="宋体"/>
          <w:spacing w:val="4"/>
          <w:szCs w:val="21"/>
        </w:rPr>
        <w:t>10</w:t>
      </w:r>
      <w:r>
        <w:rPr>
          <w:rFonts w:hint="eastAsia" w:hAnsi="宋体"/>
          <w:spacing w:val="4"/>
          <w:szCs w:val="21"/>
        </w:rPr>
        <w:t>法律、法规和招标文件规定的其他无效情形；</w:t>
      </w:r>
    </w:p>
    <w:p>
      <w:pPr>
        <w:spacing w:line="360" w:lineRule="auto"/>
        <w:outlineLvl w:val="1"/>
        <w:rPr>
          <w:rFonts w:hAnsi="宋体"/>
          <w:b/>
          <w:spacing w:val="4"/>
          <w:szCs w:val="21"/>
        </w:rPr>
      </w:pPr>
      <w:bookmarkStart w:id="151" w:name="_Toc6695"/>
      <w:r>
        <w:rPr>
          <w:rFonts w:hint="eastAsia" w:hAnsi="宋体"/>
          <w:b/>
          <w:spacing w:val="4"/>
          <w:szCs w:val="21"/>
        </w:rPr>
        <w:t>四．供应商有下列情形之一的，视为供应商串通投标，其投标无效</w:t>
      </w:r>
      <w:bookmarkEnd w:id="151"/>
    </w:p>
    <w:p>
      <w:pPr>
        <w:spacing w:line="360" w:lineRule="auto"/>
        <w:ind w:firstLine="496" w:firstLineChars="200"/>
        <w:rPr>
          <w:rFonts w:hAnsi="宋体"/>
          <w:spacing w:val="4"/>
          <w:szCs w:val="21"/>
        </w:rPr>
      </w:pPr>
      <w:r>
        <w:rPr>
          <w:rFonts w:hint="eastAsia" w:hAnsi="宋体"/>
          <w:spacing w:val="4"/>
          <w:szCs w:val="21"/>
        </w:rPr>
        <w:t>4.1不同供应商的投标文件由同一单位或者个人编制；</w:t>
      </w:r>
    </w:p>
    <w:p>
      <w:pPr>
        <w:spacing w:line="360" w:lineRule="auto"/>
        <w:ind w:firstLine="496" w:firstLineChars="200"/>
        <w:rPr>
          <w:rFonts w:hAnsi="宋体"/>
          <w:spacing w:val="4"/>
          <w:szCs w:val="21"/>
        </w:rPr>
      </w:pPr>
      <w:r>
        <w:rPr>
          <w:rFonts w:hint="eastAsia" w:hAnsi="宋体"/>
          <w:spacing w:val="4"/>
          <w:szCs w:val="21"/>
        </w:rPr>
        <w:t>4.2不同供应商委托同一单位或者个人办理投标事宜；</w:t>
      </w:r>
    </w:p>
    <w:p>
      <w:pPr>
        <w:spacing w:line="360" w:lineRule="auto"/>
        <w:ind w:firstLine="496" w:firstLineChars="200"/>
        <w:rPr>
          <w:rFonts w:hAnsi="宋体"/>
          <w:spacing w:val="4"/>
          <w:szCs w:val="21"/>
        </w:rPr>
      </w:pPr>
      <w:r>
        <w:rPr>
          <w:rFonts w:hint="eastAsia" w:hAnsi="宋体"/>
          <w:spacing w:val="4"/>
          <w:szCs w:val="21"/>
        </w:rPr>
        <w:t>4.3不同供应商的投标文件载明的项目管理成员或者联系人员为同一人；</w:t>
      </w:r>
    </w:p>
    <w:p>
      <w:pPr>
        <w:spacing w:line="360" w:lineRule="auto"/>
        <w:ind w:firstLine="496" w:firstLineChars="200"/>
        <w:rPr>
          <w:rFonts w:hAnsi="宋体"/>
          <w:spacing w:val="4"/>
          <w:szCs w:val="21"/>
        </w:rPr>
      </w:pPr>
      <w:r>
        <w:rPr>
          <w:rFonts w:hint="eastAsia" w:hAnsi="宋体"/>
          <w:spacing w:val="4"/>
          <w:szCs w:val="21"/>
        </w:rPr>
        <w:t>4.4不同供应商的投标文件异常一致或者投标报价呈规律性差异；</w:t>
      </w:r>
    </w:p>
    <w:p>
      <w:pPr>
        <w:spacing w:line="360" w:lineRule="auto"/>
        <w:ind w:firstLine="496" w:firstLineChars="200"/>
        <w:rPr>
          <w:rFonts w:hAnsi="宋体"/>
          <w:spacing w:val="4"/>
          <w:szCs w:val="21"/>
        </w:rPr>
      </w:pPr>
      <w:r>
        <w:rPr>
          <w:rFonts w:hint="eastAsia" w:hAnsi="宋体"/>
          <w:spacing w:val="4"/>
          <w:szCs w:val="21"/>
        </w:rPr>
        <w:t>4.5不同供应商的投标文件相互混装；</w:t>
      </w:r>
    </w:p>
    <w:p>
      <w:pPr>
        <w:spacing w:line="360" w:lineRule="auto"/>
        <w:ind w:firstLine="496" w:firstLineChars="200"/>
        <w:rPr>
          <w:rFonts w:hAnsi="宋体"/>
          <w:spacing w:val="4"/>
          <w:szCs w:val="21"/>
        </w:rPr>
      </w:pPr>
      <w:r>
        <w:rPr>
          <w:rFonts w:hint="eastAsia" w:hAnsi="宋体"/>
          <w:spacing w:val="4"/>
          <w:szCs w:val="21"/>
        </w:rPr>
        <w:t>4.6不同供应商的投标保证金从同一单位或者个人的账户转出。</w:t>
      </w:r>
    </w:p>
    <w:p>
      <w:pPr>
        <w:spacing w:line="500" w:lineRule="exact"/>
        <w:outlineLvl w:val="1"/>
        <w:rPr>
          <w:rFonts w:hAnsi="宋体" w:cs="宋体"/>
          <w:b/>
          <w:szCs w:val="24"/>
        </w:rPr>
      </w:pPr>
      <w:bookmarkStart w:id="152" w:name="_Toc9174"/>
      <w:bookmarkStart w:id="153" w:name="_Toc4963"/>
      <w:r>
        <w:rPr>
          <w:rFonts w:hint="eastAsia" w:hAnsi="宋体" w:cs="宋体"/>
          <w:b/>
          <w:szCs w:val="24"/>
        </w:rPr>
        <w:t>五、评审标准</w:t>
      </w:r>
      <w:bookmarkEnd w:id="152"/>
      <w:bookmarkEnd w:id="153"/>
    </w:p>
    <w:p>
      <w:pPr>
        <w:tabs>
          <w:tab w:val="left" w:pos="0"/>
        </w:tabs>
        <w:adjustRightInd w:val="0"/>
        <w:snapToGrid w:val="0"/>
        <w:spacing w:line="500" w:lineRule="exact"/>
        <w:ind w:firstLine="470" w:firstLineChars="196"/>
        <w:rPr>
          <w:rFonts w:hAnsi="宋体" w:cs="宋体"/>
          <w:bCs/>
          <w:szCs w:val="24"/>
        </w:rPr>
      </w:pPr>
      <w:r>
        <w:rPr>
          <w:rFonts w:hint="eastAsia" w:hAnsi="宋体" w:cs="宋体"/>
          <w:bCs/>
          <w:szCs w:val="24"/>
        </w:rPr>
        <w:t>5.1初步评审标准：</w:t>
      </w:r>
    </w:p>
    <w:p>
      <w:pPr>
        <w:tabs>
          <w:tab w:val="left" w:pos="0"/>
        </w:tabs>
        <w:adjustRightInd w:val="0"/>
        <w:snapToGrid w:val="0"/>
        <w:spacing w:line="500" w:lineRule="exact"/>
        <w:ind w:firstLine="470" w:firstLineChars="196"/>
        <w:rPr>
          <w:rFonts w:hAnsi="宋体" w:cs="宋体"/>
          <w:bCs/>
          <w:szCs w:val="24"/>
        </w:rPr>
      </w:pPr>
      <w:r>
        <w:rPr>
          <w:rFonts w:hint="eastAsia" w:hAnsi="宋体" w:cs="宋体"/>
          <w:bCs/>
          <w:szCs w:val="24"/>
        </w:rPr>
        <w:t>5.1.1资格评审标准：见附件1初步审查要素表</w:t>
      </w:r>
    </w:p>
    <w:p>
      <w:pPr>
        <w:tabs>
          <w:tab w:val="left" w:pos="0"/>
        </w:tabs>
        <w:adjustRightInd w:val="0"/>
        <w:snapToGrid w:val="0"/>
        <w:spacing w:line="500" w:lineRule="exact"/>
        <w:ind w:firstLine="470" w:firstLineChars="196"/>
        <w:rPr>
          <w:szCs w:val="24"/>
        </w:rPr>
      </w:pPr>
      <w:r>
        <w:rPr>
          <w:rFonts w:hint="eastAsia" w:hAnsi="宋体" w:cs="宋体"/>
          <w:bCs/>
          <w:szCs w:val="24"/>
        </w:rPr>
        <w:t>5.1.2符合性评审标准：见</w:t>
      </w:r>
      <w:r>
        <w:rPr>
          <w:rFonts w:hint="eastAsia" w:hAnsi="宋体" w:cs="宋体"/>
          <w:szCs w:val="24"/>
        </w:rPr>
        <w:t>附件1初步审查要素表</w:t>
      </w:r>
    </w:p>
    <w:p>
      <w:pPr>
        <w:tabs>
          <w:tab w:val="left" w:pos="0"/>
        </w:tabs>
        <w:adjustRightInd w:val="0"/>
        <w:snapToGrid w:val="0"/>
        <w:spacing w:line="500" w:lineRule="exact"/>
        <w:ind w:firstLine="470" w:firstLineChars="196"/>
        <w:rPr>
          <w:rFonts w:hAnsi="宋体" w:cs="宋体"/>
          <w:bCs/>
          <w:szCs w:val="24"/>
        </w:rPr>
      </w:pPr>
      <w:r>
        <w:rPr>
          <w:rFonts w:hint="eastAsia" w:hAnsi="宋体" w:cs="宋体"/>
          <w:bCs/>
          <w:szCs w:val="24"/>
        </w:rPr>
        <w:t>5.2分值构成与评分标准</w:t>
      </w:r>
      <w:r>
        <w:rPr>
          <w:rFonts w:hint="eastAsia" w:hAnsi="宋体" w:cs="宋体"/>
          <w:b/>
          <w:szCs w:val="24"/>
        </w:rPr>
        <w:t>:</w:t>
      </w:r>
      <w:r>
        <w:rPr>
          <w:rFonts w:hint="eastAsia" w:hAnsi="宋体" w:cs="宋体"/>
          <w:bCs/>
          <w:szCs w:val="24"/>
        </w:rPr>
        <w:t>见附件2评标因素及权重分值表</w:t>
      </w:r>
    </w:p>
    <w:p>
      <w:pPr>
        <w:spacing w:line="500" w:lineRule="exact"/>
        <w:outlineLvl w:val="1"/>
        <w:rPr>
          <w:rFonts w:hAnsi="宋体" w:cs="宋体"/>
          <w:b/>
          <w:szCs w:val="24"/>
        </w:rPr>
      </w:pPr>
      <w:bookmarkStart w:id="154" w:name="_Toc27272"/>
      <w:bookmarkStart w:id="155" w:name="_Toc14485"/>
      <w:bookmarkStart w:id="156" w:name="_Toc363463333"/>
      <w:r>
        <w:rPr>
          <w:rFonts w:hint="eastAsia" w:hAnsi="宋体" w:cs="宋体"/>
          <w:b/>
          <w:szCs w:val="24"/>
        </w:rPr>
        <w:t>六．评审程序</w:t>
      </w:r>
      <w:bookmarkEnd w:id="154"/>
      <w:bookmarkEnd w:id="155"/>
      <w:bookmarkEnd w:id="156"/>
    </w:p>
    <w:p>
      <w:pPr>
        <w:spacing w:line="500" w:lineRule="exact"/>
        <w:ind w:firstLine="482" w:firstLineChars="200"/>
        <w:rPr>
          <w:rFonts w:hAnsi="宋体" w:cs="宋体"/>
          <w:b/>
        </w:rPr>
      </w:pPr>
      <w:r>
        <w:rPr>
          <w:rFonts w:hint="eastAsia" w:hAnsi="宋体" w:cs="宋体"/>
          <w:b/>
        </w:rPr>
        <w:t>6.1本采购项目评标按照下列工作程序进行</w:t>
      </w:r>
      <w:r>
        <w:rPr>
          <w:rFonts w:hint="eastAsia" w:hAnsi="宋体" w:cs="宋体"/>
          <w:bCs/>
        </w:rPr>
        <w:t>（在上一步评审中被认定无效投标者，不进入下一步的评审）</w:t>
      </w:r>
      <w:r>
        <w:rPr>
          <w:rFonts w:hint="eastAsia" w:hAnsi="宋体" w:cs="宋体"/>
          <w:b/>
        </w:rPr>
        <w:t>。</w:t>
      </w:r>
    </w:p>
    <w:p>
      <w:pPr>
        <w:spacing w:line="500" w:lineRule="exact"/>
        <w:ind w:firstLine="495"/>
        <w:rPr>
          <w:rFonts w:hAnsi="宋体" w:cs="宋体"/>
        </w:rPr>
      </w:pPr>
      <w:r>
        <w:rPr>
          <w:rFonts w:hint="eastAsia" w:hAnsi="宋体" w:cs="宋体"/>
        </w:rPr>
        <w:t>6.1.1投标文件初审；</w:t>
      </w:r>
    </w:p>
    <w:p>
      <w:pPr>
        <w:spacing w:line="500" w:lineRule="exact"/>
        <w:ind w:firstLine="495"/>
        <w:rPr>
          <w:rFonts w:hAnsi="宋体" w:cs="宋体"/>
        </w:rPr>
      </w:pPr>
      <w:r>
        <w:rPr>
          <w:rFonts w:hint="eastAsia" w:hAnsi="宋体" w:cs="宋体"/>
        </w:rPr>
        <w:t>6.1.2澄清有关问题；</w:t>
      </w:r>
    </w:p>
    <w:p>
      <w:pPr>
        <w:spacing w:line="500" w:lineRule="exact"/>
        <w:ind w:firstLine="495"/>
        <w:rPr>
          <w:rFonts w:hAnsi="宋体" w:cs="宋体"/>
        </w:rPr>
      </w:pPr>
      <w:r>
        <w:rPr>
          <w:rFonts w:hint="eastAsia" w:hAnsi="宋体" w:cs="宋体"/>
        </w:rPr>
        <w:t>6.1.3比较与评价；</w:t>
      </w:r>
    </w:p>
    <w:p>
      <w:pPr>
        <w:spacing w:line="500" w:lineRule="exact"/>
        <w:ind w:firstLine="495"/>
        <w:rPr>
          <w:rFonts w:hAnsi="宋体" w:cs="宋体"/>
        </w:rPr>
      </w:pPr>
      <w:r>
        <w:rPr>
          <w:rFonts w:hint="eastAsia" w:hAnsi="宋体" w:cs="宋体"/>
        </w:rPr>
        <w:t>6.1.4推荐中标候选人名单。</w:t>
      </w:r>
    </w:p>
    <w:p>
      <w:pPr>
        <w:spacing w:before="120" w:after="120" w:line="500" w:lineRule="exact"/>
        <w:ind w:firstLine="482" w:firstLineChars="200"/>
        <w:rPr>
          <w:rFonts w:hAnsi="宋体" w:cs="宋体"/>
          <w:b/>
        </w:rPr>
      </w:pPr>
      <w:r>
        <w:rPr>
          <w:rFonts w:hint="eastAsia" w:hAnsi="宋体" w:cs="宋体"/>
          <w:b/>
        </w:rPr>
        <w:t>6.2投标文件初审</w:t>
      </w:r>
    </w:p>
    <w:p>
      <w:pPr>
        <w:tabs>
          <w:tab w:val="left" w:pos="0"/>
        </w:tabs>
        <w:adjustRightInd w:val="0"/>
        <w:snapToGrid w:val="0"/>
        <w:spacing w:line="500" w:lineRule="exact"/>
        <w:ind w:firstLine="470" w:firstLineChars="196"/>
        <w:rPr>
          <w:rFonts w:hAnsi="宋体" w:cs="宋体"/>
        </w:rPr>
      </w:pPr>
      <w:r>
        <w:rPr>
          <w:rFonts w:hint="eastAsia" w:hAnsi="宋体" w:cs="宋体"/>
        </w:rPr>
        <w:t>采购人或采购代理机构根据本章第</w:t>
      </w:r>
      <w:r>
        <w:rPr>
          <w:rFonts w:hint="eastAsia" w:hAnsi="宋体" w:cs="宋体"/>
          <w:bCs/>
          <w:szCs w:val="24"/>
        </w:rPr>
        <w:t>5.1.1</w:t>
      </w:r>
      <w:r>
        <w:rPr>
          <w:rFonts w:hint="eastAsia" w:hAnsi="宋体" w:cs="宋体"/>
        </w:rPr>
        <w:t xml:space="preserve"> 项规定的评审标准对投标文件进行资格性审查。有一项不符合评审标准的，将被认定为无效投标。</w:t>
      </w:r>
    </w:p>
    <w:p>
      <w:pPr>
        <w:tabs>
          <w:tab w:val="left" w:pos="0"/>
        </w:tabs>
        <w:adjustRightInd w:val="0"/>
        <w:snapToGrid w:val="0"/>
        <w:spacing w:line="500" w:lineRule="exact"/>
        <w:ind w:firstLine="470" w:firstLineChars="196"/>
        <w:rPr>
          <w:rFonts w:hAnsi="宋体" w:cs="宋体"/>
        </w:rPr>
      </w:pPr>
      <w:r>
        <w:rPr>
          <w:rFonts w:hint="eastAsia" w:hAnsi="宋体" w:cs="宋体"/>
        </w:rPr>
        <w:t xml:space="preserve">评标委员会根据本章第 </w:t>
      </w:r>
      <w:r>
        <w:rPr>
          <w:rFonts w:hint="eastAsia" w:hAnsi="宋体" w:cs="宋体"/>
          <w:bCs/>
          <w:szCs w:val="24"/>
        </w:rPr>
        <w:t>5.1.2</w:t>
      </w:r>
      <w:r>
        <w:rPr>
          <w:rFonts w:hint="eastAsia" w:hAnsi="宋体" w:cs="宋体"/>
        </w:rPr>
        <w:t>项规定的评审标准对投标文件进行符合性评审。有一项不符合评审标准的，评标委员会应当否决其投标。</w:t>
      </w:r>
    </w:p>
    <w:p>
      <w:pPr>
        <w:tabs>
          <w:tab w:val="left" w:pos="0"/>
        </w:tabs>
        <w:adjustRightInd w:val="0"/>
        <w:snapToGrid w:val="0"/>
        <w:spacing w:line="500" w:lineRule="exact"/>
        <w:ind w:firstLine="470" w:firstLineChars="196"/>
        <w:rPr>
          <w:rFonts w:hAnsi="宋体" w:cs="宋体"/>
        </w:rPr>
      </w:pPr>
      <w:r>
        <w:rPr>
          <w:rFonts w:hint="eastAsia" w:hAnsi="宋体" w:cs="宋体"/>
        </w:rPr>
        <w:t>在资格性审查阶段，不符合招标文件要求的，不得进入符合性审查，在符合性审查时未通过的，不得进入后续评审环节。</w:t>
      </w:r>
    </w:p>
    <w:p>
      <w:pPr>
        <w:spacing w:before="120" w:after="120" w:line="500" w:lineRule="exact"/>
        <w:ind w:firstLine="482" w:firstLineChars="200"/>
        <w:rPr>
          <w:rFonts w:hAnsi="宋体" w:cs="宋体"/>
          <w:b/>
        </w:rPr>
      </w:pPr>
      <w:r>
        <w:rPr>
          <w:rFonts w:hint="eastAsia" w:hAnsi="宋体" w:cs="宋体"/>
          <w:b/>
        </w:rPr>
        <w:t>6.3投标文件的澄清</w:t>
      </w:r>
    </w:p>
    <w:p>
      <w:pPr>
        <w:spacing w:line="500" w:lineRule="exact"/>
        <w:ind w:firstLine="480" w:firstLineChars="200"/>
        <w:rPr>
          <w:rFonts w:hAnsi="宋体" w:cs="宋体"/>
        </w:rPr>
      </w:pPr>
      <w:r>
        <w:rPr>
          <w:rFonts w:hint="eastAsia" w:hAnsi="宋体" w:cs="宋体"/>
        </w:rPr>
        <w:t>6.3.1为有助于投标文件的审查、比较和评价，评标委员会可要求供应商对其投标文件中非实质性（投标文件中含义不明确、同类问题表述不一致或者有明显文字和计算错误的内容）的有关问题进行澄清、说明或者补正。有关澄清、说明或者补正的要求和答复应以书面形式提交，并由其法定代表人或被授权人签字。供应商的澄清、说明或者补正不得超出投标文件的范围或者改变投标文件的实质性内容。评标委员会不接受供应商主动提出的澄清、说明。</w:t>
      </w:r>
    </w:p>
    <w:p>
      <w:pPr>
        <w:spacing w:line="500" w:lineRule="exact"/>
        <w:ind w:firstLine="480" w:firstLineChars="200"/>
        <w:rPr>
          <w:rFonts w:hAnsi="宋体" w:cs="宋体"/>
          <w:szCs w:val="24"/>
        </w:rPr>
      </w:pPr>
      <w:r>
        <w:rPr>
          <w:rFonts w:hint="eastAsia" w:hAnsi="宋体" w:cs="宋体"/>
        </w:rPr>
        <w:t>6.3.2有效的书面澄清材料，是投标文件的补充材料，成为投标文件的组成部分。</w:t>
      </w:r>
    </w:p>
    <w:p>
      <w:pPr>
        <w:tabs>
          <w:tab w:val="left" w:pos="851"/>
        </w:tabs>
        <w:spacing w:line="500" w:lineRule="exact"/>
        <w:ind w:firstLine="480" w:firstLineChars="200"/>
        <w:rPr>
          <w:rFonts w:hAnsi="宋体" w:cs="宋体"/>
          <w:szCs w:val="24"/>
        </w:rPr>
      </w:pPr>
      <w:r>
        <w:rPr>
          <w:rFonts w:hint="eastAsia" w:hAnsi="宋体" w:cs="宋体"/>
          <w:szCs w:val="24"/>
        </w:rPr>
        <w:t>6.3.3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pPr>
        <w:spacing w:before="120" w:after="120" w:line="500" w:lineRule="exact"/>
        <w:ind w:firstLine="482" w:firstLineChars="200"/>
        <w:jc w:val="left"/>
        <w:rPr>
          <w:rFonts w:hAnsi="宋体" w:cs="宋体"/>
          <w:b/>
        </w:rPr>
      </w:pPr>
      <w:r>
        <w:rPr>
          <w:rFonts w:hint="eastAsia" w:hAnsi="宋体" w:cs="宋体"/>
          <w:b/>
        </w:rPr>
        <w:t>6.4投标文件比较与评价</w:t>
      </w:r>
    </w:p>
    <w:p>
      <w:pPr>
        <w:tabs>
          <w:tab w:val="left" w:pos="0"/>
        </w:tabs>
        <w:adjustRightInd w:val="0"/>
        <w:snapToGrid w:val="0"/>
        <w:spacing w:before="120" w:line="500" w:lineRule="exact"/>
        <w:ind w:firstLine="480" w:firstLineChars="200"/>
        <w:rPr>
          <w:rFonts w:hAnsi="宋体" w:cs="宋体"/>
        </w:rPr>
      </w:pPr>
      <w:r>
        <w:rPr>
          <w:rFonts w:hint="eastAsia" w:hAnsi="宋体" w:cs="宋体"/>
        </w:rPr>
        <w:t>6.4.1</w:t>
      </w:r>
      <w:r>
        <w:rPr>
          <w:rFonts w:hint="eastAsia" w:hAnsi="宋体" w:cs="宋体"/>
          <w:bCs/>
        </w:rPr>
        <w:t>评委会应按照招标文件中规定的评标方法</w:t>
      </w:r>
      <w:r>
        <w:rPr>
          <w:rFonts w:hint="eastAsia" w:hAnsi="宋体" w:cs="宋体"/>
        </w:rPr>
        <w:t>和标准，</w:t>
      </w:r>
      <w:r>
        <w:rPr>
          <w:rFonts w:hint="eastAsia" w:hAnsi="宋体" w:cs="宋体"/>
          <w:bCs/>
        </w:rPr>
        <w:t>对</w:t>
      </w:r>
      <w:r>
        <w:rPr>
          <w:rFonts w:hint="eastAsia" w:hAnsi="宋体" w:cs="宋体"/>
        </w:rPr>
        <w:t>资格性检查和符合性检查</w:t>
      </w:r>
      <w:r>
        <w:rPr>
          <w:rFonts w:hint="eastAsia" w:hAnsi="宋体" w:cs="宋体"/>
          <w:bCs/>
        </w:rPr>
        <w:t>合格的投标文件进行商务和技术评估，综合比较与评价。</w:t>
      </w:r>
    </w:p>
    <w:p>
      <w:pPr>
        <w:spacing w:line="500" w:lineRule="exact"/>
        <w:ind w:firstLine="470" w:firstLineChars="196"/>
        <w:rPr>
          <w:rFonts w:hAnsi="宋体" w:cs="宋体"/>
          <w:szCs w:val="24"/>
        </w:rPr>
      </w:pPr>
      <w:r>
        <w:rPr>
          <w:rFonts w:hint="eastAsia" w:hAnsi="宋体" w:cs="宋体"/>
        </w:rPr>
        <w:t>6.4.2如果投标文件没有实质性响应招标文件的要求，评委会将予以拒绝。供应商不得通过修正或撤销不合要求的偏离或保留，从而使其投标成为实质性响应的投标。</w:t>
      </w:r>
    </w:p>
    <w:p>
      <w:pPr>
        <w:spacing w:line="500" w:lineRule="exact"/>
        <w:outlineLvl w:val="1"/>
        <w:rPr>
          <w:rFonts w:hAnsi="宋体" w:cs="宋体"/>
          <w:b/>
          <w:szCs w:val="24"/>
        </w:rPr>
      </w:pPr>
      <w:bookmarkStart w:id="157" w:name="_Toc8036"/>
      <w:bookmarkStart w:id="158" w:name="_Toc23931"/>
      <w:r>
        <w:rPr>
          <w:rFonts w:hint="eastAsia" w:hAnsi="宋体" w:cs="宋体"/>
          <w:b/>
          <w:szCs w:val="24"/>
        </w:rPr>
        <w:t>七．政策性扣减</w:t>
      </w:r>
      <w:bookmarkEnd w:id="157"/>
      <w:bookmarkEnd w:id="158"/>
    </w:p>
    <w:p>
      <w:pPr>
        <w:spacing w:line="360" w:lineRule="auto"/>
        <w:ind w:firstLine="482" w:firstLineChars="200"/>
        <w:rPr>
          <w:rFonts w:hAnsi="宋体" w:cs="宋体"/>
          <w:b/>
          <w:szCs w:val="24"/>
        </w:rPr>
      </w:pPr>
      <w:r>
        <w:rPr>
          <w:rFonts w:hint="eastAsia" w:hAnsi="宋体" w:cs="宋体"/>
          <w:b/>
          <w:szCs w:val="24"/>
        </w:rPr>
        <w:t>7.1政策性扣减范围</w:t>
      </w:r>
    </w:p>
    <w:p>
      <w:pPr>
        <w:spacing w:line="360" w:lineRule="auto"/>
        <w:ind w:firstLine="480" w:firstLineChars="200"/>
        <w:rPr>
          <w:rFonts w:hAnsi="宋体" w:cs="宋体"/>
          <w:szCs w:val="24"/>
        </w:rPr>
      </w:pPr>
      <w:r>
        <w:rPr>
          <w:rFonts w:hint="eastAsia" w:hAnsi="宋体" w:cs="宋体"/>
          <w:szCs w:val="24"/>
        </w:rPr>
        <w:t>7.1.1供应商符合小型、微型企业或监狱企业、残疾人福利性单位条件的，其投标报价价格评审时将按相应比例进行扣减。</w:t>
      </w:r>
    </w:p>
    <w:p>
      <w:pPr>
        <w:spacing w:line="360" w:lineRule="auto"/>
        <w:ind w:firstLine="480" w:firstLineChars="200"/>
        <w:rPr>
          <w:rFonts w:hAnsi="宋体" w:cs="宋体"/>
          <w:szCs w:val="24"/>
        </w:rPr>
      </w:pPr>
      <w:r>
        <w:rPr>
          <w:rFonts w:hint="eastAsia" w:hAnsi="宋体" w:cs="宋体"/>
          <w:szCs w:val="24"/>
        </w:rPr>
        <w:t>7.1.2依据关于印发《政府采购促进中小企业发展管理办法》的通知（财库〔2020〕46号）的规定，在政府采购活动中，供应商提供的货物、工程或者服务符合下列情形的，享受中小企业扶持政策：</w:t>
      </w:r>
    </w:p>
    <w:p>
      <w:pPr>
        <w:spacing w:line="360" w:lineRule="auto"/>
        <w:ind w:firstLine="480" w:firstLineChars="200"/>
        <w:rPr>
          <w:rFonts w:hAnsi="宋体" w:cs="宋体"/>
          <w:szCs w:val="24"/>
        </w:rPr>
      </w:pPr>
      <w:r>
        <w:rPr>
          <w:rFonts w:hint="eastAsia" w:hAnsi="宋体" w:cs="宋体"/>
          <w:szCs w:val="24"/>
        </w:rPr>
        <w:t>（1）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w:t>
      </w:r>
    </w:p>
    <w:p>
      <w:pPr>
        <w:spacing w:line="360" w:lineRule="auto"/>
        <w:ind w:firstLine="480" w:firstLineChars="200"/>
        <w:rPr>
          <w:rFonts w:hAnsi="宋体" w:cs="宋体"/>
          <w:szCs w:val="24"/>
        </w:rPr>
      </w:pPr>
      <w:r>
        <w:rPr>
          <w:rFonts w:hint="eastAsia" w:hAnsi="宋体" w:cs="宋体"/>
          <w:szCs w:val="24"/>
        </w:rPr>
        <w:t>（2）在货物采购项目中，供应商提供的货物既有中小企业制造货物，也有大型企业制造货物的，不享受本办法规定的中小企业扶持政策。</w:t>
      </w:r>
    </w:p>
    <w:p>
      <w:pPr>
        <w:spacing w:line="360" w:lineRule="auto"/>
        <w:ind w:firstLine="480" w:firstLineChars="200"/>
        <w:rPr>
          <w:rFonts w:hAnsi="宋体" w:cs="宋体"/>
          <w:szCs w:val="24"/>
        </w:rPr>
      </w:pPr>
      <w:r>
        <w:rPr>
          <w:rFonts w:hint="eastAsia" w:hAnsi="宋体" w:cs="宋体"/>
          <w:szCs w:val="24"/>
        </w:rPr>
        <w:t>（3）以联合体形式参加政府采购活动，联合体各方均为中小企业的，联合体视同中小企业。其中，联合体各方均为小微企业的，联合体视同小微企业。</w:t>
      </w:r>
    </w:p>
    <w:p>
      <w:pPr>
        <w:spacing w:line="360" w:lineRule="auto"/>
        <w:ind w:firstLine="480" w:firstLineChars="200"/>
      </w:pPr>
      <w:r>
        <w:rPr>
          <w:rFonts w:hint="eastAsia" w:hAnsi="宋体" w:cs="宋体"/>
          <w:szCs w:val="24"/>
        </w:rPr>
        <w:t>(4)中小企业参加政府采购活动，应当出具符合财库〔2020〕46号规定的《中小企业声明函》,否则不得享受相关中小企业扶持政策。</w:t>
      </w:r>
    </w:p>
    <w:p>
      <w:pPr>
        <w:spacing w:line="360" w:lineRule="auto"/>
        <w:ind w:firstLine="480" w:firstLineChars="200"/>
        <w:rPr>
          <w:rFonts w:hAnsi="宋体" w:cs="宋体"/>
          <w:szCs w:val="24"/>
        </w:rPr>
      </w:pPr>
      <w:r>
        <w:rPr>
          <w:rFonts w:hint="eastAsia" w:hAnsi="宋体" w:cs="宋体"/>
          <w:szCs w:val="24"/>
        </w:rPr>
        <w:t>7.1.3采购人拟采购产品属于优先采购节能、环境标志产品范围的，应当优先采购节能、环境标志产品；拟采购产品符合政府采购强制采购政策的，实行强制采购。</w:t>
      </w:r>
    </w:p>
    <w:p>
      <w:pPr>
        <w:spacing w:line="360" w:lineRule="auto"/>
        <w:ind w:firstLine="480" w:firstLineChars="200"/>
        <w:rPr>
          <w:rFonts w:hAnsi="宋体" w:cs="宋体"/>
          <w:szCs w:val="24"/>
        </w:rPr>
      </w:pPr>
      <w:r>
        <w:rPr>
          <w:rFonts w:hint="eastAsia" w:hAnsi="宋体" w:cs="宋体"/>
          <w:szCs w:val="24"/>
        </w:rPr>
        <w:t>（1）采购人依据节能产品、环境标志产品品目清单和节能、环境标志产品认证证书实施政府优先采购和强制采购。</w:t>
      </w:r>
    </w:p>
    <w:p>
      <w:pPr>
        <w:spacing w:line="360" w:lineRule="auto"/>
        <w:ind w:firstLine="480" w:firstLineChars="200"/>
        <w:rPr>
          <w:rFonts w:hAnsi="宋体" w:cs="宋体"/>
        </w:rPr>
      </w:pPr>
      <w:r>
        <w:rPr>
          <w:rFonts w:hint="eastAsia" w:hAnsi="宋体" w:cs="宋体"/>
          <w:szCs w:val="24"/>
        </w:rPr>
        <w:t>（2）采购人拟采购的产品属于品目清单范围的，采购人及其委托的采购代理机构将依据国家确定的认证机构出具的、处于有效期之内的节能、环境标志产品认证证书，对获得证书的产品实施政府优先采购或强制采购。</w:t>
      </w:r>
    </w:p>
    <w:p>
      <w:pPr>
        <w:spacing w:line="360" w:lineRule="auto"/>
        <w:ind w:firstLine="480" w:firstLineChars="200"/>
        <w:rPr>
          <w:rFonts w:hAnsi="宋体" w:cs="宋体"/>
          <w:szCs w:val="24"/>
        </w:rPr>
      </w:pPr>
      <w:r>
        <w:rPr>
          <w:rFonts w:hint="eastAsia" w:hAnsi="宋体" w:cs="宋体"/>
          <w:szCs w:val="24"/>
        </w:rPr>
        <w:t>7.1.4监狱企业参加政府采购活动时，应当提供由省级以上监狱管理局、戒毒管理局(含新疆生产建设兵团)出具的属于监狱企业的证明文件。</w:t>
      </w:r>
      <w:r>
        <w:rPr>
          <w:rFonts w:hint="eastAsia" w:hAnsi="宋体" w:cs="宋体"/>
        </w:rPr>
        <w:t>监狱企业参加政府采购活动时，视同小型、微型企业。</w:t>
      </w:r>
    </w:p>
    <w:p>
      <w:pPr>
        <w:spacing w:line="360" w:lineRule="auto"/>
        <w:ind w:firstLine="480" w:firstLineChars="200"/>
        <w:rPr>
          <w:rFonts w:hAnsi="宋体" w:cs="宋体"/>
          <w:szCs w:val="24"/>
        </w:rPr>
      </w:pPr>
      <w:r>
        <w:rPr>
          <w:rFonts w:hint="eastAsia" w:hAnsi="宋体" w:cs="宋体"/>
          <w:szCs w:val="24"/>
        </w:rPr>
        <w:t>7.1.5符合条件的残疾人福利性单位在参加政府采购活动时，应当提供《残疾人福利性单位声明函》，并对声明的真实性负责。残疾人福利性单位</w:t>
      </w:r>
      <w:r>
        <w:rPr>
          <w:rFonts w:hint="eastAsia" w:hAnsi="宋体" w:cs="宋体"/>
        </w:rPr>
        <w:t>参加政府采购活动时，视同小型、微型企业；</w:t>
      </w:r>
      <w:r>
        <w:rPr>
          <w:rFonts w:hint="eastAsia" w:hAnsi="宋体" w:cs="宋体"/>
          <w:szCs w:val="24"/>
        </w:rPr>
        <w:t>残疾人福利性单位属于小型、微型企业的，不重复享受政策。</w:t>
      </w:r>
    </w:p>
    <w:p>
      <w:pPr>
        <w:spacing w:line="360" w:lineRule="auto"/>
        <w:ind w:firstLine="482" w:firstLineChars="200"/>
        <w:rPr>
          <w:rFonts w:hAnsi="宋体" w:cs="宋体"/>
          <w:b/>
          <w:szCs w:val="24"/>
        </w:rPr>
      </w:pPr>
      <w:r>
        <w:rPr>
          <w:rFonts w:hint="eastAsia" w:hAnsi="宋体" w:cs="宋体"/>
          <w:b/>
          <w:szCs w:val="24"/>
        </w:rPr>
        <w:t>7.2政策性扣减方式</w:t>
      </w:r>
    </w:p>
    <w:p>
      <w:pPr>
        <w:spacing w:line="360" w:lineRule="auto"/>
        <w:ind w:firstLine="480" w:firstLineChars="200"/>
        <w:rPr>
          <w:rFonts w:hAnsi="宋体" w:cs="宋体"/>
        </w:rPr>
      </w:pPr>
      <w:r>
        <w:rPr>
          <w:rFonts w:hint="eastAsia" w:hAnsi="宋体" w:cs="宋体"/>
          <w:szCs w:val="24"/>
        </w:rPr>
        <w:t>7.2.1</w:t>
      </w:r>
      <w:r>
        <w:rPr>
          <w:rFonts w:hint="eastAsia" w:hAnsi="宋体" w:cs="宋体"/>
        </w:rPr>
        <w:t>对于</w:t>
      </w:r>
      <w:r>
        <w:rPr>
          <w:rFonts w:hint="eastAsia" w:hAnsi="宋体" w:cs="宋体"/>
          <w:spacing w:val="8"/>
        </w:rPr>
        <w:t>未预留份额专门</w:t>
      </w:r>
      <w:r>
        <w:rPr>
          <w:rFonts w:hint="eastAsia" w:hAnsi="宋体" w:cs="宋体"/>
        </w:rPr>
        <w:t>面向中小企业采购的采购项目，以及预留份额项目的非预</w:t>
      </w:r>
      <w:r>
        <w:rPr>
          <w:rFonts w:hint="eastAsia" w:hAnsi="宋体" w:cs="宋体"/>
          <w:spacing w:val="-2"/>
        </w:rPr>
        <w:t>留部分采购包中</w:t>
      </w:r>
      <w:r>
        <w:rPr>
          <w:rFonts w:hint="eastAsia" w:hAnsi="宋体" w:cs="宋体"/>
        </w:rPr>
        <w:t>符合条件的小微企业</w:t>
      </w:r>
      <w:r>
        <w:rPr>
          <w:rFonts w:hint="eastAsia" w:hAnsi="宋体" w:cs="宋体"/>
          <w:szCs w:val="24"/>
        </w:rPr>
        <w:t>报价给予10%的扣除。</w:t>
      </w:r>
    </w:p>
    <w:p>
      <w:pPr>
        <w:spacing w:line="360" w:lineRule="auto"/>
        <w:ind w:firstLine="480" w:firstLineChars="200"/>
        <w:rPr>
          <w:rFonts w:hAnsi="宋体" w:cs="宋体"/>
          <w:b/>
          <w:bCs/>
          <w:szCs w:val="24"/>
        </w:rPr>
      </w:pPr>
      <w:r>
        <w:rPr>
          <w:rFonts w:hint="eastAsia" w:hAnsi="宋体" w:cs="宋体"/>
          <w:szCs w:val="24"/>
        </w:rPr>
        <w:t>7.2.2接受大中型企业与小微企业组成联合体或者允许大中型企业向一家或者多家小微企业分包的采购项目，对于联合协议或者分包意向协议约定小微企业的合同份额占到合同总金额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30%以上的，对联合体或者大中型企业的报价给予4%-6%的扣除；组成联合体或者接受分包的小微企业与联合体内其他企业、分包企业之间存在直接控股、管理关系的，不享受价格扣除优惠政策。</w:t>
      </w:r>
      <w:r>
        <w:rPr>
          <w:rFonts w:hint="eastAsia" w:hAnsi="宋体" w:cs="宋体"/>
          <w:b/>
          <w:bCs/>
          <w:szCs w:val="24"/>
        </w:rPr>
        <w:t>享受扶持政策获得政府采购合同的，小微企业不得将合同分包给大中型企业，中型企业不得将合同分包给大型企业。</w:t>
      </w:r>
    </w:p>
    <w:p>
      <w:pPr>
        <w:spacing w:line="360" w:lineRule="auto"/>
        <w:ind w:firstLine="480" w:firstLineChars="200"/>
        <w:rPr>
          <w:rFonts w:hAnsi="宋体" w:cs="宋体"/>
          <w:szCs w:val="24"/>
        </w:rPr>
      </w:pPr>
      <w:r>
        <w:rPr>
          <w:rFonts w:hint="eastAsia" w:hAnsi="宋体" w:cs="宋体"/>
          <w:szCs w:val="24"/>
        </w:rPr>
        <w:t>7.2.3监狱企业、残疾人福利性单位视同小微企业，享受预留份额、评审中价格扣除等促进中小企业发展的政府采购政策。监狱企业、残疾人福利性单位属于小微企业的，不重复享受政策。</w:t>
      </w:r>
    </w:p>
    <w:p>
      <w:pPr>
        <w:spacing w:line="360" w:lineRule="auto"/>
        <w:ind w:firstLine="480" w:firstLineChars="200"/>
        <w:rPr>
          <w:rFonts w:hAnsi="宋体" w:cs="宋体"/>
          <w:szCs w:val="24"/>
        </w:rPr>
      </w:pPr>
      <w:r>
        <w:rPr>
          <w:rFonts w:hint="eastAsia" w:hAnsi="宋体" w:cs="宋体"/>
          <w:szCs w:val="24"/>
        </w:rPr>
        <w:t>7.2.4供应商享受支持中小型企业发展政策优惠的，可以同时享受节能、环境标志产品优先采购政策。</w:t>
      </w:r>
    </w:p>
    <w:p>
      <w:pPr>
        <w:pStyle w:val="42"/>
        <w:shd w:val="clear" w:color="auto" w:fill="FFFFFF"/>
        <w:spacing w:before="0" w:beforeAutospacing="0" w:after="0" w:afterAutospacing="0" w:line="500" w:lineRule="exact"/>
        <w:outlineLvl w:val="1"/>
        <w:rPr>
          <w:rFonts w:cs="宋体"/>
          <w:b/>
        </w:rPr>
      </w:pPr>
      <w:bookmarkStart w:id="159" w:name="_Toc3202"/>
      <w:bookmarkStart w:id="160" w:name="_Toc21804"/>
      <w:r>
        <w:rPr>
          <w:rFonts w:hint="eastAsia" w:cs="宋体"/>
          <w:b/>
        </w:rPr>
        <w:t>八．特殊情况的处理</w:t>
      </w:r>
      <w:bookmarkEnd w:id="159"/>
      <w:bookmarkEnd w:id="160"/>
    </w:p>
    <w:p>
      <w:pPr>
        <w:pStyle w:val="42"/>
        <w:shd w:val="clear" w:color="auto" w:fill="FFFFFF"/>
        <w:spacing w:before="0" w:beforeAutospacing="0" w:after="0" w:afterAutospacing="0" w:line="500" w:lineRule="exact"/>
        <w:ind w:firstLine="480" w:firstLineChars="200"/>
        <w:rPr>
          <w:rFonts w:cs="宋体"/>
          <w:bCs/>
          <w:kern w:val="2"/>
        </w:rPr>
      </w:pPr>
      <w:r>
        <w:rPr>
          <w:rFonts w:hint="eastAsia" w:cs="宋体"/>
          <w:bCs/>
          <w:kern w:val="2"/>
        </w:rPr>
        <w:t>8.1单一产品采购项目中，提供相同品牌的产品的不同供应商参加同一合同项下投标的，按以下方法处理：</w:t>
      </w:r>
    </w:p>
    <w:p>
      <w:pPr>
        <w:pStyle w:val="42"/>
        <w:shd w:val="clear" w:color="auto" w:fill="FFFFFF"/>
        <w:spacing w:before="0" w:beforeAutospacing="0" w:after="0" w:afterAutospacing="0" w:line="500" w:lineRule="exact"/>
        <w:ind w:firstLine="480" w:firstLineChars="200"/>
        <w:rPr>
          <w:rFonts w:cs="宋体"/>
          <w:bCs/>
          <w:kern w:val="2"/>
        </w:rPr>
      </w:pPr>
      <w:r>
        <w:rPr>
          <w:rFonts w:hint="eastAsia" w:cs="宋体"/>
          <w:bCs/>
          <w:kern w:val="2"/>
        </w:rPr>
        <w:t>8.1.1使用最低评标价法的采购项目，提供相同品牌产品的不同供应商参加同一合同项下投标的，以其中通过资格审查、符合性审查且报价最低的参加评标；报价相同的，由采购人及评标委员会按照技术方案、售后服务等内容择优选择确定一个参加评标的供应商，其他投标无效。</w:t>
      </w:r>
    </w:p>
    <w:p>
      <w:pPr>
        <w:pStyle w:val="42"/>
        <w:shd w:val="clear" w:color="auto" w:fill="FFFFFF"/>
        <w:spacing w:before="0" w:beforeAutospacing="0" w:after="0" w:afterAutospacing="0" w:line="500" w:lineRule="exact"/>
        <w:ind w:firstLine="480" w:firstLineChars="200"/>
        <w:rPr>
          <w:rFonts w:cs="宋体"/>
          <w:bCs/>
          <w:kern w:val="2"/>
        </w:rPr>
      </w:pPr>
      <w:r>
        <w:rPr>
          <w:rFonts w:hint="eastAsia" w:cs="宋体"/>
          <w:bCs/>
          <w:kern w:val="2"/>
        </w:rPr>
        <w:t>8.1.2使用综合评分法的采购项目，提供相同品牌产品且通过资格审查、符合性审查的不同供应商参加同一合同项下投标的，按一家供应商计算，评审后得分最高的同品牌供应商获得中标人推荐资格；评审得分相同的，由采购人及评标委员会按照投标报价最低的方式确定一个供应商获得中标人推荐资格，其他同品牌供应商不作为中标候选人。</w:t>
      </w:r>
    </w:p>
    <w:p>
      <w:pPr>
        <w:widowControl/>
        <w:spacing w:line="500" w:lineRule="exact"/>
        <w:ind w:right="-226" w:rightChars="-94" w:firstLine="480" w:firstLineChars="200"/>
        <w:jc w:val="left"/>
        <w:rPr>
          <w:rFonts w:hAnsi="宋体" w:cs="宋体"/>
          <w:bCs/>
          <w:kern w:val="2"/>
          <w:szCs w:val="24"/>
        </w:rPr>
      </w:pPr>
      <w:r>
        <w:rPr>
          <w:rFonts w:hint="eastAsia" w:hAnsi="宋体" w:cs="宋体"/>
          <w:bCs/>
          <w:kern w:val="2"/>
          <w:szCs w:val="24"/>
        </w:rPr>
        <w:t>8.2非单一产品采购项目中，提供相同品牌的核心产品的不同供应商参加同一合同项下投标的，按以下方法处理：</w:t>
      </w:r>
    </w:p>
    <w:p>
      <w:pPr>
        <w:pStyle w:val="42"/>
        <w:shd w:val="clear" w:color="auto" w:fill="FFFFFF"/>
        <w:spacing w:before="0" w:beforeAutospacing="0" w:after="0" w:afterAutospacing="0" w:line="500" w:lineRule="exact"/>
        <w:ind w:firstLine="480" w:firstLineChars="200"/>
        <w:rPr>
          <w:rFonts w:cs="宋体"/>
          <w:bCs/>
          <w:kern w:val="2"/>
        </w:rPr>
      </w:pPr>
      <w:r>
        <w:rPr>
          <w:rFonts w:hint="eastAsia" w:cs="宋体"/>
          <w:bCs/>
          <w:kern w:val="2"/>
        </w:rPr>
        <w:t>8.2.1使用最低评标价法的采购项目，提供相同品牌核心产品的不同供应商参加同一合同项下投标的，以其中通过资格审查、符合性审查且投标报价最低的参加评标；投标报价相同的，由采购人及评标委员会按照技术方案、售后服务等内容择优选择确定一个参加评标的供应商，其他投标无效。</w:t>
      </w:r>
    </w:p>
    <w:p>
      <w:pPr>
        <w:pStyle w:val="42"/>
        <w:shd w:val="clear" w:color="auto" w:fill="FFFFFF"/>
        <w:spacing w:before="0" w:beforeAutospacing="0" w:after="0" w:afterAutospacing="0" w:line="500" w:lineRule="exact"/>
        <w:ind w:firstLine="480" w:firstLineChars="200"/>
        <w:rPr>
          <w:rFonts w:cs="宋体"/>
          <w:bCs/>
          <w:kern w:val="2"/>
        </w:rPr>
      </w:pPr>
      <w:r>
        <w:rPr>
          <w:rFonts w:hint="eastAsia" w:cs="宋体"/>
          <w:bCs/>
          <w:kern w:val="2"/>
        </w:rPr>
        <w:t>8.2.2使用综合评分法的采购项目，提供相同品牌核心产品且通过资格审查、符合性审查的不同供应商参加同一合同项下投标的，按一家供应商计算，评审后得分最高的同品牌供应商获得中标人推荐资格；评审得分相同的，由采购人及评标委员会按照投标报价最低的方式确定一个供应商获得中标人推荐资格，其他同品牌供应商不作为中标候选人。</w:t>
      </w:r>
    </w:p>
    <w:p>
      <w:pPr>
        <w:pStyle w:val="42"/>
        <w:shd w:val="clear" w:color="auto" w:fill="FFFFFF"/>
        <w:spacing w:before="0" w:beforeAutospacing="0" w:after="0" w:afterAutospacing="0" w:line="500" w:lineRule="exact"/>
        <w:ind w:firstLine="480" w:firstLineChars="200"/>
        <w:rPr>
          <w:rFonts w:cs="宋体"/>
          <w:bCs/>
          <w:kern w:val="2"/>
        </w:rPr>
      </w:pPr>
      <w:r>
        <w:rPr>
          <w:rFonts w:hint="eastAsia" w:cs="宋体"/>
          <w:bCs/>
          <w:kern w:val="2"/>
        </w:rPr>
        <w:t>8.2.3核心产品为两个及以上时，当所有核心产品品牌均相同时，在评审时按同一供应商计算；部分核心产品品牌相同时按不同供应商计算。</w:t>
      </w:r>
    </w:p>
    <w:p>
      <w:pPr>
        <w:spacing w:line="480" w:lineRule="exact"/>
        <w:ind w:firstLine="480" w:firstLineChars="200"/>
        <w:rPr>
          <w:rFonts w:hAnsi="宋体" w:cs="宋体"/>
          <w:szCs w:val="24"/>
        </w:rPr>
      </w:pPr>
      <w:r>
        <w:rPr>
          <w:rFonts w:hint="eastAsia" w:hAnsi="宋体" w:cs="宋体"/>
          <w:szCs w:val="24"/>
        </w:rPr>
        <w:t>8.3投标文件报价出现前后不一致的，按照下列规定修正：</w:t>
      </w:r>
    </w:p>
    <w:p>
      <w:pPr>
        <w:spacing w:line="480" w:lineRule="exact"/>
        <w:ind w:firstLine="480" w:firstLineChars="200"/>
        <w:rPr>
          <w:rFonts w:hAnsi="宋体" w:cs="宋体"/>
          <w:szCs w:val="24"/>
        </w:rPr>
      </w:pPr>
      <w:r>
        <w:rPr>
          <w:rFonts w:hint="eastAsia" w:hAnsi="宋体" w:cs="宋体"/>
          <w:szCs w:val="24"/>
        </w:rPr>
        <w:t>8.3.1投标文件的大写金额和小写金额不一致的，以大写金额为准；</w:t>
      </w:r>
    </w:p>
    <w:p>
      <w:pPr>
        <w:spacing w:line="480" w:lineRule="exact"/>
        <w:ind w:firstLine="480" w:firstLineChars="200"/>
        <w:rPr>
          <w:rFonts w:hAnsi="宋体" w:cs="宋体"/>
          <w:szCs w:val="24"/>
        </w:rPr>
      </w:pPr>
      <w:r>
        <w:rPr>
          <w:rFonts w:hint="eastAsia" w:hAnsi="宋体" w:cs="宋体"/>
          <w:szCs w:val="24"/>
        </w:rPr>
        <w:t>8.3.</w:t>
      </w:r>
      <w:r>
        <w:rPr>
          <w:rFonts w:hint="eastAsia" w:hAnsi="宋体" w:cs="宋体"/>
          <w:szCs w:val="24"/>
          <w:lang w:val="en-US" w:eastAsia="zh-CN"/>
        </w:rPr>
        <w:t>2</w:t>
      </w:r>
      <w:r>
        <w:rPr>
          <w:rFonts w:hint="eastAsia" w:hAnsi="宋体" w:cs="宋体"/>
          <w:szCs w:val="24"/>
        </w:rPr>
        <w:t>总价金额与按单价汇总金额不一致的，以单价金额计算结果为准。</w:t>
      </w:r>
    </w:p>
    <w:p>
      <w:pPr>
        <w:widowControl/>
        <w:autoSpaceDE w:val="0"/>
        <w:autoSpaceDN w:val="0"/>
        <w:spacing w:line="480" w:lineRule="exact"/>
        <w:ind w:right="51" w:firstLine="482" w:firstLineChars="200"/>
        <w:textAlignment w:val="bottom"/>
        <w:rPr>
          <w:rFonts w:hAnsi="宋体" w:cs="宋体"/>
          <w:szCs w:val="24"/>
        </w:rPr>
      </w:pPr>
      <w:r>
        <w:rPr>
          <w:rFonts w:hint="eastAsia" w:hAnsi="宋体" w:cs="宋体"/>
          <w:b/>
        </w:rPr>
        <w:t>按上述修正的顺序和方法调整的投标报价应对供应商具有约束力。如果供应商不接受修正后的价格，其投标将按无效投标处理。</w:t>
      </w:r>
    </w:p>
    <w:p>
      <w:pPr>
        <w:spacing w:line="500" w:lineRule="exact"/>
        <w:outlineLvl w:val="1"/>
        <w:rPr>
          <w:rFonts w:hAnsi="宋体" w:cs="宋体"/>
          <w:b/>
          <w:spacing w:val="4"/>
          <w:szCs w:val="24"/>
        </w:rPr>
      </w:pPr>
      <w:bookmarkStart w:id="161" w:name="_Toc28281"/>
      <w:bookmarkStart w:id="162" w:name="_Toc3952"/>
      <w:r>
        <w:rPr>
          <w:rFonts w:hint="eastAsia" w:hAnsi="宋体" w:cs="宋体"/>
          <w:b/>
          <w:spacing w:val="4"/>
          <w:szCs w:val="24"/>
        </w:rPr>
        <w:t>九．定标</w:t>
      </w:r>
      <w:bookmarkEnd w:id="161"/>
      <w:bookmarkEnd w:id="162"/>
    </w:p>
    <w:p>
      <w:pPr>
        <w:spacing w:line="500" w:lineRule="exact"/>
        <w:ind w:firstLine="496" w:firstLineChars="200"/>
        <w:rPr>
          <w:rFonts w:hAnsi="宋体" w:cs="宋体"/>
          <w:spacing w:val="4"/>
          <w:szCs w:val="24"/>
        </w:rPr>
      </w:pPr>
      <w:r>
        <w:rPr>
          <w:rFonts w:hint="eastAsia" w:hAnsi="宋体" w:cs="宋体"/>
          <w:spacing w:val="4"/>
          <w:szCs w:val="24"/>
        </w:rPr>
        <w:t>9.1评标结果由全体</w:t>
      </w:r>
      <w:r>
        <w:rPr>
          <w:rFonts w:hint="eastAsia" w:hAnsi="宋体" w:cs="宋体"/>
          <w:szCs w:val="24"/>
        </w:rPr>
        <w:t>评标委员会成员</w:t>
      </w:r>
      <w:r>
        <w:rPr>
          <w:rFonts w:hint="eastAsia" w:hAnsi="宋体" w:cs="宋体"/>
          <w:spacing w:val="4"/>
          <w:szCs w:val="24"/>
        </w:rPr>
        <w:t>签字确认。</w:t>
      </w:r>
    </w:p>
    <w:p>
      <w:pPr>
        <w:spacing w:line="500" w:lineRule="exact"/>
        <w:ind w:firstLine="496" w:firstLineChars="200"/>
        <w:rPr>
          <w:rFonts w:hAnsi="宋体" w:cs="宋体"/>
          <w:spacing w:val="4"/>
          <w:szCs w:val="24"/>
        </w:rPr>
      </w:pPr>
      <w:r>
        <w:rPr>
          <w:rFonts w:hint="eastAsia" w:hAnsi="宋体" w:cs="宋体"/>
          <w:spacing w:val="4"/>
          <w:szCs w:val="24"/>
        </w:rPr>
        <w:t>9.2采购人根据评标报告中推荐的中标候选人排列顺序确定中标人，以复函通知采购代理机构。</w:t>
      </w:r>
    </w:p>
    <w:p>
      <w:pPr>
        <w:spacing w:line="600" w:lineRule="exact"/>
        <w:rPr>
          <w:rFonts w:hAnsi="宋体" w:cs="宋体"/>
          <w:szCs w:val="24"/>
        </w:rPr>
      </w:pPr>
    </w:p>
    <w:p>
      <w:pPr>
        <w:pStyle w:val="19"/>
        <w:rPr>
          <w:rFonts w:ascii="宋体" w:hAnsi="宋体" w:cs="宋体"/>
          <w:szCs w:val="24"/>
        </w:rPr>
      </w:pPr>
    </w:p>
    <w:p>
      <w:pPr>
        <w:pStyle w:val="19"/>
        <w:rPr>
          <w:rFonts w:ascii="宋体" w:hAnsi="宋体" w:cs="宋体"/>
          <w:szCs w:val="24"/>
        </w:rPr>
      </w:pPr>
      <w:r>
        <w:rPr>
          <w:rFonts w:hint="eastAsia" w:ascii="宋体" w:hAnsi="宋体" w:cs="宋体"/>
          <w:szCs w:val="24"/>
        </w:rPr>
        <w:br w:type="page"/>
      </w:r>
      <w:r>
        <w:rPr>
          <w:rFonts w:hint="eastAsia" w:ascii="宋体" w:hAnsi="宋体" w:cs="宋体"/>
          <w:b/>
          <w:bCs/>
          <w:sz w:val="24"/>
          <w:szCs w:val="24"/>
        </w:rPr>
        <w:t>附件1：</w:t>
      </w:r>
    </w:p>
    <w:p>
      <w:pPr>
        <w:spacing w:line="560" w:lineRule="exact"/>
        <w:jc w:val="center"/>
        <w:outlineLvl w:val="2"/>
        <w:rPr>
          <w:rFonts w:hint="eastAsia" w:hAnsi="宋体" w:eastAsia="宋体" w:cs="宋体"/>
          <w:b/>
          <w:szCs w:val="24"/>
          <w:lang w:eastAsia="zh-CN"/>
        </w:rPr>
      </w:pPr>
      <w:bookmarkStart w:id="163" w:name="_Toc973"/>
      <w:bookmarkStart w:id="164" w:name="_Toc25300"/>
      <w:r>
        <w:rPr>
          <w:rFonts w:hint="eastAsia" w:hAnsi="宋体" w:cs="宋体"/>
          <w:b/>
          <w:bCs/>
          <w:szCs w:val="24"/>
        </w:rPr>
        <w:t>初步审查要素表</w:t>
      </w:r>
      <w:bookmarkEnd w:id="163"/>
      <w:bookmarkEnd w:id="164"/>
      <w:r>
        <w:rPr>
          <w:rFonts w:hint="eastAsia" w:hAnsi="宋体" w:cs="宋体"/>
          <w:b/>
          <w:bCs/>
          <w:szCs w:val="24"/>
          <w:lang w:eastAsia="zh-CN"/>
        </w:rPr>
        <w:t>（适用于第一至第三包）</w:t>
      </w:r>
    </w:p>
    <w:tbl>
      <w:tblPr>
        <w:tblStyle w:val="46"/>
        <w:tblW w:w="9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439"/>
        <w:gridCol w:w="907"/>
        <w:gridCol w:w="1286"/>
        <w:gridCol w:w="6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203" w:type="dxa"/>
            <w:gridSpan w:val="2"/>
            <w:vAlign w:val="center"/>
          </w:tcPr>
          <w:p>
            <w:pPr>
              <w:tabs>
                <w:tab w:val="left" w:pos="0"/>
              </w:tabs>
              <w:adjustRightInd w:val="0"/>
              <w:snapToGrid w:val="0"/>
              <w:jc w:val="center"/>
              <w:rPr>
                <w:rFonts w:hAnsi="宋体" w:cs="宋体"/>
                <w:bCs/>
                <w:sz w:val="21"/>
                <w:szCs w:val="21"/>
              </w:rPr>
            </w:pPr>
            <w:r>
              <w:rPr>
                <w:rFonts w:hint="eastAsia" w:hAnsi="宋体" w:cs="宋体"/>
                <w:bCs/>
                <w:sz w:val="21"/>
                <w:szCs w:val="21"/>
              </w:rPr>
              <w:t>条款号</w:t>
            </w:r>
          </w:p>
        </w:tc>
        <w:tc>
          <w:tcPr>
            <w:tcW w:w="2193" w:type="dxa"/>
            <w:gridSpan w:val="2"/>
            <w:vAlign w:val="center"/>
          </w:tcPr>
          <w:p>
            <w:pPr>
              <w:tabs>
                <w:tab w:val="left" w:pos="0"/>
              </w:tabs>
              <w:adjustRightInd w:val="0"/>
              <w:snapToGrid w:val="0"/>
              <w:jc w:val="center"/>
              <w:rPr>
                <w:rFonts w:hAnsi="宋体" w:cs="宋体"/>
                <w:bCs/>
                <w:sz w:val="21"/>
                <w:szCs w:val="21"/>
              </w:rPr>
            </w:pPr>
            <w:r>
              <w:rPr>
                <w:rFonts w:hint="eastAsia" w:hAnsi="宋体" w:cs="宋体"/>
                <w:bCs/>
                <w:sz w:val="21"/>
                <w:szCs w:val="21"/>
              </w:rPr>
              <w:t>评审因素</w:t>
            </w:r>
          </w:p>
        </w:tc>
        <w:tc>
          <w:tcPr>
            <w:tcW w:w="6123" w:type="dxa"/>
            <w:vAlign w:val="center"/>
          </w:tcPr>
          <w:p>
            <w:pPr>
              <w:tabs>
                <w:tab w:val="left" w:pos="0"/>
              </w:tabs>
              <w:adjustRightInd w:val="0"/>
              <w:snapToGrid w:val="0"/>
              <w:jc w:val="center"/>
              <w:rPr>
                <w:rFonts w:hAnsi="宋体" w:cs="宋体"/>
                <w:bCs/>
                <w:sz w:val="21"/>
                <w:szCs w:val="21"/>
              </w:rPr>
            </w:pPr>
            <w:r>
              <w:rPr>
                <w:rFonts w:hint="eastAsia" w:hAnsi="宋体" w:cs="宋体"/>
                <w:bCs/>
                <w:sz w:val="21"/>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1" w:hRule="atLeast"/>
        </w:trPr>
        <w:tc>
          <w:tcPr>
            <w:tcW w:w="764" w:type="dxa"/>
            <w:vMerge w:val="restart"/>
            <w:vAlign w:val="center"/>
          </w:tcPr>
          <w:p>
            <w:pPr>
              <w:tabs>
                <w:tab w:val="left" w:pos="0"/>
              </w:tabs>
              <w:adjustRightInd w:val="0"/>
              <w:snapToGrid w:val="0"/>
              <w:jc w:val="center"/>
              <w:rPr>
                <w:rFonts w:hAnsi="宋体" w:cs="宋体"/>
                <w:bCs/>
                <w:sz w:val="21"/>
                <w:szCs w:val="21"/>
              </w:rPr>
            </w:pPr>
            <w:r>
              <w:rPr>
                <w:rFonts w:hint="eastAsia" w:hAnsi="宋体" w:cs="宋体"/>
                <w:bCs/>
                <w:sz w:val="21"/>
                <w:szCs w:val="21"/>
              </w:rPr>
              <w:t>2.1.1</w:t>
            </w:r>
          </w:p>
        </w:tc>
        <w:tc>
          <w:tcPr>
            <w:tcW w:w="439" w:type="dxa"/>
            <w:vMerge w:val="restart"/>
            <w:vAlign w:val="center"/>
          </w:tcPr>
          <w:p>
            <w:pPr>
              <w:tabs>
                <w:tab w:val="left" w:pos="0"/>
              </w:tabs>
              <w:adjustRightInd w:val="0"/>
              <w:snapToGrid w:val="0"/>
              <w:jc w:val="center"/>
              <w:rPr>
                <w:rFonts w:hAnsi="宋体" w:cs="宋体"/>
                <w:bCs/>
                <w:sz w:val="21"/>
                <w:szCs w:val="21"/>
              </w:rPr>
            </w:pPr>
            <w:r>
              <w:rPr>
                <w:rFonts w:hint="eastAsia" w:hAnsi="宋体" w:cs="宋体"/>
                <w:bCs/>
                <w:sz w:val="21"/>
                <w:szCs w:val="21"/>
              </w:rPr>
              <w:t>资格评审</w:t>
            </w:r>
          </w:p>
          <w:p>
            <w:pPr>
              <w:tabs>
                <w:tab w:val="left" w:pos="0"/>
              </w:tabs>
              <w:adjustRightInd w:val="0"/>
              <w:snapToGrid w:val="0"/>
              <w:jc w:val="center"/>
              <w:rPr>
                <w:rFonts w:hAnsi="宋体" w:cs="宋体"/>
                <w:bCs/>
                <w:sz w:val="21"/>
                <w:szCs w:val="21"/>
              </w:rPr>
            </w:pPr>
            <w:r>
              <w:rPr>
                <w:rFonts w:hint="eastAsia" w:hAnsi="宋体" w:cs="宋体"/>
                <w:bCs/>
                <w:sz w:val="21"/>
                <w:szCs w:val="21"/>
              </w:rPr>
              <w:t>标准</w:t>
            </w:r>
          </w:p>
        </w:tc>
        <w:tc>
          <w:tcPr>
            <w:tcW w:w="2193" w:type="dxa"/>
            <w:gridSpan w:val="2"/>
            <w:vAlign w:val="center"/>
          </w:tcPr>
          <w:p>
            <w:pPr>
              <w:tabs>
                <w:tab w:val="left" w:pos="0"/>
              </w:tabs>
              <w:adjustRightInd w:val="0"/>
              <w:snapToGrid w:val="0"/>
              <w:jc w:val="center"/>
              <w:rPr>
                <w:rFonts w:hAnsi="宋体" w:cs="宋体"/>
                <w:bCs/>
                <w:sz w:val="21"/>
                <w:szCs w:val="21"/>
              </w:rPr>
            </w:pPr>
            <w:r>
              <w:rPr>
                <w:rFonts w:hint="eastAsia" w:hAnsi="宋体" w:cs="宋体"/>
                <w:bCs/>
                <w:sz w:val="21"/>
                <w:szCs w:val="21"/>
              </w:rPr>
              <w:t>基本资格条件</w:t>
            </w:r>
          </w:p>
        </w:tc>
        <w:tc>
          <w:tcPr>
            <w:tcW w:w="6123" w:type="dxa"/>
            <w:vAlign w:val="center"/>
          </w:tcPr>
          <w:p>
            <w:pPr>
              <w:spacing w:line="360" w:lineRule="auto"/>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（1）提供合格有效的法人或者其他组织的营业执照等证明文件，自然人的身份证明；</w:t>
            </w:r>
          </w:p>
          <w:p>
            <w:pPr>
              <w:spacing w:line="360" w:lineRule="auto"/>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供应商是法人或其他组织的应提供营业执照等证明文件，供应商是自然人的应提供有效的自然人身份证明。</w:t>
            </w:r>
          </w:p>
          <w:p>
            <w:pPr>
              <w:spacing w:line="360" w:lineRule="auto"/>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（2）提供2021年或2</w:t>
            </w:r>
            <w:r>
              <w:rPr>
                <w:rFonts w:cs="宋体" w:asciiTheme="minorEastAsia" w:hAnsiTheme="minorEastAsia" w:eastAsiaTheme="minorEastAsia"/>
                <w:sz w:val="21"/>
                <w:szCs w:val="21"/>
              </w:rPr>
              <w:t>022</w:t>
            </w:r>
            <w:r>
              <w:rPr>
                <w:rFonts w:hint="eastAsia" w:cs="宋体" w:asciiTheme="minorEastAsia" w:hAnsiTheme="minorEastAsia" w:eastAsiaTheme="minorEastAsia"/>
                <w:sz w:val="21"/>
                <w:szCs w:val="21"/>
              </w:rPr>
              <w:t>年度经审计的完整财务报告（成立时间至提交投标文件截止时间不足一年的可提供成立后任意时段的资产负债表），或其基本存款账户开户银行出具的资信证明；</w:t>
            </w:r>
          </w:p>
          <w:p>
            <w:pPr>
              <w:spacing w:line="360" w:lineRule="auto"/>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 xml:space="preserve">（3）提供具有履行合同所必需的设备和专业技术能力的承诺； </w:t>
            </w:r>
          </w:p>
          <w:p>
            <w:pPr>
              <w:spacing w:line="360" w:lineRule="auto"/>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（4）提供投标截止日前一年内已缴纳的至少一个月的纳税证明或完税证明（增值税、印花税、城市维护建设费、企业所得税等一种或多种税种）；</w:t>
            </w:r>
          </w:p>
          <w:p>
            <w:pPr>
              <w:spacing w:line="360" w:lineRule="auto"/>
              <w:rPr>
                <w:rFonts w:hint="eastAsia" w:cs="宋体" w:asciiTheme="minorEastAsia" w:hAnsiTheme="minorEastAsia" w:eastAsiaTheme="minorEastAsia"/>
                <w:sz w:val="21"/>
                <w:szCs w:val="21"/>
              </w:rPr>
            </w:pPr>
            <w:r>
              <w:rPr>
                <w:rFonts w:hint="eastAsia" w:cs="宋体" w:asciiTheme="minorEastAsia" w:hAnsiTheme="minorEastAsia" w:eastAsiaTheme="minorEastAsia"/>
                <w:sz w:val="21"/>
                <w:szCs w:val="21"/>
              </w:rPr>
              <w:t>（5）提供投标截止日前一年内已缴存的至少一个月的社会保障资金缴存单据或社保机构开具的社会保险参保缴费情况证明，依法不需要缴纳社会保障资金的单位应提供相关证明材料；</w:t>
            </w:r>
          </w:p>
          <w:p>
            <w:pPr>
              <w:spacing w:line="360" w:lineRule="auto"/>
            </w:pPr>
            <w:r>
              <w:rPr>
                <w:rFonts w:hint="eastAsia" w:cs="宋体" w:asciiTheme="minorEastAsia" w:hAnsiTheme="minorEastAsia" w:eastAsiaTheme="minorEastAsia"/>
                <w:sz w:val="21"/>
                <w:szCs w:val="21"/>
              </w:rPr>
              <w:t>（6）参加政府采购活动前三年内，在经营活动中没有重大违法记录的书面声明。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764" w:type="dxa"/>
            <w:vMerge w:val="continue"/>
            <w:vAlign w:val="center"/>
          </w:tcPr>
          <w:p>
            <w:pPr>
              <w:tabs>
                <w:tab w:val="left" w:pos="0"/>
              </w:tabs>
              <w:adjustRightInd w:val="0"/>
              <w:snapToGrid w:val="0"/>
              <w:jc w:val="center"/>
              <w:rPr>
                <w:rFonts w:hAnsi="宋体" w:cs="宋体"/>
                <w:bCs/>
                <w:sz w:val="21"/>
                <w:szCs w:val="21"/>
              </w:rPr>
            </w:pPr>
          </w:p>
        </w:tc>
        <w:tc>
          <w:tcPr>
            <w:tcW w:w="439" w:type="dxa"/>
            <w:vMerge w:val="continue"/>
            <w:vAlign w:val="center"/>
          </w:tcPr>
          <w:p>
            <w:pPr>
              <w:tabs>
                <w:tab w:val="left" w:pos="0"/>
              </w:tabs>
              <w:adjustRightInd w:val="0"/>
              <w:snapToGrid w:val="0"/>
              <w:jc w:val="center"/>
              <w:rPr>
                <w:rFonts w:hAnsi="宋体" w:cs="宋体"/>
                <w:bCs/>
                <w:sz w:val="21"/>
                <w:szCs w:val="21"/>
              </w:rPr>
            </w:pPr>
          </w:p>
        </w:tc>
        <w:tc>
          <w:tcPr>
            <w:tcW w:w="2193" w:type="dxa"/>
            <w:gridSpan w:val="2"/>
            <w:vMerge w:val="restart"/>
            <w:vAlign w:val="center"/>
          </w:tcPr>
          <w:p>
            <w:pPr>
              <w:tabs>
                <w:tab w:val="left" w:pos="0"/>
              </w:tabs>
              <w:adjustRightInd w:val="0"/>
              <w:snapToGrid w:val="0"/>
              <w:jc w:val="center"/>
              <w:rPr>
                <w:rFonts w:hAnsi="宋体" w:cs="宋体"/>
                <w:bCs/>
                <w:sz w:val="21"/>
                <w:szCs w:val="21"/>
              </w:rPr>
            </w:pPr>
            <w:r>
              <w:rPr>
                <w:rFonts w:hint="eastAsia" w:hAnsi="宋体" w:cs="宋体"/>
                <w:bCs/>
                <w:sz w:val="21"/>
                <w:szCs w:val="21"/>
              </w:rPr>
              <w:t>特定资格条件</w:t>
            </w:r>
          </w:p>
          <w:p>
            <w:pPr>
              <w:tabs>
                <w:tab w:val="left" w:pos="0"/>
              </w:tabs>
              <w:adjustRightInd w:val="0"/>
              <w:snapToGrid w:val="0"/>
              <w:jc w:val="center"/>
              <w:rPr>
                <w:rFonts w:hAnsi="宋体" w:cs="宋体"/>
                <w:bCs/>
                <w:sz w:val="21"/>
                <w:szCs w:val="21"/>
              </w:rPr>
            </w:pPr>
          </w:p>
        </w:tc>
        <w:tc>
          <w:tcPr>
            <w:tcW w:w="6123" w:type="dxa"/>
            <w:vAlign w:val="center"/>
          </w:tcPr>
          <w:p>
            <w:pPr>
              <w:rPr>
                <w:rFonts w:hAnsi="宋体" w:cs="宋体"/>
                <w:bCs/>
                <w:sz w:val="21"/>
                <w:szCs w:val="21"/>
              </w:rPr>
            </w:pPr>
            <w:r>
              <w:rPr>
                <w:rFonts w:hint="eastAsia" w:cs="宋体" w:asciiTheme="minorEastAsia" w:hAnsiTheme="minorEastAsia" w:eastAsiaTheme="minorEastAsia"/>
                <w:sz w:val="21"/>
                <w:szCs w:val="21"/>
              </w:rPr>
              <w:t>1.</w:t>
            </w:r>
            <w:bookmarkStart w:id="323" w:name="_GoBack"/>
            <w:r>
              <w:rPr>
                <w:rFonts w:hint="eastAsia" w:cs="宋体" w:asciiTheme="minorEastAsia" w:hAnsiTheme="minorEastAsia" w:eastAsiaTheme="minorEastAsia"/>
                <w:sz w:val="21"/>
                <w:szCs w:val="21"/>
              </w:rPr>
              <w:t>法定代表人授权书（附法定代表人、被授权人身份证复印件）</w:t>
            </w:r>
            <w:r>
              <w:rPr>
                <w:rFonts w:hint="eastAsia" w:cs="宋体" w:asciiTheme="minorEastAsia" w:hAnsiTheme="minorEastAsia" w:eastAsiaTheme="minorEastAsia"/>
                <w:sz w:val="21"/>
                <w:szCs w:val="21"/>
                <w:lang w:eastAsia="zh-CN"/>
              </w:rPr>
              <w:t>，</w:t>
            </w:r>
            <w:r>
              <w:rPr>
                <w:rFonts w:hint="eastAsia" w:cs="宋体" w:asciiTheme="minorEastAsia" w:hAnsiTheme="minorEastAsia" w:eastAsiaTheme="minorEastAsia"/>
                <w:sz w:val="21"/>
                <w:szCs w:val="21"/>
              </w:rPr>
              <w:t>法定代表人直接参加投标，须提供法定代表人身份证明及身份证</w:t>
            </w:r>
            <w:r>
              <w:rPr>
                <w:rFonts w:hint="eastAsia" w:cs="宋体" w:asciiTheme="minorEastAsia" w:hAnsiTheme="minorEastAsia" w:eastAsiaTheme="minorEastAsia"/>
                <w:sz w:val="21"/>
                <w:szCs w:val="21"/>
                <w:lang w:eastAsia="zh-CN"/>
              </w:rPr>
              <w:t>复印件</w:t>
            </w:r>
            <w:r>
              <w:rPr>
                <w:rFonts w:hint="eastAsia" w:cs="宋体" w:asciiTheme="minorEastAsia" w:hAnsiTheme="minorEastAsia" w:eastAsiaTheme="minorEastAsia"/>
                <w:sz w:val="21"/>
                <w:szCs w:val="21"/>
              </w:rPr>
              <w:t>；</w:t>
            </w:r>
            <w:bookmarkEnd w:id="3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764" w:type="dxa"/>
            <w:vMerge w:val="continue"/>
            <w:vAlign w:val="center"/>
          </w:tcPr>
          <w:p>
            <w:pPr>
              <w:tabs>
                <w:tab w:val="left" w:pos="0"/>
              </w:tabs>
              <w:adjustRightInd w:val="0"/>
              <w:snapToGrid w:val="0"/>
              <w:jc w:val="center"/>
              <w:rPr>
                <w:rFonts w:hAnsi="宋体" w:cs="宋体"/>
                <w:bCs/>
                <w:sz w:val="21"/>
                <w:szCs w:val="21"/>
              </w:rPr>
            </w:pPr>
          </w:p>
        </w:tc>
        <w:tc>
          <w:tcPr>
            <w:tcW w:w="439" w:type="dxa"/>
            <w:vMerge w:val="continue"/>
            <w:vAlign w:val="center"/>
          </w:tcPr>
          <w:p>
            <w:pPr>
              <w:tabs>
                <w:tab w:val="left" w:pos="0"/>
              </w:tabs>
              <w:adjustRightInd w:val="0"/>
              <w:snapToGrid w:val="0"/>
              <w:jc w:val="center"/>
              <w:rPr>
                <w:rFonts w:hAnsi="宋体" w:cs="宋体"/>
                <w:bCs/>
                <w:sz w:val="21"/>
                <w:szCs w:val="21"/>
              </w:rPr>
            </w:pPr>
          </w:p>
        </w:tc>
        <w:tc>
          <w:tcPr>
            <w:tcW w:w="2193" w:type="dxa"/>
            <w:gridSpan w:val="2"/>
            <w:vMerge w:val="continue"/>
            <w:vAlign w:val="center"/>
          </w:tcPr>
          <w:p>
            <w:pPr>
              <w:tabs>
                <w:tab w:val="left" w:pos="0"/>
              </w:tabs>
              <w:adjustRightInd w:val="0"/>
              <w:snapToGrid w:val="0"/>
              <w:jc w:val="center"/>
              <w:rPr>
                <w:rFonts w:hAnsi="宋体" w:cs="宋体"/>
                <w:bCs/>
                <w:sz w:val="21"/>
                <w:szCs w:val="21"/>
              </w:rPr>
            </w:pPr>
          </w:p>
        </w:tc>
        <w:tc>
          <w:tcPr>
            <w:tcW w:w="6123" w:type="dxa"/>
            <w:vAlign w:val="center"/>
          </w:tcPr>
          <w:p>
            <w:pPr>
              <w:rPr>
                <w:sz w:val="21"/>
                <w:szCs w:val="21"/>
              </w:rPr>
            </w:pPr>
            <w:r>
              <w:rPr>
                <w:rFonts w:hint="eastAsia" w:cs="宋体" w:asciiTheme="minorEastAsia" w:hAnsiTheme="minorEastAsia" w:eastAsiaTheme="minorEastAsia"/>
                <w:sz w:val="21"/>
                <w:szCs w:val="21"/>
              </w:rPr>
              <w:t>2.</w:t>
            </w:r>
            <w:r>
              <w:rPr>
                <w:rFonts w:hint="eastAsia"/>
              </w:rPr>
              <w:t xml:space="preserve"> </w:t>
            </w:r>
            <w:r>
              <w:rPr>
                <w:rFonts w:hint="eastAsia" w:cs="宋体" w:asciiTheme="minorEastAsia" w:hAnsiTheme="minorEastAsia" w:eastAsiaTheme="minorEastAsia"/>
                <w:sz w:val="21"/>
                <w:szCs w:val="21"/>
              </w:rPr>
              <w:t>供应商不得为“信用中国”网站（www.creditchina.gov.cn）中列入失信被执行人（中国执行信息公开网http：//zxgk.court.gov.cn）和重大税收违法失信主体名单的供应商，不得为中国政府采购网（www.ccgp.gov.cn）政府采购严重违法失信行为记录名单中被财政部门禁止参加政府采购活动的供应商；（采购代理机构在开标现场查询相关信用记录，对列入失信被执行人、重大税收违法案件当事人名单、政府采购严重违法失信行为记录名单及其他不符合《中华人民共和国政府采购法》第二十二条规定条件的采购代理机构将拒绝其参与政府采购活动，查询结果以电子或纸质方式留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764" w:type="dxa"/>
            <w:vMerge w:val="continue"/>
            <w:vAlign w:val="center"/>
          </w:tcPr>
          <w:p>
            <w:pPr>
              <w:tabs>
                <w:tab w:val="left" w:pos="0"/>
              </w:tabs>
              <w:adjustRightInd w:val="0"/>
              <w:snapToGrid w:val="0"/>
              <w:jc w:val="center"/>
              <w:rPr>
                <w:rFonts w:hAnsi="宋体" w:cs="宋体"/>
                <w:bCs/>
                <w:sz w:val="21"/>
                <w:szCs w:val="21"/>
              </w:rPr>
            </w:pPr>
          </w:p>
        </w:tc>
        <w:tc>
          <w:tcPr>
            <w:tcW w:w="439" w:type="dxa"/>
            <w:vMerge w:val="continue"/>
            <w:vAlign w:val="center"/>
          </w:tcPr>
          <w:p>
            <w:pPr>
              <w:tabs>
                <w:tab w:val="left" w:pos="0"/>
              </w:tabs>
              <w:adjustRightInd w:val="0"/>
              <w:snapToGrid w:val="0"/>
              <w:jc w:val="center"/>
              <w:rPr>
                <w:rFonts w:hAnsi="宋体" w:cs="宋体"/>
                <w:bCs/>
                <w:sz w:val="21"/>
                <w:szCs w:val="21"/>
              </w:rPr>
            </w:pPr>
          </w:p>
        </w:tc>
        <w:tc>
          <w:tcPr>
            <w:tcW w:w="2193" w:type="dxa"/>
            <w:gridSpan w:val="2"/>
            <w:vMerge w:val="continue"/>
            <w:vAlign w:val="center"/>
          </w:tcPr>
          <w:p>
            <w:pPr>
              <w:tabs>
                <w:tab w:val="left" w:pos="0"/>
              </w:tabs>
              <w:adjustRightInd w:val="0"/>
              <w:snapToGrid w:val="0"/>
              <w:jc w:val="center"/>
              <w:rPr>
                <w:rFonts w:hAnsi="宋体" w:cs="宋体"/>
                <w:bCs/>
                <w:sz w:val="21"/>
                <w:szCs w:val="21"/>
              </w:rPr>
            </w:pPr>
          </w:p>
        </w:tc>
        <w:tc>
          <w:tcPr>
            <w:tcW w:w="6123" w:type="dxa"/>
            <w:vAlign w:val="center"/>
          </w:tcPr>
          <w:p>
            <w:pPr>
              <w:tabs>
                <w:tab w:val="left" w:pos="0"/>
              </w:tabs>
              <w:adjustRightInd w:val="0"/>
              <w:snapToGrid w:val="0"/>
              <w:jc w:val="left"/>
              <w:rPr>
                <w:rFonts w:hAnsi="宋体" w:cs="宋体"/>
                <w:bCs/>
                <w:sz w:val="21"/>
                <w:szCs w:val="21"/>
              </w:rPr>
            </w:pPr>
            <w:r>
              <w:rPr>
                <w:rFonts w:hint="eastAsia" w:hAnsi="宋体" w:cs="宋体"/>
                <w:sz w:val="21"/>
                <w:szCs w:val="21"/>
              </w:rPr>
              <w:t>3.</w:t>
            </w:r>
            <w:r>
              <w:rPr>
                <w:rFonts w:hint="eastAsia" w:hAnsi="宋体" w:cs="宋体"/>
                <w:bCs/>
                <w:sz w:val="21"/>
                <w:szCs w:val="21"/>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19" w:type="dxa"/>
            <w:gridSpan w:val="5"/>
            <w:vAlign w:val="center"/>
          </w:tcPr>
          <w:p>
            <w:pPr>
              <w:tabs>
                <w:tab w:val="left" w:pos="0"/>
              </w:tabs>
              <w:adjustRightInd w:val="0"/>
              <w:snapToGrid w:val="0"/>
              <w:jc w:val="left"/>
              <w:rPr>
                <w:sz w:val="21"/>
                <w:szCs w:val="21"/>
              </w:rPr>
            </w:pPr>
            <w:r>
              <w:rPr>
                <w:rFonts w:hint="eastAsia"/>
                <w:sz w:val="21"/>
                <w:szCs w:val="21"/>
              </w:rPr>
              <w:t>注：以上为必备资格条件，缺一项或某项达不到要求，按无效投标处理。资格审查时以投标文件中所附证明材料（信用中国和中国政府采购网信用记录可不提供，由代理机构查询并留存）为准，原件备查。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764" w:type="dxa"/>
            <w:vMerge w:val="restart"/>
            <w:vAlign w:val="center"/>
          </w:tcPr>
          <w:p>
            <w:pPr>
              <w:tabs>
                <w:tab w:val="left" w:pos="0"/>
              </w:tabs>
              <w:adjustRightInd w:val="0"/>
              <w:snapToGrid w:val="0"/>
              <w:spacing w:line="360" w:lineRule="auto"/>
              <w:rPr>
                <w:rFonts w:hAnsi="宋体" w:cs="宋体"/>
                <w:bCs/>
                <w:sz w:val="21"/>
                <w:szCs w:val="21"/>
              </w:rPr>
            </w:pPr>
            <w:r>
              <w:rPr>
                <w:rFonts w:hint="eastAsia" w:hAnsi="宋体" w:cs="宋体"/>
                <w:bCs/>
                <w:sz w:val="21"/>
                <w:szCs w:val="21"/>
              </w:rPr>
              <w:t>2.1.2</w:t>
            </w:r>
          </w:p>
        </w:tc>
        <w:tc>
          <w:tcPr>
            <w:tcW w:w="439" w:type="dxa"/>
            <w:vMerge w:val="restart"/>
            <w:vAlign w:val="center"/>
          </w:tcPr>
          <w:p>
            <w:pPr>
              <w:tabs>
                <w:tab w:val="left" w:pos="0"/>
              </w:tabs>
              <w:adjustRightInd w:val="0"/>
              <w:snapToGrid w:val="0"/>
              <w:jc w:val="center"/>
              <w:rPr>
                <w:rFonts w:hAnsi="宋体" w:cs="宋体"/>
                <w:bCs/>
                <w:sz w:val="21"/>
                <w:szCs w:val="21"/>
              </w:rPr>
            </w:pPr>
            <w:r>
              <w:rPr>
                <w:rFonts w:hint="eastAsia" w:hAnsi="宋体" w:cs="宋体"/>
                <w:bCs/>
                <w:sz w:val="21"/>
                <w:szCs w:val="21"/>
              </w:rPr>
              <w:t>符合性评审标准</w:t>
            </w:r>
          </w:p>
        </w:tc>
        <w:tc>
          <w:tcPr>
            <w:tcW w:w="907" w:type="dxa"/>
            <w:vMerge w:val="restart"/>
            <w:vAlign w:val="center"/>
          </w:tcPr>
          <w:p>
            <w:pPr>
              <w:tabs>
                <w:tab w:val="left" w:pos="0"/>
              </w:tabs>
              <w:adjustRightInd w:val="0"/>
              <w:snapToGrid w:val="0"/>
              <w:jc w:val="center"/>
              <w:rPr>
                <w:rFonts w:hAnsi="宋体" w:cs="宋体"/>
                <w:bCs/>
                <w:sz w:val="21"/>
                <w:szCs w:val="21"/>
              </w:rPr>
            </w:pPr>
            <w:r>
              <w:rPr>
                <w:rFonts w:hint="eastAsia" w:hAnsi="宋体" w:cs="宋体"/>
                <w:bCs/>
                <w:sz w:val="21"/>
                <w:szCs w:val="21"/>
              </w:rPr>
              <w:t>有效性审查</w:t>
            </w:r>
          </w:p>
        </w:tc>
        <w:tc>
          <w:tcPr>
            <w:tcW w:w="1286" w:type="dxa"/>
            <w:vAlign w:val="center"/>
          </w:tcPr>
          <w:p>
            <w:pPr>
              <w:tabs>
                <w:tab w:val="left" w:pos="0"/>
              </w:tabs>
              <w:adjustRightInd w:val="0"/>
              <w:snapToGrid w:val="0"/>
              <w:rPr>
                <w:rFonts w:hAnsi="宋体" w:cs="宋体"/>
                <w:bCs/>
                <w:sz w:val="21"/>
                <w:szCs w:val="21"/>
              </w:rPr>
            </w:pPr>
            <w:r>
              <w:rPr>
                <w:rFonts w:hint="eastAsia" w:hAnsi="宋体" w:cs="宋体"/>
                <w:bCs/>
                <w:sz w:val="21"/>
                <w:szCs w:val="21"/>
              </w:rPr>
              <w:t>投标文件的签署盖章</w:t>
            </w:r>
          </w:p>
        </w:tc>
        <w:tc>
          <w:tcPr>
            <w:tcW w:w="6123" w:type="dxa"/>
            <w:vAlign w:val="center"/>
          </w:tcPr>
          <w:p>
            <w:pPr>
              <w:tabs>
                <w:tab w:val="left" w:pos="0"/>
              </w:tabs>
              <w:adjustRightInd w:val="0"/>
              <w:snapToGrid w:val="0"/>
              <w:rPr>
                <w:rFonts w:hAnsi="宋体" w:cs="宋体"/>
                <w:bCs/>
                <w:sz w:val="21"/>
                <w:szCs w:val="21"/>
              </w:rPr>
            </w:pPr>
            <w:r>
              <w:rPr>
                <w:rFonts w:hint="eastAsia" w:hAnsi="宋体" w:cs="宋体"/>
                <w:bCs/>
                <w:sz w:val="21"/>
                <w:szCs w:val="21"/>
              </w:rPr>
              <w:t>投标文件上法定代表人或被授权人的签字齐全并加盖公章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tcPr>
          <w:p>
            <w:pPr>
              <w:tabs>
                <w:tab w:val="left" w:pos="0"/>
              </w:tabs>
              <w:adjustRightInd w:val="0"/>
              <w:snapToGrid w:val="0"/>
              <w:spacing w:line="360" w:lineRule="auto"/>
              <w:rPr>
                <w:rFonts w:hAnsi="宋体" w:cs="宋体"/>
                <w:bCs/>
                <w:sz w:val="21"/>
                <w:szCs w:val="21"/>
              </w:rPr>
            </w:pPr>
          </w:p>
        </w:tc>
        <w:tc>
          <w:tcPr>
            <w:tcW w:w="439" w:type="dxa"/>
            <w:vMerge w:val="continue"/>
          </w:tcPr>
          <w:p>
            <w:pPr>
              <w:tabs>
                <w:tab w:val="left" w:pos="0"/>
              </w:tabs>
              <w:adjustRightInd w:val="0"/>
              <w:snapToGrid w:val="0"/>
              <w:spacing w:line="360" w:lineRule="auto"/>
              <w:rPr>
                <w:rFonts w:hAnsi="宋体" w:cs="宋体"/>
                <w:bCs/>
                <w:sz w:val="21"/>
                <w:szCs w:val="21"/>
              </w:rPr>
            </w:pPr>
          </w:p>
        </w:tc>
        <w:tc>
          <w:tcPr>
            <w:tcW w:w="907" w:type="dxa"/>
            <w:vMerge w:val="continue"/>
          </w:tcPr>
          <w:p>
            <w:pPr>
              <w:tabs>
                <w:tab w:val="left" w:pos="0"/>
              </w:tabs>
              <w:adjustRightInd w:val="0"/>
              <w:snapToGrid w:val="0"/>
              <w:spacing w:line="360" w:lineRule="auto"/>
              <w:rPr>
                <w:rFonts w:hAnsi="宋体" w:cs="宋体"/>
                <w:bCs/>
                <w:sz w:val="21"/>
                <w:szCs w:val="21"/>
              </w:rPr>
            </w:pPr>
          </w:p>
        </w:tc>
        <w:tc>
          <w:tcPr>
            <w:tcW w:w="1286" w:type="dxa"/>
            <w:vAlign w:val="center"/>
          </w:tcPr>
          <w:p>
            <w:pPr>
              <w:tabs>
                <w:tab w:val="left" w:pos="0"/>
              </w:tabs>
              <w:adjustRightInd w:val="0"/>
              <w:snapToGrid w:val="0"/>
              <w:rPr>
                <w:rFonts w:hAnsi="宋体" w:cs="宋体"/>
                <w:bCs/>
                <w:sz w:val="21"/>
                <w:szCs w:val="21"/>
              </w:rPr>
            </w:pPr>
            <w:r>
              <w:rPr>
                <w:rFonts w:hint="eastAsia" w:hAnsi="宋体" w:cs="宋体"/>
                <w:bCs/>
                <w:sz w:val="21"/>
                <w:szCs w:val="21"/>
              </w:rPr>
              <w:t>投标文件格式</w:t>
            </w:r>
          </w:p>
        </w:tc>
        <w:tc>
          <w:tcPr>
            <w:tcW w:w="6123" w:type="dxa"/>
            <w:vAlign w:val="center"/>
          </w:tcPr>
          <w:p>
            <w:pPr>
              <w:tabs>
                <w:tab w:val="left" w:pos="0"/>
              </w:tabs>
              <w:adjustRightInd w:val="0"/>
              <w:snapToGrid w:val="0"/>
              <w:rPr>
                <w:rFonts w:hAnsi="宋体" w:cs="宋体"/>
                <w:bCs/>
                <w:sz w:val="21"/>
                <w:szCs w:val="21"/>
              </w:rPr>
            </w:pPr>
            <w:r>
              <w:rPr>
                <w:rFonts w:hint="eastAsia" w:hAnsi="宋体" w:cs="宋体"/>
                <w:bCs/>
                <w:sz w:val="21"/>
                <w:szCs w:val="21"/>
              </w:rPr>
              <w:t>应符合“投标文件格式”要求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tcPr>
          <w:p>
            <w:pPr>
              <w:tabs>
                <w:tab w:val="left" w:pos="0"/>
              </w:tabs>
              <w:adjustRightInd w:val="0"/>
              <w:snapToGrid w:val="0"/>
              <w:spacing w:line="360" w:lineRule="auto"/>
              <w:rPr>
                <w:rFonts w:hAnsi="宋体" w:cs="宋体"/>
                <w:bCs/>
                <w:sz w:val="21"/>
                <w:szCs w:val="21"/>
              </w:rPr>
            </w:pPr>
          </w:p>
        </w:tc>
        <w:tc>
          <w:tcPr>
            <w:tcW w:w="439" w:type="dxa"/>
            <w:vMerge w:val="continue"/>
          </w:tcPr>
          <w:p>
            <w:pPr>
              <w:tabs>
                <w:tab w:val="left" w:pos="0"/>
              </w:tabs>
              <w:adjustRightInd w:val="0"/>
              <w:snapToGrid w:val="0"/>
              <w:spacing w:line="360" w:lineRule="auto"/>
              <w:rPr>
                <w:rFonts w:hAnsi="宋体" w:cs="宋体"/>
                <w:bCs/>
                <w:sz w:val="21"/>
                <w:szCs w:val="21"/>
              </w:rPr>
            </w:pPr>
          </w:p>
        </w:tc>
        <w:tc>
          <w:tcPr>
            <w:tcW w:w="907" w:type="dxa"/>
            <w:vMerge w:val="continue"/>
          </w:tcPr>
          <w:p>
            <w:pPr>
              <w:tabs>
                <w:tab w:val="left" w:pos="0"/>
              </w:tabs>
              <w:adjustRightInd w:val="0"/>
              <w:snapToGrid w:val="0"/>
              <w:spacing w:line="360" w:lineRule="auto"/>
              <w:rPr>
                <w:rFonts w:hAnsi="宋体" w:cs="宋体"/>
                <w:bCs/>
                <w:sz w:val="21"/>
                <w:szCs w:val="21"/>
              </w:rPr>
            </w:pPr>
          </w:p>
        </w:tc>
        <w:tc>
          <w:tcPr>
            <w:tcW w:w="1286" w:type="dxa"/>
            <w:vAlign w:val="center"/>
          </w:tcPr>
          <w:p>
            <w:pPr>
              <w:tabs>
                <w:tab w:val="left" w:pos="0"/>
              </w:tabs>
              <w:adjustRightInd w:val="0"/>
              <w:snapToGrid w:val="0"/>
              <w:jc w:val="center"/>
              <w:rPr>
                <w:rFonts w:hAnsi="宋体" w:cs="宋体"/>
                <w:bCs/>
                <w:sz w:val="21"/>
                <w:szCs w:val="21"/>
              </w:rPr>
            </w:pPr>
            <w:r>
              <w:rPr>
                <w:rFonts w:hint="eastAsia" w:hAnsi="宋体" w:cs="宋体"/>
                <w:bCs/>
                <w:sz w:val="21"/>
                <w:szCs w:val="21"/>
              </w:rPr>
              <w:t>报价唯一</w:t>
            </w:r>
          </w:p>
        </w:tc>
        <w:tc>
          <w:tcPr>
            <w:tcW w:w="6123" w:type="dxa"/>
            <w:vAlign w:val="center"/>
          </w:tcPr>
          <w:p>
            <w:pPr>
              <w:tabs>
                <w:tab w:val="left" w:pos="0"/>
              </w:tabs>
              <w:adjustRightInd w:val="0"/>
              <w:snapToGrid w:val="0"/>
              <w:rPr>
                <w:rFonts w:hAnsi="宋体" w:cs="宋体"/>
                <w:bCs/>
                <w:sz w:val="21"/>
                <w:szCs w:val="21"/>
              </w:rPr>
            </w:pPr>
            <w:r>
              <w:rPr>
                <w:rFonts w:hint="eastAsia" w:hAnsi="宋体" w:cs="宋体"/>
                <w:bCs/>
                <w:sz w:val="21"/>
                <w:szCs w:val="21"/>
              </w:rPr>
              <w:t>只能有一个有效报价，不得提交选择性报价，且报价不超过采购预算金额或最高限价。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tcPr>
          <w:p>
            <w:pPr>
              <w:tabs>
                <w:tab w:val="left" w:pos="0"/>
              </w:tabs>
              <w:adjustRightInd w:val="0"/>
              <w:snapToGrid w:val="0"/>
              <w:spacing w:line="360" w:lineRule="auto"/>
              <w:rPr>
                <w:rFonts w:hAnsi="宋体" w:cs="宋体"/>
                <w:bCs/>
                <w:sz w:val="21"/>
                <w:szCs w:val="21"/>
              </w:rPr>
            </w:pPr>
          </w:p>
        </w:tc>
        <w:tc>
          <w:tcPr>
            <w:tcW w:w="439" w:type="dxa"/>
            <w:vMerge w:val="continue"/>
          </w:tcPr>
          <w:p>
            <w:pPr>
              <w:tabs>
                <w:tab w:val="left" w:pos="0"/>
              </w:tabs>
              <w:adjustRightInd w:val="0"/>
              <w:snapToGrid w:val="0"/>
              <w:spacing w:line="360" w:lineRule="auto"/>
              <w:rPr>
                <w:rFonts w:hAnsi="宋体" w:cs="宋体"/>
                <w:bCs/>
                <w:sz w:val="21"/>
                <w:szCs w:val="21"/>
              </w:rPr>
            </w:pPr>
          </w:p>
        </w:tc>
        <w:tc>
          <w:tcPr>
            <w:tcW w:w="907" w:type="dxa"/>
            <w:vMerge w:val="continue"/>
          </w:tcPr>
          <w:p>
            <w:pPr>
              <w:tabs>
                <w:tab w:val="left" w:pos="0"/>
              </w:tabs>
              <w:adjustRightInd w:val="0"/>
              <w:snapToGrid w:val="0"/>
              <w:spacing w:line="360" w:lineRule="auto"/>
              <w:rPr>
                <w:rFonts w:hAnsi="宋体" w:cs="宋体"/>
                <w:bCs/>
                <w:sz w:val="21"/>
                <w:szCs w:val="21"/>
              </w:rPr>
            </w:pPr>
          </w:p>
        </w:tc>
        <w:tc>
          <w:tcPr>
            <w:tcW w:w="1286" w:type="dxa"/>
            <w:vAlign w:val="center"/>
          </w:tcPr>
          <w:p>
            <w:pPr>
              <w:tabs>
                <w:tab w:val="left" w:pos="0"/>
              </w:tabs>
              <w:adjustRightInd w:val="0"/>
              <w:snapToGrid w:val="0"/>
              <w:jc w:val="center"/>
              <w:rPr>
                <w:rFonts w:hAnsi="宋体" w:cs="宋体"/>
                <w:bCs/>
                <w:sz w:val="21"/>
                <w:szCs w:val="21"/>
              </w:rPr>
            </w:pPr>
            <w:r>
              <w:rPr>
                <w:rFonts w:hint="eastAsia" w:hAnsi="宋体" w:cs="宋体"/>
                <w:bCs/>
                <w:sz w:val="21"/>
                <w:szCs w:val="21"/>
              </w:rPr>
              <w:t>投标文件内容</w:t>
            </w:r>
          </w:p>
        </w:tc>
        <w:tc>
          <w:tcPr>
            <w:tcW w:w="6123" w:type="dxa"/>
            <w:vAlign w:val="center"/>
          </w:tcPr>
          <w:p>
            <w:pPr>
              <w:tabs>
                <w:tab w:val="left" w:pos="0"/>
              </w:tabs>
              <w:adjustRightInd w:val="0"/>
              <w:snapToGrid w:val="0"/>
              <w:rPr>
                <w:rFonts w:hAnsi="宋体" w:cs="宋体"/>
                <w:bCs/>
                <w:sz w:val="21"/>
                <w:szCs w:val="21"/>
              </w:rPr>
            </w:pPr>
            <w:r>
              <w:rPr>
                <w:rFonts w:hint="eastAsia" w:hAnsi="宋体" w:cs="宋体"/>
                <w:bCs/>
                <w:sz w:val="21"/>
                <w:szCs w:val="21"/>
              </w:rPr>
              <w:t>投标文件内容齐全、无遗漏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vAlign w:val="center"/>
          </w:tcPr>
          <w:p>
            <w:pPr>
              <w:tabs>
                <w:tab w:val="left" w:pos="0"/>
              </w:tabs>
              <w:adjustRightInd w:val="0"/>
              <w:snapToGrid w:val="0"/>
              <w:spacing w:line="360" w:lineRule="auto"/>
              <w:jc w:val="center"/>
              <w:rPr>
                <w:rFonts w:hAnsi="宋体" w:cs="宋体"/>
                <w:bCs/>
                <w:sz w:val="21"/>
                <w:szCs w:val="21"/>
              </w:rPr>
            </w:pPr>
          </w:p>
        </w:tc>
        <w:tc>
          <w:tcPr>
            <w:tcW w:w="439" w:type="dxa"/>
            <w:vMerge w:val="continue"/>
            <w:vAlign w:val="center"/>
          </w:tcPr>
          <w:p>
            <w:pPr>
              <w:tabs>
                <w:tab w:val="left" w:pos="0"/>
              </w:tabs>
              <w:adjustRightInd w:val="0"/>
              <w:snapToGrid w:val="0"/>
              <w:jc w:val="center"/>
              <w:rPr>
                <w:rFonts w:hAnsi="宋体" w:cs="宋体"/>
                <w:bCs/>
                <w:sz w:val="21"/>
                <w:szCs w:val="21"/>
              </w:rPr>
            </w:pPr>
          </w:p>
        </w:tc>
        <w:tc>
          <w:tcPr>
            <w:tcW w:w="907" w:type="dxa"/>
            <w:vMerge w:val="restart"/>
            <w:vAlign w:val="center"/>
          </w:tcPr>
          <w:p>
            <w:pPr>
              <w:tabs>
                <w:tab w:val="left" w:pos="0"/>
              </w:tabs>
              <w:adjustRightInd w:val="0"/>
              <w:snapToGrid w:val="0"/>
              <w:jc w:val="center"/>
              <w:rPr>
                <w:rFonts w:hAnsi="宋体" w:cs="宋体"/>
                <w:bCs/>
                <w:sz w:val="21"/>
                <w:szCs w:val="21"/>
              </w:rPr>
            </w:pPr>
            <w:r>
              <w:rPr>
                <w:rFonts w:hint="eastAsia" w:hAnsi="宋体" w:cs="宋体"/>
                <w:bCs/>
                <w:sz w:val="21"/>
                <w:szCs w:val="21"/>
              </w:rPr>
              <w:t>响应性审查</w:t>
            </w:r>
          </w:p>
        </w:tc>
        <w:tc>
          <w:tcPr>
            <w:tcW w:w="1286" w:type="dxa"/>
            <w:vAlign w:val="center"/>
          </w:tcPr>
          <w:p>
            <w:pPr>
              <w:tabs>
                <w:tab w:val="left" w:pos="0"/>
              </w:tabs>
              <w:adjustRightInd w:val="0"/>
              <w:snapToGrid w:val="0"/>
              <w:jc w:val="center"/>
              <w:rPr>
                <w:rFonts w:hAnsi="宋体" w:cs="宋体"/>
                <w:bCs/>
                <w:sz w:val="21"/>
                <w:szCs w:val="21"/>
              </w:rPr>
            </w:pPr>
            <w:r>
              <w:rPr>
                <w:rFonts w:hint="eastAsia" w:hAnsi="宋体" w:cs="宋体"/>
                <w:bCs/>
                <w:sz w:val="21"/>
                <w:szCs w:val="21"/>
              </w:rPr>
              <w:t>对招标文件响应程度</w:t>
            </w:r>
          </w:p>
        </w:tc>
        <w:tc>
          <w:tcPr>
            <w:tcW w:w="6123" w:type="dxa"/>
            <w:vAlign w:val="center"/>
          </w:tcPr>
          <w:p>
            <w:pPr>
              <w:tabs>
                <w:tab w:val="left" w:pos="0"/>
              </w:tabs>
              <w:adjustRightInd w:val="0"/>
              <w:snapToGrid w:val="0"/>
              <w:rPr>
                <w:rFonts w:hAnsi="宋体" w:cs="宋体"/>
                <w:bCs/>
                <w:sz w:val="21"/>
                <w:szCs w:val="21"/>
              </w:rPr>
            </w:pPr>
            <w:r>
              <w:rPr>
                <w:rFonts w:hint="eastAsia" w:hAnsi="宋体" w:cs="宋体"/>
                <w:bCs/>
                <w:sz w:val="21"/>
                <w:szCs w:val="21"/>
              </w:rPr>
              <w:t>要求实质性条款全部响应，不能有采购人不能接受的附加条件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tcPr>
          <w:p>
            <w:pPr>
              <w:tabs>
                <w:tab w:val="left" w:pos="0"/>
              </w:tabs>
              <w:adjustRightInd w:val="0"/>
              <w:snapToGrid w:val="0"/>
              <w:spacing w:line="360" w:lineRule="auto"/>
              <w:rPr>
                <w:rFonts w:hAnsi="宋体" w:cs="宋体"/>
                <w:bCs/>
                <w:sz w:val="21"/>
                <w:szCs w:val="21"/>
              </w:rPr>
            </w:pPr>
          </w:p>
        </w:tc>
        <w:tc>
          <w:tcPr>
            <w:tcW w:w="439" w:type="dxa"/>
            <w:vMerge w:val="continue"/>
          </w:tcPr>
          <w:p>
            <w:pPr>
              <w:tabs>
                <w:tab w:val="left" w:pos="0"/>
              </w:tabs>
              <w:adjustRightInd w:val="0"/>
              <w:snapToGrid w:val="0"/>
              <w:spacing w:line="360" w:lineRule="auto"/>
              <w:rPr>
                <w:rFonts w:hAnsi="宋体" w:cs="宋体"/>
                <w:bCs/>
                <w:sz w:val="21"/>
                <w:szCs w:val="21"/>
              </w:rPr>
            </w:pPr>
          </w:p>
        </w:tc>
        <w:tc>
          <w:tcPr>
            <w:tcW w:w="907" w:type="dxa"/>
            <w:vMerge w:val="continue"/>
          </w:tcPr>
          <w:p>
            <w:pPr>
              <w:tabs>
                <w:tab w:val="left" w:pos="0"/>
              </w:tabs>
              <w:adjustRightInd w:val="0"/>
              <w:snapToGrid w:val="0"/>
              <w:spacing w:line="360" w:lineRule="auto"/>
              <w:rPr>
                <w:rFonts w:hAnsi="宋体" w:cs="宋体"/>
                <w:bCs/>
                <w:sz w:val="21"/>
                <w:szCs w:val="21"/>
              </w:rPr>
            </w:pPr>
          </w:p>
        </w:tc>
        <w:tc>
          <w:tcPr>
            <w:tcW w:w="1286" w:type="dxa"/>
            <w:vAlign w:val="center"/>
          </w:tcPr>
          <w:p>
            <w:pPr>
              <w:tabs>
                <w:tab w:val="left" w:pos="0"/>
              </w:tabs>
              <w:adjustRightInd w:val="0"/>
              <w:snapToGrid w:val="0"/>
              <w:jc w:val="center"/>
              <w:rPr>
                <w:rFonts w:hAnsi="宋体" w:cs="宋体"/>
                <w:bCs/>
                <w:sz w:val="21"/>
                <w:szCs w:val="21"/>
              </w:rPr>
            </w:pPr>
            <w:r>
              <w:rPr>
                <w:rFonts w:hint="eastAsia" w:hAnsi="宋体" w:cs="宋体"/>
                <w:bCs/>
                <w:sz w:val="21"/>
                <w:szCs w:val="21"/>
              </w:rPr>
              <w:t>交货期</w:t>
            </w:r>
          </w:p>
        </w:tc>
        <w:tc>
          <w:tcPr>
            <w:tcW w:w="6123" w:type="dxa"/>
            <w:vAlign w:val="center"/>
          </w:tcPr>
          <w:p>
            <w:pPr>
              <w:tabs>
                <w:tab w:val="left" w:pos="0"/>
              </w:tabs>
              <w:adjustRightInd w:val="0"/>
              <w:snapToGrid w:val="0"/>
              <w:rPr>
                <w:rFonts w:hAnsi="宋体" w:cs="宋体"/>
                <w:bCs/>
                <w:sz w:val="21"/>
                <w:szCs w:val="21"/>
              </w:rPr>
            </w:pPr>
            <w:r>
              <w:rPr>
                <w:rFonts w:hint="eastAsia" w:hAnsi="宋体" w:cs="宋体"/>
                <w:bCs/>
                <w:sz w:val="21"/>
                <w:szCs w:val="21"/>
              </w:rPr>
              <w:t>应满足招标文件中要求的交货期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4" w:type="dxa"/>
            <w:vMerge w:val="continue"/>
          </w:tcPr>
          <w:p>
            <w:pPr>
              <w:tabs>
                <w:tab w:val="left" w:pos="0"/>
              </w:tabs>
              <w:adjustRightInd w:val="0"/>
              <w:snapToGrid w:val="0"/>
              <w:spacing w:line="360" w:lineRule="auto"/>
              <w:rPr>
                <w:rFonts w:hAnsi="宋体" w:cs="宋体"/>
                <w:bCs/>
                <w:sz w:val="21"/>
                <w:szCs w:val="21"/>
              </w:rPr>
            </w:pPr>
          </w:p>
        </w:tc>
        <w:tc>
          <w:tcPr>
            <w:tcW w:w="439" w:type="dxa"/>
            <w:vMerge w:val="continue"/>
          </w:tcPr>
          <w:p>
            <w:pPr>
              <w:tabs>
                <w:tab w:val="left" w:pos="0"/>
              </w:tabs>
              <w:adjustRightInd w:val="0"/>
              <w:snapToGrid w:val="0"/>
              <w:spacing w:line="360" w:lineRule="auto"/>
              <w:rPr>
                <w:rFonts w:hAnsi="宋体" w:cs="宋体"/>
                <w:bCs/>
                <w:sz w:val="21"/>
                <w:szCs w:val="21"/>
              </w:rPr>
            </w:pPr>
          </w:p>
        </w:tc>
        <w:tc>
          <w:tcPr>
            <w:tcW w:w="907" w:type="dxa"/>
            <w:vMerge w:val="continue"/>
          </w:tcPr>
          <w:p>
            <w:pPr>
              <w:tabs>
                <w:tab w:val="left" w:pos="0"/>
              </w:tabs>
              <w:adjustRightInd w:val="0"/>
              <w:snapToGrid w:val="0"/>
              <w:spacing w:line="360" w:lineRule="auto"/>
              <w:rPr>
                <w:rFonts w:hAnsi="宋体" w:cs="宋体"/>
                <w:bCs/>
                <w:sz w:val="21"/>
                <w:szCs w:val="21"/>
              </w:rPr>
            </w:pPr>
          </w:p>
        </w:tc>
        <w:tc>
          <w:tcPr>
            <w:tcW w:w="1286" w:type="dxa"/>
            <w:vAlign w:val="center"/>
          </w:tcPr>
          <w:p>
            <w:pPr>
              <w:tabs>
                <w:tab w:val="left" w:pos="0"/>
              </w:tabs>
              <w:adjustRightInd w:val="0"/>
              <w:snapToGrid w:val="0"/>
              <w:jc w:val="center"/>
              <w:rPr>
                <w:rFonts w:hAnsi="宋体" w:cs="宋体"/>
                <w:bCs/>
                <w:sz w:val="21"/>
                <w:szCs w:val="21"/>
              </w:rPr>
            </w:pPr>
            <w:r>
              <w:rPr>
                <w:rFonts w:hint="eastAsia" w:hAnsi="宋体" w:cs="宋体"/>
                <w:bCs/>
                <w:sz w:val="21"/>
                <w:szCs w:val="21"/>
              </w:rPr>
              <w:t>投标有效期</w:t>
            </w:r>
          </w:p>
        </w:tc>
        <w:tc>
          <w:tcPr>
            <w:tcW w:w="6123" w:type="dxa"/>
            <w:vAlign w:val="center"/>
          </w:tcPr>
          <w:p>
            <w:pPr>
              <w:tabs>
                <w:tab w:val="left" w:pos="0"/>
              </w:tabs>
              <w:adjustRightInd w:val="0"/>
              <w:snapToGrid w:val="0"/>
              <w:rPr>
                <w:rFonts w:hAnsi="宋体" w:cs="宋体"/>
                <w:bCs/>
                <w:sz w:val="21"/>
                <w:szCs w:val="21"/>
              </w:rPr>
            </w:pPr>
            <w:r>
              <w:rPr>
                <w:rFonts w:hint="eastAsia" w:hAnsi="宋体" w:cs="宋体"/>
                <w:bCs/>
                <w:sz w:val="21"/>
                <w:szCs w:val="21"/>
              </w:rPr>
              <w:t>应满足招标文件中的规定</w:t>
            </w:r>
          </w:p>
        </w:tc>
      </w:tr>
    </w:tbl>
    <w:p>
      <w:pPr>
        <w:pStyle w:val="19"/>
        <w:jc w:val="center"/>
        <w:rPr>
          <w:rFonts w:ascii="宋体" w:hAnsi="宋体" w:cs="宋体"/>
          <w:b/>
          <w:bCs/>
          <w:sz w:val="24"/>
          <w:szCs w:val="24"/>
        </w:rPr>
      </w:pP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spacing w:line="560" w:lineRule="exact"/>
        <w:rPr>
          <w:rFonts w:hAnsi="宋体" w:cs="宋体"/>
          <w:b/>
          <w:sz w:val="28"/>
          <w:szCs w:val="28"/>
        </w:rPr>
      </w:pPr>
      <w:r>
        <w:rPr>
          <w:rFonts w:hint="eastAsia" w:hAnsi="宋体" w:cs="宋体"/>
          <w:b/>
          <w:szCs w:val="24"/>
        </w:rPr>
        <w:t>附件2：</w:t>
      </w:r>
    </w:p>
    <w:p>
      <w:pPr>
        <w:spacing w:line="560" w:lineRule="exact"/>
        <w:jc w:val="center"/>
        <w:outlineLvl w:val="2"/>
        <w:rPr>
          <w:rFonts w:hint="eastAsia" w:hAnsi="宋体" w:eastAsia="宋体" w:cs="宋体"/>
          <w:b/>
          <w:szCs w:val="24"/>
          <w:lang w:eastAsia="zh-CN"/>
        </w:rPr>
      </w:pPr>
      <w:bookmarkStart w:id="165" w:name="_Toc13424"/>
      <w:r>
        <w:rPr>
          <w:rFonts w:hint="eastAsia" w:hAnsi="宋体" w:cs="宋体"/>
          <w:b/>
          <w:szCs w:val="24"/>
        </w:rPr>
        <w:t>评标因素及权重分值表</w:t>
      </w:r>
      <w:bookmarkEnd w:id="165"/>
      <w:r>
        <w:rPr>
          <w:rFonts w:hint="eastAsia" w:hAnsi="宋体" w:cs="宋体"/>
          <w:b/>
          <w:szCs w:val="24"/>
          <w:lang w:eastAsia="zh-CN"/>
        </w:rPr>
        <w:t>（适用于第一至第三包）</w:t>
      </w:r>
    </w:p>
    <w:tbl>
      <w:tblPr>
        <w:tblStyle w:val="46"/>
        <w:tblW w:w="98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827"/>
        <w:gridCol w:w="636"/>
        <w:gridCol w:w="6105"/>
        <w:gridCol w:w="736"/>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blHeader/>
          <w:jc w:val="center"/>
        </w:trPr>
        <w:tc>
          <w:tcPr>
            <w:tcW w:w="699" w:type="dxa"/>
            <w:vAlign w:val="center"/>
          </w:tcPr>
          <w:p>
            <w:pPr>
              <w:pStyle w:val="27"/>
              <w:jc w:val="center"/>
              <w:rPr>
                <w:rFonts w:ascii="宋体" w:hAnsi="宋体" w:cs="宋体"/>
                <w:b/>
                <w:bCs/>
                <w:kern w:val="0"/>
                <w:sz w:val="24"/>
                <w:szCs w:val="24"/>
              </w:rPr>
            </w:pPr>
            <w:r>
              <w:rPr>
                <w:rFonts w:hint="eastAsia" w:ascii="宋体" w:hAnsi="宋体" w:cs="宋体"/>
                <w:b/>
                <w:bCs/>
                <w:kern w:val="0"/>
                <w:sz w:val="24"/>
                <w:szCs w:val="24"/>
              </w:rPr>
              <w:t>类别</w:t>
            </w:r>
          </w:p>
        </w:tc>
        <w:tc>
          <w:tcPr>
            <w:tcW w:w="827" w:type="dxa"/>
            <w:vAlign w:val="center"/>
          </w:tcPr>
          <w:p>
            <w:pPr>
              <w:jc w:val="center"/>
              <w:rPr>
                <w:rFonts w:hAnsi="宋体" w:cs="宋体"/>
                <w:b/>
                <w:bCs/>
                <w:szCs w:val="24"/>
              </w:rPr>
            </w:pPr>
            <w:r>
              <w:rPr>
                <w:rFonts w:hint="eastAsia" w:hAnsi="宋体" w:cs="宋体"/>
                <w:b/>
                <w:bCs/>
                <w:szCs w:val="24"/>
              </w:rPr>
              <w:t>总分</w:t>
            </w:r>
          </w:p>
        </w:tc>
        <w:tc>
          <w:tcPr>
            <w:tcW w:w="6741" w:type="dxa"/>
            <w:gridSpan w:val="2"/>
            <w:vAlign w:val="center"/>
          </w:tcPr>
          <w:p>
            <w:pPr>
              <w:jc w:val="center"/>
              <w:rPr>
                <w:rFonts w:hAnsi="宋体" w:cs="宋体"/>
                <w:b/>
                <w:bCs/>
                <w:szCs w:val="24"/>
              </w:rPr>
            </w:pPr>
            <w:r>
              <w:rPr>
                <w:rFonts w:hint="eastAsia" w:hAnsi="宋体" w:cs="宋体"/>
                <w:b/>
                <w:bCs/>
                <w:szCs w:val="24"/>
              </w:rPr>
              <w:t>评标因素</w:t>
            </w:r>
          </w:p>
        </w:tc>
        <w:tc>
          <w:tcPr>
            <w:tcW w:w="736" w:type="dxa"/>
            <w:vAlign w:val="center"/>
          </w:tcPr>
          <w:p>
            <w:pPr>
              <w:jc w:val="center"/>
              <w:rPr>
                <w:rFonts w:hAnsi="宋体" w:cs="宋体"/>
                <w:b/>
                <w:bCs/>
                <w:szCs w:val="24"/>
              </w:rPr>
            </w:pPr>
            <w:r>
              <w:rPr>
                <w:rFonts w:hint="eastAsia" w:hAnsi="宋体" w:cs="宋体"/>
                <w:b/>
                <w:bCs/>
                <w:szCs w:val="24"/>
              </w:rPr>
              <w:t>最高</w:t>
            </w:r>
          </w:p>
          <w:p>
            <w:pPr>
              <w:jc w:val="center"/>
              <w:rPr>
                <w:rFonts w:hAnsi="宋体" w:cs="宋体"/>
                <w:b/>
                <w:bCs/>
                <w:szCs w:val="24"/>
              </w:rPr>
            </w:pPr>
            <w:r>
              <w:rPr>
                <w:rFonts w:hint="eastAsia" w:hAnsi="宋体" w:cs="宋体"/>
                <w:b/>
                <w:bCs/>
                <w:szCs w:val="24"/>
              </w:rPr>
              <w:t>得分</w:t>
            </w:r>
          </w:p>
        </w:tc>
        <w:tc>
          <w:tcPr>
            <w:tcW w:w="808" w:type="dxa"/>
            <w:vAlign w:val="center"/>
          </w:tcPr>
          <w:p>
            <w:pPr>
              <w:widowControl/>
              <w:jc w:val="center"/>
              <w:rPr>
                <w:rFonts w:hAnsi="宋体" w:cs="宋体"/>
                <w:b/>
                <w:bCs/>
                <w:szCs w:val="24"/>
              </w:rPr>
            </w:pPr>
            <w:r>
              <w:rPr>
                <w:rFonts w:hint="eastAsia" w:hAnsi="宋体" w:cs="宋体"/>
                <w:b/>
                <w:bCs/>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699" w:type="dxa"/>
            <w:vAlign w:val="center"/>
          </w:tcPr>
          <w:p>
            <w:pPr>
              <w:jc w:val="center"/>
              <w:rPr>
                <w:rFonts w:hAnsi="宋体" w:cs="宋体"/>
                <w:b/>
                <w:szCs w:val="24"/>
              </w:rPr>
            </w:pPr>
            <w:r>
              <w:rPr>
                <w:rFonts w:hint="eastAsia" w:hAnsi="宋体" w:cs="宋体"/>
                <w:b/>
                <w:szCs w:val="24"/>
              </w:rPr>
              <w:t>投标价格</w:t>
            </w:r>
          </w:p>
        </w:tc>
        <w:tc>
          <w:tcPr>
            <w:tcW w:w="827" w:type="dxa"/>
            <w:vAlign w:val="center"/>
          </w:tcPr>
          <w:p>
            <w:pPr>
              <w:spacing w:line="560" w:lineRule="exact"/>
              <w:rPr>
                <w:rFonts w:hAnsi="宋体" w:cs="宋体"/>
                <w:b/>
                <w:szCs w:val="24"/>
              </w:rPr>
            </w:pPr>
            <w:r>
              <w:rPr>
                <w:rFonts w:hint="eastAsia" w:hAnsi="宋体" w:cs="宋体"/>
                <w:b/>
                <w:szCs w:val="24"/>
              </w:rPr>
              <w:t>30分</w:t>
            </w:r>
          </w:p>
        </w:tc>
        <w:tc>
          <w:tcPr>
            <w:tcW w:w="6741" w:type="dxa"/>
            <w:gridSpan w:val="2"/>
            <w:vAlign w:val="center"/>
          </w:tcPr>
          <w:p>
            <w:pPr>
              <w:numPr>
                <w:ilvl w:val="0"/>
                <w:numId w:val="12"/>
              </w:numPr>
              <w:spacing w:line="288" w:lineRule="auto"/>
              <w:ind w:left="-108" w:leftChars="-45" w:firstLine="120" w:firstLineChars="50"/>
              <w:rPr>
                <w:rFonts w:hAnsi="宋体" w:cs="宋体"/>
                <w:szCs w:val="24"/>
              </w:rPr>
            </w:pPr>
            <w:r>
              <w:rPr>
                <w:rFonts w:hint="eastAsia" w:hAnsi="宋体" w:cs="宋体"/>
                <w:szCs w:val="24"/>
              </w:rPr>
              <w:t>经初审合格的投标文件，通过符合性审查的投标报价为有效报价。对符合政策性扣减的有效投标报价进行政策性扣减，并依据扣减后的价格（评审价格）进行价格评审。</w:t>
            </w:r>
          </w:p>
          <w:p>
            <w:pPr>
              <w:numPr>
                <w:ilvl w:val="0"/>
                <w:numId w:val="12"/>
              </w:numPr>
              <w:spacing w:line="288" w:lineRule="auto"/>
              <w:ind w:left="-108" w:leftChars="-45" w:firstLine="120" w:firstLineChars="50"/>
              <w:rPr>
                <w:rFonts w:hAnsi="宋体" w:cs="宋体"/>
                <w:szCs w:val="24"/>
              </w:rPr>
            </w:pPr>
            <w:r>
              <w:rPr>
                <w:rFonts w:hint="eastAsia" w:hAnsi="宋体" w:cs="宋体"/>
                <w:szCs w:val="24"/>
              </w:rPr>
              <w:t>有效最低报价为基准价得30分。</w:t>
            </w:r>
          </w:p>
          <w:p>
            <w:pPr>
              <w:spacing w:line="288" w:lineRule="auto"/>
              <w:ind w:left="-108" w:leftChars="-45" w:firstLine="120" w:firstLineChars="50"/>
              <w:rPr>
                <w:rFonts w:hAnsi="宋体" w:cs="宋体"/>
                <w:szCs w:val="24"/>
              </w:rPr>
            </w:pPr>
            <w:r>
              <w:rPr>
                <w:rFonts w:hint="eastAsia" w:hAnsi="宋体" w:cs="宋体"/>
                <w:szCs w:val="24"/>
              </w:rPr>
              <w:t>3.按（有效最低报价/有效投标报价）×30的公式计算其得分。</w:t>
            </w:r>
          </w:p>
          <w:p>
            <w:pPr>
              <w:spacing w:line="288" w:lineRule="auto"/>
              <w:ind w:left="-108" w:leftChars="-45" w:firstLine="120" w:firstLineChars="50"/>
              <w:rPr>
                <w:rFonts w:hAnsi="宋体" w:cs="宋体"/>
                <w:szCs w:val="24"/>
              </w:rPr>
            </w:pPr>
            <w:r>
              <w:rPr>
                <w:rFonts w:hint="eastAsia" w:hAnsi="宋体" w:cs="宋体"/>
                <w:szCs w:val="24"/>
              </w:rPr>
              <w:t>4.投标报价不完整的，不进入评标基准价的计算，本项得0分。</w:t>
            </w:r>
          </w:p>
        </w:tc>
        <w:tc>
          <w:tcPr>
            <w:tcW w:w="736" w:type="dxa"/>
            <w:vAlign w:val="center"/>
          </w:tcPr>
          <w:p>
            <w:pPr>
              <w:spacing w:line="560" w:lineRule="exact"/>
              <w:jc w:val="center"/>
              <w:rPr>
                <w:rFonts w:hAnsi="宋体" w:cs="宋体"/>
                <w:szCs w:val="24"/>
              </w:rPr>
            </w:pPr>
            <w:r>
              <w:rPr>
                <w:rFonts w:hint="eastAsia" w:hAnsi="宋体" w:cs="宋体"/>
                <w:szCs w:val="24"/>
              </w:rPr>
              <w:t>30分</w:t>
            </w:r>
          </w:p>
        </w:tc>
        <w:tc>
          <w:tcPr>
            <w:tcW w:w="808" w:type="dxa"/>
            <w:vMerge w:val="restart"/>
            <w:vAlign w:val="center"/>
          </w:tcPr>
          <w:p>
            <w:pPr>
              <w:spacing w:line="360" w:lineRule="auto"/>
              <w:jc w:val="center"/>
              <w:rPr>
                <w:rFonts w:hAnsi="宋体" w:cs="宋体"/>
                <w:b/>
                <w:szCs w:val="24"/>
              </w:rPr>
            </w:pPr>
            <w:r>
              <w:rPr>
                <w:rFonts w:hint="eastAsia" w:hAnsi="宋体" w:cs="宋体"/>
                <w:b/>
                <w:szCs w:val="24"/>
              </w:rPr>
              <w:t>根</w:t>
            </w:r>
          </w:p>
          <w:p>
            <w:pPr>
              <w:spacing w:line="360" w:lineRule="auto"/>
              <w:jc w:val="center"/>
              <w:rPr>
                <w:rFonts w:hAnsi="宋体" w:cs="宋体"/>
                <w:b/>
                <w:szCs w:val="24"/>
              </w:rPr>
            </w:pPr>
            <w:r>
              <w:rPr>
                <w:rFonts w:hint="eastAsia" w:hAnsi="宋体" w:cs="宋体"/>
                <w:b/>
                <w:szCs w:val="24"/>
              </w:rPr>
              <w:t>据</w:t>
            </w:r>
          </w:p>
          <w:p>
            <w:pPr>
              <w:spacing w:line="360" w:lineRule="auto"/>
              <w:jc w:val="center"/>
              <w:rPr>
                <w:rFonts w:hAnsi="宋体" w:cs="宋体"/>
                <w:b/>
                <w:szCs w:val="24"/>
              </w:rPr>
            </w:pPr>
            <w:r>
              <w:rPr>
                <w:rFonts w:hint="eastAsia" w:hAnsi="宋体" w:cs="宋体"/>
                <w:b/>
                <w:szCs w:val="24"/>
              </w:rPr>
              <w:t>投</w:t>
            </w:r>
          </w:p>
          <w:p>
            <w:pPr>
              <w:spacing w:line="360" w:lineRule="auto"/>
              <w:jc w:val="center"/>
              <w:rPr>
                <w:rFonts w:hAnsi="宋体" w:cs="宋体"/>
                <w:b/>
                <w:szCs w:val="24"/>
              </w:rPr>
            </w:pPr>
            <w:r>
              <w:rPr>
                <w:rFonts w:hint="eastAsia" w:hAnsi="宋体" w:cs="宋体"/>
                <w:b/>
                <w:szCs w:val="24"/>
              </w:rPr>
              <w:t>标</w:t>
            </w:r>
          </w:p>
          <w:p>
            <w:pPr>
              <w:spacing w:line="360" w:lineRule="auto"/>
              <w:jc w:val="center"/>
              <w:rPr>
                <w:rFonts w:hAnsi="宋体" w:cs="宋体"/>
                <w:b/>
                <w:szCs w:val="24"/>
              </w:rPr>
            </w:pPr>
            <w:r>
              <w:rPr>
                <w:rFonts w:hint="eastAsia" w:hAnsi="宋体" w:cs="宋体"/>
                <w:b/>
                <w:szCs w:val="24"/>
              </w:rPr>
              <w:t>文</w:t>
            </w:r>
          </w:p>
          <w:p>
            <w:pPr>
              <w:spacing w:line="360" w:lineRule="auto"/>
              <w:jc w:val="center"/>
              <w:rPr>
                <w:rFonts w:hAnsi="宋体" w:cs="宋体"/>
                <w:b/>
                <w:szCs w:val="24"/>
              </w:rPr>
            </w:pPr>
            <w:r>
              <w:rPr>
                <w:rFonts w:hint="eastAsia" w:hAnsi="宋体" w:cs="宋体"/>
                <w:b/>
                <w:szCs w:val="24"/>
              </w:rPr>
              <w:t>件</w:t>
            </w:r>
          </w:p>
          <w:p>
            <w:pPr>
              <w:spacing w:line="360" w:lineRule="auto"/>
              <w:jc w:val="center"/>
              <w:rPr>
                <w:rFonts w:hAnsi="宋体" w:cs="宋体"/>
                <w:b/>
                <w:szCs w:val="24"/>
              </w:rPr>
            </w:pPr>
            <w:r>
              <w:rPr>
                <w:rFonts w:hint="eastAsia" w:hAnsi="宋体" w:cs="宋体"/>
                <w:b/>
                <w:szCs w:val="24"/>
              </w:rPr>
              <w:t>的</w:t>
            </w:r>
          </w:p>
          <w:p>
            <w:pPr>
              <w:spacing w:line="360" w:lineRule="auto"/>
              <w:jc w:val="center"/>
              <w:rPr>
                <w:rFonts w:hAnsi="宋体" w:cs="宋体"/>
                <w:b/>
                <w:szCs w:val="24"/>
              </w:rPr>
            </w:pPr>
            <w:r>
              <w:rPr>
                <w:rFonts w:hint="eastAsia" w:hAnsi="宋体" w:cs="宋体"/>
                <w:b/>
                <w:szCs w:val="24"/>
              </w:rPr>
              <w:t>响</w:t>
            </w:r>
          </w:p>
          <w:p>
            <w:pPr>
              <w:spacing w:line="360" w:lineRule="auto"/>
              <w:jc w:val="center"/>
              <w:rPr>
                <w:rFonts w:hAnsi="宋体" w:cs="宋体"/>
                <w:b/>
                <w:szCs w:val="24"/>
              </w:rPr>
            </w:pPr>
            <w:r>
              <w:rPr>
                <w:rFonts w:hint="eastAsia" w:hAnsi="宋体" w:cs="宋体"/>
                <w:b/>
                <w:szCs w:val="24"/>
              </w:rPr>
              <w:t>应</w:t>
            </w:r>
          </w:p>
          <w:p>
            <w:pPr>
              <w:spacing w:line="360" w:lineRule="auto"/>
              <w:jc w:val="center"/>
              <w:rPr>
                <w:rFonts w:hAnsi="宋体" w:cs="宋体"/>
                <w:b/>
                <w:szCs w:val="24"/>
              </w:rPr>
            </w:pPr>
            <w:r>
              <w:rPr>
                <w:rFonts w:hint="eastAsia" w:hAnsi="宋体" w:cs="宋体"/>
                <w:b/>
                <w:szCs w:val="24"/>
              </w:rPr>
              <w:t>程  度</w:t>
            </w:r>
          </w:p>
          <w:p>
            <w:pPr>
              <w:spacing w:line="360" w:lineRule="auto"/>
              <w:jc w:val="center"/>
              <w:rPr>
                <w:rFonts w:hAnsi="宋体" w:cs="宋体"/>
                <w:b/>
                <w:szCs w:val="24"/>
              </w:rPr>
            </w:pPr>
            <w:r>
              <w:rPr>
                <w:rFonts w:hint="eastAsia" w:hAnsi="宋体" w:cs="宋体"/>
                <w:b/>
                <w:szCs w:val="24"/>
              </w:rPr>
              <w:t>按</w:t>
            </w:r>
          </w:p>
          <w:p>
            <w:pPr>
              <w:spacing w:line="360" w:lineRule="auto"/>
              <w:jc w:val="center"/>
              <w:rPr>
                <w:rFonts w:hAnsi="宋体" w:cs="宋体"/>
                <w:b/>
                <w:szCs w:val="24"/>
              </w:rPr>
            </w:pPr>
            <w:r>
              <w:rPr>
                <w:rFonts w:hint="eastAsia" w:hAnsi="宋体" w:cs="宋体"/>
                <w:b/>
                <w:szCs w:val="24"/>
              </w:rPr>
              <w:t>差</w:t>
            </w:r>
          </w:p>
          <w:p>
            <w:pPr>
              <w:spacing w:line="360" w:lineRule="auto"/>
              <w:jc w:val="center"/>
              <w:rPr>
                <w:rFonts w:hAnsi="宋体" w:cs="宋体"/>
                <w:b/>
                <w:szCs w:val="24"/>
              </w:rPr>
            </w:pPr>
            <w:r>
              <w:rPr>
                <w:rFonts w:hint="eastAsia" w:hAnsi="宋体" w:cs="宋体"/>
                <w:b/>
                <w:szCs w:val="24"/>
              </w:rPr>
              <w:t>别</w:t>
            </w:r>
          </w:p>
          <w:p>
            <w:pPr>
              <w:spacing w:line="360" w:lineRule="auto"/>
              <w:jc w:val="center"/>
              <w:rPr>
                <w:rFonts w:hAnsi="宋体" w:cs="宋体"/>
                <w:b/>
                <w:szCs w:val="24"/>
              </w:rPr>
            </w:pPr>
            <w:r>
              <w:rPr>
                <w:rFonts w:hint="eastAsia" w:hAnsi="宋体" w:cs="宋体"/>
                <w:b/>
                <w:szCs w:val="24"/>
              </w:rPr>
              <w:t>计</w:t>
            </w:r>
          </w:p>
          <w:p>
            <w:pPr>
              <w:spacing w:line="560" w:lineRule="exact"/>
              <w:jc w:val="center"/>
              <w:rPr>
                <w:rFonts w:hAnsi="宋体" w:cs="宋体"/>
                <w:b/>
                <w:szCs w:val="24"/>
              </w:rPr>
            </w:pPr>
            <w:r>
              <w:rPr>
                <w:rFonts w:hint="eastAsia" w:hAnsi="宋体" w:cs="宋体"/>
                <w:b/>
                <w:szCs w:val="24"/>
              </w:rPr>
              <w:t>分</w:t>
            </w:r>
          </w:p>
          <w:p>
            <w:pPr>
              <w:spacing w:line="560" w:lineRule="exact"/>
              <w:jc w:val="center"/>
              <w:rPr>
                <w:rFonts w:hAnsi="宋体" w:cs="宋体"/>
                <w:szCs w:val="24"/>
              </w:rPr>
            </w:pPr>
            <w:r>
              <w:rPr>
                <w:rFonts w:hint="eastAsia" w:hAnsi="宋体" w:cs="宋体"/>
                <w:b/>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699" w:type="dxa"/>
            <w:vMerge w:val="restart"/>
            <w:vAlign w:val="center"/>
          </w:tcPr>
          <w:p>
            <w:pPr>
              <w:rPr>
                <w:rFonts w:hAnsi="宋体" w:cs="宋体"/>
                <w:b/>
                <w:szCs w:val="24"/>
              </w:rPr>
            </w:pPr>
            <w:r>
              <w:rPr>
                <w:rFonts w:hint="eastAsia" w:hAnsi="宋体" w:cs="宋体"/>
                <w:b/>
                <w:szCs w:val="24"/>
              </w:rPr>
              <w:t>技术评审</w:t>
            </w:r>
          </w:p>
        </w:tc>
        <w:tc>
          <w:tcPr>
            <w:tcW w:w="827" w:type="dxa"/>
            <w:vMerge w:val="restart"/>
            <w:vAlign w:val="center"/>
          </w:tcPr>
          <w:p>
            <w:pPr>
              <w:spacing w:line="560" w:lineRule="exact"/>
              <w:rPr>
                <w:rFonts w:hAnsi="宋体" w:cs="宋体"/>
                <w:b/>
                <w:bCs/>
                <w:szCs w:val="24"/>
              </w:rPr>
            </w:pPr>
            <w:r>
              <w:rPr>
                <w:rFonts w:hint="eastAsia" w:hAnsi="宋体" w:cs="宋体"/>
                <w:b/>
                <w:bCs/>
                <w:szCs w:val="24"/>
              </w:rPr>
              <w:t>4</w:t>
            </w:r>
            <w:r>
              <w:rPr>
                <w:rFonts w:hint="eastAsia" w:hAnsi="宋体" w:cs="宋体"/>
                <w:b/>
                <w:bCs/>
                <w:szCs w:val="24"/>
                <w:lang w:val="en-US" w:eastAsia="zh-CN"/>
              </w:rPr>
              <w:t>5</w:t>
            </w:r>
            <w:r>
              <w:rPr>
                <w:rFonts w:hint="eastAsia" w:hAnsi="宋体" w:cs="宋体"/>
                <w:b/>
                <w:bCs/>
                <w:szCs w:val="24"/>
              </w:rPr>
              <w:t>分</w:t>
            </w:r>
          </w:p>
        </w:tc>
        <w:tc>
          <w:tcPr>
            <w:tcW w:w="636" w:type="dxa"/>
            <w:vAlign w:val="center"/>
          </w:tcPr>
          <w:p>
            <w:pPr>
              <w:numPr>
                <w:ilvl w:val="0"/>
                <w:numId w:val="13"/>
              </w:numPr>
              <w:spacing w:line="288" w:lineRule="auto"/>
              <w:jc w:val="center"/>
              <w:rPr>
                <w:rFonts w:hAnsi="宋体" w:cs="宋体"/>
                <w:szCs w:val="24"/>
              </w:rPr>
            </w:pPr>
          </w:p>
        </w:tc>
        <w:tc>
          <w:tcPr>
            <w:tcW w:w="6105" w:type="dxa"/>
            <w:vAlign w:val="center"/>
          </w:tcPr>
          <w:p>
            <w:pPr>
              <w:spacing w:line="288" w:lineRule="auto"/>
              <w:rPr>
                <w:rFonts w:hint="eastAsia"/>
              </w:rPr>
            </w:pPr>
            <w:r>
              <w:rPr>
                <w:rFonts w:hint="eastAsia"/>
              </w:rPr>
              <w:t>评标委员会根据供应商提供的《技术规格响应表》对所投产品的技术指标进行比较和评价，参数完全满足招标文件要求计</w:t>
            </w:r>
            <w:r>
              <w:t>30</w:t>
            </w:r>
            <w:r>
              <w:rPr>
                <w:rFonts w:hint="eastAsia"/>
              </w:rPr>
              <w:t>分；</w:t>
            </w:r>
            <w:r>
              <w:rPr>
                <w:rFonts w:hint="eastAsia" w:ascii="宋体" w:hAnsi="宋体" w:eastAsia="宋体" w:cs="宋体"/>
                <w:sz w:val="22"/>
                <w:szCs w:val="22"/>
                <w:vertAlign w:val="baseline"/>
              </w:rPr>
              <w:t>▲</w:t>
            </w:r>
            <w:r>
              <w:rPr>
                <w:rFonts w:hint="eastAsia"/>
              </w:rPr>
              <w:t>标项参数每负偏离一项扣</w:t>
            </w:r>
            <w:r>
              <w:rPr>
                <w:rFonts w:hint="eastAsia"/>
                <w:lang w:val="en-US" w:eastAsia="zh-CN"/>
              </w:rPr>
              <w:t>3</w:t>
            </w:r>
            <w:r>
              <w:rPr>
                <w:rFonts w:hint="eastAsia"/>
              </w:rPr>
              <w:t>分，非</w:t>
            </w:r>
            <w:r>
              <w:rPr>
                <w:rFonts w:hint="eastAsia" w:ascii="宋体" w:hAnsi="宋体" w:eastAsia="宋体" w:cs="宋体"/>
                <w:sz w:val="22"/>
                <w:szCs w:val="22"/>
                <w:vertAlign w:val="baseline"/>
              </w:rPr>
              <w:t>▲</w:t>
            </w:r>
            <w:r>
              <w:rPr>
                <w:rFonts w:hint="eastAsia"/>
              </w:rPr>
              <w:t>标项参数每负偏离一项扣</w:t>
            </w:r>
            <w:r>
              <w:rPr>
                <w:rFonts w:hint="eastAsia"/>
                <w:lang w:val="en-US" w:eastAsia="zh-CN"/>
              </w:rPr>
              <w:t>1</w:t>
            </w:r>
            <w:r>
              <w:rPr>
                <w:rFonts w:hint="eastAsia"/>
              </w:rPr>
              <w:t>分，扣完为止。（供应商须提供可证明产品参数的材料，包括但不限于产品彩页、功能截图、检测报告等；未提供证明材料的视为负偏离）。</w:t>
            </w:r>
          </w:p>
          <w:p>
            <w:pPr>
              <w:pStyle w:val="45"/>
            </w:pPr>
            <w:r>
              <w:rPr>
                <w:rFonts w:hint="eastAsia" w:ascii="宋体" w:hAnsi="Times New Roman" w:eastAsia="宋体" w:cs="Times New Roman"/>
                <w:sz w:val="24"/>
                <w:lang w:val="en-US" w:eastAsia="zh-CN" w:bidi="ar-SA"/>
              </w:rPr>
              <w:t>备注：1、技术指标偏差表完全复制招标文件技术参数的，专家可给予5分的扣减。</w:t>
            </w:r>
          </w:p>
        </w:tc>
        <w:tc>
          <w:tcPr>
            <w:tcW w:w="736" w:type="dxa"/>
            <w:vAlign w:val="center"/>
          </w:tcPr>
          <w:p>
            <w:pPr>
              <w:spacing w:line="560" w:lineRule="exact"/>
              <w:rPr>
                <w:rFonts w:hAnsi="宋体" w:cs="宋体"/>
                <w:szCs w:val="24"/>
              </w:rPr>
            </w:pPr>
            <w:r>
              <w:rPr>
                <w:rFonts w:hAnsi="宋体" w:cs="宋体"/>
                <w:szCs w:val="24"/>
              </w:rPr>
              <w:t>30</w:t>
            </w:r>
            <w:r>
              <w:rPr>
                <w:rFonts w:hint="eastAsia" w:hAnsi="宋体" w:cs="宋体"/>
                <w:szCs w:val="24"/>
              </w:rPr>
              <w:t>分</w:t>
            </w:r>
          </w:p>
        </w:tc>
        <w:tc>
          <w:tcPr>
            <w:tcW w:w="808" w:type="dxa"/>
            <w:vMerge w:val="continue"/>
            <w:vAlign w:val="center"/>
          </w:tcPr>
          <w:p>
            <w:pPr>
              <w:spacing w:line="560" w:lineRule="exact"/>
              <w:jc w:val="center"/>
              <w:rPr>
                <w:rFonts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9" w:type="dxa"/>
            <w:vMerge w:val="continue"/>
            <w:vAlign w:val="center"/>
          </w:tcPr>
          <w:p>
            <w:pPr>
              <w:spacing w:line="560" w:lineRule="exact"/>
              <w:rPr>
                <w:rFonts w:hAnsi="宋体" w:cs="宋体"/>
                <w:b/>
                <w:szCs w:val="24"/>
              </w:rPr>
            </w:pPr>
          </w:p>
        </w:tc>
        <w:tc>
          <w:tcPr>
            <w:tcW w:w="827" w:type="dxa"/>
            <w:vMerge w:val="continue"/>
            <w:vAlign w:val="center"/>
          </w:tcPr>
          <w:p>
            <w:pPr>
              <w:spacing w:line="560" w:lineRule="exact"/>
              <w:rPr>
                <w:rFonts w:hAnsi="宋体" w:cs="宋体"/>
                <w:b/>
                <w:bCs/>
                <w:szCs w:val="24"/>
              </w:rPr>
            </w:pPr>
          </w:p>
        </w:tc>
        <w:tc>
          <w:tcPr>
            <w:tcW w:w="636" w:type="dxa"/>
            <w:vAlign w:val="center"/>
          </w:tcPr>
          <w:p>
            <w:pPr>
              <w:numPr>
                <w:ilvl w:val="0"/>
                <w:numId w:val="13"/>
              </w:numPr>
              <w:spacing w:line="288" w:lineRule="auto"/>
              <w:jc w:val="center"/>
              <w:rPr>
                <w:rFonts w:hAnsi="宋体" w:cs="宋体"/>
                <w:szCs w:val="24"/>
              </w:rPr>
            </w:pPr>
          </w:p>
        </w:tc>
        <w:tc>
          <w:tcPr>
            <w:tcW w:w="6105" w:type="dxa"/>
            <w:vAlign w:val="center"/>
          </w:tcPr>
          <w:p>
            <w:pPr>
              <w:spacing w:line="288" w:lineRule="auto"/>
            </w:pPr>
            <w:r>
              <w:rPr>
                <w:rFonts w:hint="eastAsia"/>
              </w:rPr>
              <w:t>投标产品货源渠道正规、有质量保证，无劣质、假冒、瑕疵产品及产权纠纷，提供</w:t>
            </w:r>
            <w:r>
              <w:rPr>
                <w:rFonts w:hint="eastAsia" w:hAnsi="宋体" w:cs="宋体"/>
                <w:szCs w:val="24"/>
              </w:rPr>
              <w:t>产品来源渠道合法的证明文件（包括但不限于销售协议、代理协议、原厂授权等）；</w:t>
            </w:r>
            <w:r>
              <w:rPr>
                <w:rFonts w:hint="eastAsia"/>
              </w:rPr>
              <w:t>相关产品的证明材料完善、合法有效，无产权纠纷，提供的相关资料齐全，计4</w:t>
            </w:r>
            <w:r>
              <w:rPr>
                <w:rFonts w:hint="eastAsia"/>
                <w:lang w:val="en-US" w:eastAsia="zh-CN"/>
              </w:rPr>
              <w:t>.1</w:t>
            </w:r>
            <w:r>
              <w:rPr>
                <w:rFonts w:hint="eastAsia"/>
              </w:rPr>
              <w:t>-</w:t>
            </w:r>
            <w:r>
              <w:rPr>
                <w:rFonts w:hint="eastAsia"/>
                <w:lang w:val="en-US" w:eastAsia="zh-CN"/>
              </w:rPr>
              <w:t>5</w:t>
            </w:r>
            <w:r>
              <w:rPr>
                <w:rFonts w:hint="eastAsia"/>
              </w:rPr>
              <w:t>分；</w:t>
            </w:r>
          </w:p>
          <w:p>
            <w:pPr>
              <w:spacing w:line="288" w:lineRule="auto"/>
            </w:pPr>
            <w:r>
              <w:rPr>
                <w:rFonts w:hint="eastAsia"/>
              </w:rPr>
              <w:t>有部分证明材料和资料，计2</w:t>
            </w:r>
            <w:r>
              <w:rPr>
                <w:rFonts w:hint="eastAsia"/>
                <w:lang w:val="en-US" w:eastAsia="zh-CN"/>
              </w:rPr>
              <w:t>.1</w:t>
            </w:r>
            <w:r>
              <w:rPr>
                <w:rFonts w:hint="eastAsia"/>
              </w:rPr>
              <w:t>-4分；</w:t>
            </w:r>
          </w:p>
          <w:p>
            <w:pPr>
              <w:spacing w:line="288" w:lineRule="auto"/>
              <w:rPr>
                <w:rFonts w:hAnsi="宋体" w:cs="宋体"/>
                <w:szCs w:val="24"/>
              </w:rPr>
            </w:pPr>
            <w:r>
              <w:rPr>
                <w:rFonts w:hint="eastAsia"/>
              </w:rPr>
              <w:t>证明材料和资料缺失严重，计</w:t>
            </w:r>
            <w:r>
              <w:rPr>
                <w:rFonts w:hint="eastAsia"/>
                <w:szCs w:val="22"/>
              </w:rPr>
              <w:t>1-2分，未提供不得分。</w:t>
            </w:r>
          </w:p>
        </w:tc>
        <w:tc>
          <w:tcPr>
            <w:tcW w:w="736" w:type="dxa"/>
            <w:vAlign w:val="center"/>
          </w:tcPr>
          <w:p>
            <w:pPr>
              <w:spacing w:line="560" w:lineRule="exact"/>
              <w:jc w:val="center"/>
              <w:rPr>
                <w:rFonts w:hAnsi="宋体" w:cs="宋体"/>
                <w:szCs w:val="24"/>
              </w:rPr>
            </w:pPr>
            <w:r>
              <w:rPr>
                <w:rFonts w:hint="eastAsia" w:hAnsi="宋体" w:cs="宋体"/>
                <w:szCs w:val="24"/>
                <w:lang w:val="en-US" w:eastAsia="zh-CN"/>
              </w:rPr>
              <w:t>5</w:t>
            </w:r>
            <w:r>
              <w:rPr>
                <w:rFonts w:hint="eastAsia" w:hAnsi="宋体" w:cs="宋体"/>
                <w:szCs w:val="24"/>
              </w:rPr>
              <w:t>分</w:t>
            </w:r>
          </w:p>
        </w:tc>
        <w:tc>
          <w:tcPr>
            <w:tcW w:w="808" w:type="dxa"/>
            <w:vMerge w:val="continue"/>
            <w:vAlign w:val="center"/>
          </w:tcPr>
          <w:p>
            <w:pPr>
              <w:spacing w:line="560" w:lineRule="exact"/>
              <w:jc w:val="center"/>
              <w:rPr>
                <w:rFonts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9" w:type="dxa"/>
            <w:vMerge w:val="continue"/>
            <w:vAlign w:val="center"/>
          </w:tcPr>
          <w:p>
            <w:pPr>
              <w:spacing w:line="560" w:lineRule="exact"/>
              <w:rPr>
                <w:rFonts w:hAnsi="宋体" w:cs="宋体"/>
                <w:b/>
                <w:szCs w:val="24"/>
              </w:rPr>
            </w:pPr>
          </w:p>
        </w:tc>
        <w:tc>
          <w:tcPr>
            <w:tcW w:w="827" w:type="dxa"/>
            <w:vMerge w:val="continue"/>
            <w:vAlign w:val="center"/>
          </w:tcPr>
          <w:p>
            <w:pPr>
              <w:spacing w:line="560" w:lineRule="exact"/>
              <w:rPr>
                <w:rFonts w:hAnsi="宋体" w:cs="宋体"/>
                <w:b/>
                <w:bCs/>
                <w:szCs w:val="24"/>
              </w:rPr>
            </w:pPr>
          </w:p>
        </w:tc>
        <w:tc>
          <w:tcPr>
            <w:tcW w:w="636" w:type="dxa"/>
            <w:vAlign w:val="center"/>
          </w:tcPr>
          <w:p>
            <w:pPr>
              <w:numPr>
                <w:ilvl w:val="0"/>
                <w:numId w:val="13"/>
              </w:numPr>
              <w:spacing w:line="288" w:lineRule="auto"/>
              <w:jc w:val="center"/>
              <w:rPr>
                <w:rFonts w:hAnsi="宋体" w:cs="宋体"/>
                <w:szCs w:val="24"/>
              </w:rPr>
            </w:pPr>
          </w:p>
        </w:tc>
        <w:tc>
          <w:tcPr>
            <w:tcW w:w="6105" w:type="dxa"/>
            <w:vAlign w:val="center"/>
          </w:tcPr>
          <w:p>
            <w:pPr>
              <w:pStyle w:val="7"/>
              <w:spacing w:before="0"/>
              <w:ind w:left="0" w:firstLine="0"/>
              <w:rPr>
                <w:rFonts w:hAnsi="宋体" w:cs="宋体"/>
                <w:szCs w:val="24"/>
              </w:rPr>
            </w:pPr>
            <w:r>
              <w:rPr>
                <w:rFonts w:hint="eastAsia" w:ascii="宋体" w:hAnsi="宋体" w:cs="宋体"/>
                <w:color w:val="000000"/>
                <w:szCs w:val="24"/>
              </w:rPr>
              <w:t>供应商对本项目的供货、安装调试、验收组织、人员配备等方面制订具体的实施方案，做出合理计划及制订工作保障措施。方案完整、科学合理、操作性强，计7.1-10分；方案较完整，工作目标不明确、工作保障措施不到位，4.1-7分；方案可执行性差，计1-4分，未提供不计分。</w:t>
            </w:r>
          </w:p>
        </w:tc>
        <w:tc>
          <w:tcPr>
            <w:tcW w:w="736" w:type="dxa"/>
            <w:vAlign w:val="center"/>
          </w:tcPr>
          <w:p>
            <w:pPr>
              <w:spacing w:line="560" w:lineRule="exact"/>
              <w:jc w:val="center"/>
              <w:rPr>
                <w:rFonts w:hAnsi="宋体" w:cs="宋体"/>
                <w:szCs w:val="24"/>
              </w:rPr>
            </w:pPr>
            <w:r>
              <w:rPr>
                <w:rFonts w:hAnsi="宋体" w:cs="宋体"/>
                <w:szCs w:val="24"/>
              </w:rPr>
              <w:t>10</w:t>
            </w:r>
            <w:r>
              <w:rPr>
                <w:rFonts w:hint="eastAsia" w:hAnsi="宋体" w:cs="宋体"/>
                <w:szCs w:val="24"/>
              </w:rPr>
              <w:t>分</w:t>
            </w:r>
          </w:p>
        </w:tc>
        <w:tc>
          <w:tcPr>
            <w:tcW w:w="808" w:type="dxa"/>
            <w:vMerge w:val="continue"/>
            <w:vAlign w:val="center"/>
          </w:tcPr>
          <w:p>
            <w:pPr>
              <w:spacing w:line="560" w:lineRule="exact"/>
              <w:jc w:val="center"/>
              <w:rPr>
                <w:rFonts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699" w:type="dxa"/>
            <w:vMerge w:val="restart"/>
            <w:vAlign w:val="center"/>
          </w:tcPr>
          <w:p>
            <w:pPr>
              <w:spacing w:line="560" w:lineRule="exact"/>
              <w:jc w:val="center"/>
              <w:rPr>
                <w:rFonts w:hAnsi="宋体" w:cs="宋体"/>
                <w:b/>
                <w:szCs w:val="24"/>
              </w:rPr>
            </w:pPr>
            <w:r>
              <w:rPr>
                <w:rFonts w:hint="eastAsia" w:hAnsi="宋体" w:cs="宋体"/>
                <w:b/>
                <w:szCs w:val="24"/>
              </w:rPr>
              <w:t>履</w:t>
            </w:r>
          </w:p>
          <w:p>
            <w:pPr>
              <w:spacing w:line="560" w:lineRule="exact"/>
              <w:jc w:val="center"/>
              <w:rPr>
                <w:rFonts w:hAnsi="宋体" w:cs="宋体"/>
                <w:b/>
                <w:szCs w:val="24"/>
              </w:rPr>
            </w:pPr>
            <w:r>
              <w:rPr>
                <w:rFonts w:hint="eastAsia" w:hAnsi="宋体" w:cs="宋体"/>
                <w:b/>
                <w:szCs w:val="24"/>
              </w:rPr>
              <w:t>约</w:t>
            </w:r>
          </w:p>
          <w:p>
            <w:pPr>
              <w:spacing w:line="560" w:lineRule="exact"/>
              <w:jc w:val="center"/>
              <w:rPr>
                <w:rFonts w:hAnsi="宋体" w:cs="宋体"/>
                <w:b/>
                <w:szCs w:val="24"/>
              </w:rPr>
            </w:pPr>
            <w:r>
              <w:rPr>
                <w:rFonts w:hint="eastAsia" w:hAnsi="宋体" w:cs="宋体"/>
                <w:b/>
                <w:szCs w:val="24"/>
              </w:rPr>
              <w:t>能</w:t>
            </w:r>
          </w:p>
          <w:p>
            <w:pPr>
              <w:spacing w:line="560" w:lineRule="exact"/>
              <w:jc w:val="center"/>
              <w:rPr>
                <w:rFonts w:hAnsi="宋体" w:cs="宋体"/>
                <w:b/>
                <w:szCs w:val="24"/>
              </w:rPr>
            </w:pPr>
            <w:r>
              <w:rPr>
                <w:rFonts w:hint="eastAsia" w:hAnsi="宋体" w:cs="宋体"/>
                <w:b/>
                <w:szCs w:val="24"/>
              </w:rPr>
              <w:t>力</w:t>
            </w:r>
          </w:p>
          <w:p>
            <w:pPr>
              <w:spacing w:line="560" w:lineRule="exact"/>
              <w:jc w:val="center"/>
              <w:rPr>
                <w:rFonts w:hAnsi="宋体" w:cs="宋体"/>
                <w:b/>
                <w:szCs w:val="24"/>
              </w:rPr>
            </w:pPr>
            <w:r>
              <w:rPr>
                <w:rFonts w:hint="eastAsia" w:hAnsi="宋体" w:cs="宋体"/>
                <w:b/>
                <w:szCs w:val="24"/>
              </w:rPr>
              <w:t>及</w:t>
            </w:r>
          </w:p>
          <w:p>
            <w:pPr>
              <w:spacing w:line="560" w:lineRule="exact"/>
              <w:jc w:val="center"/>
              <w:rPr>
                <w:rFonts w:hAnsi="宋体" w:cs="宋体"/>
                <w:b/>
                <w:szCs w:val="24"/>
              </w:rPr>
            </w:pPr>
            <w:r>
              <w:rPr>
                <w:rFonts w:hint="eastAsia" w:hAnsi="宋体" w:cs="宋体"/>
                <w:b/>
                <w:szCs w:val="24"/>
              </w:rPr>
              <w:t>服</w:t>
            </w:r>
          </w:p>
          <w:p>
            <w:pPr>
              <w:spacing w:line="560" w:lineRule="exact"/>
              <w:jc w:val="center"/>
              <w:rPr>
                <w:rFonts w:hAnsi="宋体" w:cs="宋体"/>
                <w:b/>
                <w:szCs w:val="24"/>
              </w:rPr>
            </w:pPr>
            <w:r>
              <w:rPr>
                <w:rFonts w:hint="eastAsia" w:hAnsi="宋体" w:cs="宋体"/>
                <w:b/>
                <w:szCs w:val="24"/>
              </w:rPr>
              <w:t>务</w:t>
            </w:r>
          </w:p>
          <w:p>
            <w:pPr>
              <w:spacing w:line="560" w:lineRule="exact"/>
              <w:jc w:val="center"/>
              <w:rPr>
                <w:rFonts w:hAnsi="宋体" w:cs="宋体"/>
                <w:b/>
                <w:szCs w:val="24"/>
              </w:rPr>
            </w:pPr>
            <w:r>
              <w:rPr>
                <w:rFonts w:hint="eastAsia" w:hAnsi="宋体" w:cs="宋体"/>
                <w:b/>
                <w:szCs w:val="24"/>
              </w:rPr>
              <w:t>承</w:t>
            </w:r>
          </w:p>
          <w:p>
            <w:pPr>
              <w:spacing w:line="560" w:lineRule="exact"/>
              <w:jc w:val="center"/>
              <w:rPr>
                <w:rFonts w:hAnsi="宋体" w:cs="宋体"/>
                <w:b/>
                <w:szCs w:val="24"/>
              </w:rPr>
            </w:pPr>
            <w:r>
              <w:rPr>
                <w:rFonts w:hint="eastAsia" w:hAnsi="宋体" w:cs="宋体"/>
                <w:b/>
                <w:szCs w:val="24"/>
              </w:rPr>
              <w:t>诺</w:t>
            </w:r>
          </w:p>
        </w:tc>
        <w:tc>
          <w:tcPr>
            <w:tcW w:w="827" w:type="dxa"/>
            <w:vMerge w:val="restart"/>
            <w:vAlign w:val="center"/>
          </w:tcPr>
          <w:p>
            <w:pPr>
              <w:spacing w:line="560" w:lineRule="exact"/>
              <w:rPr>
                <w:rFonts w:hAnsi="宋体" w:cs="宋体"/>
                <w:szCs w:val="24"/>
              </w:rPr>
            </w:pPr>
            <w:r>
              <w:rPr>
                <w:rFonts w:hint="eastAsia" w:hAnsi="宋体" w:cs="宋体"/>
                <w:b/>
                <w:bCs/>
                <w:szCs w:val="24"/>
              </w:rPr>
              <w:t>2</w:t>
            </w:r>
            <w:r>
              <w:rPr>
                <w:rFonts w:hint="eastAsia" w:hAnsi="宋体" w:cs="宋体"/>
                <w:b/>
                <w:bCs/>
                <w:szCs w:val="24"/>
                <w:lang w:val="en-US" w:eastAsia="zh-CN"/>
              </w:rPr>
              <w:t>4</w:t>
            </w:r>
            <w:r>
              <w:rPr>
                <w:rFonts w:hint="eastAsia" w:hAnsi="宋体" w:cs="宋体"/>
                <w:b/>
                <w:bCs/>
                <w:szCs w:val="24"/>
              </w:rPr>
              <w:t>分</w:t>
            </w:r>
          </w:p>
        </w:tc>
        <w:tc>
          <w:tcPr>
            <w:tcW w:w="636" w:type="dxa"/>
            <w:vAlign w:val="center"/>
          </w:tcPr>
          <w:p>
            <w:pPr>
              <w:numPr>
                <w:ilvl w:val="0"/>
                <w:numId w:val="14"/>
              </w:numPr>
              <w:spacing w:line="288" w:lineRule="auto"/>
              <w:jc w:val="center"/>
              <w:rPr>
                <w:rFonts w:hAnsi="宋体" w:cs="宋体"/>
                <w:szCs w:val="24"/>
              </w:rPr>
            </w:pPr>
          </w:p>
        </w:tc>
        <w:tc>
          <w:tcPr>
            <w:tcW w:w="6105" w:type="dxa"/>
            <w:vAlign w:val="center"/>
          </w:tcPr>
          <w:p>
            <w:pPr>
              <w:pStyle w:val="19"/>
              <w:rPr>
                <w:rFonts w:ascii="宋体" w:hAnsi="宋体" w:cs="宋体"/>
                <w:kern w:val="0"/>
                <w:sz w:val="24"/>
                <w:szCs w:val="24"/>
              </w:rPr>
            </w:pPr>
            <w:r>
              <w:rPr>
                <w:rFonts w:hint="eastAsia" w:ascii="宋体" w:hAnsi="宋体" w:cs="宋体"/>
                <w:kern w:val="0"/>
                <w:sz w:val="24"/>
                <w:szCs w:val="24"/>
              </w:rPr>
              <w:t>业绩：</w:t>
            </w:r>
          </w:p>
          <w:p>
            <w:pPr>
              <w:spacing w:line="288" w:lineRule="auto"/>
              <w:rPr>
                <w:rFonts w:hAnsi="宋体" w:cs="宋体"/>
                <w:szCs w:val="24"/>
              </w:rPr>
            </w:pPr>
            <w:r>
              <w:rPr>
                <w:rFonts w:hint="eastAsia" w:hAnsi="宋体" w:cs="宋体"/>
                <w:szCs w:val="24"/>
              </w:rPr>
              <w:t>供应商提供20</w:t>
            </w:r>
            <w:r>
              <w:rPr>
                <w:rFonts w:hAnsi="宋体" w:cs="宋体"/>
                <w:szCs w:val="24"/>
              </w:rPr>
              <w:t>20</w:t>
            </w:r>
            <w:r>
              <w:rPr>
                <w:rFonts w:hint="eastAsia" w:hAnsi="宋体" w:cs="宋体"/>
                <w:szCs w:val="24"/>
              </w:rPr>
              <w:t>年</w:t>
            </w:r>
            <w:r>
              <w:rPr>
                <w:rFonts w:hAnsi="宋体" w:cs="宋体"/>
                <w:szCs w:val="24"/>
              </w:rPr>
              <w:t>5</w:t>
            </w:r>
            <w:r>
              <w:rPr>
                <w:rFonts w:hint="eastAsia" w:hAnsi="宋体" w:cs="宋体"/>
                <w:szCs w:val="24"/>
              </w:rPr>
              <w:t>月1日至今承担过类似项目业绩，每提供1份类似项目业绩计2分，（类似项目业绩以供应商在投标文件中提供的合同复印件加盖供应商公章为准。所提供的合同复印件需体现合同签订时间、项目名称，项目供货内容或明细、采购人及供应商名称（公章签署清晰可见））或提供所投产品生产厂家20</w:t>
            </w:r>
            <w:r>
              <w:rPr>
                <w:rFonts w:hAnsi="宋体" w:cs="宋体"/>
                <w:szCs w:val="24"/>
              </w:rPr>
              <w:t>20</w:t>
            </w:r>
            <w:r>
              <w:rPr>
                <w:rFonts w:hint="eastAsia" w:hAnsi="宋体" w:cs="宋体"/>
                <w:szCs w:val="24"/>
              </w:rPr>
              <w:t>年</w:t>
            </w:r>
            <w:r>
              <w:rPr>
                <w:rFonts w:hAnsi="宋体" w:cs="宋体"/>
                <w:szCs w:val="24"/>
              </w:rPr>
              <w:t>5</w:t>
            </w:r>
            <w:r>
              <w:rPr>
                <w:rFonts w:hint="eastAsia" w:hAnsi="宋体" w:cs="宋体"/>
                <w:szCs w:val="24"/>
              </w:rPr>
              <w:t>月1日至今所销售的同类产品业绩，每提供1份所投产品生产厂家同类产品业绩计2分，生产厂家的购销合同或采购协议复印件加盖供应商公章为准。所提供在购销合同或采购协议需体现合同签订时间、产品明细，采购人及厂家名称（公章签署清晰可见））。本项满分10分。所提供的业绩证明材料清晰可辨，否则评标委员会可对所提供的业绩证明材料视为不合格业绩，不得分。</w:t>
            </w:r>
          </w:p>
        </w:tc>
        <w:tc>
          <w:tcPr>
            <w:tcW w:w="736" w:type="dxa"/>
            <w:vAlign w:val="center"/>
          </w:tcPr>
          <w:p>
            <w:pPr>
              <w:spacing w:line="560" w:lineRule="exact"/>
              <w:jc w:val="center"/>
              <w:rPr>
                <w:rFonts w:hAnsi="宋体" w:cs="宋体"/>
                <w:szCs w:val="24"/>
              </w:rPr>
            </w:pPr>
            <w:r>
              <w:rPr>
                <w:rFonts w:hint="eastAsia" w:hAnsi="宋体" w:cs="宋体"/>
                <w:szCs w:val="24"/>
              </w:rPr>
              <w:t>10分</w:t>
            </w:r>
          </w:p>
        </w:tc>
        <w:tc>
          <w:tcPr>
            <w:tcW w:w="808" w:type="dxa"/>
            <w:vMerge w:val="continue"/>
            <w:vAlign w:val="center"/>
          </w:tcPr>
          <w:p>
            <w:pPr>
              <w:spacing w:line="560" w:lineRule="exact"/>
              <w:rPr>
                <w:rFonts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5" w:hRule="atLeast"/>
          <w:jc w:val="center"/>
        </w:trPr>
        <w:tc>
          <w:tcPr>
            <w:tcW w:w="699" w:type="dxa"/>
            <w:vMerge w:val="continue"/>
            <w:vAlign w:val="center"/>
          </w:tcPr>
          <w:p>
            <w:pPr>
              <w:spacing w:line="560" w:lineRule="exact"/>
              <w:jc w:val="center"/>
              <w:rPr>
                <w:rFonts w:hAnsi="宋体" w:cs="宋体"/>
                <w:b/>
                <w:szCs w:val="24"/>
              </w:rPr>
            </w:pPr>
          </w:p>
        </w:tc>
        <w:tc>
          <w:tcPr>
            <w:tcW w:w="827" w:type="dxa"/>
            <w:vMerge w:val="continue"/>
            <w:vAlign w:val="center"/>
          </w:tcPr>
          <w:p>
            <w:pPr>
              <w:spacing w:line="560" w:lineRule="exact"/>
              <w:rPr>
                <w:rFonts w:hAnsi="宋体" w:cs="宋体"/>
                <w:b/>
                <w:bCs/>
                <w:szCs w:val="24"/>
              </w:rPr>
            </w:pPr>
          </w:p>
        </w:tc>
        <w:tc>
          <w:tcPr>
            <w:tcW w:w="636" w:type="dxa"/>
            <w:vAlign w:val="center"/>
          </w:tcPr>
          <w:p>
            <w:pPr>
              <w:numPr>
                <w:ilvl w:val="0"/>
                <w:numId w:val="14"/>
              </w:numPr>
              <w:spacing w:line="288" w:lineRule="auto"/>
              <w:jc w:val="center"/>
              <w:rPr>
                <w:rFonts w:hAnsi="宋体" w:cs="宋体"/>
                <w:szCs w:val="24"/>
              </w:rPr>
            </w:pPr>
          </w:p>
        </w:tc>
        <w:tc>
          <w:tcPr>
            <w:tcW w:w="6105" w:type="dxa"/>
            <w:vAlign w:val="center"/>
          </w:tcPr>
          <w:p>
            <w:pPr>
              <w:spacing w:line="360" w:lineRule="auto"/>
              <w:rPr>
                <w:rFonts w:hAnsi="宋体" w:cs="宋体"/>
                <w:szCs w:val="24"/>
              </w:rPr>
            </w:pPr>
            <w:r>
              <w:rPr>
                <w:rFonts w:hint="eastAsia" w:hAnsi="宋体" w:cs="宋体"/>
                <w:szCs w:val="24"/>
              </w:rPr>
              <w:t>1</w:t>
            </w:r>
            <w:r>
              <w:rPr>
                <w:rFonts w:hint="eastAsia" w:hAnsi="宋体" w:cs="宋体"/>
                <w:szCs w:val="24"/>
                <w:lang w:val="en-US" w:eastAsia="zh-CN"/>
              </w:rPr>
              <w:t>.</w:t>
            </w:r>
            <w:r>
              <w:rPr>
                <w:rFonts w:hint="eastAsia" w:hAnsi="宋体" w:cs="宋体"/>
                <w:szCs w:val="24"/>
              </w:rPr>
              <w:t>根据供应商提供的针对本项目特点的售后服务评分。方案完善、科学合理，针对性强、服务承诺明确，计</w:t>
            </w:r>
            <w:r>
              <w:rPr>
                <w:rFonts w:hAnsi="宋体" w:cs="宋体"/>
                <w:szCs w:val="24"/>
              </w:rPr>
              <w:t>5</w:t>
            </w:r>
            <w:r>
              <w:rPr>
                <w:rFonts w:hint="eastAsia" w:hAnsi="宋体" w:cs="宋体"/>
                <w:szCs w:val="24"/>
              </w:rPr>
              <w:t>.1-</w:t>
            </w:r>
            <w:r>
              <w:rPr>
                <w:rFonts w:hAnsi="宋体" w:cs="宋体"/>
                <w:szCs w:val="24"/>
              </w:rPr>
              <w:t>7</w:t>
            </w:r>
            <w:r>
              <w:rPr>
                <w:rFonts w:hint="eastAsia" w:hAnsi="宋体" w:cs="宋体"/>
                <w:szCs w:val="24"/>
              </w:rPr>
              <w:t>分，方案较完整、合理可行、特点和承诺不明确，计</w:t>
            </w:r>
            <w:r>
              <w:rPr>
                <w:rFonts w:hAnsi="宋体" w:cs="宋体"/>
                <w:szCs w:val="24"/>
              </w:rPr>
              <w:t>3</w:t>
            </w:r>
            <w:r>
              <w:rPr>
                <w:rFonts w:hint="eastAsia" w:hAnsi="宋体" w:cs="宋体"/>
                <w:szCs w:val="24"/>
              </w:rPr>
              <w:t>.1-</w:t>
            </w:r>
            <w:r>
              <w:rPr>
                <w:rFonts w:hAnsi="宋体" w:cs="宋体"/>
                <w:szCs w:val="24"/>
              </w:rPr>
              <w:t>5</w:t>
            </w:r>
            <w:r>
              <w:rPr>
                <w:rFonts w:hint="eastAsia" w:hAnsi="宋体" w:cs="宋体"/>
                <w:szCs w:val="24"/>
              </w:rPr>
              <w:t>分，方案较差，计1-</w:t>
            </w:r>
            <w:r>
              <w:rPr>
                <w:rFonts w:hAnsi="宋体" w:cs="宋体"/>
                <w:szCs w:val="24"/>
              </w:rPr>
              <w:t>3</w:t>
            </w:r>
            <w:r>
              <w:rPr>
                <w:rFonts w:hint="eastAsia" w:hAnsi="宋体" w:cs="宋体"/>
                <w:szCs w:val="24"/>
              </w:rPr>
              <w:t>分，未提供不计分。</w:t>
            </w:r>
          </w:p>
          <w:p>
            <w:pPr>
              <w:pStyle w:val="7"/>
              <w:spacing w:before="0"/>
              <w:ind w:left="0" w:firstLine="0"/>
              <w:rPr>
                <w:rFonts w:ascii="宋体" w:hAnsi="宋体" w:cs="宋体"/>
              </w:rPr>
            </w:pPr>
            <w:r>
              <w:rPr>
                <w:rFonts w:hint="eastAsia" w:ascii="宋体" w:hAnsi="宋体" w:cs="宋体"/>
                <w:szCs w:val="24"/>
              </w:rPr>
              <w:t>2</w:t>
            </w:r>
            <w:r>
              <w:rPr>
                <w:rFonts w:hint="eastAsia" w:ascii="宋体" w:hAnsi="宋体" w:cs="宋体"/>
                <w:szCs w:val="24"/>
                <w:lang w:val="en-US" w:eastAsia="zh-CN"/>
              </w:rPr>
              <w:t>.</w:t>
            </w:r>
            <w:r>
              <w:rPr>
                <w:rFonts w:hint="eastAsia" w:ascii="宋体" w:hAnsi="宋体" w:cs="宋体"/>
                <w:szCs w:val="24"/>
              </w:rPr>
              <w:t>根据供应商提供的培训方案及培训效果保证措施等进行评分，方案完善、工作目标明确、科学合理、培训效果保证措施充分，计</w:t>
            </w:r>
            <w:r>
              <w:rPr>
                <w:rFonts w:hint="eastAsia" w:ascii="宋体" w:hAnsi="宋体" w:cs="宋体"/>
                <w:szCs w:val="24"/>
                <w:lang w:val="en-US" w:eastAsia="zh-CN"/>
              </w:rPr>
              <w:t>5</w:t>
            </w:r>
            <w:r>
              <w:rPr>
                <w:rFonts w:hint="eastAsia" w:ascii="宋体" w:hAnsi="宋体" w:cs="宋体"/>
                <w:szCs w:val="24"/>
              </w:rPr>
              <w:t>.1-</w:t>
            </w:r>
            <w:r>
              <w:rPr>
                <w:rFonts w:hint="eastAsia" w:ascii="宋体" w:hAnsi="宋体" w:cs="宋体"/>
                <w:szCs w:val="24"/>
                <w:lang w:val="en-US" w:eastAsia="zh-CN"/>
              </w:rPr>
              <w:t>7</w:t>
            </w:r>
            <w:r>
              <w:rPr>
                <w:rFonts w:hint="eastAsia" w:ascii="宋体" w:hAnsi="宋体" w:cs="宋体"/>
                <w:szCs w:val="24"/>
              </w:rPr>
              <w:t>分，有培训方案、目标较明确、措施和各项工作目标、条理性不强，计</w:t>
            </w:r>
            <w:r>
              <w:rPr>
                <w:rFonts w:hint="eastAsia" w:ascii="宋体" w:hAnsi="宋体" w:cs="宋体"/>
                <w:szCs w:val="24"/>
                <w:lang w:val="en-US" w:eastAsia="zh-CN"/>
              </w:rPr>
              <w:t>3</w:t>
            </w:r>
            <w:r>
              <w:rPr>
                <w:rFonts w:hint="eastAsia" w:ascii="宋体" w:hAnsi="宋体" w:cs="宋体"/>
                <w:szCs w:val="24"/>
              </w:rPr>
              <w:t>.1-</w:t>
            </w:r>
            <w:r>
              <w:rPr>
                <w:rFonts w:hint="eastAsia" w:ascii="宋体" w:hAnsi="宋体" w:cs="宋体"/>
                <w:szCs w:val="24"/>
                <w:lang w:val="en-US" w:eastAsia="zh-CN"/>
              </w:rPr>
              <w:t>5</w:t>
            </w:r>
            <w:r>
              <w:rPr>
                <w:rFonts w:hint="eastAsia" w:ascii="宋体" w:hAnsi="宋体" w:cs="宋体"/>
                <w:szCs w:val="24"/>
              </w:rPr>
              <w:t>分，方案较差，计1-</w:t>
            </w:r>
            <w:r>
              <w:rPr>
                <w:rFonts w:hint="eastAsia" w:ascii="宋体" w:hAnsi="宋体" w:cs="宋体"/>
                <w:szCs w:val="24"/>
                <w:lang w:val="en-US" w:eastAsia="zh-CN"/>
              </w:rPr>
              <w:t>3</w:t>
            </w:r>
            <w:r>
              <w:rPr>
                <w:rFonts w:hint="eastAsia" w:ascii="宋体" w:hAnsi="宋体" w:cs="宋体"/>
                <w:szCs w:val="24"/>
              </w:rPr>
              <w:t>分，未提供不计分。</w:t>
            </w:r>
          </w:p>
        </w:tc>
        <w:tc>
          <w:tcPr>
            <w:tcW w:w="736" w:type="dxa"/>
            <w:vAlign w:val="center"/>
          </w:tcPr>
          <w:p>
            <w:pPr>
              <w:spacing w:line="560" w:lineRule="exact"/>
              <w:jc w:val="center"/>
              <w:rPr>
                <w:rFonts w:hAnsi="宋体" w:cs="宋体"/>
                <w:szCs w:val="24"/>
              </w:rPr>
            </w:pPr>
            <w:r>
              <w:rPr>
                <w:rFonts w:hAnsi="宋体" w:cs="宋体"/>
                <w:szCs w:val="24"/>
              </w:rPr>
              <w:t>1</w:t>
            </w:r>
            <w:r>
              <w:rPr>
                <w:rFonts w:hint="eastAsia" w:hAnsi="宋体" w:cs="宋体"/>
                <w:szCs w:val="24"/>
                <w:lang w:val="en-US" w:eastAsia="zh-CN"/>
              </w:rPr>
              <w:t>4</w:t>
            </w:r>
            <w:r>
              <w:rPr>
                <w:rFonts w:hint="eastAsia" w:hAnsi="宋体" w:cs="宋体"/>
                <w:szCs w:val="24"/>
              </w:rPr>
              <w:t>分</w:t>
            </w:r>
          </w:p>
        </w:tc>
        <w:tc>
          <w:tcPr>
            <w:tcW w:w="808" w:type="dxa"/>
            <w:vMerge w:val="continue"/>
            <w:vAlign w:val="center"/>
          </w:tcPr>
          <w:p>
            <w:pPr>
              <w:spacing w:line="560" w:lineRule="exact"/>
              <w:rPr>
                <w:rFonts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9" w:type="dxa"/>
            <w:vAlign w:val="center"/>
          </w:tcPr>
          <w:p>
            <w:pPr>
              <w:spacing w:line="560" w:lineRule="exact"/>
              <w:jc w:val="center"/>
              <w:rPr>
                <w:rFonts w:hAnsi="宋体" w:cs="宋体"/>
                <w:b/>
                <w:szCs w:val="24"/>
              </w:rPr>
            </w:pPr>
            <w:r>
              <w:rPr>
                <w:rFonts w:hint="eastAsia" w:hAnsi="宋体" w:cs="宋体"/>
                <w:b/>
                <w:szCs w:val="24"/>
              </w:rPr>
              <w:t>节能环保产品</w:t>
            </w:r>
          </w:p>
        </w:tc>
        <w:tc>
          <w:tcPr>
            <w:tcW w:w="1463" w:type="dxa"/>
            <w:gridSpan w:val="2"/>
            <w:vAlign w:val="center"/>
          </w:tcPr>
          <w:p>
            <w:pPr>
              <w:spacing w:line="288" w:lineRule="auto"/>
              <w:jc w:val="center"/>
              <w:rPr>
                <w:rFonts w:hAnsi="宋体" w:cs="宋体"/>
                <w:szCs w:val="24"/>
              </w:rPr>
            </w:pPr>
            <w:r>
              <w:rPr>
                <w:rFonts w:hAnsi="宋体" w:cs="宋体"/>
                <w:b/>
                <w:bCs/>
                <w:szCs w:val="24"/>
              </w:rPr>
              <w:t>1</w:t>
            </w:r>
            <w:r>
              <w:rPr>
                <w:rFonts w:hint="eastAsia" w:hAnsi="宋体" w:cs="宋体"/>
                <w:b/>
                <w:bCs/>
                <w:szCs w:val="24"/>
              </w:rPr>
              <w:t>分</w:t>
            </w:r>
          </w:p>
        </w:tc>
        <w:tc>
          <w:tcPr>
            <w:tcW w:w="6105" w:type="dxa"/>
            <w:vAlign w:val="center"/>
          </w:tcPr>
          <w:p>
            <w:pPr>
              <w:pStyle w:val="7"/>
              <w:spacing w:before="0"/>
              <w:ind w:left="0" w:firstLine="0"/>
              <w:rPr>
                <w:rFonts w:hint="default" w:ascii="宋体" w:hAnsi="宋体" w:eastAsia="宋体" w:cs="宋体"/>
                <w:bCs w:val="0"/>
                <w:kern w:val="0"/>
                <w:szCs w:val="24"/>
                <w:lang w:val="en-US" w:eastAsia="zh-CN"/>
              </w:rPr>
            </w:pPr>
            <w:r>
              <w:rPr>
                <w:rFonts w:hint="eastAsia" w:ascii="宋体" w:hAnsi="宋体" w:cs="宋体"/>
                <w:bCs w:val="0"/>
                <w:kern w:val="0"/>
                <w:szCs w:val="24"/>
              </w:rPr>
              <w:t>投标产品为节能、环境标志产品品目清单中优先采购的产品，须提供国家确定的认证机构出具的、处于有效期之内的节能、环境标志产品认证证书，</w:t>
            </w:r>
            <w:r>
              <w:rPr>
                <w:rFonts w:hint="eastAsia" w:ascii="宋体" w:hAnsi="宋体" w:cs="宋体"/>
                <w:bCs w:val="0"/>
                <w:kern w:val="0"/>
                <w:szCs w:val="24"/>
                <w:lang w:eastAsia="zh-CN"/>
              </w:rPr>
              <w:t>每</w:t>
            </w:r>
            <w:r>
              <w:rPr>
                <w:rFonts w:hint="eastAsia" w:ascii="宋体" w:hAnsi="宋体" w:cs="宋体"/>
                <w:bCs w:val="0"/>
                <w:kern w:val="0"/>
                <w:szCs w:val="24"/>
              </w:rPr>
              <w:t>提供一个得</w:t>
            </w:r>
            <w:r>
              <w:rPr>
                <w:rFonts w:hint="eastAsia" w:ascii="宋体" w:hAnsi="宋体" w:cs="宋体"/>
                <w:bCs w:val="0"/>
                <w:kern w:val="0"/>
                <w:szCs w:val="24"/>
                <w:lang w:val="en-US" w:eastAsia="zh-CN"/>
              </w:rPr>
              <w:t>0.5</w:t>
            </w:r>
            <w:r>
              <w:rPr>
                <w:rFonts w:hint="eastAsia" w:ascii="宋体" w:hAnsi="宋体" w:cs="宋体"/>
                <w:bCs w:val="0"/>
                <w:kern w:val="0"/>
                <w:szCs w:val="24"/>
              </w:rPr>
              <w:t>分</w:t>
            </w:r>
            <w:r>
              <w:rPr>
                <w:rFonts w:hint="eastAsia" w:ascii="宋体" w:hAnsi="宋体" w:cs="宋体"/>
                <w:bCs w:val="0"/>
                <w:kern w:val="0"/>
                <w:szCs w:val="24"/>
                <w:lang w:eastAsia="zh-CN"/>
              </w:rPr>
              <w:t>，共计</w:t>
            </w:r>
            <w:r>
              <w:rPr>
                <w:rFonts w:hint="eastAsia" w:ascii="宋体" w:hAnsi="宋体" w:cs="宋体"/>
                <w:bCs w:val="0"/>
                <w:kern w:val="0"/>
                <w:szCs w:val="24"/>
                <w:lang w:val="en-US" w:eastAsia="zh-CN"/>
              </w:rPr>
              <w:t>1分。</w:t>
            </w:r>
          </w:p>
        </w:tc>
        <w:tc>
          <w:tcPr>
            <w:tcW w:w="736" w:type="dxa"/>
            <w:vAlign w:val="center"/>
          </w:tcPr>
          <w:p>
            <w:pPr>
              <w:spacing w:line="560" w:lineRule="exact"/>
              <w:jc w:val="center"/>
              <w:rPr>
                <w:rFonts w:hAnsi="宋体" w:cs="宋体"/>
                <w:szCs w:val="24"/>
              </w:rPr>
            </w:pPr>
            <w:r>
              <w:rPr>
                <w:rFonts w:hAnsi="宋体" w:cs="宋体"/>
                <w:szCs w:val="24"/>
              </w:rPr>
              <w:t>1</w:t>
            </w:r>
            <w:r>
              <w:rPr>
                <w:rFonts w:hint="eastAsia" w:hAnsi="宋体" w:cs="宋体"/>
                <w:szCs w:val="24"/>
              </w:rPr>
              <w:t>分</w:t>
            </w:r>
          </w:p>
        </w:tc>
        <w:tc>
          <w:tcPr>
            <w:tcW w:w="808" w:type="dxa"/>
            <w:vAlign w:val="center"/>
          </w:tcPr>
          <w:p>
            <w:pPr>
              <w:spacing w:line="560" w:lineRule="exact"/>
              <w:rPr>
                <w:rFonts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jc w:val="center"/>
        </w:trPr>
        <w:tc>
          <w:tcPr>
            <w:tcW w:w="699" w:type="dxa"/>
            <w:vAlign w:val="center"/>
          </w:tcPr>
          <w:p>
            <w:pPr>
              <w:spacing w:line="560" w:lineRule="exact"/>
              <w:jc w:val="center"/>
              <w:rPr>
                <w:rFonts w:hAnsi="宋体" w:cs="宋体"/>
                <w:b/>
                <w:szCs w:val="24"/>
              </w:rPr>
            </w:pPr>
            <w:r>
              <w:rPr>
                <w:rFonts w:hint="eastAsia" w:hAnsi="宋体" w:cs="宋体"/>
                <w:b/>
                <w:szCs w:val="24"/>
              </w:rPr>
              <w:t>备注</w:t>
            </w:r>
          </w:p>
        </w:tc>
        <w:tc>
          <w:tcPr>
            <w:tcW w:w="9112" w:type="dxa"/>
            <w:gridSpan w:val="5"/>
            <w:tcBorders>
              <w:top w:val="single" w:color="auto" w:sz="4" w:space="0"/>
              <w:bottom w:val="single" w:color="auto" w:sz="4" w:space="0"/>
            </w:tcBorders>
          </w:tcPr>
          <w:p>
            <w:pPr>
              <w:spacing w:line="360" w:lineRule="auto"/>
              <w:jc w:val="left"/>
              <w:rPr>
                <w:rFonts w:hint="eastAsia" w:hAnsi="宋体" w:cs="宋体"/>
                <w:szCs w:val="24"/>
              </w:rPr>
            </w:pPr>
            <w:r>
              <w:rPr>
                <w:rFonts w:hint="eastAsia" w:hAnsi="宋体" w:cs="宋体"/>
                <w:szCs w:val="24"/>
              </w:rPr>
              <w:t>1.各评委应按照本评标方法独立打分。</w:t>
            </w:r>
          </w:p>
          <w:p>
            <w:pPr>
              <w:spacing w:line="360" w:lineRule="auto"/>
              <w:jc w:val="left"/>
              <w:rPr>
                <w:rFonts w:hint="eastAsia" w:hAnsi="宋体" w:cs="宋体"/>
                <w:szCs w:val="24"/>
              </w:rPr>
            </w:pPr>
            <w:r>
              <w:rPr>
                <w:rFonts w:hint="eastAsia" w:hAnsi="宋体" w:cs="宋体"/>
                <w:szCs w:val="24"/>
              </w:rPr>
              <w:t>2.分项评分超出评分标准范围或评标委员会成员对客观评审因素评分不一致时，采购代理机构可以要求评标委员会复核或者书面说明理由，评标委员会拒绝的，应予记录并向本级财政部门报告。</w:t>
            </w:r>
          </w:p>
          <w:p>
            <w:pPr>
              <w:spacing w:line="360" w:lineRule="auto"/>
              <w:jc w:val="left"/>
              <w:rPr>
                <w:rFonts w:hint="eastAsia" w:hAnsi="宋体" w:cs="宋体"/>
                <w:szCs w:val="24"/>
              </w:rPr>
            </w:pPr>
            <w:r>
              <w:rPr>
                <w:rFonts w:hint="eastAsia" w:hAnsi="宋体" w:cs="宋体"/>
                <w:szCs w:val="24"/>
              </w:rPr>
              <w:t>3.若出现综合得分并列时，比较价格得分，此分项得分高者排序在前；若价格得分仍相同，比较技术得分，此分项得分高者排序在前；若技术得分仍相同，则由全体评标委员会成员无记名投票，得票高者排序在前。</w:t>
            </w:r>
          </w:p>
          <w:p>
            <w:pPr>
              <w:spacing w:line="360" w:lineRule="auto"/>
              <w:jc w:val="left"/>
              <w:rPr>
                <w:rFonts w:hint="eastAsia" w:hAnsi="宋体" w:cs="宋体"/>
                <w:szCs w:val="24"/>
              </w:rPr>
            </w:pPr>
            <w:r>
              <w:rPr>
                <w:rFonts w:hint="eastAsia" w:hAnsi="宋体" w:cs="宋体"/>
                <w:szCs w:val="24"/>
              </w:rPr>
              <w:t>4.各种计算采用插入法，数字均保留两位小数，第三位“四舍五入”。</w:t>
            </w:r>
          </w:p>
          <w:p>
            <w:pPr>
              <w:spacing w:line="560" w:lineRule="exact"/>
              <w:rPr>
                <w:rFonts w:hAnsi="宋体" w:cs="宋体"/>
                <w:szCs w:val="24"/>
              </w:rPr>
            </w:pPr>
            <w:r>
              <w:rPr>
                <w:rFonts w:hint="eastAsia" w:hAnsi="宋体" w:cs="宋体"/>
              </w:rPr>
              <w:t>5.评标过程中，若出现特殊情况时，由评标委员会决定暂停评标，并提出具体处理意见。</w:t>
            </w:r>
          </w:p>
        </w:tc>
      </w:tr>
    </w:tbl>
    <w:p>
      <w:pPr>
        <w:pStyle w:val="2"/>
        <w:rPr>
          <w:rFonts w:cs="仿宋" w:asciiTheme="minorEastAsia" w:hAnsiTheme="minorEastAsia" w:eastAsiaTheme="minorEastAsia"/>
          <w:b/>
          <w:sz w:val="24"/>
          <w:szCs w:val="24"/>
        </w:rPr>
      </w:pPr>
    </w:p>
    <w:p>
      <w:pPr>
        <w:pStyle w:val="2"/>
        <w:rPr>
          <w:rFonts w:cs="仿宋" w:asciiTheme="minorEastAsia" w:hAnsiTheme="minorEastAsia" w:eastAsiaTheme="minorEastAsia"/>
          <w:b/>
          <w:sz w:val="24"/>
          <w:szCs w:val="24"/>
        </w:rPr>
      </w:pPr>
    </w:p>
    <w:p>
      <w:pPr>
        <w:pStyle w:val="2"/>
        <w:rPr>
          <w:rFonts w:cs="仿宋" w:asciiTheme="minorEastAsia" w:hAnsiTheme="minorEastAsia" w:eastAsiaTheme="minorEastAsia"/>
          <w:b/>
          <w:sz w:val="24"/>
          <w:szCs w:val="24"/>
        </w:rPr>
      </w:pPr>
    </w:p>
    <w:p>
      <w:pPr>
        <w:pStyle w:val="2"/>
        <w:rPr>
          <w:rFonts w:cs="仿宋" w:asciiTheme="minorEastAsia" w:hAnsiTheme="minorEastAsia" w:eastAsiaTheme="minorEastAsia"/>
          <w:b/>
          <w:sz w:val="24"/>
          <w:szCs w:val="24"/>
        </w:rPr>
      </w:pPr>
    </w:p>
    <w:p>
      <w:pPr>
        <w:pStyle w:val="2"/>
        <w:rPr>
          <w:rFonts w:cs="仿宋" w:asciiTheme="minorEastAsia" w:hAnsiTheme="minorEastAsia" w:eastAsiaTheme="minorEastAsia"/>
          <w:b/>
          <w:sz w:val="24"/>
          <w:szCs w:val="24"/>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bookmarkEnd w:id="31"/>
    <w:bookmarkEnd w:id="132"/>
    <w:bookmarkEnd w:id="133"/>
    <w:bookmarkEnd w:id="134"/>
    <w:bookmarkEnd w:id="135"/>
    <w:bookmarkEnd w:id="136"/>
    <w:bookmarkEnd w:id="137"/>
    <w:bookmarkEnd w:id="138"/>
    <w:p>
      <w:pPr>
        <w:pStyle w:val="3"/>
        <w:spacing w:line="360" w:lineRule="auto"/>
        <w:jc w:val="center"/>
        <w:rPr>
          <w:rFonts w:ascii="宋体" w:eastAsia="宋体" w:cs="宋体"/>
          <w:bCs/>
          <w:sz w:val="36"/>
          <w:szCs w:val="36"/>
        </w:rPr>
      </w:pPr>
      <w:bookmarkStart w:id="166" w:name="_Toc28411"/>
      <w:bookmarkStart w:id="167" w:name="_Toc31555"/>
      <w:bookmarkStart w:id="168" w:name="_Toc363474025"/>
      <w:bookmarkStart w:id="169" w:name="_Toc426457698"/>
      <w:bookmarkStart w:id="170" w:name="_Toc22538"/>
      <w:bookmarkStart w:id="171" w:name="_Toc8830"/>
      <w:r>
        <w:rPr>
          <w:rFonts w:hint="eastAsia" w:ascii="宋体" w:eastAsia="宋体" w:cs="宋体"/>
          <w:bCs/>
          <w:sz w:val="36"/>
          <w:szCs w:val="36"/>
        </w:rPr>
        <w:t>第六章 投标文件构成及格式</w:t>
      </w:r>
      <w:bookmarkEnd w:id="166"/>
      <w:bookmarkEnd w:id="167"/>
      <w:bookmarkEnd w:id="168"/>
      <w:bookmarkEnd w:id="169"/>
      <w:bookmarkEnd w:id="170"/>
      <w:bookmarkEnd w:id="171"/>
    </w:p>
    <w:p>
      <w:pPr>
        <w:rPr>
          <w:rFonts w:hAnsi="宋体" w:cs="宋体"/>
        </w:rPr>
      </w:pPr>
    </w:p>
    <w:p>
      <w:pPr>
        <w:rPr>
          <w:rFonts w:hint="eastAsia" w:hAnsi="宋体" w:eastAsia="宋体" w:cs="宋体"/>
          <w:b/>
          <w:sz w:val="32"/>
          <w:szCs w:val="32"/>
          <w:lang w:eastAsia="zh-CN"/>
        </w:rPr>
      </w:pPr>
      <w:r>
        <w:rPr>
          <w:rFonts w:hint="eastAsia" w:hAnsi="宋体" w:cs="宋体"/>
          <w:b/>
          <w:sz w:val="32"/>
          <w:szCs w:val="32"/>
        </w:rPr>
        <w:t>项目编号：</w:t>
      </w:r>
      <w:r>
        <w:rPr>
          <w:rFonts w:hint="eastAsia" w:hAnsi="宋体" w:cs="宋体"/>
          <w:b/>
          <w:sz w:val="32"/>
          <w:szCs w:val="32"/>
          <w:lang w:eastAsia="zh-CN"/>
        </w:rPr>
        <w:t>SXWXZBDL2023-ZC-GK100</w:t>
      </w:r>
      <w:r>
        <w:rPr>
          <w:rFonts w:hint="eastAsia" w:hAnsi="宋体" w:cs="宋体"/>
          <w:b/>
          <w:sz w:val="32"/>
          <w:szCs w:val="32"/>
          <w:lang w:val="en-US" w:eastAsia="zh-CN"/>
        </w:rPr>
        <w:t>4</w:t>
      </w:r>
    </w:p>
    <w:p>
      <w:pPr>
        <w:jc w:val="right"/>
        <w:rPr>
          <w:rFonts w:hAnsi="宋体" w:cs="宋体"/>
          <w:b/>
          <w:sz w:val="32"/>
          <w:szCs w:val="32"/>
        </w:rPr>
      </w:pPr>
      <w:r>
        <w:rPr>
          <w:rFonts w:hint="eastAsia" w:hAnsi="宋体" w:cs="宋体"/>
          <w:b/>
          <w:sz w:val="32"/>
          <w:szCs w:val="32"/>
        </w:rPr>
        <w:t>（正本或副本）</w:t>
      </w:r>
    </w:p>
    <w:p>
      <w:pPr>
        <w:jc w:val="center"/>
        <w:rPr>
          <w:rFonts w:hAnsi="宋体" w:cs="宋体"/>
          <w:b/>
          <w:sz w:val="36"/>
          <w:szCs w:val="36"/>
        </w:rPr>
      </w:pPr>
    </w:p>
    <w:p>
      <w:pPr>
        <w:rPr>
          <w:rFonts w:hAnsi="宋体" w:cs="宋体"/>
          <w:b/>
          <w:sz w:val="52"/>
          <w:szCs w:val="52"/>
        </w:rPr>
      </w:pPr>
    </w:p>
    <w:p>
      <w:pPr>
        <w:jc w:val="center"/>
        <w:rPr>
          <w:rFonts w:hint="eastAsia" w:hAnsi="宋体" w:eastAsia="宋体" w:cs="宋体"/>
          <w:b/>
          <w:sz w:val="48"/>
          <w:szCs w:val="48"/>
          <w:lang w:eastAsia="zh-CN"/>
        </w:rPr>
      </w:pPr>
      <w:r>
        <w:rPr>
          <w:rFonts w:hint="eastAsia" w:hAnsi="宋体" w:cs="宋体"/>
          <w:b/>
          <w:sz w:val="48"/>
          <w:szCs w:val="48"/>
          <w:lang w:eastAsia="zh-CN"/>
        </w:rPr>
        <w:t>西安市公安局未央分局2023年中省指挥、刑侦派出所警用装备、办公设备项目</w:t>
      </w:r>
    </w:p>
    <w:p>
      <w:pPr>
        <w:rPr>
          <w:rFonts w:hAnsi="宋体" w:cs="宋体"/>
          <w:b/>
          <w:sz w:val="48"/>
          <w:szCs w:val="48"/>
        </w:rPr>
      </w:pPr>
    </w:p>
    <w:p>
      <w:pPr>
        <w:rPr>
          <w:rFonts w:hAnsi="宋体" w:cs="宋体"/>
          <w:b/>
          <w:sz w:val="48"/>
          <w:szCs w:val="48"/>
        </w:rPr>
      </w:pPr>
    </w:p>
    <w:p>
      <w:pPr>
        <w:jc w:val="center"/>
        <w:rPr>
          <w:rFonts w:hAnsi="宋体" w:cs="宋体"/>
          <w:b/>
          <w:sz w:val="72"/>
          <w:szCs w:val="72"/>
        </w:rPr>
      </w:pPr>
      <w:r>
        <w:rPr>
          <w:rFonts w:hint="eastAsia" w:hAnsi="宋体" w:cs="宋体"/>
          <w:b/>
          <w:sz w:val="72"/>
          <w:szCs w:val="72"/>
        </w:rPr>
        <w:t>投 标 文 件</w:t>
      </w:r>
    </w:p>
    <w:p>
      <w:pPr>
        <w:jc w:val="center"/>
        <w:rPr>
          <w:rFonts w:hint="eastAsia" w:hAnsi="宋体" w:eastAsia="宋体" w:cs="宋体"/>
          <w:b/>
          <w:sz w:val="44"/>
          <w:szCs w:val="44"/>
          <w:lang w:eastAsia="zh-CN"/>
        </w:rPr>
      </w:pPr>
      <w:r>
        <w:rPr>
          <w:rFonts w:hint="eastAsia" w:hAnsi="宋体" w:cs="宋体"/>
          <w:b/>
          <w:sz w:val="44"/>
          <w:szCs w:val="44"/>
          <w:lang w:eastAsia="zh-CN"/>
        </w:rPr>
        <w:t>（包号：）</w:t>
      </w:r>
    </w:p>
    <w:p>
      <w:pPr>
        <w:rPr>
          <w:rFonts w:hAnsi="宋体" w:cs="宋体"/>
          <w:b/>
          <w:sz w:val="36"/>
          <w:szCs w:val="36"/>
        </w:rPr>
      </w:pPr>
    </w:p>
    <w:p>
      <w:pPr>
        <w:tabs>
          <w:tab w:val="center" w:pos="5346"/>
        </w:tabs>
        <w:spacing w:line="720" w:lineRule="auto"/>
        <w:jc w:val="center"/>
        <w:rPr>
          <w:rFonts w:hAnsi="宋体" w:cs="宋体"/>
          <w:b/>
          <w:sz w:val="32"/>
          <w:szCs w:val="32"/>
        </w:rPr>
      </w:pPr>
      <w:r>
        <w:rPr>
          <w:rFonts w:hint="eastAsia" w:hAnsi="宋体" w:cs="宋体"/>
          <w:b/>
          <w:sz w:val="32"/>
          <w:szCs w:val="32"/>
        </w:rPr>
        <w:t xml:space="preserve"> 供应商名称：</w:t>
      </w:r>
      <w:r>
        <w:rPr>
          <w:rFonts w:hint="eastAsia" w:hAnsi="宋体" w:cs="宋体"/>
          <w:b/>
          <w:sz w:val="32"/>
          <w:szCs w:val="32"/>
          <w:u w:val="single"/>
        </w:rPr>
        <w:t xml:space="preserve">               </w:t>
      </w:r>
      <w:r>
        <w:rPr>
          <w:rFonts w:hint="eastAsia" w:hAnsi="宋体" w:cs="宋体"/>
          <w:b/>
          <w:sz w:val="32"/>
          <w:szCs w:val="32"/>
        </w:rPr>
        <w:t>（公章）</w:t>
      </w:r>
    </w:p>
    <w:p>
      <w:pPr>
        <w:spacing w:line="720" w:lineRule="auto"/>
        <w:jc w:val="center"/>
        <w:rPr>
          <w:rFonts w:hAnsi="宋体" w:cs="宋体"/>
          <w:b/>
          <w:bCs/>
          <w:sz w:val="32"/>
          <w:szCs w:val="32"/>
        </w:rPr>
      </w:pPr>
      <w:r>
        <w:rPr>
          <w:rFonts w:hint="eastAsia" w:hAnsi="宋体" w:cs="宋体"/>
          <w:b/>
          <w:sz w:val="32"/>
          <w:szCs w:val="32"/>
        </w:rPr>
        <w:t xml:space="preserve">  年   月   日</w:t>
      </w:r>
      <w:r>
        <w:rPr>
          <w:rFonts w:hint="eastAsia" w:hAnsi="宋体" w:cs="宋体"/>
          <w:b/>
          <w:sz w:val="36"/>
          <w:szCs w:val="36"/>
        </w:rPr>
        <w:br w:type="page"/>
      </w:r>
      <w:bookmarkStart w:id="172" w:name="_Toc426457699"/>
      <w:bookmarkStart w:id="173" w:name="_Toc23850"/>
      <w:bookmarkStart w:id="174" w:name="_Toc363474026"/>
      <w:bookmarkStart w:id="175" w:name="_Toc23267"/>
      <w:bookmarkStart w:id="176" w:name="_Toc22537"/>
      <w:bookmarkStart w:id="177" w:name="_Toc17702"/>
      <w:bookmarkStart w:id="178" w:name="_Toc403077647"/>
      <w:bookmarkStart w:id="179" w:name="_Toc30983"/>
      <w:r>
        <w:rPr>
          <w:rFonts w:hint="eastAsia" w:hAnsi="宋体" w:cs="宋体"/>
          <w:b/>
          <w:bCs/>
          <w:sz w:val="32"/>
          <w:szCs w:val="32"/>
        </w:rPr>
        <w:t>目    录</w:t>
      </w:r>
      <w:bookmarkEnd w:id="172"/>
      <w:bookmarkEnd w:id="173"/>
      <w:bookmarkEnd w:id="174"/>
      <w:bookmarkEnd w:id="175"/>
      <w:bookmarkEnd w:id="176"/>
      <w:bookmarkEnd w:id="177"/>
      <w:bookmarkEnd w:id="178"/>
      <w:bookmarkEnd w:id="179"/>
    </w:p>
    <w:p>
      <w:pPr>
        <w:numPr>
          <w:ilvl w:val="0"/>
          <w:numId w:val="15"/>
        </w:numPr>
        <w:tabs>
          <w:tab w:val="left" w:pos="1418"/>
        </w:tabs>
        <w:spacing w:line="720" w:lineRule="auto"/>
        <w:ind w:left="831"/>
        <w:rPr>
          <w:rFonts w:hAnsi="宋体" w:cs="宋体"/>
          <w:spacing w:val="4"/>
          <w:szCs w:val="24"/>
        </w:rPr>
      </w:pPr>
      <w:r>
        <w:rPr>
          <w:rFonts w:hint="eastAsia" w:hAnsi="宋体" w:cs="宋体"/>
          <w:spacing w:val="4"/>
          <w:szCs w:val="24"/>
        </w:rPr>
        <w:t>投标函</w:t>
      </w:r>
    </w:p>
    <w:p>
      <w:pPr>
        <w:numPr>
          <w:ilvl w:val="0"/>
          <w:numId w:val="15"/>
        </w:numPr>
        <w:tabs>
          <w:tab w:val="left" w:pos="1418"/>
        </w:tabs>
        <w:spacing w:line="720" w:lineRule="auto"/>
        <w:ind w:left="831"/>
        <w:rPr>
          <w:rFonts w:hAnsi="宋体" w:cs="宋体"/>
          <w:spacing w:val="4"/>
          <w:szCs w:val="24"/>
        </w:rPr>
      </w:pPr>
      <w:r>
        <w:rPr>
          <w:rFonts w:hint="eastAsia" w:hAnsi="宋体" w:cs="宋体"/>
          <w:spacing w:val="4"/>
          <w:szCs w:val="24"/>
        </w:rPr>
        <w:t>投标报价表</w:t>
      </w:r>
    </w:p>
    <w:p>
      <w:pPr>
        <w:numPr>
          <w:ilvl w:val="0"/>
          <w:numId w:val="15"/>
        </w:numPr>
        <w:tabs>
          <w:tab w:val="left" w:pos="1418"/>
        </w:tabs>
        <w:spacing w:line="720" w:lineRule="auto"/>
        <w:ind w:left="831"/>
        <w:rPr>
          <w:rFonts w:hAnsi="宋体" w:cs="宋体"/>
          <w:spacing w:val="4"/>
          <w:szCs w:val="24"/>
        </w:rPr>
      </w:pPr>
      <w:r>
        <w:rPr>
          <w:rFonts w:hint="eastAsia" w:hAnsi="宋体" w:cs="宋体"/>
          <w:szCs w:val="24"/>
        </w:rPr>
        <w:t>投标方案说明书</w:t>
      </w:r>
    </w:p>
    <w:p>
      <w:pPr>
        <w:numPr>
          <w:ilvl w:val="0"/>
          <w:numId w:val="15"/>
        </w:numPr>
        <w:tabs>
          <w:tab w:val="left" w:pos="1418"/>
        </w:tabs>
        <w:spacing w:line="720" w:lineRule="auto"/>
        <w:ind w:left="831"/>
        <w:rPr>
          <w:rFonts w:hAnsi="宋体" w:cs="宋体"/>
          <w:spacing w:val="4"/>
          <w:szCs w:val="24"/>
        </w:rPr>
      </w:pPr>
      <w:r>
        <w:rPr>
          <w:rFonts w:hint="eastAsia" w:hAnsi="宋体" w:cs="宋体"/>
          <w:szCs w:val="24"/>
        </w:rPr>
        <w:t>商务条款偏离表</w:t>
      </w:r>
    </w:p>
    <w:p>
      <w:pPr>
        <w:numPr>
          <w:ilvl w:val="0"/>
          <w:numId w:val="15"/>
        </w:numPr>
        <w:tabs>
          <w:tab w:val="left" w:pos="1418"/>
        </w:tabs>
        <w:spacing w:line="720" w:lineRule="auto"/>
        <w:ind w:left="831"/>
        <w:rPr>
          <w:rFonts w:hAnsi="宋体" w:cs="宋体"/>
          <w:spacing w:val="4"/>
          <w:szCs w:val="24"/>
        </w:rPr>
      </w:pPr>
      <w:r>
        <w:rPr>
          <w:rFonts w:hint="eastAsia" w:hAnsi="宋体" w:cs="宋体"/>
          <w:spacing w:val="4"/>
          <w:szCs w:val="24"/>
        </w:rPr>
        <w:t>供应商承诺书</w:t>
      </w:r>
    </w:p>
    <w:p>
      <w:pPr>
        <w:numPr>
          <w:ilvl w:val="0"/>
          <w:numId w:val="15"/>
        </w:numPr>
        <w:tabs>
          <w:tab w:val="left" w:pos="1418"/>
        </w:tabs>
        <w:spacing w:line="720" w:lineRule="auto"/>
        <w:ind w:left="831"/>
        <w:rPr>
          <w:rFonts w:hAnsi="宋体" w:cs="宋体"/>
          <w:spacing w:val="4"/>
          <w:szCs w:val="24"/>
        </w:rPr>
      </w:pPr>
      <w:r>
        <w:rPr>
          <w:rFonts w:hint="eastAsia" w:hAnsi="宋体" w:cs="宋体"/>
          <w:szCs w:val="24"/>
        </w:rPr>
        <w:t>资格证明文件</w:t>
      </w:r>
    </w:p>
    <w:p>
      <w:pPr>
        <w:numPr>
          <w:ilvl w:val="0"/>
          <w:numId w:val="15"/>
        </w:numPr>
        <w:tabs>
          <w:tab w:val="left" w:pos="1418"/>
        </w:tabs>
        <w:spacing w:line="720" w:lineRule="auto"/>
        <w:ind w:left="831"/>
        <w:rPr>
          <w:rFonts w:hAnsi="宋体" w:cs="宋体"/>
          <w:szCs w:val="24"/>
        </w:rPr>
      </w:pPr>
      <w:r>
        <w:rPr>
          <w:rFonts w:hint="eastAsia" w:hAnsi="宋体" w:cs="宋体"/>
          <w:szCs w:val="24"/>
        </w:rPr>
        <w:t>其他资料</w:t>
      </w:r>
    </w:p>
    <w:p>
      <w:pPr>
        <w:spacing w:line="480" w:lineRule="auto"/>
        <w:ind w:firstLine="1574" w:firstLineChars="635"/>
        <w:rPr>
          <w:rFonts w:hAnsi="宋体" w:cs="宋体"/>
          <w:spacing w:val="4"/>
          <w:szCs w:val="24"/>
        </w:rPr>
      </w:pPr>
    </w:p>
    <w:p>
      <w:pPr>
        <w:spacing w:line="480" w:lineRule="auto"/>
        <w:ind w:left="105"/>
        <w:rPr>
          <w:rFonts w:hAnsi="宋体" w:cs="宋体"/>
          <w:spacing w:val="4"/>
          <w:szCs w:val="24"/>
        </w:rPr>
      </w:pPr>
    </w:p>
    <w:p>
      <w:pPr>
        <w:pStyle w:val="4"/>
        <w:keepNext w:val="0"/>
        <w:keepLines w:val="0"/>
        <w:widowControl w:val="0"/>
        <w:spacing w:before="166" w:beforeLines="50" w:after="0" w:line="360" w:lineRule="auto"/>
        <w:ind w:left="0"/>
        <w:jc w:val="center"/>
        <w:rPr>
          <w:rFonts w:ascii="宋体" w:hAnsi="宋体" w:cs="宋体"/>
          <w:sz w:val="32"/>
        </w:rPr>
      </w:pPr>
      <w:r>
        <w:rPr>
          <w:rFonts w:hint="eastAsia" w:ascii="宋体" w:hAnsi="宋体" w:cs="宋体"/>
        </w:rPr>
        <w:br w:type="page"/>
      </w:r>
      <w:bookmarkStart w:id="180" w:name="_Toc403077648"/>
      <w:bookmarkStart w:id="181" w:name="_Toc363474027"/>
      <w:bookmarkStart w:id="182" w:name="_Toc24231"/>
      <w:bookmarkStart w:id="183" w:name="_Toc426457700"/>
      <w:bookmarkStart w:id="184" w:name="_Toc14057"/>
      <w:bookmarkStart w:id="185" w:name="_Toc18434"/>
      <w:bookmarkStart w:id="186" w:name="_Toc23702"/>
      <w:bookmarkStart w:id="187" w:name="_Toc4930"/>
      <w:bookmarkStart w:id="188" w:name="_Toc23752"/>
      <w:bookmarkStart w:id="189" w:name="_Toc13414"/>
      <w:bookmarkStart w:id="190" w:name="_Toc28404"/>
      <w:r>
        <w:rPr>
          <w:rFonts w:hint="eastAsia" w:ascii="宋体" w:hAnsi="宋体" w:cs="宋体"/>
          <w:sz w:val="32"/>
        </w:rPr>
        <w:t>一、投标</w:t>
      </w:r>
      <w:bookmarkEnd w:id="180"/>
      <w:bookmarkEnd w:id="181"/>
      <w:r>
        <w:rPr>
          <w:rFonts w:hint="eastAsia" w:ascii="宋体" w:hAnsi="宋体" w:cs="宋体"/>
          <w:sz w:val="32"/>
        </w:rPr>
        <w:t>函</w:t>
      </w:r>
      <w:bookmarkEnd w:id="182"/>
      <w:bookmarkEnd w:id="183"/>
      <w:bookmarkEnd w:id="184"/>
      <w:bookmarkEnd w:id="185"/>
      <w:bookmarkEnd w:id="186"/>
      <w:bookmarkEnd w:id="187"/>
      <w:bookmarkEnd w:id="188"/>
      <w:bookmarkEnd w:id="189"/>
      <w:bookmarkEnd w:id="190"/>
    </w:p>
    <w:p>
      <w:pPr>
        <w:spacing w:line="500" w:lineRule="exact"/>
        <w:jc w:val="left"/>
        <w:rPr>
          <w:rFonts w:hAnsi="宋体" w:cs="宋体"/>
          <w:spacing w:val="4"/>
          <w:szCs w:val="24"/>
          <w:u w:val="single"/>
        </w:rPr>
      </w:pPr>
      <w:r>
        <w:rPr>
          <w:rFonts w:hint="eastAsia" w:hAnsi="宋体" w:cs="宋体"/>
          <w:b/>
          <w:spacing w:val="4"/>
          <w:szCs w:val="24"/>
        </w:rPr>
        <w:t>致</w:t>
      </w:r>
      <w:r>
        <w:rPr>
          <w:rFonts w:hint="eastAsia" w:hAnsi="宋体" w:cs="宋体"/>
          <w:b/>
          <w:spacing w:val="4"/>
          <w:szCs w:val="24"/>
          <w:u w:val="single"/>
        </w:rPr>
        <w:t>：采购人名称/陕西万兴招标代理有限公司</w:t>
      </w:r>
    </w:p>
    <w:p>
      <w:pPr>
        <w:spacing w:line="500" w:lineRule="exact"/>
        <w:ind w:firstLine="496" w:firstLineChars="200"/>
        <w:rPr>
          <w:rFonts w:hAnsi="宋体" w:cs="宋体"/>
          <w:spacing w:val="4"/>
        </w:rPr>
      </w:pPr>
      <w:r>
        <w:rPr>
          <w:rFonts w:hint="eastAsia" w:hAnsi="宋体" w:cs="宋体"/>
          <w:spacing w:val="4"/>
        </w:rPr>
        <w:t xml:space="preserve">根据贵方“ </w:t>
      </w:r>
      <w:r>
        <w:rPr>
          <w:rFonts w:hint="eastAsia" w:hAnsi="宋体" w:cs="宋体"/>
          <w:spacing w:val="4"/>
          <w:u w:val="single"/>
        </w:rPr>
        <w:t xml:space="preserve">      项目名称                 </w:t>
      </w:r>
      <w:r>
        <w:rPr>
          <w:rFonts w:hint="eastAsia" w:hAnsi="宋体" w:cs="宋体"/>
          <w:spacing w:val="4"/>
        </w:rPr>
        <w:t>”的投标邀请</w:t>
      </w:r>
      <w:r>
        <w:rPr>
          <w:rFonts w:hint="eastAsia" w:hAnsi="宋体" w:cs="宋体"/>
          <w:spacing w:val="4"/>
          <w:u w:val="single"/>
        </w:rPr>
        <w:t xml:space="preserve">(编号：    </w:t>
      </w:r>
      <w:r>
        <w:rPr>
          <w:rFonts w:hint="eastAsia" w:hAnsi="宋体" w:cs="宋体"/>
          <w:color w:val="auto"/>
          <w:spacing w:val="4"/>
          <w:highlight w:val="none"/>
          <w:u w:val="single"/>
        </w:rPr>
        <w:t>包号：</w:t>
      </w:r>
      <w:r>
        <w:rPr>
          <w:rFonts w:hint="eastAsia" w:hAnsi="宋体" w:cs="宋体"/>
          <w:spacing w:val="4"/>
          <w:u w:val="single"/>
        </w:rPr>
        <w:t xml:space="preserve">    )</w:t>
      </w:r>
      <w:r>
        <w:rPr>
          <w:rFonts w:hint="eastAsia" w:hAnsi="宋体" w:cs="宋体"/>
          <w:spacing w:val="4"/>
        </w:rPr>
        <w:t>，签字代表</w:t>
      </w:r>
      <w:r>
        <w:rPr>
          <w:rFonts w:hint="eastAsia" w:hAnsi="宋体" w:cs="宋体"/>
          <w:spacing w:val="4"/>
          <w:u w:val="single"/>
        </w:rPr>
        <w:t>（全名、职务）</w:t>
      </w:r>
      <w:r>
        <w:rPr>
          <w:rFonts w:hint="eastAsia" w:hAnsi="宋体" w:cs="宋体"/>
          <w:spacing w:val="4"/>
        </w:rPr>
        <w:t>经正式授权并代表供应商</w:t>
      </w:r>
      <w:r>
        <w:rPr>
          <w:rFonts w:hint="eastAsia" w:hAnsi="宋体" w:cs="宋体"/>
          <w:spacing w:val="4"/>
          <w:u w:val="single"/>
        </w:rPr>
        <w:t>(供应商名称、地址)</w:t>
      </w:r>
      <w:r>
        <w:rPr>
          <w:rFonts w:hint="eastAsia" w:hAnsi="宋体" w:cs="宋体"/>
          <w:spacing w:val="4"/>
        </w:rPr>
        <w:t xml:space="preserve"> 提交</w:t>
      </w:r>
      <w:r>
        <w:rPr>
          <w:rFonts w:hint="eastAsia" w:cs="宋体" w:asciiTheme="minorEastAsia" w:hAnsiTheme="minorEastAsia" w:eastAsiaTheme="minorEastAsia"/>
          <w:color w:val="auto"/>
          <w:spacing w:val="4"/>
          <w:highlight w:val="none"/>
          <w:lang w:val="en-US" w:eastAsia="zh-CN"/>
        </w:rPr>
        <w:t>电子</w:t>
      </w:r>
      <w:r>
        <w:rPr>
          <w:rFonts w:hint="eastAsia" w:cs="宋体" w:asciiTheme="minorEastAsia" w:hAnsiTheme="minorEastAsia" w:eastAsiaTheme="minorEastAsia"/>
          <w:color w:val="auto"/>
          <w:spacing w:val="4"/>
          <w:highlight w:val="none"/>
        </w:rPr>
        <w:t>投标文件</w:t>
      </w:r>
      <w:r>
        <w:rPr>
          <w:rFonts w:hint="eastAsia" w:cs="宋体" w:asciiTheme="minorEastAsia" w:hAnsiTheme="minorEastAsia" w:eastAsiaTheme="minorEastAsia"/>
          <w:color w:val="auto"/>
          <w:spacing w:val="4"/>
          <w:highlight w:val="none"/>
          <w:lang w:val="en-US" w:eastAsia="zh-CN"/>
        </w:rPr>
        <w:t>并做以下</w:t>
      </w:r>
      <w:r>
        <w:rPr>
          <w:rFonts w:hint="eastAsia" w:cs="宋体" w:asciiTheme="minorEastAsia" w:hAnsiTheme="minorEastAsia" w:eastAsiaTheme="minorEastAsia"/>
          <w:color w:val="auto"/>
          <w:spacing w:val="4"/>
          <w:highlight w:val="none"/>
        </w:rPr>
        <w:t>承诺</w:t>
      </w:r>
      <w:r>
        <w:rPr>
          <w:rFonts w:hint="eastAsia" w:cs="宋体" w:asciiTheme="minorEastAsia" w:hAnsiTheme="minorEastAsia" w:eastAsiaTheme="minorEastAsia"/>
          <w:color w:val="auto"/>
          <w:spacing w:val="4"/>
          <w:highlight w:val="none"/>
          <w:lang w:eastAsia="zh-CN"/>
        </w:rPr>
        <w:t>，并负法律责任</w:t>
      </w:r>
      <w:r>
        <w:rPr>
          <w:rFonts w:hint="eastAsia" w:cs="宋体" w:asciiTheme="minorEastAsia" w:hAnsiTheme="minorEastAsia" w:eastAsiaTheme="minorEastAsia"/>
          <w:color w:val="auto"/>
          <w:spacing w:val="4"/>
          <w:highlight w:val="none"/>
        </w:rPr>
        <w:t>：</w:t>
      </w:r>
    </w:p>
    <w:p>
      <w:pPr>
        <w:numPr>
          <w:ilvl w:val="0"/>
          <w:numId w:val="16"/>
        </w:numPr>
        <w:tabs>
          <w:tab w:val="left" w:pos="2160"/>
        </w:tabs>
        <w:spacing w:line="500" w:lineRule="exact"/>
        <w:ind w:left="0" w:firstLine="0"/>
        <w:jc w:val="left"/>
        <w:rPr>
          <w:rFonts w:hAnsi="宋体" w:cs="宋体"/>
          <w:spacing w:val="4"/>
        </w:rPr>
      </w:pPr>
      <w:r>
        <w:rPr>
          <w:rFonts w:hint="eastAsia" w:hAnsi="宋体" w:cs="宋体"/>
          <w:spacing w:val="4"/>
        </w:rPr>
        <w:t xml:space="preserve">投标报价为小写： </w:t>
      </w:r>
      <w:r>
        <w:rPr>
          <w:rFonts w:hint="eastAsia" w:hAnsi="宋体" w:cs="宋体"/>
          <w:spacing w:val="4"/>
          <w:u w:val="single"/>
        </w:rPr>
        <w:t xml:space="preserve">        </w:t>
      </w:r>
      <w:r>
        <w:rPr>
          <w:rFonts w:hint="eastAsia" w:hAnsi="宋体" w:cs="宋体"/>
          <w:spacing w:val="4"/>
        </w:rPr>
        <w:t>（大写：</w:t>
      </w:r>
      <w:r>
        <w:rPr>
          <w:rFonts w:hint="eastAsia" w:hAnsi="宋体" w:cs="宋体"/>
          <w:spacing w:val="4"/>
          <w:u w:val="single"/>
        </w:rPr>
        <w:t xml:space="preserve">         </w:t>
      </w:r>
      <w:r>
        <w:rPr>
          <w:rFonts w:hint="eastAsia" w:hAnsi="宋体" w:cs="宋体"/>
          <w:spacing w:val="4"/>
        </w:rPr>
        <w:t>）。</w:t>
      </w:r>
    </w:p>
    <w:p>
      <w:pPr>
        <w:numPr>
          <w:ilvl w:val="0"/>
          <w:numId w:val="16"/>
        </w:numPr>
        <w:tabs>
          <w:tab w:val="left" w:pos="2160"/>
        </w:tabs>
        <w:spacing w:line="500" w:lineRule="exact"/>
        <w:ind w:left="0" w:firstLine="0"/>
        <w:jc w:val="left"/>
        <w:rPr>
          <w:rFonts w:hAnsi="宋体" w:cs="宋体"/>
          <w:spacing w:val="4"/>
        </w:rPr>
      </w:pPr>
      <w:r>
        <w:rPr>
          <w:rFonts w:hint="eastAsia" w:hAnsi="宋体" w:cs="宋体"/>
          <w:spacing w:val="4"/>
        </w:rPr>
        <w:t>如果中标，我们根据招标文件的规定，履行合同的责任和义务。</w:t>
      </w:r>
    </w:p>
    <w:p>
      <w:pPr>
        <w:numPr>
          <w:ilvl w:val="0"/>
          <w:numId w:val="16"/>
        </w:numPr>
        <w:tabs>
          <w:tab w:val="left" w:pos="2160"/>
        </w:tabs>
        <w:spacing w:line="500" w:lineRule="exact"/>
        <w:ind w:left="0" w:firstLine="0"/>
        <w:jc w:val="left"/>
        <w:rPr>
          <w:rFonts w:hAnsi="宋体" w:cs="宋体"/>
          <w:spacing w:val="4"/>
        </w:rPr>
      </w:pPr>
      <w:r>
        <w:rPr>
          <w:rFonts w:hint="eastAsia" w:hAnsi="宋体" w:cs="宋体"/>
          <w:spacing w:val="4"/>
        </w:rPr>
        <w:t>我们已详细阅读和审核全部招标文件（含修改部分，如有的话）及有关附件，我们知道必须放弃提出含糊不清或误解的问题的权利。</w:t>
      </w:r>
    </w:p>
    <w:p>
      <w:pPr>
        <w:numPr>
          <w:ilvl w:val="0"/>
          <w:numId w:val="16"/>
        </w:numPr>
        <w:tabs>
          <w:tab w:val="left" w:pos="2160"/>
        </w:tabs>
        <w:spacing w:line="500" w:lineRule="exact"/>
        <w:ind w:left="0" w:firstLine="0"/>
        <w:jc w:val="left"/>
        <w:rPr>
          <w:rFonts w:hAnsi="宋体" w:cs="宋体"/>
          <w:spacing w:val="4"/>
        </w:rPr>
      </w:pPr>
      <w:r>
        <w:rPr>
          <w:rFonts w:hint="eastAsia" w:hAnsi="宋体" w:cs="宋体"/>
          <w:spacing w:val="4"/>
        </w:rPr>
        <w:t>我们同意在投标有效期内（</w:t>
      </w:r>
      <w:r>
        <w:rPr>
          <w:rFonts w:hint="eastAsia" w:hAnsi="宋体" w:cs="宋体"/>
          <w:spacing w:val="4"/>
          <w:u w:val="single"/>
        </w:rPr>
        <w:t>自开标之日起    天</w:t>
      </w:r>
      <w:r>
        <w:rPr>
          <w:rFonts w:hint="eastAsia" w:hAnsi="宋体" w:cs="宋体"/>
          <w:spacing w:val="4"/>
        </w:rPr>
        <w:t>），本投标函对我方具有约束力。</w:t>
      </w:r>
    </w:p>
    <w:p>
      <w:pPr>
        <w:numPr>
          <w:ilvl w:val="0"/>
          <w:numId w:val="16"/>
        </w:numPr>
        <w:tabs>
          <w:tab w:val="left" w:pos="2160"/>
        </w:tabs>
        <w:spacing w:line="500" w:lineRule="exact"/>
        <w:ind w:left="0" w:firstLine="0"/>
        <w:jc w:val="left"/>
        <w:rPr>
          <w:rFonts w:hAnsi="宋体" w:cs="宋体"/>
          <w:spacing w:val="4"/>
        </w:rPr>
      </w:pPr>
      <w:r>
        <w:rPr>
          <w:rFonts w:hint="eastAsia" w:cs="宋体" w:asciiTheme="minorEastAsia" w:hAnsiTheme="minorEastAsia" w:eastAsiaTheme="minorEastAsia"/>
          <w:color w:val="auto"/>
          <w:spacing w:val="4"/>
          <w:highlight w:val="none"/>
        </w:rPr>
        <w:t>同意提供贵方可能另外要求的与本投标有关的任何证据和资料。</w:t>
      </w:r>
    </w:p>
    <w:p>
      <w:pPr>
        <w:numPr>
          <w:ilvl w:val="0"/>
          <w:numId w:val="16"/>
        </w:numPr>
        <w:tabs>
          <w:tab w:val="left" w:pos="2160"/>
        </w:tabs>
        <w:spacing w:line="500" w:lineRule="exact"/>
        <w:ind w:left="0" w:firstLine="0"/>
        <w:jc w:val="left"/>
        <w:rPr>
          <w:rFonts w:hAnsi="宋体" w:cs="宋体"/>
          <w:spacing w:val="4"/>
        </w:rPr>
      </w:pPr>
      <w:r>
        <w:rPr>
          <w:rFonts w:hint="eastAsia" w:cs="宋体" w:asciiTheme="minorEastAsia" w:hAnsiTheme="minorEastAsia" w:eastAsiaTheme="minorEastAsia"/>
          <w:color w:val="auto"/>
          <w:spacing w:val="4"/>
          <w:highlight w:val="none"/>
          <w:lang w:val="en-US" w:eastAsia="zh-CN"/>
        </w:rPr>
        <w:t>若我方中标，我方将在领取中标通知书时提交纸质投标文件正本一套、副本两套、电子文件一份。</w:t>
      </w:r>
    </w:p>
    <w:p>
      <w:pPr>
        <w:numPr>
          <w:ilvl w:val="0"/>
          <w:numId w:val="16"/>
        </w:numPr>
        <w:tabs>
          <w:tab w:val="left" w:pos="2160"/>
        </w:tabs>
        <w:spacing w:line="500" w:lineRule="exact"/>
        <w:ind w:left="0" w:firstLine="0"/>
        <w:jc w:val="left"/>
        <w:rPr>
          <w:rFonts w:hAnsi="宋体" w:cs="宋体"/>
          <w:spacing w:val="4"/>
        </w:rPr>
      </w:pPr>
      <w:r>
        <w:rPr>
          <w:rFonts w:hint="eastAsia" w:cs="宋体" w:asciiTheme="minorEastAsia" w:hAnsiTheme="minorEastAsia" w:eastAsiaTheme="minorEastAsia"/>
          <w:color w:val="auto"/>
          <w:spacing w:val="4"/>
          <w:highlight w:val="none"/>
        </w:rPr>
        <w:t>我们同意，如果中标，向陕西万兴招标代理有限公司交纳招标代理服务费。</w:t>
      </w:r>
    </w:p>
    <w:p>
      <w:pPr>
        <w:numPr>
          <w:ilvl w:val="0"/>
          <w:numId w:val="16"/>
        </w:numPr>
        <w:tabs>
          <w:tab w:val="left" w:pos="2160"/>
        </w:tabs>
        <w:spacing w:line="500" w:lineRule="exact"/>
        <w:ind w:left="0" w:firstLine="0"/>
        <w:jc w:val="left"/>
        <w:rPr>
          <w:rFonts w:hAnsi="宋体" w:cs="宋体"/>
          <w:spacing w:val="4"/>
        </w:rPr>
      </w:pPr>
      <w:r>
        <w:rPr>
          <w:rFonts w:hint="eastAsia" w:hAnsi="宋体" w:cs="宋体"/>
          <w:spacing w:val="4"/>
        </w:rPr>
        <w:t>与本投标有关的一切正式往来通讯为：</w:t>
      </w:r>
    </w:p>
    <w:p>
      <w:pPr>
        <w:spacing w:line="500" w:lineRule="exact"/>
        <w:ind w:firstLine="1240" w:firstLineChars="500"/>
        <w:jc w:val="left"/>
        <w:rPr>
          <w:rFonts w:hAnsi="宋体" w:cs="宋体"/>
          <w:spacing w:val="4"/>
        </w:rPr>
      </w:pPr>
      <w:r>
        <w:rPr>
          <w:rFonts w:hint="eastAsia" w:hAnsi="宋体" w:cs="宋体"/>
          <w:spacing w:val="4"/>
        </w:rPr>
        <w:t>联系地址：</w:t>
      </w:r>
    </w:p>
    <w:p>
      <w:pPr>
        <w:spacing w:line="500" w:lineRule="exact"/>
        <w:ind w:firstLine="1240" w:firstLineChars="500"/>
        <w:jc w:val="left"/>
        <w:rPr>
          <w:rFonts w:hAnsi="宋体" w:cs="宋体"/>
          <w:spacing w:val="4"/>
        </w:rPr>
      </w:pPr>
      <w:r>
        <w:rPr>
          <w:rFonts w:hint="eastAsia" w:hAnsi="宋体" w:cs="宋体"/>
          <w:spacing w:val="4"/>
        </w:rPr>
        <w:t>邮政编码：</w:t>
      </w:r>
    </w:p>
    <w:p>
      <w:pPr>
        <w:spacing w:line="500" w:lineRule="exact"/>
        <w:ind w:firstLine="1240" w:firstLineChars="500"/>
        <w:jc w:val="left"/>
        <w:rPr>
          <w:rFonts w:hAnsi="宋体" w:cs="宋体"/>
          <w:spacing w:val="4"/>
        </w:rPr>
      </w:pPr>
      <w:r>
        <w:rPr>
          <w:rFonts w:hint="eastAsia" w:hAnsi="宋体" w:cs="宋体"/>
          <w:spacing w:val="4"/>
        </w:rPr>
        <w:t>电    话：</w:t>
      </w:r>
    </w:p>
    <w:p>
      <w:pPr>
        <w:spacing w:line="500" w:lineRule="exact"/>
        <w:ind w:firstLine="1240" w:firstLineChars="500"/>
        <w:jc w:val="left"/>
        <w:rPr>
          <w:rFonts w:hAnsi="宋体" w:cs="宋体"/>
          <w:spacing w:val="4"/>
        </w:rPr>
      </w:pPr>
      <w:r>
        <w:rPr>
          <w:rFonts w:hint="eastAsia" w:hAnsi="宋体" w:cs="宋体"/>
          <w:spacing w:val="4"/>
        </w:rPr>
        <w:t>传    真：</w:t>
      </w:r>
    </w:p>
    <w:p>
      <w:pPr>
        <w:spacing w:line="500" w:lineRule="exact"/>
        <w:ind w:firstLine="1240" w:firstLineChars="500"/>
        <w:jc w:val="left"/>
        <w:rPr>
          <w:rFonts w:hAnsi="宋体" w:cs="宋体"/>
          <w:spacing w:val="4"/>
        </w:rPr>
      </w:pPr>
      <w:r>
        <w:rPr>
          <w:rFonts w:hint="eastAsia" w:hAnsi="宋体" w:cs="宋体"/>
          <w:spacing w:val="4"/>
        </w:rPr>
        <w:t>供应商名称：</w:t>
      </w:r>
      <w:r>
        <w:rPr>
          <w:rFonts w:hint="eastAsia" w:hAnsi="宋体" w:cs="宋体"/>
          <w:spacing w:val="4"/>
          <w:u w:val="single"/>
        </w:rPr>
        <w:t xml:space="preserve">                   </w:t>
      </w:r>
      <w:r>
        <w:rPr>
          <w:rFonts w:hint="eastAsia" w:hAnsi="宋体" w:cs="宋体"/>
          <w:spacing w:val="4"/>
        </w:rPr>
        <w:t>（盖单位公章）</w:t>
      </w:r>
    </w:p>
    <w:p>
      <w:pPr>
        <w:spacing w:line="500" w:lineRule="exact"/>
        <w:ind w:firstLine="1240" w:firstLineChars="500"/>
        <w:jc w:val="left"/>
        <w:rPr>
          <w:rFonts w:hAnsi="宋体" w:cs="宋体"/>
          <w:spacing w:val="4"/>
        </w:rPr>
      </w:pPr>
      <w:r>
        <w:rPr>
          <w:rFonts w:hint="eastAsia" w:hAnsi="宋体" w:cs="宋体"/>
          <w:spacing w:val="4"/>
        </w:rPr>
        <w:t>法定代表人或被授权人：</w:t>
      </w:r>
      <w:r>
        <w:rPr>
          <w:rFonts w:hint="eastAsia" w:hAnsi="宋体" w:cs="宋体"/>
          <w:spacing w:val="4"/>
          <w:u w:val="single"/>
        </w:rPr>
        <w:t xml:space="preserve">      </w:t>
      </w:r>
      <w:r>
        <w:rPr>
          <w:rFonts w:hint="eastAsia" w:hAnsi="宋体" w:cs="宋体"/>
          <w:spacing w:val="4"/>
        </w:rPr>
        <w:t>（签字或盖章）</w:t>
      </w:r>
    </w:p>
    <w:p>
      <w:pPr>
        <w:spacing w:line="500" w:lineRule="exact"/>
        <w:ind w:firstLine="1240" w:firstLineChars="500"/>
        <w:jc w:val="left"/>
        <w:rPr>
          <w:rFonts w:hAnsi="宋体" w:cs="宋体"/>
          <w:spacing w:val="4"/>
        </w:rPr>
      </w:pPr>
      <w:r>
        <w:rPr>
          <w:rFonts w:hint="eastAsia" w:hAnsi="宋体" w:cs="宋体"/>
          <w:spacing w:val="4"/>
        </w:rPr>
        <w:t>日    期：   年   月    日</w:t>
      </w:r>
    </w:p>
    <w:p>
      <w:pPr>
        <w:spacing w:before="333" w:beforeLines="100"/>
        <w:jc w:val="center"/>
        <w:outlineLvl w:val="1"/>
        <w:rPr>
          <w:rFonts w:hAnsi="宋体" w:cs="宋体"/>
          <w:b/>
          <w:bCs/>
          <w:sz w:val="32"/>
          <w:szCs w:val="32"/>
        </w:rPr>
      </w:pPr>
      <w:r>
        <w:rPr>
          <w:rFonts w:hint="eastAsia" w:hAnsi="宋体" w:cs="宋体"/>
          <w:sz w:val="28"/>
        </w:rPr>
        <w:br w:type="page"/>
      </w:r>
      <w:bookmarkStart w:id="191" w:name="_Toc21967"/>
      <w:bookmarkStart w:id="192" w:name="_Toc29025"/>
      <w:bookmarkStart w:id="193" w:name="_Toc21319"/>
      <w:bookmarkStart w:id="194" w:name="_Toc27599"/>
      <w:bookmarkStart w:id="195" w:name="_Toc4332"/>
      <w:bookmarkStart w:id="196" w:name="_Toc7018"/>
      <w:bookmarkStart w:id="197" w:name="_Toc363474030"/>
      <w:bookmarkStart w:id="198" w:name="_Toc17802"/>
      <w:bookmarkStart w:id="199" w:name="_Toc403077651"/>
      <w:bookmarkStart w:id="200" w:name="_Toc426457703"/>
      <w:bookmarkStart w:id="201" w:name="_Toc15042"/>
      <w:r>
        <w:rPr>
          <w:rFonts w:hint="eastAsia" w:hAnsi="宋体" w:cs="宋体"/>
          <w:b/>
          <w:bCs/>
          <w:sz w:val="32"/>
          <w:szCs w:val="32"/>
        </w:rPr>
        <w:t>二、投标报价表</w:t>
      </w:r>
      <w:bookmarkEnd w:id="191"/>
      <w:bookmarkEnd w:id="192"/>
      <w:bookmarkEnd w:id="193"/>
      <w:bookmarkEnd w:id="194"/>
      <w:bookmarkEnd w:id="195"/>
      <w:bookmarkEnd w:id="196"/>
      <w:bookmarkEnd w:id="197"/>
      <w:bookmarkEnd w:id="198"/>
      <w:bookmarkEnd w:id="199"/>
      <w:bookmarkEnd w:id="200"/>
      <w:bookmarkEnd w:id="201"/>
    </w:p>
    <w:p>
      <w:pPr>
        <w:jc w:val="center"/>
        <w:rPr>
          <w:rFonts w:hAnsi="宋体" w:cs="宋体"/>
          <w:b/>
          <w:sz w:val="30"/>
          <w:szCs w:val="30"/>
        </w:rPr>
      </w:pPr>
      <w:r>
        <w:rPr>
          <w:rFonts w:hint="eastAsia" w:hAnsi="宋体" w:cs="宋体"/>
          <w:b/>
          <w:sz w:val="30"/>
          <w:szCs w:val="30"/>
        </w:rPr>
        <w:t>2.1开标一览表</w:t>
      </w:r>
    </w:p>
    <w:p>
      <w:pPr>
        <w:jc w:val="left"/>
        <w:rPr>
          <w:rFonts w:hAnsi="宋体" w:cs="宋体"/>
          <w:bCs/>
          <w:szCs w:val="24"/>
        </w:rPr>
      </w:pPr>
      <w:r>
        <w:rPr>
          <w:rFonts w:hint="eastAsia" w:hAnsi="宋体" w:cs="宋体"/>
          <w:bCs/>
          <w:szCs w:val="24"/>
        </w:rPr>
        <w:t>项目名称：</w:t>
      </w:r>
    </w:p>
    <w:p>
      <w:pPr>
        <w:jc w:val="left"/>
        <w:rPr>
          <w:rFonts w:hint="eastAsia" w:hAnsi="宋体" w:cs="宋体"/>
          <w:bCs/>
          <w:szCs w:val="24"/>
        </w:rPr>
      </w:pPr>
      <w:r>
        <w:rPr>
          <w:rFonts w:hint="eastAsia" w:hAnsi="宋体" w:cs="宋体"/>
          <w:bCs/>
          <w:szCs w:val="24"/>
        </w:rPr>
        <w:t>项目编号：</w:t>
      </w:r>
    </w:p>
    <w:p>
      <w:pPr>
        <w:jc w:val="left"/>
        <w:rPr>
          <w:rFonts w:hAnsi="宋体" w:cs="宋体"/>
          <w:bCs/>
          <w:szCs w:val="24"/>
        </w:rPr>
      </w:pPr>
      <w:r>
        <w:rPr>
          <w:rFonts w:hint="eastAsia" w:hAnsi="宋体" w:cs="宋体"/>
          <w:bCs/>
          <w:szCs w:val="24"/>
        </w:rPr>
        <w:t xml:space="preserve">包号：                         </w:t>
      </w:r>
    </w:p>
    <w:tbl>
      <w:tblPr>
        <w:tblStyle w:val="46"/>
        <w:tblpPr w:leftFromText="180" w:rightFromText="180" w:vertAnchor="text" w:horzAnchor="page" w:tblpX="1618" w:tblpY="335"/>
        <w:tblOverlap w:val="never"/>
        <w:tblW w:w="8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5"/>
        <w:gridCol w:w="3122"/>
        <w:gridCol w:w="1984"/>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2515" w:type="dxa"/>
            <w:vAlign w:val="center"/>
          </w:tcPr>
          <w:p>
            <w:pPr>
              <w:jc w:val="center"/>
              <w:rPr>
                <w:rFonts w:hAnsi="宋体" w:cs="宋体"/>
                <w:szCs w:val="24"/>
              </w:rPr>
            </w:pPr>
            <w:r>
              <w:rPr>
                <w:rFonts w:hint="eastAsia" w:hAnsi="宋体" w:cs="宋体"/>
                <w:szCs w:val="24"/>
              </w:rPr>
              <w:t>投标报价</w:t>
            </w:r>
          </w:p>
          <w:p>
            <w:pPr>
              <w:jc w:val="center"/>
              <w:rPr>
                <w:rFonts w:hAnsi="宋体" w:cs="宋体"/>
                <w:szCs w:val="24"/>
              </w:rPr>
            </w:pPr>
            <w:r>
              <w:rPr>
                <w:rFonts w:hint="eastAsia" w:hAnsi="宋体" w:cs="宋体"/>
                <w:szCs w:val="24"/>
              </w:rPr>
              <w:t>（元）</w:t>
            </w:r>
          </w:p>
        </w:tc>
        <w:tc>
          <w:tcPr>
            <w:tcW w:w="3122" w:type="dxa"/>
            <w:vAlign w:val="center"/>
          </w:tcPr>
          <w:p>
            <w:pPr>
              <w:jc w:val="center"/>
              <w:rPr>
                <w:rFonts w:hAnsi="宋体" w:cs="宋体"/>
                <w:color w:val="auto"/>
                <w:szCs w:val="24"/>
              </w:rPr>
            </w:pPr>
            <w:r>
              <w:rPr>
                <w:rFonts w:hint="eastAsia" w:hAnsi="宋体" w:cs="宋体"/>
                <w:color w:val="auto"/>
                <w:szCs w:val="24"/>
              </w:rPr>
              <w:t>交货期</w:t>
            </w:r>
          </w:p>
          <w:p>
            <w:pPr>
              <w:jc w:val="center"/>
              <w:rPr>
                <w:rFonts w:hAnsi="宋体" w:cs="宋体"/>
                <w:color w:val="FF0000"/>
                <w:szCs w:val="24"/>
              </w:rPr>
            </w:pPr>
            <w:r>
              <w:rPr>
                <w:rFonts w:hint="eastAsia" w:hAnsi="宋体" w:cs="宋体"/>
                <w:color w:val="auto"/>
                <w:szCs w:val="24"/>
              </w:rPr>
              <w:t>（合同签订之日起日历日）</w:t>
            </w:r>
          </w:p>
        </w:tc>
        <w:tc>
          <w:tcPr>
            <w:tcW w:w="1984" w:type="dxa"/>
            <w:vAlign w:val="center"/>
          </w:tcPr>
          <w:p>
            <w:pPr>
              <w:jc w:val="center"/>
              <w:rPr>
                <w:rFonts w:hAnsi="宋体" w:cs="宋体"/>
                <w:szCs w:val="24"/>
              </w:rPr>
            </w:pPr>
            <w:r>
              <w:rPr>
                <w:rFonts w:hint="eastAsia" w:hAnsi="宋体" w:cs="宋体"/>
                <w:szCs w:val="24"/>
              </w:rPr>
              <w:t>质保期</w:t>
            </w:r>
          </w:p>
          <w:p>
            <w:pPr>
              <w:jc w:val="center"/>
              <w:rPr>
                <w:rFonts w:hAnsi="宋体" w:cs="宋体"/>
                <w:szCs w:val="24"/>
              </w:rPr>
            </w:pPr>
            <w:r>
              <w:rPr>
                <w:rFonts w:hint="eastAsia" w:hAnsi="宋体" w:cs="宋体"/>
                <w:szCs w:val="24"/>
              </w:rPr>
              <w:t>（年）</w:t>
            </w:r>
          </w:p>
        </w:tc>
        <w:tc>
          <w:tcPr>
            <w:tcW w:w="1279" w:type="dxa"/>
            <w:vAlign w:val="center"/>
          </w:tcPr>
          <w:p>
            <w:pPr>
              <w:jc w:val="center"/>
              <w:rPr>
                <w:rFonts w:hAnsi="宋体" w:cs="宋体"/>
                <w:szCs w:val="24"/>
              </w:rPr>
            </w:pPr>
            <w:r>
              <w:rPr>
                <w:rFonts w:hint="eastAsia" w:hAnsi="宋体" w:cs="宋体"/>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2515" w:type="dxa"/>
            <w:vAlign w:val="center"/>
          </w:tcPr>
          <w:p>
            <w:pPr>
              <w:jc w:val="center"/>
              <w:rPr>
                <w:rFonts w:hAnsi="宋体" w:cs="宋体"/>
                <w:szCs w:val="24"/>
              </w:rPr>
            </w:pPr>
          </w:p>
        </w:tc>
        <w:tc>
          <w:tcPr>
            <w:tcW w:w="3122" w:type="dxa"/>
            <w:vAlign w:val="center"/>
          </w:tcPr>
          <w:p>
            <w:pPr>
              <w:jc w:val="center"/>
              <w:rPr>
                <w:rFonts w:hAnsi="宋体" w:cs="宋体"/>
                <w:color w:val="FF0000"/>
                <w:szCs w:val="24"/>
              </w:rPr>
            </w:pPr>
          </w:p>
        </w:tc>
        <w:tc>
          <w:tcPr>
            <w:tcW w:w="1984" w:type="dxa"/>
            <w:vAlign w:val="center"/>
          </w:tcPr>
          <w:p>
            <w:pPr>
              <w:jc w:val="center"/>
              <w:rPr>
                <w:rFonts w:hAnsi="宋体" w:cs="宋体"/>
                <w:szCs w:val="24"/>
              </w:rPr>
            </w:pPr>
          </w:p>
        </w:tc>
        <w:tc>
          <w:tcPr>
            <w:tcW w:w="1279" w:type="dxa"/>
            <w:vAlign w:val="center"/>
          </w:tcPr>
          <w:p>
            <w:pPr>
              <w:jc w:val="center"/>
              <w:rPr>
                <w:rFonts w:hAnsi="宋体" w:cs="宋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8900" w:type="dxa"/>
            <w:gridSpan w:val="4"/>
            <w:vAlign w:val="center"/>
          </w:tcPr>
          <w:p>
            <w:pPr>
              <w:rPr>
                <w:rFonts w:hAnsi="宋体" w:cs="宋体"/>
                <w:szCs w:val="24"/>
              </w:rPr>
            </w:pPr>
            <w:r>
              <w:rPr>
                <w:rFonts w:hint="eastAsia" w:hAnsi="宋体"/>
                <w:szCs w:val="24"/>
              </w:rPr>
              <w:t xml:space="preserve">投标报价（大写）： </w:t>
            </w:r>
            <w:r>
              <w:rPr>
                <w:szCs w:val="24"/>
              </w:rPr>
              <w:t xml:space="preserve">                            （小写：￥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8900" w:type="dxa"/>
            <w:gridSpan w:val="4"/>
            <w:vAlign w:val="center"/>
          </w:tcPr>
          <w:p>
            <w:pPr>
              <w:jc w:val="left"/>
              <w:rPr>
                <w:rFonts w:hAnsi="宋体" w:cs="宋体"/>
                <w:szCs w:val="24"/>
              </w:rPr>
            </w:pPr>
            <w:r>
              <w:rPr>
                <w:rFonts w:hint="eastAsia" w:hAnsi="宋体"/>
                <w:szCs w:val="24"/>
              </w:rPr>
              <w:t>备注：表内报价内容以元为单位，保留小数点后（</w:t>
            </w:r>
            <w:r>
              <w:rPr>
                <w:rFonts w:hint="eastAsia" w:hAnsi="宋体"/>
                <w:b/>
                <w:szCs w:val="24"/>
              </w:rPr>
              <w:t>两位</w:t>
            </w:r>
            <w:r>
              <w:rPr>
                <w:rFonts w:hint="eastAsia" w:hAnsi="宋体"/>
                <w:szCs w:val="24"/>
              </w:rPr>
              <w:t>）。</w:t>
            </w:r>
          </w:p>
        </w:tc>
      </w:tr>
    </w:tbl>
    <w:p>
      <w:pPr>
        <w:tabs>
          <w:tab w:val="left" w:pos="7200"/>
          <w:tab w:val="left" w:pos="8504"/>
        </w:tabs>
        <w:spacing w:line="360" w:lineRule="auto"/>
        <w:ind w:right="-1"/>
        <w:rPr>
          <w:rFonts w:hAnsi="宋体" w:cs="宋体"/>
        </w:rPr>
      </w:pPr>
    </w:p>
    <w:p>
      <w:pPr>
        <w:spacing w:line="120" w:lineRule="exact"/>
        <w:rPr>
          <w:rFonts w:hAnsi="宋体" w:cs="宋体"/>
        </w:rPr>
      </w:pPr>
    </w:p>
    <w:p>
      <w:pPr>
        <w:spacing w:line="480" w:lineRule="auto"/>
        <w:ind w:right="617" w:rightChars="257"/>
        <w:jc w:val="left"/>
        <w:rPr>
          <w:rFonts w:hAnsi="宋体" w:cs="宋体"/>
        </w:rPr>
      </w:pPr>
      <w:r>
        <w:rPr>
          <w:rFonts w:hint="eastAsia" w:hAnsi="宋体" w:cs="宋体"/>
        </w:rPr>
        <w:t>供应商名称：</w:t>
      </w:r>
      <w:r>
        <w:rPr>
          <w:rFonts w:hint="eastAsia" w:hAnsi="宋体" w:cs="宋体"/>
          <w:spacing w:val="4"/>
          <w:u w:val="single"/>
        </w:rPr>
        <w:t xml:space="preserve">                   </w:t>
      </w:r>
      <w:r>
        <w:rPr>
          <w:rFonts w:hint="eastAsia" w:hAnsi="宋体" w:cs="宋体"/>
          <w:spacing w:val="4"/>
        </w:rPr>
        <w:t>（盖单位公章）</w:t>
      </w:r>
    </w:p>
    <w:p>
      <w:pPr>
        <w:spacing w:line="480" w:lineRule="auto"/>
        <w:ind w:right="617" w:rightChars="257"/>
        <w:jc w:val="left"/>
        <w:rPr>
          <w:rFonts w:hAnsi="宋体" w:cs="宋体"/>
        </w:rPr>
      </w:pPr>
    </w:p>
    <w:p>
      <w:pPr>
        <w:spacing w:line="500" w:lineRule="exact"/>
        <w:jc w:val="left"/>
        <w:rPr>
          <w:rFonts w:hAnsi="宋体" w:cs="宋体"/>
          <w:spacing w:val="4"/>
        </w:rPr>
      </w:pPr>
      <w:r>
        <w:rPr>
          <w:rFonts w:hint="eastAsia" w:hAnsi="宋体" w:cs="宋体"/>
          <w:spacing w:val="4"/>
        </w:rPr>
        <w:t>法定代表人或被授权人：</w:t>
      </w:r>
      <w:r>
        <w:rPr>
          <w:rFonts w:hint="eastAsia" w:hAnsi="宋体" w:cs="宋体"/>
          <w:spacing w:val="4"/>
          <w:u w:val="single"/>
        </w:rPr>
        <w:t xml:space="preserve">       </w:t>
      </w:r>
      <w:r>
        <w:rPr>
          <w:rFonts w:hint="eastAsia" w:hAnsi="宋体" w:cs="宋体"/>
          <w:spacing w:val="4"/>
        </w:rPr>
        <w:t>（签字或盖章）</w:t>
      </w:r>
    </w:p>
    <w:p>
      <w:pPr>
        <w:spacing w:line="480" w:lineRule="auto"/>
        <w:ind w:right="617" w:rightChars="257"/>
        <w:jc w:val="left"/>
        <w:rPr>
          <w:rFonts w:hAnsi="宋体" w:cs="宋体"/>
        </w:rPr>
      </w:pPr>
    </w:p>
    <w:p>
      <w:pPr>
        <w:spacing w:line="480" w:lineRule="auto"/>
        <w:ind w:right="617" w:rightChars="257"/>
        <w:rPr>
          <w:rFonts w:hAnsi="宋体" w:cs="宋体"/>
        </w:rPr>
      </w:pPr>
      <w:r>
        <w:rPr>
          <w:rFonts w:hint="eastAsia" w:hAnsi="宋体" w:cs="宋体"/>
        </w:rPr>
        <w:t>日    期：      年   月    日</w:t>
      </w:r>
    </w:p>
    <w:p>
      <w:pPr>
        <w:spacing w:before="166" w:beforeLines="50" w:after="166" w:afterLines="50" w:line="480" w:lineRule="auto"/>
        <w:rPr>
          <w:rFonts w:hAnsi="宋体" w:cs="宋体"/>
          <w:szCs w:val="21"/>
          <w:u w:val="single"/>
        </w:rPr>
      </w:pPr>
      <w:r>
        <w:rPr>
          <w:rFonts w:hint="eastAsia" w:hAnsi="宋体" w:cs="宋体"/>
        </w:rPr>
        <w:t>注：本表应按“供应商须知”的规定密封单独提交。</w:t>
      </w:r>
    </w:p>
    <w:p>
      <w:pPr>
        <w:rPr>
          <w:rFonts w:hAnsi="宋体" w:cs="宋体"/>
        </w:rPr>
      </w:pPr>
      <w:r>
        <w:rPr>
          <w:rFonts w:hint="eastAsia" w:hAnsi="宋体" w:cs="宋体"/>
        </w:rPr>
        <w:br w:type="page"/>
      </w:r>
    </w:p>
    <w:p>
      <w:pPr>
        <w:jc w:val="center"/>
        <w:rPr>
          <w:rFonts w:hAnsi="宋体" w:cs="宋体"/>
        </w:rPr>
      </w:pPr>
      <w:r>
        <w:rPr>
          <w:rFonts w:hint="eastAsia" w:hAnsi="宋体" w:cs="宋体"/>
          <w:b/>
          <w:sz w:val="30"/>
          <w:szCs w:val="30"/>
        </w:rPr>
        <w:t>2.2投标分项报价表</w:t>
      </w:r>
      <w:r>
        <w:rPr>
          <w:rFonts w:hint="eastAsia" w:hAnsi="宋体" w:cs="宋体"/>
        </w:rPr>
        <w:t xml:space="preserve">      </w:t>
      </w:r>
    </w:p>
    <w:p>
      <w:pPr>
        <w:jc w:val="left"/>
        <w:rPr>
          <w:rFonts w:hAnsi="宋体" w:cs="宋体"/>
          <w:bCs/>
          <w:szCs w:val="24"/>
        </w:rPr>
      </w:pPr>
      <w:r>
        <w:rPr>
          <w:rFonts w:hint="eastAsia" w:hAnsi="宋体" w:cs="宋体"/>
          <w:bCs/>
          <w:szCs w:val="24"/>
        </w:rPr>
        <w:t xml:space="preserve">    项目名称：</w:t>
      </w:r>
    </w:p>
    <w:p>
      <w:pPr>
        <w:ind w:firstLine="480"/>
        <w:jc w:val="left"/>
        <w:rPr>
          <w:rFonts w:hint="eastAsia" w:hAnsi="宋体" w:cs="宋体"/>
          <w:bCs/>
          <w:szCs w:val="24"/>
        </w:rPr>
      </w:pPr>
      <w:r>
        <w:rPr>
          <w:rFonts w:hint="eastAsia" w:hAnsi="宋体" w:cs="宋体"/>
          <w:bCs/>
          <w:szCs w:val="24"/>
        </w:rPr>
        <w:t>项目编号：</w:t>
      </w:r>
    </w:p>
    <w:p>
      <w:pPr>
        <w:ind w:firstLine="480"/>
        <w:jc w:val="left"/>
        <w:rPr>
          <w:rFonts w:hAnsi="宋体" w:cs="宋体"/>
          <w:b/>
        </w:rPr>
      </w:pPr>
      <w:r>
        <w:rPr>
          <w:rFonts w:hint="eastAsia" w:hAnsi="宋体" w:cs="宋体"/>
          <w:bCs/>
          <w:szCs w:val="24"/>
        </w:rPr>
        <w:t xml:space="preserve">包号：                        </w:t>
      </w:r>
    </w:p>
    <w:tbl>
      <w:tblPr>
        <w:tblStyle w:val="46"/>
        <w:tblW w:w="8899" w:type="dxa"/>
        <w:jc w:val="center"/>
        <w:tblLayout w:type="fixed"/>
        <w:tblCellMar>
          <w:top w:w="0" w:type="dxa"/>
          <w:left w:w="28" w:type="dxa"/>
          <w:bottom w:w="0" w:type="dxa"/>
          <w:right w:w="28" w:type="dxa"/>
        </w:tblCellMar>
      </w:tblPr>
      <w:tblGrid>
        <w:gridCol w:w="875"/>
        <w:gridCol w:w="536"/>
        <w:gridCol w:w="797"/>
        <w:gridCol w:w="723"/>
        <w:gridCol w:w="1094"/>
        <w:gridCol w:w="1561"/>
        <w:gridCol w:w="960"/>
        <w:gridCol w:w="1175"/>
        <w:gridCol w:w="1178"/>
      </w:tblGrid>
      <w:tr>
        <w:tblPrEx>
          <w:tblCellMar>
            <w:top w:w="0" w:type="dxa"/>
            <w:left w:w="28" w:type="dxa"/>
            <w:bottom w:w="0" w:type="dxa"/>
            <w:right w:w="28" w:type="dxa"/>
          </w:tblCellMar>
        </w:tblPrEx>
        <w:trPr>
          <w:trHeight w:val="598" w:hRule="atLeast"/>
          <w:jc w:val="center"/>
        </w:trPr>
        <w:tc>
          <w:tcPr>
            <w:tcW w:w="875" w:type="dxa"/>
            <w:vMerge w:val="restart"/>
            <w:tcBorders>
              <w:top w:val="single" w:color="auto" w:sz="6" w:space="0"/>
              <w:left w:val="single" w:color="auto" w:sz="6" w:space="0"/>
              <w:right w:val="single" w:color="auto" w:sz="4" w:space="0"/>
            </w:tcBorders>
            <w:vAlign w:val="center"/>
          </w:tcPr>
          <w:p>
            <w:pPr>
              <w:spacing w:after="120"/>
              <w:jc w:val="center"/>
              <w:rPr>
                <w:rFonts w:hAnsi="宋体" w:cs="宋体"/>
                <w:szCs w:val="24"/>
              </w:rPr>
            </w:pPr>
            <w:r>
              <w:rPr>
                <w:rFonts w:hint="eastAsia" w:hAnsi="宋体" w:cs="宋体"/>
              </w:rPr>
              <w:t xml:space="preserve">                           </w:t>
            </w:r>
            <w:r>
              <w:rPr>
                <w:rFonts w:hint="eastAsia" w:hAnsi="宋体" w:cs="宋体"/>
                <w:szCs w:val="24"/>
              </w:rPr>
              <w:t>产品</w:t>
            </w:r>
          </w:p>
          <w:p>
            <w:pPr>
              <w:spacing w:after="120"/>
              <w:jc w:val="center"/>
              <w:rPr>
                <w:rFonts w:hAnsi="宋体" w:cs="宋体"/>
              </w:rPr>
            </w:pPr>
            <w:r>
              <w:rPr>
                <w:rFonts w:hint="eastAsia" w:hAnsi="宋体" w:cs="宋体"/>
                <w:szCs w:val="24"/>
              </w:rPr>
              <w:t>费用</w:t>
            </w:r>
          </w:p>
        </w:tc>
        <w:tc>
          <w:tcPr>
            <w:tcW w:w="536" w:type="dxa"/>
            <w:tcBorders>
              <w:top w:val="single" w:color="auto" w:sz="6" w:space="0"/>
              <w:left w:val="single" w:color="auto" w:sz="4" w:space="0"/>
              <w:bottom w:val="single" w:color="auto" w:sz="6" w:space="0"/>
            </w:tcBorders>
            <w:vAlign w:val="center"/>
          </w:tcPr>
          <w:p>
            <w:pPr>
              <w:spacing w:after="120"/>
              <w:jc w:val="center"/>
              <w:rPr>
                <w:rFonts w:hAnsi="宋体" w:cs="宋体"/>
              </w:rPr>
            </w:pPr>
            <w:r>
              <w:rPr>
                <w:rFonts w:hint="eastAsia" w:hAnsi="宋体" w:cs="宋体"/>
              </w:rPr>
              <w:t>序号</w:t>
            </w:r>
          </w:p>
        </w:tc>
        <w:tc>
          <w:tcPr>
            <w:tcW w:w="797" w:type="dxa"/>
            <w:tcBorders>
              <w:top w:val="single" w:color="auto" w:sz="6" w:space="0"/>
              <w:left w:val="single" w:color="auto" w:sz="6" w:space="0"/>
              <w:bottom w:val="single" w:color="auto" w:sz="6" w:space="0"/>
              <w:right w:val="single" w:color="auto" w:sz="6" w:space="0"/>
            </w:tcBorders>
            <w:vAlign w:val="center"/>
          </w:tcPr>
          <w:p>
            <w:pPr>
              <w:spacing w:after="120"/>
              <w:jc w:val="center"/>
              <w:rPr>
                <w:rFonts w:hAnsi="宋体" w:cs="宋体"/>
              </w:rPr>
            </w:pPr>
            <w:r>
              <w:rPr>
                <w:rFonts w:hint="eastAsia" w:hAnsi="宋体" w:cs="宋体"/>
              </w:rPr>
              <w:t>名称</w:t>
            </w:r>
          </w:p>
        </w:tc>
        <w:tc>
          <w:tcPr>
            <w:tcW w:w="723" w:type="dxa"/>
            <w:tcBorders>
              <w:top w:val="single" w:color="auto" w:sz="6" w:space="0"/>
              <w:left w:val="single" w:color="auto" w:sz="6" w:space="0"/>
              <w:bottom w:val="single" w:color="auto" w:sz="6" w:space="0"/>
              <w:right w:val="single" w:color="auto" w:sz="4" w:space="0"/>
            </w:tcBorders>
            <w:vAlign w:val="center"/>
          </w:tcPr>
          <w:p>
            <w:pPr>
              <w:spacing w:after="120"/>
              <w:jc w:val="center"/>
              <w:rPr>
                <w:rFonts w:hAnsi="宋体" w:cs="宋体"/>
              </w:rPr>
            </w:pPr>
            <w:r>
              <w:rPr>
                <w:rFonts w:hint="eastAsia" w:hAnsi="宋体" w:cs="宋体"/>
              </w:rPr>
              <w:t>品牌</w:t>
            </w:r>
          </w:p>
        </w:tc>
        <w:tc>
          <w:tcPr>
            <w:tcW w:w="1094" w:type="dxa"/>
            <w:tcBorders>
              <w:top w:val="single" w:color="auto" w:sz="6" w:space="0"/>
              <w:left w:val="single" w:color="auto" w:sz="4" w:space="0"/>
              <w:bottom w:val="single" w:color="auto" w:sz="6" w:space="0"/>
              <w:right w:val="single" w:color="auto" w:sz="6" w:space="0"/>
            </w:tcBorders>
            <w:vAlign w:val="center"/>
          </w:tcPr>
          <w:p>
            <w:pPr>
              <w:spacing w:after="120"/>
              <w:jc w:val="center"/>
              <w:rPr>
                <w:rFonts w:hAnsi="宋体" w:cs="宋体"/>
              </w:rPr>
            </w:pPr>
            <w:r>
              <w:rPr>
                <w:rFonts w:hint="eastAsia" w:hAnsi="宋体" w:cs="宋体"/>
              </w:rPr>
              <w:t>型号规格</w:t>
            </w:r>
          </w:p>
        </w:tc>
        <w:tc>
          <w:tcPr>
            <w:tcW w:w="1561" w:type="dxa"/>
            <w:tcBorders>
              <w:top w:val="single" w:color="auto" w:sz="6" w:space="0"/>
              <w:left w:val="single" w:color="auto" w:sz="6" w:space="0"/>
              <w:bottom w:val="single" w:color="auto" w:sz="6" w:space="0"/>
              <w:right w:val="single" w:color="auto" w:sz="6" w:space="0"/>
            </w:tcBorders>
            <w:vAlign w:val="center"/>
          </w:tcPr>
          <w:p>
            <w:pPr>
              <w:spacing w:before="166" w:beforeLines="50" w:after="120"/>
              <w:jc w:val="center"/>
              <w:rPr>
                <w:rFonts w:hAnsi="宋体" w:cs="宋体"/>
              </w:rPr>
            </w:pPr>
            <w:r>
              <w:rPr>
                <w:rFonts w:hint="eastAsia" w:hAnsi="宋体" w:cs="宋体"/>
              </w:rPr>
              <w:t>原产地及制造厂名</w:t>
            </w:r>
          </w:p>
        </w:tc>
        <w:tc>
          <w:tcPr>
            <w:tcW w:w="960" w:type="dxa"/>
            <w:tcBorders>
              <w:top w:val="single" w:color="auto" w:sz="6" w:space="0"/>
              <w:left w:val="single" w:color="auto" w:sz="6" w:space="0"/>
              <w:bottom w:val="single" w:color="auto" w:sz="6" w:space="0"/>
              <w:right w:val="single" w:color="auto" w:sz="6" w:space="0"/>
            </w:tcBorders>
            <w:vAlign w:val="center"/>
          </w:tcPr>
          <w:p>
            <w:pPr>
              <w:spacing w:after="120"/>
              <w:jc w:val="center"/>
              <w:rPr>
                <w:rFonts w:hAnsi="宋体" w:cs="宋体"/>
              </w:rPr>
            </w:pPr>
            <w:r>
              <w:rPr>
                <w:rFonts w:hint="eastAsia" w:hAnsi="宋体" w:cs="宋体"/>
              </w:rPr>
              <w:t>数量</w:t>
            </w:r>
          </w:p>
        </w:tc>
        <w:tc>
          <w:tcPr>
            <w:tcW w:w="1175" w:type="dxa"/>
            <w:tcBorders>
              <w:top w:val="single" w:color="auto" w:sz="6" w:space="0"/>
              <w:left w:val="single" w:color="auto" w:sz="6" w:space="0"/>
              <w:bottom w:val="single" w:color="auto" w:sz="6" w:space="0"/>
              <w:right w:val="single" w:color="auto" w:sz="6" w:space="0"/>
            </w:tcBorders>
            <w:vAlign w:val="center"/>
          </w:tcPr>
          <w:p>
            <w:pPr>
              <w:spacing w:after="120"/>
              <w:jc w:val="center"/>
              <w:rPr>
                <w:rFonts w:hAnsi="宋体" w:cs="宋体"/>
              </w:rPr>
            </w:pPr>
            <w:r>
              <w:rPr>
                <w:rFonts w:hint="eastAsia" w:hAnsi="宋体" w:cs="宋体"/>
              </w:rPr>
              <w:t>单价</w:t>
            </w:r>
          </w:p>
          <w:p>
            <w:pPr>
              <w:spacing w:after="120"/>
              <w:jc w:val="center"/>
              <w:rPr>
                <w:rFonts w:hAnsi="宋体" w:cs="宋体"/>
                <w:bCs/>
              </w:rPr>
            </w:pPr>
            <w:r>
              <w:rPr>
                <w:rFonts w:hint="eastAsia" w:hAnsi="宋体" w:cs="宋体"/>
              </w:rPr>
              <w:t>（元）</w:t>
            </w:r>
          </w:p>
        </w:tc>
        <w:tc>
          <w:tcPr>
            <w:tcW w:w="1178" w:type="dxa"/>
            <w:tcBorders>
              <w:top w:val="single" w:color="auto" w:sz="6" w:space="0"/>
              <w:left w:val="single" w:color="auto" w:sz="6" w:space="0"/>
              <w:bottom w:val="single" w:color="auto" w:sz="6" w:space="0"/>
              <w:right w:val="single" w:color="auto" w:sz="6" w:space="0"/>
            </w:tcBorders>
            <w:vAlign w:val="center"/>
          </w:tcPr>
          <w:p>
            <w:pPr>
              <w:spacing w:after="120"/>
              <w:jc w:val="center"/>
              <w:rPr>
                <w:rFonts w:hAnsi="宋体" w:cs="宋体"/>
                <w:bCs/>
              </w:rPr>
            </w:pPr>
            <w:r>
              <w:rPr>
                <w:rFonts w:hint="eastAsia" w:hAnsi="宋体" w:cs="宋体"/>
                <w:bCs/>
              </w:rPr>
              <w:t>总价</w:t>
            </w:r>
          </w:p>
          <w:p>
            <w:pPr>
              <w:spacing w:after="120"/>
              <w:jc w:val="center"/>
              <w:rPr>
                <w:rFonts w:hAnsi="宋体" w:cs="宋体"/>
                <w:bCs/>
              </w:rPr>
            </w:pPr>
            <w:r>
              <w:rPr>
                <w:rFonts w:hint="eastAsia" w:hAnsi="宋体" w:cs="宋体"/>
                <w:bCs/>
              </w:rPr>
              <w:t>（元）</w:t>
            </w:r>
          </w:p>
        </w:tc>
      </w:tr>
      <w:tr>
        <w:tblPrEx>
          <w:tblCellMar>
            <w:top w:w="0" w:type="dxa"/>
            <w:left w:w="28" w:type="dxa"/>
            <w:bottom w:w="0" w:type="dxa"/>
            <w:right w:w="28" w:type="dxa"/>
          </w:tblCellMar>
        </w:tblPrEx>
        <w:trPr>
          <w:trHeight w:val="531" w:hRule="atLeast"/>
          <w:jc w:val="center"/>
        </w:trPr>
        <w:tc>
          <w:tcPr>
            <w:tcW w:w="875" w:type="dxa"/>
            <w:vMerge w:val="continue"/>
            <w:tcBorders>
              <w:left w:val="single" w:color="auto" w:sz="6" w:space="0"/>
              <w:right w:val="single" w:color="auto" w:sz="4" w:space="0"/>
            </w:tcBorders>
            <w:vAlign w:val="center"/>
          </w:tcPr>
          <w:p>
            <w:pPr>
              <w:spacing w:before="333" w:beforeLines="100"/>
              <w:jc w:val="center"/>
              <w:rPr>
                <w:rFonts w:hAnsi="宋体" w:cs="宋体"/>
              </w:rPr>
            </w:pPr>
          </w:p>
        </w:tc>
        <w:tc>
          <w:tcPr>
            <w:tcW w:w="536" w:type="dxa"/>
            <w:tcBorders>
              <w:top w:val="single" w:color="auto" w:sz="6" w:space="0"/>
              <w:left w:val="single" w:color="auto" w:sz="4" w:space="0"/>
              <w:bottom w:val="single" w:color="auto" w:sz="4" w:space="0"/>
            </w:tcBorders>
            <w:vAlign w:val="center"/>
          </w:tcPr>
          <w:p>
            <w:pPr>
              <w:spacing w:before="333" w:beforeLines="100"/>
              <w:jc w:val="center"/>
              <w:rPr>
                <w:rFonts w:hAnsi="宋体" w:cs="宋体"/>
              </w:rPr>
            </w:pPr>
            <w:r>
              <w:rPr>
                <w:rFonts w:hint="eastAsia" w:hAnsi="宋体" w:cs="宋体"/>
              </w:rPr>
              <w:t>1</w:t>
            </w:r>
          </w:p>
        </w:tc>
        <w:tc>
          <w:tcPr>
            <w:tcW w:w="797" w:type="dxa"/>
            <w:tcBorders>
              <w:top w:val="single" w:color="auto" w:sz="6" w:space="0"/>
              <w:left w:val="single" w:color="auto" w:sz="6" w:space="0"/>
              <w:bottom w:val="single" w:color="auto" w:sz="4" w:space="0"/>
              <w:right w:val="single" w:color="auto" w:sz="6" w:space="0"/>
            </w:tcBorders>
            <w:vAlign w:val="center"/>
          </w:tcPr>
          <w:p>
            <w:pPr>
              <w:spacing w:before="166" w:beforeLines="50"/>
              <w:jc w:val="center"/>
              <w:rPr>
                <w:rFonts w:hAnsi="宋体" w:cs="宋体"/>
              </w:rPr>
            </w:pPr>
          </w:p>
        </w:tc>
        <w:tc>
          <w:tcPr>
            <w:tcW w:w="723" w:type="dxa"/>
            <w:tcBorders>
              <w:top w:val="single" w:color="auto" w:sz="6" w:space="0"/>
              <w:left w:val="single" w:color="auto" w:sz="6" w:space="0"/>
              <w:bottom w:val="single" w:color="auto" w:sz="4" w:space="0"/>
              <w:right w:val="single" w:color="auto" w:sz="4" w:space="0"/>
            </w:tcBorders>
            <w:vAlign w:val="center"/>
          </w:tcPr>
          <w:p>
            <w:pPr>
              <w:spacing w:before="166" w:beforeLines="50"/>
              <w:jc w:val="center"/>
              <w:rPr>
                <w:rFonts w:hAnsi="宋体" w:cs="宋体"/>
              </w:rPr>
            </w:pPr>
          </w:p>
        </w:tc>
        <w:tc>
          <w:tcPr>
            <w:tcW w:w="1094" w:type="dxa"/>
            <w:tcBorders>
              <w:top w:val="single" w:color="auto" w:sz="6" w:space="0"/>
              <w:left w:val="single" w:color="auto" w:sz="4" w:space="0"/>
              <w:bottom w:val="single" w:color="auto" w:sz="4" w:space="0"/>
              <w:right w:val="single" w:color="auto" w:sz="6" w:space="0"/>
            </w:tcBorders>
            <w:vAlign w:val="center"/>
          </w:tcPr>
          <w:p>
            <w:pPr>
              <w:spacing w:before="166" w:beforeLines="50"/>
              <w:jc w:val="center"/>
              <w:rPr>
                <w:rFonts w:hAnsi="宋体" w:cs="宋体"/>
              </w:rPr>
            </w:pPr>
          </w:p>
        </w:tc>
        <w:tc>
          <w:tcPr>
            <w:tcW w:w="1561" w:type="dxa"/>
            <w:tcBorders>
              <w:top w:val="single" w:color="auto" w:sz="6" w:space="0"/>
              <w:left w:val="single" w:color="auto" w:sz="6" w:space="0"/>
              <w:bottom w:val="single" w:color="auto" w:sz="4" w:space="0"/>
              <w:right w:val="single" w:color="auto" w:sz="6" w:space="0"/>
            </w:tcBorders>
            <w:vAlign w:val="center"/>
          </w:tcPr>
          <w:p>
            <w:pPr>
              <w:spacing w:before="166" w:beforeLines="50"/>
              <w:jc w:val="center"/>
              <w:rPr>
                <w:rFonts w:hAnsi="宋体" w:cs="宋体"/>
              </w:rPr>
            </w:pPr>
          </w:p>
        </w:tc>
        <w:tc>
          <w:tcPr>
            <w:tcW w:w="960" w:type="dxa"/>
            <w:tcBorders>
              <w:top w:val="single" w:color="auto" w:sz="6" w:space="0"/>
              <w:left w:val="single" w:color="auto" w:sz="6" w:space="0"/>
              <w:bottom w:val="single" w:color="auto" w:sz="4" w:space="0"/>
              <w:right w:val="single" w:color="auto" w:sz="6" w:space="0"/>
            </w:tcBorders>
            <w:vAlign w:val="center"/>
          </w:tcPr>
          <w:p>
            <w:pPr>
              <w:spacing w:before="166" w:beforeLines="50"/>
              <w:jc w:val="center"/>
              <w:rPr>
                <w:rFonts w:hAnsi="宋体" w:cs="宋体"/>
              </w:rPr>
            </w:pPr>
          </w:p>
        </w:tc>
        <w:tc>
          <w:tcPr>
            <w:tcW w:w="1175" w:type="dxa"/>
            <w:tcBorders>
              <w:top w:val="single" w:color="auto" w:sz="6" w:space="0"/>
              <w:left w:val="single" w:color="auto" w:sz="6" w:space="0"/>
              <w:bottom w:val="single" w:color="auto" w:sz="4" w:space="0"/>
              <w:right w:val="single" w:color="auto" w:sz="6" w:space="0"/>
            </w:tcBorders>
            <w:vAlign w:val="center"/>
          </w:tcPr>
          <w:p>
            <w:pPr>
              <w:spacing w:before="166" w:beforeLines="50"/>
              <w:jc w:val="center"/>
              <w:rPr>
                <w:rFonts w:hAnsi="宋体" w:cs="宋体"/>
              </w:rPr>
            </w:pPr>
          </w:p>
        </w:tc>
        <w:tc>
          <w:tcPr>
            <w:tcW w:w="1178" w:type="dxa"/>
            <w:tcBorders>
              <w:top w:val="single" w:color="auto" w:sz="6" w:space="0"/>
              <w:left w:val="single" w:color="auto" w:sz="6" w:space="0"/>
              <w:bottom w:val="single" w:color="auto" w:sz="4" w:space="0"/>
              <w:right w:val="single" w:color="auto" w:sz="6" w:space="0"/>
            </w:tcBorders>
            <w:vAlign w:val="center"/>
          </w:tcPr>
          <w:p>
            <w:pPr>
              <w:spacing w:before="166" w:beforeLines="50"/>
              <w:jc w:val="center"/>
              <w:rPr>
                <w:rFonts w:hAnsi="宋体" w:cs="宋体"/>
              </w:rPr>
            </w:pPr>
          </w:p>
        </w:tc>
      </w:tr>
      <w:tr>
        <w:tblPrEx>
          <w:tblCellMar>
            <w:top w:w="0" w:type="dxa"/>
            <w:left w:w="28" w:type="dxa"/>
            <w:bottom w:w="0" w:type="dxa"/>
            <w:right w:w="28" w:type="dxa"/>
          </w:tblCellMar>
        </w:tblPrEx>
        <w:trPr>
          <w:trHeight w:val="531" w:hRule="atLeast"/>
          <w:jc w:val="center"/>
        </w:trPr>
        <w:tc>
          <w:tcPr>
            <w:tcW w:w="875" w:type="dxa"/>
            <w:vMerge w:val="continue"/>
            <w:tcBorders>
              <w:left w:val="single" w:color="auto" w:sz="6" w:space="0"/>
              <w:right w:val="single" w:color="auto" w:sz="4" w:space="0"/>
            </w:tcBorders>
            <w:vAlign w:val="center"/>
          </w:tcPr>
          <w:p>
            <w:pPr>
              <w:spacing w:before="333" w:beforeLines="100"/>
              <w:jc w:val="center"/>
              <w:rPr>
                <w:rFonts w:hAnsi="宋体" w:cs="宋体"/>
              </w:rPr>
            </w:pPr>
          </w:p>
        </w:tc>
        <w:tc>
          <w:tcPr>
            <w:tcW w:w="536" w:type="dxa"/>
            <w:tcBorders>
              <w:top w:val="single" w:color="auto" w:sz="4" w:space="0"/>
              <w:left w:val="single" w:color="auto" w:sz="4" w:space="0"/>
              <w:bottom w:val="single" w:color="auto" w:sz="6" w:space="0"/>
            </w:tcBorders>
            <w:vAlign w:val="center"/>
          </w:tcPr>
          <w:p>
            <w:pPr>
              <w:spacing w:before="333" w:beforeLines="100"/>
              <w:jc w:val="center"/>
              <w:rPr>
                <w:rFonts w:hAnsi="宋体" w:cs="宋体"/>
              </w:rPr>
            </w:pPr>
            <w:r>
              <w:rPr>
                <w:rFonts w:hint="eastAsia" w:hAnsi="宋体" w:cs="宋体"/>
              </w:rPr>
              <w:t>2</w:t>
            </w:r>
          </w:p>
        </w:tc>
        <w:tc>
          <w:tcPr>
            <w:tcW w:w="797" w:type="dxa"/>
            <w:tcBorders>
              <w:top w:val="single" w:color="auto" w:sz="4" w:space="0"/>
              <w:left w:val="single" w:color="auto" w:sz="6" w:space="0"/>
              <w:bottom w:val="single" w:color="auto" w:sz="6" w:space="0"/>
              <w:right w:val="single" w:color="auto" w:sz="6" w:space="0"/>
            </w:tcBorders>
            <w:vAlign w:val="center"/>
          </w:tcPr>
          <w:p>
            <w:pPr>
              <w:spacing w:before="333" w:beforeLines="100"/>
              <w:jc w:val="center"/>
              <w:rPr>
                <w:rFonts w:hAnsi="宋体" w:cs="宋体"/>
              </w:rPr>
            </w:pPr>
          </w:p>
        </w:tc>
        <w:tc>
          <w:tcPr>
            <w:tcW w:w="723" w:type="dxa"/>
            <w:tcBorders>
              <w:top w:val="single" w:color="auto" w:sz="4" w:space="0"/>
              <w:left w:val="single" w:color="auto" w:sz="6" w:space="0"/>
              <w:bottom w:val="single" w:color="auto" w:sz="6" w:space="0"/>
              <w:right w:val="single" w:color="auto" w:sz="4" w:space="0"/>
            </w:tcBorders>
            <w:vAlign w:val="center"/>
          </w:tcPr>
          <w:p>
            <w:pPr>
              <w:spacing w:before="166" w:beforeLines="50"/>
              <w:jc w:val="center"/>
              <w:rPr>
                <w:rFonts w:hAnsi="宋体" w:cs="宋体"/>
              </w:rPr>
            </w:pPr>
          </w:p>
        </w:tc>
        <w:tc>
          <w:tcPr>
            <w:tcW w:w="1094" w:type="dxa"/>
            <w:tcBorders>
              <w:top w:val="single" w:color="auto" w:sz="4" w:space="0"/>
              <w:left w:val="single" w:color="auto" w:sz="4" w:space="0"/>
              <w:bottom w:val="single" w:color="auto" w:sz="6" w:space="0"/>
              <w:right w:val="single" w:color="auto" w:sz="6" w:space="0"/>
            </w:tcBorders>
            <w:vAlign w:val="center"/>
          </w:tcPr>
          <w:p>
            <w:pPr>
              <w:spacing w:before="166" w:beforeLines="50"/>
              <w:jc w:val="center"/>
              <w:rPr>
                <w:rFonts w:hAnsi="宋体" w:cs="宋体"/>
              </w:rPr>
            </w:pPr>
          </w:p>
        </w:tc>
        <w:tc>
          <w:tcPr>
            <w:tcW w:w="1561"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rPr>
            </w:pPr>
          </w:p>
        </w:tc>
        <w:tc>
          <w:tcPr>
            <w:tcW w:w="960"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rPr>
            </w:pPr>
          </w:p>
        </w:tc>
        <w:tc>
          <w:tcPr>
            <w:tcW w:w="1175"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rPr>
            </w:pPr>
          </w:p>
        </w:tc>
        <w:tc>
          <w:tcPr>
            <w:tcW w:w="1178"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rPr>
            </w:pPr>
          </w:p>
        </w:tc>
      </w:tr>
      <w:tr>
        <w:tblPrEx>
          <w:tblCellMar>
            <w:top w:w="0" w:type="dxa"/>
            <w:left w:w="28" w:type="dxa"/>
            <w:bottom w:w="0" w:type="dxa"/>
            <w:right w:w="28" w:type="dxa"/>
          </w:tblCellMar>
        </w:tblPrEx>
        <w:trPr>
          <w:trHeight w:val="531" w:hRule="atLeast"/>
          <w:jc w:val="center"/>
        </w:trPr>
        <w:tc>
          <w:tcPr>
            <w:tcW w:w="875" w:type="dxa"/>
            <w:vMerge w:val="continue"/>
            <w:tcBorders>
              <w:left w:val="single" w:color="auto" w:sz="6" w:space="0"/>
              <w:right w:val="single" w:color="auto" w:sz="4" w:space="0"/>
            </w:tcBorders>
            <w:vAlign w:val="center"/>
          </w:tcPr>
          <w:p>
            <w:pPr>
              <w:spacing w:before="333" w:beforeLines="100"/>
              <w:jc w:val="center"/>
              <w:rPr>
                <w:rFonts w:hAnsi="宋体" w:cs="宋体"/>
              </w:rPr>
            </w:pPr>
          </w:p>
        </w:tc>
        <w:tc>
          <w:tcPr>
            <w:tcW w:w="536" w:type="dxa"/>
            <w:tcBorders>
              <w:top w:val="single" w:color="auto" w:sz="4" w:space="0"/>
              <w:left w:val="single" w:color="auto" w:sz="4" w:space="0"/>
              <w:bottom w:val="single" w:color="auto" w:sz="6" w:space="0"/>
            </w:tcBorders>
            <w:vAlign w:val="center"/>
          </w:tcPr>
          <w:p>
            <w:pPr>
              <w:spacing w:before="333" w:beforeLines="100"/>
              <w:jc w:val="center"/>
              <w:rPr>
                <w:rFonts w:hAnsi="宋体" w:cs="宋体"/>
              </w:rPr>
            </w:pPr>
            <w:r>
              <w:rPr>
                <w:rFonts w:hint="eastAsia" w:hAnsi="宋体" w:cs="宋体"/>
              </w:rPr>
              <w:t>3</w:t>
            </w:r>
          </w:p>
        </w:tc>
        <w:tc>
          <w:tcPr>
            <w:tcW w:w="797" w:type="dxa"/>
            <w:tcBorders>
              <w:top w:val="single" w:color="auto" w:sz="4" w:space="0"/>
              <w:left w:val="single" w:color="auto" w:sz="6" w:space="0"/>
              <w:bottom w:val="single" w:color="auto" w:sz="6" w:space="0"/>
              <w:right w:val="single" w:color="auto" w:sz="6" w:space="0"/>
            </w:tcBorders>
            <w:vAlign w:val="center"/>
          </w:tcPr>
          <w:p>
            <w:pPr>
              <w:spacing w:before="333" w:beforeLines="100"/>
              <w:jc w:val="center"/>
              <w:rPr>
                <w:rFonts w:hAnsi="宋体" w:cs="宋体"/>
              </w:rPr>
            </w:pPr>
          </w:p>
        </w:tc>
        <w:tc>
          <w:tcPr>
            <w:tcW w:w="723" w:type="dxa"/>
            <w:tcBorders>
              <w:top w:val="single" w:color="auto" w:sz="4" w:space="0"/>
              <w:left w:val="single" w:color="auto" w:sz="6" w:space="0"/>
              <w:bottom w:val="single" w:color="auto" w:sz="6" w:space="0"/>
              <w:right w:val="single" w:color="auto" w:sz="4" w:space="0"/>
            </w:tcBorders>
            <w:vAlign w:val="center"/>
          </w:tcPr>
          <w:p>
            <w:pPr>
              <w:spacing w:before="166" w:beforeLines="50"/>
              <w:jc w:val="center"/>
              <w:rPr>
                <w:rFonts w:hAnsi="宋体" w:cs="宋体"/>
              </w:rPr>
            </w:pPr>
          </w:p>
        </w:tc>
        <w:tc>
          <w:tcPr>
            <w:tcW w:w="1094" w:type="dxa"/>
            <w:tcBorders>
              <w:top w:val="single" w:color="auto" w:sz="4" w:space="0"/>
              <w:left w:val="single" w:color="auto" w:sz="4" w:space="0"/>
              <w:bottom w:val="single" w:color="auto" w:sz="6" w:space="0"/>
              <w:right w:val="single" w:color="auto" w:sz="6" w:space="0"/>
            </w:tcBorders>
            <w:vAlign w:val="center"/>
          </w:tcPr>
          <w:p>
            <w:pPr>
              <w:spacing w:before="166" w:beforeLines="50"/>
              <w:jc w:val="center"/>
              <w:rPr>
                <w:rFonts w:hAnsi="宋体" w:cs="宋体"/>
              </w:rPr>
            </w:pPr>
          </w:p>
        </w:tc>
        <w:tc>
          <w:tcPr>
            <w:tcW w:w="1561"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rPr>
            </w:pPr>
          </w:p>
        </w:tc>
        <w:tc>
          <w:tcPr>
            <w:tcW w:w="960"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rPr>
            </w:pPr>
          </w:p>
        </w:tc>
        <w:tc>
          <w:tcPr>
            <w:tcW w:w="1175"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rPr>
            </w:pPr>
          </w:p>
        </w:tc>
        <w:tc>
          <w:tcPr>
            <w:tcW w:w="1178"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rPr>
            </w:pPr>
          </w:p>
        </w:tc>
      </w:tr>
      <w:tr>
        <w:tblPrEx>
          <w:tblCellMar>
            <w:top w:w="0" w:type="dxa"/>
            <w:left w:w="28" w:type="dxa"/>
            <w:bottom w:w="0" w:type="dxa"/>
            <w:right w:w="28" w:type="dxa"/>
          </w:tblCellMar>
        </w:tblPrEx>
        <w:trPr>
          <w:trHeight w:val="531" w:hRule="atLeast"/>
          <w:jc w:val="center"/>
        </w:trPr>
        <w:tc>
          <w:tcPr>
            <w:tcW w:w="875" w:type="dxa"/>
            <w:vMerge w:val="continue"/>
            <w:tcBorders>
              <w:left w:val="single" w:color="auto" w:sz="6" w:space="0"/>
              <w:right w:val="single" w:color="auto" w:sz="4" w:space="0"/>
            </w:tcBorders>
            <w:vAlign w:val="center"/>
          </w:tcPr>
          <w:p>
            <w:pPr>
              <w:spacing w:before="333" w:beforeLines="100"/>
              <w:jc w:val="center"/>
              <w:rPr>
                <w:rFonts w:hAnsi="宋体" w:cs="宋体"/>
              </w:rPr>
            </w:pPr>
          </w:p>
        </w:tc>
        <w:tc>
          <w:tcPr>
            <w:tcW w:w="536" w:type="dxa"/>
            <w:tcBorders>
              <w:top w:val="single" w:color="auto" w:sz="4" w:space="0"/>
              <w:left w:val="single" w:color="auto" w:sz="4" w:space="0"/>
              <w:bottom w:val="single" w:color="auto" w:sz="6" w:space="0"/>
            </w:tcBorders>
            <w:vAlign w:val="center"/>
          </w:tcPr>
          <w:p>
            <w:pPr>
              <w:spacing w:before="333" w:beforeLines="100"/>
              <w:jc w:val="center"/>
              <w:rPr>
                <w:rFonts w:hAnsi="宋体" w:cs="宋体"/>
              </w:rPr>
            </w:pPr>
            <w:r>
              <w:rPr>
                <w:rFonts w:hint="eastAsia" w:hAnsi="宋体" w:cs="宋体"/>
                <w:szCs w:val="24"/>
              </w:rPr>
              <w:t>……</w:t>
            </w:r>
          </w:p>
        </w:tc>
        <w:tc>
          <w:tcPr>
            <w:tcW w:w="797"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rPr>
            </w:pPr>
          </w:p>
        </w:tc>
        <w:tc>
          <w:tcPr>
            <w:tcW w:w="723" w:type="dxa"/>
            <w:tcBorders>
              <w:top w:val="single" w:color="auto" w:sz="4" w:space="0"/>
              <w:left w:val="single" w:color="auto" w:sz="6" w:space="0"/>
              <w:bottom w:val="single" w:color="auto" w:sz="6" w:space="0"/>
              <w:right w:val="single" w:color="auto" w:sz="4" w:space="0"/>
            </w:tcBorders>
            <w:vAlign w:val="center"/>
          </w:tcPr>
          <w:p>
            <w:pPr>
              <w:spacing w:before="166" w:beforeLines="50"/>
              <w:jc w:val="center"/>
              <w:rPr>
                <w:rFonts w:hAnsi="宋体" w:cs="宋体"/>
              </w:rPr>
            </w:pPr>
          </w:p>
        </w:tc>
        <w:tc>
          <w:tcPr>
            <w:tcW w:w="1094" w:type="dxa"/>
            <w:tcBorders>
              <w:top w:val="single" w:color="auto" w:sz="4" w:space="0"/>
              <w:left w:val="single" w:color="auto" w:sz="4" w:space="0"/>
              <w:bottom w:val="single" w:color="auto" w:sz="6" w:space="0"/>
              <w:right w:val="single" w:color="auto" w:sz="6" w:space="0"/>
            </w:tcBorders>
            <w:vAlign w:val="center"/>
          </w:tcPr>
          <w:p>
            <w:pPr>
              <w:spacing w:before="166" w:beforeLines="50"/>
              <w:jc w:val="center"/>
              <w:rPr>
                <w:rFonts w:hAnsi="宋体" w:cs="宋体"/>
              </w:rPr>
            </w:pPr>
          </w:p>
        </w:tc>
        <w:tc>
          <w:tcPr>
            <w:tcW w:w="1561"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rPr>
            </w:pPr>
          </w:p>
        </w:tc>
        <w:tc>
          <w:tcPr>
            <w:tcW w:w="960"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rPr>
            </w:pPr>
          </w:p>
        </w:tc>
        <w:tc>
          <w:tcPr>
            <w:tcW w:w="1175"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rPr>
            </w:pPr>
          </w:p>
        </w:tc>
        <w:tc>
          <w:tcPr>
            <w:tcW w:w="1178"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rPr>
            </w:pPr>
          </w:p>
        </w:tc>
      </w:tr>
      <w:tr>
        <w:tblPrEx>
          <w:tblCellMar>
            <w:top w:w="0" w:type="dxa"/>
            <w:left w:w="28" w:type="dxa"/>
            <w:bottom w:w="0" w:type="dxa"/>
            <w:right w:w="28" w:type="dxa"/>
          </w:tblCellMar>
        </w:tblPrEx>
        <w:trPr>
          <w:trHeight w:val="531" w:hRule="atLeast"/>
          <w:jc w:val="center"/>
        </w:trPr>
        <w:tc>
          <w:tcPr>
            <w:tcW w:w="875" w:type="dxa"/>
            <w:vMerge w:val="continue"/>
            <w:tcBorders>
              <w:left w:val="single" w:color="auto" w:sz="6" w:space="0"/>
              <w:bottom w:val="single" w:color="auto" w:sz="6" w:space="0"/>
              <w:right w:val="single" w:color="auto" w:sz="4" w:space="0"/>
            </w:tcBorders>
            <w:vAlign w:val="center"/>
          </w:tcPr>
          <w:p>
            <w:pPr>
              <w:spacing w:before="333" w:beforeLines="100"/>
              <w:jc w:val="center"/>
              <w:rPr>
                <w:rFonts w:hAnsi="宋体" w:cs="宋体"/>
              </w:rPr>
            </w:pPr>
          </w:p>
        </w:tc>
        <w:tc>
          <w:tcPr>
            <w:tcW w:w="536" w:type="dxa"/>
            <w:tcBorders>
              <w:top w:val="single" w:color="auto" w:sz="4" w:space="0"/>
              <w:left w:val="single" w:color="auto" w:sz="4" w:space="0"/>
              <w:bottom w:val="single" w:color="auto" w:sz="6" w:space="0"/>
            </w:tcBorders>
            <w:vAlign w:val="center"/>
          </w:tcPr>
          <w:p>
            <w:pPr>
              <w:spacing w:before="333" w:beforeLines="100"/>
              <w:jc w:val="center"/>
              <w:rPr>
                <w:rFonts w:hAnsi="宋体" w:cs="宋体"/>
                <w:b/>
              </w:rPr>
            </w:pPr>
            <w:r>
              <w:rPr>
                <w:rFonts w:hint="eastAsia" w:hAnsi="宋体" w:cs="宋体"/>
                <w:szCs w:val="24"/>
              </w:rPr>
              <w:t>……</w:t>
            </w:r>
          </w:p>
        </w:tc>
        <w:tc>
          <w:tcPr>
            <w:tcW w:w="797"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rPr>
            </w:pPr>
          </w:p>
        </w:tc>
        <w:tc>
          <w:tcPr>
            <w:tcW w:w="723" w:type="dxa"/>
            <w:tcBorders>
              <w:top w:val="single" w:color="auto" w:sz="4" w:space="0"/>
              <w:left w:val="single" w:color="auto" w:sz="6" w:space="0"/>
              <w:bottom w:val="single" w:color="auto" w:sz="6" w:space="0"/>
              <w:right w:val="single" w:color="auto" w:sz="4" w:space="0"/>
            </w:tcBorders>
            <w:vAlign w:val="center"/>
          </w:tcPr>
          <w:p>
            <w:pPr>
              <w:spacing w:before="166" w:beforeLines="50"/>
              <w:jc w:val="center"/>
              <w:rPr>
                <w:rFonts w:hAnsi="宋体" w:cs="宋体"/>
              </w:rPr>
            </w:pPr>
          </w:p>
        </w:tc>
        <w:tc>
          <w:tcPr>
            <w:tcW w:w="1094" w:type="dxa"/>
            <w:tcBorders>
              <w:top w:val="single" w:color="auto" w:sz="4" w:space="0"/>
              <w:left w:val="single" w:color="auto" w:sz="4" w:space="0"/>
              <w:bottom w:val="single" w:color="auto" w:sz="6" w:space="0"/>
              <w:right w:val="single" w:color="auto" w:sz="6" w:space="0"/>
            </w:tcBorders>
            <w:vAlign w:val="center"/>
          </w:tcPr>
          <w:p>
            <w:pPr>
              <w:spacing w:before="166" w:beforeLines="50"/>
              <w:jc w:val="center"/>
              <w:rPr>
                <w:rFonts w:hAnsi="宋体" w:cs="宋体"/>
              </w:rPr>
            </w:pPr>
          </w:p>
        </w:tc>
        <w:tc>
          <w:tcPr>
            <w:tcW w:w="1561"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rPr>
            </w:pPr>
          </w:p>
        </w:tc>
        <w:tc>
          <w:tcPr>
            <w:tcW w:w="960"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rPr>
            </w:pPr>
          </w:p>
        </w:tc>
        <w:tc>
          <w:tcPr>
            <w:tcW w:w="1175"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rPr>
            </w:pPr>
          </w:p>
        </w:tc>
        <w:tc>
          <w:tcPr>
            <w:tcW w:w="1178"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rPr>
                <w:rFonts w:hAnsi="宋体" w:cs="宋体"/>
              </w:rPr>
            </w:pPr>
          </w:p>
        </w:tc>
      </w:tr>
      <w:tr>
        <w:tblPrEx>
          <w:tblCellMar>
            <w:top w:w="0" w:type="dxa"/>
            <w:left w:w="28" w:type="dxa"/>
            <w:bottom w:w="0" w:type="dxa"/>
            <w:right w:w="28" w:type="dxa"/>
          </w:tblCellMar>
        </w:tblPrEx>
        <w:trPr>
          <w:trHeight w:val="531" w:hRule="atLeast"/>
          <w:jc w:val="center"/>
        </w:trPr>
        <w:tc>
          <w:tcPr>
            <w:tcW w:w="2208" w:type="dxa"/>
            <w:gridSpan w:val="3"/>
            <w:tcBorders>
              <w:top w:val="single" w:color="auto" w:sz="4" w:space="0"/>
              <w:left w:val="single" w:color="auto" w:sz="6" w:space="0"/>
              <w:bottom w:val="single" w:color="auto" w:sz="6" w:space="0"/>
            </w:tcBorders>
            <w:vAlign w:val="center"/>
          </w:tcPr>
          <w:p>
            <w:pPr>
              <w:jc w:val="center"/>
              <w:rPr>
                <w:rFonts w:hAnsi="宋体" w:cs="宋体"/>
                <w:szCs w:val="24"/>
              </w:rPr>
            </w:pPr>
            <w:r>
              <w:rPr>
                <w:rFonts w:hint="eastAsia" w:hAnsi="宋体" w:cs="宋体"/>
                <w:szCs w:val="24"/>
              </w:rPr>
              <w:t>投标总报价</w:t>
            </w:r>
          </w:p>
        </w:tc>
        <w:tc>
          <w:tcPr>
            <w:tcW w:w="6691" w:type="dxa"/>
            <w:gridSpan w:val="6"/>
            <w:tcBorders>
              <w:top w:val="single" w:color="auto" w:sz="4" w:space="0"/>
              <w:left w:val="single" w:color="auto" w:sz="6" w:space="0"/>
              <w:bottom w:val="single" w:color="auto" w:sz="6" w:space="0"/>
              <w:right w:val="single" w:color="auto" w:sz="6" w:space="0"/>
            </w:tcBorders>
            <w:vAlign w:val="center"/>
          </w:tcPr>
          <w:p>
            <w:pPr>
              <w:spacing w:before="166" w:beforeLines="50"/>
              <w:rPr>
                <w:rFonts w:hAnsi="宋体" w:cs="宋体"/>
                <w:szCs w:val="24"/>
              </w:rPr>
            </w:pPr>
            <w:r>
              <w:rPr>
                <w:rFonts w:hint="eastAsia" w:hAnsi="宋体" w:cs="宋体"/>
                <w:szCs w:val="24"/>
              </w:rPr>
              <w:t>大写：                           小写：</w:t>
            </w:r>
          </w:p>
        </w:tc>
      </w:tr>
      <w:tr>
        <w:tblPrEx>
          <w:tblCellMar>
            <w:top w:w="0" w:type="dxa"/>
            <w:left w:w="28" w:type="dxa"/>
            <w:bottom w:w="0" w:type="dxa"/>
            <w:right w:w="28" w:type="dxa"/>
          </w:tblCellMar>
        </w:tblPrEx>
        <w:trPr>
          <w:trHeight w:val="531" w:hRule="atLeast"/>
          <w:jc w:val="center"/>
        </w:trPr>
        <w:tc>
          <w:tcPr>
            <w:tcW w:w="2208" w:type="dxa"/>
            <w:gridSpan w:val="3"/>
            <w:tcBorders>
              <w:top w:val="single" w:color="auto" w:sz="4" w:space="0"/>
              <w:left w:val="single" w:color="auto" w:sz="6" w:space="0"/>
              <w:bottom w:val="single" w:color="auto" w:sz="6" w:space="0"/>
            </w:tcBorders>
            <w:vAlign w:val="center"/>
          </w:tcPr>
          <w:p>
            <w:pPr>
              <w:jc w:val="center"/>
              <w:rPr>
                <w:rFonts w:hAnsi="宋体" w:cs="宋体"/>
                <w:szCs w:val="24"/>
              </w:rPr>
            </w:pPr>
            <w:r>
              <w:rPr>
                <w:rFonts w:hint="eastAsia" w:hAnsi="宋体" w:cs="宋体"/>
                <w:szCs w:val="24"/>
              </w:rPr>
              <w:t>备注</w:t>
            </w:r>
          </w:p>
        </w:tc>
        <w:tc>
          <w:tcPr>
            <w:tcW w:w="6691" w:type="dxa"/>
            <w:gridSpan w:val="6"/>
            <w:tcBorders>
              <w:top w:val="single" w:color="auto" w:sz="4" w:space="0"/>
              <w:left w:val="single" w:color="auto" w:sz="6" w:space="0"/>
              <w:bottom w:val="single" w:color="auto" w:sz="6" w:space="0"/>
              <w:right w:val="single" w:color="auto" w:sz="6" w:space="0"/>
            </w:tcBorders>
            <w:vAlign w:val="center"/>
          </w:tcPr>
          <w:p>
            <w:pPr>
              <w:spacing w:before="166" w:beforeLines="50"/>
              <w:rPr>
                <w:rFonts w:hAnsi="宋体" w:cs="宋体"/>
                <w:szCs w:val="24"/>
              </w:rPr>
            </w:pPr>
            <w:r>
              <w:rPr>
                <w:rFonts w:hint="eastAsia" w:hAnsi="宋体" w:cs="宋体"/>
                <w:spacing w:val="-6"/>
                <w:szCs w:val="24"/>
              </w:rPr>
              <w:t>保留小数点后两位。</w:t>
            </w:r>
          </w:p>
        </w:tc>
      </w:tr>
    </w:tbl>
    <w:p>
      <w:pPr>
        <w:rPr>
          <w:rFonts w:hAnsi="宋体" w:cs="宋体"/>
        </w:rPr>
      </w:pPr>
    </w:p>
    <w:p>
      <w:pPr>
        <w:spacing w:line="720" w:lineRule="auto"/>
        <w:ind w:firstLine="480" w:firstLineChars="200"/>
        <w:jc w:val="left"/>
        <w:rPr>
          <w:rFonts w:hAnsi="宋体" w:cs="宋体"/>
          <w:u w:val="single"/>
        </w:rPr>
      </w:pPr>
      <w:r>
        <w:rPr>
          <w:rFonts w:hint="eastAsia" w:hAnsi="宋体" w:cs="宋体"/>
        </w:rPr>
        <w:t>供应商名称：</w:t>
      </w:r>
      <w:r>
        <w:rPr>
          <w:rFonts w:hint="eastAsia" w:hAnsi="宋体" w:cs="宋体"/>
          <w:u w:val="single"/>
        </w:rPr>
        <w:t xml:space="preserve">                        </w:t>
      </w:r>
      <w:r>
        <w:rPr>
          <w:rFonts w:hint="eastAsia" w:hAnsi="宋体" w:cs="宋体"/>
        </w:rPr>
        <w:t>（盖单位公章）</w:t>
      </w:r>
    </w:p>
    <w:p>
      <w:pPr>
        <w:spacing w:line="720" w:lineRule="auto"/>
        <w:ind w:firstLine="496" w:firstLineChars="200"/>
        <w:jc w:val="left"/>
        <w:rPr>
          <w:rFonts w:hAnsi="宋体" w:cs="宋体"/>
          <w:spacing w:val="4"/>
        </w:rPr>
      </w:pPr>
      <w:r>
        <w:rPr>
          <w:rFonts w:hint="eastAsia" w:hAnsi="宋体" w:cs="宋体"/>
          <w:spacing w:val="4"/>
        </w:rPr>
        <w:t>法定代表人或被授权人：</w:t>
      </w:r>
      <w:r>
        <w:rPr>
          <w:rFonts w:hint="eastAsia" w:hAnsi="宋体" w:cs="宋体"/>
          <w:spacing w:val="4"/>
          <w:u w:val="single"/>
        </w:rPr>
        <w:t xml:space="preserve">            </w:t>
      </w:r>
      <w:r>
        <w:rPr>
          <w:rFonts w:hint="eastAsia" w:hAnsi="宋体" w:cs="宋体"/>
          <w:spacing w:val="4"/>
        </w:rPr>
        <w:t>（签字或盖章）</w:t>
      </w:r>
    </w:p>
    <w:p>
      <w:pPr>
        <w:spacing w:line="720" w:lineRule="auto"/>
        <w:ind w:firstLine="480" w:firstLineChars="200"/>
        <w:rPr>
          <w:rFonts w:hAnsi="宋体" w:cs="宋体"/>
        </w:rPr>
      </w:pPr>
      <w:r>
        <w:rPr>
          <w:rFonts w:hint="eastAsia" w:hAnsi="宋体" w:cs="宋体"/>
        </w:rPr>
        <w:t>日    期：      年   月    日</w:t>
      </w:r>
    </w:p>
    <w:p>
      <w:pPr>
        <w:spacing w:line="560" w:lineRule="exact"/>
        <w:ind w:firstLine="480" w:firstLineChars="200"/>
        <w:rPr>
          <w:rFonts w:hAnsi="宋体" w:cs="宋体"/>
        </w:rPr>
      </w:pPr>
      <w:r>
        <w:rPr>
          <w:rFonts w:hint="eastAsia" w:hAnsi="宋体" w:cs="宋体"/>
        </w:rPr>
        <w:t>注：电子化开标一览表填写时，“投标总价（合计）”</w:t>
      </w:r>
      <w:r>
        <w:rPr>
          <w:rFonts w:hint="eastAsia" w:hAnsi="宋体" w:cs="宋体"/>
          <w:lang w:val="en-US" w:eastAsia="zh-CN"/>
        </w:rPr>
        <w:t>值</w:t>
      </w:r>
      <w:r>
        <w:rPr>
          <w:rFonts w:hint="eastAsia" w:hAnsi="宋体" w:cs="宋体"/>
        </w:rPr>
        <w:t>须按</w:t>
      </w:r>
      <w:r>
        <w:rPr>
          <w:rFonts w:hint="eastAsia" w:hAnsi="宋体" w:cs="宋体"/>
          <w:lang w:val="en-US" w:eastAsia="zh-CN"/>
        </w:rPr>
        <w:t>本</w:t>
      </w:r>
      <w:r>
        <w:rPr>
          <w:rFonts w:hint="eastAsia" w:hAnsi="宋体" w:cs="宋体"/>
        </w:rPr>
        <w:t>栏所填写值填写，若不按照本规则填写，可能导致电子化系统无法识别报价，后果自负。</w:t>
      </w:r>
    </w:p>
    <w:p>
      <w:pPr>
        <w:rPr>
          <w:rFonts w:hAnsi="宋体" w:cs="宋体"/>
        </w:rPr>
      </w:pPr>
    </w:p>
    <w:p>
      <w:pPr>
        <w:spacing w:line="440" w:lineRule="exact"/>
        <w:jc w:val="center"/>
        <w:rPr>
          <w:rFonts w:hAnsi="宋体" w:cs="宋体"/>
          <w:b/>
          <w:sz w:val="30"/>
          <w:szCs w:val="30"/>
        </w:rPr>
      </w:pPr>
    </w:p>
    <w:p>
      <w:pPr>
        <w:spacing w:before="166" w:beforeLines="50" w:line="360" w:lineRule="auto"/>
        <w:jc w:val="center"/>
        <w:rPr>
          <w:rFonts w:hAnsi="宋体" w:cs="宋体"/>
          <w:bCs/>
          <w:szCs w:val="24"/>
        </w:rPr>
      </w:pPr>
      <w:r>
        <w:rPr>
          <w:rFonts w:hint="eastAsia" w:hAnsi="宋体" w:cs="宋体"/>
          <w:b/>
          <w:sz w:val="30"/>
          <w:szCs w:val="30"/>
        </w:rPr>
        <w:br w:type="page"/>
      </w:r>
      <w:r>
        <w:rPr>
          <w:rFonts w:hint="eastAsia" w:hAnsi="宋体" w:cs="宋体"/>
          <w:b/>
          <w:sz w:val="30"/>
          <w:szCs w:val="30"/>
        </w:rPr>
        <w:t>2.3关键零部件及备品备件清单</w:t>
      </w:r>
      <w:r>
        <w:rPr>
          <w:rFonts w:hint="eastAsia" w:hAnsi="宋体" w:cs="宋体"/>
          <w:bCs/>
          <w:szCs w:val="24"/>
        </w:rPr>
        <w:t xml:space="preserve"> </w:t>
      </w:r>
      <w:r>
        <w:rPr>
          <w:rFonts w:hint="eastAsia" w:hAnsi="宋体" w:cs="宋体"/>
          <w:b/>
          <w:sz w:val="30"/>
          <w:szCs w:val="30"/>
        </w:rPr>
        <w:t>（如有）</w:t>
      </w:r>
      <w:r>
        <w:rPr>
          <w:rFonts w:hint="eastAsia" w:hAnsi="宋体" w:cs="宋体"/>
          <w:bCs/>
          <w:spacing w:val="4"/>
          <w:szCs w:val="24"/>
        </w:rPr>
        <w:t xml:space="preserve"> </w:t>
      </w:r>
      <w:r>
        <w:rPr>
          <w:rFonts w:hint="eastAsia" w:hAnsi="宋体" w:cs="宋体"/>
          <w:bCs/>
          <w:szCs w:val="24"/>
        </w:rPr>
        <w:t xml:space="preserve">                    </w:t>
      </w:r>
    </w:p>
    <w:tbl>
      <w:tblPr>
        <w:tblStyle w:val="46"/>
        <w:tblW w:w="90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4"/>
        <w:gridCol w:w="1746"/>
        <w:gridCol w:w="1820"/>
        <w:gridCol w:w="1542"/>
        <w:gridCol w:w="1517"/>
        <w:gridCol w:w="14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jc w:val="center"/>
        </w:trPr>
        <w:tc>
          <w:tcPr>
            <w:tcW w:w="954" w:type="dxa"/>
            <w:vAlign w:val="center"/>
          </w:tcPr>
          <w:p>
            <w:pPr>
              <w:spacing w:line="440" w:lineRule="exact"/>
              <w:jc w:val="center"/>
              <w:rPr>
                <w:rFonts w:hAnsi="宋体" w:cs="宋体"/>
                <w:szCs w:val="24"/>
              </w:rPr>
            </w:pPr>
            <w:r>
              <w:rPr>
                <w:rFonts w:hint="eastAsia" w:hAnsi="宋体" w:cs="宋体"/>
                <w:szCs w:val="24"/>
              </w:rPr>
              <w:t>序号</w:t>
            </w:r>
          </w:p>
        </w:tc>
        <w:tc>
          <w:tcPr>
            <w:tcW w:w="1746" w:type="dxa"/>
            <w:vAlign w:val="center"/>
          </w:tcPr>
          <w:p>
            <w:pPr>
              <w:spacing w:line="440" w:lineRule="exact"/>
              <w:jc w:val="center"/>
              <w:rPr>
                <w:rFonts w:hAnsi="宋体" w:cs="宋体"/>
                <w:szCs w:val="24"/>
              </w:rPr>
            </w:pPr>
            <w:r>
              <w:rPr>
                <w:rFonts w:hint="eastAsia" w:hAnsi="宋体" w:cs="宋体"/>
                <w:szCs w:val="24"/>
              </w:rPr>
              <w:t>名称</w:t>
            </w:r>
          </w:p>
        </w:tc>
        <w:tc>
          <w:tcPr>
            <w:tcW w:w="1820" w:type="dxa"/>
            <w:vAlign w:val="center"/>
          </w:tcPr>
          <w:p>
            <w:pPr>
              <w:spacing w:line="440" w:lineRule="exact"/>
              <w:jc w:val="center"/>
              <w:rPr>
                <w:rFonts w:hAnsi="宋体" w:cs="宋体"/>
                <w:szCs w:val="24"/>
              </w:rPr>
            </w:pPr>
            <w:r>
              <w:rPr>
                <w:rFonts w:hint="eastAsia" w:hAnsi="宋体" w:cs="宋体"/>
                <w:szCs w:val="24"/>
              </w:rPr>
              <w:t>型号、规格</w:t>
            </w:r>
          </w:p>
        </w:tc>
        <w:tc>
          <w:tcPr>
            <w:tcW w:w="1542" w:type="dxa"/>
            <w:vAlign w:val="center"/>
          </w:tcPr>
          <w:p>
            <w:pPr>
              <w:spacing w:line="440" w:lineRule="exact"/>
              <w:jc w:val="center"/>
              <w:rPr>
                <w:rFonts w:hAnsi="宋体" w:cs="宋体"/>
                <w:szCs w:val="24"/>
              </w:rPr>
            </w:pPr>
            <w:r>
              <w:rPr>
                <w:rFonts w:hint="eastAsia" w:hAnsi="宋体" w:cs="宋体"/>
                <w:szCs w:val="24"/>
              </w:rPr>
              <w:t>国别、制造商</w:t>
            </w:r>
          </w:p>
        </w:tc>
        <w:tc>
          <w:tcPr>
            <w:tcW w:w="1517" w:type="dxa"/>
            <w:vAlign w:val="center"/>
          </w:tcPr>
          <w:p>
            <w:pPr>
              <w:spacing w:line="440" w:lineRule="exact"/>
              <w:jc w:val="center"/>
              <w:rPr>
                <w:rStyle w:val="57"/>
                <w:rFonts w:hAnsi="宋体" w:cs="宋体"/>
              </w:rPr>
            </w:pPr>
            <w:r>
              <w:rPr>
                <w:rFonts w:hint="eastAsia" w:hAnsi="宋体" w:cs="宋体"/>
                <w:szCs w:val="24"/>
              </w:rPr>
              <w:t>单价</w:t>
            </w:r>
          </w:p>
          <w:p>
            <w:pPr>
              <w:spacing w:line="440" w:lineRule="exact"/>
              <w:jc w:val="center"/>
              <w:rPr>
                <w:rStyle w:val="57"/>
                <w:rFonts w:hAnsi="宋体" w:cs="宋体"/>
              </w:rPr>
            </w:pPr>
            <w:r>
              <w:rPr>
                <w:rFonts w:hint="eastAsia" w:hAnsi="宋体" w:cs="宋体"/>
                <w:szCs w:val="24"/>
              </w:rPr>
              <w:t>（元）</w:t>
            </w:r>
          </w:p>
        </w:tc>
        <w:tc>
          <w:tcPr>
            <w:tcW w:w="1499" w:type="dxa"/>
            <w:vAlign w:val="center"/>
          </w:tcPr>
          <w:p>
            <w:pPr>
              <w:spacing w:line="440" w:lineRule="exact"/>
              <w:jc w:val="center"/>
              <w:rPr>
                <w:rFonts w:hAnsi="宋体" w:cs="宋体"/>
                <w:szCs w:val="24"/>
              </w:rPr>
            </w:pPr>
            <w:r>
              <w:rPr>
                <w:rFonts w:hint="eastAsia" w:hAnsi="宋体" w:cs="宋体"/>
                <w:szCs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jc w:val="center"/>
        </w:trPr>
        <w:tc>
          <w:tcPr>
            <w:tcW w:w="954" w:type="dxa"/>
            <w:vAlign w:val="center"/>
          </w:tcPr>
          <w:p>
            <w:pPr>
              <w:spacing w:line="440" w:lineRule="exact"/>
              <w:jc w:val="center"/>
              <w:rPr>
                <w:rFonts w:hAnsi="宋体" w:cs="宋体"/>
                <w:szCs w:val="24"/>
              </w:rPr>
            </w:pPr>
            <w:r>
              <w:rPr>
                <w:rFonts w:hint="eastAsia" w:hAnsi="宋体" w:cs="宋体"/>
                <w:szCs w:val="24"/>
              </w:rPr>
              <w:t>1</w:t>
            </w:r>
          </w:p>
        </w:tc>
        <w:tc>
          <w:tcPr>
            <w:tcW w:w="1746" w:type="dxa"/>
            <w:vAlign w:val="center"/>
          </w:tcPr>
          <w:p>
            <w:pPr>
              <w:spacing w:line="440" w:lineRule="exact"/>
              <w:jc w:val="center"/>
              <w:rPr>
                <w:rFonts w:hAnsi="宋体" w:cs="宋体"/>
                <w:szCs w:val="24"/>
              </w:rPr>
            </w:pPr>
            <w:r>
              <w:rPr>
                <w:rFonts w:hint="eastAsia" w:hAnsi="宋体" w:cs="宋体"/>
                <w:szCs w:val="24"/>
              </w:rPr>
              <w:t>…</w:t>
            </w:r>
          </w:p>
        </w:tc>
        <w:tc>
          <w:tcPr>
            <w:tcW w:w="1820" w:type="dxa"/>
            <w:vAlign w:val="center"/>
          </w:tcPr>
          <w:p>
            <w:pPr>
              <w:spacing w:line="440" w:lineRule="exact"/>
              <w:jc w:val="center"/>
              <w:rPr>
                <w:rFonts w:hAnsi="宋体" w:cs="宋体"/>
                <w:szCs w:val="24"/>
              </w:rPr>
            </w:pPr>
          </w:p>
        </w:tc>
        <w:tc>
          <w:tcPr>
            <w:tcW w:w="1542" w:type="dxa"/>
          </w:tcPr>
          <w:p>
            <w:pPr>
              <w:spacing w:line="440" w:lineRule="exact"/>
              <w:jc w:val="center"/>
              <w:rPr>
                <w:rFonts w:hAnsi="宋体" w:cs="宋体"/>
                <w:szCs w:val="24"/>
              </w:rPr>
            </w:pPr>
          </w:p>
        </w:tc>
        <w:tc>
          <w:tcPr>
            <w:tcW w:w="1517" w:type="dxa"/>
            <w:vAlign w:val="center"/>
          </w:tcPr>
          <w:p>
            <w:pPr>
              <w:spacing w:line="440" w:lineRule="exact"/>
              <w:jc w:val="center"/>
              <w:rPr>
                <w:rFonts w:hAnsi="宋体" w:cs="宋体"/>
                <w:szCs w:val="24"/>
              </w:rPr>
            </w:pPr>
          </w:p>
        </w:tc>
        <w:tc>
          <w:tcPr>
            <w:tcW w:w="1499" w:type="dxa"/>
            <w:vAlign w:val="center"/>
          </w:tcPr>
          <w:p>
            <w:pPr>
              <w:spacing w:line="440" w:lineRule="exact"/>
              <w:jc w:val="center"/>
              <w:rPr>
                <w:rFonts w:hAnsi="宋体" w:cs="宋体"/>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jc w:val="center"/>
        </w:trPr>
        <w:tc>
          <w:tcPr>
            <w:tcW w:w="954" w:type="dxa"/>
            <w:vAlign w:val="center"/>
          </w:tcPr>
          <w:p>
            <w:pPr>
              <w:spacing w:line="440" w:lineRule="exact"/>
              <w:jc w:val="center"/>
              <w:rPr>
                <w:rFonts w:hAnsi="宋体" w:cs="宋体"/>
                <w:szCs w:val="24"/>
              </w:rPr>
            </w:pPr>
            <w:r>
              <w:rPr>
                <w:rFonts w:hint="eastAsia" w:hAnsi="宋体" w:cs="宋体"/>
                <w:szCs w:val="24"/>
              </w:rPr>
              <w:t>2</w:t>
            </w:r>
          </w:p>
        </w:tc>
        <w:tc>
          <w:tcPr>
            <w:tcW w:w="1746" w:type="dxa"/>
            <w:vAlign w:val="center"/>
          </w:tcPr>
          <w:p>
            <w:pPr>
              <w:spacing w:line="440" w:lineRule="exact"/>
              <w:jc w:val="center"/>
              <w:rPr>
                <w:rFonts w:hAnsi="宋体" w:cs="宋体"/>
                <w:szCs w:val="24"/>
              </w:rPr>
            </w:pPr>
            <w:r>
              <w:rPr>
                <w:rFonts w:hint="eastAsia" w:hAnsi="宋体" w:cs="宋体"/>
                <w:szCs w:val="24"/>
              </w:rPr>
              <w:t>…</w:t>
            </w:r>
          </w:p>
        </w:tc>
        <w:tc>
          <w:tcPr>
            <w:tcW w:w="1820" w:type="dxa"/>
            <w:vAlign w:val="center"/>
          </w:tcPr>
          <w:p>
            <w:pPr>
              <w:spacing w:line="440" w:lineRule="exact"/>
              <w:jc w:val="center"/>
              <w:rPr>
                <w:rFonts w:hAnsi="宋体" w:cs="宋体"/>
                <w:szCs w:val="24"/>
              </w:rPr>
            </w:pPr>
          </w:p>
        </w:tc>
        <w:tc>
          <w:tcPr>
            <w:tcW w:w="1542" w:type="dxa"/>
          </w:tcPr>
          <w:p>
            <w:pPr>
              <w:spacing w:line="440" w:lineRule="exact"/>
              <w:jc w:val="center"/>
              <w:rPr>
                <w:rFonts w:hAnsi="宋体" w:cs="宋体"/>
                <w:szCs w:val="24"/>
              </w:rPr>
            </w:pPr>
          </w:p>
        </w:tc>
        <w:tc>
          <w:tcPr>
            <w:tcW w:w="1517" w:type="dxa"/>
            <w:vAlign w:val="center"/>
          </w:tcPr>
          <w:p>
            <w:pPr>
              <w:spacing w:line="440" w:lineRule="exact"/>
              <w:jc w:val="center"/>
              <w:rPr>
                <w:rFonts w:hAnsi="宋体" w:cs="宋体"/>
                <w:szCs w:val="24"/>
              </w:rPr>
            </w:pPr>
          </w:p>
        </w:tc>
        <w:tc>
          <w:tcPr>
            <w:tcW w:w="1499" w:type="dxa"/>
            <w:vAlign w:val="center"/>
          </w:tcPr>
          <w:p>
            <w:pPr>
              <w:spacing w:line="440" w:lineRule="exact"/>
              <w:jc w:val="center"/>
              <w:rPr>
                <w:rFonts w:hAnsi="宋体" w:cs="宋体"/>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jc w:val="center"/>
        </w:trPr>
        <w:tc>
          <w:tcPr>
            <w:tcW w:w="954" w:type="dxa"/>
            <w:vAlign w:val="center"/>
          </w:tcPr>
          <w:p>
            <w:pPr>
              <w:spacing w:line="440" w:lineRule="exact"/>
              <w:jc w:val="center"/>
              <w:rPr>
                <w:rFonts w:hAnsi="宋体" w:cs="宋体"/>
                <w:szCs w:val="24"/>
              </w:rPr>
            </w:pPr>
            <w:r>
              <w:rPr>
                <w:rFonts w:hint="eastAsia" w:hAnsi="宋体" w:cs="宋体"/>
                <w:szCs w:val="24"/>
              </w:rPr>
              <w:t>…</w:t>
            </w:r>
          </w:p>
        </w:tc>
        <w:tc>
          <w:tcPr>
            <w:tcW w:w="1746" w:type="dxa"/>
            <w:vAlign w:val="center"/>
          </w:tcPr>
          <w:p>
            <w:pPr>
              <w:spacing w:line="440" w:lineRule="exact"/>
              <w:jc w:val="center"/>
              <w:rPr>
                <w:rFonts w:hAnsi="宋体" w:cs="宋体"/>
                <w:szCs w:val="24"/>
              </w:rPr>
            </w:pPr>
          </w:p>
        </w:tc>
        <w:tc>
          <w:tcPr>
            <w:tcW w:w="1820" w:type="dxa"/>
            <w:vAlign w:val="center"/>
          </w:tcPr>
          <w:p>
            <w:pPr>
              <w:spacing w:line="440" w:lineRule="exact"/>
              <w:jc w:val="center"/>
              <w:rPr>
                <w:rFonts w:hAnsi="宋体" w:cs="宋体"/>
                <w:szCs w:val="24"/>
              </w:rPr>
            </w:pPr>
          </w:p>
        </w:tc>
        <w:tc>
          <w:tcPr>
            <w:tcW w:w="1542" w:type="dxa"/>
          </w:tcPr>
          <w:p>
            <w:pPr>
              <w:spacing w:line="440" w:lineRule="exact"/>
              <w:jc w:val="center"/>
              <w:rPr>
                <w:rFonts w:hAnsi="宋体" w:cs="宋体"/>
                <w:szCs w:val="24"/>
              </w:rPr>
            </w:pPr>
          </w:p>
        </w:tc>
        <w:tc>
          <w:tcPr>
            <w:tcW w:w="1517" w:type="dxa"/>
            <w:vAlign w:val="center"/>
          </w:tcPr>
          <w:p>
            <w:pPr>
              <w:spacing w:line="440" w:lineRule="exact"/>
              <w:jc w:val="center"/>
              <w:rPr>
                <w:rFonts w:hAnsi="宋体" w:cs="宋体"/>
                <w:szCs w:val="24"/>
              </w:rPr>
            </w:pPr>
          </w:p>
        </w:tc>
        <w:tc>
          <w:tcPr>
            <w:tcW w:w="1499" w:type="dxa"/>
            <w:vAlign w:val="center"/>
          </w:tcPr>
          <w:p>
            <w:pPr>
              <w:spacing w:line="440" w:lineRule="exact"/>
              <w:jc w:val="center"/>
              <w:rPr>
                <w:rFonts w:hAnsi="宋体" w:cs="宋体"/>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jc w:val="center"/>
        </w:trPr>
        <w:tc>
          <w:tcPr>
            <w:tcW w:w="954" w:type="dxa"/>
            <w:vAlign w:val="center"/>
          </w:tcPr>
          <w:p>
            <w:pPr>
              <w:spacing w:line="440" w:lineRule="exact"/>
              <w:jc w:val="center"/>
              <w:rPr>
                <w:rFonts w:hAnsi="宋体" w:cs="宋体"/>
                <w:szCs w:val="24"/>
              </w:rPr>
            </w:pPr>
          </w:p>
        </w:tc>
        <w:tc>
          <w:tcPr>
            <w:tcW w:w="1746" w:type="dxa"/>
            <w:vAlign w:val="center"/>
          </w:tcPr>
          <w:p>
            <w:pPr>
              <w:spacing w:line="440" w:lineRule="exact"/>
              <w:jc w:val="center"/>
              <w:rPr>
                <w:rFonts w:hAnsi="宋体" w:cs="宋体"/>
                <w:szCs w:val="24"/>
              </w:rPr>
            </w:pPr>
          </w:p>
        </w:tc>
        <w:tc>
          <w:tcPr>
            <w:tcW w:w="1820" w:type="dxa"/>
            <w:vAlign w:val="center"/>
          </w:tcPr>
          <w:p>
            <w:pPr>
              <w:spacing w:line="440" w:lineRule="exact"/>
              <w:jc w:val="center"/>
              <w:rPr>
                <w:rFonts w:hAnsi="宋体" w:cs="宋体"/>
                <w:szCs w:val="24"/>
              </w:rPr>
            </w:pPr>
          </w:p>
        </w:tc>
        <w:tc>
          <w:tcPr>
            <w:tcW w:w="1542" w:type="dxa"/>
          </w:tcPr>
          <w:p>
            <w:pPr>
              <w:spacing w:line="440" w:lineRule="exact"/>
              <w:jc w:val="center"/>
              <w:rPr>
                <w:rFonts w:hAnsi="宋体" w:cs="宋体"/>
                <w:szCs w:val="24"/>
              </w:rPr>
            </w:pPr>
          </w:p>
        </w:tc>
        <w:tc>
          <w:tcPr>
            <w:tcW w:w="1517" w:type="dxa"/>
            <w:vAlign w:val="center"/>
          </w:tcPr>
          <w:p>
            <w:pPr>
              <w:spacing w:line="440" w:lineRule="exact"/>
              <w:jc w:val="center"/>
              <w:rPr>
                <w:rFonts w:hAnsi="宋体" w:cs="宋体"/>
                <w:szCs w:val="24"/>
              </w:rPr>
            </w:pPr>
          </w:p>
        </w:tc>
        <w:tc>
          <w:tcPr>
            <w:tcW w:w="1499" w:type="dxa"/>
            <w:vAlign w:val="center"/>
          </w:tcPr>
          <w:p>
            <w:pPr>
              <w:spacing w:line="440" w:lineRule="exact"/>
              <w:jc w:val="center"/>
              <w:rPr>
                <w:rFonts w:hAnsi="宋体" w:cs="宋体"/>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jc w:val="center"/>
        </w:trPr>
        <w:tc>
          <w:tcPr>
            <w:tcW w:w="954" w:type="dxa"/>
            <w:vAlign w:val="center"/>
          </w:tcPr>
          <w:p>
            <w:pPr>
              <w:spacing w:line="440" w:lineRule="exact"/>
              <w:jc w:val="center"/>
              <w:rPr>
                <w:rFonts w:hAnsi="宋体" w:cs="宋体"/>
                <w:szCs w:val="24"/>
              </w:rPr>
            </w:pPr>
          </w:p>
        </w:tc>
        <w:tc>
          <w:tcPr>
            <w:tcW w:w="1746" w:type="dxa"/>
            <w:vAlign w:val="center"/>
          </w:tcPr>
          <w:p>
            <w:pPr>
              <w:spacing w:line="440" w:lineRule="exact"/>
              <w:jc w:val="center"/>
              <w:rPr>
                <w:rFonts w:hAnsi="宋体" w:cs="宋体"/>
                <w:szCs w:val="24"/>
              </w:rPr>
            </w:pPr>
          </w:p>
        </w:tc>
        <w:tc>
          <w:tcPr>
            <w:tcW w:w="1820" w:type="dxa"/>
            <w:vAlign w:val="center"/>
          </w:tcPr>
          <w:p>
            <w:pPr>
              <w:spacing w:line="440" w:lineRule="exact"/>
              <w:jc w:val="center"/>
              <w:rPr>
                <w:rFonts w:hAnsi="宋体" w:cs="宋体"/>
                <w:szCs w:val="24"/>
              </w:rPr>
            </w:pPr>
          </w:p>
        </w:tc>
        <w:tc>
          <w:tcPr>
            <w:tcW w:w="1542" w:type="dxa"/>
          </w:tcPr>
          <w:p>
            <w:pPr>
              <w:spacing w:line="440" w:lineRule="exact"/>
              <w:jc w:val="center"/>
              <w:rPr>
                <w:rFonts w:hAnsi="宋体" w:cs="宋体"/>
                <w:szCs w:val="24"/>
              </w:rPr>
            </w:pPr>
          </w:p>
        </w:tc>
        <w:tc>
          <w:tcPr>
            <w:tcW w:w="1517" w:type="dxa"/>
            <w:vAlign w:val="center"/>
          </w:tcPr>
          <w:p>
            <w:pPr>
              <w:spacing w:line="440" w:lineRule="exact"/>
              <w:jc w:val="center"/>
              <w:rPr>
                <w:rFonts w:hAnsi="宋体" w:cs="宋体"/>
                <w:szCs w:val="24"/>
              </w:rPr>
            </w:pPr>
          </w:p>
        </w:tc>
        <w:tc>
          <w:tcPr>
            <w:tcW w:w="1499" w:type="dxa"/>
            <w:vAlign w:val="center"/>
          </w:tcPr>
          <w:p>
            <w:pPr>
              <w:spacing w:line="440" w:lineRule="exact"/>
              <w:jc w:val="center"/>
              <w:rPr>
                <w:rFonts w:hAnsi="宋体" w:cs="宋体"/>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jc w:val="center"/>
        </w:trPr>
        <w:tc>
          <w:tcPr>
            <w:tcW w:w="954" w:type="dxa"/>
            <w:vAlign w:val="center"/>
          </w:tcPr>
          <w:p>
            <w:pPr>
              <w:spacing w:line="440" w:lineRule="exact"/>
              <w:jc w:val="center"/>
              <w:rPr>
                <w:rFonts w:hAnsi="宋体" w:cs="宋体"/>
                <w:szCs w:val="24"/>
              </w:rPr>
            </w:pPr>
          </w:p>
        </w:tc>
        <w:tc>
          <w:tcPr>
            <w:tcW w:w="1746" w:type="dxa"/>
            <w:vAlign w:val="center"/>
          </w:tcPr>
          <w:p>
            <w:pPr>
              <w:spacing w:line="440" w:lineRule="exact"/>
              <w:jc w:val="center"/>
              <w:rPr>
                <w:rFonts w:hAnsi="宋体" w:cs="宋体"/>
                <w:szCs w:val="24"/>
              </w:rPr>
            </w:pPr>
          </w:p>
        </w:tc>
        <w:tc>
          <w:tcPr>
            <w:tcW w:w="1820" w:type="dxa"/>
            <w:vAlign w:val="center"/>
          </w:tcPr>
          <w:p>
            <w:pPr>
              <w:spacing w:line="440" w:lineRule="exact"/>
              <w:jc w:val="center"/>
              <w:rPr>
                <w:rFonts w:hAnsi="宋体" w:cs="宋体"/>
                <w:szCs w:val="24"/>
              </w:rPr>
            </w:pPr>
          </w:p>
        </w:tc>
        <w:tc>
          <w:tcPr>
            <w:tcW w:w="1542" w:type="dxa"/>
          </w:tcPr>
          <w:p>
            <w:pPr>
              <w:spacing w:line="440" w:lineRule="exact"/>
              <w:jc w:val="center"/>
              <w:rPr>
                <w:rFonts w:hAnsi="宋体" w:cs="宋体"/>
                <w:szCs w:val="24"/>
              </w:rPr>
            </w:pPr>
          </w:p>
        </w:tc>
        <w:tc>
          <w:tcPr>
            <w:tcW w:w="1517" w:type="dxa"/>
            <w:vAlign w:val="center"/>
          </w:tcPr>
          <w:p>
            <w:pPr>
              <w:spacing w:line="440" w:lineRule="exact"/>
              <w:jc w:val="center"/>
              <w:rPr>
                <w:rFonts w:hAnsi="宋体" w:cs="宋体"/>
                <w:szCs w:val="24"/>
              </w:rPr>
            </w:pPr>
          </w:p>
        </w:tc>
        <w:tc>
          <w:tcPr>
            <w:tcW w:w="1499" w:type="dxa"/>
            <w:vAlign w:val="center"/>
          </w:tcPr>
          <w:p>
            <w:pPr>
              <w:spacing w:line="440" w:lineRule="exact"/>
              <w:jc w:val="center"/>
              <w:rPr>
                <w:rFonts w:hAnsi="宋体" w:cs="宋体"/>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jc w:val="center"/>
        </w:trPr>
        <w:tc>
          <w:tcPr>
            <w:tcW w:w="954" w:type="dxa"/>
            <w:vAlign w:val="center"/>
          </w:tcPr>
          <w:p>
            <w:pPr>
              <w:spacing w:line="440" w:lineRule="exact"/>
              <w:jc w:val="center"/>
              <w:rPr>
                <w:rFonts w:hAnsi="宋体" w:cs="宋体"/>
                <w:szCs w:val="24"/>
              </w:rPr>
            </w:pPr>
          </w:p>
        </w:tc>
        <w:tc>
          <w:tcPr>
            <w:tcW w:w="1746" w:type="dxa"/>
            <w:vAlign w:val="center"/>
          </w:tcPr>
          <w:p>
            <w:pPr>
              <w:spacing w:line="440" w:lineRule="exact"/>
              <w:jc w:val="center"/>
              <w:rPr>
                <w:rFonts w:hAnsi="宋体" w:cs="宋体"/>
                <w:szCs w:val="24"/>
              </w:rPr>
            </w:pPr>
          </w:p>
        </w:tc>
        <w:tc>
          <w:tcPr>
            <w:tcW w:w="1820" w:type="dxa"/>
            <w:vAlign w:val="center"/>
          </w:tcPr>
          <w:p>
            <w:pPr>
              <w:spacing w:line="440" w:lineRule="exact"/>
              <w:jc w:val="center"/>
              <w:rPr>
                <w:rFonts w:hAnsi="宋体" w:cs="宋体"/>
                <w:szCs w:val="24"/>
              </w:rPr>
            </w:pPr>
          </w:p>
        </w:tc>
        <w:tc>
          <w:tcPr>
            <w:tcW w:w="1542" w:type="dxa"/>
          </w:tcPr>
          <w:p>
            <w:pPr>
              <w:spacing w:line="440" w:lineRule="exact"/>
              <w:jc w:val="center"/>
              <w:rPr>
                <w:rFonts w:hAnsi="宋体" w:cs="宋体"/>
                <w:szCs w:val="24"/>
              </w:rPr>
            </w:pPr>
          </w:p>
        </w:tc>
        <w:tc>
          <w:tcPr>
            <w:tcW w:w="1517" w:type="dxa"/>
            <w:vAlign w:val="center"/>
          </w:tcPr>
          <w:p>
            <w:pPr>
              <w:spacing w:line="440" w:lineRule="exact"/>
              <w:jc w:val="center"/>
              <w:rPr>
                <w:rFonts w:hAnsi="宋体" w:cs="宋体"/>
                <w:szCs w:val="24"/>
              </w:rPr>
            </w:pPr>
          </w:p>
        </w:tc>
        <w:tc>
          <w:tcPr>
            <w:tcW w:w="1499" w:type="dxa"/>
            <w:vAlign w:val="center"/>
          </w:tcPr>
          <w:p>
            <w:pPr>
              <w:spacing w:line="440" w:lineRule="exact"/>
              <w:jc w:val="center"/>
              <w:rPr>
                <w:rFonts w:hAnsi="宋体" w:cs="宋体"/>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jc w:val="center"/>
        </w:trPr>
        <w:tc>
          <w:tcPr>
            <w:tcW w:w="954" w:type="dxa"/>
            <w:vAlign w:val="center"/>
          </w:tcPr>
          <w:p>
            <w:pPr>
              <w:spacing w:line="440" w:lineRule="exact"/>
              <w:jc w:val="center"/>
              <w:rPr>
                <w:rFonts w:hAnsi="宋体" w:cs="宋体"/>
                <w:szCs w:val="24"/>
              </w:rPr>
            </w:pPr>
          </w:p>
        </w:tc>
        <w:tc>
          <w:tcPr>
            <w:tcW w:w="1746" w:type="dxa"/>
            <w:vAlign w:val="center"/>
          </w:tcPr>
          <w:p>
            <w:pPr>
              <w:spacing w:line="440" w:lineRule="exact"/>
              <w:jc w:val="center"/>
              <w:rPr>
                <w:rFonts w:hAnsi="宋体" w:cs="宋体"/>
                <w:szCs w:val="24"/>
              </w:rPr>
            </w:pPr>
          </w:p>
        </w:tc>
        <w:tc>
          <w:tcPr>
            <w:tcW w:w="1820" w:type="dxa"/>
            <w:vAlign w:val="center"/>
          </w:tcPr>
          <w:p>
            <w:pPr>
              <w:spacing w:line="440" w:lineRule="exact"/>
              <w:jc w:val="center"/>
              <w:rPr>
                <w:rFonts w:hAnsi="宋体" w:cs="宋体"/>
                <w:szCs w:val="24"/>
              </w:rPr>
            </w:pPr>
          </w:p>
        </w:tc>
        <w:tc>
          <w:tcPr>
            <w:tcW w:w="1542" w:type="dxa"/>
          </w:tcPr>
          <w:p>
            <w:pPr>
              <w:spacing w:line="440" w:lineRule="exact"/>
              <w:jc w:val="center"/>
              <w:rPr>
                <w:rFonts w:hAnsi="宋体" w:cs="宋体"/>
                <w:szCs w:val="24"/>
              </w:rPr>
            </w:pPr>
          </w:p>
        </w:tc>
        <w:tc>
          <w:tcPr>
            <w:tcW w:w="1517" w:type="dxa"/>
            <w:vAlign w:val="center"/>
          </w:tcPr>
          <w:p>
            <w:pPr>
              <w:spacing w:line="440" w:lineRule="exact"/>
              <w:jc w:val="center"/>
              <w:rPr>
                <w:rFonts w:hAnsi="宋体" w:cs="宋体"/>
                <w:szCs w:val="24"/>
              </w:rPr>
            </w:pPr>
          </w:p>
        </w:tc>
        <w:tc>
          <w:tcPr>
            <w:tcW w:w="1499" w:type="dxa"/>
            <w:vAlign w:val="center"/>
          </w:tcPr>
          <w:p>
            <w:pPr>
              <w:spacing w:line="440" w:lineRule="exact"/>
              <w:jc w:val="center"/>
              <w:rPr>
                <w:rFonts w:hAnsi="宋体" w:cs="宋体"/>
                <w:szCs w:val="24"/>
              </w:rPr>
            </w:pPr>
          </w:p>
        </w:tc>
      </w:tr>
    </w:tbl>
    <w:p>
      <w:pPr>
        <w:spacing w:line="520" w:lineRule="exact"/>
        <w:rPr>
          <w:rFonts w:hAnsi="宋体" w:cs="宋体"/>
          <w:szCs w:val="24"/>
        </w:rPr>
      </w:pPr>
    </w:p>
    <w:p>
      <w:pPr>
        <w:spacing w:line="360" w:lineRule="auto"/>
        <w:ind w:firstLine="480" w:firstLineChars="200"/>
        <w:jc w:val="left"/>
        <w:rPr>
          <w:rFonts w:hAnsi="宋体" w:cs="宋体"/>
        </w:rPr>
      </w:pPr>
      <w:r>
        <w:rPr>
          <w:rFonts w:hint="eastAsia" w:hAnsi="宋体" w:cs="宋体"/>
        </w:rPr>
        <w:t>供应商名称：</w:t>
      </w:r>
      <w:r>
        <w:rPr>
          <w:rFonts w:hint="eastAsia" w:hAnsi="宋体" w:cs="宋体"/>
          <w:u w:val="single"/>
        </w:rPr>
        <w:t xml:space="preserve">                        </w:t>
      </w:r>
      <w:r>
        <w:rPr>
          <w:rFonts w:hint="eastAsia" w:hAnsi="宋体" w:cs="宋体"/>
        </w:rPr>
        <w:t>（盖单位公章）</w:t>
      </w:r>
    </w:p>
    <w:p>
      <w:pPr>
        <w:pStyle w:val="19"/>
        <w:spacing w:line="360" w:lineRule="auto"/>
        <w:ind w:firstLine="420" w:firstLineChars="200"/>
      </w:pPr>
    </w:p>
    <w:p>
      <w:pPr>
        <w:spacing w:line="360" w:lineRule="auto"/>
        <w:ind w:firstLine="496" w:firstLineChars="200"/>
        <w:jc w:val="left"/>
        <w:rPr>
          <w:rFonts w:hAnsi="宋体" w:cs="宋体"/>
          <w:spacing w:val="4"/>
        </w:rPr>
      </w:pPr>
      <w:r>
        <w:rPr>
          <w:rFonts w:hint="eastAsia" w:hAnsi="宋体" w:cs="宋体"/>
          <w:spacing w:val="4"/>
        </w:rPr>
        <w:t>法定代表人或被授权人：</w:t>
      </w:r>
      <w:r>
        <w:rPr>
          <w:rFonts w:hint="eastAsia" w:hAnsi="宋体" w:cs="宋体"/>
          <w:spacing w:val="4"/>
          <w:u w:val="single"/>
        </w:rPr>
        <w:t xml:space="preserve">      </w:t>
      </w:r>
      <w:r>
        <w:rPr>
          <w:rFonts w:hint="eastAsia" w:hAnsi="宋体" w:cs="宋体"/>
          <w:spacing w:val="4"/>
        </w:rPr>
        <w:t>（签字或盖章）</w:t>
      </w:r>
    </w:p>
    <w:p>
      <w:pPr>
        <w:spacing w:line="360" w:lineRule="auto"/>
        <w:ind w:firstLine="480" w:firstLineChars="200"/>
        <w:rPr>
          <w:rFonts w:hAnsi="宋体" w:cs="宋体"/>
          <w:szCs w:val="24"/>
        </w:rPr>
      </w:pPr>
    </w:p>
    <w:p>
      <w:pPr>
        <w:spacing w:line="360" w:lineRule="auto"/>
        <w:ind w:firstLine="480" w:firstLineChars="200"/>
        <w:rPr>
          <w:rFonts w:hAnsi="宋体" w:cs="宋体"/>
          <w:szCs w:val="24"/>
        </w:rPr>
      </w:pPr>
      <w:r>
        <w:rPr>
          <w:rFonts w:hint="eastAsia" w:hAnsi="宋体" w:cs="宋体"/>
          <w:szCs w:val="24"/>
        </w:rPr>
        <w:t>日      期：      年   月    日</w:t>
      </w:r>
    </w:p>
    <w:p>
      <w:pPr>
        <w:spacing w:line="440" w:lineRule="exact"/>
        <w:rPr>
          <w:rFonts w:hAnsi="宋体" w:cs="宋体"/>
        </w:rPr>
      </w:pPr>
    </w:p>
    <w:p>
      <w:pPr>
        <w:spacing w:line="312" w:lineRule="auto"/>
        <w:ind w:firstLine="480" w:firstLineChars="200"/>
        <w:rPr>
          <w:rFonts w:hAnsi="宋体" w:cs="宋体"/>
          <w:bCs/>
        </w:rPr>
      </w:pPr>
      <w:r>
        <w:rPr>
          <w:rFonts w:hint="eastAsia" w:hAnsi="宋体" w:cs="宋体"/>
        </w:rPr>
        <w:t>注：1、</w:t>
      </w:r>
      <w:r>
        <w:rPr>
          <w:rFonts w:hint="eastAsia" w:hAnsi="宋体" w:cs="宋体"/>
          <w:bCs/>
        </w:rPr>
        <w:t>供应商可适当调整该表格式，但不得减少信息内容。</w:t>
      </w:r>
    </w:p>
    <w:p>
      <w:pPr>
        <w:spacing w:line="312" w:lineRule="auto"/>
        <w:rPr>
          <w:rFonts w:hAnsi="宋体" w:cs="宋体"/>
          <w:bCs/>
        </w:rPr>
      </w:pPr>
    </w:p>
    <w:p>
      <w:pPr>
        <w:adjustRightInd w:val="0"/>
        <w:snapToGrid w:val="0"/>
        <w:spacing w:line="440" w:lineRule="exact"/>
        <w:rPr>
          <w:rFonts w:hAnsi="宋体" w:cs="宋体"/>
          <w:b/>
          <w:bCs/>
          <w:szCs w:val="24"/>
        </w:rPr>
      </w:pPr>
    </w:p>
    <w:p>
      <w:pPr>
        <w:adjustRightInd w:val="0"/>
        <w:snapToGrid w:val="0"/>
        <w:spacing w:line="440" w:lineRule="exact"/>
        <w:ind w:left="137" w:leftChars="57" w:firstLine="1446" w:firstLineChars="600"/>
        <w:rPr>
          <w:rFonts w:hAnsi="宋体" w:cs="宋体"/>
          <w:b/>
          <w:bCs/>
          <w:szCs w:val="24"/>
        </w:rPr>
      </w:pPr>
    </w:p>
    <w:p>
      <w:pPr>
        <w:pStyle w:val="4"/>
        <w:keepNext w:val="0"/>
        <w:keepLines w:val="0"/>
        <w:widowControl w:val="0"/>
        <w:spacing w:before="166" w:beforeLines="50" w:after="0" w:line="360" w:lineRule="auto"/>
        <w:ind w:left="0"/>
        <w:jc w:val="center"/>
        <w:rPr>
          <w:rFonts w:ascii="宋体" w:hAnsi="宋体" w:cs="宋体"/>
          <w:b w:val="0"/>
        </w:rPr>
      </w:pPr>
      <w:bookmarkStart w:id="202" w:name="_Toc26207"/>
      <w:bookmarkStart w:id="203" w:name="_Toc4085"/>
      <w:bookmarkStart w:id="204" w:name="_Toc19152"/>
      <w:bookmarkStart w:id="205" w:name="_Toc28866"/>
      <w:bookmarkStart w:id="206" w:name="_Toc609"/>
      <w:bookmarkStart w:id="207" w:name="_Toc31326"/>
      <w:bookmarkStart w:id="208" w:name="_Toc8367"/>
      <w:bookmarkStart w:id="209" w:name="_Toc14384"/>
      <w:r>
        <w:rPr>
          <w:rFonts w:hint="eastAsia" w:ascii="宋体" w:hAnsi="宋体" w:cs="宋体"/>
          <w:sz w:val="32"/>
        </w:rPr>
        <w:t>三、投标方案说明书</w:t>
      </w:r>
      <w:bookmarkEnd w:id="202"/>
      <w:bookmarkEnd w:id="203"/>
      <w:bookmarkEnd w:id="204"/>
      <w:bookmarkEnd w:id="205"/>
      <w:bookmarkEnd w:id="206"/>
      <w:bookmarkEnd w:id="207"/>
      <w:bookmarkEnd w:id="208"/>
      <w:bookmarkEnd w:id="209"/>
    </w:p>
    <w:p>
      <w:pPr>
        <w:spacing w:line="440" w:lineRule="exact"/>
        <w:ind w:firstLine="480" w:firstLineChars="200"/>
        <w:rPr>
          <w:rFonts w:hAnsi="宋体" w:cs="宋体"/>
          <w:szCs w:val="24"/>
        </w:rPr>
      </w:pPr>
      <w:r>
        <w:rPr>
          <w:rFonts w:hint="eastAsia" w:hAnsi="宋体" w:cs="宋体"/>
          <w:szCs w:val="24"/>
        </w:rPr>
        <w:t>供应商按招标文件的要求，依据评审方法附件2“</w:t>
      </w:r>
      <w:r>
        <w:rPr>
          <w:rFonts w:hint="eastAsia" w:hAnsi="宋体"/>
          <w:b/>
          <w:spacing w:val="4"/>
          <w:szCs w:val="24"/>
        </w:rPr>
        <w:t>评标因素及权重分值表</w:t>
      </w:r>
      <w:r>
        <w:rPr>
          <w:rFonts w:hint="eastAsia" w:hAnsi="宋体" w:cs="宋体"/>
          <w:szCs w:val="24"/>
        </w:rPr>
        <w:t>”相关内容编写，格式自拟，评标因素及权重分值表要求内容，在投标方案说明书中必须逐项对应编制。</w:t>
      </w:r>
    </w:p>
    <w:p>
      <w:pPr>
        <w:spacing w:line="440" w:lineRule="exact"/>
        <w:rPr>
          <w:rFonts w:hAnsi="宋体" w:cs="宋体"/>
          <w:b/>
          <w:szCs w:val="24"/>
        </w:rPr>
      </w:pPr>
      <w:r>
        <w:rPr>
          <w:rFonts w:hint="eastAsia" w:hAnsi="宋体" w:cs="宋体"/>
          <w:b/>
          <w:szCs w:val="24"/>
        </w:rPr>
        <w:br w:type="page"/>
      </w:r>
      <w:r>
        <w:rPr>
          <w:rFonts w:hint="eastAsia" w:hAnsi="宋体" w:cs="宋体"/>
          <w:b/>
          <w:szCs w:val="24"/>
        </w:rPr>
        <w:t>附表1</w:t>
      </w:r>
    </w:p>
    <w:p>
      <w:pPr>
        <w:spacing w:after="120"/>
        <w:jc w:val="center"/>
        <w:rPr>
          <w:rFonts w:hAnsi="宋体" w:cs="宋体"/>
          <w:b/>
          <w:sz w:val="32"/>
          <w:szCs w:val="32"/>
        </w:rPr>
      </w:pPr>
      <w:r>
        <w:rPr>
          <w:rFonts w:hint="eastAsia" w:hAnsi="宋体" w:cs="宋体"/>
          <w:b/>
          <w:sz w:val="32"/>
          <w:szCs w:val="32"/>
        </w:rPr>
        <w:t>技术规格响应表</w:t>
      </w:r>
    </w:p>
    <w:p>
      <w:pPr>
        <w:spacing w:after="120"/>
        <w:ind w:firstLine="120" w:firstLineChars="50"/>
        <w:rPr>
          <w:rFonts w:hAnsi="宋体" w:cs="宋体"/>
          <w:szCs w:val="24"/>
        </w:rPr>
      </w:pPr>
      <w:r>
        <w:rPr>
          <w:rFonts w:hint="eastAsia" w:hAnsi="宋体" w:cs="宋体"/>
          <w:szCs w:val="24"/>
        </w:rPr>
        <w:t xml:space="preserve">                                      </w:t>
      </w:r>
    </w:p>
    <w:tbl>
      <w:tblPr>
        <w:tblStyle w:val="46"/>
        <w:tblW w:w="9031"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1228"/>
        <w:gridCol w:w="1353"/>
        <w:gridCol w:w="1714"/>
        <w:gridCol w:w="2566"/>
        <w:gridCol w:w="1290"/>
        <w:gridCol w:w="88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jc w:val="center"/>
        </w:trPr>
        <w:tc>
          <w:tcPr>
            <w:tcW w:w="1228" w:type="dxa"/>
            <w:tcBorders>
              <w:tl2br w:val="nil"/>
              <w:tr2bl w:val="nil"/>
            </w:tcBorders>
            <w:vAlign w:val="center"/>
          </w:tcPr>
          <w:p>
            <w:pPr>
              <w:spacing w:before="166" w:beforeLines="50"/>
              <w:jc w:val="center"/>
              <w:rPr>
                <w:rFonts w:hAnsi="宋体" w:cs="宋体"/>
                <w:szCs w:val="24"/>
              </w:rPr>
            </w:pPr>
            <w:r>
              <w:rPr>
                <w:rFonts w:hint="eastAsia" w:hAnsi="宋体" w:cs="宋体"/>
                <w:szCs w:val="24"/>
              </w:rPr>
              <w:t>序号</w:t>
            </w:r>
          </w:p>
        </w:tc>
        <w:tc>
          <w:tcPr>
            <w:tcW w:w="1353" w:type="dxa"/>
            <w:tcBorders>
              <w:tl2br w:val="nil"/>
              <w:tr2bl w:val="nil"/>
            </w:tcBorders>
            <w:vAlign w:val="center"/>
          </w:tcPr>
          <w:p>
            <w:pPr>
              <w:spacing w:before="166" w:beforeLines="50"/>
              <w:jc w:val="center"/>
              <w:rPr>
                <w:rFonts w:hAnsi="宋体" w:cs="宋体"/>
                <w:szCs w:val="24"/>
              </w:rPr>
            </w:pPr>
            <w:r>
              <w:rPr>
                <w:rFonts w:hint="eastAsia" w:hAnsi="宋体" w:cs="宋体"/>
              </w:rPr>
              <w:t>品目</w:t>
            </w:r>
          </w:p>
        </w:tc>
        <w:tc>
          <w:tcPr>
            <w:tcW w:w="1714" w:type="dxa"/>
            <w:tcBorders>
              <w:tl2br w:val="nil"/>
              <w:tr2bl w:val="nil"/>
            </w:tcBorders>
            <w:vAlign w:val="center"/>
          </w:tcPr>
          <w:p>
            <w:pPr>
              <w:spacing w:before="166" w:beforeLines="50"/>
              <w:jc w:val="center"/>
              <w:rPr>
                <w:rFonts w:hAnsi="宋体" w:cs="宋体"/>
                <w:szCs w:val="24"/>
              </w:rPr>
            </w:pPr>
            <w:r>
              <w:rPr>
                <w:rFonts w:hint="eastAsia" w:hAnsi="宋体" w:cs="宋体"/>
                <w:szCs w:val="24"/>
              </w:rPr>
              <w:t>招标规格 ☆1</w:t>
            </w:r>
          </w:p>
        </w:tc>
        <w:tc>
          <w:tcPr>
            <w:tcW w:w="2566" w:type="dxa"/>
            <w:tcBorders>
              <w:tl2br w:val="nil"/>
              <w:tr2bl w:val="nil"/>
            </w:tcBorders>
            <w:vAlign w:val="center"/>
          </w:tcPr>
          <w:p>
            <w:pPr>
              <w:spacing w:before="166" w:beforeLines="50"/>
              <w:jc w:val="center"/>
              <w:rPr>
                <w:rFonts w:hAnsi="宋体" w:cs="宋体"/>
                <w:szCs w:val="24"/>
              </w:rPr>
            </w:pPr>
            <w:r>
              <w:rPr>
                <w:rFonts w:hint="eastAsia" w:hAnsi="宋体" w:cs="宋体"/>
                <w:szCs w:val="24"/>
              </w:rPr>
              <w:t>投标规格 ☆2</w:t>
            </w:r>
          </w:p>
        </w:tc>
        <w:tc>
          <w:tcPr>
            <w:tcW w:w="1290" w:type="dxa"/>
            <w:tcBorders>
              <w:tl2br w:val="nil"/>
              <w:tr2bl w:val="nil"/>
            </w:tcBorders>
            <w:vAlign w:val="center"/>
          </w:tcPr>
          <w:p>
            <w:pPr>
              <w:spacing w:before="166" w:beforeLines="50"/>
              <w:jc w:val="center"/>
              <w:rPr>
                <w:rFonts w:hAnsi="宋体" w:cs="宋体"/>
                <w:szCs w:val="24"/>
              </w:rPr>
            </w:pPr>
            <w:r>
              <w:rPr>
                <w:rFonts w:hint="eastAsia" w:hAnsi="宋体" w:cs="宋体"/>
                <w:szCs w:val="24"/>
              </w:rPr>
              <w:t>偏离说明</w:t>
            </w:r>
          </w:p>
        </w:tc>
        <w:tc>
          <w:tcPr>
            <w:tcW w:w="880" w:type="dxa"/>
            <w:tcBorders>
              <w:tl2br w:val="nil"/>
              <w:tr2bl w:val="nil"/>
            </w:tcBorders>
            <w:vAlign w:val="center"/>
          </w:tcPr>
          <w:p>
            <w:pPr>
              <w:spacing w:before="166" w:beforeLines="50"/>
              <w:jc w:val="center"/>
              <w:rPr>
                <w:rFonts w:hAnsi="宋体" w:cs="宋体"/>
                <w:szCs w:val="24"/>
              </w:rPr>
            </w:pPr>
            <w:r>
              <w:rPr>
                <w:rFonts w:hint="eastAsia" w:hAnsi="宋体" w:cs="宋体"/>
                <w:szCs w:val="24"/>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jc w:val="center"/>
        </w:trPr>
        <w:tc>
          <w:tcPr>
            <w:tcW w:w="1228" w:type="dxa"/>
            <w:tcBorders>
              <w:tl2br w:val="nil"/>
              <w:tr2bl w:val="nil"/>
            </w:tcBorders>
          </w:tcPr>
          <w:p>
            <w:pPr>
              <w:rPr>
                <w:rFonts w:hAnsi="宋体" w:cs="宋体"/>
                <w:szCs w:val="24"/>
              </w:rPr>
            </w:pPr>
          </w:p>
        </w:tc>
        <w:tc>
          <w:tcPr>
            <w:tcW w:w="1353" w:type="dxa"/>
            <w:tcBorders>
              <w:tl2br w:val="nil"/>
              <w:tr2bl w:val="nil"/>
            </w:tcBorders>
          </w:tcPr>
          <w:p>
            <w:pPr>
              <w:rPr>
                <w:rFonts w:hAnsi="宋体" w:cs="宋体"/>
                <w:szCs w:val="24"/>
              </w:rPr>
            </w:pPr>
          </w:p>
        </w:tc>
        <w:tc>
          <w:tcPr>
            <w:tcW w:w="1714" w:type="dxa"/>
            <w:tcBorders>
              <w:tl2br w:val="nil"/>
              <w:tr2bl w:val="nil"/>
            </w:tcBorders>
          </w:tcPr>
          <w:p>
            <w:pPr>
              <w:rPr>
                <w:rFonts w:hAnsi="宋体" w:cs="宋体"/>
                <w:szCs w:val="24"/>
              </w:rPr>
            </w:pPr>
          </w:p>
        </w:tc>
        <w:tc>
          <w:tcPr>
            <w:tcW w:w="2566" w:type="dxa"/>
            <w:tcBorders>
              <w:tl2br w:val="nil"/>
              <w:tr2bl w:val="nil"/>
            </w:tcBorders>
          </w:tcPr>
          <w:p>
            <w:pPr>
              <w:rPr>
                <w:rFonts w:hAnsi="宋体" w:cs="宋体"/>
                <w:szCs w:val="24"/>
              </w:rPr>
            </w:pPr>
          </w:p>
        </w:tc>
        <w:tc>
          <w:tcPr>
            <w:tcW w:w="1290" w:type="dxa"/>
            <w:tcBorders>
              <w:tl2br w:val="nil"/>
              <w:tr2bl w:val="nil"/>
            </w:tcBorders>
          </w:tcPr>
          <w:p>
            <w:pPr>
              <w:rPr>
                <w:rFonts w:hAnsi="宋体" w:cs="宋体"/>
                <w:szCs w:val="24"/>
              </w:rPr>
            </w:pPr>
          </w:p>
        </w:tc>
        <w:tc>
          <w:tcPr>
            <w:tcW w:w="880" w:type="dxa"/>
            <w:tcBorders>
              <w:tl2br w:val="nil"/>
              <w:tr2bl w:val="nil"/>
            </w:tcBorders>
          </w:tcPr>
          <w:p>
            <w:pPr>
              <w:rPr>
                <w:rFonts w:hAnsi="宋体" w:cs="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jc w:val="center"/>
        </w:trPr>
        <w:tc>
          <w:tcPr>
            <w:tcW w:w="1228" w:type="dxa"/>
            <w:tcBorders>
              <w:tl2br w:val="nil"/>
              <w:tr2bl w:val="nil"/>
            </w:tcBorders>
          </w:tcPr>
          <w:p>
            <w:pPr>
              <w:rPr>
                <w:rFonts w:hAnsi="宋体" w:cs="宋体"/>
                <w:szCs w:val="24"/>
              </w:rPr>
            </w:pPr>
          </w:p>
        </w:tc>
        <w:tc>
          <w:tcPr>
            <w:tcW w:w="1353" w:type="dxa"/>
            <w:tcBorders>
              <w:tl2br w:val="nil"/>
              <w:tr2bl w:val="nil"/>
            </w:tcBorders>
          </w:tcPr>
          <w:p>
            <w:pPr>
              <w:rPr>
                <w:rFonts w:hAnsi="宋体" w:cs="宋体"/>
                <w:szCs w:val="24"/>
              </w:rPr>
            </w:pPr>
          </w:p>
        </w:tc>
        <w:tc>
          <w:tcPr>
            <w:tcW w:w="1714" w:type="dxa"/>
            <w:tcBorders>
              <w:tl2br w:val="nil"/>
              <w:tr2bl w:val="nil"/>
            </w:tcBorders>
          </w:tcPr>
          <w:p>
            <w:pPr>
              <w:rPr>
                <w:rFonts w:hAnsi="宋体" w:cs="宋体"/>
                <w:szCs w:val="24"/>
              </w:rPr>
            </w:pPr>
          </w:p>
        </w:tc>
        <w:tc>
          <w:tcPr>
            <w:tcW w:w="2566" w:type="dxa"/>
            <w:tcBorders>
              <w:tl2br w:val="nil"/>
              <w:tr2bl w:val="nil"/>
            </w:tcBorders>
          </w:tcPr>
          <w:p>
            <w:pPr>
              <w:rPr>
                <w:rFonts w:hAnsi="宋体" w:cs="宋体"/>
                <w:szCs w:val="24"/>
              </w:rPr>
            </w:pPr>
          </w:p>
        </w:tc>
        <w:tc>
          <w:tcPr>
            <w:tcW w:w="1290" w:type="dxa"/>
            <w:tcBorders>
              <w:tl2br w:val="nil"/>
              <w:tr2bl w:val="nil"/>
            </w:tcBorders>
          </w:tcPr>
          <w:p>
            <w:pPr>
              <w:rPr>
                <w:rFonts w:hAnsi="宋体" w:cs="宋体"/>
                <w:szCs w:val="24"/>
              </w:rPr>
            </w:pPr>
          </w:p>
        </w:tc>
        <w:tc>
          <w:tcPr>
            <w:tcW w:w="880" w:type="dxa"/>
            <w:tcBorders>
              <w:tl2br w:val="nil"/>
              <w:tr2bl w:val="nil"/>
            </w:tcBorders>
          </w:tcPr>
          <w:p>
            <w:pPr>
              <w:rPr>
                <w:rFonts w:hAnsi="宋体" w:cs="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jc w:val="center"/>
        </w:trPr>
        <w:tc>
          <w:tcPr>
            <w:tcW w:w="1228" w:type="dxa"/>
            <w:tcBorders>
              <w:tl2br w:val="nil"/>
              <w:tr2bl w:val="nil"/>
            </w:tcBorders>
          </w:tcPr>
          <w:p>
            <w:pPr>
              <w:rPr>
                <w:rFonts w:hAnsi="宋体" w:cs="宋体"/>
                <w:szCs w:val="24"/>
              </w:rPr>
            </w:pPr>
          </w:p>
        </w:tc>
        <w:tc>
          <w:tcPr>
            <w:tcW w:w="1353" w:type="dxa"/>
            <w:tcBorders>
              <w:tl2br w:val="nil"/>
              <w:tr2bl w:val="nil"/>
            </w:tcBorders>
          </w:tcPr>
          <w:p>
            <w:pPr>
              <w:rPr>
                <w:rFonts w:hAnsi="宋体" w:cs="宋体"/>
                <w:szCs w:val="24"/>
              </w:rPr>
            </w:pPr>
          </w:p>
        </w:tc>
        <w:tc>
          <w:tcPr>
            <w:tcW w:w="1714" w:type="dxa"/>
            <w:tcBorders>
              <w:tl2br w:val="nil"/>
              <w:tr2bl w:val="nil"/>
            </w:tcBorders>
          </w:tcPr>
          <w:p>
            <w:pPr>
              <w:rPr>
                <w:rFonts w:hAnsi="宋体" w:cs="宋体"/>
                <w:szCs w:val="24"/>
              </w:rPr>
            </w:pPr>
          </w:p>
        </w:tc>
        <w:tc>
          <w:tcPr>
            <w:tcW w:w="2566" w:type="dxa"/>
            <w:tcBorders>
              <w:tl2br w:val="nil"/>
              <w:tr2bl w:val="nil"/>
            </w:tcBorders>
          </w:tcPr>
          <w:p>
            <w:pPr>
              <w:rPr>
                <w:rFonts w:hAnsi="宋体" w:cs="宋体"/>
                <w:szCs w:val="24"/>
              </w:rPr>
            </w:pPr>
          </w:p>
        </w:tc>
        <w:tc>
          <w:tcPr>
            <w:tcW w:w="1290" w:type="dxa"/>
            <w:tcBorders>
              <w:tl2br w:val="nil"/>
              <w:tr2bl w:val="nil"/>
            </w:tcBorders>
          </w:tcPr>
          <w:p>
            <w:pPr>
              <w:rPr>
                <w:rFonts w:hAnsi="宋体" w:cs="宋体"/>
                <w:szCs w:val="24"/>
              </w:rPr>
            </w:pPr>
          </w:p>
        </w:tc>
        <w:tc>
          <w:tcPr>
            <w:tcW w:w="880" w:type="dxa"/>
            <w:tcBorders>
              <w:tl2br w:val="nil"/>
              <w:tr2bl w:val="nil"/>
            </w:tcBorders>
          </w:tcPr>
          <w:p>
            <w:pPr>
              <w:rPr>
                <w:rFonts w:hAnsi="宋体" w:cs="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jc w:val="center"/>
        </w:trPr>
        <w:tc>
          <w:tcPr>
            <w:tcW w:w="1228" w:type="dxa"/>
            <w:tcBorders>
              <w:tl2br w:val="nil"/>
              <w:tr2bl w:val="nil"/>
            </w:tcBorders>
          </w:tcPr>
          <w:p>
            <w:pPr>
              <w:rPr>
                <w:rFonts w:hAnsi="宋体" w:cs="宋体"/>
                <w:szCs w:val="24"/>
              </w:rPr>
            </w:pPr>
          </w:p>
        </w:tc>
        <w:tc>
          <w:tcPr>
            <w:tcW w:w="1353" w:type="dxa"/>
            <w:tcBorders>
              <w:tl2br w:val="nil"/>
              <w:tr2bl w:val="nil"/>
            </w:tcBorders>
          </w:tcPr>
          <w:p>
            <w:pPr>
              <w:rPr>
                <w:rFonts w:hAnsi="宋体" w:cs="宋体"/>
                <w:szCs w:val="24"/>
              </w:rPr>
            </w:pPr>
          </w:p>
        </w:tc>
        <w:tc>
          <w:tcPr>
            <w:tcW w:w="1714" w:type="dxa"/>
            <w:tcBorders>
              <w:tl2br w:val="nil"/>
              <w:tr2bl w:val="nil"/>
            </w:tcBorders>
          </w:tcPr>
          <w:p>
            <w:pPr>
              <w:rPr>
                <w:rFonts w:hAnsi="宋体" w:cs="宋体"/>
                <w:szCs w:val="24"/>
              </w:rPr>
            </w:pPr>
          </w:p>
        </w:tc>
        <w:tc>
          <w:tcPr>
            <w:tcW w:w="2566" w:type="dxa"/>
            <w:tcBorders>
              <w:tl2br w:val="nil"/>
              <w:tr2bl w:val="nil"/>
            </w:tcBorders>
          </w:tcPr>
          <w:p>
            <w:pPr>
              <w:rPr>
                <w:rFonts w:hAnsi="宋体" w:cs="宋体"/>
                <w:szCs w:val="24"/>
              </w:rPr>
            </w:pPr>
          </w:p>
        </w:tc>
        <w:tc>
          <w:tcPr>
            <w:tcW w:w="1290" w:type="dxa"/>
            <w:tcBorders>
              <w:tl2br w:val="nil"/>
              <w:tr2bl w:val="nil"/>
            </w:tcBorders>
          </w:tcPr>
          <w:p>
            <w:pPr>
              <w:rPr>
                <w:rFonts w:hAnsi="宋体" w:cs="宋体"/>
                <w:szCs w:val="24"/>
              </w:rPr>
            </w:pPr>
          </w:p>
        </w:tc>
        <w:tc>
          <w:tcPr>
            <w:tcW w:w="880" w:type="dxa"/>
            <w:tcBorders>
              <w:tl2br w:val="nil"/>
              <w:tr2bl w:val="nil"/>
            </w:tcBorders>
          </w:tcPr>
          <w:p>
            <w:pPr>
              <w:rPr>
                <w:rFonts w:hAnsi="宋体" w:cs="宋体"/>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850" w:hRule="atLeast"/>
          <w:jc w:val="center"/>
        </w:trPr>
        <w:tc>
          <w:tcPr>
            <w:tcW w:w="1228" w:type="dxa"/>
            <w:tcBorders>
              <w:tl2br w:val="nil"/>
              <w:tr2bl w:val="nil"/>
            </w:tcBorders>
          </w:tcPr>
          <w:p>
            <w:pPr>
              <w:rPr>
                <w:rFonts w:hAnsi="宋体" w:cs="宋体"/>
                <w:szCs w:val="24"/>
              </w:rPr>
            </w:pPr>
          </w:p>
        </w:tc>
        <w:tc>
          <w:tcPr>
            <w:tcW w:w="1353" w:type="dxa"/>
            <w:tcBorders>
              <w:tl2br w:val="nil"/>
              <w:tr2bl w:val="nil"/>
            </w:tcBorders>
          </w:tcPr>
          <w:p>
            <w:pPr>
              <w:rPr>
                <w:rFonts w:hAnsi="宋体" w:cs="宋体"/>
                <w:szCs w:val="24"/>
              </w:rPr>
            </w:pPr>
          </w:p>
        </w:tc>
        <w:tc>
          <w:tcPr>
            <w:tcW w:w="1714" w:type="dxa"/>
            <w:tcBorders>
              <w:tl2br w:val="nil"/>
              <w:tr2bl w:val="nil"/>
            </w:tcBorders>
          </w:tcPr>
          <w:p>
            <w:pPr>
              <w:rPr>
                <w:rFonts w:hAnsi="宋体" w:cs="宋体"/>
                <w:szCs w:val="24"/>
              </w:rPr>
            </w:pPr>
          </w:p>
        </w:tc>
        <w:tc>
          <w:tcPr>
            <w:tcW w:w="2566" w:type="dxa"/>
            <w:tcBorders>
              <w:tl2br w:val="nil"/>
              <w:tr2bl w:val="nil"/>
            </w:tcBorders>
          </w:tcPr>
          <w:p>
            <w:pPr>
              <w:rPr>
                <w:rFonts w:hAnsi="宋体" w:cs="宋体"/>
                <w:szCs w:val="24"/>
              </w:rPr>
            </w:pPr>
          </w:p>
        </w:tc>
        <w:tc>
          <w:tcPr>
            <w:tcW w:w="1290" w:type="dxa"/>
            <w:tcBorders>
              <w:tl2br w:val="nil"/>
              <w:tr2bl w:val="nil"/>
            </w:tcBorders>
          </w:tcPr>
          <w:p>
            <w:pPr>
              <w:rPr>
                <w:rFonts w:hAnsi="宋体" w:cs="宋体"/>
                <w:szCs w:val="24"/>
              </w:rPr>
            </w:pPr>
          </w:p>
        </w:tc>
        <w:tc>
          <w:tcPr>
            <w:tcW w:w="880" w:type="dxa"/>
            <w:tcBorders>
              <w:tl2br w:val="nil"/>
              <w:tr2bl w:val="nil"/>
            </w:tcBorders>
          </w:tcPr>
          <w:p>
            <w:pPr>
              <w:rPr>
                <w:rFonts w:hAnsi="宋体" w:cs="宋体"/>
                <w:szCs w:val="24"/>
              </w:rPr>
            </w:pPr>
          </w:p>
        </w:tc>
      </w:tr>
    </w:tbl>
    <w:p>
      <w:pPr>
        <w:rPr>
          <w:rFonts w:hAnsi="宋体" w:cs="宋体"/>
        </w:rPr>
      </w:pPr>
    </w:p>
    <w:p>
      <w:pPr>
        <w:rPr>
          <w:rFonts w:hAnsi="宋体" w:cs="宋体"/>
          <w:szCs w:val="24"/>
        </w:rPr>
      </w:pPr>
    </w:p>
    <w:p>
      <w:pPr>
        <w:spacing w:line="520" w:lineRule="exact"/>
        <w:ind w:firstLine="480" w:firstLineChars="200"/>
        <w:rPr>
          <w:rFonts w:hAnsi="宋体" w:cs="宋体"/>
          <w:szCs w:val="24"/>
        </w:rPr>
      </w:pPr>
      <w:r>
        <w:rPr>
          <w:rFonts w:hint="eastAsia" w:hAnsi="宋体" w:cs="宋体"/>
          <w:szCs w:val="24"/>
        </w:rPr>
        <w:t>供应商名称：</w:t>
      </w:r>
      <w:r>
        <w:rPr>
          <w:rFonts w:hint="eastAsia" w:hAnsi="宋体" w:cs="宋体"/>
          <w:szCs w:val="24"/>
          <w:u w:val="single"/>
        </w:rPr>
        <w:t xml:space="preserve">                        </w:t>
      </w:r>
      <w:r>
        <w:rPr>
          <w:rFonts w:hint="eastAsia" w:hAnsi="宋体" w:cs="宋体"/>
          <w:szCs w:val="24"/>
        </w:rPr>
        <w:t>（盖单位公章）</w:t>
      </w:r>
    </w:p>
    <w:p>
      <w:pPr>
        <w:spacing w:line="500" w:lineRule="exact"/>
        <w:ind w:firstLine="496" w:firstLineChars="200"/>
        <w:jc w:val="left"/>
        <w:rPr>
          <w:rFonts w:hAnsi="宋体" w:cs="宋体"/>
          <w:spacing w:val="4"/>
        </w:rPr>
      </w:pPr>
    </w:p>
    <w:p>
      <w:pPr>
        <w:spacing w:line="500" w:lineRule="exact"/>
        <w:ind w:firstLine="496" w:firstLineChars="200"/>
        <w:jc w:val="left"/>
        <w:rPr>
          <w:rFonts w:hAnsi="宋体" w:cs="宋体"/>
          <w:spacing w:val="4"/>
        </w:rPr>
      </w:pPr>
      <w:r>
        <w:rPr>
          <w:rFonts w:hint="eastAsia" w:hAnsi="宋体" w:cs="宋体"/>
          <w:spacing w:val="4"/>
        </w:rPr>
        <w:t>法定代表人或被授权人：</w:t>
      </w:r>
      <w:r>
        <w:rPr>
          <w:rFonts w:hint="eastAsia" w:hAnsi="宋体" w:cs="宋体"/>
          <w:spacing w:val="4"/>
          <w:u w:val="single"/>
        </w:rPr>
        <w:t xml:space="preserve">      </w:t>
      </w:r>
      <w:r>
        <w:rPr>
          <w:rFonts w:hint="eastAsia" w:hAnsi="宋体" w:cs="宋体"/>
          <w:spacing w:val="4"/>
        </w:rPr>
        <w:t>（签字或盖章）</w:t>
      </w:r>
    </w:p>
    <w:p>
      <w:pPr>
        <w:spacing w:line="520" w:lineRule="exact"/>
        <w:ind w:firstLine="480" w:firstLineChars="200"/>
        <w:rPr>
          <w:rFonts w:hAnsi="宋体" w:cs="宋体"/>
          <w:szCs w:val="24"/>
        </w:rPr>
      </w:pPr>
    </w:p>
    <w:p>
      <w:pPr>
        <w:spacing w:line="520" w:lineRule="exact"/>
        <w:ind w:firstLine="480" w:firstLineChars="200"/>
        <w:rPr>
          <w:rFonts w:hAnsi="宋体" w:cs="宋体"/>
          <w:szCs w:val="24"/>
        </w:rPr>
      </w:pPr>
      <w:r>
        <w:rPr>
          <w:rFonts w:hint="eastAsia" w:hAnsi="宋体" w:cs="宋体"/>
          <w:szCs w:val="24"/>
        </w:rPr>
        <w:t>日      期：      年   月    日</w:t>
      </w:r>
    </w:p>
    <w:p>
      <w:pPr>
        <w:adjustRightInd w:val="0"/>
        <w:snapToGrid w:val="0"/>
        <w:spacing w:line="440" w:lineRule="exact"/>
        <w:ind w:left="137" w:leftChars="57" w:firstLine="1446" w:firstLineChars="600"/>
        <w:rPr>
          <w:rFonts w:hAnsi="宋体" w:cs="宋体"/>
          <w:b/>
          <w:bCs/>
          <w:szCs w:val="24"/>
        </w:rPr>
      </w:pPr>
    </w:p>
    <w:p>
      <w:pPr>
        <w:rPr>
          <w:rFonts w:hAnsi="宋体" w:cs="宋体"/>
          <w:szCs w:val="24"/>
        </w:rPr>
      </w:pPr>
    </w:p>
    <w:p>
      <w:pPr>
        <w:pStyle w:val="163"/>
        <w:rPr>
          <w:rFonts w:hAnsi="宋体" w:cs="宋体"/>
          <w:szCs w:val="24"/>
        </w:rPr>
      </w:pPr>
      <w:r>
        <w:rPr>
          <w:rFonts w:hint="eastAsia" w:hAnsi="宋体" w:cs="宋体"/>
          <w:szCs w:val="24"/>
        </w:rPr>
        <w:t>注:  1、 ☆1指招标文件中的技术规格(参数),供应商应按照招标文件中的内容逐项响应。</w:t>
      </w:r>
    </w:p>
    <w:p>
      <w:pPr>
        <w:pStyle w:val="163"/>
        <w:numPr>
          <w:ilvl w:val="0"/>
          <w:numId w:val="17"/>
        </w:numPr>
        <w:rPr>
          <w:rFonts w:hAnsi="宋体" w:cs="宋体"/>
          <w:szCs w:val="24"/>
        </w:rPr>
      </w:pPr>
      <w:r>
        <w:rPr>
          <w:rFonts w:hint="eastAsia" w:hAnsi="宋体" w:cs="宋体"/>
          <w:szCs w:val="24"/>
        </w:rPr>
        <w:t xml:space="preserve">☆2 指供应商拟提供的投标产品的功能及技术规格(参数),供应商应逐条如实填写并提供相应的支持文件。 </w:t>
      </w:r>
    </w:p>
    <w:p>
      <w:pPr>
        <w:pStyle w:val="163"/>
        <w:numPr>
          <w:ilvl w:val="0"/>
          <w:numId w:val="17"/>
        </w:numPr>
        <w:rPr>
          <w:rFonts w:hAnsi="宋体" w:cs="宋体"/>
          <w:szCs w:val="24"/>
        </w:rPr>
      </w:pPr>
      <w:r>
        <w:rPr>
          <w:rFonts w:hint="eastAsia" w:hAnsi="宋体" w:cs="宋体"/>
          <w:szCs w:val="24"/>
        </w:rPr>
        <w:t>偏离说明填写：优于、满足或低于。</w:t>
      </w:r>
    </w:p>
    <w:p>
      <w:pPr>
        <w:rPr>
          <w:rFonts w:hAnsi="宋体" w:cs="宋体"/>
          <w:szCs w:val="24"/>
        </w:rPr>
      </w:pPr>
      <w:r>
        <w:rPr>
          <w:rFonts w:hint="eastAsia" w:hAnsi="宋体" w:cs="宋体"/>
          <w:szCs w:val="24"/>
        </w:rPr>
        <w:t xml:space="preserve">     </w:t>
      </w:r>
    </w:p>
    <w:p>
      <w:pPr>
        <w:spacing w:line="360" w:lineRule="auto"/>
        <w:rPr>
          <w:rFonts w:hAnsi="宋体" w:cs="宋体"/>
          <w:szCs w:val="24"/>
        </w:rPr>
      </w:pPr>
      <w:bookmarkStart w:id="210" w:name="_Toc225409965"/>
      <w:bookmarkStart w:id="211" w:name="_Toc225412171"/>
      <w:bookmarkStart w:id="212" w:name="_Toc225412373"/>
      <w:bookmarkStart w:id="213" w:name="_Toc225410181"/>
      <w:bookmarkStart w:id="214" w:name="_Toc225415860"/>
      <w:bookmarkStart w:id="215" w:name="_Toc396304713"/>
      <w:bookmarkStart w:id="216" w:name="_Toc225567481"/>
      <w:bookmarkStart w:id="217" w:name="_Toc225410807"/>
      <w:bookmarkStart w:id="218" w:name="_Toc225415659"/>
      <w:bookmarkStart w:id="219" w:name="_Toc225566701"/>
      <w:bookmarkStart w:id="220" w:name="_Toc225416061"/>
      <w:bookmarkStart w:id="221" w:name="_Toc225566882"/>
      <w:bookmarkStart w:id="222" w:name="_Toc341541375"/>
      <w:r>
        <w:rPr>
          <w:rFonts w:hint="eastAsia" w:hAnsi="宋体" w:cs="宋体"/>
          <w:b/>
          <w:szCs w:val="24"/>
        </w:rPr>
        <w:br w:type="page"/>
      </w:r>
      <w:r>
        <w:rPr>
          <w:rFonts w:hint="eastAsia" w:hAnsi="宋体" w:cs="宋体"/>
          <w:b/>
          <w:szCs w:val="24"/>
        </w:rPr>
        <w:t>附表2 本项目拟投入人员汇总表</w:t>
      </w:r>
      <w:bookmarkEnd w:id="210"/>
      <w:bookmarkEnd w:id="211"/>
      <w:bookmarkEnd w:id="212"/>
      <w:bookmarkEnd w:id="213"/>
      <w:bookmarkEnd w:id="214"/>
      <w:bookmarkEnd w:id="215"/>
      <w:bookmarkEnd w:id="216"/>
      <w:bookmarkEnd w:id="217"/>
      <w:bookmarkEnd w:id="218"/>
      <w:bookmarkEnd w:id="219"/>
      <w:bookmarkEnd w:id="220"/>
      <w:bookmarkEnd w:id="221"/>
      <w:bookmarkEnd w:id="222"/>
    </w:p>
    <w:p>
      <w:pPr>
        <w:pStyle w:val="127"/>
        <w:spacing w:before="166" w:beforeLines="50" w:line="360" w:lineRule="auto"/>
        <w:ind w:firstLine="0" w:firstLineChars="0"/>
        <w:jc w:val="center"/>
        <w:outlineLvl w:val="9"/>
        <w:rPr>
          <w:rFonts w:hAnsi="宋体"/>
          <w:color w:val="auto"/>
          <w:szCs w:val="24"/>
        </w:rPr>
      </w:pPr>
      <w:bookmarkStart w:id="223" w:name="_Toc13827"/>
      <w:bookmarkStart w:id="224" w:name="_Toc14631"/>
      <w:bookmarkStart w:id="225" w:name="_Toc426457710"/>
      <w:bookmarkStart w:id="226" w:name="_Toc19082"/>
      <w:bookmarkStart w:id="227" w:name="_Toc214"/>
      <w:bookmarkStart w:id="228" w:name="_Toc403077652"/>
      <w:bookmarkStart w:id="229" w:name="_Toc4115"/>
      <w:bookmarkStart w:id="230" w:name="_Toc2768"/>
      <w:bookmarkStart w:id="231" w:name="_Toc25551"/>
      <w:bookmarkStart w:id="232" w:name="_Toc8093"/>
      <w:bookmarkStart w:id="233" w:name="_Toc396304714"/>
      <w:bookmarkStart w:id="234" w:name="_Toc17592"/>
      <w:r>
        <w:rPr>
          <w:rFonts w:hint="eastAsia" w:hAnsi="宋体"/>
          <w:color w:val="auto"/>
          <w:szCs w:val="24"/>
        </w:rPr>
        <w:t>（一）本项目拟投入人员汇总表</w:t>
      </w:r>
      <w:bookmarkEnd w:id="223"/>
      <w:bookmarkEnd w:id="224"/>
      <w:bookmarkEnd w:id="225"/>
      <w:bookmarkEnd w:id="226"/>
      <w:bookmarkEnd w:id="227"/>
      <w:bookmarkEnd w:id="228"/>
      <w:bookmarkEnd w:id="229"/>
      <w:bookmarkEnd w:id="230"/>
      <w:bookmarkEnd w:id="231"/>
      <w:bookmarkEnd w:id="232"/>
      <w:bookmarkEnd w:id="233"/>
      <w:bookmarkEnd w:id="234"/>
    </w:p>
    <w:tbl>
      <w:tblPr>
        <w:tblStyle w:val="46"/>
        <w:tblW w:w="8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7"/>
        <w:gridCol w:w="1240"/>
        <w:gridCol w:w="570"/>
        <w:gridCol w:w="570"/>
        <w:gridCol w:w="570"/>
        <w:gridCol w:w="835"/>
        <w:gridCol w:w="1157"/>
        <w:gridCol w:w="748"/>
        <w:gridCol w:w="1877"/>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1" w:hRule="atLeast"/>
          <w:tblHeader/>
          <w:jc w:val="center"/>
        </w:trPr>
        <w:tc>
          <w:tcPr>
            <w:tcW w:w="557" w:type="dxa"/>
            <w:tcMar>
              <w:top w:w="15" w:type="dxa"/>
              <w:left w:w="15" w:type="dxa"/>
              <w:bottom w:w="0" w:type="dxa"/>
              <w:right w:w="15" w:type="dxa"/>
            </w:tcMar>
            <w:vAlign w:val="center"/>
          </w:tcPr>
          <w:p>
            <w:pPr>
              <w:pStyle w:val="135"/>
              <w:spacing w:line="400" w:lineRule="exact"/>
              <w:ind w:left="0" w:leftChars="0"/>
              <w:rPr>
                <w:rFonts w:hAnsi="宋体" w:cs="宋体"/>
                <w:b/>
                <w:szCs w:val="21"/>
              </w:rPr>
            </w:pPr>
            <w:r>
              <w:rPr>
                <w:rFonts w:hint="eastAsia" w:hAnsi="宋体" w:cs="宋体"/>
                <w:b/>
                <w:szCs w:val="21"/>
              </w:rPr>
              <w:t>序号</w:t>
            </w:r>
          </w:p>
        </w:tc>
        <w:tc>
          <w:tcPr>
            <w:tcW w:w="1240" w:type="dxa"/>
            <w:tcMar>
              <w:top w:w="15" w:type="dxa"/>
              <w:left w:w="15" w:type="dxa"/>
              <w:bottom w:w="0" w:type="dxa"/>
              <w:right w:w="15" w:type="dxa"/>
            </w:tcMar>
            <w:vAlign w:val="center"/>
          </w:tcPr>
          <w:p>
            <w:pPr>
              <w:pStyle w:val="135"/>
              <w:spacing w:line="400" w:lineRule="exact"/>
              <w:ind w:left="0" w:leftChars="0"/>
              <w:rPr>
                <w:rFonts w:hAnsi="宋体" w:cs="宋体"/>
                <w:b/>
                <w:szCs w:val="21"/>
              </w:rPr>
            </w:pPr>
            <w:r>
              <w:rPr>
                <w:rFonts w:hint="eastAsia" w:hAnsi="宋体" w:cs="宋体"/>
                <w:b/>
                <w:szCs w:val="21"/>
              </w:rPr>
              <w:t>姓  名</w:t>
            </w:r>
          </w:p>
        </w:tc>
        <w:tc>
          <w:tcPr>
            <w:tcW w:w="570" w:type="dxa"/>
            <w:tcMar>
              <w:top w:w="15" w:type="dxa"/>
              <w:left w:w="15" w:type="dxa"/>
              <w:bottom w:w="0" w:type="dxa"/>
              <w:right w:w="15" w:type="dxa"/>
            </w:tcMar>
            <w:vAlign w:val="center"/>
          </w:tcPr>
          <w:p>
            <w:pPr>
              <w:pStyle w:val="135"/>
              <w:spacing w:line="400" w:lineRule="exact"/>
              <w:ind w:left="0" w:leftChars="0"/>
              <w:rPr>
                <w:rFonts w:hAnsi="宋体" w:cs="宋体"/>
                <w:b/>
                <w:szCs w:val="21"/>
              </w:rPr>
            </w:pPr>
            <w:r>
              <w:rPr>
                <w:rFonts w:hint="eastAsia" w:hAnsi="宋体" w:cs="宋体"/>
                <w:b/>
                <w:szCs w:val="21"/>
              </w:rPr>
              <w:t>性别</w:t>
            </w:r>
          </w:p>
        </w:tc>
        <w:tc>
          <w:tcPr>
            <w:tcW w:w="570" w:type="dxa"/>
            <w:tcMar>
              <w:top w:w="15" w:type="dxa"/>
              <w:left w:w="15" w:type="dxa"/>
              <w:bottom w:w="0" w:type="dxa"/>
              <w:right w:w="15" w:type="dxa"/>
            </w:tcMar>
            <w:vAlign w:val="center"/>
          </w:tcPr>
          <w:p>
            <w:pPr>
              <w:pStyle w:val="135"/>
              <w:spacing w:line="400" w:lineRule="exact"/>
              <w:ind w:left="0" w:leftChars="0"/>
              <w:rPr>
                <w:rFonts w:hAnsi="宋体" w:cs="宋体"/>
                <w:b/>
                <w:szCs w:val="21"/>
              </w:rPr>
            </w:pPr>
            <w:r>
              <w:rPr>
                <w:rFonts w:hint="eastAsia" w:hAnsi="宋体" w:cs="宋体"/>
                <w:b/>
                <w:szCs w:val="21"/>
              </w:rPr>
              <w:t>年龄</w:t>
            </w:r>
          </w:p>
        </w:tc>
        <w:tc>
          <w:tcPr>
            <w:tcW w:w="570" w:type="dxa"/>
            <w:tcMar>
              <w:top w:w="15" w:type="dxa"/>
              <w:left w:w="15" w:type="dxa"/>
              <w:bottom w:w="0" w:type="dxa"/>
              <w:right w:w="15" w:type="dxa"/>
            </w:tcMar>
            <w:vAlign w:val="center"/>
          </w:tcPr>
          <w:p>
            <w:pPr>
              <w:pStyle w:val="135"/>
              <w:spacing w:line="400" w:lineRule="exact"/>
              <w:ind w:left="0" w:leftChars="0"/>
              <w:rPr>
                <w:rFonts w:hAnsi="宋体" w:cs="宋体"/>
                <w:b/>
                <w:szCs w:val="21"/>
              </w:rPr>
            </w:pPr>
            <w:r>
              <w:rPr>
                <w:rFonts w:hint="eastAsia" w:hAnsi="宋体" w:cs="宋体"/>
                <w:b/>
                <w:szCs w:val="21"/>
              </w:rPr>
              <w:t>学历</w:t>
            </w:r>
          </w:p>
        </w:tc>
        <w:tc>
          <w:tcPr>
            <w:tcW w:w="835" w:type="dxa"/>
            <w:tcMar>
              <w:top w:w="15" w:type="dxa"/>
              <w:left w:w="15" w:type="dxa"/>
              <w:bottom w:w="0" w:type="dxa"/>
              <w:right w:w="15" w:type="dxa"/>
            </w:tcMar>
            <w:vAlign w:val="center"/>
          </w:tcPr>
          <w:p>
            <w:pPr>
              <w:pStyle w:val="135"/>
              <w:spacing w:line="400" w:lineRule="exact"/>
              <w:ind w:left="0" w:leftChars="0"/>
              <w:rPr>
                <w:rFonts w:hAnsi="宋体" w:cs="宋体"/>
                <w:b/>
                <w:szCs w:val="21"/>
              </w:rPr>
            </w:pPr>
            <w:r>
              <w:rPr>
                <w:rFonts w:hint="eastAsia" w:hAnsi="宋体" w:cs="宋体"/>
                <w:b/>
                <w:szCs w:val="21"/>
              </w:rPr>
              <w:t>技术</w:t>
            </w:r>
          </w:p>
          <w:p>
            <w:pPr>
              <w:pStyle w:val="135"/>
              <w:spacing w:line="400" w:lineRule="exact"/>
              <w:ind w:left="0" w:leftChars="0"/>
              <w:rPr>
                <w:rFonts w:hAnsi="宋体" w:cs="宋体"/>
                <w:b/>
                <w:szCs w:val="21"/>
              </w:rPr>
            </w:pPr>
            <w:r>
              <w:rPr>
                <w:rFonts w:hint="eastAsia" w:hAnsi="宋体" w:cs="宋体"/>
                <w:b/>
                <w:szCs w:val="21"/>
              </w:rPr>
              <w:t>职称</w:t>
            </w:r>
          </w:p>
        </w:tc>
        <w:tc>
          <w:tcPr>
            <w:tcW w:w="1157" w:type="dxa"/>
            <w:tcMar>
              <w:top w:w="15" w:type="dxa"/>
              <w:left w:w="15" w:type="dxa"/>
              <w:bottom w:w="0" w:type="dxa"/>
              <w:right w:w="15" w:type="dxa"/>
            </w:tcMar>
          </w:tcPr>
          <w:p>
            <w:pPr>
              <w:pStyle w:val="135"/>
              <w:spacing w:line="400" w:lineRule="exact"/>
              <w:ind w:left="0" w:leftChars="0"/>
              <w:rPr>
                <w:rFonts w:hAnsi="宋体" w:cs="宋体"/>
                <w:b/>
                <w:szCs w:val="21"/>
              </w:rPr>
            </w:pPr>
            <w:r>
              <w:rPr>
                <w:rFonts w:hint="eastAsia" w:hAnsi="宋体" w:cs="宋体"/>
                <w:b/>
                <w:szCs w:val="21"/>
              </w:rPr>
              <w:t>资格证</w:t>
            </w:r>
          </w:p>
          <w:p>
            <w:pPr>
              <w:pStyle w:val="135"/>
              <w:spacing w:line="400" w:lineRule="exact"/>
              <w:ind w:left="0" w:leftChars="0"/>
              <w:rPr>
                <w:rFonts w:hAnsi="宋体" w:cs="宋体"/>
                <w:b/>
                <w:szCs w:val="21"/>
              </w:rPr>
            </w:pPr>
            <w:r>
              <w:rPr>
                <w:rFonts w:hint="eastAsia" w:hAnsi="宋体" w:cs="宋体"/>
                <w:b/>
                <w:szCs w:val="21"/>
              </w:rPr>
              <w:t>书种类</w:t>
            </w:r>
          </w:p>
        </w:tc>
        <w:tc>
          <w:tcPr>
            <w:tcW w:w="748" w:type="dxa"/>
            <w:tcMar>
              <w:top w:w="15" w:type="dxa"/>
              <w:left w:w="15" w:type="dxa"/>
              <w:bottom w:w="0" w:type="dxa"/>
              <w:right w:w="15" w:type="dxa"/>
            </w:tcMar>
            <w:vAlign w:val="center"/>
          </w:tcPr>
          <w:p>
            <w:pPr>
              <w:pStyle w:val="135"/>
              <w:spacing w:line="400" w:lineRule="exact"/>
              <w:ind w:left="0" w:leftChars="0"/>
              <w:rPr>
                <w:rFonts w:hAnsi="宋体" w:cs="宋体"/>
                <w:b/>
                <w:szCs w:val="21"/>
              </w:rPr>
            </w:pPr>
            <w:r>
              <w:rPr>
                <w:rFonts w:hint="eastAsia" w:hAnsi="宋体" w:cs="宋体"/>
                <w:b/>
                <w:szCs w:val="21"/>
              </w:rPr>
              <w:t>工作</w:t>
            </w:r>
          </w:p>
          <w:p>
            <w:pPr>
              <w:pStyle w:val="135"/>
              <w:spacing w:line="400" w:lineRule="exact"/>
              <w:ind w:left="0" w:leftChars="0"/>
              <w:rPr>
                <w:rFonts w:hAnsi="宋体" w:cs="宋体"/>
                <w:b/>
                <w:szCs w:val="21"/>
              </w:rPr>
            </w:pPr>
            <w:r>
              <w:rPr>
                <w:rFonts w:hint="eastAsia" w:hAnsi="宋体" w:cs="宋体"/>
                <w:b/>
                <w:szCs w:val="21"/>
              </w:rPr>
              <w:t>年限</w:t>
            </w:r>
          </w:p>
        </w:tc>
        <w:tc>
          <w:tcPr>
            <w:tcW w:w="1877" w:type="dxa"/>
            <w:tcMar>
              <w:top w:w="15" w:type="dxa"/>
              <w:left w:w="15" w:type="dxa"/>
              <w:bottom w:w="0" w:type="dxa"/>
              <w:right w:w="15" w:type="dxa"/>
            </w:tcMar>
            <w:vAlign w:val="center"/>
          </w:tcPr>
          <w:p>
            <w:pPr>
              <w:pStyle w:val="135"/>
              <w:spacing w:line="400" w:lineRule="exact"/>
              <w:ind w:left="0" w:leftChars="0"/>
              <w:rPr>
                <w:rFonts w:hAnsi="宋体" w:cs="宋体"/>
                <w:b/>
                <w:szCs w:val="21"/>
              </w:rPr>
            </w:pPr>
            <w:r>
              <w:rPr>
                <w:rFonts w:hint="eastAsia" w:hAnsi="宋体" w:cs="宋体"/>
                <w:b/>
                <w:szCs w:val="21"/>
              </w:rPr>
              <w:t>拟担任的职务</w:t>
            </w:r>
          </w:p>
        </w:tc>
        <w:tc>
          <w:tcPr>
            <w:tcW w:w="680" w:type="dxa"/>
            <w:tcMar>
              <w:top w:w="15" w:type="dxa"/>
              <w:left w:w="15" w:type="dxa"/>
              <w:bottom w:w="0" w:type="dxa"/>
              <w:right w:w="15" w:type="dxa"/>
            </w:tcMar>
            <w:vAlign w:val="center"/>
          </w:tcPr>
          <w:p>
            <w:pPr>
              <w:pStyle w:val="135"/>
              <w:spacing w:line="400" w:lineRule="exact"/>
              <w:ind w:left="0" w:leftChars="0"/>
              <w:rPr>
                <w:rFonts w:hAnsi="宋体" w:cs="宋体"/>
                <w:b/>
                <w:szCs w:val="21"/>
              </w:rPr>
            </w:pPr>
            <w:r>
              <w:rPr>
                <w:rFonts w:hint="eastAsia" w:hAnsi="宋体" w:cs="宋体"/>
                <w:b/>
                <w:szCs w:val="21"/>
              </w:rPr>
              <w:t>岗位</w:t>
            </w:r>
          </w:p>
          <w:p>
            <w:pPr>
              <w:pStyle w:val="135"/>
              <w:spacing w:line="400" w:lineRule="exact"/>
              <w:ind w:left="0" w:leftChars="0"/>
              <w:rPr>
                <w:rFonts w:hAnsi="宋体" w:cs="宋体"/>
                <w:b/>
                <w:szCs w:val="21"/>
              </w:rPr>
            </w:pPr>
            <w:r>
              <w:rPr>
                <w:rFonts w:hint="eastAsia" w:hAnsi="宋体" w:cs="宋体"/>
                <w:b/>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24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835"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1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748"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87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68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24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835"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1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748"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87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68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5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24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835"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1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748"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87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68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24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835"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1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748"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87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68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24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835"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1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748"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87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68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5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24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835"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1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748"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87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68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24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835"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1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748"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87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68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24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835"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1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748"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87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68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5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24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835"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1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748"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87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68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24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835"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1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748"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87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68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24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835"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1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748"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87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68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5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24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835"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1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748"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87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68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24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835"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1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748"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87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68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24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835"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1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748"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87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68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5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24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835"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1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748"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87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68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24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835"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1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748"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87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68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24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835"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1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748"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87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68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5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24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835"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1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748"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87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68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24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835"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1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748"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87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68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24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835"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1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748"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87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68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5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24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835"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1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748"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87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68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24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835"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1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748"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87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68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jc w:val="center"/>
        </w:trPr>
        <w:tc>
          <w:tcPr>
            <w:tcW w:w="5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24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835"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1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748"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87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68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jc w:val="center"/>
        </w:trPr>
        <w:tc>
          <w:tcPr>
            <w:tcW w:w="5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24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57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835"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15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748"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1877"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c>
          <w:tcPr>
            <w:tcW w:w="680" w:type="dxa"/>
            <w:tcMar>
              <w:top w:w="15" w:type="dxa"/>
              <w:left w:w="15" w:type="dxa"/>
              <w:bottom w:w="0" w:type="dxa"/>
              <w:right w:w="15" w:type="dxa"/>
            </w:tcMar>
            <w:vAlign w:val="center"/>
          </w:tcPr>
          <w:p>
            <w:pPr>
              <w:pStyle w:val="135"/>
              <w:spacing w:line="400" w:lineRule="exact"/>
              <w:ind w:left="0" w:leftChars="0" w:firstLine="480" w:firstLineChars="200"/>
              <w:jc w:val="both"/>
              <w:rPr>
                <w:rFonts w:hAnsi="宋体" w:cs="宋体"/>
                <w:szCs w:val="21"/>
              </w:rPr>
            </w:pPr>
          </w:p>
        </w:tc>
      </w:tr>
    </w:tbl>
    <w:p>
      <w:pPr>
        <w:pStyle w:val="173"/>
        <w:tabs>
          <w:tab w:val="left" w:pos="2040"/>
        </w:tabs>
        <w:spacing w:beforeLines="0" w:line="400" w:lineRule="exact"/>
        <w:ind w:left="0" w:firstLine="480" w:firstLineChars="200"/>
        <w:rPr>
          <w:rFonts w:hAnsi="宋体" w:eastAsia="宋体" w:cs="宋体"/>
          <w:color w:val="auto"/>
          <w:szCs w:val="21"/>
        </w:rPr>
      </w:pPr>
      <w:r>
        <w:rPr>
          <w:rFonts w:hint="eastAsia" w:hAnsi="宋体" w:eastAsia="宋体" w:cs="宋体"/>
          <w:color w:val="auto"/>
          <w:szCs w:val="21"/>
        </w:rPr>
        <w:t>注：1、“岗位情况”须注明该人在本单位是在岗、返聘还是外聘。</w:t>
      </w:r>
    </w:p>
    <w:p>
      <w:pPr>
        <w:pStyle w:val="173"/>
        <w:tabs>
          <w:tab w:val="left" w:pos="2040"/>
        </w:tabs>
        <w:spacing w:beforeLines="0" w:line="400" w:lineRule="exact"/>
        <w:ind w:left="0" w:firstLine="960" w:firstLineChars="400"/>
        <w:rPr>
          <w:rFonts w:hAnsi="宋体" w:eastAsia="宋体" w:cs="宋体"/>
          <w:color w:val="auto"/>
          <w:szCs w:val="21"/>
        </w:rPr>
      </w:pPr>
      <w:r>
        <w:rPr>
          <w:rFonts w:hint="eastAsia" w:hAnsi="宋体" w:eastAsia="宋体" w:cs="宋体"/>
          <w:color w:val="auto"/>
          <w:szCs w:val="21"/>
        </w:rPr>
        <w:t>2、供应商可适当调整该表格式，但不得减少信息内容。</w:t>
      </w:r>
    </w:p>
    <w:p>
      <w:pPr>
        <w:pStyle w:val="156"/>
        <w:spacing w:beforeLines="0" w:afterLines="0" w:line="400" w:lineRule="exact"/>
        <w:ind w:left="0" w:leftChars="0" w:firstLine="420" w:firstLineChars="200"/>
        <w:jc w:val="both"/>
        <w:rPr>
          <w:rFonts w:hAnsi="宋体" w:cs="宋体"/>
          <w:b w:val="0"/>
          <w:color w:val="auto"/>
          <w:sz w:val="21"/>
        </w:rPr>
      </w:pPr>
    </w:p>
    <w:p>
      <w:pPr>
        <w:pStyle w:val="127"/>
        <w:spacing w:line="360" w:lineRule="auto"/>
        <w:ind w:firstLine="0" w:firstLineChars="0"/>
        <w:jc w:val="center"/>
        <w:outlineLvl w:val="9"/>
        <w:rPr>
          <w:rFonts w:hAnsi="宋体"/>
          <w:color w:val="auto"/>
          <w:szCs w:val="24"/>
        </w:rPr>
      </w:pPr>
      <w:bookmarkStart w:id="235" w:name="_Toc426457711"/>
      <w:bookmarkStart w:id="236" w:name="_Toc8175"/>
      <w:bookmarkStart w:id="237" w:name="_Toc225412172"/>
      <w:bookmarkStart w:id="238" w:name="_Toc225410182"/>
      <w:bookmarkStart w:id="239" w:name="_Toc225410808"/>
      <w:bookmarkStart w:id="240" w:name="_Toc15882"/>
      <w:bookmarkStart w:id="241" w:name="_Toc396304715"/>
      <w:bookmarkStart w:id="242" w:name="_Toc5833"/>
      <w:bookmarkStart w:id="243" w:name="_Toc225567482"/>
      <w:bookmarkStart w:id="244" w:name="_Toc225566883"/>
      <w:bookmarkStart w:id="245" w:name="_Toc403077653"/>
      <w:bookmarkStart w:id="246" w:name="_Toc225416062"/>
      <w:bookmarkStart w:id="247" w:name="_Toc14010"/>
      <w:bookmarkStart w:id="248" w:name="_Toc225566702"/>
      <w:bookmarkStart w:id="249" w:name="_Toc225415861"/>
      <w:bookmarkStart w:id="250" w:name="_Toc225409966"/>
      <w:bookmarkStart w:id="251" w:name="_Toc4548"/>
      <w:bookmarkStart w:id="252" w:name="_Toc16685"/>
      <w:bookmarkStart w:id="253" w:name="_Toc225412374"/>
      <w:bookmarkStart w:id="254" w:name="_Toc341541376"/>
      <w:bookmarkStart w:id="255" w:name="_Toc225415660"/>
      <w:bookmarkStart w:id="256" w:name="_Toc26060"/>
      <w:r>
        <w:rPr>
          <w:rFonts w:hint="eastAsia" w:hAnsi="宋体"/>
          <w:color w:val="auto"/>
          <w:szCs w:val="24"/>
        </w:rPr>
        <w:br w:type="page"/>
      </w:r>
      <w:bookmarkStart w:id="257" w:name="_Toc5691"/>
      <w:bookmarkStart w:id="258" w:name="_Toc22912"/>
      <w:r>
        <w:rPr>
          <w:rFonts w:hint="eastAsia" w:hAnsi="宋体"/>
          <w:color w:val="auto"/>
          <w:szCs w:val="24"/>
        </w:rPr>
        <w:t>（二） 本项目拟投入主要人员简历表</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pPr>
        <w:pStyle w:val="127"/>
        <w:spacing w:line="360" w:lineRule="auto"/>
        <w:ind w:firstLine="0" w:firstLineChars="0"/>
        <w:jc w:val="center"/>
        <w:outlineLvl w:val="9"/>
        <w:rPr>
          <w:rFonts w:hAnsi="宋体"/>
          <w:color w:val="auto"/>
          <w:szCs w:val="24"/>
        </w:rPr>
      </w:pPr>
      <w:bookmarkStart w:id="259" w:name="_Toc396304716"/>
      <w:bookmarkStart w:id="260" w:name="_Toc23655"/>
      <w:bookmarkStart w:id="261" w:name="_Toc426457712"/>
      <w:bookmarkStart w:id="262" w:name="_Toc26268"/>
      <w:bookmarkStart w:id="263" w:name="_Toc403077654"/>
      <w:bookmarkStart w:id="264" w:name="_Toc1696"/>
      <w:bookmarkStart w:id="265" w:name="_Toc12576"/>
      <w:bookmarkStart w:id="266" w:name="_Toc4640"/>
      <w:bookmarkStart w:id="267" w:name="_Toc21195"/>
      <w:bookmarkStart w:id="268" w:name="_Toc7987"/>
      <w:bookmarkStart w:id="269" w:name="_Toc30540"/>
      <w:bookmarkStart w:id="270" w:name="_Toc23862"/>
      <w:r>
        <w:rPr>
          <w:rFonts w:hint="eastAsia" w:hAnsi="宋体"/>
          <w:color w:val="auto"/>
          <w:szCs w:val="24"/>
        </w:rPr>
        <w:t>本项目拟投入主要人员简历表</w:t>
      </w:r>
      <w:bookmarkEnd w:id="259"/>
      <w:bookmarkEnd w:id="260"/>
      <w:bookmarkEnd w:id="261"/>
      <w:bookmarkEnd w:id="262"/>
      <w:bookmarkEnd w:id="263"/>
      <w:bookmarkEnd w:id="264"/>
      <w:bookmarkEnd w:id="265"/>
      <w:bookmarkEnd w:id="266"/>
      <w:bookmarkEnd w:id="267"/>
      <w:bookmarkEnd w:id="268"/>
      <w:bookmarkEnd w:id="269"/>
      <w:bookmarkEnd w:id="270"/>
    </w:p>
    <w:tbl>
      <w:tblPr>
        <w:tblStyle w:val="46"/>
        <w:tblW w:w="90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272"/>
        <w:gridCol w:w="1577"/>
        <w:gridCol w:w="1525"/>
        <w:gridCol w:w="1286"/>
        <w:gridCol w:w="45"/>
        <w:gridCol w:w="1709"/>
        <w:gridCol w:w="7"/>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pPr>
              <w:pStyle w:val="135"/>
              <w:spacing w:line="400" w:lineRule="exact"/>
              <w:ind w:left="0" w:leftChars="0"/>
              <w:rPr>
                <w:rFonts w:hAnsi="宋体" w:cs="宋体"/>
              </w:rPr>
            </w:pPr>
            <w:r>
              <w:rPr>
                <w:rFonts w:hint="eastAsia" w:hAnsi="宋体" w:cs="宋体"/>
              </w:rPr>
              <w:t>姓  名</w:t>
            </w:r>
          </w:p>
        </w:tc>
        <w:tc>
          <w:tcPr>
            <w:tcW w:w="1577" w:type="dxa"/>
            <w:vAlign w:val="center"/>
          </w:tcPr>
          <w:p>
            <w:pPr>
              <w:pStyle w:val="135"/>
              <w:spacing w:line="400" w:lineRule="exact"/>
              <w:ind w:left="0" w:leftChars="0"/>
              <w:rPr>
                <w:rFonts w:hAnsi="宋体" w:cs="宋体"/>
              </w:rPr>
            </w:pPr>
          </w:p>
        </w:tc>
        <w:tc>
          <w:tcPr>
            <w:tcW w:w="1525" w:type="dxa"/>
            <w:vAlign w:val="center"/>
          </w:tcPr>
          <w:p>
            <w:pPr>
              <w:pStyle w:val="135"/>
              <w:spacing w:line="400" w:lineRule="exact"/>
              <w:ind w:left="0" w:leftChars="0"/>
              <w:rPr>
                <w:rFonts w:hAnsi="宋体" w:cs="宋体"/>
              </w:rPr>
            </w:pPr>
            <w:r>
              <w:rPr>
                <w:rFonts w:hint="eastAsia" w:hAnsi="宋体" w:cs="宋体"/>
              </w:rPr>
              <w:t>性 别</w:t>
            </w:r>
          </w:p>
        </w:tc>
        <w:tc>
          <w:tcPr>
            <w:tcW w:w="1331" w:type="dxa"/>
            <w:gridSpan w:val="2"/>
            <w:vAlign w:val="center"/>
          </w:tcPr>
          <w:p>
            <w:pPr>
              <w:pStyle w:val="135"/>
              <w:spacing w:line="400" w:lineRule="exact"/>
              <w:ind w:left="0" w:leftChars="0"/>
              <w:rPr>
                <w:rFonts w:hAnsi="宋体" w:cs="宋体"/>
              </w:rPr>
            </w:pPr>
          </w:p>
        </w:tc>
        <w:tc>
          <w:tcPr>
            <w:tcW w:w="1709" w:type="dxa"/>
            <w:vAlign w:val="center"/>
          </w:tcPr>
          <w:p>
            <w:pPr>
              <w:pStyle w:val="135"/>
              <w:spacing w:line="400" w:lineRule="exact"/>
              <w:ind w:left="0" w:leftChars="0"/>
              <w:rPr>
                <w:rFonts w:hAnsi="宋体" w:cs="宋体"/>
              </w:rPr>
            </w:pPr>
            <w:r>
              <w:rPr>
                <w:rFonts w:hint="eastAsia" w:hAnsi="宋体" w:cs="宋体"/>
              </w:rPr>
              <w:t>年 龄</w:t>
            </w:r>
          </w:p>
        </w:tc>
        <w:tc>
          <w:tcPr>
            <w:tcW w:w="1139" w:type="dxa"/>
            <w:gridSpan w:val="2"/>
            <w:vAlign w:val="center"/>
          </w:tcPr>
          <w:p>
            <w:pPr>
              <w:pStyle w:val="135"/>
              <w:spacing w:line="400" w:lineRule="exact"/>
              <w:ind w:left="0" w:leftChars="0" w:firstLine="480" w:firstLineChars="200"/>
              <w:rPr>
                <w:rFonts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772" w:type="dxa"/>
            <w:gridSpan w:val="2"/>
            <w:vAlign w:val="center"/>
          </w:tcPr>
          <w:p>
            <w:pPr>
              <w:pStyle w:val="135"/>
              <w:spacing w:line="400" w:lineRule="exact"/>
              <w:ind w:left="0" w:leftChars="0"/>
              <w:rPr>
                <w:rFonts w:hAnsi="宋体" w:cs="宋体"/>
              </w:rPr>
            </w:pPr>
            <w:r>
              <w:rPr>
                <w:rFonts w:hint="eastAsia" w:hAnsi="宋体" w:cs="宋体"/>
              </w:rPr>
              <w:t>职  称</w:t>
            </w:r>
          </w:p>
        </w:tc>
        <w:tc>
          <w:tcPr>
            <w:tcW w:w="1577" w:type="dxa"/>
            <w:vAlign w:val="center"/>
          </w:tcPr>
          <w:p>
            <w:pPr>
              <w:pStyle w:val="135"/>
              <w:spacing w:line="400" w:lineRule="exact"/>
              <w:ind w:left="0" w:leftChars="0"/>
              <w:rPr>
                <w:rFonts w:hAnsi="宋体" w:cs="宋体"/>
              </w:rPr>
            </w:pPr>
          </w:p>
        </w:tc>
        <w:tc>
          <w:tcPr>
            <w:tcW w:w="1525" w:type="dxa"/>
            <w:vAlign w:val="center"/>
          </w:tcPr>
          <w:p>
            <w:pPr>
              <w:pStyle w:val="135"/>
              <w:spacing w:line="400" w:lineRule="exact"/>
              <w:ind w:left="0" w:leftChars="0"/>
              <w:rPr>
                <w:rFonts w:hAnsi="宋体" w:cs="宋体"/>
              </w:rPr>
            </w:pPr>
            <w:r>
              <w:rPr>
                <w:rFonts w:hint="eastAsia" w:hAnsi="宋体" w:cs="宋体"/>
              </w:rPr>
              <w:t>身份证号</w:t>
            </w:r>
          </w:p>
        </w:tc>
        <w:tc>
          <w:tcPr>
            <w:tcW w:w="1331" w:type="dxa"/>
            <w:gridSpan w:val="2"/>
            <w:vAlign w:val="center"/>
          </w:tcPr>
          <w:p>
            <w:pPr>
              <w:pStyle w:val="135"/>
              <w:spacing w:line="400" w:lineRule="exact"/>
              <w:ind w:left="0" w:leftChars="0"/>
              <w:rPr>
                <w:rFonts w:hAnsi="宋体" w:cs="宋体"/>
              </w:rPr>
            </w:pPr>
          </w:p>
        </w:tc>
        <w:tc>
          <w:tcPr>
            <w:tcW w:w="1709" w:type="dxa"/>
            <w:vAlign w:val="center"/>
          </w:tcPr>
          <w:p>
            <w:pPr>
              <w:pStyle w:val="135"/>
              <w:spacing w:line="400" w:lineRule="exact"/>
              <w:ind w:left="0" w:leftChars="0"/>
              <w:rPr>
                <w:rFonts w:hAnsi="宋体" w:cs="宋体"/>
              </w:rPr>
            </w:pPr>
            <w:r>
              <w:rPr>
                <w:rFonts w:hint="eastAsia" w:hAnsi="宋体" w:cs="宋体"/>
              </w:rPr>
              <w:t>专业/年限</w:t>
            </w:r>
          </w:p>
        </w:tc>
        <w:tc>
          <w:tcPr>
            <w:tcW w:w="1139" w:type="dxa"/>
            <w:gridSpan w:val="2"/>
            <w:vAlign w:val="center"/>
          </w:tcPr>
          <w:p>
            <w:pPr>
              <w:pStyle w:val="135"/>
              <w:spacing w:line="400" w:lineRule="exact"/>
              <w:ind w:left="0" w:leftChars="0" w:firstLine="480" w:firstLineChars="200"/>
              <w:rPr>
                <w:rFonts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pPr>
              <w:pStyle w:val="135"/>
              <w:spacing w:line="400" w:lineRule="exact"/>
              <w:ind w:left="0" w:leftChars="0"/>
              <w:rPr>
                <w:rFonts w:hAnsi="宋体" w:cs="宋体"/>
              </w:rPr>
            </w:pPr>
            <w:r>
              <w:rPr>
                <w:rFonts w:hint="eastAsia" w:hAnsi="宋体" w:cs="宋体"/>
              </w:rPr>
              <w:t>毕业时间</w:t>
            </w:r>
          </w:p>
        </w:tc>
        <w:tc>
          <w:tcPr>
            <w:tcW w:w="1577" w:type="dxa"/>
            <w:vAlign w:val="center"/>
          </w:tcPr>
          <w:p>
            <w:pPr>
              <w:pStyle w:val="135"/>
              <w:spacing w:line="400" w:lineRule="exact"/>
              <w:ind w:left="0" w:leftChars="0"/>
              <w:rPr>
                <w:rFonts w:hAnsi="宋体" w:cs="宋体"/>
              </w:rPr>
            </w:pPr>
          </w:p>
        </w:tc>
        <w:tc>
          <w:tcPr>
            <w:tcW w:w="1525" w:type="dxa"/>
            <w:vAlign w:val="center"/>
          </w:tcPr>
          <w:p>
            <w:pPr>
              <w:pStyle w:val="135"/>
              <w:spacing w:line="400" w:lineRule="exact"/>
              <w:ind w:left="0" w:leftChars="0"/>
              <w:rPr>
                <w:rFonts w:hAnsi="宋体" w:cs="宋体"/>
              </w:rPr>
            </w:pPr>
            <w:r>
              <w:rPr>
                <w:rFonts w:hint="eastAsia" w:hAnsi="宋体" w:cs="宋体"/>
              </w:rPr>
              <w:t>毕业学校</w:t>
            </w:r>
          </w:p>
        </w:tc>
        <w:tc>
          <w:tcPr>
            <w:tcW w:w="1331" w:type="dxa"/>
            <w:gridSpan w:val="2"/>
            <w:vAlign w:val="center"/>
          </w:tcPr>
          <w:p>
            <w:pPr>
              <w:pStyle w:val="135"/>
              <w:spacing w:line="400" w:lineRule="exact"/>
              <w:ind w:left="0" w:leftChars="0"/>
              <w:rPr>
                <w:rFonts w:hAnsi="宋体" w:cs="宋体"/>
              </w:rPr>
            </w:pPr>
          </w:p>
        </w:tc>
        <w:tc>
          <w:tcPr>
            <w:tcW w:w="1709" w:type="dxa"/>
            <w:vAlign w:val="center"/>
          </w:tcPr>
          <w:p>
            <w:pPr>
              <w:pStyle w:val="135"/>
              <w:spacing w:line="400" w:lineRule="exact"/>
              <w:ind w:left="0" w:leftChars="0"/>
              <w:rPr>
                <w:rFonts w:hAnsi="宋体" w:cs="宋体"/>
              </w:rPr>
            </w:pPr>
            <w:r>
              <w:rPr>
                <w:rFonts w:hint="eastAsia" w:hAnsi="宋体" w:cs="宋体"/>
              </w:rPr>
              <w:t>学历/专业</w:t>
            </w:r>
          </w:p>
        </w:tc>
        <w:tc>
          <w:tcPr>
            <w:tcW w:w="1139" w:type="dxa"/>
            <w:gridSpan w:val="2"/>
            <w:vAlign w:val="center"/>
          </w:tcPr>
          <w:p>
            <w:pPr>
              <w:pStyle w:val="135"/>
              <w:spacing w:line="400" w:lineRule="exact"/>
              <w:ind w:left="0" w:leftChars="0" w:firstLine="480" w:firstLineChars="200"/>
              <w:rPr>
                <w:rFonts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772" w:type="dxa"/>
            <w:gridSpan w:val="2"/>
            <w:vAlign w:val="center"/>
          </w:tcPr>
          <w:p>
            <w:pPr>
              <w:pStyle w:val="135"/>
              <w:spacing w:line="400" w:lineRule="exact"/>
              <w:ind w:left="0" w:leftChars="0"/>
              <w:rPr>
                <w:rFonts w:hAnsi="宋体" w:cs="宋体"/>
              </w:rPr>
            </w:pPr>
            <w:r>
              <w:rPr>
                <w:rFonts w:hint="eastAsia" w:hAnsi="宋体" w:cs="宋体"/>
              </w:rPr>
              <w:t>资格证书</w:t>
            </w:r>
          </w:p>
        </w:tc>
        <w:tc>
          <w:tcPr>
            <w:tcW w:w="1577" w:type="dxa"/>
            <w:vAlign w:val="center"/>
          </w:tcPr>
          <w:p>
            <w:pPr>
              <w:pStyle w:val="135"/>
              <w:spacing w:line="400" w:lineRule="exact"/>
              <w:ind w:left="0" w:leftChars="0"/>
              <w:rPr>
                <w:rFonts w:hAnsi="宋体" w:cs="宋体"/>
              </w:rPr>
            </w:pPr>
          </w:p>
        </w:tc>
        <w:tc>
          <w:tcPr>
            <w:tcW w:w="1525" w:type="dxa"/>
            <w:vAlign w:val="center"/>
          </w:tcPr>
          <w:p>
            <w:pPr>
              <w:pStyle w:val="135"/>
              <w:spacing w:line="400" w:lineRule="exact"/>
              <w:ind w:left="0" w:leftChars="0"/>
              <w:rPr>
                <w:rFonts w:hAnsi="宋体" w:cs="宋体"/>
              </w:rPr>
            </w:pPr>
            <w:r>
              <w:rPr>
                <w:rFonts w:hint="eastAsia" w:hAnsi="宋体" w:cs="宋体"/>
              </w:rPr>
              <w:t>注册时间</w:t>
            </w:r>
          </w:p>
        </w:tc>
        <w:tc>
          <w:tcPr>
            <w:tcW w:w="1331" w:type="dxa"/>
            <w:gridSpan w:val="2"/>
            <w:vAlign w:val="center"/>
          </w:tcPr>
          <w:p>
            <w:pPr>
              <w:pStyle w:val="135"/>
              <w:spacing w:line="400" w:lineRule="exact"/>
              <w:ind w:left="0" w:leftChars="0"/>
              <w:rPr>
                <w:rFonts w:hAnsi="宋体" w:cs="宋体"/>
              </w:rPr>
            </w:pPr>
          </w:p>
        </w:tc>
        <w:tc>
          <w:tcPr>
            <w:tcW w:w="1709" w:type="dxa"/>
            <w:vAlign w:val="center"/>
          </w:tcPr>
          <w:p>
            <w:pPr>
              <w:pStyle w:val="135"/>
              <w:spacing w:line="400" w:lineRule="exact"/>
              <w:ind w:left="0" w:leftChars="0"/>
              <w:rPr>
                <w:rFonts w:hAnsi="宋体" w:cs="宋体"/>
              </w:rPr>
            </w:pPr>
            <w:r>
              <w:rPr>
                <w:rFonts w:hint="eastAsia" w:hAnsi="宋体" w:cs="宋体"/>
              </w:rPr>
              <w:t>从业时间</w:t>
            </w:r>
          </w:p>
        </w:tc>
        <w:tc>
          <w:tcPr>
            <w:tcW w:w="1139" w:type="dxa"/>
            <w:gridSpan w:val="2"/>
            <w:vAlign w:val="center"/>
          </w:tcPr>
          <w:p>
            <w:pPr>
              <w:pStyle w:val="135"/>
              <w:spacing w:line="400" w:lineRule="exact"/>
              <w:ind w:left="0" w:leftChars="0" w:firstLine="480" w:firstLineChars="200"/>
              <w:rPr>
                <w:rFonts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3349" w:type="dxa"/>
            <w:gridSpan w:val="3"/>
            <w:vAlign w:val="center"/>
          </w:tcPr>
          <w:p>
            <w:pPr>
              <w:pStyle w:val="135"/>
              <w:spacing w:line="400" w:lineRule="exact"/>
              <w:ind w:left="0" w:leftChars="0"/>
              <w:rPr>
                <w:rFonts w:hAnsi="宋体" w:cs="宋体"/>
              </w:rPr>
            </w:pPr>
            <w:r>
              <w:rPr>
                <w:rFonts w:hint="eastAsia" w:hAnsi="宋体" w:cs="宋体"/>
              </w:rPr>
              <w:t>是否属供应商固定雇员</w:t>
            </w:r>
          </w:p>
        </w:tc>
        <w:tc>
          <w:tcPr>
            <w:tcW w:w="1525" w:type="dxa"/>
            <w:vAlign w:val="center"/>
          </w:tcPr>
          <w:p>
            <w:pPr>
              <w:pStyle w:val="135"/>
              <w:spacing w:line="400" w:lineRule="exact"/>
              <w:ind w:left="0" w:leftChars="0"/>
              <w:rPr>
                <w:rFonts w:hAnsi="宋体" w:cs="宋体"/>
              </w:rPr>
            </w:pPr>
          </w:p>
        </w:tc>
        <w:tc>
          <w:tcPr>
            <w:tcW w:w="3040" w:type="dxa"/>
            <w:gridSpan w:val="3"/>
            <w:vAlign w:val="center"/>
          </w:tcPr>
          <w:p>
            <w:pPr>
              <w:pStyle w:val="135"/>
              <w:spacing w:line="400" w:lineRule="exact"/>
              <w:ind w:left="0" w:leftChars="0"/>
              <w:rPr>
                <w:rFonts w:hAnsi="宋体" w:cs="宋体"/>
              </w:rPr>
            </w:pPr>
            <w:r>
              <w:rPr>
                <w:rFonts w:hint="eastAsia" w:hAnsi="宋体" w:cs="宋体"/>
              </w:rPr>
              <w:t>为供应商服务时间</w:t>
            </w:r>
          </w:p>
        </w:tc>
        <w:tc>
          <w:tcPr>
            <w:tcW w:w="1139" w:type="dxa"/>
            <w:gridSpan w:val="2"/>
            <w:vAlign w:val="center"/>
          </w:tcPr>
          <w:p>
            <w:pPr>
              <w:pStyle w:val="135"/>
              <w:spacing w:line="400" w:lineRule="exact"/>
              <w:ind w:left="0" w:leftChars="0" w:firstLine="480" w:firstLineChars="200"/>
              <w:rPr>
                <w:rFonts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349" w:type="dxa"/>
            <w:gridSpan w:val="3"/>
            <w:vAlign w:val="center"/>
          </w:tcPr>
          <w:p>
            <w:pPr>
              <w:pStyle w:val="135"/>
              <w:spacing w:line="400" w:lineRule="exact"/>
              <w:ind w:left="0" w:leftChars="0"/>
              <w:rPr>
                <w:rFonts w:hAnsi="宋体" w:cs="宋体"/>
              </w:rPr>
            </w:pPr>
            <w:r>
              <w:rPr>
                <w:rFonts w:hint="eastAsia" w:hAnsi="宋体" w:cs="宋体"/>
              </w:rPr>
              <w:t>拟在本项目担任职务</w:t>
            </w:r>
          </w:p>
        </w:tc>
        <w:tc>
          <w:tcPr>
            <w:tcW w:w="5704" w:type="dxa"/>
            <w:gridSpan w:val="6"/>
            <w:vAlign w:val="center"/>
          </w:tcPr>
          <w:p>
            <w:pPr>
              <w:pStyle w:val="135"/>
              <w:spacing w:line="400" w:lineRule="exact"/>
              <w:ind w:left="0" w:leftChars="0"/>
              <w:rPr>
                <w:rFonts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9053" w:type="dxa"/>
            <w:gridSpan w:val="9"/>
            <w:vAlign w:val="center"/>
          </w:tcPr>
          <w:p>
            <w:pPr>
              <w:pStyle w:val="135"/>
              <w:spacing w:line="400" w:lineRule="exact"/>
              <w:ind w:left="0" w:leftChars="0"/>
              <w:rPr>
                <w:rFonts w:hAnsi="宋体" w:cs="宋体"/>
              </w:rPr>
            </w:pPr>
            <w:r>
              <w:rPr>
                <w:rFonts w:hint="eastAsia" w:hAnsi="宋体" w:cs="宋体"/>
              </w:rPr>
              <w:t>教育和培训背景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0" w:hRule="atLeast"/>
        </w:trPr>
        <w:tc>
          <w:tcPr>
            <w:tcW w:w="9053" w:type="dxa"/>
            <w:gridSpan w:val="9"/>
          </w:tcPr>
          <w:p>
            <w:pPr>
              <w:pStyle w:val="135"/>
              <w:spacing w:line="400" w:lineRule="exact"/>
              <w:ind w:left="0" w:leftChars="0"/>
              <w:jc w:val="both"/>
              <w:rPr>
                <w:rFonts w:hAnsi="宋体" w:cs="宋体"/>
              </w:rPr>
            </w:pPr>
            <w:r>
              <w:rPr>
                <w:rFonts w:hint="eastAsia" w:hAnsi="宋体" w:cs="宋体"/>
              </w:rPr>
              <w:t>（教育背景从大学开始，包括毕业院校名称、专业、起始时间。培训填写与专业技术、业务有关的内容）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9053" w:type="dxa"/>
            <w:gridSpan w:val="9"/>
            <w:vAlign w:val="center"/>
          </w:tcPr>
          <w:p>
            <w:pPr>
              <w:pStyle w:val="135"/>
              <w:spacing w:line="400" w:lineRule="exact"/>
              <w:ind w:left="0" w:leftChars="0"/>
              <w:rPr>
                <w:rFonts w:hAnsi="宋体" w:cs="宋体"/>
              </w:rPr>
            </w:pPr>
            <w:r>
              <w:rPr>
                <w:rFonts w:hint="eastAsia" w:hAnsi="宋体" w:cs="宋体"/>
              </w:rPr>
              <w:t>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pPr>
              <w:pStyle w:val="135"/>
              <w:spacing w:line="400" w:lineRule="exact"/>
              <w:ind w:left="0" w:leftChars="0"/>
              <w:rPr>
                <w:rFonts w:hAnsi="宋体" w:cs="宋体"/>
              </w:rPr>
            </w:pPr>
            <w:r>
              <w:rPr>
                <w:rFonts w:hint="eastAsia" w:hAnsi="宋体" w:cs="宋体"/>
              </w:rPr>
              <w:t>时  间</w:t>
            </w:r>
          </w:p>
        </w:tc>
        <w:tc>
          <w:tcPr>
            <w:tcW w:w="3374" w:type="dxa"/>
            <w:gridSpan w:val="3"/>
            <w:vAlign w:val="center"/>
          </w:tcPr>
          <w:p>
            <w:pPr>
              <w:pStyle w:val="135"/>
              <w:spacing w:line="400" w:lineRule="exact"/>
              <w:ind w:left="0" w:leftChars="0"/>
              <w:rPr>
                <w:rFonts w:hAnsi="宋体" w:cs="宋体"/>
              </w:rPr>
            </w:pPr>
            <w:r>
              <w:rPr>
                <w:rFonts w:hint="eastAsia" w:hAnsi="宋体" w:cs="宋体"/>
              </w:rPr>
              <w:t>参加过的项目名称</w:t>
            </w:r>
          </w:p>
          <w:p>
            <w:pPr>
              <w:pStyle w:val="135"/>
              <w:spacing w:line="400" w:lineRule="exact"/>
              <w:ind w:left="0" w:leftChars="0"/>
              <w:rPr>
                <w:rFonts w:hAnsi="宋体" w:cs="宋体"/>
              </w:rPr>
            </w:pPr>
            <w:r>
              <w:rPr>
                <w:rFonts w:hint="eastAsia" w:hAnsi="宋体" w:cs="宋体"/>
              </w:rPr>
              <w:t>及当时所在单位</w:t>
            </w:r>
          </w:p>
        </w:tc>
        <w:tc>
          <w:tcPr>
            <w:tcW w:w="1286" w:type="dxa"/>
            <w:vAlign w:val="center"/>
          </w:tcPr>
          <w:p>
            <w:pPr>
              <w:pStyle w:val="135"/>
              <w:spacing w:line="400" w:lineRule="exact"/>
              <w:ind w:left="0" w:leftChars="0"/>
              <w:rPr>
                <w:rFonts w:hAnsi="宋体" w:cs="宋体"/>
              </w:rPr>
            </w:pPr>
            <w:r>
              <w:rPr>
                <w:rFonts w:hint="eastAsia" w:hAnsi="宋体" w:cs="宋体"/>
              </w:rPr>
              <w:t>担任何职</w:t>
            </w:r>
          </w:p>
        </w:tc>
        <w:tc>
          <w:tcPr>
            <w:tcW w:w="1761" w:type="dxa"/>
            <w:gridSpan w:val="3"/>
            <w:vAlign w:val="center"/>
          </w:tcPr>
          <w:p>
            <w:pPr>
              <w:pStyle w:val="135"/>
              <w:spacing w:line="400" w:lineRule="exact"/>
              <w:ind w:left="0" w:leftChars="0"/>
              <w:rPr>
                <w:rFonts w:hAnsi="宋体" w:cs="宋体"/>
              </w:rPr>
            </w:pPr>
            <w:r>
              <w:rPr>
                <w:rFonts w:hint="eastAsia" w:hAnsi="宋体" w:cs="宋体"/>
              </w:rPr>
              <w:t>主要工作内容</w:t>
            </w:r>
          </w:p>
        </w:tc>
        <w:tc>
          <w:tcPr>
            <w:tcW w:w="1132" w:type="dxa"/>
            <w:vAlign w:val="center"/>
          </w:tcPr>
          <w:p>
            <w:pPr>
              <w:pStyle w:val="135"/>
              <w:spacing w:line="400" w:lineRule="exact"/>
              <w:ind w:left="0" w:leftChars="0"/>
              <w:rPr>
                <w:rFonts w:hAnsi="宋体" w:cs="宋体"/>
              </w:rPr>
            </w:pPr>
            <w:r>
              <w:rPr>
                <w:rFonts w:hint="eastAsia" w:hAnsi="宋体" w:cs="宋体"/>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pPr>
              <w:pStyle w:val="135"/>
              <w:spacing w:line="400" w:lineRule="exact"/>
              <w:ind w:left="0" w:leftChars="0"/>
              <w:jc w:val="both"/>
              <w:rPr>
                <w:rFonts w:hAnsi="宋体" w:cs="宋体"/>
              </w:rPr>
            </w:pPr>
          </w:p>
        </w:tc>
        <w:tc>
          <w:tcPr>
            <w:tcW w:w="3374" w:type="dxa"/>
            <w:gridSpan w:val="3"/>
            <w:vAlign w:val="center"/>
          </w:tcPr>
          <w:p>
            <w:pPr>
              <w:pStyle w:val="135"/>
              <w:spacing w:line="400" w:lineRule="exact"/>
              <w:ind w:left="0" w:leftChars="0"/>
              <w:jc w:val="both"/>
              <w:rPr>
                <w:rFonts w:hAnsi="宋体" w:cs="宋体"/>
              </w:rPr>
            </w:pPr>
          </w:p>
        </w:tc>
        <w:tc>
          <w:tcPr>
            <w:tcW w:w="1286" w:type="dxa"/>
            <w:vAlign w:val="center"/>
          </w:tcPr>
          <w:p>
            <w:pPr>
              <w:pStyle w:val="135"/>
              <w:spacing w:line="400" w:lineRule="exact"/>
              <w:ind w:left="0" w:leftChars="0"/>
              <w:jc w:val="both"/>
              <w:rPr>
                <w:rFonts w:hAnsi="宋体" w:cs="宋体"/>
              </w:rPr>
            </w:pPr>
          </w:p>
        </w:tc>
        <w:tc>
          <w:tcPr>
            <w:tcW w:w="1761" w:type="dxa"/>
            <w:gridSpan w:val="3"/>
            <w:vAlign w:val="center"/>
          </w:tcPr>
          <w:p>
            <w:pPr>
              <w:pStyle w:val="135"/>
              <w:spacing w:line="400" w:lineRule="exact"/>
              <w:ind w:left="0" w:leftChars="0"/>
              <w:jc w:val="both"/>
              <w:rPr>
                <w:rFonts w:hAnsi="宋体" w:cs="宋体"/>
              </w:rPr>
            </w:pPr>
          </w:p>
        </w:tc>
        <w:tc>
          <w:tcPr>
            <w:tcW w:w="1132" w:type="dxa"/>
            <w:vAlign w:val="center"/>
          </w:tcPr>
          <w:p>
            <w:pPr>
              <w:pStyle w:val="135"/>
              <w:spacing w:line="400" w:lineRule="exact"/>
              <w:ind w:left="0" w:leftChars="0"/>
              <w:jc w:val="both"/>
              <w:rPr>
                <w:rFonts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00" w:type="dxa"/>
            <w:vAlign w:val="center"/>
          </w:tcPr>
          <w:p>
            <w:pPr>
              <w:pStyle w:val="135"/>
              <w:spacing w:line="400" w:lineRule="exact"/>
              <w:ind w:left="0" w:leftChars="0"/>
              <w:jc w:val="both"/>
              <w:rPr>
                <w:rFonts w:hAnsi="宋体" w:cs="宋体"/>
              </w:rPr>
            </w:pPr>
          </w:p>
        </w:tc>
        <w:tc>
          <w:tcPr>
            <w:tcW w:w="3374" w:type="dxa"/>
            <w:gridSpan w:val="3"/>
            <w:vAlign w:val="center"/>
          </w:tcPr>
          <w:p>
            <w:pPr>
              <w:pStyle w:val="135"/>
              <w:spacing w:line="400" w:lineRule="exact"/>
              <w:ind w:left="0" w:leftChars="0"/>
              <w:jc w:val="both"/>
              <w:rPr>
                <w:rFonts w:hAnsi="宋体" w:cs="宋体"/>
              </w:rPr>
            </w:pPr>
          </w:p>
        </w:tc>
        <w:tc>
          <w:tcPr>
            <w:tcW w:w="1286" w:type="dxa"/>
            <w:vAlign w:val="center"/>
          </w:tcPr>
          <w:p>
            <w:pPr>
              <w:pStyle w:val="135"/>
              <w:spacing w:line="400" w:lineRule="exact"/>
              <w:ind w:left="0" w:leftChars="0"/>
              <w:jc w:val="both"/>
              <w:rPr>
                <w:rFonts w:hAnsi="宋体" w:cs="宋体"/>
              </w:rPr>
            </w:pPr>
          </w:p>
        </w:tc>
        <w:tc>
          <w:tcPr>
            <w:tcW w:w="1761" w:type="dxa"/>
            <w:gridSpan w:val="3"/>
            <w:vAlign w:val="center"/>
          </w:tcPr>
          <w:p>
            <w:pPr>
              <w:pStyle w:val="135"/>
              <w:spacing w:line="400" w:lineRule="exact"/>
              <w:ind w:left="0" w:leftChars="0"/>
              <w:jc w:val="both"/>
              <w:rPr>
                <w:rFonts w:hAnsi="宋体" w:cs="宋体"/>
              </w:rPr>
            </w:pPr>
          </w:p>
        </w:tc>
        <w:tc>
          <w:tcPr>
            <w:tcW w:w="1132" w:type="dxa"/>
            <w:vAlign w:val="center"/>
          </w:tcPr>
          <w:p>
            <w:pPr>
              <w:pStyle w:val="135"/>
              <w:spacing w:line="400" w:lineRule="exact"/>
              <w:ind w:left="0" w:leftChars="0"/>
              <w:jc w:val="both"/>
              <w:rPr>
                <w:rFonts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pPr>
              <w:pStyle w:val="135"/>
              <w:spacing w:line="400" w:lineRule="exact"/>
              <w:ind w:left="0" w:leftChars="0"/>
              <w:jc w:val="both"/>
              <w:rPr>
                <w:rFonts w:hAnsi="宋体" w:cs="宋体"/>
              </w:rPr>
            </w:pPr>
          </w:p>
        </w:tc>
        <w:tc>
          <w:tcPr>
            <w:tcW w:w="3374" w:type="dxa"/>
            <w:gridSpan w:val="3"/>
            <w:vAlign w:val="center"/>
          </w:tcPr>
          <w:p>
            <w:pPr>
              <w:pStyle w:val="135"/>
              <w:spacing w:line="400" w:lineRule="exact"/>
              <w:ind w:left="0" w:leftChars="0"/>
              <w:jc w:val="both"/>
              <w:rPr>
                <w:rFonts w:hAnsi="宋体" w:cs="宋体"/>
              </w:rPr>
            </w:pPr>
          </w:p>
        </w:tc>
        <w:tc>
          <w:tcPr>
            <w:tcW w:w="1286" w:type="dxa"/>
            <w:vAlign w:val="center"/>
          </w:tcPr>
          <w:p>
            <w:pPr>
              <w:pStyle w:val="135"/>
              <w:spacing w:line="400" w:lineRule="exact"/>
              <w:ind w:left="0" w:leftChars="0"/>
              <w:jc w:val="both"/>
              <w:rPr>
                <w:rFonts w:hAnsi="宋体" w:cs="宋体"/>
              </w:rPr>
            </w:pPr>
          </w:p>
        </w:tc>
        <w:tc>
          <w:tcPr>
            <w:tcW w:w="1761" w:type="dxa"/>
            <w:gridSpan w:val="3"/>
            <w:vAlign w:val="center"/>
          </w:tcPr>
          <w:p>
            <w:pPr>
              <w:pStyle w:val="135"/>
              <w:spacing w:line="400" w:lineRule="exact"/>
              <w:ind w:left="0" w:leftChars="0"/>
              <w:jc w:val="both"/>
              <w:rPr>
                <w:rFonts w:hAnsi="宋体" w:cs="宋体"/>
              </w:rPr>
            </w:pPr>
          </w:p>
        </w:tc>
        <w:tc>
          <w:tcPr>
            <w:tcW w:w="1132" w:type="dxa"/>
            <w:vAlign w:val="center"/>
          </w:tcPr>
          <w:p>
            <w:pPr>
              <w:pStyle w:val="135"/>
              <w:spacing w:line="400" w:lineRule="exact"/>
              <w:ind w:left="0" w:leftChars="0"/>
              <w:jc w:val="both"/>
              <w:rPr>
                <w:rFonts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pPr>
              <w:pStyle w:val="135"/>
              <w:spacing w:line="400" w:lineRule="exact"/>
              <w:ind w:left="0" w:leftChars="0"/>
              <w:jc w:val="both"/>
              <w:rPr>
                <w:rFonts w:hAnsi="宋体" w:cs="宋体"/>
              </w:rPr>
            </w:pPr>
          </w:p>
        </w:tc>
        <w:tc>
          <w:tcPr>
            <w:tcW w:w="3374" w:type="dxa"/>
            <w:gridSpan w:val="3"/>
            <w:vAlign w:val="center"/>
          </w:tcPr>
          <w:p>
            <w:pPr>
              <w:pStyle w:val="135"/>
              <w:spacing w:line="400" w:lineRule="exact"/>
              <w:ind w:left="0" w:leftChars="0"/>
              <w:jc w:val="both"/>
              <w:rPr>
                <w:rFonts w:hAnsi="宋体" w:cs="宋体"/>
              </w:rPr>
            </w:pPr>
          </w:p>
        </w:tc>
        <w:tc>
          <w:tcPr>
            <w:tcW w:w="1286" w:type="dxa"/>
            <w:vAlign w:val="center"/>
          </w:tcPr>
          <w:p>
            <w:pPr>
              <w:pStyle w:val="135"/>
              <w:spacing w:line="400" w:lineRule="exact"/>
              <w:ind w:left="0" w:leftChars="0"/>
              <w:jc w:val="both"/>
              <w:rPr>
                <w:rFonts w:hAnsi="宋体" w:cs="宋体"/>
              </w:rPr>
            </w:pPr>
          </w:p>
        </w:tc>
        <w:tc>
          <w:tcPr>
            <w:tcW w:w="1761" w:type="dxa"/>
            <w:gridSpan w:val="3"/>
            <w:vAlign w:val="center"/>
          </w:tcPr>
          <w:p>
            <w:pPr>
              <w:pStyle w:val="135"/>
              <w:spacing w:line="400" w:lineRule="exact"/>
              <w:ind w:left="0" w:leftChars="0"/>
              <w:jc w:val="both"/>
              <w:rPr>
                <w:rFonts w:hAnsi="宋体" w:cs="宋体"/>
              </w:rPr>
            </w:pPr>
          </w:p>
        </w:tc>
        <w:tc>
          <w:tcPr>
            <w:tcW w:w="1132" w:type="dxa"/>
            <w:vAlign w:val="center"/>
          </w:tcPr>
          <w:p>
            <w:pPr>
              <w:pStyle w:val="135"/>
              <w:spacing w:line="400" w:lineRule="exact"/>
              <w:ind w:left="0" w:leftChars="0"/>
              <w:jc w:val="both"/>
              <w:rPr>
                <w:rFonts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pPr>
              <w:pStyle w:val="135"/>
              <w:spacing w:line="400" w:lineRule="exact"/>
              <w:ind w:left="0" w:leftChars="0" w:firstLine="480" w:firstLineChars="200"/>
              <w:jc w:val="both"/>
              <w:rPr>
                <w:rFonts w:hAnsi="宋体" w:cs="宋体"/>
              </w:rPr>
            </w:pPr>
          </w:p>
        </w:tc>
        <w:tc>
          <w:tcPr>
            <w:tcW w:w="3374" w:type="dxa"/>
            <w:gridSpan w:val="3"/>
            <w:vAlign w:val="center"/>
          </w:tcPr>
          <w:p>
            <w:pPr>
              <w:pStyle w:val="135"/>
              <w:spacing w:line="400" w:lineRule="exact"/>
              <w:ind w:left="0" w:leftChars="0" w:firstLine="480" w:firstLineChars="200"/>
              <w:jc w:val="both"/>
              <w:rPr>
                <w:rFonts w:hAnsi="宋体" w:cs="宋体"/>
              </w:rPr>
            </w:pPr>
          </w:p>
        </w:tc>
        <w:tc>
          <w:tcPr>
            <w:tcW w:w="1286" w:type="dxa"/>
            <w:vAlign w:val="center"/>
          </w:tcPr>
          <w:p>
            <w:pPr>
              <w:pStyle w:val="135"/>
              <w:spacing w:line="400" w:lineRule="exact"/>
              <w:ind w:left="0" w:leftChars="0" w:firstLine="480" w:firstLineChars="200"/>
              <w:jc w:val="both"/>
              <w:rPr>
                <w:rFonts w:hAnsi="宋体" w:cs="宋体"/>
              </w:rPr>
            </w:pPr>
          </w:p>
        </w:tc>
        <w:tc>
          <w:tcPr>
            <w:tcW w:w="1761" w:type="dxa"/>
            <w:gridSpan w:val="3"/>
            <w:vAlign w:val="center"/>
          </w:tcPr>
          <w:p>
            <w:pPr>
              <w:pStyle w:val="135"/>
              <w:spacing w:line="400" w:lineRule="exact"/>
              <w:ind w:left="0" w:leftChars="0" w:firstLine="480" w:firstLineChars="200"/>
              <w:jc w:val="both"/>
              <w:rPr>
                <w:rFonts w:hAnsi="宋体" w:cs="宋体"/>
              </w:rPr>
            </w:pPr>
          </w:p>
        </w:tc>
        <w:tc>
          <w:tcPr>
            <w:tcW w:w="1132" w:type="dxa"/>
            <w:vAlign w:val="center"/>
          </w:tcPr>
          <w:p>
            <w:pPr>
              <w:pStyle w:val="135"/>
              <w:spacing w:line="400" w:lineRule="exact"/>
              <w:ind w:left="0" w:leftChars="0" w:firstLine="480" w:firstLineChars="200"/>
              <w:jc w:val="both"/>
              <w:rPr>
                <w:rFonts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500" w:type="dxa"/>
            <w:vAlign w:val="center"/>
          </w:tcPr>
          <w:p>
            <w:pPr>
              <w:pStyle w:val="135"/>
              <w:spacing w:line="400" w:lineRule="exact"/>
              <w:ind w:left="0" w:leftChars="0" w:firstLine="480" w:firstLineChars="200"/>
              <w:jc w:val="both"/>
              <w:rPr>
                <w:rFonts w:hAnsi="宋体" w:cs="宋体"/>
              </w:rPr>
            </w:pPr>
          </w:p>
        </w:tc>
        <w:tc>
          <w:tcPr>
            <w:tcW w:w="3374" w:type="dxa"/>
            <w:gridSpan w:val="3"/>
            <w:vAlign w:val="center"/>
          </w:tcPr>
          <w:p>
            <w:pPr>
              <w:pStyle w:val="135"/>
              <w:spacing w:line="400" w:lineRule="exact"/>
              <w:ind w:left="0" w:leftChars="0" w:firstLine="480" w:firstLineChars="200"/>
              <w:jc w:val="both"/>
              <w:rPr>
                <w:rFonts w:hAnsi="宋体" w:cs="宋体"/>
              </w:rPr>
            </w:pPr>
          </w:p>
        </w:tc>
        <w:tc>
          <w:tcPr>
            <w:tcW w:w="1286" w:type="dxa"/>
            <w:vAlign w:val="center"/>
          </w:tcPr>
          <w:p>
            <w:pPr>
              <w:pStyle w:val="135"/>
              <w:spacing w:line="400" w:lineRule="exact"/>
              <w:ind w:left="0" w:leftChars="0" w:firstLine="480" w:firstLineChars="200"/>
              <w:jc w:val="both"/>
              <w:rPr>
                <w:rFonts w:hAnsi="宋体" w:cs="宋体"/>
              </w:rPr>
            </w:pPr>
          </w:p>
        </w:tc>
        <w:tc>
          <w:tcPr>
            <w:tcW w:w="1761" w:type="dxa"/>
            <w:gridSpan w:val="3"/>
            <w:vAlign w:val="center"/>
          </w:tcPr>
          <w:p>
            <w:pPr>
              <w:pStyle w:val="135"/>
              <w:spacing w:line="400" w:lineRule="exact"/>
              <w:ind w:left="0" w:leftChars="0" w:firstLine="480" w:firstLineChars="200"/>
              <w:jc w:val="both"/>
              <w:rPr>
                <w:rFonts w:hAnsi="宋体" w:cs="宋体"/>
              </w:rPr>
            </w:pPr>
          </w:p>
        </w:tc>
        <w:tc>
          <w:tcPr>
            <w:tcW w:w="1132" w:type="dxa"/>
            <w:vAlign w:val="center"/>
          </w:tcPr>
          <w:p>
            <w:pPr>
              <w:pStyle w:val="135"/>
              <w:spacing w:line="400" w:lineRule="exact"/>
              <w:ind w:left="0" w:leftChars="0" w:firstLine="480" w:firstLineChars="200"/>
              <w:jc w:val="both"/>
              <w:rPr>
                <w:rFonts w:hAnsi="宋体" w:cs="宋体"/>
              </w:rPr>
            </w:pPr>
          </w:p>
        </w:tc>
      </w:tr>
    </w:tbl>
    <w:p>
      <w:pPr>
        <w:pStyle w:val="173"/>
        <w:tabs>
          <w:tab w:val="left" w:pos="2040"/>
        </w:tabs>
        <w:spacing w:beforeLines="0" w:line="400" w:lineRule="exact"/>
        <w:ind w:left="0" w:firstLine="480" w:firstLineChars="200"/>
        <w:rPr>
          <w:rFonts w:hAnsi="宋体" w:eastAsia="宋体" w:cs="宋体"/>
          <w:color w:val="auto"/>
          <w:szCs w:val="21"/>
        </w:rPr>
      </w:pPr>
    </w:p>
    <w:p>
      <w:pPr>
        <w:pStyle w:val="173"/>
        <w:tabs>
          <w:tab w:val="left" w:pos="2040"/>
        </w:tabs>
        <w:spacing w:beforeLines="0" w:line="400" w:lineRule="exact"/>
        <w:ind w:left="0" w:firstLine="480" w:firstLineChars="200"/>
        <w:rPr>
          <w:rFonts w:hAnsi="宋体" w:eastAsia="宋体" w:cs="宋体"/>
          <w:color w:val="auto"/>
        </w:rPr>
      </w:pPr>
      <w:r>
        <w:rPr>
          <w:rFonts w:hint="eastAsia" w:hAnsi="宋体" w:eastAsia="宋体" w:cs="宋体"/>
          <w:color w:val="auto"/>
          <w:szCs w:val="21"/>
        </w:rPr>
        <w:t>注：</w:t>
      </w:r>
      <w:r>
        <w:rPr>
          <w:rFonts w:hint="eastAsia" w:hAnsi="宋体" w:eastAsia="宋体" w:cs="宋体"/>
          <w:color w:val="auto"/>
        </w:rPr>
        <w:t>表后附身份证、毕业证、职称证、执业资格证、获奖证书（如果有）复印件。</w:t>
      </w:r>
    </w:p>
    <w:p>
      <w:pPr>
        <w:rPr>
          <w:rFonts w:hAnsi="宋体" w:cs="宋体"/>
        </w:rPr>
      </w:pPr>
    </w:p>
    <w:p>
      <w:pPr>
        <w:pStyle w:val="4"/>
        <w:keepNext w:val="0"/>
        <w:keepLines w:val="0"/>
        <w:widowControl w:val="0"/>
        <w:spacing w:before="166" w:beforeLines="50" w:after="0" w:line="360" w:lineRule="auto"/>
        <w:ind w:left="0"/>
        <w:jc w:val="center"/>
        <w:rPr>
          <w:rFonts w:ascii="宋体" w:hAnsi="宋体" w:cs="宋体"/>
          <w:sz w:val="32"/>
        </w:rPr>
      </w:pPr>
      <w:bookmarkStart w:id="271" w:name="_Toc403077655"/>
      <w:bookmarkStart w:id="272" w:name="_Toc426457713"/>
      <w:bookmarkStart w:id="273" w:name="_Toc363474032"/>
      <w:bookmarkStart w:id="274" w:name="_Toc1379"/>
      <w:bookmarkStart w:id="275" w:name="_Toc23455"/>
      <w:bookmarkStart w:id="276" w:name="_Toc21284"/>
      <w:bookmarkStart w:id="277" w:name="_Toc9218"/>
      <w:bookmarkStart w:id="278" w:name="_Toc2621"/>
      <w:bookmarkStart w:id="279" w:name="_Toc3362"/>
      <w:r>
        <w:rPr>
          <w:rFonts w:hint="eastAsia" w:ascii="宋体" w:hAnsi="宋体" w:cs="宋体"/>
          <w:sz w:val="32"/>
        </w:rPr>
        <w:br w:type="page"/>
      </w:r>
      <w:bookmarkStart w:id="280" w:name="_Toc18288"/>
      <w:bookmarkStart w:id="281" w:name="_Toc10895"/>
      <w:r>
        <w:rPr>
          <w:rFonts w:hint="eastAsia" w:ascii="宋体" w:hAnsi="宋体" w:cs="宋体"/>
          <w:sz w:val="32"/>
        </w:rPr>
        <w:t>四、</w:t>
      </w:r>
      <w:bookmarkEnd w:id="271"/>
      <w:bookmarkEnd w:id="272"/>
      <w:bookmarkEnd w:id="273"/>
      <w:bookmarkEnd w:id="274"/>
      <w:bookmarkEnd w:id="275"/>
      <w:bookmarkEnd w:id="276"/>
      <w:bookmarkEnd w:id="277"/>
      <w:bookmarkEnd w:id="278"/>
      <w:r>
        <w:rPr>
          <w:rFonts w:hint="eastAsia" w:ascii="宋体" w:hAnsi="宋体" w:cs="宋体"/>
          <w:sz w:val="32"/>
        </w:rPr>
        <w:t>商务条款偏离表</w:t>
      </w:r>
      <w:bookmarkEnd w:id="279"/>
      <w:bookmarkEnd w:id="280"/>
      <w:bookmarkEnd w:id="281"/>
    </w:p>
    <w:tbl>
      <w:tblPr>
        <w:tblStyle w:val="46"/>
        <w:tblW w:w="9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935"/>
        <w:gridCol w:w="1995"/>
        <w:gridCol w:w="2085"/>
        <w:gridCol w:w="1260"/>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jc w:val="center"/>
              <w:rPr>
                <w:rFonts w:cs="宋体"/>
              </w:rPr>
            </w:pPr>
            <w:r>
              <w:rPr>
                <w:rFonts w:hint="eastAsia" w:cs="宋体"/>
              </w:rPr>
              <w:t>序号</w:t>
            </w:r>
          </w:p>
        </w:tc>
        <w:tc>
          <w:tcPr>
            <w:tcW w:w="1935"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jc w:val="center"/>
              <w:rPr>
                <w:rFonts w:cs="宋体"/>
              </w:rPr>
            </w:pPr>
            <w:r>
              <w:rPr>
                <w:rFonts w:hint="eastAsia" w:cs="宋体"/>
              </w:rPr>
              <w:t>招标文件条目号</w:t>
            </w:r>
          </w:p>
        </w:tc>
        <w:tc>
          <w:tcPr>
            <w:tcW w:w="1995"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jc w:val="center"/>
              <w:rPr>
                <w:rFonts w:cs="宋体"/>
              </w:rPr>
            </w:pPr>
            <w:r>
              <w:rPr>
                <w:rFonts w:hint="eastAsia" w:cs="宋体"/>
              </w:rPr>
              <w:t>招标文件的商务条款</w:t>
            </w:r>
          </w:p>
        </w:tc>
        <w:tc>
          <w:tcPr>
            <w:tcW w:w="2085"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jc w:val="center"/>
              <w:rPr>
                <w:rFonts w:cs="宋体"/>
              </w:rPr>
            </w:pPr>
            <w:r>
              <w:rPr>
                <w:rFonts w:hint="eastAsia" w:cs="宋体"/>
              </w:rPr>
              <w:t>投标文件的商务条款</w:t>
            </w:r>
          </w:p>
        </w:tc>
        <w:tc>
          <w:tcPr>
            <w:tcW w:w="1260"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jc w:val="center"/>
              <w:rPr>
                <w:rFonts w:cs="宋体"/>
              </w:rPr>
            </w:pPr>
            <w:r>
              <w:rPr>
                <w:rFonts w:hint="eastAsia" w:cs="宋体"/>
              </w:rPr>
              <w:t>偏离</w:t>
            </w:r>
          </w:p>
        </w:tc>
        <w:tc>
          <w:tcPr>
            <w:tcW w:w="944"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jc w:val="center"/>
              <w:rPr>
                <w:rFonts w:cs="宋体"/>
              </w:rPr>
            </w:pPr>
            <w:r>
              <w:rPr>
                <w:rFonts w:hint="eastAsia" w:cs="宋体"/>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1935"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1995"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2085"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1935"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1995"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2085"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1935"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1995"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2085"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1935"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1995"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2085"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1935"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1995"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2085"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1935"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1995"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2085"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1935"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1995"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2085"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1260"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c>
          <w:tcPr>
            <w:tcW w:w="944" w:type="dxa"/>
            <w:tcBorders>
              <w:top w:val="single" w:color="auto" w:sz="4" w:space="0"/>
              <w:left w:val="single" w:color="auto" w:sz="4" w:space="0"/>
              <w:bottom w:val="single" w:color="auto" w:sz="4" w:space="0"/>
              <w:right w:val="single" w:color="auto" w:sz="4" w:space="0"/>
            </w:tcBorders>
            <w:vAlign w:val="center"/>
          </w:tcPr>
          <w:p>
            <w:pPr>
              <w:pStyle w:val="42"/>
              <w:widowControl w:val="0"/>
              <w:spacing w:before="0" w:beforeAutospacing="0" w:after="0" w:afterAutospacing="0"/>
              <w:ind w:firstLine="480" w:firstLineChars="200"/>
              <w:jc w:val="center"/>
              <w:rPr>
                <w:rFonts w:cs="宋体"/>
              </w:rPr>
            </w:pPr>
          </w:p>
        </w:tc>
      </w:tr>
    </w:tbl>
    <w:p>
      <w:pPr>
        <w:pStyle w:val="42"/>
        <w:widowControl w:val="0"/>
        <w:spacing w:before="0" w:beforeAutospacing="0" w:after="0" w:afterAutospacing="0"/>
        <w:rPr>
          <w:rFonts w:cs="宋体"/>
        </w:rPr>
      </w:pPr>
      <w:r>
        <w:rPr>
          <w:rFonts w:hint="eastAsia" w:cs="宋体"/>
        </w:rPr>
        <w:t>说明：</w:t>
      </w:r>
    </w:p>
    <w:p>
      <w:pPr>
        <w:pStyle w:val="42"/>
        <w:widowControl w:val="0"/>
        <w:spacing w:before="0" w:beforeAutospacing="0" w:after="0" w:afterAutospacing="0" w:line="500" w:lineRule="exact"/>
        <w:ind w:firstLine="482" w:firstLineChars="200"/>
        <w:jc w:val="both"/>
        <w:rPr>
          <w:rFonts w:cs="宋体"/>
          <w:b/>
          <w:bCs/>
        </w:rPr>
      </w:pPr>
      <w:r>
        <w:rPr>
          <w:rFonts w:hint="eastAsia" w:cs="宋体"/>
          <w:b/>
          <w:bCs/>
        </w:rPr>
        <w:t>1、本表只填写投标文件中与招标文件有偏离（包括正偏离和负偏离）的内容，投标文件中商务响应与招标文件要求完全一致的，不用在此表中列出，但必须提交空白表。</w:t>
      </w:r>
    </w:p>
    <w:p>
      <w:pPr>
        <w:pStyle w:val="42"/>
        <w:widowControl w:val="0"/>
        <w:spacing w:before="0" w:beforeAutospacing="0" w:after="0" w:afterAutospacing="0" w:line="500" w:lineRule="exact"/>
        <w:ind w:firstLine="480" w:firstLineChars="200"/>
        <w:rPr>
          <w:rFonts w:cs="宋体"/>
        </w:rPr>
      </w:pPr>
      <w:r>
        <w:rPr>
          <w:rFonts w:hint="eastAsia" w:cs="宋体"/>
        </w:rPr>
        <w:t>2、供应商必须据实填写，不得虚假响应，否则将取消其投标或中标资格，并按有关规定进处罚。</w:t>
      </w:r>
    </w:p>
    <w:p>
      <w:pPr>
        <w:pStyle w:val="42"/>
        <w:widowControl w:val="0"/>
        <w:spacing w:before="0" w:beforeAutospacing="0" w:after="0" w:afterAutospacing="0"/>
        <w:ind w:firstLine="480" w:firstLineChars="200"/>
        <w:jc w:val="center"/>
        <w:rPr>
          <w:rFonts w:cs="宋体"/>
        </w:rPr>
      </w:pPr>
    </w:p>
    <w:p>
      <w:pPr>
        <w:pStyle w:val="42"/>
        <w:widowControl w:val="0"/>
        <w:spacing w:before="0" w:beforeAutospacing="0" w:after="0" w:afterAutospacing="0"/>
        <w:ind w:firstLine="480" w:firstLineChars="200"/>
        <w:rPr>
          <w:rFonts w:cs="宋体"/>
        </w:rPr>
      </w:pPr>
      <w:r>
        <w:rPr>
          <w:rFonts w:hint="eastAsia" w:cs="宋体"/>
        </w:rPr>
        <w:t>供应商名称：</w:t>
      </w:r>
      <w:r>
        <w:rPr>
          <w:rFonts w:hint="eastAsia" w:cs="宋体"/>
          <w:u w:val="single"/>
        </w:rPr>
        <w:t xml:space="preserve">                     </w:t>
      </w:r>
      <w:r>
        <w:rPr>
          <w:rFonts w:hint="eastAsia" w:cs="宋体"/>
        </w:rPr>
        <w:t>（盖单位公章）</w:t>
      </w:r>
    </w:p>
    <w:p>
      <w:pPr>
        <w:pStyle w:val="42"/>
        <w:widowControl w:val="0"/>
        <w:spacing w:before="0" w:beforeAutospacing="0" w:after="0" w:afterAutospacing="0"/>
        <w:ind w:firstLine="480" w:firstLineChars="200"/>
        <w:jc w:val="center"/>
        <w:rPr>
          <w:rFonts w:cs="宋体"/>
        </w:rPr>
      </w:pPr>
    </w:p>
    <w:p>
      <w:pPr>
        <w:spacing w:line="500" w:lineRule="exact"/>
        <w:ind w:firstLine="496" w:firstLineChars="200"/>
        <w:jc w:val="left"/>
        <w:rPr>
          <w:rFonts w:hAnsi="宋体" w:cs="宋体"/>
          <w:spacing w:val="4"/>
        </w:rPr>
      </w:pPr>
      <w:r>
        <w:rPr>
          <w:rFonts w:hint="eastAsia" w:hAnsi="宋体" w:cs="宋体"/>
          <w:spacing w:val="4"/>
        </w:rPr>
        <w:t>法定代表人或被授权人：</w:t>
      </w:r>
      <w:r>
        <w:rPr>
          <w:rFonts w:hint="eastAsia" w:hAnsi="宋体" w:cs="宋体"/>
          <w:spacing w:val="4"/>
          <w:u w:val="single"/>
        </w:rPr>
        <w:t xml:space="preserve">      </w:t>
      </w:r>
      <w:r>
        <w:rPr>
          <w:rFonts w:hint="eastAsia" w:hAnsi="宋体" w:cs="宋体"/>
          <w:spacing w:val="4"/>
        </w:rPr>
        <w:t>（签字或盖章）</w:t>
      </w:r>
    </w:p>
    <w:p>
      <w:pPr>
        <w:pStyle w:val="42"/>
        <w:widowControl w:val="0"/>
        <w:spacing w:before="0" w:beforeAutospacing="0" w:after="0" w:afterAutospacing="0"/>
        <w:ind w:firstLine="480" w:firstLineChars="200"/>
        <w:rPr>
          <w:rFonts w:cs="宋体"/>
        </w:rPr>
      </w:pPr>
      <w:r>
        <w:rPr>
          <w:rFonts w:hint="eastAsia" w:cs="宋体"/>
        </w:rPr>
        <w:t xml:space="preserve">      </w:t>
      </w:r>
    </w:p>
    <w:p>
      <w:pPr>
        <w:spacing w:line="520" w:lineRule="exact"/>
        <w:ind w:firstLine="480" w:firstLineChars="200"/>
        <w:rPr>
          <w:rFonts w:hAnsi="宋体" w:cs="宋体"/>
          <w:szCs w:val="24"/>
        </w:rPr>
      </w:pPr>
      <w:r>
        <w:rPr>
          <w:rFonts w:hint="eastAsia" w:hAnsi="宋体" w:cs="宋体"/>
          <w:szCs w:val="24"/>
        </w:rPr>
        <w:t>日      期：      年   月    日</w:t>
      </w:r>
    </w:p>
    <w:p>
      <w:pPr>
        <w:spacing w:line="500" w:lineRule="exact"/>
        <w:jc w:val="center"/>
        <w:outlineLvl w:val="1"/>
        <w:rPr>
          <w:rFonts w:hAnsi="宋体" w:cs="宋体"/>
          <w:b/>
          <w:bCs/>
          <w:sz w:val="30"/>
          <w:szCs w:val="30"/>
          <w:lang w:val="zh-CN"/>
        </w:rPr>
      </w:pPr>
      <w:r>
        <w:rPr>
          <w:rFonts w:hint="eastAsia" w:hAnsi="宋体" w:cs="宋体"/>
        </w:rPr>
        <w:br w:type="page"/>
      </w:r>
      <w:bookmarkStart w:id="282" w:name="_Toc10346"/>
      <w:bookmarkStart w:id="283" w:name="_Toc14939"/>
      <w:bookmarkStart w:id="284" w:name="_Toc10058"/>
      <w:bookmarkStart w:id="285" w:name="_Toc363474033"/>
      <w:bookmarkStart w:id="286" w:name="_Toc10179"/>
      <w:bookmarkStart w:id="287" w:name="_Toc6432"/>
      <w:bookmarkStart w:id="288" w:name="_Toc8692"/>
      <w:bookmarkStart w:id="289" w:name="_Toc426457714"/>
      <w:bookmarkStart w:id="290" w:name="_Toc6862"/>
      <w:bookmarkStart w:id="291" w:name="_Toc403077656"/>
      <w:r>
        <w:rPr>
          <w:rFonts w:hint="eastAsia" w:hAnsi="宋体" w:cs="宋体"/>
          <w:b/>
          <w:bCs/>
          <w:sz w:val="30"/>
          <w:szCs w:val="30"/>
        </w:rPr>
        <w:t>五、</w:t>
      </w:r>
      <w:r>
        <w:rPr>
          <w:rFonts w:hint="eastAsia" w:hAnsi="宋体" w:cs="宋体"/>
          <w:b/>
          <w:bCs/>
          <w:sz w:val="30"/>
          <w:szCs w:val="30"/>
          <w:lang w:val="zh-CN"/>
        </w:rPr>
        <w:t>供应商承诺书</w:t>
      </w:r>
      <w:bookmarkEnd w:id="282"/>
      <w:bookmarkEnd w:id="283"/>
    </w:p>
    <w:p>
      <w:pPr>
        <w:spacing w:before="166" w:beforeLines="50" w:line="360" w:lineRule="auto"/>
        <w:jc w:val="center"/>
        <w:rPr>
          <w:rFonts w:hAnsi="宋体" w:cs="宋体"/>
          <w:b/>
          <w:bCs/>
          <w:sz w:val="30"/>
          <w:szCs w:val="30"/>
        </w:rPr>
      </w:pPr>
      <w:r>
        <w:rPr>
          <w:rFonts w:hint="eastAsia" w:hAnsi="宋体" w:cs="宋体"/>
          <w:b/>
          <w:bCs/>
          <w:sz w:val="30"/>
          <w:szCs w:val="30"/>
        </w:rPr>
        <w:t>5.1陕西省政府采购供应商拒绝政府采购领域商业贿赂承诺书</w:t>
      </w:r>
      <w:bookmarkEnd w:id="284"/>
      <w:bookmarkEnd w:id="285"/>
      <w:bookmarkEnd w:id="286"/>
      <w:bookmarkEnd w:id="287"/>
      <w:bookmarkEnd w:id="288"/>
      <w:bookmarkEnd w:id="289"/>
      <w:bookmarkEnd w:id="290"/>
      <w:bookmarkEnd w:id="291"/>
    </w:p>
    <w:p>
      <w:pPr>
        <w:widowControl/>
        <w:spacing w:line="408" w:lineRule="auto"/>
        <w:ind w:firstLine="480" w:firstLineChars="200"/>
        <w:jc w:val="left"/>
        <w:rPr>
          <w:rFonts w:hAnsi="宋体" w:cs="宋体"/>
        </w:rPr>
      </w:pPr>
      <w:r>
        <w:rPr>
          <w:rFonts w:hint="eastAsia" w:hAnsi="宋体" w:cs="宋体"/>
        </w:rPr>
        <w:t>为响应党中央、国务院关于治理政府采购领域商业贿赂行为的号召，我公司在此庄严承诺：</w:t>
      </w:r>
    </w:p>
    <w:p>
      <w:pPr>
        <w:widowControl/>
        <w:numPr>
          <w:ilvl w:val="0"/>
          <w:numId w:val="18"/>
        </w:numPr>
        <w:spacing w:line="408" w:lineRule="auto"/>
        <w:ind w:firstLine="480" w:firstLineChars="200"/>
        <w:jc w:val="left"/>
        <w:rPr>
          <w:rFonts w:hAnsi="宋体" w:cs="宋体"/>
        </w:rPr>
      </w:pPr>
      <w:r>
        <w:rPr>
          <w:rFonts w:hint="eastAsia" w:hAnsi="宋体" w:cs="宋体"/>
        </w:rPr>
        <w:t>在参与政府采购活动中遵纪守法、诚信经营、公平竞标。</w:t>
      </w:r>
    </w:p>
    <w:p>
      <w:pPr>
        <w:widowControl/>
        <w:numPr>
          <w:ilvl w:val="0"/>
          <w:numId w:val="18"/>
        </w:numPr>
        <w:spacing w:line="408" w:lineRule="auto"/>
        <w:ind w:firstLine="480" w:firstLineChars="200"/>
        <w:jc w:val="left"/>
        <w:rPr>
          <w:rFonts w:hAnsi="宋体" w:cs="宋体"/>
        </w:rPr>
      </w:pPr>
      <w:r>
        <w:rPr>
          <w:rFonts w:hint="eastAsia" w:hAnsi="宋体" w:cs="宋体"/>
        </w:rPr>
        <w:t>不向政府采购人、采购代理机构和政府采购评审专家进行任何形式的商业贿赂以谋取交易机会。</w:t>
      </w:r>
    </w:p>
    <w:p>
      <w:pPr>
        <w:widowControl/>
        <w:numPr>
          <w:ilvl w:val="0"/>
          <w:numId w:val="18"/>
        </w:numPr>
        <w:spacing w:line="408" w:lineRule="auto"/>
        <w:ind w:firstLine="480" w:firstLineChars="200"/>
        <w:jc w:val="left"/>
        <w:rPr>
          <w:rFonts w:hAnsi="宋体" w:cs="宋体"/>
        </w:rPr>
      </w:pPr>
      <w:r>
        <w:rPr>
          <w:rFonts w:hint="eastAsia" w:hAnsi="宋体" w:cs="宋体"/>
        </w:rPr>
        <w:t>不向政府采购代理机构和采购人提供虚假资质文件或采用虚假应标方式参与政府采购市场竞争并谋取中标、成交。</w:t>
      </w:r>
    </w:p>
    <w:p>
      <w:pPr>
        <w:widowControl/>
        <w:numPr>
          <w:ilvl w:val="0"/>
          <w:numId w:val="18"/>
        </w:numPr>
        <w:spacing w:line="408" w:lineRule="auto"/>
        <w:ind w:firstLine="480" w:firstLineChars="200"/>
        <w:jc w:val="left"/>
        <w:rPr>
          <w:rFonts w:hAnsi="宋体" w:cs="宋体"/>
        </w:rPr>
      </w:pPr>
      <w:r>
        <w:rPr>
          <w:rFonts w:hint="eastAsia" w:hAnsi="宋体" w:cs="宋体"/>
        </w:rPr>
        <w:t>不采取“围标、陪标”等商业欺诈手段获得政府采购定单。</w:t>
      </w:r>
    </w:p>
    <w:p>
      <w:pPr>
        <w:widowControl/>
        <w:numPr>
          <w:ilvl w:val="0"/>
          <w:numId w:val="18"/>
        </w:numPr>
        <w:spacing w:line="408" w:lineRule="auto"/>
        <w:ind w:firstLine="480" w:firstLineChars="200"/>
        <w:jc w:val="left"/>
        <w:rPr>
          <w:rFonts w:hAnsi="宋体" w:cs="宋体"/>
        </w:rPr>
      </w:pPr>
      <w:r>
        <w:rPr>
          <w:rFonts w:hint="eastAsia" w:hAnsi="宋体" w:cs="宋体"/>
        </w:rPr>
        <w:t>不采取不正当手段诋毁、排挤其他供应商。</w:t>
      </w:r>
    </w:p>
    <w:p>
      <w:pPr>
        <w:widowControl/>
        <w:numPr>
          <w:ilvl w:val="0"/>
          <w:numId w:val="18"/>
        </w:numPr>
        <w:spacing w:line="408" w:lineRule="auto"/>
        <w:ind w:firstLine="480" w:firstLineChars="200"/>
        <w:jc w:val="left"/>
        <w:rPr>
          <w:rFonts w:hAnsi="宋体" w:cs="宋体"/>
        </w:rPr>
      </w:pPr>
      <w:r>
        <w:rPr>
          <w:rFonts w:hint="eastAsia" w:hAnsi="宋体" w:cs="宋体"/>
        </w:rPr>
        <w:t>不在提供商品和服务时“偷梁换柱、以次充好”损害采购人的合法权益。</w:t>
      </w:r>
    </w:p>
    <w:p>
      <w:pPr>
        <w:widowControl/>
        <w:numPr>
          <w:ilvl w:val="0"/>
          <w:numId w:val="18"/>
        </w:numPr>
        <w:spacing w:line="408" w:lineRule="auto"/>
        <w:ind w:firstLine="480" w:firstLineChars="200"/>
        <w:jc w:val="left"/>
        <w:rPr>
          <w:rFonts w:hAnsi="宋体" w:cs="宋体"/>
        </w:rPr>
      </w:pPr>
      <w:r>
        <w:rPr>
          <w:rFonts w:hint="eastAsia" w:hAnsi="宋体" w:cs="宋体"/>
        </w:rPr>
        <w:t>不与采购人、采购代理机构政府采购评审专家或其它供应商恶意串通，进行质疑和投诉，维护政府采购市场秩序。</w:t>
      </w:r>
    </w:p>
    <w:p>
      <w:pPr>
        <w:widowControl/>
        <w:numPr>
          <w:ilvl w:val="0"/>
          <w:numId w:val="18"/>
        </w:numPr>
        <w:spacing w:line="408" w:lineRule="auto"/>
        <w:ind w:firstLine="480" w:firstLineChars="200"/>
        <w:jc w:val="left"/>
        <w:rPr>
          <w:rFonts w:hAnsi="宋体" w:cs="宋体"/>
        </w:rPr>
      </w:pPr>
      <w:r>
        <w:rPr>
          <w:rFonts w:hint="eastAsia" w:hAnsi="宋体" w:cs="宋体"/>
        </w:rPr>
        <w:t>尊重和接受政府采购监督管理部门的监督和政府采购代理机构招标采购要求，承担因违约行为给采购人造成的损失。</w:t>
      </w:r>
    </w:p>
    <w:p>
      <w:pPr>
        <w:widowControl/>
        <w:numPr>
          <w:ilvl w:val="0"/>
          <w:numId w:val="18"/>
        </w:numPr>
        <w:spacing w:line="408" w:lineRule="auto"/>
        <w:ind w:firstLine="480" w:firstLineChars="200"/>
        <w:jc w:val="left"/>
        <w:rPr>
          <w:rFonts w:hAnsi="宋体" w:cs="宋体"/>
        </w:rPr>
      </w:pPr>
      <w:r>
        <w:rPr>
          <w:rFonts w:hint="eastAsia" w:hAnsi="宋体" w:cs="宋体"/>
        </w:rPr>
        <w:t>不发生其他有悖于政府采购公开、公平、公正和诚信原则的行为。</w:t>
      </w:r>
      <w:r>
        <w:rPr>
          <w:rFonts w:hint="eastAsia" w:hAnsi="宋体" w:cs="宋体"/>
        </w:rPr>
        <w:br w:type="textWrapping"/>
      </w:r>
    </w:p>
    <w:p>
      <w:pPr>
        <w:widowControl/>
        <w:spacing w:line="408" w:lineRule="auto"/>
        <w:ind w:left="274" w:leftChars="114"/>
        <w:jc w:val="left"/>
        <w:rPr>
          <w:rFonts w:hAnsi="宋体" w:cs="宋体"/>
        </w:rPr>
      </w:pPr>
      <w:r>
        <w:rPr>
          <w:rFonts w:hint="eastAsia" w:hAnsi="宋体" w:cs="宋体"/>
        </w:rPr>
        <w:t>承诺单位：</w:t>
      </w:r>
      <w:r>
        <w:rPr>
          <w:rFonts w:hint="eastAsia" w:hAnsi="宋体" w:cs="宋体"/>
          <w:u w:val="single"/>
        </w:rPr>
        <w:t xml:space="preserve">                       </w:t>
      </w:r>
      <w:r>
        <w:rPr>
          <w:rFonts w:hint="eastAsia" w:hAnsi="宋体" w:cs="宋体"/>
        </w:rPr>
        <w:t>（盖章）</w:t>
      </w:r>
      <w:r>
        <w:rPr>
          <w:rFonts w:hint="eastAsia" w:hAnsi="宋体" w:cs="宋体"/>
        </w:rPr>
        <w:br w:type="textWrapping"/>
      </w:r>
      <w:r>
        <w:rPr>
          <w:rFonts w:hint="eastAsia" w:hAnsi="宋体" w:cs="宋体"/>
          <w:spacing w:val="4"/>
        </w:rPr>
        <w:t>法定代表人/</w:t>
      </w:r>
      <w:r>
        <w:rPr>
          <w:rFonts w:hint="eastAsia" w:hAnsi="宋体" w:cs="宋体"/>
        </w:rPr>
        <w:t>被授权人：</w:t>
      </w:r>
      <w:r>
        <w:rPr>
          <w:rFonts w:hint="eastAsia" w:hAnsi="宋体" w:cs="宋体"/>
          <w:u w:val="single"/>
        </w:rPr>
        <w:t xml:space="preserve">                       </w:t>
      </w:r>
      <w:r>
        <w:rPr>
          <w:rFonts w:hint="eastAsia" w:hAnsi="宋体" w:cs="宋体"/>
        </w:rPr>
        <w:t>（</w:t>
      </w:r>
      <w:r>
        <w:rPr>
          <w:rFonts w:hint="eastAsia" w:hAnsi="宋体" w:cs="宋体"/>
          <w:szCs w:val="24"/>
        </w:rPr>
        <w:t>签字或盖章</w:t>
      </w:r>
      <w:r>
        <w:rPr>
          <w:rFonts w:hint="eastAsia" w:hAnsi="宋体" w:cs="宋体"/>
        </w:rPr>
        <w:t>）</w:t>
      </w:r>
      <w:r>
        <w:rPr>
          <w:rFonts w:hint="eastAsia" w:hAnsi="宋体" w:cs="宋体"/>
        </w:rPr>
        <w:br w:type="textWrapping"/>
      </w:r>
      <w:r>
        <w:rPr>
          <w:rFonts w:hint="eastAsia" w:hAnsi="宋体" w:cs="宋体"/>
        </w:rPr>
        <w:t>地  址：</w:t>
      </w:r>
      <w:r>
        <w:rPr>
          <w:rFonts w:hint="eastAsia" w:hAnsi="宋体" w:cs="宋体"/>
          <w:u w:val="single"/>
        </w:rPr>
        <w:t>             </w:t>
      </w:r>
      <w:r>
        <w:rPr>
          <w:rFonts w:hint="eastAsia" w:hAnsi="宋体" w:cs="宋体"/>
        </w:rPr>
        <w:t>  </w:t>
      </w:r>
    </w:p>
    <w:p>
      <w:pPr>
        <w:widowControl/>
        <w:spacing w:line="408" w:lineRule="auto"/>
        <w:ind w:left="274" w:leftChars="114"/>
        <w:jc w:val="left"/>
        <w:rPr>
          <w:rFonts w:hAnsi="宋体" w:cs="宋体"/>
        </w:rPr>
      </w:pPr>
      <w:r>
        <w:rPr>
          <w:rFonts w:hint="eastAsia" w:hAnsi="宋体" w:cs="宋体"/>
        </w:rPr>
        <w:t>邮  编：</w:t>
      </w:r>
      <w:r>
        <w:rPr>
          <w:rFonts w:hint="eastAsia" w:hAnsi="宋体" w:cs="宋体"/>
          <w:u w:val="single"/>
        </w:rPr>
        <w:t xml:space="preserve">                         </w:t>
      </w:r>
      <w:r>
        <w:rPr>
          <w:rFonts w:hint="eastAsia" w:hAnsi="宋体" w:cs="宋体"/>
          <w:u w:val="single"/>
        </w:rPr>
        <w:br w:type="textWrapping"/>
      </w:r>
      <w:r>
        <w:rPr>
          <w:rFonts w:hint="eastAsia" w:hAnsi="宋体" w:cs="宋体"/>
        </w:rPr>
        <w:t>电  话：</w:t>
      </w:r>
      <w:r>
        <w:rPr>
          <w:rFonts w:hint="eastAsia" w:hAnsi="宋体" w:cs="宋体"/>
          <w:u w:val="single"/>
        </w:rPr>
        <w:t>             </w:t>
      </w:r>
      <w:r>
        <w:rPr>
          <w:rFonts w:hint="eastAsia" w:hAnsi="宋体" w:cs="宋体"/>
        </w:rPr>
        <w:t>                                                       年  月  日</w:t>
      </w:r>
    </w:p>
    <w:p>
      <w:pPr>
        <w:spacing w:line="500" w:lineRule="exact"/>
        <w:ind w:firstLine="320" w:firstLineChars="100"/>
        <w:jc w:val="center"/>
        <w:rPr>
          <w:rFonts w:hAnsi="宋体" w:cs="宋体"/>
          <w:b/>
          <w:bCs/>
          <w:sz w:val="30"/>
          <w:szCs w:val="30"/>
          <w:lang w:val="zh-CN"/>
        </w:rPr>
      </w:pPr>
      <w:bookmarkStart w:id="292" w:name="_Toc426457715"/>
      <w:bookmarkStart w:id="293" w:name="_Toc7550"/>
      <w:bookmarkStart w:id="294" w:name="_Toc23245"/>
      <w:bookmarkStart w:id="295" w:name="_Toc28113"/>
      <w:bookmarkStart w:id="296" w:name="_Toc403077657"/>
      <w:bookmarkStart w:id="297" w:name="_Toc155"/>
      <w:bookmarkStart w:id="298" w:name="_Toc8066"/>
      <w:bookmarkStart w:id="299" w:name="_Toc363474034"/>
      <w:bookmarkStart w:id="300" w:name="_Toc20139"/>
      <w:r>
        <w:rPr>
          <w:rFonts w:hint="eastAsia" w:hAnsi="宋体" w:cs="宋体"/>
          <w:sz w:val="32"/>
          <w:szCs w:val="32"/>
        </w:rPr>
        <w:br w:type="page"/>
      </w:r>
      <w:bookmarkEnd w:id="292"/>
      <w:bookmarkEnd w:id="293"/>
      <w:bookmarkEnd w:id="294"/>
      <w:bookmarkEnd w:id="295"/>
      <w:bookmarkEnd w:id="296"/>
      <w:bookmarkEnd w:id="297"/>
      <w:bookmarkEnd w:id="298"/>
      <w:bookmarkEnd w:id="299"/>
      <w:bookmarkEnd w:id="300"/>
      <w:r>
        <w:rPr>
          <w:rFonts w:hint="eastAsia" w:hAnsi="宋体" w:cs="宋体"/>
          <w:b/>
          <w:bCs/>
          <w:sz w:val="30"/>
          <w:szCs w:val="30"/>
        </w:rPr>
        <w:t>5.2</w:t>
      </w:r>
      <w:r>
        <w:rPr>
          <w:rFonts w:hint="eastAsia" w:hAnsi="宋体" w:cs="宋体"/>
          <w:b/>
          <w:bCs/>
          <w:sz w:val="30"/>
          <w:szCs w:val="30"/>
          <w:lang w:val="zh-CN"/>
        </w:rPr>
        <w:t xml:space="preserve"> 供应商企业关系关联承诺书</w:t>
      </w:r>
    </w:p>
    <w:p>
      <w:pPr>
        <w:pStyle w:val="19"/>
        <w:rPr>
          <w:lang w:val="zh-CN"/>
        </w:rPr>
      </w:pPr>
    </w:p>
    <w:p>
      <w:pPr>
        <w:spacing w:line="500" w:lineRule="exact"/>
        <w:ind w:firstLine="480" w:firstLineChars="200"/>
        <w:rPr>
          <w:rFonts w:hAnsi="宋体" w:cs="宋体"/>
          <w:szCs w:val="24"/>
        </w:rPr>
      </w:pPr>
      <w:r>
        <w:rPr>
          <w:rFonts w:hint="eastAsia" w:hAnsi="宋体" w:cs="宋体"/>
          <w:szCs w:val="24"/>
        </w:rPr>
        <w:t>1、供应商在本项目投标中，不存在与其它供应商负责人为同一人，有控股、管理等关联关系承诺：</w:t>
      </w:r>
    </w:p>
    <w:p>
      <w:pPr>
        <w:spacing w:line="500" w:lineRule="exact"/>
        <w:ind w:firstLine="480" w:firstLineChars="200"/>
        <w:rPr>
          <w:rFonts w:hAnsi="宋体" w:cs="宋体"/>
          <w:szCs w:val="24"/>
        </w:rPr>
      </w:pPr>
      <w:r>
        <w:rPr>
          <w:rFonts w:hint="eastAsia" w:hAnsi="宋体" w:cs="宋体"/>
          <w:szCs w:val="24"/>
        </w:rPr>
        <w:t>1.1管理关系说明：</w:t>
      </w:r>
    </w:p>
    <w:p>
      <w:pPr>
        <w:spacing w:line="500" w:lineRule="exact"/>
        <w:ind w:firstLine="480" w:firstLineChars="200"/>
        <w:rPr>
          <w:rFonts w:hAnsi="宋体" w:cs="宋体"/>
          <w:szCs w:val="24"/>
        </w:rPr>
      </w:pPr>
      <w:r>
        <w:rPr>
          <w:rFonts w:hint="eastAsia" w:hAnsi="宋体" w:cs="宋体"/>
          <w:szCs w:val="24"/>
        </w:rPr>
        <w:t>我单位管理的具有独立法人的下属单位有</w:t>
      </w:r>
      <w:r>
        <w:rPr>
          <w:rFonts w:hint="eastAsia" w:hAnsi="宋体" w:cs="宋体"/>
          <w:szCs w:val="24"/>
          <w:u w:val="single"/>
        </w:rPr>
        <w:t xml:space="preserve">：                 </w:t>
      </w:r>
      <w:r>
        <w:rPr>
          <w:rFonts w:hint="eastAsia" w:hAnsi="宋体" w:cs="宋体"/>
          <w:szCs w:val="24"/>
        </w:rPr>
        <w:t>。</w:t>
      </w:r>
    </w:p>
    <w:p>
      <w:pPr>
        <w:spacing w:line="500" w:lineRule="exact"/>
        <w:ind w:firstLine="480" w:firstLineChars="200"/>
        <w:rPr>
          <w:rFonts w:hAnsi="宋体" w:cs="宋体"/>
          <w:szCs w:val="24"/>
        </w:rPr>
      </w:pPr>
      <w:r>
        <w:rPr>
          <w:rFonts w:hint="eastAsia" w:hAnsi="宋体" w:cs="宋体"/>
          <w:szCs w:val="24"/>
        </w:rPr>
        <w:t>我单位的上级管理单位有</w:t>
      </w:r>
      <w:r>
        <w:rPr>
          <w:rFonts w:hint="eastAsia" w:hAnsi="宋体" w:cs="宋体"/>
          <w:szCs w:val="24"/>
          <w:u w:val="single"/>
        </w:rPr>
        <w:t xml:space="preserve">              </w:t>
      </w:r>
      <w:r>
        <w:rPr>
          <w:rFonts w:hint="eastAsia" w:hAnsi="宋体" w:cs="宋体"/>
          <w:szCs w:val="24"/>
        </w:rPr>
        <w:t>。</w:t>
      </w:r>
    </w:p>
    <w:p>
      <w:pPr>
        <w:spacing w:line="500" w:lineRule="exact"/>
        <w:ind w:firstLine="480" w:firstLineChars="200"/>
        <w:rPr>
          <w:rFonts w:hAnsi="宋体" w:cs="宋体"/>
          <w:szCs w:val="24"/>
        </w:rPr>
      </w:pPr>
      <w:r>
        <w:rPr>
          <w:rFonts w:hint="eastAsia" w:hAnsi="宋体" w:cs="宋体"/>
          <w:szCs w:val="24"/>
        </w:rPr>
        <w:t>1.2股权关系说明：</w:t>
      </w:r>
    </w:p>
    <w:p>
      <w:pPr>
        <w:spacing w:line="500" w:lineRule="exact"/>
        <w:ind w:firstLine="480" w:firstLineChars="200"/>
        <w:rPr>
          <w:rFonts w:hAnsi="宋体" w:cs="宋体"/>
          <w:szCs w:val="24"/>
        </w:rPr>
      </w:pPr>
      <w:r>
        <w:rPr>
          <w:rFonts w:hint="eastAsia" w:hAnsi="宋体" w:cs="宋体"/>
          <w:szCs w:val="24"/>
        </w:rPr>
        <w:t>我单位控股的单位有</w:t>
      </w:r>
      <w:r>
        <w:rPr>
          <w:rFonts w:hint="eastAsia" w:hAnsi="宋体" w:cs="宋体"/>
          <w:szCs w:val="24"/>
          <w:u w:val="single"/>
        </w:rPr>
        <w:t xml:space="preserve">           </w:t>
      </w:r>
      <w:r>
        <w:rPr>
          <w:rFonts w:hint="eastAsia" w:hAnsi="宋体" w:cs="宋体"/>
          <w:szCs w:val="24"/>
        </w:rPr>
        <w:t>。</w:t>
      </w:r>
    </w:p>
    <w:p>
      <w:pPr>
        <w:spacing w:line="500" w:lineRule="exact"/>
        <w:ind w:firstLine="480" w:firstLineChars="200"/>
        <w:rPr>
          <w:rFonts w:hAnsi="宋体" w:cs="宋体"/>
          <w:szCs w:val="24"/>
        </w:rPr>
      </w:pPr>
      <w:r>
        <w:rPr>
          <w:rFonts w:hint="eastAsia" w:hAnsi="宋体" w:cs="宋体"/>
          <w:szCs w:val="24"/>
        </w:rPr>
        <w:t>我单位被</w:t>
      </w:r>
      <w:r>
        <w:rPr>
          <w:rFonts w:hint="eastAsia" w:hAnsi="宋体" w:cs="宋体"/>
          <w:szCs w:val="24"/>
          <w:u w:val="single"/>
        </w:rPr>
        <w:t xml:space="preserve">              </w:t>
      </w:r>
      <w:r>
        <w:rPr>
          <w:rFonts w:hint="eastAsia" w:hAnsi="宋体" w:cs="宋体"/>
          <w:szCs w:val="24"/>
        </w:rPr>
        <w:t>单位控股。</w:t>
      </w:r>
    </w:p>
    <w:p>
      <w:pPr>
        <w:spacing w:line="500" w:lineRule="exact"/>
        <w:ind w:firstLine="480" w:firstLineChars="200"/>
        <w:rPr>
          <w:rFonts w:hAnsi="宋体" w:cs="宋体"/>
          <w:szCs w:val="24"/>
          <w:u w:val="single"/>
        </w:rPr>
      </w:pPr>
      <w:r>
        <w:rPr>
          <w:rFonts w:hint="eastAsia" w:hAnsi="宋体" w:cs="宋体"/>
          <w:szCs w:val="24"/>
        </w:rPr>
        <w:t>1.3单位负责人：</w:t>
      </w:r>
      <w:r>
        <w:rPr>
          <w:rFonts w:hint="eastAsia" w:hAnsi="宋体" w:cs="宋体"/>
          <w:szCs w:val="24"/>
          <w:u w:val="single"/>
        </w:rPr>
        <w:t xml:space="preserve">                </w:t>
      </w:r>
    </w:p>
    <w:p>
      <w:pPr>
        <w:spacing w:line="500" w:lineRule="exact"/>
        <w:ind w:firstLine="480" w:firstLineChars="200"/>
        <w:rPr>
          <w:rFonts w:hAnsi="宋体" w:cs="宋体"/>
          <w:szCs w:val="24"/>
        </w:rPr>
      </w:pPr>
      <w:r>
        <w:rPr>
          <w:rFonts w:hint="eastAsia" w:hAnsi="宋体" w:cs="宋体"/>
          <w:szCs w:val="24"/>
        </w:rPr>
        <w:t>2、</w:t>
      </w:r>
      <w:r>
        <w:rPr>
          <w:rFonts w:hint="eastAsia" w:hAnsi="宋体" w:cs="宋体"/>
          <w:szCs w:val="24"/>
          <w:u w:val="single"/>
        </w:rPr>
        <w:t xml:space="preserve">              </w:t>
      </w:r>
      <w:r>
        <w:rPr>
          <w:rFonts w:hint="eastAsia" w:hAnsi="宋体" w:cs="宋体"/>
          <w:szCs w:val="24"/>
        </w:rPr>
        <w:t>（是或否，没有填否） 为采购项目提供整体设计、规范编制或者项目管理、监理、检测等服务的供应商。</w:t>
      </w:r>
    </w:p>
    <w:p>
      <w:pPr>
        <w:spacing w:line="500" w:lineRule="exact"/>
        <w:ind w:firstLine="480" w:firstLineChars="200"/>
        <w:rPr>
          <w:rFonts w:hAnsi="宋体" w:cs="宋体"/>
          <w:szCs w:val="24"/>
          <w:u w:val="single"/>
        </w:rPr>
      </w:pPr>
      <w:r>
        <w:rPr>
          <w:rFonts w:hint="eastAsia" w:hAnsi="宋体" w:cs="宋体"/>
          <w:szCs w:val="24"/>
        </w:rPr>
        <w:t>3、其他与本项目有关的利害关系说明：</w:t>
      </w:r>
      <w:r>
        <w:rPr>
          <w:rFonts w:hint="eastAsia" w:hAnsi="宋体" w:cs="宋体"/>
          <w:szCs w:val="24"/>
          <w:u w:val="single"/>
        </w:rPr>
        <w:t xml:space="preserve">                               </w:t>
      </w:r>
    </w:p>
    <w:p>
      <w:pPr>
        <w:spacing w:line="500" w:lineRule="exact"/>
        <w:ind w:firstLine="480" w:firstLineChars="200"/>
        <w:rPr>
          <w:rFonts w:hAnsi="宋体" w:cs="宋体"/>
          <w:szCs w:val="24"/>
        </w:rPr>
      </w:pPr>
      <w:r>
        <w:rPr>
          <w:rFonts w:hint="eastAsia" w:hAnsi="宋体" w:cs="宋体"/>
          <w:szCs w:val="24"/>
        </w:rPr>
        <w:t>我单位承诺以上说明真实有效，无虚假内容或隐瞒。</w:t>
      </w:r>
    </w:p>
    <w:p>
      <w:pPr>
        <w:spacing w:line="500" w:lineRule="exact"/>
        <w:ind w:firstLine="240" w:firstLineChars="100"/>
        <w:rPr>
          <w:rFonts w:hAnsi="宋体" w:cs="宋体"/>
          <w:szCs w:val="24"/>
        </w:rPr>
      </w:pPr>
    </w:p>
    <w:p>
      <w:pPr>
        <w:pStyle w:val="19"/>
      </w:pPr>
    </w:p>
    <w:p>
      <w:pPr>
        <w:spacing w:line="500" w:lineRule="exact"/>
        <w:ind w:firstLine="2400" w:firstLineChars="1000"/>
        <w:rPr>
          <w:rFonts w:hAnsi="宋体" w:cs="宋体"/>
          <w:szCs w:val="24"/>
        </w:rPr>
      </w:pPr>
      <w:r>
        <w:rPr>
          <w:rFonts w:hint="eastAsia" w:hAnsi="宋体" w:cs="宋体"/>
          <w:szCs w:val="24"/>
        </w:rPr>
        <w:t>供应商名称</w:t>
      </w:r>
      <w:r>
        <w:rPr>
          <w:rFonts w:hint="eastAsia" w:hAnsi="宋体" w:cs="宋体"/>
          <w:szCs w:val="24"/>
          <w:u w:val="single"/>
        </w:rPr>
        <w:t xml:space="preserve">：                     </w:t>
      </w:r>
      <w:r>
        <w:rPr>
          <w:rFonts w:hint="eastAsia" w:hAnsi="宋体" w:cs="宋体"/>
          <w:szCs w:val="24"/>
        </w:rPr>
        <w:t>（盖单位公章）</w:t>
      </w:r>
    </w:p>
    <w:p>
      <w:pPr>
        <w:spacing w:line="500" w:lineRule="exact"/>
        <w:ind w:firstLine="240" w:firstLineChars="100"/>
        <w:rPr>
          <w:rFonts w:hAnsi="宋体" w:cs="宋体"/>
          <w:szCs w:val="24"/>
        </w:rPr>
      </w:pPr>
    </w:p>
    <w:p>
      <w:pPr>
        <w:spacing w:line="500" w:lineRule="exact"/>
        <w:ind w:firstLine="2400" w:firstLineChars="1000"/>
        <w:rPr>
          <w:rFonts w:hAnsi="宋体" w:cs="宋体"/>
          <w:szCs w:val="24"/>
        </w:rPr>
      </w:pPr>
      <w:r>
        <w:rPr>
          <w:rFonts w:hint="eastAsia" w:hAnsi="宋体" w:cs="宋体"/>
          <w:szCs w:val="24"/>
        </w:rPr>
        <w:t>法定代表人或被授权人</w:t>
      </w:r>
      <w:r>
        <w:rPr>
          <w:rFonts w:hint="eastAsia" w:hAnsi="宋体" w:cs="宋体"/>
          <w:szCs w:val="24"/>
          <w:u w:val="single"/>
        </w:rPr>
        <w:t xml:space="preserve">：      </w:t>
      </w:r>
      <w:r>
        <w:rPr>
          <w:rFonts w:hint="eastAsia" w:hAnsi="宋体" w:cs="宋体"/>
          <w:szCs w:val="24"/>
        </w:rPr>
        <w:t>（签字或盖章）</w:t>
      </w:r>
    </w:p>
    <w:p>
      <w:pPr>
        <w:spacing w:line="500" w:lineRule="exact"/>
        <w:ind w:firstLine="240" w:firstLineChars="100"/>
        <w:rPr>
          <w:rFonts w:hAnsi="宋体" w:cs="宋体"/>
        </w:rPr>
      </w:pPr>
      <w:r>
        <w:rPr>
          <w:rFonts w:hint="eastAsia" w:hAnsi="宋体" w:cs="宋体"/>
          <w:szCs w:val="24"/>
        </w:rPr>
        <w:t xml:space="preserve">      </w:t>
      </w:r>
    </w:p>
    <w:p>
      <w:pPr>
        <w:widowControl/>
        <w:spacing w:line="408" w:lineRule="auto"/>
        <w:ind w:left="274" w:leftChars="114"/>
        <w:jc w:val="right"/>
        <w:rPr>
          <w:rFonts w:hAnsi="宋体" w:cs="宋体"/>
        </w:rPr>
      </w:pPr>
    </w:p>
    <w:p>
      <w:pPr>
        <w:widowControl/>
        <w:spacing w:line="408" w:lineRule="auto"/>
        <w:ind w:left="274" w:leftChars="114"/>
        <w:jc w:val="right"/>
        <w:rPr>
          <w:rFonts w:hAnsi="宋体" w:cs="宋体"/>
        </w:rPr>
      </w:pPr>
      <w:r>
        <w:rPr>
          <w:rFonts w:hint="eastAsia" w:hAnsi="宋体" w:cs="宋体"/>
        </w:rPr>
        <w:t>                     年  月  日</w:t>
      </w:r>
    </w:p>
    <w:p>
      <w:pPr>
        <w:spacing w:before="166" w:beforeLines="50" w:line="360" w:lineRule="auto"/>
        <w:jc w:val="center"/>
        <w:rPr>
          <w:rFonts w:hAnsi="宋体" w:cs="宋体"/>
          <w:sz w:val="32"/>
          <w:szCs w:val="32"/>
        </w:rPr>
      </w:pPr>
    </w:p>
    <w:p>
      <w:pPr>
        <w:pStyle w:val="19"/>
        <w:rPr>
          <w:rFonts w:ascii="宋体" w:hAnsi="宋体" w:cs="宋体"/>
          <w:sz w:val="32"/>
          <w:szCs w:val="32"/>
        </w:rPr>
      </w:pPr>
    </w:p>
    <w:p/>
    <w:p>
      <w:pPr>
        <w:pStyle w:val="4"/>
        <w:keepNext w:val="0"/>
        <w:keepLines w:val="0"/>
        <w:widowControl w:val="0"/>
        <w:spacing w:before="166" w:beforeLines="50" w:after="0" w:line="360" w:lineRule="auto"/>
        <w:ind w:left="0"/>
        <w:jc w:val="center"/>
        <w:rPr>
          <w:rFonts w:ascii="宋体" w:hAnsi="宋体" w:cs="宋体"/>
          <w:sz w:val="32"/>
        </w:rPr>
      </w:pPr>
      <w:bookmarkStart w:id="301" w:name="_Toc26462"/>
      <w:bookmarkStart w:id="302" w:name="_Toc18269"/>
      <w:r>
        <w:rPr>
          <w:rFonts w:hint="eastAsia" w:ascii="宋体" w:hAnsi="宋体" w:cs="宋体"/>
          <w:sz w:val="32"/>
        </w:rPr>
        <w:t>六、资格证明文件</w:t>
      </w:r>
      <w:bookmarkEnd w:id="301"/>
      <w:bookmarkEnd w:id="302"/>
    </w:p>
    <w:p>
      <w:pPr>
        <w:spacing w:line="440" w:lineRule="exact"/>
        <w:rPr>
          <w:rFonts w:hAnsi="宋体" w:cs="宋体"/>
          <w:szCs w:val="24"/>
        </w:rPr>
      </w:pPr>
      <w:r>
        <w:rPr>
          <w:rFonts w:hint="eastAsia" w:hAnsi="宋体" w:cs="宋体"/>
          <w:b/>
          <w:bCs/>
          <w:szCs w:val="24"/>
        </w:rPr>
        <w:t>（一）基本资格条件：符合《中华人民共和国政府采购法》第二十二条的规定，并提供以下资料；</w:t>
      </w:r>
    </w:p>
    <w:p>
      <w:pPr>
        <w:spacing w:line="360" w:lineRule="auto"/>
        <w:ind w:firstLine="480" w:firstLineChars="200"/>
        <w:rPr>
          <w:rFonts w:hAnsi="宋体" w:cs="宋体"/>
          <w:szCs w:val="24"/>
        </w:rPr>
      </w:pPr>
      <w:r>
        <w:rPr>
          <w:rFonts w:hint="eastAsia" w:cs="宋体" w:asciiTheme="minorEastAsia" w:hAnsiTheme="minorEastAsia" w:eastAsiaTheme="minorEastAsia"/>
          <w:szCs w:val="24"/>
        </w:rPr>
        <w:t>1</w:t>
      </w:r>
      <w:r>
        <w:rPr>
          <w:rFonts w:cs="宋体" w:asciiTheme="minorEastAsia" w:hAnsiTheme="minorEastAsia" w:eastAsiaTheme="minorEastAsia"/>
          <w:szCs w:val="24"/>
        </w:rPr>
        <w:t>.</w:t>
      </w:r>
      <w:r>
        <w:rPr>
          <w:rFonts w:hint="eastAsia" w:hAnsi="宋体" w:cs="宋体"/>
          <w:szCs w:val="24"/>
        </w:rPr>
        <w:t>提供合格有效的法人或者其他组织的营业执照等证明文件，自然人的身份证明；</w:t>
      </w:r>
    </w:p>
    <w:p>
      <w:pPr>
        <w:spacing w:line="360" w:lineRule="auto"/>
        <w:rPr>
          <w:rFonts w:cs="宋体" w:asciiTheme="minorEastAsia" w:hAnsiTheme="minorEastAsia" w:eastAsiaTheme="minorEastAsia"/>
          <w:szCs w:val="24"/>
        </w:rPr>
      </w:pPr>
      <w:r>
        <w:rPr>
          <w:rFonts w:hint="eastAsia" w:hAnsi="宋体" w:cs="宋体"/>
          <w:szCs w:val="24"/>
        </w:rPr>
        <w:t>供应商是法人或其他组织的应提供营业执照等证明文件，供应商是自然人的应提供有效的自然人身份证明。</w:t>
      </w:r>
    </w:p>
    <w:p>
      <w:pPr>
        <w:spacing w:line="360" w:lineRule="auto"/>
        <w:ind w:firstLine="480" w:firstLineChars="200"/>
        <w:rPr>
          <w:rFonts w:cs="宋体" w:asciiTheme="minorEastAsia" w:hAnsiTheme="minorEastAsia" w:eastAsiaTheme="minorEastAsia"/>
          <w:szCs w:val="24"/>
        </w:rPr>
      </w:pPr>
      <w:r>
        <w:rPr>
          <w:rFonts w:hint="eastAsia" w:cs="宋体" w:asciiTheme="minorEastAsia" w:hAnsiTheme="minorEastAsia" w:eastAsiaTheme="minorEastAsia"/>
          <w:szCs w:val="24"/>
        </w:rPr>
        <w:t>2</w:t>
      </w:r>
      <w:r>
        <w:rPr>
          <w:rFonts w:cs="宋体" w:asciiTheme="minorEastAsia" w:hAnsiTheme="minorEastAsia" w:eastAsiaTheme="minorEastAsia"/>
          <w:szCs w:val="24"/>
        </w:rPr>
        <w:t>.</w:t>
      </w:r>
      <w:r>
        <w:rPr>
          <w:rFonts w:hint="eastAsia" w:hAnsi="宋体" w:cs="宋体"/>
          <w:szCs w:val="24"/>
        </w:rPr>
        <w:t>提供2021年或2</w:t>
      </w:r>
      <w:r>
        <w:rPr>
          <w:rFonts w:hAnsi="宋体" w:cs="宋体"/>
          <w:szCs w:val="24"/>
        </w:rPr>
        <w:t>022</w:t>
      </w:r>
      <w:r>
        <w:rPr>
          <w:rFonts w:hint="eastAsia" w:hAnsi="宋体" w:cs="宋体"/>
          <w:szCs w:val="24"/>
        </w:rPr>
        <w:t>年度经审计的完整财务报告（成立时间至提交投标文件截止时间不足一年的可提供成立后任意时段的资产负债表），或其基本存款账户开户银行出具的资信证明；</w:t>
      </w:r>
    </w:p>
    <w:p>
      <w:pPr>
        <w:spacing w:line="360" w:lineRule="auto"/>
        <w:ind w:firstLine="480" w:firstLineChars="200"/>
      </w:pPr>
      <w:r>
        <w:rPr>
          <w:rFonts w:hint="eastAsia"/>
        </w:rPr>
        <w:t>3</w:t>
      </w:r>
      <w:r>
        <w:t>.</w:t>
      </w:r>
      <w:r>
        <w:rPr>
          <w:rFonts w:hint="eastAsia" w:hAnsi="宋体" w:cs="宋体"/>
          <w:szCs w:val="24"/>
        </w:rPr>
        <w:t>提供具有履行合同所必需的设备和专业技术能力的承诺；</w:t>
      </w:r>
      <w:r>
        <w:rPr>
          <w:rFonts w:hint="eastAsia"/>
        </w:rPr>
        <w:t xml:space="preserve"> </w:t>
      </w:r>
    </w:p>
    <w:p>
      <w:pPr>
        <w:spacing w:line="360" w:lineRule="auto"/>
        <w:ind w:firstLine="480" w:firstLineChars="200"/>
      </w:pPr>
      <w:r>
        <w:rPr>
          <w:rFonts w:hint="eastAsia"/>
        </w:rPr>
        <w:t>4</w:t>
      </w:r>
      <w:r>
        <w:t>.</w:t>
      </w:r>
      <w:r>
        <w:rPr>
          <w:rFonts w:hint="eastAsia"/>
        </w:rPr>
        <w:t xml:space="preserve"> 提供投标截止日前一年内已缴纳的至少一个月的纳税证明或完税证明（增值税、印花税、城市维护建设费、企业所得税等一种或多种税种）；</w:t>
      </w:r>
    </w:p>
    <w:p>
      <w:pPr>
        <w:spacing w:line="360" w:lineRule="auto"/>
        <w:ind w:firstLine="480" w:firstLineChars="200"/>
      </w:pPr>
      <w:r>
        <w:rPr>
          <w:rFonts w:hint="eastAsia"/>
        </w:rPr>
        <w:t>5</w:t>
      </w:r>
      <w:r>
        <w:t>.</w:t>
      </w:r>
      <w:r>
        <w:rPr>
          <w:rFonts w:hint="eastAsia"/>
        </w:rPr>
        <w:t>提供</w:t>
      </w:r>
      <w:r>
        <w:rPr>
          <w:rFonts w:hint="eastAsia" w:hAnsi="宋体" w:cs="宋体"/>
          <w:szCs w:val="24"/>
        </w:rPr>
        <w:t>投标</w:t>
      </w:r>
      <w:r>
        <w:rPr>
          <w:rFonts w:hint="eastAsia"/>
        </w:rPr>
        <w:t>截止日前一年内已缴存的至少一个月的社会保障资金缴存单据或社保机构开具的社会保险参保缴费情况证明，依法不需要缴纳社会保障资金的单位应提供相关证明材料；</w:t>
      </w:r>
    </w:p>
    <w:p>
      <w:pPr>
        <w:spacing w:line="520" w:lineRule="exact"/>
        <w:ind w:firstLine="480"/>
        <w:rPr>
          <w:rFonts w:cs="宋体" w:asciiTheme="minorEastAsia" w:hAnsiTheme="minorEastAsia" w:eastAsiaTheme="minorEastAsia"/>
          <w:szCs w:val="24"/>
        </w:rPr>
      </w:pPr>
      <w:r>
        <w:rPr>
          <w:rFonts w:hint="eastAsia"/>
        </w:rPr>
        <w:t>6</w:t>
      </w:r>
      <w:r>
        <w:t>.</w:t>
      </w:r>
      <w:r>
        <w:rPr>
          <w:rFonts w:hint="eastAsia"/>
        </w:rPr>
        <w:t>参加政府采购活动前三年内，在经营活动中没有重大违法记录的书面声明。</w:t>
      </w:r>
    </w:p>
    <w:p>
      <w:pPr>
        <w:spacing w:line="500" w:lineRule="exact"/>
        <w:rPr>
          <w:rFonts w:hAnsi="宋体" w:cs="宋体"/>
          <w:b/>
          <w:bCs/>
          <w:szCs w:val="24"/>
        </w:rPr>
      </w:pPr>
      <w:r>
        <w:rPr>
          <w:rFonts w:hint="eastAsia" w:hAnsi="宋体" w:cs="宋体"/>
          <w:b/>
          <w:bCs/>
          <w:szCs w:val="24"/>
        </w:rPr>
        <w:t>（</w:t>
      </w:r>
      <w:r>
        <w:rPr>
          <w:rFonts w:hint="eastAsia" w:hAnsi="宋体" w:cs="宋体"/>
          <w:b/>
          <w:bCs/>
          <w:szCs w:val="24"/>
          <w:lang w:eastAsia="zh-CN"/>
        </w:rPr>
        <w:t>二</w:t>
      </w:r>
      <w:r>
        <w:rPr>
          <w:rFonts w:hint="eastAsia" w:hAnsi="宋体" w:cs="宋体"/>
          <w:b/>
          <w:bCs/>
          <w:szCs w:val="24"/>
        </w:rPr>
        <w:t>）特定资格条件：</w:t>
      </w:r>
    </w:p>
    <w:p>
      <w:pPr>
        <w:spacing w:line="500" w:lineRule="exact"/>
        <w:ind w:firstLine="480" w:firstLineChars="200"/>
        <w:rPr>
          <w:rFonts w:hAnsi="宋体" w:cs="宋体"/>
          <w:szCs w:val="24"/>
        </w:rPr>
      </w:pPr>
      <w:r>
        <w:rPr>
          <w:rFonts w:hint="eastAsia" w:hAnsi="宋体" w:cs="宋体"/>
          <w:szCs w:val="24"/>
        </w:rPr>
        <w:t>1、法定代表人授权书（附法定代表人、被授权人身份证复印件）</w:t>
      </w:r>
      <w:r>
        <w:rPr>
          <w:rFonts w:hint="eastAsia" w:hAnsi="宋体" w:cs="宋体"/>
          <w:szCs w:val="24"/>
          <w:lang w:eastAsia="zh-CN"/>
        </w:rPr>
        <w:t>，</w:t>
      </w:r>
      <w:r>
        <w:rPr>
          <w:rFonts w:hint="eastAsia" w:hAnsi="宋体" w:cs="宋体"/>
          <w:szCs w:val="24"/>
        </w:rPr>
        <w:t>法定代表人直接参加投标，须提供法定代表人身份证明及身份证</w:t>
      </w:r>
      <w:r>
        <w:rPr>
          <w:rFonts w:hint="eastAsia" w:hAnsi="宋体" w:cs="宋体"/>
          <w:szCs w:val="24"/>
          <w:lang w:eastAsia="zh-CN"/>
        </w:rPr>
        <w:t>复印件</w:t>
      </w:r>
      <w:r>
        <w:rPr>
          <w:rFonts w:hint="eastAsia" w:hAnsi="宋体" w:cs="宋体"/>
          <w:szCs w:val="24"/>
        </w:rPr>
        <w:t>。</w:t>
      </w:r>
    </w:p>
    <w:p>
      <w:pPr>
        <w:spacing w:line="560" w:lineRule="exact"/>
        <w:jc w:val="center"/>
        <w:rPr>
          <w:rFonts w:hAnsi="宋体" w:cs="宋体"/>
          <w:b/>
          <w:bCs/>
          <w:szCs w:val="24"/>
        </w:rPr>
      </w:pPr>
    </w:p>
    <w:p>
      <w:pPr>
        <w:spacing w:line="560" w:lineRule="exact"/>
        <w:jc w:val="center"/>
        <w:rPr>
          <w:rFonts w:hAnsi="宋体" w:cs="宋体"/>
          <w:b/>
          <w:bCs/>
          <w:szCs w:val="24"/>
        </w:rPr>
      </w:pPr>
    </w:p>
    <w:p>
      <w:pPr>
        <w:spacing w:line="560" w:lineRule="exact"/>
        <w:jc w:val="center"/>
        <w:rPr>
          <w:rFonts w:hAnsi="宋体" w:cs="宋体"/>
          <w:b/>
          <w:bCs/>
          <w:szCs w:val="24"/>
        </w:rPr>
      </w:pPr>
    </w:p>
    <w:p>
      <w:pPr>
        <w:pStyle w:val="2"/>
      </w:pPr>
    </w:p>
    <w:p>
      <w:pPr>
        <w:pStyle w:val="2"/>
      </w:pPr>
    </w:p>
    <w:p>
      <w:pPr>
        <w:pStyle w:val="2"/>
      </w:pPr>
    </w:p>
    <w:p>
      <w:pPr>
        <w:pStyle w:val="2"/>
      </w:pPr>
    </w:p>
    <w:p>
      <w:pPr>
        <w:pStyle w:val="2"/>
      </w:pPr>
    </w:p>
    <w:p>
      <w:pPr>
        <w:pStyle w:val="2"/>
      </w:pPr>
    </w:p>
    <w:p>
      <w:pPr>
        <w:pStyle w:val="2"/>
      </w:pPr>
    </w:p>
    <w:p>
      <w:pPr>
        <w:spacing w:line="560" w:lineRule="exact"/>
        <w:jc w:val="center"/>
        <w:rPr>
          <w:rFonts w:hAnsi="宋体" w:cs="宋体"/>
          <w:b/>
          <w:bCs/>
          <w:kern w:val="2"/>
          <w:sz w:val="30"/>
          <w:szCs w:val="30"/>
        </w:rPr>
      </w:pPr>
      <w:r>
        <w:rPr>
          <w:rFonts w:hint="eastAsia" w:hAnsi="宋体" w:cs="宋体"/>
          <w:b/>
          <w:bCs/>
          <w:kern w:val="2"/>
          <w:sz w:val="30"/>
          <w:szCs w:val="30"/>
        </w:rPr>
        <w:t>法定代表人身份证明/法定代表人授权书</w:t>
      </w:r>
    </w:p>
    <w:p>
      <w:pPr>
        <w:pStyle w:val="19"/>
        <w:spacing w:before="166" w:beforeLines="50"/>
        <w:jc w:val="center"/>
        <w:rPr>
          <w:rFonts w:ascii="宋体" w:hAnsi="宋体" w:cs="宋体"/>
          <w:b/>
          <w:bCs/>
          <w:sz w:val="30"/>
          <w:szCs w:val="30"/>
        </w:rPr>
      </w:pPr>
      <w:r>
        <w:rPr>
          <w:rFonts w:hint="eastAsia" w:ascii="宋体" w:hAnsi="宋体" w:cs="宋体"/>
          <w:b/>
          <w:bCs/>
          <w:sz w:val="30"/>
          <w:szCs w:val="30"/>
        </w:rPr>
        <w:t>法定代表人身份证明</w:t>
      </w:r>
    </w:p>
    <w:p>
      <w:pPr>
        <w:autoSpaceDE w:val="0"/>
        <w:autoSpaceDN w:val="0"/>
        <w:adjustRightInd w:val="0"/>
        <w:snapToGrid w:val="0"/>
        <w:spacing w:before="166" w:beforeLines="50" w:line="360" w:lineRule="auto"/>
        <w:ind w:firstLine="480" w:firstLineChars="200"/>
        <w:jc w:val="left"/>
        <w:rPr>
          <w:rFonts w:hAnsi="宋体" w:cs="宋体"/>
        </w:rPr>
      </w:pPr>
      <w:r>
        <w:rPr>
          <w:rFonts w:hint="eastAsia" w:hAnsi="宋体" w:cs="宋体"/>
        </w:rPr>
        <w:t>供应商名称：</w:t>
      </w:r>
      <w:r>
        <w:rPr>
          <w:rFonts w:hint="eastAsia" w:hAnsi="宋体" w:cs="宋体"/>
          <w:u w:val="single"/>
        </w:rPr>
        <w:t xml:space="preserve">                  </w:t>
      </w:r>
      <w:r>
        <w:rPr>
          <w:rFonts w:hint="eastAsia" w:hAnsi="宋体" w:cs="宋体"/>
        </w:rPr>
        <w:t xml:space="preserve"> </w:t>
      </w:r>
    </w:p>
    <w:p>
      <w:pPr>
        <w:autoSpaceDE w:val="0"/>
        <w:autoSpaceDN w:val="0"/>
        <w:adjustRightInd w:val="0"/>
        <w:snapToGrid w:val="0"/>
        <w:spacing w:before="166" w:beforeLines="50" w:line="360" w:lineRule="auto"/>
        <w:ind w:firstLine="480" w:firstLineChars="200"/>
        <w:jc w:val="left"/>
        <w:rPr>
          <w:rFonts w:hAnsi="宋体" w:cs="宋体"/>
        </w:rPr>
      </w:pPr>
      <w:r>
        <w:rPr>
          <w:rFonts w:hint="eastAsia" w:hAnsi="宋体" w:cs="宋体"/>
        </w:rPr>
        <w:t>统一社会信用代码：</w:t>
      </w:r>
      <w:r>
        <w:rPr>
          <w:rFonts w:hint="eastAsia" w:hAnsi="宋体" w:cs="宋体"/>
          <w:u w:val="single"/>
        </w:rPr>
        <w:t xml:space="preserve">                </w:t>
      </w:r>
    </w:p>
    <w:p>
      <w:pPr>
        <w:autoSpaceDE w:val="0"/>
        <w:autoSpaceDN w:val="0"/>
        <w:adjustRightInd w:val="0"/>
        <w:snapToGrid w:val="0"/>
        <w:spacing w:before="166" w:beforeLines="50" w:line="360" w:lineRule="auto"/>
        <w:ind w:firstLine="480" w:firstLineChars="200"/>
        <w:jc w:val="left"/>
        <w:rPr>
          <w:rFonts w:hAnsi="宋体" w:cs="宋体"/>
        </w:rPr>
      </w:pPr>
      <w:r>
        <w:rPr>
          <w:rFonts w:hint="eastAsia" w:hAnsi="宋体" w:cs="宋体"/>
        </w:rPr>
        <w:t>注册地址：</w:t>
      </w:r>
      <w:r>
        <w:rPr>
          <w:rFonts w:hint="eastAsia" w:hAnsi="宋体" w:cs="宋体"/>
          <w:u w:val="single"/>
        </w:rPr>
        <w:t xml:space="preserve">                        </w:t>
      </w:r>
    </w:p>
    <w:p>
      <w:pPr>
        <w:autoSpaceDE w:val="0"/>
        <w:autoSpaceDN w:val="0"/>
        <w:adjustRightInd w:val="0"/>
        <w:snapToGrid w:val="0"/>
        <w:spacing w:before="166" w:beforeLines="50" w:line="360" w:lineRule="auto"/>
        <w:ind w:firstLine="480" w:firstLineChars="200"/>
        <w:jc w:val="left"/>
        <w:rPr>
          <w:rFonts w:hAnsi="宋体" w:cs="宋体"/>
        </w:rPr>
      </w:pPr>
      <w:r>
        <w:rPr>
          <w:rFonts w:hint="eastAsia" w:hAnsi="宋体" w:cs="宋体"/>
        </w:rPr>
        <w:t>成立时间：</w:t>
      </w:r>
      <w:r>
        <w:rPr>
          <w:rFonts w:hint="eastAsia" w:hAnsi="宋体" w:cs="宋体"/>
          <w:u w:val="single"/>
        </w:rPr>
        <w:t xml:space="preserve">    </w:t>
      </w:r>
      <w:r>
        <w:rPr>
          <w:rFonts w:hint="eastAsia" w:hAnsi="宋体" w:cs="宋体"/>
        </w:rPr>
        <w:t xml:space="preserve">年 </w:t>
      </w:r>
      <w:r>
        <w:rPr>
          <w:rFonts w:hint="eastAsia" w:hAnsi="宋体" w:cs="宋体"/>
          <w:u w:val="single"/>
        </w:rPr>
        <w:t xml:space="preserve">  </w:t>
      </w:r>
      <w:r>
        <w:rPr>
          <w:rFonts w:hint="eastAsia" w:hAnsi="宋体" w:cs="宋体"/>
        </w:rPr>
        <w:t>月</w:t>
      </w:r>
      <w:r>
        <w:rPr>
          <w:rFonts w:hint="eastAsia" w:hAnsi="宋体" w:cs="宋体"/>
          <w:u w:val="single"/>
        </w:rPr>
        <w:t xml:space="preserve">  </w:t>
      </w:r>
      <w:r>
        <w:rPr>
          <w:rFonts w:hint="eastAsia" w:hAnsi="宋体" w:cs="宋体"/>
        </w:rPr>
        <w:t>日</w:t>
      </w:r>
    </w:p>
    <w:p>
      <w:pPr>
        <w:autoSpaceDE w:val="0"/>
        <w:autoSpaceDN w:val="0"/>
        <w:adjustRightInd w:val="0"/>
        <w:snapToGrid w:val="0"/>
        <w:spacing w:before="166" w:beforeLines="50" w:line="360" w:lineRule="auto"/>
        <w:ind w:firstLine="480" w:firstLineChars="200"/>
        <w:jc w:val="left"/>
        <w:rPr>
          <w:rFonts w:hAnsi="宋体" w:cs="宋体"/>
          <w:u w:val="single"/>
        </w:rPr>
      </w:pPr>
      <w:r>
        <w:rPr>
          <w:rFonts w:hint="eastAsia" w:hAnsi="宋体" w:cs="宋体"/>
        </w:rPr>
        <w:t>经营期限：</w:t>
      </w:r>
      <w:r>
        <w:rPr>
          <w:rFonts w:hint="eastAsia" w:hAnsi="宋体" w:cs="宋体"/>
          <w:u w:val="single"/>
        </w:rPr>
        <w:t xml:space="preserve">                  </w:t>
      </w:r>
    </w:p>
    <w:p>
      <w:pPr>
        <w:autoSpaceDE w:val="0"/>
        <w:autoSpaceDN w:val="0"/>
        <w:adjustRightInd w:val="0"/>
        <w:snapToGrid w:val="0"/>
        <w:spacing w:before="166" w:beforeLines="50" w:line="360" w:lineRule="auto"/>
        <w:ind w:firstLine="480" w:firstLineChars="200"/>
        <w:jc w:val="left"/>
        <w:rPr>
          <w:rFonts w:hAnsi="宋体" w:cs="宋体"/>
        </w:rPr>
      </w:pPr>
      <w:r>
        <w:rPr>
          <w:rFonts w:hint="eastAsia" w:hAnsi="宋体" w:cs="宋体"/>
        </w:rPr>
        <w:t>姓名：</w:t>
      </w:r>
      <w:r>
        <w:rPr>
          <w:rFonts w:hint="eastAsia" w:hAnsi="宋体" w:cs="宋体"/>
          <w:u w:val="single"/>
        </w:rPr>
        <w:t xml:space="preserve">      </w:t>
      </w:r>
      <w:r>
        <w:rPr>
          <w:rFonts w:hint="eastAsia" w:hAnsi="宋体" w:cs="宋体"/>
        </w:rPr>
        <w:t xml:space="preserve"> 性别：</w:t>
      </w:r>
      <w:r>
        <w:rPr>
          <w:rFonts w:hint="eastAsia" w:hAnsi="宋体" w:cs="宋体"/>
          <w:u w:val="single"/>
        </w:rPr>
        <w:t xml:space="preserve">     </w:t>
      </w:r>
      <w:r>
        <w:rPr>
          <w:rFonts w:hint="eastAsia" w:hAnsi="宋体" w:cs="宋体"/>
        </w:rPr>
        <w:t xml:space="preserve"> 年龄：</w:t>
      </w:r>
      <w:r>
        <w:rPr>
          <w:rFonts w:hint="eastAsia" w:hAnsi="宋体" w:cs="宋体"/>
          <w:u w:val="single"/>
        </w:rPr>
        <w:t xml:space="preserve">     </w:t>
      </w:r>
      <w:r>
        <w:rPr>
          <w:rFonts w:hint="eastAsia" w:hAnsi="宋体" w:cs="宋体"/>
        </w:rPr>
        <w:t xml:space="preserve"> 系</w:t>
      </w:r>
      <w:r>
        <w:rPr>
          <w:rFonts w:hint="eastAsia" w:hAnsi="宋体" w:cs="宋体"/>
          <w:u w:val="single"/>
        </w:rPr>
        <w:t xml:space="preserve">         </w:t>
      </w:r>
      <w:r>
        <w:rPr>
          <w:rFonts w:hint="eastAsia" w:hAnsi="宋体" w:cs="宋体"/>
        </w:rPr>
        <w:t>（供应商名称）的法定代表人。</w:t>
      </w:r>
    </w:p>
    <w:p>
      <w:pPr>
        <w:autoSpaceDE w:val="0"/>
        <w:autoSpaceDN w:val="0"/>
        <w:adjustRightInd w:val="0"/>
        <w:snapToGrid w:val="0"/>
        <w:spacing w:before="166" w:beforeLines="50" w:line="360" w:lineRule="auto"/>
        <w:ind w:firstLine="480" w:firstLineChars="200"/>
        <w:jc w:val="left"/>
        <w:rPr>
          <w:rFonts w:hAnsi="宋体" w:cs="宋体"/>
        </w:rPr>
      </w:pPr>
      <w:r>
        <w:rPr>
          <w:rFonts w:hint="eastAsia" w:hAnsi="宋体" w:cs="宋体"/>
        </w:rPr>
        <w:t>特此证明。</w:t>
      </w:r>
    </w:p>
    <w:p>
      <w:pPr>
        <w:autoSpaceDE w:val="0"/>
        <w:autoSpaceDN w:val="0"/>
        <w:adjustRightInd w:val="0"/>
        <w:snapToGrid w:val="0"/>
        <w:spacing w:before="166" w:beforeLines="50" w:line="360" w:lineRule="auto"/>
        <w:ind w:firstLine="480" w:firstLineChars="200"/>
        <w:jc w:val="left"/>
        <w:rPr>
          <w:rFonts w:hAnsi="宋体" w:cs="宋体"/>
          <w:szCs w:val="21"/>
        </w:rPr>
      </w:pPr>
      <w:r>
        <w:rPr>
          <w:rFonts w:hint="eastAsia" w:hAnsi="宋体" w:cs="宋体"/>
          <w:szCs w:val="21"/>
        </w:rPr>
        <w:t>附：法定代表人身份证复印件（正反面）</w:t>
      </w:r>
    </w:p>
    <w:p>
      <w:pPr>
        <w:snapToGrid w:val="0"/>
        <w:spacing w:line="480" w:lineRule="auto"/>
        <w:rPr>
          <w:rFonts w:hAnsi="宋体" w:cs="宋体"/>
          <w:szCs w:val="21"/>
        </w:rPr>
      </w:pPr>
    </w:p>
    <w:p>
      <w:pPr>
        <w:snapToGrid w:val="0"/>
        <w:rPr>
          <w:rFonts w:hAnsi="宋体" w:cs="宋体"/>
          <w:szCs w:val="21"/>
        </w:rPr>
      </w:pPr>
    </w:p>
    <w:p>
      <w:pPr>
        <w:snapToGrid w:val="0"/>
        <w:rPr>
          <w:rFonts w:hAnsi="宋体" w:cs="宋体"/>
          <w:szCs w:val="21"/>
        </w:rPr>
      </w:pPr>
    </w:p>
    <w:p>
      <w:pPr>
        <w:snapToGrid w:val="0"/>
        <w:rPr>
          <w:rFonts w:hAnsi="宋体" w:cs="宋体"/>
          <w:szCs w:val="21"/>
        </w:rPr>
      </w:pPr>
    </w:p>
    <w:p>
      <w:pPr>
        <w:snapToGrid w:val="0"/>
        <w:rPr>
          <w:rFonts w:hAnsi="宋体" w:cs="宋体"/>
          <w:szCs w:val="21"/>
        </w:rPr>
      </w:pPr>
    </w:p>
    <w:p>
      <w:pPr>
        <w:adjustRightInd w:val="0"/>
        <w:snapToGrid w:val="0"/>
        <w:spacing w:line="360" w:lineRule="auto"/>
        <w:rPr>
          <w:rFonts w:hAnsi="宋体" w:cs="宋体"/>
        </w:rPr>
      </w:pPr>
    </w:p>
    <w:p>
      <w:pPr>
        <w:adjustRightInd w:val="0"/>
        <w:snapToGrid w:val="0"/>
        <w:spacing w:line="360" w:lineRule="auto"/>
        <w:ind w:right="420"/>
        <w:rPr>
          <w:rFonts w:hAnsi="宋体" w:cs="宋体"/>
        </w:rPr>
      </w:pPr>
    </w:p>
    <w:p>
      <w:pPr>
        <w:adjustRightInd w:val="0"/>
        <w:snapToGrid w:val="0"/>
        <w:spacing w:line="360" w:lineRule="auto"/>
        <w:ind w:right="420"/>
        <w:rPr>
          <w:rFonts w:hAnsi="宋体" w:cs="宋体"/>
        </w:rPr>
      </w:pPr>
    </w:p>
    <w:p>
      <w:pPr>
        <w:adjustRightInd w:val="0"/>
        <w:snapToGrid w:val="0"/>
        <w:spacing w:line="360" w:lineRule="auto"/>
        <w:ind w:right="420"/>
        <w:rPr>
          <w:rFonts w:hAnsi="宋体" w:cs="宋体"/>
        </w:rPr>
      </w:pPr>
    </w:p>
    <w:p>
      <w:pPr>
        <w:adjustRightInd w:val="0"/>
        <w:snapToGrid w:val="0"/>
        <w:spacing w:line="480" w:lineRule="auto"/>
        <w:ind w:firstLine="480" w:firstLineChars="200"/>
        <w:rPr>
          <w:rFonts w:hAnsi="宋体" w:cs="宋体"/>
        </w:rPr>
      </w:pPr>
      <w:r>
        <w:rPr>
          <w:rFonts w:hint="eastAsia" w:hAnsi="宋体" w:cs="宋体"/>
        </w:rPr>
        <w:t>供应商名称：</w:t>
      </w:r>
      <w:r>
        <w:rPr>
          <w:rFonts w:hint="eastAsia" w:hAnsi="宋体" w:cs="宋体"/>
          <w:u w:val="single"/>
        </w:rPr>
        <w:t xml:space="preserve">                            </w:t>
      </w:r>
      <w:r>
        <w:rPr>
          <w:rFonts w:hint="eastAsia" w:hAnsi="宋体" w:cs="宋体"/>
        </w:rPr>
        <w:t>（盖单位公章）</w:t>
      </w:r>
    </w:p>
    <w:p>
      <w:pPr>
        <w:adjustRightInd w:val="0"/>
        <w:snapToGrid w:val="0"/>
        <w:spacing w:line="480" w:lineRule="auto"/>
        <w:ind w:firstLine="480" w:firstLineChars="200"/>
        <w:rPr>
          <w:rFonts w:hAnsi="宋体" w:cs="宋体"/>
        </w:rPr>
      </w:pPr>
      <w:r>
        <w:rPr>
          <w:rFonts w:hint="eastAsia" w:hAnsi="宋体" w:cs="宋体"/>
        </w:rPr>
        <w:t>日   期：</w:t>
      </w:r>
      <w:r>
        <w:rPr>
          <w:rFonts w:hint="eastAsia" w:hAnsi="宋体" w:cs="宋体"/>
          <w:u w:val="single"/>
        </w:rPr>
        <w:t xml:space="preserve">         </w:t>
      </w:r>
      <w:r>
        <w:rPr>
          <w:rFonts w:hint="eastAsia" w:hAnsi="宋体" w:cs="宋体"/>
        </w:rPr>
        <w:t>年</w:t>
      </w:r>
      <w:r>
        <w:rPr>
          <w:rFonts w:hint="eastAsia" w:hAnsi="宋体" w:cs="宋体"/>
          <w:u w:val="single"/>
        </w:rPr>
        <w:t xml:space="preserve">       </w:t>
      </w:r>
      <w:r>
        <w:rPr>
          <w:rFonts w:hint="eastAsia" w:hAnsi="宋体" w:cs="宋体"/>
        </w:rPr>
        <w:t>月</w:t>
      </w:r>
      <w:r>
        <w:rPr>
          <w:rFonts w:hint="eastAsia" w:hAnsi="宋体" w:cs="宋体"/>
          <w:u w:val="single"/>
        </w:rPr>
        <w:t xml:space="preserve">      </w:t>
      </w:r>
      <w:r>
        <w:rPr>
          <w:rFonts w:hint="eastAsia" w:hAnsi="宋体" w:cs="宋体"/>
        </w:rPr>
        <w:t>日</w:t>
      </w:r>
    </w:p>
    <w:p>
      <w:pPr>
        <w:pStyle w:val="19"/>
        <w:ind w:left="480" w:leftChars="200"/>
      </w:pPr>
    </w:p>
    <w:p>
      <w:pPr>
        <w:pStyle w:val="19"/>
        <w:jc w:val="left"/>
        <w:rPr>
          <w:rFonts w:ascii="宋体" w:hAnsi="宋体" w:cs="宋体"/>
          <w:b/>
          <w:bCs/>
          <w:sz w:val="24"/>
          <w:szCs w:val="24"/>
          <w:lang w:val="zh-CN"/>
        </w:rPr>
      </w:pPr>
      <w:r>
        <w:rPr>
          <w:rFonts w:hint="eastAsia" w:ascii="宋体" w:hAnsi="宋体" w:cs="宋体"/>
          <w:b/>
          <w:bCs/>
          <w:sz w:val="24"/>
          <w:szCs w:val="24"/>
          <w:lang w:val="zh-CN"/>
        </w:rPr>
        <w:t>说明：仅限法定代表人参加时提供。</w:t>
      </w:r>
    </w:p>
    <w:p>
      <w:pPr>
        <w:pStyle w:val="19"/>
        <w:ind w:left="480" w:leftChars="200"/>
      </w:pPr>
    </w:p>
    <w:p>
      <w:pPr>
        <w:spacing w:before="166" w:beforeLines="50" w:line="360" w:lineRule="auto"/>
        <w:jc w:val="center"/>
        <w:rPr>
          <w:rFonts w:hAnsi="宋体" w:cs="宋体"/>
          <w:b/>
          <w:bCs/>
          <w:sz w:val="30"/>
          <w:szCs w:val="30"/>
        </w:rPr>
      </w:pPr>
    </w:p>
    <w:p>
      <w:pPr>
        <w:spacing w:before="166" w:beforeLines="50" w:line="360" w:lineRule="auto"/>
        <w:jc w:val="center"/>
        <w:rPr>
          <w:rFonts w:hAnsi="宋体" w:cs="宋体"/>
          <w:b/>
          <w:bCs/>
          <w:sz w:val="30"/>
          <w:szCs w:val="30"/>
        </w:rPr>
      </w:pPr>
      <w:r>
        <w:rPr>
          <w:rFonts w:hint="eastAsia" w:hAnsi="宋体" w:cs="宋体"/>
          <w:b/>
          <w:bCs/>
          <w:sz w:val="30"/>
          <w:szCs w:val="30"/>
        </w:rPr>
        <w:t>法定代表人授权书</w:t>
      </w:r>
    </w:p>
    <w:p>
      <w:pPr>
        <w:spacing w:line="560" w:lineRule="exact"/>
        <w:jc w:val="left"/>
        <w:rPr>
          <w:rFonts w:hAnsi="宋体" w:cs="宋体"/>
          <w:spacing w:val="4"/>
          <w:szCs w:val="24"/>
        </w:rPr>
      </w:pPr>
      <w:r>
        <w:rPr>
          <w:rFonts w:hint="eastAsia" w:hAnsi="宋体" w:cs="宋体"/>
          <w:b/>
          <w:spacing w:val="4"/>
          <w:szCs w:val="24"/>
        </w:rPr>
        <w:t>致：</w:t>
      </w:r>
      <w:r>
        <w:rPr>
          <w:rFonts w:hint="eastAsia" w:hAnsi="宋体" w:cs="宋体"/>
          <w:b/>
          <w:spacing w:val="4"/>
          <w:szCs w:val="24"/>
          <w:u w:val="single"/>
        </w:rPr>
        <w:t>采购人名称/陕西万兴招标代理有限公司</w:t>
      </w:r>
    </w:p>
    <w:p>
      <w:pPr>
        <w:spacing w:line="560" w:lineRule="exact"/>
        <w:ind w:firstLine="496" w:firstLineChars="200"/>
        <w:jc w:val="left"/>
        <w:rPr>
          <w:rFonts w:hAnsi="宋体" w:cs="宋体"/>
          <w:spacing w:val="4"/>
          <w:szCs w:val="24"/>
        </w:rPr>
      </w:pPr>
      <w:r>
        <w:rPr>
          <w:rFonts w:hint="eastAsia" w:hAnsi="宋体" w:cs="宋体"/>
          <w:spacing w:val="4"/>
          <w:szCs w:val="24"/>
          <w:u w:val="single"/>
        </w:rPr>
        <w:t xml:space="preserve">(供应商名称)   </w:t>
      </w:r>
      <w:r>
        <w:rPr>
          <w:rFonts w:hint="eastAsia" w:hAnsi="宋体" w:cs="宋体"/>
          <w:spacing w:val="4"/>
          <w:szCs w:val="24"/>
        </w:rPr>
        <w:t>按中华人民共和国法律于（</w:t>
      </w:r>
      <w:r>
        <w:rPr>
          <w:rFonts w:hint="eastAsia" w:hAnsi="宋体" w:cs="宋体"/>
          <w:spacing w:val="4"/>
          <w:szCs w:val="24"/>
          <w:u w:val="single"/>
        </w:rPr>
        <w:t xml:space="preserve">     </w:t>
      </w:r>
      <w:r>
        <w:rPr>
          <w:rFonts w:hint="eastAsia" w:hAnsi="宋体" w:cs="宋体"/>
          <w:spacing w:val="4"/>
          <w:szCs w:val="24"/>
        </w:rPr>
        <w:t>年</w:t>
      </w:r>
      <w:r>
        <w:rPr>
          <w:rFonts w:hint="eastAsia" w:hAnsi="宋体" w:cs="宋体"/>
          <w:spacing w:val="4"/>
          <w:szCs w:val="24"/>
          <w:u w:val="single"/>
        </w:rPr>
        <w:t xml:space="preserve">    </w:t>
      </w:r>
      <w:r>
        <w:rPr>
          <w:rFonts w:hint="eastAsia" w:hAnsi="宋体" w:cs="宋体"/>
          <w:spacing w:val="4"/>
          <w:szCs w:val="24"/>
        </w:rPr>
        <w:t>月</w:t>
      </w:r>
      <w:r>
        <w:rPr>
          <w:rFonts w:hint="eastAsia" w:hAnsi="宋体" w:cs="宋体"/>
          <w:spacing w:val="4"/>
          <w:szCs w:val="24"/>
          <w:u w:val="single"/>
        </w:rPr>
        <w:t xml:space="preserve">    </w:t>
      </w:r>
      <w:r>
        <w:rPr>
          <w:rFonts w:hint="eastAsia" w:hAnsi="宋体" w:cs="宋体"/>
          <w:spacing w:val="4"/>
          <w:szCs w:val="24"/>
        </w:rPr>
        <w:t>日 ）  成立。</w:t>
      </w:r>
      <w:r>
        <w:rPr>
          <w:rFonts w:hint="eastAsia" w:hAnsi="宋体" w:cs="宋体"/>
          <w:szCs w:val="24"/>
        </w:rPr>
        <w:t>法定代表人</w:t>
      </w:r>
      <w:r>
        <w:rPr>
          <w:rFonts w:hint="eastAsia" w:hAnsi="宋体" w:cs="宋体"/>
          <w:szCs w:val="24"/>
          <w:u w:val="single"/>
        </w:rPr>
        <w:t xml:space="preserve">  </w:t>
      </w:r>
      <w:r>
        <w:rPr>
          <w:rFonts w:hint="eastAsia" w:hAnsi="宋体" w:cs="宋体"/>
          <w:spacing w:val="4"/>
          <w:szCs w:val="24"/>
          <w:u w:val="single"/>
        </w:rPr>
        <w:t xml:space="preserve">姓名   </w:t>
      </w:r>
      <w:r>
        <w:rPr>
          <w:rFonts w:hint="eastAsia" w:hAnsi="宋体" w:cs="宋体"/>
          <w:spacing w:val="4"/>
          <w:szCs w:val="24"/>
        </w:rPr>
        <w:t>特授权</w:t>
      </w:r>
      <w:r>
        <w:rPr>
          <w:rFonts w:hint="eastAsia" w:hAnsi="宋体" w:cs="宋体"/>
          <w:spacing w:val="4"/>
          <w:szCs w:val="24"/>
          <w:u w:val="single"/>
        </w:rPr>
        <w:t xml:space="preserve">  </w:t>
      </w:r>
      <w:r>
        <w:rPr>
          <w:rFonts w:hint="eastAsia" w:hAnsi="宋体" w:cs="宋体"/>
          <w:szCs w:val="24"/>
          <w:u w:val="single"/>
        </w:rPr>
        <w:t>被授权人</w:t>
      </w:r>
      <w:r>
        <w:rPr>
          <w:rFonts w:hint="eastAsia" w:hAnsi="宋体" w:cs="宋体"/>
          <w:spacing w:val="4"/>
          <w:szCs w:val="24"/>
          <w:u w:val="single"/>
        </w:rPr>
        <w:t xml:space="preserve">姓名  </w:t>
      </w:r>
      <w:r>
        <w:rPr>
          <w:rFonts w:hint="eastAsia" w:hAnsi="宋体" w:cs="宋体"/>
          <w:spacing w:val="4"/>
          <w:szCs w:val="24"/>
        </w:rPr>
        <w:t>代表我公司全权办理针对本次</w:t>
      </w:r>
      <w:r>
        <w:rPr>
          <w:rFonts w:hint="eastAsia" w:hAnsi="宋体" w:cs="宋体"/>
          <w:spacing w:val="4"/>
          <w:szCs w:val="24"/>
          <w:u w:val="single"/>
        </w:rPr>
        <w:t xml:space="preserve">  项目名称、项目编号</w:t>
      </w:r>
      <w:r>
        <w:rPr>
          <w:rFonts w:hint="eastAsia" w:hAnsi="宋体" w:cs="宋体"/>
          <w:spacing w:val="4"/>
          <w:szCs w:val="24"/>
          <w:u w:val="single"/>
          <w:lang w:eastAsia="zh-CN"/>
        </w:rPr>
        <w:t>、包号：</w:t>
      </w:r>
      <w:r>
        <w:rPr>
          <w:rFonts w:hint="eastAsia" w:hAnsi="宋体" w:cs="宋体"/>
          <w:spacing w:val="4"/>
          <w:szCs w:val="24"/>
        </w:rPr>
        <w:t>投标、谈判、签约等具体工作，并签署全部有关的文件、协议及合同。</w:t>
      </w:r>
    </w:p>
    <w:p>
      <w:pPr>
        <w:spacing w:line="560" w:lineRule="exact"/>
        <w:ind w:firstLine="496" w:firstLineChars="200"/>
        <w:jc w:val="left"/>
        <w:rPr>
          <w:rFonts w:hAnsi="宋体" w:cs="宋体"/>
          <w:spacing w:val="4"/>
          <w:szCs w:val="24"/>
        </w:rPr>
      </w:pPr>
      <w:r>
        <w:rPr>
          <w:rFonts w:hint="eastAsia" w:hAnsi="宋体" w:cs="宋体"/>
          <w:spacing w:val="4"/>
          <w:szCs w:val="24"/>
        </w:rPr>
        <w:t>我公司对</w:t>
      </w:r>
      <w:r>
        <w:rPr>
          <w:rFonts w:hint="eastAsia" w:hAnsi="宋体" w:cs="宋体"/>
          <w:szCs w:val="24"/>
        </w:rPr>
        <w:t>被授权人</w:t>
      </w:r>
      <w:r>
        <w:rPr>
          <w:rFonts w:hint="eastAsia" w:hAnsi="宋体" w:cs="宋体"/>
          <w:spacing w:val="4"/>
          <w:szCs w:val="24"/>
        </w:rPr>
        <w:t>的签名负全部责任。</w:t>
      </w:r>
    </w:p>
    <w:p>
      <w:pPr>
        <w:spacing w:line="560" w:lineRule="exact"/>
        <w:ind w:right="233" w:rightChars="97" w:firstLine="480" w:firstLineChars="200"/>
        <w:jc w:val="left"/>
        <w:rPr>
          <w:rFonts w:hAnsi="宋体" w:cs="宋体"/>
        </w:rPr>
      </w:pPr>
      <w:r>
        <w:rPr>
          <w:rFonts w:hint="eastAsia" w:hAnsi="宋体" w:cs="宋体"/>
          <w:szCs w:val="24"/>
        </w:rPr>
        <w:t>本授权有效期与投标有效期一致</w:t>
      </w:r>
      <w:r>
        <w:rPr>
          <w:rFonts w:hint="eastAsia" w:hAnsi="宋体" w:cs="宋体"/>
        </w:rPr>
        <w:t>。</w:t>
      </w:r>
    </w:p>
    <w:tbl>
      <w:tblPr>
        <w:tblStyle w:val="46"/>
        <w:tblW w:w="8190" w:type="dxa"/>
        <w:tblInd w:w="633" w:type="dxa"/>
        <w:tblLayout w:type="fixed"/>
        <w:tblCellMar>
          <w:top w:w="0" w:type="dxa"/>
          <w:left w:w="108" w:type="dxa"/>
          <w:bottom w:w="0" w:type="dxa"/>
          <w:right w:w="108" w:type="dxa"/>
        </w:tblCellMar>
      </w:tblPr>
      <w:tblGrid>
        <w:gridCol w:w="4200"/>
        <w:gridCol w:w="3990"/>
      </w:tblGrid>
      <w:tr>
        <w:tblPrEx>
          <w:tblCellMar>
            <w:top w:w="0" w:type="dxa"/>
            <w:left w:w="108" w:type="dxa"/>
            <w:bottom w:w="0" w:type="dxa"/>
            <w:right w:w="108" w:type="dxa"/>
          </w:tblCellMar>
        </w:tblPrEx>
        <w:trPr>
          <w:trHeight w:val="600" w:hRule="atLeast"/>
        </w:trPr>
        <w:tc>
          <w:tcPr>
            <w:tcW w:w="4200" w:type="dxa"/>
          </w:tcPr>
          <w:p>
            <w:pPr>
              <w:spacing w:line="520" w:lineRule="exact"/>
              <w:jc w:val="left"/>
              <w:rPr>
                <w:rFonts w:hAnsi="宋体" w:cs="宋体"/>
                <w:spacing w:val="4"/>
                <w:szCs w:val="24"/>
              </w:rPr>
            </w:pPr>
            <w:r>
              <w:rPr>
                <w:rFonts w:hint="eastAsia" w:hAnsi="宋体" w:cs="宋体"/>
                <w:spacing w:val="4"/>
                <w:szCs w:val="24"/>
              </w:rPr>
              <w:t>被授权人签字或盖章：</w:t>
            </w:r>
          </w:p>
        </w:tc>
        <w:tc>
          <w:tcPr>
            <w:tcW w:w="3990" w:type="dxa"/>
          </w:tcPr>
          <w:p>
            <w:pPr>
              <w:spacing w:line="520" w:lineRule="exact"/>
              <w:jc w:val="left"/>
              <w:rPr>
                <w:rFonts w:hAnsi="宋体" w:cs="宋体"/>
                <w:spacing w:val="4"/>
                <w:szCs w:val="24"/>
              </w:rPr>
            </w:pPr>
            <w:r>
              <w:rPr>
                <w:rFonts w:hint="eastAsia" w:hAnsi="宋体" w:cs="宋体"/>
                <w:szCs w:val="24"/>
              </w:rPr>
              <w:t>法定代表人</w:t>
            </w:r>
            <w:r>
              <w:rPr>
                <w:rFonts w:hint="eastAsia" w:hAnsi="宋体" w:cs="宋体"/>
                <w:spacing w:val="4"/>
                <w:szCs w:val="24"/>
              </w:rPr>
              <w:t>签字或盖章：</w:t>
            </w:r>
          </w:p>
        </w:tc>
      </w:tr>
      <w:tr>
        <w:tblPrEx>
          <w:tblCellMar>
            <w:top w:w="0" w:type="dxa"/>
            <w:left w:w="108" w:type="dxa"/>
            <w:bottom w:w="0" w:type="dxa"/>
            <w:right w:w="108" w:type="dxa"/>
          </w:tblCellMar>
        </w:tblPrEx>
        <w:trPr>
          <w:trHeight w:val="600" w:hRule="atLeast"/>
        </w:trPr>
        <w:tc>
          <w:tcPr>
            <w:tcW w:w="4200" w:type="dxa"/>
          </w:tcPr>
          <w:p>
            <w:pPr>
              <w:spacing w:line="520" w:lineRule="exact"/>
              <w:jc w:val="left"/>
              <w:rPr>
                <w:rFonts w:hAnsi="宋体" w:cs="宋体"/>
                <w:spacing w:val="4"/>
                <w:szCs w:val="24"/>
              </w:rPr>
            </w:pPr>
            <w:r>
              <w:rPr>
                <w:rFonts w:hint="eastAsia" w:hAnsi="宋体" w:cs="宋体"/>
                <w:spacing w:val="4"/>
                <w:szCs w:val="24"/>
              </w:rPr>
              <w:t>职务：</w:t>
            </w:r>
          </w:p>
        </w:tc>
        <w:tc>
          <w:tcPr>
            <w:tcW w:w="3990" w:type="dxa"/>
          </w:tcPr>
          <w:p>
            <w:pPr>
              <w:spacing w:line="520" w:lineRule="exact"/>
              <w:jc w:val="left"/>
              <w:rPr>
                <w:rFonts w:hAnsi="宋体" w:cs="宋体"/>
                <w:spacing w:val="4"/>
                <w:szCs w:val="24"/>
              </w:rPr>
            </w:pPr>
            <w:r>
              <w:rPr>
                <w:rFonts w:hint="eastAsia" w:hAnsi="宋体" w:cs="宋体"/>
                <w:spacing w:val="4"/>
                <w:szCs w:val="24"/>
              </w:rPr>
              <w:t>职务：</w:t>
            </w:r>
          </w:p>
        </w:tc>
      </w:tr>
    </w:tbl>
    <w:p>
      <w:pPr>
        <w:spacing w:before="240" w:line="360" w:lineRule="auto"/>
        <w:ind w:firstLine="960" w:firstLineChars="400"/>
        <w:rPr>
          <w:rFonts w:hAnsi="宋体" w:cs="宋体"/>
          <w:u w:val="single"/>
        </w:rPr>
      </w:pPr>
      <w:r>
        <w:rPr>
          <w:rFonts w:hint="eastAsia" w:hAnsi="宋体" w:cs="宋体"/>
          <w:lang w:val="zh-CN"/>
        </w:rPr>
        <w:t>附法定代表人身份证复印件及被授权人身份证复印件</w:t>
      </w:r>
      <w:r>
        <w:rPr>
          <w:rFonts w:hint="eastAsia" w:hAnsi="宋体" w:cs="宋体"/>
          <w:szCs w:val="21"/>
          <w:lang w:val="zh-CN"/>
        </w:rPr>
        <w:t>（正反面）</w:t>
      </w:r>
    </w:p>
    <w:p>
      <w:pPr>
        <w:spacing w:line="480" w:lineRule="auto"/>
        <w:ind w:left="485" w:leftChars="202" w:right="617" w:rightChars="257"/>
        <w:jc w:val="left"/>
        <w:rPr>
          <w:rFonts w:hAnsi="宋体" w:cs="宋体"/>
        </w:rPr>
      </w:pPr>
    </w:p>
    <w:p>
      <w:pPr>
        <w:spacing w:line="480" w:lineRule="auto"/>
        <w:ind w:left="485" w:leftChars="202" w:right="617" w:rightChars="257"/>
        <w:jc w:val="left"/>
        <w:rPr>
          <w:rFonts w:hAnsi="宋体" w:cs="宋体"/>
        </w:rPr>
      </w:pPr>
    </w:p>
    <w:p>
      <w:pPr>
        <w:spacing w:line="480" w:lineRule="auto"/>
        <w:ind w:left="485" w:leftChars="202" w:right="617" w:rightChars="257"/>
        <w:jc w:val="left"/>
        <w:rPr>
          <w:rFonts w:hAnsi="宋体" w:cs="宋体"/>
        </w:rPr>
      </w:pPr>
    </w:p>
    <w:p>
      <w:pPr>
        <w:adjustRightInd w:val="0"/>
        <w:snapToGrid w:val="0"/>
        <w:spacing w:line="360" w:lineRule="auto"/>
        <w:ind w:right="420"/>
        <w:rPr>
          <w:rFonts w:hAnsi="宋体" w:cs="宋体"/>
        </w:rPr>
      </w:pPr>
    </w:p>
    <w:p>
      <w:pPr>
        <w:adjustRightInd w:val="0"/>
        <w:snapToGrid w:val="0"/>
        <w:spacing w:line="720" w:lineRule="auto"/>
        <w:ind w:firstLine="480" w:firstLineChars="200"/>
        <w:rPr>
          <w:rFonts w:hAnsi="宋体" w:cs="宋体"/>
        </w:rPr>
      </w:pPr>
      <w:r>
        <w:rPr>
          <w:rFonts w:hint="eastAsia" w:hAnsi="宋体" w:cs="宋体"/>
        </w:rPr>
        <w:t>供应商名称：</w:t>
      </w:r>
      <w:r>
        <w:rPr>
          <w:rFonts w:hint="eastAsia" w:hAnsi="宋体" w:cs="宋体"/>
          <w:u w:val="single"/>
        </w:rPr>
        <w:t xml:space="preserve">                            </w:t>
      </w:r>
      <w:r>
        <w:rPr>
          <w:rFonts w:hint="eastAsia" w:hAnsi="宋体" w:cs="宋体"/>
        </w:rPr>
        <w:t>（盖单位公章）</w:t>
      </w:r>
    </w:p>
    <w:p>
      <w:pPr>
        <w:adjustRightInd w:val="0"/>
        <w:snapToGrid w:val="0"/>
        <w:spacing w:line="720" w:lineRule="auto"/>
        <w:ind w:firstLine="480" w:firstLineChars="200"/>
        <w:rPr>
          <w:rFonts w:hAnsi="宋体" w:cs="宋体"/>
        </w:rPr>
      </w:pPr>
      <w:r>
        <w:rPr>
          <w:rFonts w:hint="eastAsia" w:hAnsi="宋体" w:cs="宋体"/>
        </w:rPr>
        <w:t>日   期：</w:t>
      </w:r>
      <w:r>
        <w:rPr>
          <w:rFonts w:hint="eastAsia" w:hAnsi="宋体" w:cs="宋体"/>
          <w:u w:val="single"/>
        </w:rPr>
        <w:t xml:space="preserve">         </w:t>
      </w:r>
      <w:r>
        <w:rPr>
          <w:rFonts w:hint="eastAsia" w:hAnsi="宋体" w:cs="宋体"/>
        </w:rPr>
        <w:t>年</w:t>
      </w:r>
      <w:r>
        <w:rPr>
          <w:rFonts w:hint="eastAsia" w:hAnsi="宋体" w:cs="宋体"/>
          <w:u w:val="single"/>
        </w:rPr>
        <w:t xml:space="preserve">       </w:t>
      </w:r>
      <w:r>
        <w:rPr>
          <w:rFonts w:hint="eastAsia" w:hAnsi="宋体" w:cs="宋体"/>
        </w:rPr>
        <w:t>月</w:t>
      </w:r>
      <w:r>
        <w:rPr>
          <w:rFonts w:hint="eastAsia" w:hAnsi="宋体" w:cs="宋体"/>
          <w:u w:val="single"/>
        </w:rPr>
        <w:t xml:space="preserve">      </w:t>
      </w:r>
      <w:r>
        <w:rPr>
          <w:rFonts w:hint="eastAsia" w:hAnsi="宋体" w:cs="宋体"/>
        </w:rPr>
        <w:t>日</w:t>
      </w:r>
    </w:p>
    <w:p>
      <w:pPr>
        <w:ind w:firstLine="482" w:firstLineChars="200"/>
        <w:rPr>
          <w:rFonts w:hAnsi="宋体" w:cs="宋体"/>
          <w:b/>
          <w:bCs/>
          <w:lang w:val="zh-CN"/>
        </w:rPr>
      </w:pPr>
    </w:p>
    <w:p>
      <w:pPr>
        <w:pStyle w:val="19"/>
        <w:ind w:left="480" w:leftChars="200"/>
        <w:rPr>
          <w:rFonts w:ascii="宋体" w:hAnsi="宋体" w:cs="宋体"/>
          <w:b/>
          <w:bCs/>
          <w:sz w:val="24"/>
          <w:szCs w:val="24"/>
          <w:lang w:val="zh-CN"/>
        </w:rPr>
      </w:pPr>
      <w:r>
        <w:rPr>
          <w:rFonts w:hint="eastAsia" w:ascii="宋体" w:hAnsi="宋体" w:cs="宋体"/>
          <w:b/>
          <w:bCs/>
          <w:sz w:val="24"/>
          <w:szCs w:val="24"/>
          <w:lang w:val="zh-CN"/>
        </w:rPr>
        <w:t>说明：</w:t>
      </w:r>
      <w:r>
        <w:rPr>
          <w:rFonts w:hint="eastAsia" w:ascii="宋体" w:hAnsi="宋体" w:cs="宋体"/>
          <w:b/>
          <w:bCs/>
          <w:sz w:val="24"/>
          <w:szCs w:val="24"/>
        </w:rPr>
        <w:t>法定代表人直接投标时无需提供。</w:t>
      </w:r>
    </w:p>
    <w:p>
      <w:pPr>
        <w:spacing w:before="166" w:beforeLines="50" w:line="360" w:lineRule="auto"/>
        <w:jc w:val="left"/>
        <w:rPr>
          <w:rFonts w:hAnsi="宋体" w:cs="宋体"/>
          <w:b/>
          <w:bCs/>
          <w:szCs w:val="24"/>
        </w:rPr>
      </w:pPr>
      <w:r>
        <w:rPr>
          <w:rFonts w:hint="eastAsia" w:hAnsi="宋体" w:cs="宋体"/>
          <w:b/>
          <w:bCs/>
          <w:szCs w:val="24"/>
        </w:rPr>
        <w:br w:type="page"/>
      </w:r>
    </w:p>
    <w:p>
      <w:pPr>
        <w:rPr>
          <w:rFonts w:hAnsi="宋体" w:cs="宋体"/>
          <w:b/>
          <w:sz w:val="28"/>
          <w:szCs w:val="28"/>
        </w:rPr>
      </w:pPr>
      <w:r>
        <w:rPr>
          <w:rFonts w:hint="eastAsia" w:hAnsi="宋体" w:cs="宋体"/>
          <w:b/>
          <w:sz w:val="28"/>
          <w:szCs w:val="28"/>
        </w:rPr>
        <w:t>附件</w:t>
      </w:r>
      <w:r>
        <w:rPr>
          <w:rFonts w:hAnsi="宋体" w:cs="宋体"/>
          <w:b/>
          <w:sz w:val="28"/>
          <w:szCs w:val="28"/>
        </w:rPr>
        <w:t>1</w:t>
      </w:r>
      <w:r>
        <w:rPr>
          <w:rFonts w:hint="eastAsia" w:hAnsi="宋体" w:cs="宋体"/>
          <w:b/>
          <w:sz w:val="28"/>
          <w:szCs w:val="28"/>
        </w:rPr>
        <w:t>：</w:t>
      </w:r>
    </w:p>
    <w:p>
      <w:pPr>
        <w:spacing w:before="166" w:beforeLines="50" w:line="360" w:lineRule="auto"/>
        <w:jc w:val="center"/>
        <w:rPr>
          <w:rFonts w:hAnsi="宋体" w:cs="宋体"/>
          <w:b/>
          <w:bCs/>
          <w:sz w:val="30"/>
          <w:szCs w:val="30"/>
        </w:rPr>
      </w:pPr>
      <w:r>
        <w:rPr>
          <w:rFonts w:hint="eastAsia" w:hAnsi="宋体" w:cs="宋体"/>
          <w:b/>
          <w:bCs/>
          <w:sz w:val="30"/>
          <w:szCs w:val="30"/>
        </w:rPr>
        <w:t>参加本次政府采购活动前三年内，在经营活动中没有重大违法记录的</w:t>
      </w:r>
    </w:p>
    <w:p>
      <w:pPr>
        <w:spacing w:before="166" w:beforeLines="50" w:line="360" w:lineRule="auto"/>
        <w:jc w:val="center"/>
        <w:rPr>
          <w:rFonts w:hAnsi="宋体" w:cs="宋体"/>
          <w:b/>
          <w:bCs/>
          <w:sz w:val="30"/>
          <w:szCs w:val="30"/>
        </w:rPr>
      </w:pPr>
      <w:r>
        <w:rPr>
          <w:rFonts w:hint="eastAsia" w:hAnsi="宋体" w:cs="宋体"/>
          <w:b/>
          <w:bCs/>
          <w:sz w:val="30"/>
          <w:szCs w:val="30"/>
        </w:rPr>
        <w:t>书面声明</w:t>
      </w:r>
    </w:p>
    <w:p>
      <w:pPr>
        <w:spacing w:before="120" w:line="360" w:lineRule="auto"/>
        <w:jc w:val="center"/>
        <w:rPr>
          <w:rFonts w:hAnsi="宋体" w:cs="宋体"/>
          <w:b/>
          <w:szCs w:val="24"/>
        </w:rPr>
      </w:pPr>
    </w:p>
    <w:p>
      <w:pPr>
        <w:spacing w:before="120" w:line="360" w:lineRule="auto"/>
        <w:jc w:val="center"/>
        <w:rPr>
          <w:rFonts w:hAnsi="宋体" w:cs="宋体"/>
          <w:b/>
          <w:szCs w:val="24"/>
        </w:rPr>
      </w:pPr>
    </w:p>
    <w:p>
      <w:pPr>
        <w:spacing w:line="480" w:lineRule="auto"/>
        <w:rPr>
          <w:rFonts w:hAnsi="宋体" w:cs="宋体"/>
          <w:spacing w:val="4"/>
          <w:szCs w:val="24"/>
          <w:u w:val="single"/>
        </w:rPr>
      </w:pPr>
      <w:r>
        <w:rPr>
          <w:rFonts w:hint="eastAsia" w:hAnsi="宋体" w:cs="宋体"/>
          <w:spacing w:val="4"/>
          <w:szCs w:val="24"/>
        </w:rPr>
        <w:t>致：</w:t>
      </w:r>
      <w:r>
        <w:rPr>
          <w:rFonts w:hint="eastAsia" w:hAnsi="宋体" w:cs="宋体"/>
          <w:spacing w:val="4"/>
          <w:szCs w:val="24"/>
          <w:u w:val="single"/>
        </w:rPr>
        <w:t xml:space="preserve">   （采购人名称）    </w:t>
      </w:r>
    </w:p>
    <w:p>
      <w:pPr>
        <w:spacing w:line="480" w:lineRule="auto"/>
        <w:ind w:firstLine="496" w:firstLineChars="200"/>
        <w:rPr>
          <w:rFonts w:hAnsi="宋体" w:cs="宋体"/>
          <w:spacing w:val="4"/>
          <w:szCs w:val="24"/>
        </w:rPr>
      </w:pPr>
      <w:r>
        <w:rPr>
          <w:rFonts w:hint="eastAsia" w:hAnsi="宋体" w:cs="宋体"/>
          <w:spacing w:val="4"/>
          <w:szCs w:val="24"/>
        </w:rPr>
        <w:t>（</w:t>
      </w:r>
      <w:r>
        <w:rPr>
          <w:rFonts w:hint="eastAsia" w:hAnsi="宋体" w:cs="宋体"/>
          <w:spacing w:val="4"/>
          <w:szCs w:val="24"/>
          <w:u w:val="single"/>
        </w:rPr>
        <w:t xml:space="preserve">                  公司</w:t>
      </w:r>
      <w:r>
        <w:rPr>
          <w:rFonts w:hint="eastAsia" w:hAnsi="宋体" w:cs="宋体"/>
          <w:spacing w:val="4"/>
          <w:szCs w:val="24"/>
        </w:rPr>
        <w:t>）为在中华人民共和国境内合法注册并经营的机构。在此郑重声明，我公司在参与本次政府采购活动前三年内在经营活动中没有重大违法记录。</w:t>
      </w:r>
    </w:p>
    <w:p>
      <w:pPr>
        <w:pStyle w:val="19"/>
        <w:rPr>
          <w:rFonts w:ascii="宋体" w:hAnsi="宋体" w:cs="宋体"/>
          <w:spacing w:val="4"/>
          <w:sz w:val="24"/>
          <w:szCs w:val="24"/>
        </w:rPr>
      </w:pPr>
    </w:p>
    <w:p>
      <w:pPr>
        <w:pStyle w:val="19"/>
        <w:rPr>
          <w:rFonts w:ascii="宋体" w:hAnsi="宋体" w:cs="宋体"/>
          <w:spacing w:val="4"/>
          <w:sz w:val="24"/>
          <w:szCs w:val="24"/>
        </w:rPr>
      </w:pPr>
    </w:p>
    <w:p>
      <w:pPr>
        <w:pStyle w:val="19"/>
        <w:rPr>
          <w:rFonts w:ascii="宋体" w:hAnsi="宋体" w:cs="宋体"/>
          <w:spacing w:val="4"/>
          <w:sz w:val="24"/>
          <w:szCs w:val="24"/>
        </w:rPr>
      </w:pPr>
    </w:p>
    <w:p>
      <w:pPr>
        <w:pStyle w:val="19"/>
        <w:rPr>
          <w:rFonts w:ascii="宋体" w:hAnsi="宋体" w:cs="宋体"/>
          <w:spacing w:val="4"/>
          <w:sz w:val="24"/>
          <w:szCs w:val="24"/>
        </w:rPr>
      </w:pPr>
    </w:p>
    <w:p>
      <w:pPr>
        <w:pStyle w:val="19"/>
        <w:rPr>
          <w:rFonts w:ascii="宋体" w:hAnsi="宋体" w:cs="宋体"/>
          <w:spacing w:val="4"/>
          <w:sz w:val="24"/>
          <w:szCs w:val="24"/>
        </w:rPr>
      </w:pPr>
    </w:p>
    <w:p>
      <w:pPr>
        <w:pStyle w:val="19"/>
        <w:rPr>
          <w:rFonts w:ascii="宋体" w:hAnsi="宋体" w:cs="宋体"/>
          <w:spacing w:val="4"/>
          <w:sz w:val="24"/>
          <w:szCs w:val="24"/>
        </w:rPr>
      </w:pPr>
    </w:p>
    <w:p>
      <w:pPr>
        <w:pStyle w:val="19"/>
        <w:rPr>
          <w:rFonts w:ascii="宋体" w:hAnsi="宋体" w:cs="宋体"/>
          <w:spacing w:val="4"/>
          <w:sz w:val="24"/>
          <w:szCs w:val="24"/>
        </w:rPr>
      </w:pPr>
    </w:p>
    <w:p>
      <w:pPr>
        <w:pStyle w:val="19"/>
        <w:rPr>
          <w:rFonts w:ascii="宋体" w:hAnsi="宋体" w:cs="宋体"/>
          <w:spacing w:val="4"/>
          <w:sz w:val="24"/>
          <w:szCs w:val="24"/>
        </w:rPr>
      </w:pPr>
    </w:p>
    <w:p>
      <w:pPr>
        <w:spacing w:line="360" w:lineRule="auto"/>
        <w:ind w:firstLine="2640" w:firstLineChars="1100"/>
        <w:rPr>
          <w:rFonts w:hAnsi="宋体" w:cs="宋体"/>
          <w:szCs w:val="24"/>
          <w:u w:val="single"/>
        </w:rPr>
      </w:pPr>
      <w:r>
        <w:rPr>
          <w:rFonts w:hint="eastAsia" w:hAnsi="宋体" w:cs="宋体"/>
          <w:szCs w:val="24"/>
        </w:rPr>
        <w:t>法定代表人或被授权代表：</w:t>
      </w:r>
      <w:r>
        <w:rPr>
          <w:rFonts w:hint="eastAsia" w:hAnsi="宋体" w:cs="宋体"/>
          <w:szCs w:val="24"/>
          <w:u w:val="single"/>
        </w:rPr>
        <w:t xml:space="preserve">        </w:t>
      </w:r>
      <w:r>
        <w:rPr>
          <w:rFonts w:hint="eastAsia" w:hAnsi="宋体" w:cs="宋体"/>
          <w:szCs w:val="24"/>
        </w:rPr>
        <w:t>（签字或盖章）</w:t>
      </w:r>
    </w:p>
    <w:p>
      <w:pPr>
        <w:spacing w:line="360" w:lineRule="auto"/>
        <w:ind w:firstLine="2640" w:firstLineChars="1100"/>
        <w:rPr>
          <w:rFonts w:hAnsi="宋体" w:cs="宋体"/>
          <w:szCs w:val="24"/>
          <w:u w:val="single"/>
        </w:rPr>
      </w:pPr>
      <w:r>
        <w:rPr>
          <w:rFonts w:hint="eastAsia" w:hAnsi="宋体" w:cs="宋体"/>
          <w:szCs w:val="24"/>
        </w:rPr>
        <w:t>供    应   商  公  章：</w:t>
      </w:r>
      <w:r>
        <w:rPr>
          <w:rFonts w:hint="eastAsia" w:hAnsi="宋体" w:cs="宋体"/>
          <w:szCs w:val="24"/>
          <w:u w:val="single"/>
        </w:rPr>
        <w:t xml:space="preserve">                                 </w:t>
      </w:r>
    </w:p>
    <w:p>
      <w:pPr>
        <w:pStyle w:val="30"/>
        <w:spacing w:line="360" w:lineRule="auto"/>
        <w:ind w:firstLine="2640" w:firstLineChars="1100"/>
        <w:rPr>
          <w:rFonts w:ascii="宋体" w:hAnsi="宋体" w:cs="宋体"/>
          <w:szCs w:val="24"/>
          <w:u w:val="single"/>
        </w:rPr>
      </w:pPr>
      <w:r>
        <w:rPr>
          <w:rFonts w:hint="eastAsia" w:ascii="宋体" w:hAnsi="宋体" w:cs="宋体"/>
          <w:kern w:val="0"/>
          <w:sz w:val="24"/>
          <w:szCs w:val="24"/>
        </w:rPr>
        <w:t>日                 期：</w:t>
      </w:r>
      <w:r>
        <w:rPr>
          <w:rFonts w:hint="eastAsia" w:ascii="宋体" w:hAnsi="宋体" w:cs="宋体"/>
          <w:szCs w:val="24"/>
          <w:u w:val="single"/>
        </w:rPr>
        <w:t xml:space="preserve">                                            </w:t>
      </w:r>
    </w:p>
    <w:p>
      <w:pPr>
        <w:pStyle w:val="30"/>
        <w:spacing w:line="360" w:lineRule="auto"/>
        <w:ind w:firstLine="1980" w:firstLineChars="1100"/>
        <w:rPr>
          <w:rFonts w:ascii="宋体" w:hAnsi="宋体" w:cs="宋体"/>
          <w:szCs w:val="24"/>
          <w:u w:val="single"/>
        </w:rPr>
      </w:pPr>
    </w:p>
    <w:p>
      <w:pPr>
        <w:pStyle w:val="30"/>
        <w:spacing w:line="360" w:lineRule="auto"/>
        <w:ind w:firstLine="1980" w:firstLineChars="1100"/>
        <w:rPr>
          <w:rFonts w:ascii="宋体" w:hAnsi="宋体" w:cs="宋体"/>
          <w:szCs w:val="24"/>
          <w:u w:val="single"/>
        </w:rPr>
      </w:pPr>
    </w:p>
    <w:p>
      <w:pPr>
        <w:pStyle w:val="30"/>
        <w:spacing w:line="360" w:lineRule="auto"/>
        <w:ind w:firstLine="1980" w:firstLineChars="1100"/>
        <w:rPr>
          <w:rFonts w:ascii="宋体" w:hAnsi="宋体" w:cs="宋体"/>
          <w:szCs w:val="24"/>
          <w:u w:val="single"/>
        </w:rPr>
      </w:pPr>
    </w:p>
    <w:p>
      <w:pPr>
        <w:pStyle w:val="30"/>
        <w:spacing w:line="360" w:lineRule="auto"/>
        <w:ind w:firstLine="1980" w:firstLineChars="1100"/>
        <w:rPr>
          <w:rFonts w:ascii="宋体" w:hAnsi="宋体" w:cs="宋体"/>
          <w:szCs w:val="24"/>
          <w:u w:val="single"/>
        </w:rPr>
      </w:pPr>
    </w:p>
    <w:p>
      <w:pPr>
        <w:pStyle w:val="30"/>
        <w:spacing w:line="360" w:lineRule="auto"/>
        <w:ind w:firstLine="1980" w:firstLineChars="1100"/>
        <w:rPr>
          <w:rFonts w:ascii="宋体" w:hAnsi="宋体" w:cs="宋体"/>
          <w:szCs w:val="24"/>
          <w:u w:val="single"/>
        </w:rPr>
      </w:pPr>
    </w:p>
    <w:p>
      <w:pPr>
        <w:pStyle w:val="30"/>
        <w:spacing w:line="360" w:lineRule="auto"/>
        <w:ind w:firstLine="1980" w:firstLineChars="1100"/>
        <w:rPr>
          <w:rFonts w:ascii="宋体" w:hAnsi="宋体" w:cs="宋体"/>
          <w:szCs w:val="24"/>
          <w:u w:val="single"/>
        </w:rPr>
      </w:pPr>
    </w:p>
    <w:p>
      <w:pPr>
        <w:pStyle w:val="30"/>
        <w:spacing w:line="360" w:lineRule="auto"/>
        <w:ind w:firstLine="1980" w:firstLineChars="1100"/>
        <w:rPr>
          <w:rFonts w:ascii="宋体" w:hAnsi="宋体"/>
        </w:rPr>
      </w:pPr>
    </w:p>
    <w:p>
      <w:pPr>
        <w:tabs>
          <w:tab w:val="left" w:pos="5580"/>
        </w:tabs>
        <w:spacing w:before="120" w:line="360" w:lineRule="auto"/>
        <w:rPr>
          <w:rFonts w:hAnsi="宋体" w:cs="仿宋"/>
          <w:b/>
        </w:rPr>
      </w:pPr>
      <w:r>
        <w:rPr>
          <w:rFonts w:hint="eastAsia" w:hAnsi="宋体" w:cs="宋体"/>
          <w:b/>
          <w:bCs/>
          <w:sz w:val="28"/>
          <w:szCs w:val="28"/>
        </w:rPr>
        <w:t>附件</w:t>
      </w:r>
      <w:r>
        <w:rPr>
          <w:rFonts w:hAnsi="宋体" w:cs="宋体"/>
          <w:b/>
          <w:bCs/>
          <w:sz w:val="28"/>
          <w:szCs w:val="28"/>
        </w:rPr>
        <w:t>2</w:t>
      </w:r>
      <w:r>
        <w:rPr>
          <w:rFonts w:hint="eastAsia" w:hAnsi="宋体" w:cs="宋体"/>
          <w:b/>
          <w:bCs/>
          <w:sz w:val="28"/>
          <w:szCs w:val="28"/>
        </w:rPr>
        <w:t>：</w:t>
      </w:r>
    </w:p>
    <w:p>
      <w:pPr>
        <w:spacing w:before="166" w:beforeLines="50" w:line="360" w:lineRule="auto"/>
        <w:jc w:val="center"/>
        <w:rPr>
          <w:rFonts w:hAnsi="宋体" w:cs="宋体"/>
          <w:b/>
          <w:bCs/>
          <w:sz w:val="30"/>
          <w:szCs w:val="30"/>
        </w:rPr>
      </w:pPr>
      <w:r>
        <w:rPr>
          <w:rFonts w:hint="eastAsia" w:hAnsi="宋体" w:cs="宋体"/>
          <w:b/>
          <w:bCs/>
          <w:sz w:val="30"/>
          <w:szCs w:val="30"/>
        </w:rPr>
        <w:t>供应商具有履行本合同所必需的专业技术能力的</w:t>
      </w:r>
    </w:p>
    <w:p>
      <w:pPr>
        <w:spacing w:before="166" w:beforeLines="50" w:line="360" w:lineRule="auto"/>
        <w:jc w:val="center"/>
        <w:rPr>
          <w:rFonts w:hAnsi="宋体" w:cs="宋体"/>
          <w:b/>
          <w:bCs/>
          <w:sz w:val="30"/>
          <w:szCs w:val="30"/>
        </w:rPr>
      </w:pPr>
      <w:r>
        <w:rPr>
          <w:rFonts w:hint="eastAsia" w:hAnsi="宋体" w:cs="宋体"/>
          <w:b/>
          <w:bCs/>
          <w:sz w:val="30"/>
          <w:szCs w:val="30"/>
        </w:rPr>
        <w:t>说明及承诺</w:t>
      </w:r>
    </w:p>
    <w:p>
      <w:pPr>
        <w:spacing w:line="360" w:lineRule="auto"/>
        <w:rPr>
          <w:rFonts w:hAnsi="宋体" w:cs="仿宋"/>
          <w:spacing w:val="4"/>
          <w:u w:val="single"/>
        </w:rPr>
      </w:pPr>
    </w:p>
    <w:p>
      <w:pPr>
        <w:spacing w:line="480" w:lineRule="auto"/>
        <w:rPr>
          <w:rFonts w:hAnsi="宋体" w:cs="宋体"/>
          <w:spacing w:val="4"/>
          <w:szCs w:val="24"/>
        </w:rPr>
      </w:pPr>
      <w:r>
        <w:rPr>
          <w:rFonts w:hint="eastAsia" w:hAnsi="宋体" w:cs="宋体"/>
          <w:spacing w:val="4"/>
          <w:szCs w:val="24"/>
        </w:rPr>
        <w:t>致：</w:t>
      </w:r>
      <w:r>
        <w:rPr>
          <w:rFonts w:hint="eastAsia" w:hAnsi="宋体" w:cs="宋体"/>
          <w:spacing w:val="4"/>
          <w:szCs w:val="24"/>
          <w:u w:val="single"/>
        </w:rPr>
        <w:t xml:space="preserve"> （采购人名称）  </w:t>
      </w:r>
    </w:p>
    <w:p>
      <w:pPr>
        <w:spacing w:line="480" w:lineRule="auto"/>
        <w:ind w:firstLine="496" w:firstLineChars="200"/>
        <w:rPr>
          <w:rFonts w:hAnsi="宋体" w:cs="宋体"/>
          <w:spacing w:val="4"/>
          <w:szCs w:val="24"/>
        </w:rPr>
      </w:pPr>
      <w:r>
        <w:rPr>
          <w:rFonts w:hint="eastAsia" w:hAnsi="宋体" w:cs="宋体"/>
          <w:spacing w:val="4"/>
          <w:szCs w:val="24"/>
          <w:u w:val="single"/>
        </w:rPr>
        <w:t xml:space="preserve">      公司  </w:t>
      </w:r>
      <w:r>
        <w:rPr>
          <w:rFonts w:hint="eastAsia" w:hAnsi="宋体" w:cs="宋体"/>
          <w:spacing w:val="4"/>
          <w:szCs w:val="24"/>
        </w:rPr>
        <w:t>于</w:t>
      </w:r>
      <w:r>
        <w:rPr>
          <w:rFonts w:hint="eastAsia" w:hAnsi="宋体" w:cs="宋体"/>
          <w:spacing w:val="4"/>
          <w:szCs w:val="24"/>
          <w:u w:val="single"/>
        </w:rPr>
        <w:t xml:space="preserve">     </w:t>
      </w:r>
      <w:r>
        <w:rPr>
          <w:rFonts w:hint="eastAsia" w:hAnsi="宋体" w:cs="宋体"/>
          <w:spacing w:val="4"/>
          <w:szCs w:val="24"/>
        </w:rPr>
        <w:t>年</w:t>
      </w:r>
      <w:r>
        <w:rPr>
          <w:rFonts w:hint="eastAsia" w:hAnsi="宋体" w:cs="宋体"/>
          <w:spacing w:val="4"/>
          <w:szCs w:val="24"/>
          <w:u w:val="single"/>
        </w:rPr>
        <w:t xml:space="preserve">   </w:t>
      </w:r>
      <w:r>
        <w:rPr>
          <w:rFonts w:hint="eastAsia" w:hAnsi="宋体" w:cs="宋体"/>
          <w:spacing w:val="4"/>
          <w:szCs w:val="24"/>
        </w:rPr>
        <w:t>月</w:t>
      </w:r>
      <w:r>
        <w:rPr>
          <w:rFonts w:hint="eastAsia" w:hAnsi="宋体" w:cs="宋体"/>
          <w:spacing w:val="4"/>
          <w:szCs w:val="24"/>
          <w:u w:val="single"/>
        </w:rPr>
        <w:t xml:space="preserve">   </w:t>
      </w:r>
      <w:r>
        <w:rPr>
          <w:rFonts w:hint="eastAsia" w:hAnsi="宋体" w:cs="宋体"/>
          <w:spacing w:val="4"/>
          <w:szCs w:val="24"/>
        </w:rPr>
        <w:t>日在中华人民共和国境内</w:t>
      </w:r>
      <w:r>
        <w:rPr>
          <w:rFonts w:hint="eastAsia" w:hAnsi="宋体" w:cs="宋体"/>
          <w:spacing w:val="4"/>
          <w:szCs w:val="24"/>
          <w:u w:val="single"/>
        </w:rPr>
        <w:t xml:space="preserve">详细注册地址     </w:t>
      </w:r>
      <w:r>
        <w:rPr>
          <w:rFonts w:hint="eastAsia" w:hAnsi="宋体" w:cs="宋体"/>
          <w:spacing w:val="4"/>
          <w:szCs w:val="24"/>
        </w:rPr>
        <w:t>合法注册并经营，公司主营业务为</w:t>
      </w:r>
      <w:r>
        <w:rPr>
          <w:rFonts w:hint="eastAsia" w:hAnsi="宋体" w:cs="宋体"/>
          <w:spacing w:val="4"/>
          <w:szCs w:val="24"/>
          <w:u w:val="single"/>
        </w:rPr>
        <w:t xml:space="preserve">          </w:t>
      </w:r>
      <w:r>
        <w:rPr>
          <w:rFonts w:hint="eastAsia" w:hAnsi="宋体" w:cs="宋体"/>
          <w:spacing w:val="4"/>
          <w:szCs w:val="24"/>
        </w:rPr>
        <w:t>，营业（或生产经营）面积为</w:t>
      </w:r>
      <w:r>
        <w:rPr>
          <w:rFonts w:hint="eastAsia" w:hAnsi="宋体" w:cs="宋体"/>
          <w:spacing w:val="4"/>
          <w:szCs w:val="24"/>
          <w:u w:val="single"/>
        </w:rPr>
        <w:t xml:space="preserve">        </w:t>
      </w:r>
      <w:r>
        <w:rPr>
          <w:rFonts w:hint="eastAsia" w:hAnsi="宋体" w:cs="宋体"/>
          <w:spacing w:val="4"/>
          <w:szCs w:val="24"/>
        </w:rPr>
        <w:t>。现有员工数量为</w:t>
      </w:r>
      <w:r>
        <w:rPr>
          <w:rFonts w:hint="eastAsia" w:hAnsi="宋体" w:cs="宋体"/>
          <w:spacing w:val="4"/>
          <w:szCs w:val="24"/>
          <w:u w:val="single"/>
        </w:rPr>
        <w:t xml:space="preserve">      </w:t>
      </w:r>
      <w:r>
        <w:rPr>
          <w:rFonts w:hint="eastAsia" w:hAnsi="宋体" w:cs="宋体"/>
          <w:spacing w:val="4"/>
          <w:szCs w:val="24"/>
        </w:rPr>
        <w:t>人，其中与履行本合同相关的专业技术人员有</w:t>
      </w:r>
      <w:r>
        <w:rPr>
          <w:rFonts w:hint="eastAsia" w:hAnsi="宋体" w:cs="宋体"/>
          <w:spacing w:val="4"/>
          <w:szCs w:val="24"/>
          <w:u w:val="single"/>
        </w:rPr>
        <w:t>（专业能力、数量      ）</w:t>
      </w:r>
      <w:r>
        <w:rPr>
          <w:rFonts w:hint="eastAsia" w:hAnsi="宋体" w:cs="宋体"/>
          <w:spacing w:val="4"/>
          <w:szCs w:val="24"/>
        </w:rPr>
        <w:t>，本公司郑重承诺，具有履行本合同所必需的设备和专业技术能力。</w:t>
      </w:r>
    </w:p>
    <w:p>
      <w:pPr>
        <w:spacing w:before="333" w:beforeLines="100" w:after="166" w:afterLines="50" w:line="360" w:lineRule="auto"/>
        <w:ind w:firstLine="170"/>
        <w:rPr>
          <w:rFonts w:hAnsi="宋体" w:cs="仿宋"/>
          <w:spacing w:val="4"/>
          <w:szCs w:val="21"/>
        </w:rPr>
      </w:pPr>
    </w:p>
    <w:p>
      <w:pPr>
        <w:pStyle w:val="19"/>
        <w:rPr>
          <w:rFonts w:ascii="宋体" w:hAnsi="宋体" w:cs="仿宋"/>
          <w:spacing w:val="4"/>
          <w:szCs w:val="21"/>
        </w:rPr>
      </w:pPr>
    </w:p>
    <w:p>
      <w:pPr>
        <w:pStyle w:val="19"/>
        <w:rPr>
          <w:rFonts w:ascii="宋体" w:hAnsi="宋体" w:cs="仿宋"/>
          <w:spacing w:val="4"/>
          <w:szCs w:val="21"/>
        </w:rPr>
      </w:pPr>
    </w:p>
    <w:p>
      <w:pPr>
        <w:pStyle w:val="19"/>
        <w:rPr>
          <w:rFonts w:ascii="宋体" w:hAnsi="宋体" w:cs="宋体"/>
          <w:spacing w:val="4"/>
          <w:kern w:val="0"/>
          <w:sz w:val="24"/>
          <w:szCs w:val="24"/>
        </w:rPr>
      </w:pPr>
    </w:p>
    <w:p>
      <w:pPr>
        <w:spacing w:line="480" w:lineRule="auto"/>
        <w:ind w:firstLine="2728" w:firstLineChars="1100"/>
        <w:rPr>
          <w:rFonts w:hAnsi="宋体" w:cs="宋体"/>
          <w:spacing w:val="4"/>
          <w:szCs w:val="24"/>
        </w:rPr>
      </w:pPr>
      <w:r>
        <w:rPr>
          <w:rFonts w:hint="eastAsia" w:hAnsi="宋体" w:cs="宋体"/>
          <w:spacing w:val="4"/>
          <w:szCs w:val="24"/>
        </w:rPr>
        <w:t>法定代表人或被授权代表：</w:t>
      </w:r>
      <w:r>
        <w:rPr>
          <w:rFonts w:hint="eastAsia" w:hAnsi="宋体" w:cs="宋体"/>
          <w:spacing w:val="4"/>
          <w:szCs w:val="24"/>
          <w:u w:val="single"/>
        </w:rPr>
        <w:t xml:space="preserve">        </w:t>
      </w:r>
      <w:r>
        <w:rPr>
          <w:rFonts w:hint="eastAsia" w:hAnsi="宋体" w:cs="宋体"/>
          <w:szCs w:val="24"/>
        </w:rPr>
        <w:t>（签字或盖章）</w:t>
      </w:r>
    </w:p>
    <w:p>
      <w:pPr>
        <w:spacing w:line="480" w:lineRule="auto"/>
        <w:ind w:firstLine="2728" w:firstLineChars="1100"/>
        <w:rPr>
          <w:rFonts w:hAnsi="宋体" w:cs="宋体"/>
          <w:spacing w:val="4"/>
          <w:szCs w:val="24"/>
        </w:rPr>
      </w:pPr>
      <w:r>
        <w:rPr>
          <w:rFonts w:hint="eastAsia" w:hAnsi="宋体" w:cs="宋体"/>
          <w:spacing w:val="4"/>
          <w:szCs w:val="24"/>
        </w:rPr>
        <w:t>供  应  商  公  章：</w:t>
      </w:r>
      <w:r>
        <w:rPr>
          <w:rFonts w:hint="eastAsia" w:hAnsi="宋体" w:cs="宋体"/>
          <w:spacing w:val="4"/>
          <w:szCs w:val="24"/>
          <w:u w:val="single"/>
        </w:rPr>
        <w:t xml:space="preserve">                               </w:t>
      </w:r>
    </w:p>
    <w:p>
      <w:pPr>
        <w:ind w:firstLine="2728" w:firstLineChars="1100"/>
        <w:rPr>
          <w:rFonts w:hAnsi="宋体" w:cs="宋体"/>
          <w:spacing w:val="4"/>
          <w:szCs w:val="24"/>
        </w:rPr>
      </w:pPr>
      <w:r>
        <w:rPr>
          <w:rFonts w:hint="eastAsia" w:hAnsi="宋体" w:cs="宋体"/>
          <w:spacing w:val="4"/>
          <w:szCs w:val="24"/>
        </w:rPr>
        <w:t>日              期：</w:t>
      </w:r>
      <w:r>
        <w:rPr>
          <w:rFonts w:hint="eastAsia" w:hAnsi="宋体" w:cs="宋体"/>
          <w:spacing w:val="4"/>
          <w:szCs w:val="24"/>
          <w:u w:val="single"/>
        </w:rPr>
        <w:t xml:space="preserve">                               </w:t>
      </w:r>
    </w:p>
    <w:p>
      <w:pPr>
        <w:pStyle w:val="4"/>
        <w:keepNext w:val="0"/>
        <w:keepLines w:val="0"/>
        <w:widowControl w:val="0"/>
        <w:spacing w:before="166" w:beforeLines="50" w:after="0" w:line="360" w:lineRule="auto"/>
        <w:ind w:left="0"/>
        <w:jc w:val="center"/>
        <w:rPr>
          <w:rFonts w:hAnsi="宋体" w:cs="宋体"/>
          <w:b w:val="0"/>
          <w:bCs w:val="0"/>
          <w:szCs w:val="24"/>
        </w:rPr>
      </w:pPr>
      <w:r>
        <w:rPr>
          <w:rFonts w:hint="eastAsia" w:hAnsi="宋体" w:cs="宋体"/>
          <w:b w:val="0"/>
          <w:bCs w:val="0"/>
          <w:szCs w:val="24"/>
        </w:rPr>
        <w:br w:type="page"/>
      </w:r>
    </w:p>
    <w:p>
      <w:pPr>
        <w:pStyle w:val="4"/>
        <w:keepNext w:val="0"/>
        <w:keepLines w:val="0"/>
        <w:widowControl w:val="0"/>
        <w:spacing w:before="166" w:beforeLines="50" w:after="0" w:line="360" w:lineRule="auto"/>
        <w:ind w:left="0"/>
        <w:jc w:val="both"/>
        <w:rPr>
          <w:rFonts w:ascii="宋体" w:hAnsi="宋体" w:cs="宋体"/>
          <w:sz w:val="32"/>
        </w:rPr>
      </w:pPr>
      <w:r>
        <w:rPr>
          <w:rFonts w:hint="eastAsia" w:ascii="宋体" w:hAnsi="宋体" w:cs="宋体"/>
          <w:szCs w:val="28"/>
        </w:rPr>
        <w:t>附件</w:t>
      </w:r>
      <w:r>
        <w:rPr>
          <w:rFonts w:ascii="宋体" w:hAnsi="宋体" w:cs="宋体"/>
          <w:szCs w:val="28"/>
        </w:rPr>
        <w:t>3</w:t>
      </w:r>
      <w:r>
        <w:rPr>
          <w:rFonts w:hint="eastAsia" w:ascii="宋体" w:hAnsi="宋体" w:cs="宋体"/>
          <w:sz w:val="32"/>
        </w:rPr>
        <w:t>：</w:t>
      </w:r>
    </w:p>
    <w:p>
      <w:pPr>
        <w:pStyle w:val="2"/>
        <w:spacing w:line="600" w:lineRule="exact"/>
        <w:ind w:right="1280"/>
        <w:jc w:val="center"/>
        <w:rPr>
          <w:rFonts w:asciiTheme="minorEastAsia" w:hAnsiTheme="minorEastAsia" w:eastAsiaTheme="minorEastAsia"/>
          <w:b/>
          <w:bCs/>
          <w:sz w:val="28"/>
          <w:szCs w:val="28"/>
        </w:rPr>
      </w:pPr>
      <w:r>
        <w:rPr>
          <w:rFonts w:hint="eastAsia" w:cs="宋体" w:asciiTheme="minorEastAsia" w:hAnsiTheme="minorEastAsia" w:eastAsiaTheme="minorEastAsia"/>
          <w:b/>
          <w:bCs/>
          <w:sz w:val="28"/>
          <w:szCs w:val="28"/>
        </w:rPr>
        <w:t xml:space="preserve"> </w:t>
      </w:r>
      <w:r>
        <w:rPr>
          <w:rFonts w:cs="宋体" w:asciiTheme="minorEastAsia" w:hAnsiTheme="minorEastAsia" w:eastAsiaTheme="minorEastAsia"/>
          <w:b/>
          <w:bCs/>
          <w:sz w:val="28"/>
          <w:szCs w:val="28"/>
        </w:rPr>
        <w:t xml:space="preserve">   </w:t>
      </w:r>
      <w:r>
        <w:rPr>
          <w:rFonts w:hint="eastAsia" w:cs="宋体" w:asciiTheme="minorEastAsia" w:hAnsiTheme="minorEastAsia" w:eastAsiaTheme="minorEastAsia"/>
          <w:b/>
          <w:bCs/>
          <w:sz w:val="28"/>
          <w:szCs w:val="28"/>
        </w:rPr>
        <w:t>本项目不接受联合体投标（格式自拟）</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17"/>
        <w:jc w:val="center"/>
        <w:outlineLvl w:val="1"/>
        <w:rPr>
          <w:b/>
          <w:bCs/>
          <w:sz w:val="32"/>
          <w:szCs w:val="32"/>
        </w:rPr>
      </w:pPr>
      <w:bookmarkStart w:id="303" w:name="_Toc30728"/>
      <w:bookmarkStart w:id="304" w:name="_Toc16210"/>
      <w:bookmarkStart w:id="305" w:name="_Toc4867"/>
      <w:bookmarkStart w:id="306" w:name="_Toc363474028"/>
      <w:bookmarkStart w:id="307" w:name="_Toc19075"/>
      <w:bookmarkStart w:id="308" w:name="_Toc16097"/>
      <w:bookmarkStart w:id="309" w:name="_Toc25348"/>
      <w:bookmarkStart w:id="310" w:name="_Toc426457701"/>
      <w:bookmarkStart w:id="311" w:name="_Toc403077649"/>
      <w:bookmarkStart w:id="312" w:name="_Toc30210"/>
      <w:r>
        <w:rPr>
          <w:rFonts w:hint="eastAsia"/>
          <w:b/>
          <w:bCs/>
          <w:sz w:val="32"/>
          <w:szCs w:val="32"/>
        </w:rPr>
        <w:t>七、其他资料</w:t>
      </w:r>
      <w:bookmarkEnd w:id="303"/>
      <w:bookmarkEnd w:id="304"/>
    </w:p>
    <w:p>
      <w:pPr>
        <w:ind w:firstLine="560" w:firstLineChars="200"/>
        <w:rPr>
          <w:rFonts w:hAnsi="宋体" w:cs="宋体"/>
          <w:bCs/>
          <w:sz w:val="28"/>
          <w:szCs w:val="28"/>
        </w:rPr>
      </w:pPr>
      <w:r>
        <w:rPr>
          <w:rFonts w:hint="eastAsia" w:hAnsi="宋体" w:cs="宋体"/>
          <w:bCs/>
          <w:sz w:val="28"/>
          <w:szCs w:val="28"/>
        </w:rPr>
        <w:t>1、依据招标文件要求，供应商认为有必要说明的其他内容。</w:t>
      </w:r>
    </w:p>
    <w:p>
      <w:pPr>
        <w:ind w:firstLine="560" w:firstLineChars="200"/>
        <w:rPr>
          <w:rFonts w:hAnsi="宋体" w:cs="宋体"/>
          <w:bCs/>
          <w:sz w:val="28"/>
          <w:szCs w:val="28"/>
        </w:rPr>
      </w:pPr>
      <w:r>
        <w:rPr>
          <w:rFonts w:hint="eastAsia" w:hAnsi="宋体" w:cs="宋体"/>
          <w:bCs/>
          <w:sz w:val="28"/>
          <w:szCs w:val="28"/>
        </w:rPr>
        <w:t>2、其他可以证明供应商实力的文件。</w:t>
      </w:r>
    </w:p>
    <w:p>
      <w:pPr>
        <w:ind w:firstLine="562" w:firstLineChars="200"/>
        <w:rPr>
          <w:rFonts w:hAnsi="宋体" w:cs="宋体"/>
          <w:b/>
          <w:sz w:val="28"/>
          <w:szCs w:val="28"/>
        </w:rPr>
      </w:pPr>
    </w:p>
    <w:p/>
    <w:p>
      <w:pPr>
        <w:snapToGrid w:val="0"/>
        <w:spacing w:line="480" w:lineRule="auto"/>
        <w:rPr>
          <w:rFonts w:hAnsi="宋体" w:cs="宋体"/>
          <w:szCs w:val="21"/>
        </w:rPr>
      </w:pPr>
    </w:p>
    <w:p>
      <w:pPr>
        <w:pStyle w:val="19"/>
        <w:rPr>
          <w:rFonts w:ascii="宋体" w:hAnsi="宋体" w:cs="宋体"/>
          <w:szCs w:val="21"/>
        </w:rPr>
      </w:pPr>
    </w:p>
    <w:p>
      <w:pPr>
        <w:rPr>
          <w:rFonts w:hAnsi="宋体" w:cs="宋体"/>
          <w:szCs w:val="21"/>
        </w:rPr>
      </w:pPr>
    </w:p>
    <w:p>
      <w:pPr>
        <w:pStyle w:val="19"/>
        <w:rPr>
          <w:rFonts w:ascii="宋体" w:hAnsi="宋体" w:cs="宋体"/>
          <w:szCs w:val="21"/>
        </w:rPr>
      </w:pPr>
    </w:p>
    <w:p>
      <w:pPr>
        <w:rPr>
          <w:rFonts w:hAnsi="宋体" w:cs="宋体"/>
          <w:szCs w:val="21"/>
        </w:rPr>
      </w:pPr>
    </w:p>
    <w:p>
      <w:pPr>
        <w:pStyle w:val="19"/>
        <w:rPr>
          <w:rFonts w:ascii="宋体" w:hAnsi="宋体" w:cs="宋体"/>
          <w:szCs w:val="21"/>
        </w:rPr>
      </w:pPr>
    </w:p>
    <w:p>
      <w:pPr>
        <w:rPr>
          <w:rFonts w:hAnsi="宋体" w:cs="宋体"/>
          <w:szCs w:val="21"/>
        </w:rPr>
      </w:pPr>
    </w:p>
    <w:p>
      <w:pPr>
        <w:pStyle w:val="19"/>
        <w:rPr>
          <w:rFonts w:ascii="宋体" w:hAnsi="宋体" w:cs="宋体"/>
          <w:szCs w:val="21"/>
        </w:rPr>
      </w:pPr>
    </w:p>
    <w:p>
      <w:pPr>
        <w:rPr>
          <w:rFonts w:hAnsi="宋体" w:cs="宋体"/>
          <w:szCs w:val="21"/>
        </w:rPr>
      </w:pPr>
    </w:p>
    <w:p>
      <w:pPr>
        <w:pStyle w:val="19"/>
        <w:rPr>
          <w:rFonts w:ascii="宋体" w:hAnsi="宋体" w:cs="宋体"/>
          <w:szCs w:val="21"/>
        </w:rPr>
      </w:pPr>
    </w:p>
    <w:p>
      <w:pPr>
        <w:rPr>
          <w:rFonts w:hAnsi="宋体" w:cs="宋体"/>
          <w:szCs w:val="21"/>
        </w:rPr>
      </w:pPr>
    </w:p>
    <w:p>
      <w:pPr>
        <w:pStyle w:val="19"/>
        <w:rPr>
          <w:rFonts w:ascii="宋体" w:hAnsi="宋体" w:cs="宋体"/>
          <w:szCs w:val="21"/>
        </w:rPr>
      </w:pPr>
    </w:p>
    <w:p>
      <w:pPr>
        <w:rPr>
          <w:rFonts w:hAnsi="宋体" w:cs="宋体"/>
          <w:szCs w:val="21"/>
        </w:rPr>
      </w:pPr>
    </w:p>
    <w:p>
      <w:pPr>
        <w:pStyle w:val="19"/>
        <w:rPr>
          <w:rFonts w:ascii="宋体" w:hAnsi="宋体" w:cs="宋体"/>
          <w:szCs w:val="21"/>
        </w:rPr>
      </w:pPr>
    </w:p>
    <w:p>
      <w:pPr>
        <w:rPr>
          <w:rFonts w:hAnsi="宋体" w:cs="宋体"/>
          <w:szCs w:val="21"/>
        </w:rPr>
      </w:pPr>
    </w:p>
    <w:p>
      <w:pPr>
        <w:pStyle w:val="19"/>
        <w:rPr>
          <w:rFonts w:ascii="宋体" w:hAnsi="宋体" w:cs="宋体"/>
          <w:szCs w:val="21"/>
        </w:rPr>
      </w:pPr>
    </w:p>
    <w:p/>
    <w:p>
      <w:pPr>
        <w:snapToGrid w:val="0"/>
        <w:rPr>
          <w:rFonts w:hAnsi="宋体" w:cs="宋体"/>
          <w:szCs w:val="21"/>
        </w:rPr>
      </w:pPr>
    </w:p>
    <w:p>
      <w:pPr>
        <w:snapToGrid w:val="0"/>
        <w:rPr>
          <w:rFonts w:hAnsi="宋体" w:cs="宋体"/>
          <w:szCs w:val="21"/>
        </w:rPr>
      </w:pPr>
    </w:p>
    <w:p>
      <w:pPr>
        <w:snapToGrid w:val="0"/>
        <w:rPr>
          <w:rFonts w:hAnsi="宋体" w:cs="宋体"/>
          <w:szCs w:val="21"/>
        </w:rPr>
      </w:pPr>
    </w:p>
    <w:p>
      <w:pPr>
        <w:pStyle w:val="19"/>
      </w:pPr>
    </w:p>
    <w:p/>
    <w:p>
      <w:pPr>
        <w:pStyle w:val="5"/>
      </w:pPr>
    </w:p>
    <w:p>
      <w:pPr>
        <w:pStyle w:val="5"/>
      </w:pPr>
    </w:p>
    <w:p>
      <w:pPr>
        <w:snapToGrid w:val="0"/>
        <w:rPr>
          <w:rFonts w:hAnsi="宋体" w:cs="宋体"/>
          <w:szCs w:val="21"/>
        </w:rPr>
      </w:pPr>
    </w:p>
    <w:bookmarkEnd w:id="305"/>
    <w:bookmarkEnd w:id="306"/>
    <w:bookmarkEnd w:id="307"/>
    <w:bookmarkEnd w:id="308"/>
    <w:bookmarkEnd w:id="309"/>
    <w:bookmarkEnd w:id="310"/>
    <w:bookmarkEnd w:id="311"/>
    <w:bookmarkEnd w:id="312"/>
    <w:p>
      <w:pPr>
        <w:pStyle w:val="6"/>
        <w:spacing w:before="166" w:beforeLines="50"/>
        <w:jc w:val="left"/>
        <w:rPr>
          <w:rFonts w:ascii="宋体" w:hAnsi="宋体" w:cs="宋体"/>
          <w:sz w:val="28"/>
          <w:szCs w:val="28"/>
        </w:rPr>
      </w:pPr>
      <w:bookmarkStart w:id="313" w:name="_Toc17797"/>
      <w:r>
        <w:rPr>
          <w:rFonts w:hint="eastAsia" w:ascii="宋体" w:hAnsi="宋体" w:cs="宋体"/>
          <w:sz w:val="28"/>
          <w:szCs w:val="28"/>
        </w:rPr>
        <w:t>附件</w:t>
      </w:r>
      <w:bookmarkEnd w:id="313"/>
      <w:r>
        <w:rPr>
          <w:rFonts w:hint="eastAsia" w:ascii="宋体" w:cs="宋体"/>
          <w:sz w:val="28"/>
          <w:szCs w:val="28"/>
        </w:rPr>
        <w:t>1</w:t>
      </w:r>
    </w:p>
    <w:p>
      <w:pPr>
        <w:pStyle w:val="6"/>
        <w:spacing w:before="166" w:beforeLines="50"/>
        <w:rPr>
          <w:rFonts w:ascii="宋体" w:hAnsi="宋体" w:cs="宋体"/>
          <w:sz w:val="32"/>
          <w:szCs w:val="32"/>
        </w:rPr>
      </w:pPr>
      <w:bookmarkStart w:id="314" w:name="_Toc8079"/>
      <w:r>
        <w:rPr>
          <w:rFonts w:hint="eastAsia" w:ascii="宋体" w:hAnsi="宋体" w:cs="宋体"/>
          <w:sz w:val="32"/>
          <w:szCs w:val="32"/>
        </w:rPr>
        <w:t>中小企业声明函（货物）</w:t>
      </w:r>
      <w:bookmarkEnd w:id="314"/>
    </w:p>
    <w:p>
      <w:pPr>
        <w:pStyle w:val="19"/>
        <w:rPr>
          <w:rFonts w:ascii="宋体" w:hAnsi="宋体" w:cs="宋体"/>
          <w:b/>
          <w:sz w:val="20"/>
        </w:rPr>
      </w:pPr>
    </w:p>
    <w:p>
      <w:pPr>
        <w:pStyle w:val="19"/>
        <w:tabs>
          <w:tab w:val="left" w:pos="9120"/>
        </w:tabs>
        <w:spacing w:before="55" w:after="0" w:line="360" w:lineRule="auto"/>
        <w:ind w:firstLine="640"/>
        <w:rPr>
          <w:rFonts w:ascii="宋体" w:hAnsi="宋体" w:cs="宋体"/>
          <w:spacing w:val="-2"/>
          <w:sz w:val="24"/>
          <w:szCs w:val="24"/>
        </w:rPr>
      </w:pPr>
      <w:r>
        <w:rPr>
          <w:rFonts w:hint="eastAsia" w:ascii="宋体" w:hAnsi="宋体" w:cs="宋体"/>
          <w:spacing w:val="-2"/>
          <w:sz w:val="24"/>
          <w:szCs w:val="24"/>
        </w:rPr>
        <w:t>本公司</w:t>
      </w:r>
      <w:r>
        <w:rPr>
          <w:rFonts w:hint="eastAsia" w:ascii="宋体" w:hAnsi="宋体" w:cs="宋体"/>
          <w:sz w:val="24"/>
          <w:szCs w:val="24"/>
        </w:rPr>
        <w:t>（联合体</w:t>
      </w:r>
      <w:r>
        <w:rPr>
          <w:rFonts w:hint="eastAsia" w:ascii="宋体" w:hAnsi="宋体" w:cs="宋体"/>
          <w:spacing w:val="-5"/>
          <w:sz w:val="24"/>
          <w:szCs w:val="24"/>
        </w:rPr>
        <w:t>）</w:t>
      </w:r>
      <w:r>
        <w:rPr>
          <w:rFonts w:hint="eastAsia" w:ascii="宋体" w:hAnsi="宋体" w:cs="宋体"/>
          <w:spacing w:val="-2"/>
          <w:sz w:val="24"/>
          <w:szCs w:val="24"/>
        </w:rPr>
        <w:t>郑重声明，根据《政府采购促进中小</w:t>
      </w:r>
      <w:r>
        <w:rPr>
          <w:rFonts w:hint="eastAsia" w:ascii="宋体" w:hAnsi="宋体" w:cs="宋体"/>
          <w:spacing w:val="-18"/>
          <w:sz w:val="24"/>
          <w:szCs w:val="24"/>
        </w:rPr>
        <w:t>企业发展管理办法》</w:t>
      </w:r>
      <w:r>
        <w:rPr>
          <w:rFonts w:hint="eastAsia" w:ascii="宋体" w:hAnsi="宋体" w:cs="宋体"/>
          <w:sz w:val="24"/>
          <w:szCs w:val="24"/>
        </w:rPr>
        <w:t>（</w:t>
      </w:r>
      <w:r>
        <w:rPr>
          <w:rFonts w:hint="eastAsia" w:ascii="宋体" w:hAnsi="宋体" w:cs="宋体"/>
          <w:spacing w:val="5"/>
          <w:sz w:val="24"/>
          <w:szCs w:val="24"/>
        </w:rPr>
        <w:t>财库</w:t>
      </w:r>
      <w:r>
        <w:rPr>
          <w:rFonts w:hint="eastAsia" w:ascii="宋体" w:hAnsi="宋体" w:cs="宋体"/>
          <w:sz w:val="24"/>
          <w:szCs w:val="24"/>
        </w:rPr>
        <w:t>﹝2020﹞46</w:t>
      </w:r>
      <w:r>
        <w:rPr>
          <w:rFonts w:hint="eastAsia" w:ascii="宋体" w:hAnsi="宋体" w:cs="宋体"/>
          <w:spacing w:val="-38"/>
          <w:sz w:val="24"/>
          <w:szCs w:val="24"/>
        </w:rPr>
        <w:t xml:space="preserve"> 号</w:t>
      </w:r>
      <w:r>
        <w:rPr>
          <w:rFonts w:hint="eastAsia" w:ascii="宋体" w:hAnsi="宋体" w:cs="宋体"/>
          <w:spacing w:val="5"/>
          <w:sz w:val="24"/>
          <w:szCs w:val="24"/>
        </w:rPr>
        <w:t>）</w:t>
      </w:r>
      <w:r>
        <w:rPr>
          <w:rFonts w:hint="eastAsia" w:ascii="宋体" w:hAnsi="宋体" w:cs="宋体"/>
          <w:sz w:val="24"/>
          <w:szCs w:val="24"/>
        </w:rPr>
        <w:t>的规定，本公司（联合体）</w:t>
      </w:r>
      <w:r>
        <w:rPr>
          <w:rFonts w:hint="eastAsia" w:ascii="宋体" w:hAnsi="宋体" w:cs="宋体"/>
          <w:spacing w:val="-2"/>
          <w:sz w:val="24"/>
          <w:szCs w:val="24"/>
        </w:rPr>
        <w:t>参加</w:t>
      </w:r>
      <w:r>
        <w:rPr>
          <w:rFonts w:hint="eastAsia" w:ascii="宋体" w:hAnsi="宋体" w:cs="宋体"/>
          <w:spacing w:val="-2"/>
          <w:sz w:val="24"/>
          <w:szCs w:val="24"/>
          <w:u w:val="single"/>
          <w:lang w:val="zh-CN"/>
        </w:rPr>
        <w:t>（单位名称）</w:t>
      </w:r>
      <w:r>
        <w:rPr>
          <w:rFonts w:hint="eastAsia" w:ascii="宋体" w:hAnsi="宋体" w:cs="宋体"/>
          <w:spacing w:val="-2"/>
          <w:sz w:val="24"/>
          <w:szCs w:val="24"/>
        </w:rPr>
        <w:t>的</w:t>
      </w:r>
      <w:r>
        <w:rPr>
          <w:rFonts w:hint="eastAsia" w:ascii="宋体" w:hAnsi="宋体" w:cs="宋体"/>
          <w:spacing w:val="-2"/>
          <w:sz w:val="24"/>
          <w:szCs w:val="24"/>
          <w:u w:val="single"/>
          <w:lang w:val="zh-CN"/>
        </w:rPr>
        <w:t>（项目名称）</w:t>
      </w:r>
      <w:r>
        <w:rPr>
          <w:rFonts w:hint="eastAsia" w:ascii="宋体" w:hAnsi="宋体" w:cs="宋体"/>
          <w:spacing w:val="-2"/>
          <w:sz w:val="24"/>
          <w:szCs w:val="24"/>
        </w:rPr>
        <w:t>采购活动，提供的货物全部由符合政策要求的中小企业制造。相关企业（含联合体中的中小企业、签订分包意向协议的中小企业） 的具体情况如下：</w:t>
      </w:r>
    </w:p>
    <w:p>
      <w:pPr>
        <w:pStyle w:val="19"/>
        <w:numPr>
          <w:ilvl w:val="0"/>
          <w:numId w:val="19"/>
        </w:numPr>
        <w:spacing w:before="2" w:line="360" w:lineRule="auto"/>
        <w:ind w:firstLine="480" w:firstLineChars="200"/>
        <w:jc w:val="left"/>
        <w:rPr>
          <w:rFonts w:ascii="宋体" w:hAnsi="宋体" w:cs="宋体"/>
          <w:sz w:val="24"/>
          <w:szCs w:val="24"/>
        </w:rPr>
      </w:pPr>
      <w:r>
        <w:rPr>
          <w:rFonts w:hint="eastAsia" w:ascii="宋体" w:hAnsi="宋体" w:cs="宋体"/>
          <w:sz w:val="24"/>
          <w:szCs w:val="24"/>
          <w:u w:val="single"/>
          <w:lang w:val="zh-CN"/>
        </w:rPr>
        <w:t>（标的名称）</w:t>
      </w:r>
      <w:r>
        <w:rPr>
          <w:rFonts w:hint="eastAsia" w:ascii="宋体" w:hAnsi="宋体" w:cs="宋体"/>
          <w:sz w:val="24"/>
          <w:szCs w:val="24"/>
        </w:rPr>
        <w:t>，属 于</w:t>
      </w:r>
      <w:r>
        <w:rPr>
          <w:rFonts w:hint="eastAsia" w:ascii="宋体" w:hAnsi="宋体" w:cs="宋体"/>
          <w:sz w:val="24"/>
          <w:szCs w:val="24"/>
          <w:u w:val="single"/>
        </w:rPr>
        <w:t xml:space="preserve"> </w:t>
      </w:r>
      <w:r>
        <w:rPr>
          <w:rFonts w:hint="eastAsia" w:ascii="宋体" w:hAnsi="宋体" w:cs="宋体"/>
          <w:kern w:val="0"/>
          <w:sz w:val="24"/>
          <w:szCs w:val="24"/>
          <w:u w:val="single"/>
        </w:rPr>
        <w:t>（采购文件中明确的所属行业）</w:t>
      </w:r>
      <w:r>
        <w:rPr>
          <w:rFonts w:hint="eastAsia" w:ascii="宋体" w:hAnsi="宋体" w:cs="宋体"/>
          <w:sz w:val="24"/>
          <w:szCs w:val="24"/>
        </w:rPr>
        <w:t>行业；制造商为</w:t>
      </w:r>
      <w:r>
        <w:rPr>
          <w:rFonts w:hint="eastAsia" w:ascii="宋体" w:hAnsi="宋体" w:cs="宋体"/>
          <w:sz w:val="24"/>
          <w:szCs w:val="24"/>
          <w:u w:val="single"/>
        </w:rPr>
        <w:t>（企业名称）</w:t>
      </w:r>
      <w:r>
        <w:rPr>
          <w:rFonts w:hint="eastAsia" w:ascii="宋体" w:hAnsi="宋体" w:cs="宋体"/>
          <w:sz w:val="24"/>
          <w:szCs w:val="24"/>
        </w:rPr>
        <w:t>，从业人员</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（中型企业、小型企业、微型企业）</w:t>
      </w:r>
      <w:r>
        <w:rPr>
          <w:rFonts w:hint="eastAsia" w:ascii="宋体" w:hAnsi="宋体" w:cs="宋体"/>
          <w:sz w:val="24"/>
          <w:szCs w:val="24"/>
        </w:rPr>
        <w:t>；</w:t>
      </w:r>
    </w:p>
    <w:p>
      <w:pPr>
        <w:pStyle w:val="19"/>
        <w:numPr>
          <w:ilvl w:val="0"/>
          <w:numId w:val="19"/>
        </w:numPr>
        <w:spacing w:before="2" w:line="360" w:lineRule="auto"/>
        <w:ind w:firstLine="480" w:firstLineChars="200"/>
        <w:jc w:val="left"/>
        <w:rPr>
          <w:rFonts w:ascii="宋体" w:hAnsi="宋体" w:cs="宋体"/>
          <w:sz w:val="24"/>
          <w:szCs w:val="24"/>
        </w:rPr>
      </w:pPr>
      <w:r>
        <w:rPr>
          <w:rFonts w:hint="eastAsia" w:ascii="宋体" w:hAnsi="宋体" w:cs="宋体"/>
          <w:kern w:val="0"/>
          <w:sz w:val="24"/>
          <w:szCs w:val="24"/>
          <w:u w:val="single"/>
        </w:rPr>
        <w:t>（标的名称）</w:t>
      </w:r>
      <w:r>
        <w:rPr>
          <w:rFonts w:hint="eastAsia" w:ascii="宋体" w:hAnsi="宋体" w:cs="宋体"/>
          <w:kern w:val="0"/>
          <w:sz w:val="24"/>
          <w:szCs w:val="24"/>
        </w:rPr>
        <w:t>，属于</w:t>
      </w:r>
      <w:r>
        <w:rPr>
          <w:rFonts w:hint="eastAsia" w:ascii="宋体" w:hAnsi="宋体" w:cs="宋体"/>
          <w:kern w:val="0"/>
          <w:sz w:val="24"/>
          <w:szCs w:val="24"/>
          <w:u w:val="single"/>
        </w:rPr>
        <w:t>（采购文件中明确的所属行业）</w:t>
      </w:r>
      <w:r>
        <w:rPr>
          <w:rFonts w:hint="eastAsia" w:ascii="宋体" w:hAnsi="宋体" w:cs="宋体"/>
          <w:kern w:val="0"/>
          <w:sz w:val="24"/>
          <w:szCs w:val="24"/>
        </w:rPr>
        <w:t>行业；制</w:t>
      </w:r>
      <w:r>
        <w:rPr>
          <w:rFonts w:hint="eastAsia" w:ascii="宋体" w:hAnsi="宋体" w:cs="宋体"/>
          <w:sz w:val="24"/>
          <w:szCs w:val="24"/>
        </w:rPr>
        <w:t>造商为</w:t>
      </w:r>
      <w:r>
        <w:rPr>
          <w:rFonts w:hint="eastAsia" w:ascii="宋体" w:hAnsi="宋体" w:cs="宋体"/>
          <w:sz w:val="24"/>
          <w:szCs w:val="24"/>
          <w:u w:val="single"/>
        </w:rPr>
        <w:t>（企业名称）</w:t>
      </w:r>
      <w:r>
        <w:rPr>
          <w:rFonts w:hint="eastAsia" w:ascii="宋体" w:hAnsi="宋体" w:cs="宋体"/>
          <w:sz w:val="24"/>
          <w:szCs w:val="24"/>
        </w:rPr>
        <w:t>，从业人员</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u w:val="single"/>
        </w:rPr>
        <w:tab/>
      </w:r>
      <w:r>
        <w:rPr>
          <w:rFonts w:hint="eastAsia" w:ascii="宋体" w:hAnsi="宋体" w:cs="宋体"/>
          <w:sz w:val="24"/>
          <w:szCs w:val="24"/>
        </w:rPr>
        <w:t>万元，资产总额为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（中型企业、小型企业、微型企业）</w:t>
      </w:r>
      <w:r>
        <w:rPr>
          <w:rFonts w:hint="eastAsia" w:ascii="宋体" w:hAnsi="宋体" w:cs="宋体"/>
          <w:sz w:val="24"/>
          <w:szCs w:val="24"/>
        </w:rPr>
        <w:t>；</w:t>
      </w:r>
    </w:p>
    <w:p>
      <w:pPr>
        <w:pStyle w:val="19"/>
        <w:spacing w:before="2" w:line="360" w:lineRule="auto"/>
        <w:ind w:left="480" w:leftChars="200"/>
        <w:jc w:val="left"/>
        <w:rPr>
          <w:rFonts w:ascii="宋体" w:hAnsi="宋体" w:cs="宋体"/>
          <w:sz w:val="24"/>
          <w:szCs w:val="24"/>
        </w:rPr>
      </w:pPr>
      <w:r>
        <w:rPr>
          <w:rFonts w:hint="eastAsia" w:ascii="宋体" w:hAnsi="宋体" w:cs="宋体"/>
          <w:sz w:val="24"/>
          <w:szCs w:val="24"/>
        </w:rPr>
        <w:t>……</w:t>
      </w:r>
    </w:p>
    <w:p>
      <w:pPr>
        <w:pStyle w:val="19"/>
        <w:spacing w:before="2" w:line="360" w:lineRule="auto"/>
        <w:ind w:firstLine="480" w:firstLineChars="200"/>
        <w:jc w:val="left"/>
        <w:rPr>
          <w:rFonts w:ascii="宋体" w:hAnsi="宋体" w:cs="宋体"/>
          <w:kern w:val="0"/>
          <w:sz w:val="24"/>
          <w:szCs w:val="24"/>
        </w:rPr>
      </w:pPr>
      <w:r>
        <w:rPr>
          <w:rFonts w:hint="eastAsia" w:ascii="宋体" w:hAnsi="宋体" w:cs="宋体"/>
          <w:kern w:val="0"/>
          <w:sz w:val="24"/>
          <w:szCs w:val="24"/>
        </w:rPr>
        <w:t>以上企业，不属于大企业的分支机构，不存在控股股东为大企业的情形，也不存在与大企业的负责人为同一人的情形。</w:t>
      </w:r>
    </w:p>
    <w:p>
      <w:pPr>
        <w:pStyle w:val="19"/>
        <w:spacing w:before="2" w:line="360" w:lineRule="auto"/>
        <w:ind w:left="480" w:leftChars="200"/>
        <w:jc w:val="left"/>
        <w:rPr>
          <w:rFonts w:ascii="宋体" w:hAnsi="宋体" w:cs="宋体"/>
          <w:kern w:val="0"/>
          <w:sz w:val="24"/>
          <w:szCs w:val="24"/>
        </w:rPr>
      </w:pPr>
      <w:r>
        <w:rPr>
          <w:rFonts w:hint="eastAsia" w:ascii="宋体" w:hAnsi="宋体" w:cs="宋体"/>
          <w:kern w:val="0"/>
          <w:sz w:val="24"/>
          <w:szCs w:val="24"/>
        </w:rPr>
        <w:t>本企业对上述声明内容的真实性负责。如有虚假，将依法承担相应责任。</w:t>
      </w:r>
    </w:p>
    <w:p>
      <w:pPr>
        <w:pStyle w:val="179"/>
        <w:spacing w:line="360" w:lineRule="auto"/>
        <w:ind w:firstLine="480"/>
        <w:rPr>
          <w:rFonts w:hAnsi="宋体" w:cs="宋体"/>
          <w:szCs w:val="24"/>
        </w:rPr>
      </w:pPr>
    </w:p>
    <w:p>
      <w:pPr>
        <w:pStyle w:val="179"/>
        <w:spacing w:line="360" w:lineRule="auto"/>
        <w:ind w:firstLine="4560" w:firstLineChars="1900"/>
        <w:jc w:val="left"/>
        <w:rPr>
          <w:rFonts w:hAnsi="宋体" w:cs="宋体"/>
          <w:szCs w:val="24"/>
        </w:rPr>
      </w:pPr>
      <w:r>
        <w:rPr>
          <w:rFonts w:hint="eastAsia" w:hAnsi="宋体" w:cs="宋体"/>
          <w:szCs w:val="24"/>
        </w:rPr>
        <w:t>企业名称（盖章）：</w:t>
      </w:r>
    </w:p>
    <w:p>
      <w:pPr>
        <w:pStyle w:val="179"/>
        <w:spacing w:line="360" w:lineRule="auto"/>
        <w:ind w:firstLine="4560" w:firstLineChars="1900"/>
        <w:jc w:val="left"/>
        <w:rPr>
          <w:rFonts w:hAnsi="宋体" w:cs="宋体"/>
          <w:szCs w:val="24"/>
        </w:rPr>
      </w:pPr>
      <w:r>
        <w:rPr>
          <w:rFonts w:hint="eastAsia" w:hAnsi="宋体" w:cs="宋体"/>
          <w:szCs w:val="24"/>
        </w:rPr>
        <w:t>日期：</w:t>
      </w:r>
    </w:p>
    <w:p>
      <w:pPr>
        <w:pStyle w:val="179"/>
        <w:spacing w:line="360" w:lineRule="auto"/>
        <w:ind w:firstLine="480"/>
        <w:rPr>
          <w:rFonts w:hAnsi="宋体" w:cs="宋体"/>
          <w:szCs w:val="24"/>
        </w:rPr>
      </w:pPr>
    </w:p>
    <w:p>
      <w:pPr>
        <w:pStyle w:val="179"/>
        <w:spacing w:line="360" w:lineRule="auto"/>
        <w:ind w:left="630" w:hanging="630" w:hangingChars="300"/>
        <w:rPr>
          <w:spacing w:val="-8"/>
          <w:sz w:val="21"/>
          <w:szCs w:val="21"/>
        </w:rPr>
      </w:pPr>
      <w:r>
        <w:rPr>
          <w:rFonts w:hint="eastAsia" w:hAnsi="宋体" w:cs="宋体"/>
          <w:sz w:val="21"/>
          <w:szCs w:val="21"/>
        </w:rPr>
        <w:t>备注：1、</w:t>
      </w:r>
      <w:r>
        <w:rPr>
          <w:spacing w:val="-8"/>
          <w:sz w:val="21"/>
          <w:szCs w:val="21"/>
        </w:rPr>
        <w:t>中小企业参加政府采购活动，</w:t>
      </w:r>
      <w:r>
        <w:rPr>
          <w:rFonts w:hint="eastAsia"/>
          <w:spacing w:val="-8"/>
          <w:sz w:val="21"/>
          <w:szCs w:val="21"/>
        </w:rPr>
        <w:t>应当按照《政府采购促进中小企业发展管理办法》（财库〔2020〕46号）规定和《中小企业划型标准规定》（工信部联企业〔2011〕300号），如实填写并提交本《中小企业声明函》。</w:t>
      </w:r>
    </w:p>
    <w:p>
      <w:pPr>
        <w:pStyle w:val="179"/>
        <w:spacing w:line="360" w:lineRule="auto"/>
        <w:ind w:left="480" w:leftChars="200" w:firstLine="0" w:firstLineChars="0"/>
        <w:rPr>
          <w:spacing w:val="-8"/>
          <w:sz w:val="21"/>
          <w:szCs w:val="21"/>
        </w:rPr>
      </w:pPr>
      <w:r>
        <w:rPr>
          <w:rFonts w:hint="eastAsia"/>
          <w:spacing w:val="-8"/>
          <w:sz w:val="21"/>
          <w:szCs w:val="21"/>
        </w:rPr>
        <w:t>2、从业人员、营业收入、资产总额填报上一年度数据，无上一年度数据的新成立企业可不填报。</w:t>
      </w:r>
    </w:p>
    <w:p>
      <w:pPr>
        <w:pStyle w:val="179"/>
        <w:spacing w:line="360" w:lineRule="auto"/>
        <w:ind w:left="480" w:leftChars="200" w:firstLine="0" w:firstLineChars="0"/>
        <w:rPr>
          <w:b/>
          <w:bCs/>
          <w:spacing w:val="-8"/>
          <w:sz w:val="21"/>
          <w:szCs w:val="21"/>
        </w:rPr>
      </w:pPr>
      <w:r>
        <w:rPr>
          <w:rFonts w:hint="eastAsia"/>
          <w:b/>
          <w:bCs/>
          <w:spacing w:val="-8"/>
          <w:sz w:val="21"/>
          <w:szCs w:val="21"/>
        </w:rPr>
        <w:t>3、供应商应对照第四章采购内容及技术要求对每个产品逐条声明。</w:t>
      </w:r>
    </w:p>
    <w:p>
      <w:pPr>
        <w:spacing w:before="832" w:beforeLines="250" w:after="166" w:afterLines="50"/>
        <w:outlineLvl w:val="2"/>
        <w:rPr>
          <w:rFonts w:hAnsi="宋体"/>
          <w:b/>
          <w:sz w:val="28"/>
          <w:szCs w:val="28"/>
        </w:rPr>
      </w:pPr>
      <w:bookmarkStart w:id="315" w:name="_Toc2462"/>
      <w:r>
        <w:rPr>
          <w:rFonts w:hint="eastAsia" w:hAnsi="宋体"/>
          <w:b/>
          <w:sz w:val="28"/>
          <w:szCs w:val="28"/>
        </w:rPr>
        <w:t>附件</w:t>
      </w:r>
      <w:bookmarkEnd w:id="315"/>
      <w:r>
        <w:rPr>
          <w:rFonts w:hint="eastAsia" w:hAnsi="宋体"/>
          <w:b/>
          <w:sz w:val="28"/>
          <w:szCs w:val="28"/>
        </w:rPr>
        <w:t>2</w:t>
      </w:r>
    </w:p>
    <w:p>
      <w:pPr>
        <w:spacing w:before="333" w:beforeLines="100" w:after="166" w:afterLines="50"/>
        <w:jc w:val="center"/>
        <w:outlineLvl w:val="2"/>
        <w:rPr>
          <w:rFonts w:hAnsi="宋体"/>
          <w:b/>
          <w:sz w:val="28"/>
          <w:szCs w:val="28"/>
        </w:rPr>
      </w:pPr>
      <w:bookmarkStart w:id="316" w:name="_Toc26265"/>
      <w:r>
        <w:rPr>
          <w:rFonts w:hint="eastAsia" w:hAnsi="宋体"/>
          <w:b/>
          <w:sz w:val="28"/>
          <w:szCs w:val="28"/>
        </w:rPr>
        <w:t>投标产品属节能、环境标志产品列表</w:t>
      </w:r>
      <w:bookmarkEnd w:id="316"/>
    </w:p>
    <w:p>
      <w:pPr>
        <w:spacing w:line="360" w:lineRule="auto"/>
        <w:rPr>
          <w:rFonts w:hAnsi="宋体"/>
          <w:bCs/>
          <w:sz w:val="28"/>
          <w:szCs w:val="28"/>
        </w:rPr>
      </w:pPr>
      <w:r>
        <w:rPr>
          <w:rFonts w:hint="eastAsia" w:hAnsi="宋体"/>
          <w:bCs/>
          <w:sz w:val="28"/>
          <w:szCs w:val="28"/>
        </w:rPr>
        <w:t>项目名称：</w:t>
      </w:r>
    </w:p>
    <w:p>
      <w:pPr>
        <w:spacing w:line="360" w:lineRule="auto"/>
        <w:rPr>
          <w:rFonts w:hAnsi="宋体"/>
          <w:bCs/>
          <w:sz w:val="28"/>
          <w:szCs w:val="28"/>
        </w:rPr>
      </w:pPr>
      <w:r>
        <w:rPr>
          <w:rFonts w:hint="eastAsia" w:hAnsi="宋体"/>
          <w:bCs/>
          <w:sz w:val="28"/>
          <w:szCs w:val="28"/>
        </w:rPr>
        <w:t>项目编号：</w:t>
      </w:r>
    </w:p>
    <w:tbl>
      <w:tblPr>
        <w:tblStyle w:val="46"/>
        <w:tblW w:w="8930" w:type="dxa"/>
        <w:tblInd w:w="0" w:type="dxa"/>
        <w:tblLayout w:type="fixed"/>
        <w:tblCellMar>
          <w:top w:w="0" w:type="dxa"/>
          <w:left w:w="28" w:type="dxa"/>
          <w:bottom w:w="0" w:type="dxa"/>
          <w:right w:w="28" w:type="dxa"/>
        </w:tblCellMar>
      </w:tblPr>
      <w:tblGrid>
        <w:gridCol w:w="886"/>
        <w:gridCol w:w="1863"/>
        <w:gridCol w:w="2250"/>
        <w:gridCol w:w="1311"/>
        <w:gridCol w:w="1307"/>
        <w:gridCol w:w="1313"/>
      </w:tblGrid>
      <w:tr>
        <w:tblPrEx>
          <w:tblCellMar>
            <w:top w:w="0" w:type="dxa"/>
            <w:left w:w="28" w:type="dxa"/>
            <w:bottom w:w="0" w:type="dxa"/>
            <w:right w:w="28" w:type="dxa"/>
          </w:tblCellMar>
        </w:tblPrEx>
        <w:trPr>
          <w:trHeight w:val="911" w:hRule="atLeast"/>
        </w:trPr>
        <w:tc>
          <w:tcPr>
            <w:tcW w:w="886" w:type="dxa"/>
            <w:tcBorders>
              <w:top w:val="single" w:color="auto" w:sz="6" w:space="0"/>
              <w:left w:val="single" w:color="auto" w:sz="4" w:space="0"/>
              <w:bottom w:val="single" w:color="auto" w:sz="6" w:space="0"/>
            </w:tcBorders>
            <w:vAlign w:val="center"/>
          </w:tcPr>
          <w:p>
            <w:pPr>
              <w:spacing w:after="120"/>
              <w:jc w:val="center"/>
            </w:pPr>
            <w:r>
              <w:rPr>
                <w:rFonts w:hint="eastAsia"/>
              </w:rPr>
              <w:t>序号</w:t>
            </w:r>
          </w:p>
        </w:tc>
        <w:tc>
          <w:tcPr>
            <w:tcW w:w="1863" w:type="dxa"/>
            <w:tcBorders>
              <w:top w:val="single" w:color="auto" w:sz="6" w:space="0"/>
              <w:left w:val="single" w:color="auto" w:sz="6" w:space="0"/>
              <w:bottom w:val="single" w:color="auto" w:sz="6" w:space="0"/>
              <w:right w:val="single" w:color="auto" w:sz="6" w:space="0"/>
            </w:tcBorders>
            <w:vAlign w:val="center"/>
          </w:tcPr>
          <w:p>
            <w:pPr>
              <w:spacing w:after="120"/>
              <w:jc w:val="center"/>
            </w:pPr>
            <w:r>
              <w:t>名称</w:t>
            </w:r>
          </w:p>
        </w:tc>
        <w:tc>
          <w:tcPr>
            <w:tcW w:w="2250" w:type="dxa"/>
            <w:tcBorders>
              <w:top w:val="single" w:color="auto" w:sz="6" w:space="0"/>
              <w:left w:val="single" w:color="auto" w:sz="6" w:space="0"/>
              <w:bottom w:val="single" w:color="auto" w:sz="6" w:space="0"/>
              <w:right w:val="single" w:color="auto" w:sz="6" w:space="0"/>
            </w:tcBorders>
            <w:vAlign w:val="center"/>
          </w:tcPr>
          <w:p>
            <w:pPr>
              <w:spacing w:before="166" w:beforeLines="50" w:after="120"/>
              <w:jc w:val="center"/>
            </w:pPr>
            <w:r>
              <w:t>型号和规格</w:t>
            </w:r>
          </w:p>
        </w:tc>
        <w:tc>
          <w:tcPr>
            <w:tcW w:w="1311" w:type="dxa"/>
            <w:tcBorders>
              <w:top w:val="single" w:color="auto" w:sz="6" w:space="0"/>
              <w:left w:val="single" w:color="auto" w:sz="6" w:space="0"/>
              <w:bottom w:val="single" w:color="auto" w:sz="6" w:space="0"/>
              <w:right w:val="single" w:color="auto" w:sz="6" w:space="0"/>
            </w:tcBorders>
            <w:vAlign w:val="center"/>
          </w:tcPr>
          <w:p>
            <w:pPr>
              <w:spacing w:after="120"/>
              <w:jc w:val="center"/>
            </w:pPr>
            <w:r>
              <w:t>数量</w:t>
            </w:r>
          </w:p>
        </w:tc>
        <w:tc>
          <w:tcPr>
            <w:tcW w:w="1307" w:type="dxa"/>
            <w:tcBorders>
              <w:top w:val="single" w:color="auto" w:sz="6" w:space="0"/>
              <w:left w:val="single" w:color="auto" w:sz="6" w:space="0"/>
              <w:bottom w:val="single" w:color="auto" w:sz="6" w:space="0"/>
              <w:right w:val="single" w:color="auto" w:sz="6" w:space="0"/>
            </w:tcBorders>
            <w:vAlign w:val="center"/>
          </w:tcPr>
          <w:p>
            <w:pPr>
              <w:spacing w:after="120"/>
              <w:jc w:val="center"/>
            </w:pPr>
            <w:r>
              <w:t>单价</w:t>
            </w:r>
          </w:p>
          <w:p>
            <w:pPr>
              <w:spacing w:after="120"/>
              <w:jc w:val="center"/>
              <w:rPr>
                <w:bCs/>
              </w:rPr>
            </w:pPr>
            <w:r>
              <w:rPr>
                <w:rFonts w:hint="eastAsia"/>
              </w:rPr>
              <w:t>（元）</w:t>
            </w:r>
          </w:p>
        </w:tc>
        <w:tc>
          <w:tcPr>
            <w:tcW w:w="1313" w:type="dxa"/>
            <w:tcBorders>
              <w:top w:val="single" w:color="auto" w:sz="6" w:space="0"/>
              <w:left w:val="single" w:color="auto" w:sz="6" w:space="0"/>
              <w:bottom w:val="single" w:color="auto" w:sz="6" w:space="0"/>
              <w:right w:val="single" w:color="auto" w:sz="6" w:space="0"/>
            </w:tcBorders>
            <w:vAlign w:val="center"/>
          </w:tcPr>
          <w:p>
            <w:pPr>
              <w:spacing w:after="120"/>
              <w:jc w:val="center"/>
              <w:rPr>
                <w:bCs/>
              </w:rPr>
            </w:pPr>
            <w:r>
              <w:rPr>
                <w:bCs/>
              </w:rPr>
              <w:t>总价</w:t>
            </w:r>
          </w:p>
          <w:p>
            <w:pPr>
              <w:spacing w:after="120"/>
              <w:jc w:val="center"/>
              <w:rPr>
                <w:bCs/>
              </w:rPr>
            </w:pPr>
            <w:r>
              <w:rPr>
                <w:rFonts w:hint="eastAsia"/>
                <w:bCs/>
              </w:rPr>
              <w:t>（元）</w:t>
            </w:r>
          </w:p>
        </w:tc>
      </w:tr>
      <w:tr>
        <w:tblPrEx>
          <w:tblCellMar>
            <w:top w:w="0" w:type="dxa"/>
            <w:left w:w="28" w:type="dxa"/>
            <w:bottom w:w="0" w:type="dxa"/>
            <w:right w:w="28" w:type="dxa"/>
          </w:tblCellMar>
        </w:tblPrEx>
        <w:trPr>
          <w:trHeight w:val="808" w:hRule="atLeast"/>
        </w:trPr>
        <w:tc>
          <w:tcPr>
            <w:tcW w:w="886" w:type="dxa"/>
            <w:tcBorders>
              <w:top w:val="single" w:color="auto" w:sz="6" w:space="0"/>
              <w:left w:val="single" w:color="auto" w:sz="4" w:space="0"/>
              <w:bottom w:val="single" w:color="auto" w:sz="4" w:space="0"/>
            </w:tcBorders>
            <w:vAlign w:val="center"/>
          </w:tcPr>
          <w:p>
            <w:pPr>
              <w:spacing w:before="333" w:beforeLines="100"/>
              <w:jc w:val="center"/>
            </w:pPr>
            <w:r>
              <w:rPr>
                <w:rFonts w:hint="eastAsia"/>
              </w:rPr>
              <w:t>1</w:t>
            </w:r>
          </w:p>
        </w:tc>
        <w:tc>
          <w:tcPr>
            <w:tcW w:w="1863" w:type="dxa"/>
            <w:tcBorders>
              <w:top w:val="single" w:color="auto" w:sz="6" w:space="0"/>
              <w:left w:val="single" w:color="auto" w:sz="6" w:space="0"/>
              <w:bottom w:val="single" w:color="auto" w:sz="4" w:space="0"/>
              <w:right w:val="single" w:color="auto" w:sz="6" w:space="0"/>
            </w:tcBorders>
            <w:vAlign w:val="center"/>
          </w:tcPr>
          <w:p>
            <w:pPr>
              <w:spacing w:before="166" w:beforeLines="50"/>
              <w:jc w:val="center"/>
            </w:pPr>
          </w:p>
        </w:tc>
        <w:tc>
          <w:tcPr>
            <w:tcW w:w="2250" w:type="dxa"/>
            <w:tcBorders>
              <w:top w:val="single" w:color="auto" w:sz="6" w:space="0"/>
              <w:left w:val="single" w:color="auto" w:sz="6" w:space="0"/>
              <w:bottom w:val="single" w:color="auto" w:sz="4" w:space="0"/>
              <w:right w:val="single" w:color="auto" w:sz="6" w:space="0"/>
            </w:tcBorders>
            <w:vAlign w:val="center"/>
          </w:tcPr>
          <w:p>
            <w:pPr>
              <w:spacing w:before="166" w:beforeLines="50"/>
              <w:jc w:val="center"/>
            </w:pPr>
          </w:p>
        </w:tc>
        <w:tc>
          <w:tcPr>
            <w:tcW w:w="1311" w:type="dxa"/>
            <w:tcBorders>
              <w:top w:val="single" w:color="auto" w:sz="6" w:space="0"/>
              <w:left w:val="single" w:color="auto" w:sz="6" w:space="0"/>
              <w:bottom w:val="single" w:color="auto" w:sz="4" w:space="0"/>
              <w:right w:val="single" w:color="auto" w:sz="6" w:space="0"/>
            </w:tcBorders>
            <w:vAlign w:val="center"/>
          </w:tcPr>
          <w:p>
            <w:pPr>
              <w:spacing w:before="166" w:beforeLines="50"/>
              <w:jc w:val="center"/>
            </w:pPr>
          </w:p>
        </w:tc>
        <w:tc>
          <w:tcPr>
            <w:tcW w:w="1307" w:type="dxa"/>
            <w:tcBorders>
              <w:top w:val="single" w:color="auto" w:sz="6" w:space="0"/>
              <w:left w:val="single" w:color="auto" w:sz="6" w:space="0"/>
              <w:bottom w:val="single" w:color="auto" w:sz="4" w:space="0"/>
              <w:right w:val="single" w:color="auto" w:sz="6" w:space="0"/>
            </w:tcBorders>
            <w:vAlign w:val="center"/>
          </w:tcPr>
          <w:p>
            <w:pPr>
              <w:spacing w:before="166" w:beforeLines="50"/>
              <w:jc w:val="center"/>
            </w:pPr>
          </w:p>
        </w:tc>
        <w:tc>
          <w:tcPr>
            <w:tcW w:w="1313" w:type="dxa"/>
            <w:tcBorders>
              <w:top w:val="single" w:color="auto" w:sz="6" w:space="0"/>
              <w:left w:val="single" w:color="auto" w:sz="6" w:space="0"/>
              <w:bottom w:val="single" w:color="auto" w:sz="4" w:space="0"/>
              <w:right w:val="single" w:color="auto" w:sz="6" w:space="0"/>
            </w:tcBorders>
            <w:vAlign w:val="center"/>
          </w:tcPr>
          <w:p>
            <w:pPr>
              <w:spacing w:before="166" w:beforeLines="50"/>
              <w:jc w:val="center"/>
            </w:pPr>
          </w:p>
        </w:tc>
      </w:tr>
      <w:tr>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pPr>
              <w:spacing w:before="333" w:beforeLines="100"/>
              <w:jc w:val="center"/>
            </w:pPr>
            <w:r>
              <w:rPr>
                <w:rFonts w:hint="eastAsia"/>
              </w:rPr>
              <w:t>2</w:t>
            </w:r>
          </w:p>
        </w:tc>
        <w:tc>
          <w:tcPr>
            <w:tcW w:w="1863" w:type="dxa"/>
            <w:tcBorders>
              <w:top w:val="single" w:color="auto" w:sz="4" w:space="0"/>
              <w:left w:val="single" w:color="auto" w:sz="6" w:space="0"/>
              <w:bottom w:val="single" w:color="auto" w:sz="6" w:space="0"/>
              <w:right w:val="single" w:color="auto" w:sz="6" w:space="0"/>
            </w:tcBorders>
            <w:vAlign w:val="center"/>
          </w:tcPr>
          <w:p>
            <w:pPr>
              <w:spacing w:before="333" w:beforeLines="100"/>
              <w:jc w:val="center"/>
            </w:pPr>
          </w:p>
        </w:tc>
        <w:tc>
          <w:tcPr>
            <w:tcW w:w="2250"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pPr>
          </w:p>
        </w:tc>
        <w:tc>
          <w:tcPr>
            <w:tcW w:w="1311"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pPr>
          </w:p>
        </w:tc>
        <w:tc>
          <w:tcPr>
            <w:tcW w:w="1307"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pPr>
          </w:p>
        </w:tc>
        <w:tc>
          <w:tcPr>
            <w:tcW w:w="1313"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pPr>
          </w:p>
        </w:tc>
      </w:tr>
      <w:tr>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pPr>
              <w:spacing w:before="333" w:beforeLines="100"/>
              <w:jc w:val="center"/>
            </w:pPr>
            <w:r>
              <w:rPr>
                <w:rFonts w:hint="eastAsia"/>
              </w:rPr>
              <w:t>3</w:t>
            </w:r>
          </w:p>
        </w:tc>
        <w:tc>
          <w:tcPr>
            <w:tcW w:w="1863" w:type="dxa"/>
            <w:tcBorders>
              <w:top w:val="single" w:color="auto" w:sz="4" w:space="0"/>
              <w:left w:val="single" w:color="auto" w:sz="6" w:space="0"/>
              <w:bottom w:val="single" w:color="auto" w:sz="6" w:space="0"/>
              <w:right w:val="single" w:color="auto" w:sz="6" w:space="0"/>
            </w:tcBorders>
            <w:vAlign w:val="center"/>
          </w:tcPr>
          <w:p>
            <w:pPr>
              <w:spacing w:before="333" w:beforeLines="100"/>
              <w:jc w:val="center"/>
            </w:pPr>
          </w:p>
        </w:tc>
        <w:tc>
          <w:tcPr>
            <w:tcW w:w="2250"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pPr>
          </w:p>
        </w:tc>
        <w:tc>
          <w:tcPr>
            <w:tcW w:w="1311"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pPr>
          </w:p>
        </w:tc>
        <w:tc>
          <w:tcPr>
            <w:tcW w:w="1307"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pPr>
          </w:p>
        </w:tc>
        <w:tc>
          <w:tcPr>
            <w:tcW w:w="1313"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pPr>
          </w:p>
        </w:tc>
      </w:tr>
      <w:tr>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pPr>
              <w:spacing w:before="333" w:beforeLines="100"/>
              <w:jc w:val="center"/>
            </w:pPr>
            <w:r>
              <w:rPr>
                <w:rFonts w:hint="eastAsia"/>
                <w:szCs w:val="24"/>
              </w:rPr>
              <w:t>……</w:t>
            </w:r>
          </w:p>
        </w:tc>
        <w:tc>
          <w:tcPr>
            <w:tcW w:w="1863"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pPr>
          </w:p>
        </w:tc>
        <w:tc>
          <w:tcPr>
            <w:tcW w:w="2250"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pPr>
          </w:p>
        </w:tc>
        <w:tc>
          <w:tcPr>
            <w:tcW w:w="1311"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pPr>
          </w:p>
        </w:tc>
        <w:tc>
          <w:tcPr>
            <w:tcW w:w="1307"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pPr>
          </w:p>
        </w:tc>
        <w:tc>
          <w:tcPr>
            <w:tcW w:w="1313"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pPr>
          </w:p>
        </w:tc>
      </w:tr>
      <w:tr>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pPr>
              <w:spacing w:before="333" w:beforeLines="100"/>
              <w:jc w:val="center"/>
              <w:rPr>
                <w:b/>
              </w:rPr>
            </w:pPr>
            <w:r>
              <w:rPr>
                <w:rFonts w:hint="eastAsia"/>
                <w:szCs w:val="24"/>
              </w:rPr>
              <w:t>……</w:t>
            </w:r>
          </w:p>
        </w:tc>
        <w:tc>
          <w:tcPr>
            <w:tcW w:w="1863"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pPr>
          </w:p>
        </w:tc>
        <w:tc>
          <w:tcPr>
            <w:tcW w:w="2250"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pPr>
          </w:p>
        </w:tc>
        <w:tc>
          <w:tcPr>
            <w:tcW w:w="1311"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pPr>
          </w:p>
        </w:tc>
        <w:tc>
          <w:tcPr>
            <w:tcW w:w="1307"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pPr>
          </w:p>
        </w:tc>
        <w:tc>
          <w:tcPr>
            <w:tcW w:w="1313" w:type="dxa"/>
            <w:tcBorders>
              <w:top w:val="single" w:color="auto" w:sz="4" w:space="0"/>
              <w:left w:val="single" w:color="auto" w:sz="6" w:space="0"/>
              <w:bottom w:val="single" w:color="auto" w:sz="6" w:space="0"/>
              <w:right w:val="single" w:color="auto" w:sz="6" w:space="0"/>
            </w:tcBorders>
            <w:vAlign w:val="center"/>
          </w:tcPr>
          <w:p>
            <w:pPr>
              <w:spacing w:before="166" w:beforeLines="50"/>
              <w:jc w:val="center"/>
            </w:pPr>
          </w:p>
        </w:tc>
      </w:tr>
      <w:tr>
        <w:tblPrEx>
          <w:tblCellMar>
            <w:top w:w="0" w:type="dxa"/>
            <w:left w:w="28" w:type="dxa"/>
            <w:bottom w:w="0" w:type="dxa"/>
            <w:right w:w="28" w:type="dxa"/>
          </w:tblCellMar>
        </w:tblPrEx>
        <w:trPr>
          <w:trHeight w:val="808" w:hRule="atLeast"/>
        </w:trPr>
        <w:tc>
          <w:tcPr>
            <w:tcW w:w="886" w:type="dxa"/>
            <w:tcBorders>
              <w:top w:val="single" w:color="auto" w:sz="4" w:space="0"/>
              <w:left w:val="single" w:color="auto" w:sz="6" w:space="0"/>
              <w:bottom w:val="single" w:color="auto" w:sz="6" w:space="0"/>
            </w:tcBorders>
            <w:vAlign w:val="center"/>
          </w:tcPr>
          <w:p>
            <w:pPr>
              <w:jc w:val="center"/>
            </w:pPr>
            <w:r>
              <w:t>合计</w:t>
            </w:r>
            <w:r>
              <w:rPr>
                <w:rFonts w:hint="eastAsia"/>
              </w:rPr>
              <w:t>：</w:t>
            </w:r>
          </w:p>
        </w:tc>
        <w:tc>
          <w:tcPr>
            <w:tcW w:w="8044" w:type="dxa"/>
            <w:gridSpan w:val="5"/>
            <w:tcBorders>
              <w:top w:val="single" w:color="auto" w:sz="4" w:space="0"/>
              <w:left w:val="single" w:color="auto" w:sz="6" w:space="0"/>
              <w:bottom w:val="single" w:color="auto" w:sz="6" w:space="0"/>
              <w:right w:val="single" w:color="auto" w:sz="6" w:space="0"/>
            </w:tcBorders>
            <w:vAlign w:val="center"/>
          </w:tcPr>
          <w:p>
            <w:pPr>
              <w:spacing w:before="166" w:beforeLines="50"/>
              <w:jc w:val="left"/>
            </w:pPr>
            <w:r>
              <w:t xml:space="preserve">大写：   </w:t>
            </w:r>
            <w:r>
              <w:rPr>
                <w:rFonts w:hint="eastAsia"/>
              </w:rPr>
              <w:t xml:space="preserve">                             </w:t>
            </w:r>
            <w:r>
              <w:t>小写：</w:t>
            </w:r>
          </w:p>
        </w:tc>
      </w:tr>
      <w:tr>
        <w:tblPrEx>
          <w:tblCellMar>
            <w:top w:w="0" w:type="dxa"/>
            <w:left w:w="28" w:type="dxa"/>
            <w:bottom w:w="0" w:type="dxa"/>
            <w:right w:w="28" w:type="dxa"/>
          </w:tblCellMar>
        </w:tblPrEx>
        <w:trPr>
          <w:trHeight w:val="808" w:hRule="atLeast"/>
        </w:trPr>
        <w:tc>
          <w:tcPr>
            <w:tcW w:w="886" w:type="dxa"/>
            <w:tcBorders>
              <w:top w:val="single" w:color="auto" w:sz="4" w:space="0"/>
              <w:left w:val="single" w:color="auto" w:sz="6" w:space="0"/>
              <w:bottom w:val="single" w:color="auto" w:sz="6" w:space="0"/>
            </w:tcBorders>
            <w:vAlign w:val="center"/>
          </w:tcPr>
          <w:p>
            <w:pPr>
              <w:jc w:val="center"/>
            </w:pPr>
            <w:r>
              <w:rPr>
                <w:rFonts w:hint="eastAsia"/>
              </w:rPr>
              <w:t>备注</w:t>
            </w:r>
          </w:p>
        </w:tc>
        <w:tc>
          <w:tcPr>
            <w:tcW w:w="8044" w:type="dxa"/>
            <w:gridSpan w:val="5"/>
            <w:tcBorders>
              <w:top w:val="single" w:color="auto" w:sz="4" w:space="0"/>
              <w:left w:val="single" w:color="auto" w:sz="6" w:space="0"/>
              <w:bottom w:val="single" w:color="auto" w:sz="6" w:space="0"/>
              <w:right w:val="single" w:color="auto" w:sz="6" w:space="0"/>
            </w:tcBorders>
            <w:vAlign w:val="center"/>
          </w:tcPr>
          <w:p>
            <w:pPr>
              <w:spacing w:before="166" w:beforeLines="50"/>
              <w:jc w:val="center"/>
            </w:pPr>
            <w:r>
              <w:rPr>
                <w:rFonts w:hint="eastAsia" w:hAnsi="宋体"/>
                <w:spacing w:val="-6"/>
              </w:rPr>
              <w:t>保留小数点后两位。</w:t>
            </w:r>
          </w:p>
        </w:tc>
      </w:tr>
    </w:tbl>
    <w:p>
      <w:pPr>
        <w:adjustRightInd w:val="0"/>
        <w:snapToGrid w:val="0"/>
        <w:spacing w:line="360" w:lineRule="auto"/>
        <w:rPr>
          <w:szCs w:val="21"/>
        </w:rPr>
      </w:pPr>
    </w:p>
    <w:p>
      <w:pPr>
        <w:adjustRightInd w:val="0"/>
        <w:snapToGrid w:val="0"/>
        <w:spacing w:line="360" w:lineRule="auto"/>
        <w:rPr>
          <w:bCs/>
          <w:szCs w:val="21"/>
        </w:rPr>
      </w:pPr>
      <w:r>
        <w:rPr>
          <w:szCs w:val="21"/>
        </w:rPr>
        <w:t>说明：</w:t>
      </w:r>
      <w:r>
        <w:rPr>
          <w:bCs/>
          <w:szCs w:val="21"/>
        </w:rPr>
        <w:t>1、</w:t>
      </w:r>
      <w:r>
        <w:rPr>
          <w:rFonts w:hint="eastAsia"/>
          <w:szCs w:val="21"/>
        </w:rPr>
        <w:t>供应商提供的属于节能、环境标志产品品目清单中优先采购的产品，须按招标文件要求提供相关证明材料，不涉及此项内容可不提供此表。</w:t>
      </w:r>
    </w:p>
    <w:p>
      <w:pPr>
        <w:pStyle w:val="131"/>
        <w:spacing w:line="400" w:lineRule="exact"/>
        <w:ind w:left="480" w:leftChars="200" w:firstLine="240" w:firstLineChars="100"/>
        <w:rPr>
          <w:sz w:val="28"/>
          <w:szCs w:val="28"/>
        </w:rPr>
      </w:pPr>
      <w:r>
        <w:rPr>
          <w:bCs/>
        </w:rPr>
        <w:t>2、未按上述要求提供、</w:t>
      </w:r>
      <w:r>
        <w:t>填写</w:t>
      </w:r>
      <w:r>
        <w:rPr>
          <w:bCs/>
        </w:rPr>
        <w:t>的，评</w:t>
      </w:r>
      <w:r>
        <w:rPr>
          <w:rFonts w:hint="eastAsia"/>
          <w:bCs/>
        </w:rPr>
        <w:t>审</w:t>
      </w:r>
      <w:r>
        <w:rPr>
          <w:bCs/>
        </w:rPr>
        <w:t>时不予以考虑。</w:t>
      </w:r>
    </w:p>
    <w:p>
      <w:pPr>
        <w:rPr>
          <w:rFonts w:hAnsi="宋体" w:cs="宋体"/>
          <w:b/>
          <w:sz w:val="28"/>
          <w:szCs w:val="28"/>
        </w:rPr>
      </w:pPr>
    </w:p>
    <w:p>
      <w:pPr>
        <w:rPr>
          <w:rFonts w:hAnsi="宋体" w:cs="宋体"/>
          <w:b/>
          <w:sz w:val="28"/>
          <w:szCs w:val="28"/>
        </w:rPr>
      </w:pPr>
    </w:p>
    <w:p>
      <w:pPr>
        <w:rPr>
          <w:rFonts w:hAnsi="宋体" w:cs="宋体"/>
          <w:b/>
          <w:sz w:val="28"/>
          <w:szCs w:val="28"/>
        </w:rPr>
      </w:pPr>
    </w:p>
    <w:p>
      <w:pPr>
        <w:outlineLvl w:val="2"/>
        <w:rPr>
          <w:rFonts w:hAnsi="宋体" w:cs="宋体"/>
          <w:b/>
          <w:sz w:val="28"/>
          <w:szCs w:val="28"/>
        </w:rPr>
      </w:pPr>
      <w:bookmarkStart w:id="317" w:name="_Toc13088"/>
      <w:r>
        <w:rPr>
          <w:rFonts w:hint="eastAsia" w:hAnsi="宋体" w:cs="宋体"/>
          <w:b/>
          <w:sz w:val="28"/>
          <w:szCs w:val="28"/>
        </w:rPr>
        <w:t>附件</w:t>
      </w:r>
      <w:bookmarkEnd w:id="317"/>
      <w:r>
        <w:rPr>
          <w:rFonts w:hint="eastAsia" w:hAnsi="宋体" w:cs="宋体"/>
          <w:b/>
          <w:sz w:val="28"/>
          <w:szCs w:val="28"/>
        </w:rPr>
        <w:t>3</w:t>
      </w:r>
    </w:p>
    <w:p>
      <w:pPr>
        <w:spacing w:line="588" w:lineRule="exact"/>
        <w:jc w:val="center"/>
        <w:outlineLvl w:val="2"/>
        <w:rPr>
          <w:rFonts w:hAnsi="宋体" w:cs="宋体"/>
          <w:b/>
          <w:spacing w:val="6"/>
          <w:sz w:val="32"/>
          <w:szCs w:val="32"/>
        </w:rPr>
      </w:pPr>
      <w:bookmarkStart w:id="318" w:name="_Toc17495"/>
      <w:bookmarkStart w:id="319" w:name="OLE_LINK13"/>
      <w:bookmarkStart w:id="320" w:name="OLE_LINK14"/>
      <w:r>
        <w:rPr>
          <w:rFonts w:hint="eastAsia" w:hAnsi="宋体" w:cs="宋体"/>
          <w:b/>
          <w:spacing w:val="6"/>
          <w:sz w:val="32"/>
          <w:szCs w:val="32"/>
        </w:rPr>
        <w:t>残疾人福利性单位声明函</w:t>
      </w:r>
      <w:bookmarkEnd w:id="318"/>
    </w:p>
    <w:bookmarkEnd w:id="319"/>
    <w:bookmarkEnd w:id="320"/>
    <w:p>
      <w:pPr>
        <w:spacing w:line="588" w:lineRule="exact"/>
        <w:ind w:firstLine="504" w:firstLineChars="200"/>
        <w:rPr>
          <w:rFonts w:hAnsi="宋体" w:cs="宋体"/>
          <w:spacing w:val="6"/>
          <w:szCs w:val="24"/>
        </w:rPr>
      </w:pPr>
      <w:r>
        <w:rPr>
          <w:rFonts w:hint="eastAsia" w:hAnsi="宋体" w:cs="宋体"/>
          <w:spacing w:val="6"/>
          <w:szCs w:val="24"/>
        </w:rPr>
        <w:t>本单位郑重声明，根据《财政部 民政部 中国残疾人联合会关于促进残疾人就业政府采购政策的通知》（财库</w:t>
      </w:r>
      <w:r>
        <w:rPr>
          <w:rFonts w:hint="eastAsia" w:hAnsi="宋体" w:cs="宋体"/>
          <w:szCs w:val="24"/>
        </w:rPr>
        <w:t>〔2017〕 141</w:t>
      </w:r>
      <w:r>
        <w:rPr>
          <w:rFonts w:hint="eastAsia" w:hAnsi="宋体" w:cs="宋体"/>
          <w:spacing w:val="6"/>
          <w:szCs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hAnsi="宋体" w:cs="宋体"/>
          <w:spacing w:val="6"/>
          <w:szCs w:val="24"/>
        </w:rPr>
      </w:pPr>
      <w:r>
        <w:rPr>
          <w:rFonts w:hint="eastAsia" w:hAnsi="宋体" w:cs="宋体"/>
          <w:spacing w:val="6"/>
          <w:szCs w:val="24"/>
        </w:rPr>
        <w:t>本单位对上述声明的真实性负责。如有虚假，将依法承担相应责任。</w:t>
      </w:r>
    </w:p>
    <w:p>
      <w:pPr>
        <w:spacing w:line="588" w:lineRule="exact"/>
        <w:ind w:firstLine="504" w:firstLineChars="200"/>
        <w:rPr>
          <w:rFonts w:hAnsi="宋体" w:cs="宋体"/>
          <w:spacing w:val="6"/>
          <w:szCs w:val="24"/>
        </w:rPr>
      </w:pPr>
    </w:p>
    <w:p>
      <w:pPr>
        <w:spacing w:line="588" w:lineRule="exact"/>
        <w:ind w:firstLine="504" w:firstLineChars="200"/>
        <w:rPr>
          <w:rFonts w:hAnsi="宋体" w:cs="宋体"/>
          <w:spacing w:val="6"/>
          <w:szCs w:val="24"/>
        </w:rPr>
      </w:pPr>
    </w:p>
    <w:p>
      <w:pPr>
        <w:spacing w:line="588" w:lineRule="exact"/>
        <w:ind w:firstLine="504" w:firstLineChars="200"/>
        <w:rPr>
          <w:rFonts w:hAnsi="宋体" w:cs="宋体"/>
          <w:spacing w:val="6"/>
          <w:szCs w:val="24"/>
        </w:rPr>
      </w:pPr>
    </w:p>
    <w:p>
      <w:pPr>
        <w:spacing w:line="588" w:lineRule="exact"/>
        <w:ind w:firstLine="504" w:firstLineChars="200"/>
        <w:rPr>
          <w:rFonts w:hAnsi="宋体" w:cs="宋体"/>
          <w:spacing w:val="6"/>
          <w:szCs w:val="24"/>
        </w:rPr>
      </w:pPr>
    </w:p>
    <w:p>
      <w:pPr>
        <w:tabs>
          <w:tab w:val="left" w:pos="4860"/>
        </w:tabs>
        <w:spacing w:line="720" w:lineRule="auto"/>
        <w:ind w:right="1560" w:firstLine="504" w:firstLineChars="200"/>
        <w:jc w:val="center"/>
        <w:rPr>
          <w:rFonts w:hAnsi="宋体" w:cs="宋体"/>
          <w:spacing w:val="6"/>
          <w:szCs w:val="24"/>
        </w:rPr>
      </w:pPr>
      <w:r>
        <w:rPr>
          <w:rFonts w:hint="eastAsia" w:hAnsi="宋体" w:cs="宋体"/>
          <w:spacing w:val="6"/>
          <w:szCs w:val="24"/>
        </w:rPr>
        <w:t xml:space="preserve">               单位名称：</w:t>
      </w:r>
      <w:r>
        <w:rPr>
          <w:rFonts w:hint="eastAsia" w:hAnsi="宋体" w:cs="宋体"/>
          <w:spacing w:val="6"/>
          <w:szCs w:val="24"/>
          <w:u w:val="single"/>
        </w:rPr>
        <w:t xml:space="preserve">                 </w:t>
      </w:r>
      <w:r>
        <w:rPr>
          <w:rFonts w:hint="eastAsia" w:hAnsi="宋体" w:cs="宋体"/>
          <w:spacing w:val="6"/>
          <w:szCs w:val="24"/>
        </w:rPr>
        <w:t>（盖章）</w:t>
      </w:r>
    </w:p>
    <w:p>
      <w:pPr>
        <w:adjustRightInd w:val="0"/>
        <w:snapToGrid w:val="0"/>
        <w:spacing w:line="720" w:lineRule="auto"/>
        <w:ind w:firstLine="2880" w:firstLineChars="1200"/>
        <w:rPr>
          <w:rFonts w:hAnsi="宋体" w:cs="宋体"/>
        </w:rPr>
      </w:pPr>
      <w:r>
        <w:rPr>
          <w:rFonts w:hint="eastAsia" w:hAnsi="宋体" w:cs="宋体"/>
        </w:rPr>
        <w:t>日     期：</w:t>
      </w:r>
      <w:r>
        <w:rPr>
          <w:rFonts w:hint="eastAsia" w:hAnsi="宋体" w:cs="宋体"/>
          <w:u w:val="single"/>
        </w:rPr>
        <w:t xml:space="preserve">         </w:t>
      </w:r>
      <w:r>
        <w:rPr>
          <w:rFonts w:hint="eastAsia" w:hAnsi="宋体" w:cs="宋体"/>
        </w:rPr>
        <w:t>年</w:t>
      </w:r>
      <w:r>
        <w:rPr>
          <w:rFonts w:hint="eastAsia" w:hAnsi="宋体" w:cs="宋体"/>
          <w:u w:val="single"/>
        </w:rPr>
        <w:t xml:space="preserve">       </w:t>
      </w:r>
      <w:r>
        <w:rPr>
          <w:rFonts w:hint="eastAsia" w:hAnsi="宋体" w:cs="宋体"/>
        </w:rPr>
        <w:t>月</w:t>
      </w:r>
      <w:r>
        <w:rPr>
          <w:rFonts w:hint="eastAsia" w:hAnsi="宋体" w:cs="宋体"/>
          <w:u w:val="single"/>
        </w:rPr>
        <w:t xml:space="preserve">      </w:t>
      </w:r>
      <w:r>
        <w:rPr>
          <w:rFonts w:hint="eastAsia" w:hAnsi="宋体" w:cs="宋体"/>
        </w:rPr>
        <w:t>日</w:t>
      </w:r>
    </w:p>
    <w:p>
      <w:pPr>
        <w:tabs>
          <w:tab w:val="left" w:pos="1620"/>
          <w:tab w:val="left" w:pos="1800"/>
        </w:tabs>
        <w:spacing w:line="440" w:lineRule="exact"/>
        <w:ind w:right="617" w:rightChars="257"/>
        <w:rPr>
          <w:rFonts w:hAnsi="宋体" w:cs="宋体"/>
        </w:rPr>
      </w:pPr>
    </w:p>
    <w:p>
      <w:pPr>
        <w:tabs>
          <w:tab w:val="left" w:pos="1620"/>
          <w:tab w:val="left" w:pos="1800"/>
        </w:tabs>
        <w:spacing w:line="440" w:lineRule="exact"/>
        <w:ind w:right="617" w:rightChars="257"/>
        <w:rPr>
          <w:rFonts w:hAnsi="宋体" w:cs="宋体"/>
        </w:rPr>
      </w:pPr>
    </w:p>
    <w:p>
      <w:pPr>
        <w:pStyle w:val="19"/>
        <w:rPr>
          <w:rFonts w:ascii="宋体" w:hAnsi="宋体" w:cs="宋体"/>
        </w:rPr>
      </w:pPr>
    </w:p>
    <w:p>
      <w:pPr>
        <w:spacing w:line="360" w:lineRule="auto"/>
        <w:ind w:firstLine="480" w:firstLineChars="200"/>
        <w:rPr>
          <w:rFonts w:hAnsi="宋体" w:cs="宋体"/>
          <w:szCs w:val="24"/>
        </w:rPr>
      </w:pPr>
      <w:r>
        <w:rPr>
          <w:rFonts w:hint="eastAsia" w:hAnsi="宋体" w:cs="宋体"/>
          <w:szCs w:val="24"/>
        </w:rPr>
        <w:t>备注：符合条件的残疾人福利性单位在参加政府采购活动时，应当提供《残疾人福利性单位声明函》，并对声明的真实性负责；非残疾人福利性单位无需提供。</w:t>
      </w:r>
    </w:p>
    <w:p/>
    <w:p>
      <w:pPr>
        <w:pStyle w:val="19"/>
        <w:rPr>
          <w:rFonts w:ascii="宋体" w:hAnsi="宋体" w:cs="宋体"/>
        </w:rPr>
      </w:pPr>
    </w:p>
    <w:p>
      <w:pPr>
        <w:pStyle w:val="19"/>
        <w:rPr>
          <w:rFonts w:ascii="宋体" w:hAnsi="宋体" w:cs="宋体"/>
        </w:rPr>
      </w:pPr>
    </w:p>
    <w:p>
      <w:pPr>
        <w:pStyle w:val="19"/>
        <w:rPr>
          <w:rFonts w:ascii="宋体" w:hAnsi="宋体" w:cs="宋体"/>
        </w:rPr>
      </w:pPr>
    </w:p>
    <w:p>
      <w:pPr>
        <w:pStyle w:val="19"/>
        <w:rPr>
          <w:rFonts w:ascii="宋体" w:hAnsi="宋体" w:cs="宋体"/>
        </w:rPr>
      </w:pPr>
    </w:p>
    <w:p>
      <w:pPr>
        <w:pStyle w:val="19"/>
        <w:outlineLvl w:val="2"/>
        <w:rPr>
          <w:rFonts w:ascii="宋体" w:hAnsi="宋体" w:cs="宋体"/>
          <w:b/>
          <w:bCs/>
          <w:spacing w:val="6"/>
          <w:sz w:val="30"/>
          <w:szCs w:val="30"/>
        </w:rPr>
      </w:pPr>
      <w:bookmarkStart w:id="321" w:name="_Toc2237"/>
      <w:r>
        <w:rPr>
          <w:rFonts w:hint="eastAsia" w:ascii="宋体" w:hAnsi="宋体" w:cs="宋体"/>
          <w:b/>
          <w:bCs/>
          <w:spacing w:val="6"/>
          <w:kern w:val="0"/>
          <w:sz w:val="30"/>
          <w:szCs w:val="30"/>
        </w:rPr>
        <w:t>附件</w:t>
      </w:r>
      <w:bookmarkEnd w:id="321"/>
      <w:r>
        <w:rPr>
          <w:rFonts w:hint="eastAsia" w:ascii="宋体" w:hAnsi="宋体" w:cs="宋体"/>
          <w:b/>
          <w:bCs/>
          <w:spacing w:val="6"/>
          <w:kern w:val="0"/>
          <w:sz w:val="30"/>
          <w:szCs w:val="30"/>
        </w:rPr>
        <w:t>4</w:t>
      </w:r>
    </w:p>
    <w:p>
      <w:pPr>
        <w:pStyle w:val="19"/>
        <w:jc w:val="center"/>
        <w:outlineLvl w:val="2"/>
        <w:rPr>
          <w:rFonts w:hAnsi="宋体" w:cs="宋体"/>
          <w:b/>
          <w:bCs/>
          <w:sz w:val="32"/>
          <w:szCs w:val="32"/>
        </w:rPr>
      </w:pPr>
      <w:bookmarkStart w:id="322" w:name="_Toc32281"/>
      <w:r>
        <w:rPr>
          <w:rFonts w:hint="eastAsia" w:hAnsi="宋体" w:cs="宋体"/>
          <w:b/>
          <w:bCs/>
          <w:sz w:val="32"/>
          <w:szCs w:val="32"/>
        </w:rPr>
        <w:t>监狱企业证明文件</w:t>
      </w:r>
      <w:bookmarkEnd w:id="322"/>
    </w:p>
    <w:p/>
    <w:p>
      <w:pPr>
        <w:spacing w:line="500" w:lineRule="exact"/>
        <w:ind w:firstLine="480" w:firstLineChars="200"/>
        <w:jc w:val="left"/>
        <w:rPr>
          <w:rFonts w:hAnsi="宋体" w:cs="宋体"/>
        </w:rPr>
      </w:pPr>
      <w:r>
        <w:rPr>
          <w:rFonts w:hint="eastAsia" w:hAnsi="宋体" w:cs="宋体"/>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500" w:lineRule="exact"/>
        <w:ind w:firstLine="482" w:firstLineChars="200"/>
        <w:jc w:val="left"/>
        <w:rPr>
          <w:rFonts w:hAnsi="宋体" w:cs="宋体"/>
          <w:b/>
          <w:bCs/>
        </w:rPr>
      </w:pPr>
      <w:r>
        <w:rPr>
          <w:rFonts w:hint="eastAsia" w:hAnsi="宋体" w:cs="宋体"/>
          <w:b/>
          <w:bCs/>
        </w:rPr>
        <w:t>监狱企业参加政府采购活动时，应当提供由省级以上监狱管理局、戒毒管理局（含新疆生产建设兵团）出具的属于监狱企业的证明文件</w:t>
      </w:r>
      <w:r>
        <w:rPr>
          <w:rFonts w:hint="eastAsia" w:hAnsi="宋体" w:cs="宋体"/>
          <w:b/>
          <w:bCs/>
          <w:szCs w:val="24"/>
        </w:rPr>
        <w:t>，</w:t>
      </w:r>
      <w:r>
        <w:rPr>
          <w:rFonts w:hint="eastAsia" w:hAnsi="宋体" w:cs="宋体"/>
          <w:b/>
          <w:bCs/>
        </w:rPr>
        <w:t>非监狱企业无需提供。</w:t>
      </w:r>
    </w:p>
    <w:p>
      <w:pPr>
        <w:pStyle w:val="19"/>
        <w:rPr>
          <w:rFonts w:ascii="宋体" w:hAnsi="宋体" w:cs="宋体"/>
          <w:sz w:val="24"/>
          <w:szCs w:val="24"/>
        </w:rPr>
      </w:pPr>
    </w:p>
    <w:p>
      <w:pPr>
        <w:pStyle w:val="19"/>
        <w:rPr>
          <w:rFonts w:ascii="宋体" w:hAnsi="宋体" w:cs="宋体"/>
        </w:rPr>
      </w:pPr>
    </w:p>
    <w:p>
      <w:pPr>
        <w:pStyle w:val="19"/>
        <w:rPr>
          <w:rFonts w:ascii="宋体" w:hAnsi="宋体" w:cs="宋体"/>
        </w:rPr>
      </w:pPr>
    </w:p>
    <w:p>
      <w:pPr>
        <w:pStyle w:val="19"/>
        <w:rPr>
          <w:rFonts w:ascii="宋体" w:hAnsi="宋体" w:cs="宋体"/>
        </w:rPr>
      </w:pPr>
    </w:p>
    <w:p>
      <w:pPr>
        <w:pStyle w:val="19"/>
        <w:rPr>
          <w:rFonts w:ascii="宋体" w:hAnsi="宋体" w:cs="宋体"/>
        </w:rPr>
      </w:pPr>
    </w:p>
    <w:p>
      <w:pPr>
        <w:pStyle w:val="19"/>
        <w:rPr>
          <w:rFonts w:ascii="宋体" w:hAnsi="宋体" w:cs="宋体"/>
        </w:rPr>
      </w:pPr>
    </w:p>
    <w:p>
      <w:pPr>
        <w:pStyle w:val="19"/>
        <w:rPr>
          <w:rFonts w:ascii="宋体" w:hAnsi="宋体" w:cs="宋体"/>
        </w:rPr>
      </w:pPr>
    </w:p>
    <w:p>
      <w:pPr>
        <w:pStyle w:val="19"/>
        <w:rPr>
          <w:rFonts w:ascii="宋体" w:hAnsi="宋体" w:cs="宋体"/>
        </w:rPr>
      </w:pPr>
    </w:p>
    <w:p>
      <w:pPr>
        <w:pStyle w:val="19"/>
        <w:rPr>
          <w:rFonts w:ascii="宋体" w:hAnsi="宋体" w:cs="宋体"/>
        </w:rPr>
        <w:sectPr>
          <w:pgSz w:w="11906" w:h="16838"/>
          <w:pgMar w:top="1417" w:right="1134" w:bottom="1417" w:left="1417" w:header="1134" w:footer="992" w:gutter="0"/>
          <w:cols w:space="720" w:num="1"/>
          <w:titlePg/>
          <w:docGrid w:type="lines" w:linePitch="333" w:charSpace="0"/>
        </w:sectPr>
      </w:pPr>
    </w:p>
    <w:p/>
    <w:p/>
    <w:p>
      <w:pPr>
        <w:rPr>
          <w:b/>
          <w:sz w:val="30"/>
          <w:szCs w:val="30"/>
        </w:rPr>
      </w:pPr>
    </w:p>
    <w:p>
      <w:pPr>
        <w:rPr>
          <w:b/>
          <w:sz w:val="30"/>
          <w:szCs w:val="30"/>
        </w:rPr>
      </w:pPr>
    </w:p>
    <w:p>
      <w:pPr>
        <w:rPr>
          <w:b/>
          <w:sz w:val="30"/>
          <w:szCs w:val="30"/>
        </w:rPr>
      </w:pPr>
    </w:p>
    <w:p>
      <w:pPr>
        <w:rPr>
          <w:b/>
          <w:sz w:val="30"/>
          <w:szCs w:val="30"/>
        </w:rPr>
      </w:pPr>
    </w:p>
    <w:p>
      <w:pPr>
        <w:rPr>
          <w:b/>
          <w:sz w:val="30"/>
          <w:szCs w:val="30"/>
        </w:rPr>
      </w:pPr>
    </w:p>
    <w:p>
      <w:pPr>
        <w:rPr>
          <w:b/>
          <w:sz w:val="30"/>
          <w:szCs w:val="30"/>
        </w:rPr>
      </w:pPr>
    </w:p>
    <w:p>
      <w:pPr>
        <w:rPr>
          <w:b/>
          <w:sz w:val="30"/>
          <w:szCs w:val="30"/>
        </w:rPr>
      </w:pPr>
    </w:p>
    <w:p>
      <w:pPr>
        <w:rPr>
          <w:b/>
          <w:sz w:val="30"/>
          <w:szCs w:val="30"/>
        </w:rPr>
      </w:pPr>
    </w:p>
    <w:p>
      <w:pPr>
        <w:rPr>
          <w:b/>
          <w:sz w:val="30"/>
          <w:szCs w:val="30"/>
        </w:rPr>
      </w:pPr>
    </w:p>
    <w:p>
      <w:pPr>
        <w:rPr>
          <w:b/>
          <w:sz w:val="30"/>
          <w:szCs w:val="30"/>
        </w:rPr>
      </w:pPr>
    </w:p>
    <w:p>
      <w:pPr>
        <w:rPr>
          <w:b/>
          <w:sz w:val="30"/>
          <w:szCs w:val="30"/>
        </w:rPr>
      </w:pPr>
    </w:p>
    <w:p>
      <w:pPr>
        <w:rPr>
          <w:b/>
          <w:sz w:val="30"/>
          <w:szCs w:val="30"/>
        </w:rPr>
      </w:pPr>
    </w:p>
    <w:p>
      <w:pPr>
        <w:rPr>
          <w:b/>
          <w:sz w:val="30"/>
          <w:szCs w:val="30"/>
        </w:rPr>
      </w:pPr>
    </w:p>
    <w:p>
      <w:pPr>
        <w:rPr>
          <w:b/>
          <w:sz w:val="30"/>
          <w:szCs w:val="30"/>
        </w:rPr>
      </w:pPr>
    </w:p>
    <w:p>
      <w:pPr>
        <w:rPr>
          <w:b/>
          <w:sz w:val="30"/>
          <w:szCs w:val="30"/>
        </w:rPr>
      </w:pPr>
      <w:r>
        <w:rPr>
          <w:rFonts w:hint="eastAsia"/>
          <w:b/>
          <w:sz w:val="30"/>
          <w:szCs w:val="30"/>
        </w:rPr>
        <w:t>陕西万兴招标代理有限公司</w:t>
      </w:r>
    </w:p>
    <w:p>
      <w:r>
        <w:rPr>
          <w:rFonts w:hint="eastAsia"/>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139700</wp:posOffset>
                </wp:positionV>
                <wp:extent cx="5372100" cy="0"/>
                <wp:effectExtent l="0" t="9525" r="0" b="9525"/>
                <wp:wrapNone/>
                <wp:docPr id="13" name="直接连接符 13"/>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pt;margin-top:11pt;height:0pt;width:423pt;z-index:251668480;mso-width-relative:page;mso-height-relative:page;" filled="f" stroked="t" coordsize="21600,21600" o:gfxdata="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5wqn2NMA&#10;AAAGAQAADwAAAAAAAAABACAAAAAiAAAAZHJzL2Rvd25yZXYueG1sUEsBAhQAFAAAAAgAh07iQLbc&#10;q+7rAQAAuwMAAA4AAAAAAAAAAQAgAAAAIgEAAGRycy9lMm9Eb2MueG1sUEsFBgAAAAAGAAYAWQEA&#10;AH8FAAAAAA==&#10;">
                <v:fill on="f" focussize="0,0"/>
                <v:stroke weight="1.5pt" color="#000000" joinstyle="round"/>
                <v:imagedata o:title=""/>
                <o:lock v:ext="edit" aspectratio="f"/>
              </v:line>
            </w:pict>
          </mc:Fallback>
        </mc:AlternateContent>
      </w:r>
    </w:p>
    <w:p>
      <w:pPr>
        <w:spacing w:line="440" w:lineRule="exact"/>
      </w:pPr>
      <w:r>
        <w:rPr>
          <w:rFonts w:hint="eastAsia"/>
        </w:rPr>
        <w:t>地    址：西安市新城区解放路77号裕朗国际1303室</w:t>
      </w:r>
    </w:p>
    <w:p>
      <w:pPr>
        <w:spacing w:line="440" w:lineRule="exact"/>
      </w:pPr>
      <w:r>
        <w:rPr>
          <w:rFonts w:hint="eastAsia"/>
        </w:rPr>
        <w:t>邮    编：710004</w:t>
      </w:r>
    </w:p>
    <w:p>
      <w:pPr>
        <w:spacing w:line="440" w:lineRule="exact"/>
      </w:pPr>
      <w:r>
        <w:rPr>
          <w:rFonts w:hint="eastAsia"/>
        </w:rPr>
        <w:t>电    话：029-89627187</w:t>
      </w:r>
    </w:p>
    <w:p>
      <w:pPr>
        <w:spacing w:line="440" w:lineRule="exact"/>
      </w:pPr>
      <w:r>
        <w:rPr>
          <w:rFonts w:hint="eastAsia"/>
        </w:rPr>
        <w:t>电子邮箱：SXWXZB @126.com</w:t>
      </w:r>
    </w:p>
    <w:p>
      <w:pPr>
        <w:spacing w:line="440" w:lineRule="exact"/>
      </w:pPr>
      <w:r>
        <w:rPr>
          <w:rFonts w:hint="eastAsia"/>
        </w:rPr>
        <w:t>开户银行：北京银行股份有限公司西安大明宫支行</w:t>
      </w:r>
    </w:p>
    <w:p>
      <w:pPr>
        <w:spacing w:line="440" w:lineRule="exact"/>
        <w:rPr>
          <w:rFonts w:hAnsi="宋体" w:cs="宋体"/>
        </w:rPr>
      </w:pPr>
      <w:r>
        <w:rPr>
          <w:rFonts w:hint="eastAsia"/>
        </w:rPr>
        <w:t>帐    号：2000 0034 4675 0001 6437 653</w:t>
      </w:r>
      <w:r>
        <w:rPr>
          <w:rFonts w:hint="eastAsia"/>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480060</wp:posOffset>
                </wp:positionV>
                <wp:extent cx="5372100" cy="0"/>
                <wp:effectExtent l="0" t="9525" r="0" b="9525"/>
                <wp:wrapNone/>
                <wp:docPr id="33" name="直接连接符 33"/>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19050">
                          <a:solidFill>
                            <a:srgbClr val="000000"/>
                          </a:solidFill>
                          <a:round/>
                        </a:ln>
                        <a:effectLst/>
                      </wps:spPr>
                      <wps:bodyPr/>
                    </wps:wsp>
                  </a:graphicData>
                </a:graphic>
              </wp:anchor>
            </w:drawing>
          </mc:Choice>
          <mc:Fallback>
            <w:pict>
              <v:line id="_x0000_s1026" o:spid="_x0000_s1026" o:spt="20" style="position:absolute;left:0pt;margin-left:0pt;margin-top:37.8pt;height:0pt;width:423pt;z-index:251667456;mso-width-relative:page;mso-height-relative:page;" filled="f" stroked="t" coordsize="21600,21600" o:gfxdata="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L7WAtMA&#10;AAAGAQAADwAAAAAAAAABACAAAAAiAAAAZHJzL2Rvd25yZXYueG1sUEsBAhQAFAAAAAgAh07iQGGr&#10;LLHrAQAAuwMAAA4AAAAAAAAAAQAgAAAAIgEAAGRycy9lMm9Eb2MueG1sUEsFBgAAAAAGAAYAWQEA&#10;AH8FAAAAAA==&#10;">
                <v:fill on="f" focussize="0,0"/>
                <v:stroke weight="1.5pt" color="#000000" joinstyle="round"/>
                <v:imagedata o:title=""/>
                <o:lock v:ext="edit" aspectratio="f"/>
              </v:line>
            </w:pict>
          </mc:Fallback>
        </mc:AlternateContent>
      </w:r>
    </w:p>
    <w:p>
      <w:pPr>
        <w:pStyle w:val="5"/>
        <w:rPr>
          <w:rFonts w:hAnsi="宋体" w:cs="宋体"/>
        </w:rPr>
      </w:pPr>
    </w:p>
    <w:sectPr>
      <w:pgSz w:w="11906" w:h="16838"/>
      <w:pgMar w:top="1417" w:right="1134" w:bottom="1417" w:left="1417" w:header="1134" w:footer="992" w:gutter="0"/>
      <w:cols w:space="720" w:num="1"/>
      <w:titlePg/>
      <w:docGrid w:type="lines" w:linePitch="33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opperplate Gothic Bold">
    <w:altName w:val="Segoe Print"/>
    <w:panose1 w:val="020E0705020206020404"/>
    <w:charset w:val="00"/>
    <w:family w:val="swiss"/>
    <w:pitch w:val="default"/>
    <w:sig w:usb0="00000000" w:usb1="00000000" w:usb2="00000000" w:usb3="00000000" w:csb0="00000001" w:csb1="00000000"/>
  </w:font>
  <w:font w:name="Consolas">
    <w:panose1 w:val="020B0609020204030204"/>
    <w:charset w:val="00"/>
    <w:family w:val="modern"/>
    <w:pitch w:val="default"/>
    <w:sig w:usb0="E10002FF" w:usb1="4000FCFF" w:usb2="00000009" w:usb3="00000000" w:csb0="6000019F" w:csb1="DFD7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GYXIQ+Frutiger-Cn">
    <w:altName w:val="宋体"/>
    <w:panose1 w:val="00000000000000000000"/>
    <w:charset w:val="86"/>
    <w:family w:val="swiss"/>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06F" w:usb1="1200FBEF" w:usb2="0064C000" w:usb3="00000002" w:csb0="00000001" w:csb1="40000000"/>
  </w:font>
  <w:font w:name="楷体">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646"/>
      </w:tabs>
      <w:rPr>
        <w:sz w:val="18"/>
        <w:szCs w:val="18"/>
      </w:rPr>
    </w:pPr>
    <w:r>
      <w:rPr>
        <w:sz w:val="18"/>
        <w:szCs w:val="18"/>
      </w:rPr>
      <mc:AlternateContent>
        <mc:Choice Requires="wps">
          <w:drawing>
            <wp:anchor distT="0" distB="0" distL="114300" distR="114300" simplePos="0" relativeHeight="251662336" behindDoc="0" locked="0" layoutInCell="1" allowOverlap="1">
              <wp:simplePos x="0" y="0"/>
              <wp:positionH relativeFrom="margin">
                <wp:posOffset>2912745</wp:posOffset>
              </wp:positionH>
              <wp:positionV relativeFrom="paragraph">
                <wp:posOffset>0</wp:posOffset>
              </wp:positionV>
              <wp:extent cx="1828800" cy="1828800"/>
              <wp:effectExtent l="0" t="0" r="0" b="0"/>
              <wp:wrapNone/>
              <wp:docPr id="6" name="文本框 20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sz w:val="18"/>
                            </w:rPr>
                          </w:pPr>
                        </w:p>
                      </w:txbxContent>
                    </wps:txbx>
                    <wps:bodyPr wrap="none" lIns="0" tIns="0" rIns="0" bIns="0" upright="1">
                      <a:spAutoFit/>
                    </wps:bodyPr>
                  </wps:wsp>
                </a:graphicData>
              </a:graphic>
            </wp:anchor>
          </w:drawing>
        </mc:Choice>
        <mc:Fallback>
          <w:pict>
            <v:shape id="文本框 2058" o:spid="_x0000_s1026" o:spt="202" type="#_x0000_t202" style="position:absolute;left:0pt;margin-left:229.35pt;margin-top:0pt;height:144pt;width:144pt;mso-position-horizontal-relative:margin;mso-wrap-style:none;z-index:251662336;mso-width-relative:page;mso-height-relative:page;" filled="f" stroked="f" coordsize="21600,21600" o:gfxdata="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ALhidQAAAAIAQAADwAAAAAAAAABACAAAAAiAAAAZHJzL2Rv&#10;d25yZXYueG1sUEsBAhQAFAAAAAgAh07iQFSSlbPMAQAAnAMAAA4AAAAAAAAAAQAgAAAAIwEAAGRy&#10;cy9lMm9Eb2MueG1sUEsFBgAAAAAGAAYAWQEAAGEFAAAAAA==&#10;">
              <v:fill on="f" focussize="0,0"/>
              <v:stroke on="f"/>
              <v:imagedata o:title=""/>
              <o:lock v:ext="edit" aspectratio="f"/>
              <v:textbox inset="0mm,0mm,0mm,0mm" style="mso-fit-shape-to-text:t;">
                <w:txbxContent>
                  <w:p>
                    <w:pPr>
                      <w:snapToGrid w:val="0"/>
                      <w:rPr>
                        <w:sz w:val="1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646"/>
      </w:tabs>
    </w:pPr>
    <w:r>
      <w:rPr>
        <w:sz w:val="18"/>
      </w:rPr>
      <mc:AlternateContent>
        <mc:Choice Requires="wps">
          <w:drawing>
            <wp:anchor distT="0" distB="0" distL="114300" distR="114300" simplePos="0" relativeHeight="251666432" behindDoc="0" locked="0" layoutInCell="1" allowOverlap="1">
              <wp:simplePos x="0" y="0"/>
              <wp:positionH relativeFrom="margin">
                <wp:posOffset>2510155</wp:posOffset>
              </wp:positionH>
              <wp:positionV relativeFrom="paragraph">
                <wp:posOffset>3175</wp:posOffset>
              </wp:positionV>
              <wp:extent cx="1057275" cy="171450"/>
              <wp:effectExtent l="0" t="0" r="9525" b="0"/>
              <wp:wrapNone/>
              <wp:docPr id="30" name="文本框 30"/>
              <wp:cNvGraphicFramePr/>
              <a:graphic xmlns:a="http://schemas.openxmlformats.org/drawingml/2006/main">
                <a:graphicData uri="http://schemas.microsoft.com/office/word/2010/wordprocessingShape">
                  <wps:wsp>
                    <wps:cNvSpPr txBox="1"/>
                    <wps:spPr>
                      <a:xfrm>
                        <a:off x="0" y="0"/>
                        <a:ext cx="1057275" cy="171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115</w:t>
                          </w:r>
                          <w:r>
                            <w:fldChar w:fldCharType="end"/>
                          </w:r>
                          <w:r>
                            <w:t xml:space="preserve"> 页</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97.65pt;margin-top:0.25pt;height:13.5pt;width:83.25pt;mso-position-horizontal-relative:margin;z-index:251666432;mso-width-relative:page;mso-height-relative:page;" filled="f" stroked="f" coordsize="21600,21600" o:gfxdata="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7H3KdcAAAAHAQAADwAAAAAAAAABACAAAAAiAAAAZHJzL2Rvd25yZXYueG1s&#10;UEsBAhQAFAAAAAgAh07iQOt2aqsyAgAAWAQAAA4AAAAAAAAAAQAgAAAAJgEAAGRycy9lMm9Eb2Mu&#10;eG1sUEsFBgAAAAAGAAYAWQEAAMoFAAAAAA==&#10;">
              <v:fill on="f" focussize="0,0"/>
              <v:stroke on="f" weight="0.5pt"/>
              <v:imagedata o:title=""/>
              <o:lock v:ext="edit" aspectratio="f"/>
              <v:textbox inset="0mm,0mm,0mm,0mm">
                <w:txbxContent>
                  <w:p>
                    <w:pPr>
                      <w:pStyle w:val="3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115</w:t>
                    </w:r>
                    <w:r>
                      <w:fldChar w:fldCharType="end"/>
                    </w:r>
                    <w:r>
                      <w:t xml:space="preserve"> 页</w:t>
                    </w:r>
                  </w:p>
                </w:txbxContent>
              </v:textbox>
            </v:shape>
          </w:pict>
        </mc:Fallback>
      </mc:AlternateContent>
    </w:r>
    <w:r>
      <w:rPr>
        <w:rFonts w:hint="eastAsia"/>
        <w:sz w:val="18"/>
        <w:szCs w:val="18"/>
      </w:rPr>
      <w:t xml:space="preserve">                                       </w:t>
    </w:r>
    <w:r>
      <w:rPr>
        <w:sz w:val="18"/>
        <w:szCs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20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sz w:val="18"/>
                            </w:rPr>
                          </w:pPr>
                        </w:p>
                      </w:txbxContent>
                    </wps:txbx>
                    <wps:bodyPr wrap="none" lIns="0" tIns="0" rIns="0" bIns="0" upright="1">
                      <a:spAutoFit/>
                    </wps:bodyPr>
                  </wps:wsp>
                </a:graphicData>
              </a:graphic>
            </wp:anchor>
          </w:drawing>
        </mc:Choice>
        <mc:Fallback>
          <w:pict>
            <v:shape id="文本框 205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e+ngTLAQAAnAMAAA4AAAAAAAAAAQAgAAAAHgEAAGRycy9lMm9E&#10;b2MueG1sUEsFBgAAAAAGAAYAWQEAAFsFAAAAAA==&#10;">
              <v:fill on="f" focussize="0,0"/>
              <v:stroke on="f"/>
              <v:imagedata o:title=""/>
              <o:lock v:ext="edit" aspectratio="f"/>
              <v:textbox inset="0mm,0mm,0mm,0mm" style="mso-fit-shape-to-text:t;">
                <w:txbxContent>
                  <w:p>
                    <w:pPr>
                      <w:snapToGrid w:val="0"/>
                      <w:rPr>
                        <w:sz w:val="18"/>
                      </w:rPr>
                    </w:pPr>
                  </w:p>
                </w:txbxContent>
              </v:textbox>
            </v:shape>
          </w:pict>
        </mc:Fallback>
      </mc:AlternateContent>
    </w:r>
    <w:r>
      <w:rPr>
        <w:sz w:val="18"/>
        <w:szCs w:val="18"/>
      </w:rPr>
      <mc:AlternateContent>
        <mc:Choice Requires="wps">
          <w:drawing>
            <wp:anchor distT="0" distB="0" distL="114300" distR="114300" simplePos="0" relativeHeight="251665408" behindDoc="0" locked="0" layoutInCell="1" allowOverlap="1">
              <wp:simplePos x="0" y="0"/>
              <wp:positionH relativeFrom="margin">
                <wp:posOffset>3065145</wp:posOffset>
              </wp:positionH>
              <wp:positionV relativeFrom="paragraph">
                <wp:posOffset>152400</wp:posOffset>
              </wp:positionV>
              <wp:extent cx="1828800" cy="1828800"/>
              <wp:effectExtent l="0" t="0" r="0" b="0"/>
              <wp:wrapNone/>
              <wp:docPr id="8" name="文本框 20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sz w:val="18"/>
                            </w:rPr>
                          </w:pPr>
                        </w:p>
                      </w:txbxContent>
                    </wps:txbx>
                    <wps:bodyPr wrap="none" lIns="0" tIns="0" rIns="0" bIns="0" upright="1">
                      <a:spAutoFit/>
                    </wps:bodyPr>
                  </wps:wsp>
                </a:graphicData>
              </a:graphic>
            </wp:anchor>
          </w:drawing>
        </mc:Choice>
        <mc:Fallback>
          <w:pict>
            <v:shape id="文本框 2063" o:spid="_x0000_s1026" o:spt="202" type="#_x0000_t202" style="position:absolute;left:0pt;margin-left:241.35pt;margin-top:12pt;height:144pt;width:144pt;mso-position-horizontal-relative:margin;mso-wrap-style:none;z-index:251665408;mso-width-relative:page;mso-height-relative:page;" filled="f" stroked="f" coordsize="21600,21600" o:gfxdata="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7Sr3DWAAAACgEAAA8AAAAAAAAAAQAgAAAAIgAAAGRycy9k&#10;b3ducmV2LnhtbFBLAQIUABQAAAAIAIdO4kCNOpjpywEAAJwDAAAOAAAAAAAAAAEAIAAAACUBAABk&#10;cnMvZTJvRG9jLnhtbFBLBQYAAAAABgAGAFkBAABiBQAAAAA=&#10;">
              <v:fill on="f" focussize="0,0"/>
              <v:stroke on="f"/>
              <v:imagedata o:title=""/>
              <o:lock v:ext="edit" aspectratio="f"/>
              <v:textbox inset="0mm,0mm,0mm,0mm" style="mso-fit-shape-to-text:t;">
                <w:txbxContent>
                  <w:p>
                    <w:pPr>
                      <w:snapToGrid w:val="0"/>
                      <w:rPr>
                        <w:sz w:val="18"/>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646"/>
      </w:tabs>
    </w:pPr>
    <w:r>
      <w:rPr>
        <w:rFonts w:hint="eastAsia" w:cs="仿宋" w:asciiTheme="minorEastAsia" w:hAnsiTheme="minorEastAsia" w:eastAsiaTheme="minorEastAsia"/>
        <w:kern w:val="2"/>
        <w:sz w:val="18"/>
        <w:szCs w:val="18"/>
      </w:rPr>
      <w:t xml:space="preserve">陕西万兴招标代理有限公司                                        </w:t>
    </w:r>
    <w:r>
      <w:rPr>
        <w:rFonts w:hint="eastAsia" w:cs="仿宋" w:asciiTheme="minorEastAsia" w:hAnsiTheme="minorEastAsia" w:eastAsiaTheme="minorEastAsia"/>
        <w:kern w:val="2"/>
        <w:sz w:val="15"/>
        <w:szCs w:val="15"/>
      </w:rPr>
      <w:t>地址：西安市新城区解放路77号裕朗国际1303室</w: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3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115</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RhCNFMcBAACdAwAADgAAAAAAAAABACAAAAAeAQAAZHJzL2Uyb0RvYy54&#10;bWxQSwUGAAAAAAYABgBZAQAAVwUAAAAA&#10;">
              <v:fill on="f" focussize="0,0"/>
              <v:stroke on="f"/>
              <v:imagedata o:title=""/>
              <o:lock v:ext="edit" aspectratio="f"/>
              <v:textbox inset="0mm,0mm,0mm,0mm" style="mso-fit-shape-to-text:t;">
                <w:txbxContent>
                  <w:p>
                    <w:pPr>
                      <w:pStyle w:val="3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115</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646"/>
      </w:tabs>
      <w:rPr>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posOffset>2310130</wp:posOffset>
              </wp:positionH>
              <wp:positionV relativeFrom="paragraph">
                <wp:posOffset>1270</wp:posOffset>
              </wp:positionV>
              <wp:extent cx="1266825" cy="133350"/>
              <wp:effectExtent l="0" t="0" r="9525" b="0"/>
              <wp:wrapNone/>
              <wp:docPr id="9" name="文本框 2064"/>
              <wp:cNvGraphicFramePr/>
              <a:graphic xmlns:a="http://schemas.openxmlformats.org/drawingml/2006/main">
                <a:graphicData uri="http://schemas.microsoft.com/office/word/2010/wordprocessingShape">
                  <wps:wsp>
                    <wps:cNvSpPr txBox="1"/>
                    <wps:spPr>
                      <a:xfrm>
                        <a:off x="0" y="0"/>
                        <a:ext cx="1266825" cy="133350"/>
                      </a:xfrm>
                      <a:prstGeom prst="rect">
                        <a:avLst/>
                      </a:prstGeom>
                      <a:noFill/>
                      <a:ln>
                        <a:noFill/>
                      </a:ln>
                    </wps:spPr>
                    <wps:txbx>
                      <w:txbxContent>
                        <w:p>
                          <w:pPr>
                            <w:pStyle w:val="3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23</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115</w:t>
                          </w:r>
                          <w:r>
                            <w:rPr>
                              <w:rFonts w:hint="eastAsia"/>
                            </w:rPr>
                            <w:fldChar w:fldCharType="end"/>
                          </w:r>
                          <w:r>
                            <w:rPr>
                              <w:rFonts w:hint="eastAsia"/>
                            </w:rPr>
                            <w:t xml:space="preserve"> 页</w:t>
                          </w:r>
                        </w:p>
                      </w:txbxContent>
                    </wps:txbx>
                    <wps:bodyPr wrap="square" lIns="0" tIns="0" rIns="0" bIns="0" upright="1">
                      <a:noAutofit/>
                    </wps:bodyPr>
                  </wps:wsp>
                </a:graphicData>
              </a:graphic>
            </wp:anchor>
          </w:drawing>
        </mc:Choice>
        <mc:Fallback>
          <w:pict>
            <v:shape id="文本框 2064" o:spid="_x0000_s1026" o:spt="202" type="#_x0000_t202" style="position:absolute;left:0pt;margin-left:181.9pt;margin-top:0.1pt;height:10.5pt;width:99.75pt;mso-position-horizontal-relative:margin;z-index:251663360;mso-width-relative:page;mso-height-relative:page;" filled="f" stroked="f" coordsize="21600,21600" o:gfxdata="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V9ps0NUAAAAHAQAADwAAAAAAAAABACAAAAAi&#10;AAAAZHJzL2Rvd25yZXYueG1sUEsBAhQAFAAAAAgAh07iQBDB6crUAQAAnQMAAA4AAAAAAAAAAQAg&#10;AAAAJAEAAGRycy9lMm9Eb2MueG1sUEsFBgAAAAAGAAYAWQEAAGoFAAAAAA==&#10;">
              <v:fill on="f" focussize="0,0"/>
              <v:stroke on="f"/>
              <v:imagedata o:title=""/>
              <o:lock v:ext="edit" aspectratio="f"/>
              <v:textbox inset="0mm,0mm,0mm,0mm">
                <w:txbxContent>
                  <w:p>
                    <w:pPr>
                      <w:pStyle w:val="3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23</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115</w:t>
                    </w:r>
                    <w:r>
                      <w:rPr>
                        <w:rFonts w:hint="eastAsia"/>
                      </w:rPr>
                      <w:fldChar w:fldCharType="end"/>
                    </w:r>
                    <w:r>
                      <w:rPr>
                        <w:rFonts w:hint="eastAsia"/>
                      </w:rPr>
                      <w:t xml:space="preserve"> 页</w:t>
                    </w:r>
                  </w:p>
                </w:txbxContent>
              </v:textbox>
            </v:shape>
          </w:pict>
        </mc:Fallback>
      </mc:AlternateContent>
    </w:r>
    <w:r>
      <w:rPr>
        <w:rFonts w:hint="eastAsia"/>
        <w:sz w:val="18"/>
        <w:szCs w:val="18"/>
      </w:rPr>
      <w:t xml:space="preserve">陕西万兴招标代理有限公司                                          </w:t>
    </w:r>
    <w:r>
      <w:rPr>
        <w:rFonts w:hint="eastAsia"/>
        <w:sz w:val="15"/>
        <w:szCs w:val="15"/>
      </w:rPr>
      <w:t>地址：西安市新城区解放路77号裕朗国际1303室</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646"/>
      </w:tabs>
      <w:rPr>
        <w:sz w:val="15"/>
        <w:szCs w:val="15"/>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20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22</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115</w:t>
                          </w:r>
                          <w:r>
                            <w:rPr>
                              <w:rFonts w:hint="eastAsia"/>
                            </w:rPr>
                            <w:fldChar w:fldCharType="end"/>
                          </w:r>
                          <w:r>
                            <w:rPr>
                              <w:rFonts w:hint="eastAsia"/>
                            </w:rPr>
                            <w:t xml:space="preserve"> 页</w:t>
                          </w:r>
                        </w:p>
                      </w:txbxContent>
                    </wps:txbx>
                    <wps:bodyPr wrap="none" lIns="0" tIns="0" rIns="0" bIns="0" upright="1">
                      <a:spAutoFit/>
                    </wps:bodyPr>
                  </wps:wsp>
                </a:graphicData>
              </a:graphic>
            </wp:anchor>
          </w:drawing>
        </mc:Choice>
        <mc:Fallback>
          <w:pict>
            <v:shape id="文本框 206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GJTDILLAQAAnQMAAA4AAAAAAAAAAQAgAAAAHgEAAGRycy9lMm9E&#10;b2MueG1sUEsFBgAAAAAGAAYAWQEAAFsFAAAAAA==&#10;">
              <v:fill on="f" focussize="0,0"/>
              <v:stroke on="f"/>
              <v:imagedata o:title=""/>
              <o:lock v:ext="edit" aspectratio="f"/>
              <v:textbox inset="0mm,0mm,0mm,0mm" style="mso-fit-shape-to-text:t;">
                <w:txbxContent>
                  <w:p>
                    <w:pPr>
                      <w:pStyle w:val="30"/>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22</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115</w:t>
                    </w:r>
                    <w:r>
                      <w:rPr>
                        <w:rFonts w:hint="eastAsia"/>
                      </w:rPr>
                      <w:fldChar w:fldCharType="end"/>
                    </w:r>
                    <w:r>
                      <w:rPr>
                        <w:rFonts w:hint="eastAsia"/>
                      </w:rPr>
                      <w:t xml:space="preserve"> 页</w:t>
                    </w:r>
                  </w:p>
                </w:txbxContent>
              </v:textbox>
            </v:shape>
          </w:pict>
        </mc:Fallback>
      </mc:AlternateContent>
    </w:r>
    <w:r>
      <w:rPr>
        <w:sz w:val="18"/>
        <w:szCs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20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sz w:val="18"/>
                            </w:rPr>
                          </w:pPr>
                        </w:p>
                      </w:txbxContent>
                    </wps:txbx>
                    <wps:bodyPr wrap="none" lIns="0" tIns="0" rIns="0" bIns="0" upright="1">
                      <a:spAutoFit/>
                    </wps:bodyPr>
                  </wps:wsp>
                </a:graphicData>
              </a:graphic>
            </wp:anchor>
          </w:drawing>
        </mc:Choice>
        <mc:Fallback>
          <w:pict>
            <v:shape id="文本框 2059"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J6fDgXLAQAAnAMAAA4AAAAAAAAAAQAgAAAAHgEAAGRycy9lMm9E&#10;b2MueG1sUEsFBgAAAAAGAAYAWQEAAFsFAAAAAA==&#10;">
              <v:fill on="f" focussize="0,0"/>
              <v:stroke on="f"/>
              <v:imagedata o:title=""/>
              <o:lock v:ext="edit" aspectratio="f"/>
              <v:textbox inset="0mm,0mm,0mm,0mm" style="mso-fit-shape-to-text:t;">
                <w:txbxContent>
                  <w:p>
                    <w:pPr>
                      <w:snapToGrid w:val="0"/>
                      <w:rPr>
                        <w:sz w:val="18"/>
                      </w:rPr>
                    </w:pPr>
                  </w:p>
                </w:txbxContent>
              </v:textbox>
            </v:shape>
          </w:pict>
        </mc:Fallback>
      </mc:AlternateContent>
    </w:r>
    <w:r>
      <w:rPr>
        <w:rFonts w:hint="eastAsia"/>
        <w:sz w:val="18"/>
        <w:szCs w:val="18"/>
      </w:rPr>
      <w:t xml:space="preserve">陕西万兴招标代理有限公司                                           </w:t>
    </w:r>
    <w:r>
      <w:rPr>
        <w:rFonts w:hint="eastAsia"/>
        <w:sz w:val="15"/>
        <w:szCs w:val="15"/>
      </w:rPr>
      <w:t>地址：西安市新城区解放路77号裕朗国际1303室</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jc w:val="both"/>
    </w:pPr>
    <w:r>
      <w:rPr>
        <w:rFonts w:hint="eastAsia" w:ascii="宋体" w:hAnsi="宋体" w:cs="宋体"/>
      </w:rPr>
      <w:t xml:space="preserve"> </w:t>
    </w:r>
    <w:r>
      <w:rPr>
        <w:rFonts w:hint="eastAsia" w:hAnsi="宋体"/>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left" w:pos="2307"/>
        <w:tab w:val="clear" w:pos="4153"/>
      </w:tabs>
      <w:jc w:val="left"/>
    </w:pPr>
    <w:r>
      <w:rPr>
        <w:rFonts w:hint="eastAsia" w:cs="宋体" w:asciiTheme="minorEastAsia" w:hAnsiTheme="minorEastAsia" w:eastAsiaTheme="minorEastAsia"/>
        <w:szCs w:val="24"/>
        <w:lang w:eastAsia="zh-CN"/>
      </w:rPr>
      <w:t>西安市公安局未央分局2023年中省指挥、刑侦派出所警用装备、办公设备项目</w:t>
    </w:r>
    <w:r>
      <w:rPr>
        <w:rFonts w:hint="eastAsia" w:hAnsi="宋体"/>
      </w:rPr>
      <w:t xml:space="preserve">                      </w:t>
    </w:r>
    <w:r>
      <w:rPr>
        <w:rFonts w:hint="eastAsia" w:hAnsi="宋体"/>
        <w:lang w:val="en-US" w:eastAsia="zh-CN"/>
      </w:rPr>
      <w:t xml:space="preserve"> </w:t>
    </w:r>
    <w:r>
      <w:rPr>
        <w:rFonts w:hint="eastAsia" w:hAnsi="宋体"/>
      </w:rPr>
      <w:t>招标文件</w:t>
    </w:r>
    <w:r>
      <w:rPr>
        <w:rFonts w:hint="eastAsia" w:hAnsi="宋体"/>
        <w:sz w:val="11"/>
        <w:szCs w:val="11"/>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single" w:color="auto" w:sz="4" w:space="1"/>
      </w:pBdr>
      <w:jc w:val="both"/>
    </w:pPr>
    <w:r>
      <w:rPr>
        <w:rFonts w:hint="eastAsia" w:ascii="宋体" w:hAnsi="宋体" w:cs="宋体"/>
        <w:lang w:eastAsia="zh-CN"/>
      </w:rPr>
      <w:t>西安市公安局未央分局2023年中省指挥、刑侦派出所警用装备、办公设备项目</w:t>
    </w:r>
    <w:r>
      <w:rPr>
        <w:rFonts w:hint="eastAsia" w:ascii="宋体" w:hAnsi="宋体" w:cs="宋体"/>
      </w:rPr>
      <w:t xml:space="preserve">                           招标文件 </w:t>
    </w:r>
    <w:r>
      <w:rPr>
        <w:rFonts w:hint="eastAsia" w:hAnsi="宋体"/>
      </w:rPr>
      <w:t xml:space="preserve"> </w:t>
    </w:r>
    <w:r>
      <w:rPr>
        <w:rFonts w:hint="eastAsia" w:ascii="宋体" w:hAnsi="宋体" w:cs="宋体"/>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tabs>
        <w:tab w:val="left" w:pos="2307"/>
        <w:tab w:val="clear" w:pos="4153"/>
      </w:tabs>
      <w:jc w:val="left"/>
    </w:pPr>
    <w:r>
      <w:rPr>
        <w:rFonts w:hint="eastAsia" w:cs="宋体" w:asciiTheme="minorEastAsia" w:hAnsiTheme="minorEastAsia" w:eastAsiaTheme="minorEastAsia"/>
        <w:szCs w:val="24"/>
        <w:lang w:eastAsia="zh-CN"/>
      </w:rPr>
      <w:t>西安市公安局未央分局2023年中省指挥、刑侦派出所警用装备、办公设备项目</w:t>
    </w:r>
    <w:r>
      <w:rPr>
        <w:rFonts w:hint="eastAsia" w:hAnsi="宋体"/>
      </w:rPr>
      <w:t xml:space="preserve">                     </w:t>
    </w:r>
    <w:r>
      <w:rPr>
        <w:rFonts w:hint="eastAsia" w:hAnsi="宋体"/>
        <w:lang w:val="en-US" w:eastAsia="zh-CN"/>
      </w:rPr>
      <w:t xml:space="preserve">   </w:t>
    </w:r>
    <w:r>
      <w:rPr>
        <w:rFonts w:hint="eastAsia" w:hAnsi="宋体"/>
      </w:rPr>
      <w:t>招标文件</w:t>
    </w:r>
    <w:r>
      <w:rPr>
        <w:rFonts w:hint="eastAsia" w:hAnsi="宋体"/>
        <w:sz w:val="11"/>
        <w:szCs w:val="11"/>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single" w:color="auto" w:sz="4" w:space="1"/>
      </w:pBdr>
      <w:jc w:val="both"/>
    </w:pPr>
    <w:r>
      <w:rPr>
        <w:rFonts w:hint="eastAsia" w:cs="宋体" w:asciiTheme="minorEastAsia" w:hAnsiTheme="minorEastAsia" w:eastAsiaTheme="minorEastAsia"/>
        <w:szCs w:val="24"/>
        <w:lang w:eastAsia="zh-CN"/>
      </w:rPr>
      <w:t>西安市公安局未央分局2023年中省指挥、刑侦派出所警用装备、办公设备项目</w:t>
    </w:r>
    <w:r>
      <w:rPr>
        <w:rFonts w:hint="eastAsia" w:hAnsi="宋体"/>
      </w:rPr>
      <w:t xml:space="preserve">                      </w:t>
    </w:r>
    <w:r>
      <w:rPr>
        <w:rFonts w:hAnsi="宋体"/>
      </w:rPr>
      <w:t xml:space="preserve">  </w:t>
    </w:r>
    <w:r>
      <w:rPr>
        <w:rFonts w:hint="eastAsia" w:hAnsi="宋体"/>
        <w:lang w:val="en-US" w:eastAsia="zh-CN"/>
      </w:rPr>
      <w:t xml:space="preserve">   </w:t>
    </w:r>
    <w:r>
      <w:rPr>
        <w:rFonts w:hint="eastAsia" w:hAnsi="宋体"/>
      </w:rPr>
      <w:t>招标文件</w:t>
    </w:r>
    <w:r>
      <w:rPr>
        <w:rFonts w:hint="eastAsia" w:ascii="宋体" w:hAnsi="宋体" w:cs="宋体"/>
      </w:rPr>
      <w:t xml:space="preserve"> </w:t>
    </w:r>
    <w:r>
      <w:rPr>
        <w:rFonts w:hint="eastAsia" w:hAnsi="宋体"/>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F483E0"/>
    <w:multiLevelType w:val="singleLevel"/>
    <w:tmpl w:val="88F483E0"/>
    <w:lvl w:ilvl="0" w:tentative="0">
      <w:start w:val="1"/>
      <w:numFmt w:val="decimal"/>
      <w:suff w:val="nothing"/>
      <w:lvlText w:val="%1、"/>
      <w:lvlJc w:val="left"/>
    </w:lvl>
  </w:abstractNum>
  <w:abstractNum w:abstractNumId="1">
    <w:nsid w:val="ADC0188C"/>
    <w:multiLevelType w:val="singleLevel"/>
    <w:tmpl w:val="ADC0188C"/>
    <w:lvl w:ilvl="0" w:tentative="0">
      <w:start w:val="1"/>
      <w:numFmt w:val="decimal"/>
      <w:lvlText w:val="%1."/>
      <w:lvlJc w:val="left"/>
      <w:pPr>
        <w:tabs>
          <w:tab w:val="left" w:pos="312"/>
        </w:tabs>
      </w:pPr>
    </w:lvl>
  </w:abstractNum>
  <w:abstractNum w:abstractNumId="2">
    <w:nsid w:val="B37A6366"/>
    <w:multiLevelType w:val="singleLevel"/>
    <w:tmpl w:val="B37A6366"/>
    <w:lvl w:ilvl="0" w:tentative="0">
      <w:start w:val="1"/>
      <w:numFmt w:val="chineseCounting"/>
      <w:suff w:val="nothing"/>
      <w:lvlText w:val="%1．"/>
      <w:lvlJc w:val="left"/>
      <w:rPr>
        <w:rFonts w:hint="eastAsia"/>
      </w:rPr>
    </w:lvl>
  </w:abstractNum>
  <w:abstractNum w:abstractNumId="3">
    <w:nsid w:val="C3187774"/>
    <w:multiLevelType w:val="singleLevel"/>
    <w:tmpl w:val="C3187774"/>
    <w:lvl w:ilvl="0" w:tentative="0">
      <w:start w:val="1"/>
      <w:numFmt w:val="chineseCounting"/>
      <w:suff w:val="nothing"/>
      <w:lvlText w:val="%1．"/>
      <w:lvlJc w:val="left"/>
      <w:rPr>
        <w:rFonts w:hint="eastAsia"/>
      </w:rPr>
    </w:lvl>
  </w:abstractNum>
  <w:abstractNum w:abstractNumId="4">
    <w:nsid w:val="DA4F4820"/>
    <w:multiLevelType w:val="singleLevel"/>
    <w:tmpl w:val="DA4F4820"/>
    <w:lvl w:ilvl="0" w:tentative="0">
      <w:start w:val="2"/>
      <w:numFmt w:val="decimal"/>
      <w:suff w:val="space"/>
      <w:lvlText w:val="%1、"/>
      <w:lvlJc w:val="left"/>
      <w:pPr>
        <w:ind w:left="600" w:firstLine="0"/>
      </w:pPr>
    </w:lvl>
  </w:abstractNum>
  <w:abstractNum w:abstractNumId="5">
    <w:nsid w:val="FC0AC005"/>
    <w:multiLevelType w:val="singleLevel"/>
    <w:tmpl w:val="FC0AC005"/>
    <w:lvl w:ilvl="0" w:tentative="0">
      <w:start w:val="1"/>
      <w:numFmt w:val="decimal"/>
      <w:lvlText w:val="%1."/>
      <w:lvlJc w:val="left"/>
      <w:pPr>
        <w:tabs>
          <w:tab w:val="left" w:pos="312"/>
        </w:tabs>
      </w:pPr>
    </w:lvl>
  </w:abstractNum>
  <w:abstractNum w:abstractNumId="6">
    <w:nsid w:val="00000002"/>
    <w:multiLevelType w:val="multilevel"/>
    <w:tmpl w:val="00000002"/>
    <w:lvl w:ilvl="0" w:tentative="0">
      <w:start w:val="1"/>
      <w:numFmt w:val="decimal"/>
      <w:pStyle w:val="143"/>
      <w:lvlText w:val="%1. "/>
      <w:lvlJc w:val="left"/>
      <w:pPr>
        <w:tabs>
          <w:tab w:val="left" w:pos="839"/>
        </w:tabs>
        <w:ind w:left="839" w:hanging="419"/>
      </w:pPr>
      <w:rPr>
        <w:rFonts w:hint="eastAsia"/>
      </w:rPr>
    </w:lvl>
    <w:lvl w:ilvl="1" w:tentative="0">
      <w:start w:val="1"/>
      <w:numFmt w:val="upperLetter"/>
      <w:pStyle w:val="161"/>
      <w:lvlText w:val="%2. "/>
      <w:lvlJc w:val="left"/>
      <w:pPr>
        <w:tabs>
          <w:tab w:val="left" w:pos="1049"/>
        </w:tabs>
        <w:ind w:left="1049" w:hanging="420"/>
      </w:pPr>
      <w:rPr>
        <w:rFonts w:hint="eastAsia"/>
      </w:rPr>
    </w:lvl>
    <w:lvl w:ilvl="2" w:tentative="0">
      <w:start w:val="1"/>
      <w:numFmt w:val="lowerLetter"/>
      <w:pStyle w:val="175"/>
      <w:lvlText w:val="%3. "/>
      <w:lvlJc w:val="left"/>
      <w:pPr>
        <w:tabs>
          <w:tab w:val="left" w:pos="1259"/>
        </w:tabs>
        <w:ind w:left="1259" w:hanging="420"/>
      </w:pPr>
      <w:rPr>
        <w:rFonts w:hint="eastAsia"/>
      </w:rPr>
    </w:lvl>
    <w:lvl w:ilvl="3" w:tentative="0">
      <w:start w:val="1"/>
      <w:numFmt w:val="lowerLetter"/>
      <w:pStyle w:val="125"/>
      <w:lvlText w:val="%4) "/>
      <w:lvlJc w:val="left"/>
      <w:pPr>
        <w:tabs>
          <w:tab w:val="left" w:pos="1469"/>
        </w:tabs>
        <w:ind w:left="1469" w:hanging="420"/>
      </w:pPr>
      <w:rPr>
        <w:rFonts w:hint="eastAsia"/>
      </w:rPr>
    </w:lvl>
    <w:lvl w:ilvl="4" w:tentative="0">
      <w:start w:val="1"/>
      <w:numFmt w:val="none"/>
      <w:suff w:val="nothing"/>
      <w:lvlText w:val=""/>
      <w:lvlJc w:val="left"/>
      <w:pPr>
        <w:ind w:left="1259" w:firstLine="0"/>
      </w:pPr>
      <w:rPr>
        <w:rFonts w:hint="eastAsia"/>
      </w:rPr>
    </w:lvl>
    <w:lvl w:ilvl="5" w:tentative="0">
      <w:start w:val="1"/>
      <w:numFmt w:val="none"/>
      <w:suff w:val="nothing"/>
      <w:lvlText w:val=""/>
      <w:lvlJc w:val="left"/>
      <w:pPr>
        <w:ind w:left="1259" w:firstLine="0"/>
      </w:pPr>
      <w:rPr>
        <w:rFonts w:hint="eastAsia"/>
      </w:rPr>
    </w:lvl>
    <w:lvl w:ilvl="6" w:tentative="0">
      <w:start w:val="1"/>
      <w:numFmt w:val="none"/>
      <w:suff w:val="nothing"/>
      <w:lvlText w:val=""/>
      <w:lvlJc w:val="left"/>
      <w:pPr>
        <w:ind w:left="1259" w:firstLine="0"/>
      </w:pPr>
      <w:rPr>
        <w:rFonts w:hint="eastAsia"/>
      </w:rPr>
    </w:lvl>
    <w:lvl w:ilvl="7" w:tentative="0">
      <w:start w:val="1"/>
      <w:numFmt w:val="none"/>
      <w:suff w:val="nothing"/>
      <w:lvlText w:val=""/>
      <w:lvlJc w:val="left"/>
      <w:pPr>
        <w:ind w:left="1259" w:firstLine="0"/>
      </w:pPr>
      <w:rPr>
        <w:rFonts w:hint="eastAsia"/>
      </w:rPr>
    </w:lvl>
    <w:lvl w:ilvl="8" w:tentative="0">
      <w:start w:val="1"/>
      <w:numFmt w:val="none"/>
      <w:suff w:val="nothing"/>
      <w:lvlText w:val=""/>
      <w:lvlJc w:val="left"/>
      <w:pPr>
        <w:ind w:left="1259" w:firstLine="0"/>
      </w:pPr>
      <w:rPr>
        <w:rFonts w:hint="eastAsia"/>
      </w:rPr>
    </w:lvl>
  </w:abstractNum>
  <w:abstractNum w:abstractNumId="7">
    <w:nsid w:val="0000001F"/>
    <w:multiLevelType w:val="singleLevel"/>
    <w:tmpl w:val="0000001F"/>
    <w:lvl w:ilvl="0" w:tentative="0">
      <w:start w:val="1"/>
      <w:numFmt w:val="decimal"/>
      <w:pStyle w:val="165"/>
      <w:lvlText w:val="%1．"/>
      <w:lvlJc w:val="left"/>
      <w:pPr>
        <w:tabs>
          <w:tab w:val="left" w:pos="720"/>
        </w:tabs>
        <w:ind w:left="720" w:hanging="720"/>
      </w:pPr>
    </w:lvl>
  </w:abstractNum>
  <w:abstractNum w:abstractNumId="8">
    <w:nsid w:val="00000024"/>
    <w:multiLevelType w:val="multilevel"/>
    <w:tmpl w:val="0000002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pStyle w:val="172"/>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31"/>
    <w:multiLevelType w:val="multilevel"/>
    <w:tmpl w:val="00000031"/>
    <w:lvl w:ilvl="0" w:tentative="0">
      <w:start w:val="1"/>
      <w:numFmt w:val="decimal"/>
      <w:lvlText w:val="%1."/>
      <w:lvlJc w:val="left"/>
      <w:pPr>
        <w:tabs>
          <w:tab w:val="left" w:pos="420"/>
        </w:tabs>
        <w:ind w:left="420" w:hanging="420"/>
      </w:pPr>
    </w:lvl>
    <w:lvl w:ilvl="1" w:tentative="0">
      <w:start w:val="1"/>
      <w:numFmt w:val="bullet"/>
      <w:pStyle w:val="35"/>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4"/>
      <w:numFmt w:val="decimal"/>
      <w:lvlText w:val="%5、"/>
      <w:lvlJc w:val="left"/>
      <w:pPr>
        <w:tabs>
          <w:tab w:val="left" w:pos="2160"/>
        </w:tabs>
        <w:ind w:left="2160" w:hanging="480"/>
      </w:pPr>
      <w:rPr>
        <w:rFonts w:hint="eastAsia"/>
      </w:rPr>
    </w:lvl>
    <w:lvl w:ilvl="5" w:tentative="0">
      <w:start w:val="28"/>
      <w:numFmt w:val="decimal"/>
      <w:lvlText w:val="%6．"/>
      <w:lvlJc w:val="left"/>
      <w:pPr>
        <w:tabs>
          <w:tab w:val="left" w:pos="2520"/>
        </w:tabs>
        <w:ind w:left="2520" w:hanging="420"/>
      </w:pPr>
      <w:rPr>
        <w:rFonts w:hint="eastAsia"/>
      </w:r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14B66CD3"/>
    <w:multiLevelType w:val="singleLevel"/>
    <w:tmpl w:val="14B66CD3"/>
    <w:lvl w:ilvl="0" w:tentative="0">
      <w:start w:val="1"/>
      <w:numFmt w:val="chineseCounting"/>
      <w:suff w:val="nothing"/>
      <w:lvlText w:val="%1、"/>
      <w:lvlJc w:val="left"/>
      <w:rPr>
        <w:rFonts w:hint="eastAsia"/>
      </w:rPr>
    </w:lvl>
  </w:abstractNum>
  <w:abstractNum w:abstractNumId="11">
    <w:nsid w:val="15C2D281"/>
    <w:multiLevelType w:val="singleLevel"/>
    <w:tmpl w:val="15C2D281"/>
    <w:lvl w:ilvl="0" w:tentative="0">
      <w:start w:val="8"/>
      <w:numFmt w:val="decimal"/>
      <w:lvlText w:val="%1."/>
      <w:lvlJc w:val="left"/>
      <w:pPr>
        <w:tabs>
          <w:tab w:val="left" w:pos="312"/>
        </w:tabs>
      </w:pPr>
    </w:lvl>
  </w:abstractNum>
  <w:abstractNum w:abstractNumId="12">
    <w:nsid w:val="1F3C67F8"/>
    <w:multiLevelType w:val="singleLevel"/>
    <w:tmpl w:val="1F3C67F8"/>
    <w:lvl w:ilvl="0" w:tentative="0">
      <w:start w:val="1"/>
      <w:numFmt w:val="decimal"/>
      <w:suff w:val="nothing"/>
      <w:lvlText w:val="%1、"/>
      <w:lvlJc w:val="left"/>
      <w:pPr>
        <w:ind w:left="-48"/>
      </w:pPr>
    </w:lvl>
  </w:abstractNum>
  <w:abstractNum w:abstractNumId="13">
    <w:nsid w:val="23B22A7C"/>
    <w:multiLevelType w:val="multilevel"/>
    <w:tmpl w:val="23B22A7C"/>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2E2861B5"/>
    <w:multiLevelType w:val="multilevel"/>
    <w:tmpl w:val="2E2861B5"/>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53EC41AD"/>
    <w:multiLevelType w:val="singleLevel"/>
    <w:tmpl w:val="53EC41AD"/>
    <w:lvl w:ilvl="0" w:tentative="0">
      <w:start w:val="1"/>
      <w:numFmt w:val="decimal"/>
      <w:lvlText w:val="（%1）"/>
      <w:lvlJc w:val="left"/>
      <w:pPr>
        <w:tabs>
          <w:tab w:val="left" w:pos="720"/>
        </w:tabs>
        <w:ind w:left="720" w:hanging="720"/>
      </w:pPr>
      <w:rPr>
        <w:rFonts w:hint="eastAsia"/>
      </w:rPr>
    </w:lvl>
  </w:abstractNum>
  <w:abstractNum w:abstractNumId="16">
    <w:nsid w:val="59B2460E"/>
    <w:multiLevelType w:val="singleLevel"/>
    <w:tmpl w:val="59B2460E"/>
    <w:lvl w:ilvl="0" w:tentative="0">
      <w:start w:val="2"/>
      <w:numFmt w:val="decimal"/>
      <w:suff w:val="nothing"/>
      <w:lvlText w:val="%1."/>
      <w:lvlJc w:val="left"/>
    </w:lvl>
  </w:abstractNum>
  <w:abstractNum w:abstractNumId="17">
    <w:nsid w:val="59B25AF4"/>
    <w:multiLevelType w:val="singleLevel"/>
    <w:tmpl w:val="59B25AF4"/>
    <w:lvl w:ilvl="0" w:tentative="0">
      <w:start w:val="1"/>
      <w:numFmt w:val="decimal"/>
      <w:suff w:val="nothing"/>
      <w:lvlText w:val="（%1）"/>
      <w:lvlJc w:val="left"/>
    </w:lvl>
  </w:abstractNum>
  <w:abstractNum w:abstractNumId="18">
    <w:nsid w:val="5B0CE37E"/>
    <w:multiLevelType w:val="singleLevel"/>
    <w:tmpl w:val="5B0CE37E"/>
    <w:lvl w:ilvl="0" w:tentative="0">
      <w:start w:val="1"/>
      <w:numFmt w:val="decimal"/>
      <w:suff w:val="nothing"/>
      <w:lvlText w:val="%1、"/>
      <w:lvlJc w:val="left"/>
    </w:lvl>
  </w:abstractNum>
  <w:num w:numId="1">
    <w:abstractNumId w:val="9"/>
  </w:num>
  <w:num w:numId="2">
    <w:abstractNumId w:val="6"/>
  </w:num>
  <w:num w:numId="3">
    <w:abstractNumId w:val="7"/>
  </w:num>
  <w:num w:numId="4">
    <w:abstractNumId w:val="8"/>
  </w:num>
  <w:num w:numId="5">
    <w:abstractNumId w:val="12"/>
  </w:num>
  <w:num w:numId="6">
    <w:abstractNumId w:val="16"/>
  </w:num>
  <w:num w:numId="7">
    <w:abstractNumId w:val="17"/>
  </w:num>
  <w:num w:numId="8">
    <w:abstractNumId w:val="11"/>
  </w:num>
  <w:num w:numId="9">
    <w:abstractNumId w:val="3"/>
  </w:num>
  <w:num w:numId="10">
    <w:abstractNumId w:val="1"/>
  </w:num>
  <w:num w:numId="11">
    <w:abstractNumId w:val="2"/>
  </w:num>
  <w:num w:numId="12">
    <w:abstractNumId w:val="5"/>
  </w:num>
  <w:num w:numId="13">
    <w:abstractNumId w:val="13"/>
  </w:num>
  <w:num w:numId="14">
    <w:abstractNumId w:val="14"/>
  </w:num>
  <w:num w:numId="15">
    <w:abstractNumId w:val="10"/>
  </w:num>
  <w:num w:numId="16">
    <w:abstractNumId w:val="15"/>
  </w:num>
  <w:num w:numId="17">
    <w:abstractNumId w:val="4"/>
  </w:num>
  <w:num w:numId="18">
    <w:abstractNumId w:val="0"/>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HorizontalSpacing w:val="120"/>
  <w:drawingGridVerticalSpacing w:val="333"/>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c5Yzg0ODgzYThjNGY0ZTViMjQwMzVjYTM1MjgwZDAifQ=="/>
  </w:docVars>
  <w:rsids>
    <w:rsidRoot w:val="00172A27"/>
    <w:rsid w:val="00000B96"/>
    <w:rsid w:val="000012D2"/>
    <w:rsid w:val="00002B00"/>
    <w:rsid w:val="000038C2"/>
    <w:rsid w:val="00005F6B"/>
    <w:rsid w:val="00007E5D"/>
    <w:rsid w:val="00010047"/>
    <w:rsid w:val="00010A9B"/>
    <w:rsid w:val="00013844"/>
    <w:rsid w:val="000200CD"/>
    <w:rsid w:val="000213A4"/>
    <w:rsid w:val="000217ED"/>
    <w:rsid w:val="00022A7C"/>
    <w:rsid w:val="00022D5B"/>
    <w:rsid w:val="00023B4B"/>
    <w:rsid w:val="00023CB4"/>
    <w:rsid w:val="0002463D"/>
    <w:rsid w:val="00025024"/>
    <w:rsid w:val="00026E6E"/>
    <w:rsid w:val="00027C7A"/>
    <w:rsid w:val="000305A9"/>
    <w:rsid w:val="0003107B"/>
    <w:rsid w:val="00031900"/>
    <w:rsid w:val="00031F87"/>
    <w:rsid w:val="00032B82"/>
    <w:rsid w:val="00033AAB"/>
    <w:rsid w:val="0003640E"/>
    <w:rsid w:val="00036555"/>
    <w:rsid w:val="000365AC"/>
    <w:rsid w:val="00041B7C"/>
    <w:rsid w:val="00042698"/>
    <w:rsid w:val="00042CE2"/>
    <w:rsid w:val="00043B48"/>
    <w:rsid w:val="00044FD0"/>
    <w:rsid w:val="000469FE"/>
    <w:rsid w:val="00047AB5"/>
    <w:rsid w:val="00047D88"/>
    <w:rsid w:val="0005073F"/>
    <w:rsid w:val="0005079D"/>
    <w:rsid w:val="00053E5E"/>
    <w:rsid w:val="0005520E"/>
    <w:rsid w:val="00055DEA"/>
    <w:rsid w:val="000565B0"/>
    <w:rsid w:val="00056B91"/>
    <w:rsid w:val="00056D53"/>
    <w:rsid w:val="00057587"/>
    <w:rsid w:val="0006079B"/>
    <w:rsid w:val="000608D5"/>
    <w:rsid w:val="00060C25"/>
    <w:rsid w:val="00062CDB"/>
    <w:rsid w:val="00062CE6"/>
    <w:rsid w:val="000637A2"/>
    <w:rsid w:val="00063DA2"/>
    <w:rsid w:val="00063F92"/>
    <w:rsid w:val="00064AF1"/>
    <w:rsid w:val="000657E3"/>
    <w:rsid w:val="00066B43"/>
    <w:rsid w:val="000719E7"/>
    <w:rsid w:val="00074D9F"/>
    <w:rsid w:val="00074EFA"/>
    <w:rsid w:val="00075C16"/>
    <w:rsid w:val="00075CE3"/>
    <w:rsid w:val="000801B6"/>
    <w:rsid w:val="00082F4D"/>
    <w:rsid w:val="00085C2B"/>
    <w:rsid w:val="000873CE"/>
    <w:rsid w:val="00092CC0"/>
    <w:rsid w:val="00093FA0"/>
    <w:rsid w:val="00094888"/>
    <w:rsid w:val="00094DB4"/>
    <w:rsid w:val="000A0C7F"/>
    <w:rsid w:val="000A2116"/>
    <w:rsid w:val="000A286B"/>
    <w:rsid w:val="000A2FA7"/>
    <w:rsid w:val="000A35A8"/>
    <w:rsid w:val="000A3AE0"/>
    <w:rsid w:val="000A45E4"/>
    <w:rsid w:val="000A493D"/>
    <w:rsid w:val="000A6376"/>
    <w:rsid w:val="000B00F3"/>
    <w:rsid w:val="000B0BCD"/>
    <w:rsid w:val="000B1179"/>
    <w:rsid w:val="000C1C22"/>
    <w:rsid w:val="000C439B"/>
    <w:rsid w:val="000C53C8"/>
    <w:rsid w:val="000C62BA"/>
    <w:rsid w:val="000C63C8"/>
    <w:rsid w:val="000C659F"/>
    <w:rsid w:val="000C6743"/>
    <w:rsid w:val="000D04E4"/>
    <w:rsid w:val="000D0F01"/>
    <w:rsid w:val="000D2D89"/>
    <w:rsid w:val="000D3B02"/>
    <w:rsid w:val="000D6DE2"/>
    <w:rsid w:val="000D7D4B"/>
    <w:rsid w:val="000E1AE1"/>
    <w:rsid w:val="000E1B20"/>
    <w:rsid w:val="000E276A"/>
    <w:rsid w:val="000E34A7"/>
    <w:rsid w:val="000E43B9"/>
    <w:rsid w:val="000E50FC"/>
    <w:rsid w:val="000E5A92"/>
    <w:rsid w:val="000E5D5F"/>
    <w:rsid w:val="000E61E7"/>
    <w:rsid w:val="000F1A0E"/>
    <w:rsid w:val="000F1A9E"/>
    <w:rsid w:val="000F4AF5"/>
    <w:rsid w:val="000F55F7"/>
    <w:rsid w:val="000F796B"/>
    <w:rsid w:val="00100983"/>
    <w:rsid w:val="00101CF8"/>
    <w:rsid w:val="00104222"/>
    <w:rsid w:val="0010580A"/>
    <w:rsid w:val="001058CA"/>
    <w:rsid w:val="0010604B"/>
    <w:rsid w:val="0010605E"/>
    <w:rsid w:val="0011561C"/>
    <w:rsid w:val="00117899"/>
    <w:rsid w:val="001208B9"/>
    <w:rsid w:val="00120A9F"/>
    <w:rsid w:val="00122278"/>
    <w:rsid w:val="00123494"/>
    <w:rsid w:val="00123553"/>
    <w:rsid w:val="001235D9"/>
    <w:rsid w:val="001254DD"/>
    <w:rsid w:val="00125A87"/>
    <w:rsid w:val="001274A2"/>
    <w:rsid w:val="001328B1"/>
    <w:rsid w:val="00133921"/>
    <w:rsid w:val="00135B3D"/>
    <w:rsid w:val="00136D87"/>
    <w:rsid w:val="001374E6"/>
    <w:rsid w:val="001407F0"/>
    <w:rsid w:val="00140EBC"/>
    <w:rsid w:val="00141BA0"/>
    <w:rsid w:val="00143AFF"/>
    <w:rsid w:val="00143B3B"/>
    <w:rsid w:val="00143D3B"/>
    <w:rsid w:val="00146123"/>
    <w:rsid w:val="001462C6"/>
    <w:rsid w:val="00146A73"/>
    <w:rsid w:val="00146D90"/>
    <w:rsid w:val="001515EF"/>
    <w:rsid w:val="00152CE8"/>
    <w:rsid w:val="00152FAD"/>
    <w:rsid w:val="00153967"/>
    <w:rsid w:val="00155F47"/>
    <w:rsid w:val="001601EB"/>
    <w:rsid w:val="00160DBE"/>
    <w:rsid w:val="00161827"/>
    <w:rsid w:val="00171C82"/>
    <w:rsid w:val="00172650"/>
    <w:rsid w:val="00172A27"/>
    <w:rsid w:val="00175A12"/>
    <w:rsid w:val="00177AF0"/>
    <w:rsid w:val="00180763"/>
    <w:rsid w:val="001811CA"/>
    <w:rsid w:val="00181BBD"/>
    <w:rsid w:val="00181EAD"/>
    <w:rsid w:val="00183CF9"/>
    <w:rsid w:val="00185937"/>
    <w:rsid w:val="00186F95"/>
    <w:rsid w:val="00187A48"/>
    <w:rsid w:val="001901B6"/>
    <w:rsid w:val="0019096D"/>
    <w:rsid w:val="0019145F"/>
    <w:rsid w:val="00191B2F"/>
    <w:rsid w:val="00191E12"/>
    <w:rsid w:val="00192CC2"/>
    <w:rsid w:val="00192D23"/>
    <w:rsid w:val="00192EF0"/>
    <w:rsid w:val="0019304F"/>
    <w:rsid w:val="0019450B"/>
    <w:rsid w:val="00195C0C"/>
    <w:rsid w:val="00195D20"/>
    <w:rsid w:val="00196F6C"/>
    <w:rsid w:val="001970A3"/>
    <w:rsid w:val="00197545"/>
    <w:rsid w:val="001A0BF7"/>
    <w:rsid w:val="001A11CD"/>
    <w:rsid w:val="001A12BD"/>
    <w:rsid w:val="001A16AC"/>
    <w:rsid w:val="001A3A9B"/>
    <w:rsid w:val="001A5525"/>
    <w:rsid w:val="001A5ABD"/>
    <w:rsid w:val="001A7465"/>
    <w:rsid w:val="001A7DAE"/>
    <w:rsid w:val="001B049A"/>
    <w:rsid w:val="001B0838"/>
    <w:rsid w:val="001B0F2D"/>
    <w:rsid w:val="001B1041"/>
    <w:rsid w:val="001B4875"/>
    <w:rsid w:val="001B48CA"/>
    <w:rsid w:val="001B52DC"/>
    <w:rsid w:val="001B6234"/>
    <w:rsid w:val="001B69A0"/>
    <w:rsid w:val="001B6A37"/>
    <w:rsid w:val="001B6ACD"/>
    <w:rsid w:val="001B7A89"/>
    <w:rsid w:val="001C391B"/>
    <w:rsid w:val="001C4AB4"/>
    <w:rsid w:val="001C4DAC"/>
    <w:rsid w:val="001C5413"/>
    <w:rsid w:val="001C5432"/>
    <w:rsid w:val="001C5D6F"/>
    <w:rsid w:val="001C6F54"/>
    <w:rsid w:val="001D03B6"/>
    <w:rsid w:val="001D2015"/>
    <w:rsid w:val="001D2346"/>
    <w:rsid w:val="001D23B9"/>
    <w:rsid w:val="001D3EFF"/>
    <w:rsid w:val="001D403A"/>
    <w:rsid w:val="001D43D2"/>
    <w:rsid w:val="001D5276"/>
    <w:rsid w:val="001D79D9"/>
    <w:rsid w:val="001D7DDD"/>
    <w:rsid w:val="001E63FA"/>
    <w:rsid w:val="001E6B35"/>
    <w:rsid w:val="001E7866"/>
    <w:rsid w:val="001F20F9"/>
    <w:rsid w:val="001F4189"/>
    <w:rsid w:val="001F5DE8"/>
    <w:rsid w:val="001F6478"/>
    <w:rsid w:val="001F655E"/>
    <w:rsid w:val="001F7C73"/>
    <w:rsid w:val="00200DF2"/>
    <w:rsid w:val="002023A2"/>
    <w:rsid w:val="002023AB"/>
    <w:rsid w:val="00202864"/>
    <w:rsid w:val="00203F3B"/>
    <w:rsid w:val="0020401E"/>
    <w:rsid w:val="0020407A"/>
    <w:rsid w:val="0020609B"/>
    <w:rsid w:val="00206E6D"/>
    <w:rsid w:val="002072CF"/>
    <w:rsid w:val="002140FB"/>
    <w:rsid w:val="00220627"/>
    <w:rsid w:val="00220CA0"/>
    <w:rsid w:val="00222BEA"/>
    <w:rsid w:val="00223DD6"/>
    <w:rsid w:val="00224DAF"/>
    <w:rsid w:val="00232C05"/>
    <w:rsid w:val="002360A1"/>
    <w:rsid w:val="00236A16"/>
    <w:rsid w:val="00237F01"/>
    <w:rsid w:val="002416C6"/>
    <w:rsid w:val="002431A6"/>
    <w:rsid w:val="00245742"/>
    <w:rsid w:val="0024620A"/>
    <w:rsid w:val="00246984"/>
    <w:rsid w:val="002469DC"/>
    <w:rsid w:val="00246D18"/>
    <w:rsid w:val="0024731F"/>
    <w:rsid w:val="0024793C"/>
    <w:rsid w:val="002515D2"/>
    <w:rsid w:val="00254950"/>
    <w:rsid w:val="00256036"/>
    <w:rsid w:val="002578C4"/>
    <w:rsid w:val="00257DF7"/>
    <w:rsid w:val="00260ADD"/>
    <w:rsid w:val="00261E18"/>
    <w:rsid w:val="00262052"/>
    <w:rsid w:val="00263943"/>
    <w:rsid w:val="002665AE"/>
    <w:rsid w:val="00267FE3"/>
    <w:rsid w:val="002710EB"/>
    <w:rsid w:val="002715C0"/>
    <w:rsid w:val="00271E15"/>
    <w:rsid w:val="002729A5"/>
    <w:rsid w:val="00273121"/>
    <w:rsid w:val="002743DD"/>
    <w:rsid w:val="0027618B"/>
    <w:rsid w:val="0027621A"/>
    <w:rsid w:val="0027676B"/>
    <w:rsid w:val="00282591"/>
    <w:rsid w:val="00283EAB"/>
    <w:rsid w:val="00284749"/>
    <w:rsid w:val="00284B38"/>
    <w:rsid w:val="00285F0A"/>
    <w:rsid w:val="00287E4B"/>
    <w:rsid w:val="0029168F"/>
    <w:rsid w:val="00291E57"/>
    <w:rsid w:val="002926B0"/>
    <w:rsid w:val="00292805"/>
    <w:rsid w:val="00292EC3"/>
    <w:rsid w:val="00294AE4"/>
    <w:rsid w:val="002952B6"/>
    <w:rsid w:val="00296E03"/>
    <w:rsid w:val="00297178"/>
    <w:rsid w:val="00297836"/>
    <w:rsid w:val="00297A00"/>
    <w:rsid w:val="002A1205"/>
    <w:rsid w:val="002A284F"/>
    <w:rsid w:val="002A3C35"/>
    <w:rsid w:val="002A5726"/>
    <w:rsid w:val="002A58BD"/>
    <w:rsid w:val="002A60AE"/>
    <w:rsid w:val="002A6589"/>
    <w:rsid w:val="002A6FB9"/>
    <w:rsid w:val="002A6FF1"/>
    <w:rsid w:val="002B0549"/>
    <w:rsid w:val="002B2819"/>
    <w:rsid w:val="002B31D1"/>
    <w:rsid w:val="002B3EBD"/>
    <w:rsid w:val="002B4750"/>
    <w:rsid w:val="002B530D"/>
    <w:rsid w:val="002B532D"/>
    <w:rsid w:val="002B71C3"/>
    <w:rsid w:val="002B77C0"/>
    <w:rsid w:val="002C0490"/>
    <w:rsid w:val="002C148F"/>
    <w:rsid w:val="002C2359"/>
    <w:rsid w:val="002C2953"/>
    <w:rsid w:val="002C2CA2"/>
    <w:rsid w:val="002C5EC2"/>
    <w:rsid w:val="002C612D"/>
    <w:rsid w:val="002C67D3"/>
    <w:rsid w:val="002D13FF"/>
    <w:rsid w:val="002D16A5"/>
    <w:rsid w:val="002D2ADB"/>
    <w:rsid w:val="002D57A6"/>
    <w:rsid w:val="002D6E29"/>
    <w:rsid w:val="002E0D84"/>
    <w:rsid w:val="002E14B8"/>
    <w:rsid w:val="002E6B4B"/>
    <w:rsid w:val="002F04C6"/>
    <w:rsid w:val="002F0D73"/>
    <w:rsid w:val="002F1B6E"/>
    <w:rsid w:val="002F2258"/>
    <w:rsid w:val="002F29F8"/>
    <w:rsid w:val="002F365D"/>
    <w:rsid w:val="002F5F1A"/>
    <w:rsid w:val="002F63C5"/>
    <w:rsid w:val="002F6825"/>
    <w:rsid w:val="002F6AFF"/>
    <w:rsid w:val="002F71BF"/>
    <w:rsid w:val="002F76ED"/>
    <w:rsid w:val="00300B9E"/>
    <w:rsid w:val="0030141B"/>
    <w:rsid w:val="00302C76"/>
    <w:rsid w:val="00302E94"/>
    <w:rsid w:val="00304D48"/>
    <w:rsid w:val="00305B11"/>
    <w:rsid w:val="00307628"/>
    <w:rsid w:val="00307FB5"/>
    <w:rsid w:val="00311F60"/>
    <w:rsid w:val="003131D3"/>
    <w:rsid w:val="00314270"/>
    <w:rsid w:val="00314C15"/>
    <w:rsid w:val="003153BB"/>
    <w:rsid w:val="003156D5"/>
    <w:rsid w:val="003163BC"/>
    <w:rsid w:val="00316E3B"/>
    <w:rsid w:val="00316EA1"/>
    <w:rsid w:val="00317566"/>
    <w:rsid w:val="003202ED"/>
    <w:rsid w:val="00320F96"/>
    <w:rsid w:val="0032176D"/>
    <w:rsid w:val="003231B5"/>
    <w:rsid w:val="00324146"/>
    <w:rsid w:val="00325CAE"/>
    <w:rsid w:val="00332060"/>
    <w:rsid w:val="0033486A"/>
    <w:rsid w:val="00334DA1"/>
    <w:rsid w:val="00336BF5"/>
    <w:rsid w:val="00340B50"/>
    <w:rsid w:val="00341103"/>
    <w:rsid w:val="00341409"/>
    <w:rsid w:val="00341A2C"/>
    <w:rsid w:val="00341D74"/>
    <w:rsid w:val="0034291B"/>
    <w:rsid w:val="0034505B"/>
    <w:rsid w:val="0034546A"/>
    <w:rsid w:val="003461CB"/>
    <w:rsid w:val="00346702"/>
    <w:rsid w:val="003475F6"/>
    <w:rsid w:val="0034776A"/>
    <w:rsid w:val="00347D41"/>
    <w:rsid w:val="00347D7F"/>
    <w:rsid w:val="00350EE6"/>
    <w:rsid w:val="003511C6"/>
    <w:rsid w:val="003511FE"/>
    <w:rsid w:val="00351B8B"/>
    <w:rsid w:val="00354360"/>
    <w:rsid w:val="00355A15"/>
    <w:rsid w:val="0035608B"/>
    <w:rsid w:val="003562C6"/>
    <w:rsid w:val="00357437"/>
    <w:rsid w:val="00357FB9"/>
    <w:rsid w:val="00361CFF"/>
    <w:rsid w:val="00362942"/>
    <w:rsid w:val="00364C97"/>
    <w:rsid w:val="00365A8B"/>
    <w:rsid w:val="00365D33"/>
    <w:rsid w:val="003662C7"/>
    <w:rsid w:val="003675EE"/>
    <w:rsid w:val="00367AF9"/>
    <w:rsid w:val="00367D1B"/>
    <w:rsid w:val="0037189E"/>
    <w:rsid w:val="00373CA0"/>
    <w:rsid w:val="00380CF2"/>
    <w:rsid w:val="00381B70"/>
    <w:rsid w:val="00382977"/>
    <w:rsid w:val="00382D0C"/>
    <w:rsid w:val="00385E6D"/>
    <w:rsid w:val="00387456"/>
    <w:rsid w:val="00394241"/>
    <w:rsid w:val="0039452C"/>
    <w:rsid w:val="00395D4F"/>
    <w:rsid w:val="00396803"/>
    <w:rsid w:val="00397092"/>
    <w:rsid w:val="00397D83"/>
    <w:rsid w:val="003A0FEE"/>
    <w:rsid w:val="003A1264"/>
    <w:rsid w:val="003A3202"/>
    <w:rsid w:val="003A3CC5"/>
    <w:rsid w:val="003A40D7"/>
    <w:rsid w:val="003A67CF"/>
    <w:rsid w:val="003A731A"/>
    <w:rsid w:val="003B08EF"/>
    <w:rsid w:val="003B318A"/>
    <w:rsid w:val="003B34AC"/>
    <w:rsid w:val="003B34BE"/>
    <w:rsid w:val="003B3985"/>
    <w:rsid w:val="003B3D71"/>
    <w:rsid w:val="003B3EA3"/>
    <w:rsid w:val="003B7936"/>
    <w:rsid w:val="003C098E"/>
    <w:rsid w:val="003C3F07"/>
    <w:rsid w:val="003C4A14"/>
    <w:rsid w:val="003C5F7B"/>
    <w:rsid w:val="003C6AFD"/>
    <w:rsid w:val="003C6FFB"/>
    <w:rsid w:val="003C72AA"/>
    <w:rsid w:val="003D0DD0"/>
    <w:rsid w:val="003D2811"/>
    <w:rsid w:val="003D3509"/>
    <w:rsid w:val="003D407E"/>
    <w:rsid w:val="003D442D"/>
    <w:rsid w:val="003D6E4A"/>
    <w:rsid w:val="003D791C"/>
    <w:rsid w:val="003E1B40"/>
    <w:rsid w:val="003E281F"/>
    <w:rsid w:val="003E4B61"/>
    <w:rsid w:val="003E54A3"/>
    <w:rsid w:val="003E57FC"/>
    <w:rsid w:val="003E7FAD"/>
    <w:rsid w:val="003F37EA"/>
    <w:rsid w:val="003F41ED"/>
    <w:rsid w:val="004007CB"/>
    <w:rsid w:val="00400A7D"/>
    <w:rsid w:val="00401BB8"/>
    <w:rsid w:val="00402004"/>
    <w:rsid w:val="004023F1"/>
    <w:rsid w:val="00403AE3"/>
    <w:rsid w:val="0040608B"/>
    <w:rsid w:val="004068BB"/>
    <w:rsid w:val="004103C6"/>
    <w:rsid w:val="00410CFB"/>
    <w:rsid w:val="00410F74"/>
    <w:rsid w:val="004120D0"/>
    <w:rsid w:val="00413401"/>
    <w:rsid w:val="00415979"/>
    <w:rsid w:val="00416CA7"/>
    <w:rsid w:val="00421C4E"/>
    <w:rsid w:val="004220E6"/>
    <w:rsid w:val="0042318F"/>
    <w:rsid w:val="00423FC1"/>
    <w:rsid w:val="004254B8"/>
    <w:rsid w:val="00425BBD"/>
    <w:rsid w:val="00425D51"/>
    <w:rsid w:val="00426B8C"/>
    <w:rsid w:val="00427864"/>
    <w:rsid w:val="00433012"/>
    <w:rsid w:val="00436AFB"/>
    <w:rsid w:val="00437B01"/>
    <w:rsid w:val="00440128"/>
    <w:rsid w:val="00440274"/>
    <w:rsid w:val="00441AEE"/>
    <w:rsid w:val="00442BE1"/>
    <w:rsid w:val="00443900"/>
    <w:rsid w:val="00445402"/>
    <w:rsid w:val="00446588"/>
    <w:rsid w:val="004467CE"/>
    <w:rsid w:val="00453700"/>
    <w:rsid w:val="00454B8E"/>
    <w:rsid w:val="00455E9E"/>
    <w:rsid w:val="00455FD5"/>
    <w:rsid w:val="00456D2F"/>
    <w:rsid w:val="00461FEF"/>
    <w:rsid w:val="004625DD"/>
    <w:rsid w:val="00463B00"/>
    <w:rsid w:val="00464A75"/>
    <w:rsid w:val="00465240"/>
    <w:rsid w:val="004658B9"/>
    <w:rsid w:val="0046611B"/>
    <w:rsid w:val="0046614D"/>
    <w:rsid w:val="00467E4E"/>
    <w:rsid w:val="0047352D"/>
    <w:rsid w:val="0047353F"/>
    <w:rsid w:val="00473A61"/>
    <w:rsid w:val="004743A9"/>
    <w:rsid w:val="004748A2"/>
    <w:rsid w:val="00474A4C"/>
    <w:rsid w:val="00474CC7"/>
    <w:rsid w:val="00476CF6"/>
    <w:rsid w:val="00482CBC"/>
    <w:rsid w:val="004856AF"/>
    <w:rsid w:val="00485B0A"/>
    <w:rsid w:val="00485CED"/>
    <w:rsid w:val="004870CF"/>
    <w:rsid w:val="00487443"/>
    <w:rsid w:val="004879C8"/>
    <w:rsid w:val="00490916"/>
    <w:rsid w:val="00490ACF"/>
    <w:rsid w:val="00492F78"/>
    <w:rsid w:val="00493D09"/>
    <w:rsid w:val="00494C44"/>
    <w:rsid w:val="004950BA"/>
    <w:rsid w:val="00495D9C"/>
    <w:rsid w:val="00496054"/>
    <w:rsid w:val="00496BFE"/>
    <w:rsid w:val="004A154C"/>
    <w:rsid w:val="004A2C5D"/>
    <w:rsid w:val="004A3680"/>
    <w:rsid w:val="004A4F66"/>
    <w:rsid w:val="004A559B"/>
    <w:rsid w:val="004A6E2A"/>
    <w:rsid w:val="004B0456"/>
    <w:rsid w:val="004B3CF3"/>
    <w:rsid w:val="004B48E8"/>
    <w:rsid w:val="004B5EDA"/>
    <w:rsid w:val="004C0DA1"/>
    <w:rsid w:val="004C381B"/>
    <w:rsid w:val="004C4384"/>
    <w:rsid w:val="004C4C6F"/>
    <w:rsid w:val="004C5071"/>
    <w:rsid w:val="004C5764"/>
    <w:rsid w:val="004C59E7"/>
    <w:rsid w:val="004C5B06"/>
    <w:rsid w:val="004C5D32"/>
    <w:rsid w:val="004C64AA"/>
    <w:rsid w:val="004C691C"/>
    <w:rsid w:val="004C6A9A"/>
    <w:rsid w:val="004C6C1C"/>
    <w:rsid w:val="004C757C"/>
    <w:rsid w:val="004C7797"/>
    <w:rsid w:val="004C7DEA"/>
    <w:rsid w:val="004D0372"/>
    <w:rsid w:val="004D156D"/>
    <w:rsid w:val="004D2E27"/>
    <w:rsid w:val="004D3E27"/>
    <w:rsid w:val="004E1799"/>
    <w:rsid w:val="004E2EF0"/>
    <w:rsid w:val="004E3AA3"/>
    <w:rsid w:val="004E47E0"/>
    <w:rsid w:val="004E6FE2"/>
    <w:rsid w:val="004F09D7"/>
    <w:rsid w:val="004F2039"/>
    <w:rsid w:val="004F27E7"/>
    <w:rsid w:val="004F29C5"/>
    <w:rsid w:val="004F5595"/>
    <w:rsid w:val="004F5A55"/>
    <w:rsid w:val="004F67AB"/>
    <w:rsid w:val="005019A4"/>
    <w:rsid w:val="00502282"/>
    <w:rsid w:val="005027DB"/>
    <w:rsid w:val="00504F64"/>
    <w:rsid w:val="0050503C"/>
    <w:rsid w:val="0050765B"/>
    <w:rsid w:val="00507A55"/>
    <w:rsid w:val="00511A3E"/>
    <w:rsid w:val="00512510"/>
    <w:rsid w:val="00512695"/>
    <w:rsid w:val="00512BE4"/>
    <w:rsid w:val="00516BE2"/>
    <w:rsid w:val="00516EFF"/>
    <w:rsid w:val="00521796"/>
    <w:rsid w:val="00521EC6"/>
    <w:rsid w:val="0052386A"/>
    <w:rsid w:val="00524F9D"/>
    <w:rsid w:val="005250CB"/>
    <w:rsid w:val="00525D6D"/>
    <w:rsid w:val="0052667F"/>
    <w:rsid w:val="005271F9"/>
    <w:rsid w:val="00530B06"/>
    <w:rsid w:val="005320B4"/>
    <w:rsid w:val="00532196"/>
    <w:rsid w:val="005329EC"/>
    <w:rsid w:val="0053347F"/>
    <w:rsid w:val="005335F2"/>
    <w:rsid w:val="00533A1D"/>
    <w:rsid w:val="00533DA4"/>
    <w:rsid w:val="0053431E"/>
    <w:rsid w:val="00534CB2"/>
    <w:rsid w:val="005402A4"/>
    <w:rsid w:val="005418A7"/>
    <w:rsid w:val="00542612"/>
    <w:rsid w:val="0054314A"/>
    <w:rsid w:val="0054527D"/>
    <w:rsid w:val="00547072"/>
    <w:rsid w:val="00550095"/>
    <w:rsid w:val="0055039F"/>
    <w:rsid w:val="00551656"/>
    <w:rsid w:val="0055167A"/>
    <w:rsid w:val="005531C3"/>
    <w:rsid w:val="005531F8"/>
    <w:rsid w:val="00553F46"/>
    <w:rsid w:val="00557137"/>
    <w:rsid w:val="0056123F"/>
    <w:rsid w:val="00562107"/>
    <w:rsid w:val="005644E1"/>
    <w:rsid w:val="00564EFF"/>
    <w:rsid w:val="00565195"/>
    <w:rsid w:val="005665FA"/>
    <w:rsid w:val="00566D38"/>
    <w:rsid w:val="00566DF8"/>
    <w:rsid w:val="0056729C"/>
    <w:rsid w:val="00567CF2"/>
    <w:rsid w:val="005701A2"/>
    <w:rsid w:val="005704A1"/>
    <w:rsid w:val="00570DBB"/>
    <w:rsid w:val="00571F04"/>
    <w:rsid w:val="00574070"/>
    <w:rsid w:val="00575C43"/>
    <w:rsid w:val="005762FE"/>
    <w:rsid w:val="00576FA5"/>
    <w:rsid w:val="00577B5D"/>
    <w:rsid w:val="00577D69"/>
    <w:rsid w:val="00580D0D"/>
    <w:rsid w:val="00581814"/>
    <w:rsid w:val="00581AD3"/>
    <w:rsid w:val="00585D85"/>
    <w:rsid w:val="00587608"/>
    <w:rsid w:val="005908C0"/>
    <w:rsid w:val="005912A1"/>
    <w:rsid w:val="00596510"/>
    <w:rsid w:val="005A111F"/>
    <w:rsid w:val="005A21AD"/>
    <w:rsid w:val="005A3742"/>
    <w:rsid w:val="005A41BF"/>
    <w:rsid w:val="005A4C18"/>
    <w:rsid w:val="005A5801"/>
    <w:rsid w:val="005A73A6"/>
    <w:rsid w:val="005A7A4E"/>
    <w:rsid w:val="005A7B60"/>
    <w:rsid w:val="005B0015"/>
    <w:rsid w:val="005B099B"/>
    <w:rsid w:val="005B1B6E"/>
    <w:rsid w:val="005B3238"/>
    <w:rsid w:val="005B3315"/>
    <w:rsid w:val="005B3385"/>
    <w:rsid w:val="005B4906"/>
    <w:rsid w:val="005B59C4"/>
    <w:rsid w:val="005B59E0"/>
    <w:rsid w:val="005B660B"/>
    <w:rsid w:val="005B717F"/>
    <w:rsid w:val="005C0C3C"/>
    <w:rsid w:val="005C3BE2"/>
    <w:rsid w:val="005C71D3"/>
    <w:rsid w:val="005C7B3B"/>
    <w:rsid w:val="005D0601"/>
    <w:rsid w:val="005D3410"/>
    <w:rsid w:val="005D527D"/>
    <w:rsid w:val="005D5919"/>
    <w:rsid w:val="005D5FF2"/>
    <w:rsid w:val="005D6C2B"/>
    <w:rsid w:val="005E16B8"/>
    <w:rsid w:val="005E21C0"/>
    <w:rsid w:val="005E3E7C"/>
    <w:rsid w:val="005E6C34"/>
    <w:rsid w:val="005F068D"/>
    <w:rsid w:val="005F0749"/>
    <w:rsid w:val="005F0CE3"/>
    <w:rsid w:val="006006DC"/>
    <w:rsid w:val="006029C0"/>
    <w:rsid w:val="006037D3"/>
    <w:rsid w:val="00603940"/>
    <w:rsid w:val="006042DA"/>
    <w:rsid w:val="00604F7E"/>
    <w:rsid w:val="00606487"/>
    <w:rsid w:val="00607423"/>
    <w:rsid w:val="0061043B"/>
    <w:rsid w:val="00610C50"/>
    <w:rsid w:val="0061186F"/>
    <w:rsid w:val="00611C31"/>
    <w:rsid w:val="00611D98"/>
    <w:rsid w:val="00611E82"/>
    <w:rsid w:val="00612079"/>
    <w:rsid w:val="0061297D"/>
    <w:rsid w:val="006151BD"/>
    <w:rsid w:val="0061598C"/>
    <w:rsid w:val="00616634"/>
    <w:rsid w:val="006177C0"/>
    <w:rsid w:val="006202C9"/>
    <w:rsid w:val="0062164D"/>
    <w:rsid w:val="0062215C"/>
    <w:rsid w:val="006221FB"/>
    <w:rsid w:val="006266DC"/>
    <w:rsid w:val="006274B5"/>
    <w:rsid w:val="00630468"/>
    <w:rsid w:val="006306A7"/>
    <w:rsid w:val="00633A8E"/>
    <w:rsid w:val="00633D55"/>
    <w:rsid w:val="00635C4B"/>
    <w:rsid w:val="0063680A"/>
    <w:rsid w:val="00637409"/>
    <w:rsid w:val="00641DB2"/>
    <w:rsid w:val="0064458F"/>
    <w:rsid w:val="006452BF"/>
    <w:rsid w:val="0064709C"/>
    <w:rsid w:val="00647865"/>
    <w:rsid w:val="00652104"/>
    <w:rsid w:val="00652937"/>
    <w:rsid w:val="00653193"/>
    <w:rsid w:val="00653C5B"/>
    <w:rsid w:val="00653D42"/>
    <w:rsid w:val="00654AF7"/>
    <w:rsid w:val="00655686"/>
    <w:rsid w:val="00656937"/>
    <w:rsid w:val="00657B87"/>
    <w:rsid w:val="0066027F"/>
    <w:rsid w:val="0066081E"/>
    <w:rsid w:val="0066144E"/>
    <w:rsid w:val="0066217D"/>
    <w:rsid w:val="006629D4"/>
    <w:rsid w:val="00664C13"/>
    <w:rsid w:val="00664CB0"/>
    <w:rsid w:val="0066572A"/>
    <w:rsid w:val="00665859"/>
    <w:rsid w:val="00665AEE"/>
    <w:rsid w:val="00666A9B"/>
    <w:rsid w:val="0067104F"/>
    <w:rsid w:val="0067509F"/>
    <w:rsid w:val="006757D7"/>
    <w:rsid w:val="00676027"/>
    <w:rsid w:val="00677219"/>
    <w:rsid w:val="0067748C"/>
    <w:rsid w:val="00681E61"/>
    <w:rsid w:val="00682715"/>
    <w:rsid w:val="00684BDE"/>
    <w:rsid w:val="006859DB"/>
    <w:rsid w:val="00685AEC"/>
    <w:rsid w:val="00687E0D"/>
    <w:rsid w:val="00687E7A"/>
    <w:rsid w:val="006909BA"/>
    <w:rsid w:val="00692801"/>
    <w:rsid w:val="00692847"/>
    <w:rsid w:val="00692BB0"/>
    <w:rsid w:val="00693C9D"/>
    <w:rsid w:val="0069422E"/>
    <w:rsid w:val="006945F1"/>
    <w:rsid w:val="00694722"/>
    <w:rsid w:val="00696667"/>
    <w:rsid w:val="00697057"/>
    <w:rsid w:val="0069735B"/>
    <w:rsid w:val="006A050E"/>
    <w:rsid w:val="006A10CF"/>
    <w:rsid w:val="006A2C56"/>
    <w:rsid w:val="006A2CF8"/>
    <w:rsid w:val="006A4018"/>
    <w:rsid w:val="006A4BBE"/>
    <w:rsid w:val="006A52AE"/>
    <w:rsid w:val="006A7A95"/>
    <w:rsid w:val="006B1D85"/>
    <w:rsid w:val="006B275B"/>
    <w:rsid w:val="006B31E9"/>
    <w:rsid w:val="006B3B5C"/>
    <w:rsid w:val="006C0227"/>
    <w:rsid w:val="006C1C58"/>
    <w:rsid w:val="006C4334"/>
    <w:rsid w:val="006C4695"/>
    <w:rsid w:val="006C5249"/>
    <w:rsid w:val="006C7270"/>
    <w:rsid w:val="006D2D53"/>
    <w:rsid w:val="006D2FE4"/>
    <w:rsid w:val="006D3CD5"/>
    <w:rsid w:val="006D43E4"/>
    <w:rsid w:val="006D4CE5"/>
    <w:rsid w:val="006E24C3"/>
    <w:rsid w:val="006E4756"/>
    <w:rsid w:val="006E4A77"/>
    <w:rsid w:val="006E5941"/>
    <w:rsid w:val="006E5DA6"/>
    <w:rsid w:val="006F1750"/>
    <w:rsid w:val="006F3639"/>
    <w:rsid w:val="006F3DF9"/>
    <w:rsid w:val="006F55DA"/>
    <w:rsid w:val="006F5B48"/>
    <w:rsid w:val="006F68F2"/>
    <w:rsid w:val="006F6C23"/>
    <w:rsid w:val="006F7786"/>
    <w:rsid w:val="007003FD"/>
    <w:rsid w:val="00704320"/>
    <w:rsid w:val="00707A58"/>
    <w:rsid w:val="00710A64"/>
    <w:rsid w:val="00711A09"/>
    <w:rsid w:val="00712773"/>
    <w:rsid w:val="00712B5D"/>
    <w:rsid w:val="007136D4"/>
    <w:rsid w:val="00713996"/>
    <w:rsid w:val="0072125C"/>
    <w:rsid w:val="00721C8A"/>
    <w:rsid w:val="007225AF"/>
    <w:rsid w:val="0072297A"/>
    <w:rsid w:val="007230EC"/>
    <w:rsid w:val="007237DC"/>
    <w:rsid w:val="007243F7"/>
    <w:rsid w:val="00726D40"/>
    <w:rsid w:val="00731A4D"/>
    <w:rsid w:val="00732A1D"/>
    <w:rsid w:val="00732B19"/>
    <w:rsid w:val="00736003"/>
    <w:rsid w:val="007406BB"/>
    <w:rsid w:val="0074156B"/>
    <w:rsid w:val="00741B61"/>
    <w:rsid w:val="00741F8C"/>
    <w:rsid w:val="0074307C"/>
    <w:rsid w:val="00743A26"/>
    <w:rsid w:val="007449DC"/>
    <w:rsid w:val="007462B6"/>
    <w:rsid w:val="00746A69"/>
    <w:rsid w:val="00747543"/>
    <w:rsid w:val="00747E14"/>
    <w:rsid w:val="00752946"/>
    <w:rsid w:val="00752B5A"/>
    <w:rsid w:val="00753D9E"/>
    <w:rsid w:val="00755997"/>
    <w:rsid w:val="00755C2D"/>
    <w:rsid w:val="00756815"/>
    <w:rsid w:val="00756C7A"/>
    <w:rsid w:val="0076043A"/>
    <w:rsid w:val="00760EBA"/>
    <w:rsid w:val="00764AC1"/>
    <w:rsid w:val="00765254"/>
    <w:rsid w:val="007656E1"/>
    <w:rsid w:val="00767A80"/>
    <w:rsid w:val="00767EB8"/>
    <w:rsid w:val="00770864"/>
    <w:rsid w:val="00771B8F"/>
    <w:rsid w:val="00772A17"/>
    <w:rsid w:val="00772B95"/>
    <w:rsid w:val="00772ED6"/>
    <w:rsid w:val="0077517B"/>
    <w:rsid w:val="00780109"/>
    <w:rsid w:val="00784DCA"/>
    <w:rsid w:val="007874F4"/>
    <w:rsid w:val="00787AD8"/>
    <w:rsid w:val="00790BEA"/>
    <w:rsid w:val="007922DC"/>
    <w:rsid w:val="00792F7A"/>
    <w:rsid w:val="00794F7A"/>
    <w:rsid w:val="007952A2"/>
    <w:rsid w:val="007960E5"/>
    <w:rsid w:val="007969E7"/>
    <w:rsid w:val="007973F0"/>
    <w:rsid w:val="007979F6"/>
    <w:rsid w:val="007A0260"/>
    <w:rsid w:val="007A2B93"/>
    <w:rsid w:val="007A2C6F"/>
    <w:rsid w:val="007A2F19"/>
    <w:rsid w:val="007A4407"/>
    <w:rsid w:val="007A4BD3"/>
    <w:rsid w:val="007A6F80"/>
    <w:rsid w:val="007B0777"/>
    <w:rsid w:val="007B0BE5"/>
    <w:rsid w:val="007B281C"/>
    <w:rsid w:val="007B313F"/>
    <w:rsid w:val="007B31DE"/>
    <w:rsid w:val="007B7ACF"/>
    <w:rsid w:val="007C0059"/>
    <w:rsid w:val="007C0BB8"/>
    <w:rsid w:val="007C1A66"/>
    <w:rsid w:val="007C3045"/>
    <w:rsid w:val="007C3C17"/>
    <w:rsid w:val="007C53EE"/>
    <w:rsid w:val="007C677C"/>
    <w:rsid w:val="007D2EED"/>
    <w:rsid w:val="007D4C0C"/>
    <w:rsid w:val="007D51A1"/>
    <w:rsid w:val="007E25FA"/>
    <w:rsid w:val="007E3D23"/>
    <w:rsid w:val="007E5150"/>
    <w:rsid w:val="007E58FA"/>
    <w:rsid w:val="007E6087"/>
    <w:rsid w:val="007E65E0"/>
    <w:rsid w:val="007F42E0"/>
    <w:rsid w:val="007F5E23"/>
    <w:rsid w:val="007F6399"/>
    <w:rsid w:val="007F6B81"/>
    <w:rsid w:val="008016FD"/>
    <w:rsid w:val="00801F84"/>
    <w:rsid w:val="00802930"/>
    <w:rsid w:val="00804DA7"/>
    <w:rsid w:val="00805053"/>
    <w:rsid w:val="008066EF"/>
    <w:rsid w:val="00807464"/>
    <w:rsid w:val="00807FB0"/>
    <w:rsid w:val="00811BAE"/>
    <w:rsid w:val="00815091"/>
    <w:rsid w:val="00815886"/>
    <w:rsid w:val="008160FC"/>
    <w:rsid w:val="00823C2A"/>
    <w:rsid w:val="0083039B"/>
    <w:rsid w:val="0083359C"/>
    <w:rsid w:val="0083422C"/>
    <w:rsid w:val="0083636C"/>
    <w:rsid w:val="008375A2"/>
    <w:rsid w:val="00837F2D"/>
    <w:rsid w:val="00841A55"/>
    <w:rsid w:val="00841EFB"/>
    <w:rsid w:val="008433A7"/>
    <w:rsid w:val="00844827"/>
    <w:rsid w:val="008454C1"/>
    <w:rsid w:val="00845606"/>
    <w:rsid w:val="00845E65"/>
    <w:rsid w:val="008460A2"/>
    <w:rsid w:val="008469FF"/>
    <w:rsid w:val="00846F27"/>
    <w:rsid w:val="00851985"/>
    <w:rsid w:val="008525F1"/>
    <w:rsid w:val="00852ADB"/>
    <w:rsid w:val="00853948"/>
    <w:rsid w:val="00853DA2"/>
    <w:rsid w:val="00857795"/>
    <w:rsid w:val="0086021C"/>
    <w:rsid w:val="00860562"/>
    <w:rsid w:val="0086135C"/>
    <w:rsid w:val="008623A4"/>
    <w:rsid w:val="00863C6A"/>
    <w:rsid w:val="00865836"/>
    <w:rsid w:val="008661FB"/>
    <w:rsid w:val="00866F1E"/>
    <w:rsid w:val="00874001"/>
    <w:rsid w:val="00881655"/>
    <w:rsid w:val="00881A05"/>
    <w:rsid w:val="00881E88"/>
    <w:rsid w:val="00885EDA"/>
    <w:rsid w:val="00886913"/>
    <w:rsid w:val="008879B6"/>
    <w:rsid w:val="008918C1"/>
    <w:rsid w:val="00891A34"/>
    <w:rsid w:val="008925D4"/>
    <w:rsid w:val="008927E9"/>
    <w:rsid w:val="00893B66"/>
    <w:rsid w:val="00894231"/>
    <w:rsid w:val="00896FAF"/>
    <w:rsid w:val="008A0D0B"/>
    <w:rsid w:val="008A13B5"/>
    <w:rsid w:val="008A1B2F"/>
    <w:rsid w:val="008A3210"/>
    <w:rsid w:val="008A41EF"/>
    <w:rsid w:val="008A472E"/>
    <w:rsid w:val="008A5187"/>
    <w:rsid w:val="008A70BB"/>
    <w:rsid w:val="008A7DD9"/>
    <w:rsid w:val="008B03B9"/>
    <w:rsid w:val="008B054D"/>
    <w:rsid w:val="008B0AB9"/>
    <w:rsid w:val="008B1D10"/>
    <w:rsid w:val="008B52E4"/>
    <w:rsid w:val="008B69BC"/>
    <w:rsid w:val="008C0308"/>
    <w:rsid w:val="008C18F2"/>
    <w:rsid w:val="008C2C9B"/>
    <w:rsid w:val="008C3CD3"/>
    <w:rsid w:val="008C405D"/>
    <w:rsid w:val="008C4973"/>
    <w:rsid w:val="008C7974"/>
    <w:rsid w:val="008D0886"/>
    <w:rsid w:val="008D198C"/>
    <w:rsid w:val="008D420F"/>
    <w:rsid w:val="008D5E47"/>
    <w:rsid w:val="008D652F"/>
    <w:rsid w:val="008D6A55"/>
    <w:rsid w:val="008D78D2"/>
    <w:rsid w:val="008E00D5"/>
    <w:rsid w:val="008E27EC"/>
    <w:rsid w:val="008E3B36"/>
    <w:rsid w:val="008E4881"/>
    <w:rsid w:val="008E6319"/>
    <w:rsid w:val="008E6735"/>
    <w:rsid w:val="008F19DC"/>
    <w:rsid w:val="008F2374"/>
    <w:rsid w:val="008F4AD0"/>
    <w:rsid w:val="008F56D8"/>
    <w:rsid w:val="008F610C"/>
    <w:rsid w:val="008F7193"/>
    <w:rsid w:val="008F7759"/>
    <w:rsid w:val="00900CC6"/>
    <w:rsid w:val="00901902"/>
    <w:rsid w:val="009079F5"/>
    <w:rsid w:val="00907A0E"/>
    <w:rsid w:val="00914AA0"/>
    <w:rsid w:val="00915F4C"/>
    <w:rsid w:val="00916E08"/>
    <w:rsid w:val="00920A81"/>
    <w:rsid w:val="009213B8"/>
    <w:rsid w:val="009214E2"/>
    <w:rsid w:val="009237D9"/>
    <w:rsid w:val="00923EB8"/>
    <w:rsid w:val="0092475C"/>
    <w:rsid w:val="00925C5F"/>
    <w:rsid w:val="00931C47"/>
    <w:rsid w:val="00931D85"/>
    <w:rsid w:val="00933E65"/>
    <w:rsid w:val="00934A01"/>
    <w:rsid w:val="009360BC"/>
    <w:rsid w:val="00940352"/>
    <w:rsid w:val="009413FE"/>
    <w:rsid w:val="00945AA0"/>
    <w:rsid w:val="0094623D"/>
    <w:rsid w:val="00951CA1"/>
    <w:rsid w:val="00953562"/>
    <w:rsid w:val="00953643"/>
    <w:rsid w:val="0095495E"/>
    <w:rsid w:val="00954B6A"/>
    <w:rsid w:val="00954C2F"/>
    <w:rsid w:val="00954D92"/>
    <w:rsid w:val="009553EB"/>
    <w:rsid w:val="0095606A"/>
    <w:rsid w:val="00956126"/>
    <w:rsid w:val="0095723C"/>
    <w:rsid w:val="009616C5"/>
    <w:rsid w:val="0096274D"/>
    <w:rsid w:val="00962CA8"/>
    <w:rsid w:val="00963437"/>
    <w:rsid w:val="0096669A"/>
    <w:rsid w:val="00966BAA"/>
    <w:rsid w:val="00967E64"/>
    <w:rsid w:val="009720EB"/>
    <w:rsid w:val="009731BD"/>
    <w:rsid w:val="00976803"/>
    <w:rsid w:val="009848D6"/>
    <w:rsid w:val="00985FB1"/>
    <w:rsid w:val="009874F5"/>
    <w:rsid w:val="0099189F"/>
    <w:rsid w:val="009928A7"/>
    <w:rsid w:val="00992FE6"/>
    <w:rsid w:val="00993F52"/>
    <w:rsid w:val="009948F4"/>
    <w:rsid w:val="00996B0C"/>
    <w:rsid w:val="009970FF"/>
    <w:rsid w:val="009A140E"/>
    <w:rsid w:val="009A3D51"/>
    <w:rsid w:val="009A615E"/>
    <w:rsid w:val="009A6F3E"/>
    <w:rsid w:val="009A75BA"/>
    <w:rsid w:val="009B29E2"/>
    <w:rsid w:val="009B2F62"/>
    <w:rsid w:val="009B39DE"/>
    <w:rsid w:val="009B3B14"/>
    <w:rsid w:val="009B560D"/>
    <w:rsid w:val="009B5D8B"/>
    <w:rsid w:val="009B7C82"/>
    <w:rsid w:val="009C1657"/>
    <w:rsid w:val="009C2930"/>
    <w:rsid w:val="009C5430"/>
    <w:rsid w:val="009C54FD"/>
    <w:rsid w:val="009C6AC8"/>
    <w:rsid w:val="009D60DC"/>
    <w:rsid w:val="009D67CB"/>
    <w:rsid w:val="009D67F4"/>
    <w:rsid w:val="009D7F0C"/>
    <w:rsid w:val="009E0110"/>
    <w:rsid w:val="009E0942"/>
    <w:rsid w:val="009E28D2"/>
    <w:rsid w:val="009E331B"/>
    <w:rsid w:val="009E420A"/>
    <w:rsid w:val="009E5014"/>
    <w:rsid w:val="009E5210"/>
    <w:rsid w:val="009E73DD"/>
    <w:rsid w:val="009E7539"/>
    <w:rsid w:val="009F0487"/>
    <w:rsid w:val="009F11B4"/>
    <w:rsid w:val="009F13AF"/>
    <w:rsid w:val="009F1DB9"/>
    <w:rsid w:val="009F2C5C"/>
    <w:rsid w:val="009F3173"/>
    <w:rsid w:val="009F4336"/>
    <w:rsid w:val="009F4C2D"/>
    <w:rsid w:val="009F65EC"/>
    <w:rsid w:val="00A006FB"/>
    <w:rsid w:val="00A0106B"/>
    <w:rsid w:val="00A03432"/>
    <w:rsid w:val="00A04937"/>
    <w:rsid w:val="00A06BD0"/>
    <w:rsid w:val="00A06BDF"/>
    <w:rsid w:val="00A06E80"/>
    <w:rsid w:val="00A1408C"/>
    <w:rsid w:val="00A15F10"/>
    <w:rsid w:val="00A16F9D"/>
    <w:rsid w:val="00A178A3"/>
    <w:rsid w:val="00A17DFD"/>
    <w:rsid w:val="00A20071"/>
    <w:rsid w:val="00A204ED"/>
    <w:rsid w:val="00A21ADF"/>
    <w:rsid w:val="00A23309"/>
    <w:rsid w:val="00A2572F"/>
    <w:rsid w:val="00A26405"/>
    <w:rsid w:val="00A26659"/>
    <w:rsid w:val="00A273DF"/>
    <w:rsid w:val="00A27459"/>
    <w:rsid w:val="00A318EF"/>
    <w:rsid w:val="00A320DD"/>
    <w:rsid w:val="00A338A1"/>
    <w:rsid w:val="00A33C7A"/>
    <w:rsid w:val="00A33F10"/>
    <w:rsid w:val="00A34ACC"/>
    <w:rsid w:val="00A36EFA"/>
    <w:rsid w:val="00A376D2"/>
    <w:rsid w:val="00A42961"/>
    <w:rsid w:val="00A43444"/>
    <w:rsid w:val="00A442F5"/>
    <w:rsid w:val="00A4717E"/>
    <w:rsid w:val="00A476C2"/>
    <w:rsid w:val="00A50B4B"/>
    <w:rsid w:val="00A51355"/>
    <w:rsid w:val="00A536FE"/>
    <w:rsid w:val="00A56402"/>
    <w:rsid w:val="00A565A6"/>
    <w:rsid w:val="00A56C04"/>
    <w:rsid w:val="00A56C3B"/>
    <w:rsid w:val="00A60548"/>
    <w:rsid w:val="00A60F3B"/>
    <w:rsid w:val="00A61A02"/>
    <w:rsid w:val="00A61D9E"/>
    <w:rsid w:val="00A70805"/>
    <w:rsid w:val="00A70B6E"/>
    <w:rsid w:val="00A71A9C"/>
    <w:rsid w:val="00A71FD5"/>
    <w:rsid w:val="00A7384B"/>
    <w:rsid w:val="00A75795"/>
    <w:rsid w:val="00A767FD"/>
    <w:rsid w:val="00A800EA"/>
    <w:rsid w:val="00A844F2"/>
    <w:rsid w:val="00A866A1"/>
    <w:rsid w:val="00A8702F"/>
    <w:rsid w:val="00A91A39"/>
    <w:rsid w:val="00A92B88"/>
    <w:rsid w:val="00A93421"/>
    <w:rsid w:val="00A936A7"/>
    <w:rsid w:val="00A93C02"/>
    <w:rsid w:val="00A95441"/>
    <w:rsid w:val="00A95C86"/>
    <w:rsid w:val="00A95FFA"/>
    <w:rsid w:val="00A964F1"/>
    <w:rsid w:val="00A97C1E"/>
    <w:rsid w:val="00AA076C"/>
    <w:rsid w:val="00AA64B8"/>
    <w:rsid w:val="00AA6E2F"/>
    <w:rsid w:val="00AB09BD"/>
    <w:rsid w:val="00AB0F39"/>
    <w:rsid w:val="00AB35DC"/>
    <w:rsid w:val="00AB6538"/>
    <w:rsid w:val="00AB6C4F"/>
    <w:rsid w:val="00AC258B"/>
    <w:rsid w:val="00AC311A"/>
    <w:rsid w:val="00AC494E"/>
    <w:rsid w:val="00AC6ADA"/>
    <w:rsid w:val="00AC7AA4"/>
    <w:rsid w:val="00AD0174"/>
    <w:rsid w:val="00AD06EE"/>
    <w:rsid w:val="00AD080C"/>
    <w:rsid w:val="00AD1E26"/>
    <w:rsid w:val="00AD2CE8"/>
    <w:rsid w:val="00AD4BB4"/>
    <w:rsid w:val="00AD57DA"/>
    <w:rsid w:val="00AE17EB"/>
    <w:rsid w:val="00AE1A52"/>
    <w:rsid w:val="00AE3075"/>
    <w:rsid w:val="00AE71B8"/>
    <w:rsid w:val="00AF129B"/>
    <w:rsid w:val="00AF39FB"/>
    <w:rsid w:val="00AF46E8"/>
    <w:rsid w:val="00AF5525"/>
    <w:rsid w:val="00AF5DE0"/>
    <w:rsid w:val="00AF703E"/>
    <w:rsid w:val="00B00393"/>
    <w:rsid w:val="00B02FF4"/>
    <w:rsid w:val="00B06D4E"/>
    <w:rsid w:val="00B07458"/>
    <w:rsid w:val="00B076C1"/>
    <w:rsid w:val="00B0776C"/>
    <w:rsid w:val="00B10353"/>
    <w:rsid w:val="00B10F79"/>
    <w:rsid w:val="00B11732"/>
    <w:rsid w:val="00B129F4"/>
    <w:rsid w:val="00B141BF"/>
    <w:rsid w:val="00B15F08"/>
    <w:rsid w:val="00B16E72"/>
    <w:rsid w:val="00B175A8"/>
    <w:rsid w:val="00B203C9"/>
    <w:rsid w:val="00B22442"/>
    <w:rsid w:val="00B238E2"/>
    <w:rsid w:val="00B2513A"/>
    <w:rsid w:val="00B256BA"/>
    <w:rsid w:val="00B271CE"/>
    <w:rsid w:val="00B334EE"/>
    <w:rsid w:val="00B337D4"/>
    <w:rsid w:val="00B339D7"/>
    <w:rsid w:val="00B346F5"/>
    <w:rsid w:val="00B3565A"/>
    <w:rsid w:val="00B43210"/>
    <w:rsid w:val="00B45947"/>
    <w:rsid w:val="00B47674"/>
    <w:rsid w:val="00B50E99"/>
    <w:rsid w:val="00B5232D"/>
    <w:rsid w:val="00B537AB"/>
    <w:rsid w:val="00B54889"/>
    <w:rsid w:val="00B5701C"/>
    <w:rsid w:val="00B57699"/>
    <w:rsid w:val="00B57A91"/>
    <w:rsid w:val="00B57E6E"/>
    <w:rsid w:val="00B61E76"/>
    <w:rsid w:val="00B62441"/>
    <w:rsid w:val="00B62516"/>
    <w:rsid w:val="00B64028"/>
    <w:rsid w:val="00B64999"/>
    <w:rsid w:val="00B667DC"/>
    <w:rsid w:val="00B67415"/>
    <w:rsid w:val="00B76186"/>
    <w:rsid w:val="00B7660D"/>
    <w:rsid w:val="00B82021"/>
    <w:rsid w:val="00B83451"/>
    <w:rsid w:val="00B9103D"/>
    <w:rsid w:val="00B910E1"/>
    <w:rsid w:val="00B9117F"/>
    <w:rsid w:val="00B922BA"/>
    <w:rsid w:val="00B92426"/>
    <w:rsid w:val="00B929AF"/>
    <w:rsid w:val="00B946E9"/>
    <w:rsid w:val="00B94FFC"/>
    <w:rsid w:val="00B97BB6"/>
    <w:rsid w:val="00BA0213"/>
    <w:rsid w:val="00BA2267"/>
    <w:rsid w:val="00BA2A4A"/>
    <w:rsid w:val="00BA4B45"/>
    <w:rsid w:val="00BA4D3E"/>
    <w:rsid w:val="00BA4E35"/>
    <w:rsid w:val="00BA5837"/>
    <w:rsid w:val="00BA77F2"/>
    <w:rsid w:val="00BA7E5A"/>
    <w:rsid w:val="00BB0DD7"/>
    <w:rsid w:val="00BB1695"/>
    <w:rsid w:val="00BB1A6E"/>
    <w:rsid w:val="00BB23ED"/>
    <w:rsid w:val="00BB3821"/>
    <w:rsid w:val="00BB5584"/>
    <w:rsid w:val="00BC1652"/>
    <w:rsid w:val="00BC2982"/>
    <w:rsid w:val="00BC402C"/>
    <w:rsid w:val="00BC5446"/>
    <w:rsid w:val="00BC5AA5"/>
    <w:rsid w:val="00BD082D"/>
    <w:rsid w:val="00BD1610"/>
    <w:rsid w:val="00BD2360"/>
    <w:rsid w:val="00BD23FF"/>
    <w:rsid w:val="00BD2F3A"/>
    <w:rsid w:val="00BD4884"/>
    <w:rsid w:val="00BD6755"/>
    <w:rsid w:val="00BD7D66"/>
    <w:rsid w:val="00BE196D"/>
    <w:rsid w:val="00BE21A8"/>
    <w:rsid w:val="00BE2274"/>
    <w:rsid w:val="00BE49C6"/>
    <w:rsid w:val="00BE4A73"/>
    <w:rsid w:val="00BE6D9D"/>
    <w:rsid w:val="00BE7F7E"/>
    <w:rsid w:val="00BF0267"/>
    <w:rsid w:val="00BF1B34"/>
    <w:rsid w:val="00BF532F"/>
    <w:rsid w:val="00BF6CEB"/>
    <w:rsid w:val="00BF76EB"/>
    <w:rsid w:val="00BF775E"/>
    <w:rsid w:val="00BF7ADF"/>
    <w:rsid w:val="00BF7F89"/>
    <w:rsid w:val="00C00C48"/>
    <w:rsid w:val="00C0219E"/>
    <w:rsid w:val="00C03BA0"/>
    <w:rsid w:val="00C04AE7"/>
    <w:rsid w:val="00C04DD6"/>
    <w:rsid w:val="00C075AE"/>
    <w:rsid w:val="00C07A9B"/>
    <w:rsid w:val="00C108D7"/>
    <w:rsid w:val="00C10A84"/>
    <w:rsid w:val="00C11E5F"/>
    <w:rsid w:val="00C12835"/>
    <w:rsid w:val="00C12BD0"/>
    <w:rsid w:val="00C133A5"/>
    <w:rsid w:val="00C13D42"/>
    <w:rsid w:val="00C15B56"/>
    <w:rsid w:val="00C164AC"/>
    <w:rsid w:val="00C16BE3"/>
    <w:rsid w:val="00C16F87"/>
    <w:rsid w:val="00C177C0"/>
    <w:rsid w:val="00C20030"/>
    <w:rsid w:val="00C204D0"/>
    <w:rsid w:val="00C2067A"/>
    <w:rsid w:val="00C2143A"/>
    <w:rsid w:val="00C2160A"/>
    <w:rsid w:val="00C226CA"/>
    <w:rsid w:val="00C2519A"/>
    <w:rsid w:val="00C2609E"/>
    <w:rsid w:val="00C272EB"/>
    <w:rsid w:val="00C3194D"/>
    <w:rsid w:val="00C326DE"/>
    <w:rsid w:val="00C35337"/>
    <w:rsid w:val="00C35538"/>
    <w:rsid w:val="00C36942"/>
    <w:rsid w:val="00C400F3"/>
    <w:rsid w:val="00C44586"/>
    <w:rsid w:val="00C4538A"/>
    <w:rsid w:val="00C52225"/>
    <w:rsid w:val="00C5322F"/>
    <w:rsid w:val="00C53363"/>
    <w:rsid w:val="00C5366B"/>
    <w:rsid w:val="00C53B66"/>
    <w:rsid w:val="00C54F68"/>
    <w:rsid w:val="00C55626"/>
    <w:rsid w:val="00C55EB5"/>
    <w:rsid w:val="00C56A5D"/>
    <w:rsid w:val="00C5717E"/>
    <w:rsid w:val="00C61001"/>
    <w:rsid w:val="00C639AF"/>
    <w:rsid w:val="00C640BE"/>
    <w:rsid w:val="00C64151"/>
    <w:rsid w:val="00C64344"/>
    <w:rsid w:val="00C654E7"/>
    <w:rsid w:val="00C66C28"/>
    <w:rsid w:val="00C67750"/>
    <w:rsid w:val="00C70D10"/>
    <w:rsid w:val="00C714C1"/>
    <w:rsid w:val="00C73D2A"/>
    <w:rsid w:val="00C74CEF"/>
    <w:rsid w:val="00C76E8A"/>
    <w:rsid w:val="00C77097"/>
    <w:rsid w:val="00C77492"/>
    <w:rsid w:val="00C81CC7"/>
    <w:rsid w:val="00C8212D"/>
    <w:rsid w:val="00C827EA"/>
    <w:rsid w:val="00C830A5"/>
    <w:rsid w:val="00C83D36"/>
    <w:rsid w:val="00C85829"/>
    <w:rsid w:val="00C85B9A"/>
    <w:rsid w:val="00C86A4B"/>
    <w:rsid w:val="00C86E07"/>
    <w:rsid w:val="00C876F4"/>
    <w:rsid w:val="00C92441"/>
    <w:rsid w:val="00C932BD"/>
    <w:rsid w:val="00CA2E25"/>
    <w:rsid w:val="00CA563C"/>
    <w:rsid w:val="00CA5F9A"/>
    <w:rsid w:val="00CA78D4"/>
    <w:rsid w:val="00CA7AC2"/>
    <w:rsid w:val="00CA7E73"/>
    <w:rsid w:val="00CB2AFA"/>
    <w:rsid w:val="00CB2C53"/>
    <w:rsid w:val="00CB3113"/>
    <w:rsid w:val="00CB440C"/>
    <w:rsid w:val="00CB57A8"/>
    <w:rsid w:val="00CB5C35"/>
    <w:rsid w:val="00CC0ECA"/>
    <w:rsid w:val="00CC2EBC"/>
    <w:rsid w:val="00CC38DC"/>
    <w:rsid w:val="00CC3C9C"/>
    <w:rsid w:val="00CC6645"/>
    <w:rsid w:val="00CC6F7F"/>
    <w:rsid w:val="00CC7692"/>
    <w:rsid w:val="00CD21DF"/>
    <w:rsid w:val="00CD3605"/>
    <w:rsid w:val="00CD4A77"/>
    <w:rsid w:val="00CD4CB6"/>
    <w:rsid w:val="00CD55FA"/>
    <w:rsid w:val="00CE37EA"/>
    <w:rsid w:val="00CE390F"/>
    <w:rsid w:val="00CE3EB6"/>
    <w:rsid w:val="00CE59BD"/>
    <w:rsid w:val="00CE6FFE"/>
    <w:rsid w:val="00CE7025"/>
    <w:rsid w:val="00CE7F65"/>
    <w:rsid w:val="00CF172F"/>
    <w:rsid w:val="00CF213A"/>
    <w:rsid w:val="00CF2A3A"/>
    <w:rsid w:val="00CF3351"/>
    <w:rsid w:val="00CF3670"/>
    <w:rsid w:val="00CF3E6F"/>
    <w:rsid w:val="00CF4197"/>
    <w:rsid w:val="00CF5555"/>
    <w:rsid w:val="00CF61CF"/>
    <w:rsid w:val="00CF650C"/>
    <w:rsid w:val="00CF66BC"/>
    <w:rsid w:val="00D006CC"/>
    <w:rsid w:val="00D06448"/>
    <w:rsid w:val="00D074DD"/>
    <w:rsid w:val="00D11A22"/>
    <w:rsid w:val="00D13189"/>
    <w:rsid w:val="00D14917"/>
    <w:rsid w:val="00D1574E"/>
    <w:rsid w:val="00D15BBC"/>
    <w:rsid w:val="00D16179"/>
    <w:rsid w:val="00D17F8B"/>
    <w:rsid w:val="00D20237"/>
    <w:rsid w:val="00D222BE"/>
    <w:rsid w:val="00D22709"/>
    <w:rsid w:val="00D23DD6"/>
    <w:rsid w:val="00D254C9"/>
    <w:rsid w:val="00D300C2"/>
    <w:rsid w:val="00D316DD"/>
    <w:rsid w:val="00D33731"/>
    <w:rsid w:val="00D3408C"/>
    <w:rsid w:val="00D352ED"/>
    <w:rsid w:val="00D3729D"/>
    <w:rsid w:val="00D37D91"/>
    <w:rsid w:val="00D40A1B"/>
    <w:rsid w:val="00D4148D"/>
    <w:rsid w:val="00D4169C"/>
    <w:rsid w:val="00D41E62"/>
    <w:rsid w:val="00D42EF7"/>
    <w:rsid w:val="00D44A27"/>
    <w:rsid w:val="00D458C3"/>
    <w:rsid w:val="00D45F15"/>
    <w:rsid w:val="00D53B01"/>
    <w:rsid w:val="00D53E76"/>
    <w:rsid w:val="00D54E99"/>
    <w:rsid w:val="00D56A0D"/>
    <w:rsid w:val="00D56FBF"/>
    <w:rsid w:val="00D62D3F"/>
    <w:rsid w:val="00D62DB1"/>
    <w:rsid w:val="00D631E3"/>
    <w:rsid w:val="00D63274"/>
    <w:rsid w:val="00D63D82"/>
    <w:rsid w:val="00D63ED8"/>
    <w:rsid w:val="00D64A77"/>
    <w:rsid w:val="00D6568C"/>
    <w:rsid w:val="00D66E30"/>
    <w:rsid w:val="00D67295"/>
    <w:rsid w:val="00D67A15"/>
    <w:rsid w:val="00D725A4"/>
    <w:rsid w:val="00D72F74"/>
    <w:rsid w:val="00D74AFE"/>
    <w:rsid w:val="00D75971"/>
    <w:rsid w:val="00D8301D"/>
    <w:rsid w:val="00D8423F"/>
    <w:rsid w:val="00D8665E"/>
    <w:rsid w:val="00D872CA"/>
    <w:rsid w:val="00D87E82"/>
    <w:rsid w:val="00D91EB8"/>
    <w:rsid w:val="00D9240B"/>
    <w:rsid w:val="00D92623"/>
    <w:rsid w:val="00D92846"/>
    <w:rsid w:val="00D9362D"/>
    <w:rsid w:val="00D939F8"/>
    <w:rsid w:val="00D9477D"/>
    <w:rsid w:val="00D948BB"/>
    <w:rsid w:val="00DA27DC"/>
    <w:rsid w:val="00DA347C"/>
    <w:rsid w:val="00DA5074"/>
    <w:rsid w:val="00DA696B"/>
    <w:rsid w:val="00DA6C2B"/>
    <w:rsid w:val="00DA7207"/>
    <w:rsid w:val="00DB1102"/>
    <w:rsid w:val="00DB27D5"/>
    <w:rsid w:val="00DB2E50"/>
    <w:rsid w:val="00DB5280"/>
    <w:rsid w:val="00DB6DE0"/>
    <w:rsid w:val="00DB6FEC"/>
    <w:rsid w:val="00DB7930"/>
    <w:rsid w:val="00DC2002"/>
    <w:rsid w:val="00DC2A59"/>
    <w:rsid w:val="00DC33A8"/>
    <w:rsid w:val="00DC63FF"/>
    <w:rsid w:val="00DD0896"/>
    <w:rsid w:val="00DD0B2A"/>
    <w:rsid w:val="00DD0BC5"/>
    <w:rsid w:val="00DD1110"/>
    <w:rsid w:val="00DD2333"/>
    <w:rsid w:val="00DD415B"/>
    <w:rsid w:val="00DD6187"/>
    <w:rsid w:val="00DE153C"/>
    <w:rsid w:val="00DE1BE1"/>
    <w:rsid w:val="00DE34A5"/>
    <w:rsid w:val="00DE4B72"/>
    <w:rsid w:val="00DE77D7"/>
    <w:rsid w:val="00DF2BB8"/>
    <w:rsid w:val="00DF2FEA"/>
    <w:rsid w:val="00DF43A7"/>
    <w:rsid w:val="00DF48D9"/>
    <w:rsid w:val="00DF5CD4"/>
    <w:rsid w:val="00DF73D0"/>
    <w:rsid w:val="00DF792D"/>
    <w:rsid w:val="00E02DD8"/>
    <w:rsid w:val="00E04B26"/>
    <w:rsid w:val="00E05E91"/>
    <w:rsid w:val="00E07351"/>
    <w:rsid w:val="00E12803"/>
    <w:rsid w:val="00E14D59"/>
    <w:rsid w:val="00E15100"/>
    <w:rsid w:val="00E15522"/>
    <w:rsid w:val="00E16AFB"/>
    <w:rsid w:val="00E20247"/>
    <w:rsid w:val="00E2256F"/>
    <w:rsid w:val="00E244F7"/>
    <w:rsid w:val="00E24D07"/>
    <w:rsid w:val="00E25714"/>
    <w:rsid w:val="00E2630C"/>
    <w:rsid w:val="00E268D4"/>
    <w:rsid w:val="00E26F34"/>
    <w:rsid w:val="00E26FD9"/>
    <w:rsid w:val="00E274C0"/>
    <w:rsid w:val="00E30BD6"/>
    <w:rsid w:val="00E3410C"/>
    <w:rsid w:val="00E3443E"/>
    <w:rsid w:val="00E3454D"/>
    <w:rsid w:val="00E36325"/>
    <w:rsid w:val="00E3698D"/>
    <w:rsid w:val="00E36EA4"/>
    <w:rsid w:val="00E40390"/>
    <w:rsid w:val="00E40BED"/>
    <w:rsid w:val="00E41A70"/>
    <w:rsid w:val="00E4215D"/>
    <w:rsid w:val="00E4258A"/>
    <w:rsid w:val="00E42BFD"/>
    <w:rsid w:val="00E4504B"/>
    <w:rsid w:val="00E452BE"/>
    <w:rsid w:val="00E45464"/>
    <w:rsid w:val="00E456A9"/>
    <w:rsid w:val="00E464C2"/>
    <w:rsid w:val="00E47A9D"/>
    <w:rsid w:val="00E50AD5"/>
    <w:rsid w:val="00E50EAA"/>
    <w:rsid w:val="00E52B51"/>
    <w:rsid w:val="00E531DB"/>
    <w:rsid w:val="00E54C9A"/>
    <w:rsid w:val="00E5634D"/>
    <w:rsid w:val="00E5663F"/>
    <w:rsid w:val="00E61B8D"/>
    <w:rsid w:val="00E64CAE"/>
    <w:rsid w:val="00E65260"/>
    <w:rsid w:val="00E67933"/>
    <w:rsid w:val="00E70BEE"/>
    <w:rsid w:val="00E712CD"/>
    <w:rsid w:val="00E71CE2"/>
    <w:rsid w:val="00E73FA3"/>
    <w:rsid w:val="00E74893"/>
    <w:rsid w:val="00E753A5"/>
    <w:rsid w:val="00E756A2"/>
    <w:rsid w:val="00E76A12"/>
    <w:rsid w:val="00E7702B"/>
    <w:rsid w:val="00E774BC"/>
    <w:rsid w:val="00E77E6D"/>
    <w:rsid w:val="00E80AC6"/>
    <w:rsid w:val="00E824C3"/>
    <w:rsid w:val="00E82E32"/>
    <w:rsid w:val="00E85860"/>
    <w:rsid w:val="00E859A4"/>
    <w:rsid w:val="00E86E71"/>
    <w:rsid w:val="00E90F5E"/>
    <w:rsid w:val="00E92D28"/>
    <w:rsid w:val="00E930B7"/>
    <w:rsid w:val="00E97ED9"/>
    <w:rsid w:val="00EA2035"/>
    <w:rsid w:val="00EA2A92"/>
    <w:rsid w:val="00EA3894"/>
    <w:rsid w:val="00EA38BE"/>
    <w:rsid w:val="00EA448A"/>
    <w:rsid w:val="00EB0533"/>
    <w:rsid w:val="00EB0987"/>
    <w:rsid w:val="00EB2254"/>
    <w:rsid w:val="00EB6450"/>
    <w:rsid w:val="00EB7709"/>
    <w:rsid w:val="00EC0D68"/>
    <w:rsid w:val="00EC1A6F"/>
    <w:rsid w:val="00EC1D1F"/>
    <w:rsid w:val="00EC3FDA"/>
    <w:rsid w:val="00EC4455"/>
    <w:rsid w:val="00EC5D9F"/>
    <w:rsid w:val="00EC7CD7"/>
    <w:rsid w:val="00ED1B41"/>
    <w:rsid w:val="00ED263C"/>
    <w:rsid w:val="00ED2A62"/>
    <w:rsid w:val="00ED2B16"/>
    <w:rsid w:val="00ED3F0C"/>
    <w:rsid w:val="00ED4F43"/>
    <w:rsid w:val="00ED539D"/>
    <w:rsid w:val="00ED5AF1"/>
    <w:rsid w:val="00ED697B"/>
    <w:rsid w:val="00ED6F4F"/>
    <w:rsid w:val="00ED7348"/>
    <w:rsid w:val="00EE0087"/>
    <w:rsid w:val="00EE26DF"/>
    <w:rsid w:val="00EE5595"/>
    <w:rsid w:val="00EE5F8E"/>
    <w:rsid w:val="00EE6D85"/>
    <w:rsid w:val="00EE74C8"/>
    <w:rsid w:val="00EF078E"/>
    <w:rsid w:val="00EF3BB8"/>
    <w:rsid w:val="00EF425F"/>
    <w:rsid w:val="00EF4E0C"/>
    <w:rsid w:val="00EF54EE"/>
    <w:rsid w:val="00F0274E"/>
    <w:rsid w:val="00F041BF"/>
    <w:rsid w:val="00F04899"/>
    <w:rsid w:val="00F05B8D"/>
    <w:rsid w:val="00F05CF0"/>
    <w:rsid w:val="00F07A72"/>
    <w:rsid w:val="00F115FB"/>
    <w:rsid w:val="00F120BC"/>
    <w:rsid w:val="00F12955"/>
    <w:rsid w:val="00F13F8C"/>
    <w:rsid w:val="00F153FD"/>
    <w:rsid w:val="00F16698"/>
    <w:rsid w:val="00F17079"/>
    <w:rsid w:val="00F17CB6"/>
    <w:rsid w:val="00F20E00"/>
    <w:rsid w:val="00F21008"/>
    <w:rsid w:val="00F218EC"/>
    <w:rsid w:val="00F23A6F"/>
    <w:rsid w:val="00F23E07"/>
    <w:rsid w:val="00F24F27"/>
    <w:rsid w:val="00F24F8F"/>
    <w:rsid w:val="00F26497"/>
    <w:rsid w:val="00F26CB0"/>
    <w:rsid w:val="00F26FEB"/>
    <w:rsid w:val="00F30D25"/>
    <w:rsid w:val="00F32FF9"/>
    <w:rsid w:val="00F35171"/>
    <w:rsid w:val="00F36791"/>
    <w:rsid w:val="00F37689"/>
    <w:rsid w:val="00F420C8"/>
    <w:rsid w:val="00F449D2"/>
    <w:rsid w:val="00F44A71"/>
    <w:rsid w:val="00F45E55"/>
    <w:rsid w:val="00F50FB9"/>
    <w:rsid w:val="00F535ED"/>
    <w:rsid w:val="00F5590B"/>
    <w:rsid w:val="00F57748"/>
    <w:rsid w:val="00F62AFE"/>
    <w:rsid w:val="00F6322B"/>
    <w:rsid w:val="00F63CCC"/>
    <w:rsid w:val="00F6400F"/>
    <w:rsid w:val="00F6535F"/>
    <w:rsid w:val="00F670BD"/>
    <w:rsid w:val="00F73360"/>
    <w:rsid w:val="00F73BB2"/>
    <w:rsid w:val="00F73DAD"/>
    <w:rsid w:val="00F73FDB"/>
    <w:rsid w:val="00F746CC"/>
    <w:rsid w:val="00F75760"/>
    <w:rsid w:val="00F75A02"/>
    <w:rsid w:val="00F837D0"/>
    <w:rsid w:val="00F83E77"/>
    <w:rsid w:val="00F84CEA"/>
    <w:rsid w:val="00F85C96"/>
    <w:rsid w:val="00F905EE"/>
    <w:rsid w:val="00F91362"/>
    <w:rsid w:val="00F92C73"/>
    <w:rsid w:val="00F92FD5"/>
    <w:rsid w:val="00F939C3"/>
    <w:rsid w:val="00F9455F"/>
    <w:rsid w:val="00F9493E"/>
    <w:rsid w:val="00F94F6B"/>
    <w:rsid w:val="00F96FFA"/>
    <w:rsid w:val="00F976FC"/>
    <w:rsid w:val="00FA0049"/>
    <w:rsid w:val="00FA2775"/>
    <w:rsid w:val="00FB059D"/>
    <w:rsid w:val="00FB06A9"/>
    <w:rsid w:val="00FB0825"/>
    <w:rsid w:val="00FB0EE9"/>
    <w:rsid w:val="00FB284D"/>
    <w:rsid w:val="00FB327D"/>
    <w:rsid w:val="00FB4260"/>
    <w:rsid w:val="00FB42D7"/>
    <w:rsid w:val="00FB4780"/>
    <w:rsid w:val="00FB4846"/>
    <w:rsid w:val="00FB608B"/>
    <w:rsid w:val="00FB6AE8"/>
    <w:rsid w:val="00FB6C3F"/>
    <w:rsid w:val="00FC198F"/>
    <w:rsid w:val="00FC1AED"/>
    <w:rsid w:val="00FC3375"/>
    <w:rsid w:val="00FC4394"/>
    <w:rsid w:val="00FC47E8"/>
    <w:rsid w:val="00FC5111"/>
    <w:rsid w:val="00FC5798"/>
    <w:rsid w:val="00FC6C11"/>
    <w:rsid w:val="00FC6E00"/>
    <w:rsid w:val="00FC6EAB"/>
    <w:rsid w:val="00FD1020"/>
    <w:rsid w:val="00FD1B5E"/>
    <w:rsid w:val="00FD26B0"/>
    <w:rsid w:val="00FD2E08"/>
    <w:rsid w:val="00FD3B75"/>
    <w:rsid w:val="00FD4787"/>
    <w:rsid w:val="00FD4B7E"/>
    <w:rsid w:val="00FD54EA"/>
    <w:rsid w:val="00FE1623"/>
    <w:rsid w:val="00FE1FBF"/>
    <w:rsid w:val="00FE2B44"/>
    <w:rsid w:val="00FE3122"/>
    <w:rsid w:val="00FE4141"/>
    <w:rsid w:val="00FE569A"/>
    <w:rsid w:val="00FE7E7E"/>
    <w:rsid w:val="00FF0465"/>
    <w:rsid w:val="00FF15C6"/>
    <w:rsid w:val="00FF2D90"/>
    <w:rsid w:val="00FF463A"/>
    <w:rsid w:val="00FF5DE7"/>
    <w:rsid w:val="012877C0"/>
    <w:rsid w:val="017A799C"/>
    <w:rsid w:val="01AF252D"/>
    <w:rsid w:val="01C14687"/>
    <w:rsid w:val="01E35C83"/>
    <w:rsid w:val="022206C8"/>
    <w:rsid w:val="022669D2"/>
    <w:rsid w:val="024025DC"/>
    <w:rsid w:val="02513C28"/>
    <w:rsid w:val="025B6511"/>
    <w:rsid w:val="0260397E"/>
    <w:rsid w:val="02863196"/>
    <w:rsid w:val="02C11C19"/>
    <w:rsid w:val="02D30C2D"/>
    <w:rsid w:val="035012E1"/>
    <w:rsid w:val="037C5AFD"/>
    <w:rsid w:val="03CE5F43"/>
    <w:rsid w:val="03DB4775"/>
    <w:rsid w:val="03EB0C02"/>
    <w:rsid w:val="03FE786C"/>
    <w:rsid w:val="04131382"/>
    <w:rsid w:val="051F484E"/>
    <w:rsid w:val="05743288"/>
    <w:rsid w:val="05D77E8B"/>
    <w:rsid w:val="05E20938"/>
    <w:rsid w:val="063C58AF"/>
    <w:rsid w:val="063D0369"/>
    <w:rsid w:val="065804DD"/>
    <w:rsid w:val="0677693A"/>
    <w:rsid w:val="06A6772F"/>
    <w:rsid w:val="06A86B9B"/>
    <w:rsid w:val="06B06CE0"/>
    <w:rsid w:val="07182B4D"/>
    <w:rsid w:val="07193DDB"/>
    <w:rsid w:val="071E06E8"/>
    <w:rsid w:val="07286941"/>
    <w:rsid w:val="07345D03"/>
    <w:rsid w:val="074B29BC"/>
    <w:rsid w:val="07524142"/>
    <w:rsid w:val="077E77B7"/>
    <w:rsid w:val="078179C6"/>
    <w:rsid w:val="07DA0EFA"/>
    <w:rsid w:val="07F75509"/>
    <w:rsid w:val="07FA2C8C"/>
    <w:rsid w:val="086D51A2"/>
    <w:rsid w:val="086F12AB"/>
    <w:rsid w:val="08885259"/>
    <w:rsid w:val="088C7A57"/>
    <w:rsid w:val="089E5548"/>
    <w:rsid w:val="08F41DB5"/>
    <w:rsid w:val="091D2316"/>
    <w:rsid w:val="0923727A"/>
    <w:rsid w:val="099B0F39"/>
    <w:rsid w:val="09B3479F"/>
    <w:rsid w:val="09D07714"/>
    <w:rsid w:val="09D31B43"/>
    <w:rsid w:val="09F06035"/>
    <w:rsid w:val="0A02049F"/>
    <w:rsid w:val="0A601194"/>
    <w:rsid w:val="0A726674"/>
    <w:rsid w:val="0AA25D26"/>
    <w:rsid w:val="0AE911E2"/>
    <w:rsid w:val="0AF77EC5"/>
    <w:rsid w:val="0B216017"/>
    <w:rsid w:val="0B254430"/>
    <w:rsid w:val="0B442C97"/>
    <w:rsid w:val="0B4B0D1C"/>
    <w:rsid w:val="0B5D2332"/>
    <w:rsid w:val="0BC23164"/>
    <w:rsid w:val="0BC27DC2"/>
    <w:rsid w:val="0BD90F56"/>
    <w:rsid w:val="0BED13D1"/>
    <w:rsid w:val="0C121429"/>
    <w:rsid w:val="0C271FA8"/>
    <w:rsid w:val="0C493FA2"/>
    <w:rsid w:val="0C8B4997"/>
    <w:rsid w:val="0CB222F8"/>
    <w:rsid w:val="0CD7373F"/>
    <w:rsid w:val="0D21529C"/>
    <w:rsid w:val="0D33432C"/>
    <w:rsid w:val="0D3C53C5"/>
    <w:rsid w:val="0D406A07"/>
    <w:rsid w:val="0D4C557B"/>
    <w:rsid w:val="0D9C4DFC"/>
    <w:rsid w:val="0DB32981"/>
    <w:rsid w:val="0DED68F1"/>
    <w:rsid w:val="0DFA18A6"/>
    <w:rsid w:val="0E2E2015"/>
    <w:rsid w:val="0EA501BE"/>
    <w:rsid w:val="0F2D3983"/>
    <w:rsid w:val="0F6F19D1"/>
    <w:rsid w:val="0F7565C0"/>
    <w:rsid w:val="0F9051AF"/>
    <w:rsid w:val="0F94197C"/>
    <w:rsid w:val="0FD41F67"/>
    <w:rsid w:val="0FD676A0"/>
    <w:rsid w:val="0FDD6E52"/>
    <w:rsid w:val="0FF80F5A"/>
    <w:rsid w:val="10064C74"/>
    <w:rsid w:val="10146479"/>
    <w:rsid w:val="103A23EE"/>
    <w:rsid w:val="1051110E"/>
    <w:rsid w:val="10A42C5E"/>
    <w:rsid w:val="10BB117E"/>
    <w:rsid w:val="10DB172E"/>
    <w:rsid w:val="10E14F53"/>
    <w:rsid w:val="10E72B68"/>
    <w:rsid w:val="110F1BD5"/>
    <w:rsid w:val="1114283C"/>
    <w:rsid w:val="11184CA3"/>
    <w:rsid w:val="111C7550"/>
    <w:rsid w:val="121C2D21"/>
    <w:rsid w:val="122942A3"/>
    <w:rsid w:val="123453BB"/>
    <w:rsid w:val="130B0817"/>
    <w:rsid w:val="132041F2"/>
    <w:rsid w:val="132E3E25"/>
    <w:rsid w:val="1353182C"/>
    <w:rsid w:val="139329C1"/>
    <w:rsid w:val="13E75585"/>
    <w:rsid w:val="13E86C1F"/>
    <w:rsid w:val="143D4587"/>
    <w:rsid w:val="14A12178"/>
    <w:rsid w:val="152F6F9F"/>
    <w:rsid w:val="157A49C0"/>
    <w:rsid w:val="15D752C3"/>
    <w:rsid w:val="15F7761B"/>
    <w:rsid w:val="161E6D84"/>
    <w:rsid w:val="162E798F"/>
    <w:rsid w:val="1651279E"/>
    <w:rsid w:val="165550FB"/>
    <w:rsid w:val="16691F8F"/>
    <w:rsid w:val="16833650"/>
    <w:rsid w:val="1689152D"/>
    <w:rsid w:val="169C7CA8"/>
    <w:rsid w:val="171A78CF"/>
    <w:rsid w:val="1762318A"/>
    <w:rsid w:val="17657E9C"/>
    <w:rsid w:val="17826335"/>
    <w:rsid w:val="17910EAA"/>
    <w:rsid w:val="17BB6913"/>
    <w:rsid w:val="17C56C2B"/>
    <w:rsid w:val="17E94F31"/>
    <w:rsid w:val="180677CC"/>
    <w:rsid w:val="18757658"/>
    <w:rsid w:val="188A030C"/>
    <w:rsid w:val="19083357"/>
    <w:rsid w:val="19115143"/>
    <w:rsid w:val="191305FA"/>
    <w:rsid w:val="19193E50"/>
    <w:rsid w:val="19743351"/>
    <w:rsid w:val="1A114519"/>
    <w:rsid w:val="1A2B7124"/>
    <w:rsid w:val="1A973A3A"/>
    <w:rsid w:val="1A9E5BAA"/>
    <w:rsid w:val="1AD70065"/>
    <w:rsid w:val="1B157D76"/>
    <w:rsid w:val="1B67570D"/>
    <w:rsid w:val="1B77250E"/>
    <w:rsid w:val="1B9D78C9"/>
    <w:rsid w:val="1BA05434"/>
    <w:rsid w:val="1BAB76BA"/>
    <w:rsid w:val="1BAE1AB4"/>
    <w:rsid w:val="1BB52C1C"/>
    <w:rsid w:val="1BBA5F45"/>
    <w:rsid w:val="1BCB564E"/>
    <w:rsid w:val="1C51245F"/>
    <w:rsid w:val="1C5F0976"/>
    <w:rsid w:val="1C7B4710"/>
    <w:rsid w:val="1C894447"/>
    <w:rsid w:val="1CC11607"/>
    <w:rsid w:val="1CF512F3"/>
    <w:rsid w:val="1D5C731C"/>
    <w:rsid w:val="1D640CD7"/>
    <w:rsid w:val="1D674F02"/>
    <w:rsid w:val="1DAC04F6"/>
    <w:rsid w:val="1DC4401E"/>
    <w:rsid w:val="1DE231AA"/>
    <w:rsid w:val="1E186B17"/>
    <w:rsid w:val="1EC512F5"/>
    <w:rsid w:val="1EC6577B"/>
    <w:rsid w:val="1EE73F05"/>
    <w:rsid w:val="1EE77DBE"/>
    <w:rsid w:val="1EF00924"/>
    <w:rsid w:val="1EF417AF"/>
    <w:rsid w:val="1F3B0F38"/>
    <w:rsid w:val="1F3F37C4"/>
    <w:rsid w:val="1F452170"/>
    <w:rsid w:val="1F505A44"/>
    <w:rsid w:val="1F7A7B75"/>
    <w:rsid w:val="1FF16CE6"/>
    <w:rsid w:val="1FF93B1C"/>
    <w:rsid w:val="20381050"/>
    <w:rsid w:val="20544C79"/>
    <w:rsid w:val="205E79D4"/>
    <w:rsid w:val="206F2764"/>
    <w:rsid w:val="20785385"/>
    <w:rsid w:val="208452A5"/>
    <w:rsid w:val="20AC2DEC"/>
    <w:rsid w:val="21032B5E"/>
    <w:rsid w:val="21207BCE"/>
    <w:rsid w:val="21492C42"/>
    <w:rsid w:val="215009A2"/>
    <w:rsid w:val="217A40A2"/>
    <w:rsid w:val="21BA3633"/>
    <w:rsid w:val="21F90B3B"/>
    <w:rsid w:val="220F1234"/>
    <w:rsid w:val="221655EB"/>
    <w:rsid w:val="223859D0"/>
    <w:rsid w:val="230F0129"/>
    <w:rsid w:val="23333814"/>
    <w:rsid w:val="2334175D"/>
    <w:rsid w:val="23BA1EB0"/>
    <w:rsid w:val="23C911D4"/>
    <w:rsid w:val="23D61C10"/>
    <w:rsid w:val="23FD1BC3"/>
    <w:rsid w:val="24582BC0"/>
    <w:rsid w:val="247B38AE"/>
    <w:rsid w:val="24A40EAA"/>
    <w:rsid w:val="24E406E0"/>
    <w:rsid w:val="250F60C6"/>
    <w:rsid w:val="25606C8F"/>
    <w:rsid w:val="257A0E47"/>
    <w:rsid w:val="257D08AA"/>
    <w:rsid w:val="25837377"/>
    <w:rsid w:val="2594786A"/>
    <w:rsid w:val="25C601F5"/>
    <w:rsid w:val="25D47E5C"/>
    <w:rsid w:val="25FD25DB"/>
    <w:rsid w:val="260D68DD"/>
    <w:rsid w:val="26164D3A"/>
    <w:rsid w:val="26272329"/>
    <w:rsid w:val="263C6C71"/>
    <w:rsid w:val="269E1273"/>
    <w:rsid w:val="26A52BA4"/>
    <w:rsid w:val="26E72B53"/>
    <w:rsid w:val="27010C3A"/>
    <w:rsid w:val="270A144B"/>
    <w:rsid w:val="273934D0"/>
    <w:rsid w:val="277F726D"/>
    <w:rsid w:val="27845097"/>
    <w:rsid w:val="2793494B"/>
    <w:rsid w:val="27AE4C81"/>
    <w:rsid w:val="2808252B"/>
    <w:rsid w:val="284677BF"/>
    <w:rsid w:val="285D4B50"/>
    <w:rsid w:val="28686781"/>
    <w:rsid w:val="28971E07"/>
    <w:rsid w:val="28E02A1E"/>
    <w:rsid w:val="29000207"/>
    <w:rsid w:val="29352085"/>
    <w:rsid w:val="293B10D5"/>
    <w:rsid w:val="29490F96"/>
    <w:rsid w:val="29506B19"/>
    <w:rsid w:val="296777A9"/>
    <w:rsid w:val="29832327"/>
    <w:rsid w:val="299C1A94"/>
    <w:rsid w:val="299F37C5"/>
    <w:rsid w:val="29B035A5"/>
    <w:rsid w:val="2A040FE1"/>
    <w:rsid w:val="2A823D0E"/>
    <w:rsid w:val="2A843169"/>
    <w:rsid w:val="2A9D0E85"/>
    <w:rsid w:val="2AA31A15"/>
    <w:rsid w:val="2ADF74D6"/>
    <w:rsid w:val="2AE82B97"/>
    <w:rsid w:val="2AF3526C"/>
    <w:rsid w:val="2B264065"/>
    <w:rsid w:val="2B7502BB"/>
    <w:rsid w:val="2B773F3C"/>
    <w:rsid w:val="2BA612E3"/>
    <w:rsid w:val="2C063DE0"/>
    <w:rsid w:val="2C930FE8"/>
    <w:rsid w:val="2CC05F7C"/>
    <w:rsid w:val="2CC529EE"/>
    <w:rsid w:val="2CD06F4A"/>
    <w:rsid w:val="2CD33A7F"/>
    <w:rsid w:val="2CDC57F2"/>
    <w:rsid w:val="2D024C1A"/>
    <w:rsid w:val="2D264D90"/>
    <w:rsid w:val="2D491C7E"/>
    <w:rsid w:val="2D674215"/>
    <w:rsid w:val="2D7545FA"/>
    <w:rsid w:val="2DA80FD6"/>
    <w:rsid w:val="2DE25DD3"/>
    <w:rsid w:val="2E871F6C"/>
    <w:rsid w:val="2EF17D79"/>
    <w:rsid w:val="2F45212B"/>
    <w:rsid w:val="2F5A7398"/>
    <w:rsid w:val="2F70526B"/>
    <w:rsid w:val="2F8A473E"/>
    <w:rsid w:val="2F9B021F"/>
    <w:rsid w:val="2FDD345C"/>
    <w:rsid w:val="30163D74"/>
    <w:rsid w:val="301F23DF"/>
    <w:rsid w:val="306F72D2"/>
    <w:rsid w:val="308703A5"/>
    <w:rsid w:val="30B3242C"/>
    <w:rsid w:val="30DC703C"/>
    <w:rsid w:val="30DF1DCF"/>
    <w:rsid w:val="30ED1814"/>
    <w:rsid w:val="310337EB"/>
    <w:rsid w:val="313C08E6"/>
    <w:rsid w:val="314365C3"/>
    <w:rsid w:val="31F864B7"/>
    <w:rsid w:val="321F200B"/>
    <w:rsid w:val="32C30843"/>
    <w:rsid w:val="32E244CE"/>
    <w:rsid w:val="32FF2900"/>
    <w:rsid w:val="331520DD"/>
    <w:rsid w:val="33222915"/>
    <w:rsid w:val="33600DA3"/>
    <w:rsid w:val="33694CF9"/>
    <w:rsid w:val="336E1BE8"/>
    <w:rsid w:val="338F1F96"/>
    <w:rsid w:val="34005AF6"/>
    <w:rsid w:val="34184063"/>
    <w:rsid w:val="34610778"/>
    <w:rsid w:val="34E4534C"/>
    <w:rsid w:val="34F5482E"/>
    <w:rsid w:val="34F915C4"/>
    <w:rsid w:val="35164F44"/>
    <w:rsid w:val="35266AE6"/>
    <w:rsid w:val="355118CA"/>
    <w:rsid w:val="35691EF5"/>
    <w:rsid w:val="35720974"/>
    <w:rsid w:val="35AF6F34"/>
    <w:rsid w:val="35B82BBA"/>
    <w:rsid w:val="36294E22"/>
    <w:rsid w:val="36305F08"/>
    <w:rsid w:val="36691639"/>
    <w:rsid w:val="368746B6"/>
    <w:rsid w:val="36A205C4"/>
    <w:rsid w:val="36DC729D"/>
    <w:rsid w:val="37392636"/>
    <w:rsid w:val="374800C8"/>
    <w:rsid w:val="376072FD"/>
    <w:rsid w:val="37991E9C"/>
    <w:rsid w:val="37C52881"/>
    <w:rsid w:val="37E521FE"/>
    <w:rsid w:val="37FE14EF"/>
    <w:rsid w:val="38137833"/>
    <w:rsid w:val="381B0CC2"/>
    <w:rsid w:val="382455ED"/>
    <w:rsid w:val="383F77C8"/>
    <w:rsid w:val="387B5476"/>
    <w:rsid w:val="38823C68"/>
    <w:rsid w:val="38EF4472"/>
    <w:rsid w:val="38F92C81"/>
    <w:rsid w:val="390509C5"/>
    <w:rsid w:val="39580E8B"/>
    <w:rsid w:val="39A14A37"/>
    <w:rsid w:val="39BA475C"/>
    <w:rsid w:val="3A01548C"/>
    <w:rsid w:val="3A6F0088"/>
    <w:rsid w:val="3A9041B9"/>
    <w:rsid w:val="3AAF7695"/>
    <w:rsid w:val="3AE97E30"/>
    <w:rsid w:val="3AFF3CC6"/>
    <w:rsid w:val="3B1039B8"/>
    <w:rsid w:val="3B1D164E"/>
    <w:rsid w:val="3B215498"/>
    <w:rsid w:val="3B4D09CF"/>
    <w:rsid w:val="3B70247D"/>
    <w:rsid w:val="3B8B3B7A"/>
    <w:rsid w:val="3C130491"/>
    <w:rsid w:val="3C71644C"/>
    <w:rsid w:val="3C8B7D43"/>
    <w:rsid w:val="3D0616CA"/>
    <w:rsid w:val="3D9A6782"/>
    <w:rsid w:val="3DB25A5B"/>
    <w:rsid w:val="3E0D0ACC"/>
    <w:rsid w:val="3E8B5005"/>
    <w:rsid w:val="3ED77E2C"/>
    <w:rsid w:val="3EE355D0"/>
    <w:rsid w:val="3F07032D"/>
    <w:rsid w:val="3F241CB2"/>
    <w:rsid w:val="3F3409F6"/>
    <w:rsid w:val="3F5433AF"/>
    <w:rsid w:val="3F8B3F93"/>
    <w:rsid w:val="3F8F5599"/>
    <w:rsid w:val="3FB553D0"/>
    <w:rsid w:val="3FB5602E"/>
    <w:rsid w:val="3FEB53A7"/>
    <w:rsid w:val="3FED77CF"/>
    <w:rsid w:val="40047E36"/>
    <w:rsid w:val="40056EA7"/>
    <w:rsid w:val="401B5C80"/>
    <w:rsid w:val="402A647F"/>
    <w:rsid w:val="406C21C9"/>
    <w:rsid w:val="40A32B02"/>
    <w:rsid w:val="40B10819"/>
    <w:rsid w:val="40BF1E6D"/>
    <w:rsid w:val="40E83F0F"/>
    <w:rsid w:val="4122362A"/>
    <w:rsid w:val="41431BE3"/>
    <w:rsid w:val="415828E6"/>
    <w:rsid w:val="416820D8"/>
    <w:rsid w:val="41962731"/>
    <w:rsid w:val="41BE32BA"/>
    <w:rsid w:val="41C00F65"/>
    <w:rsid w:val="41C36320"/>
    <w:rsid w:val="41C720B8"/>
    <w:rsid w:val="42867002"/>
    <w:rsid w:val="42C92A21"/>
    <w:rsid w:val="42ED13FA"/>
    <w:rsid w:val="431A5C36"/>
    <w:rsid w:val="437774C3"/>
    <w:rsid w:val="43892EC5"/>
    <w:rsid w:val="4395047D"/>
    <w:rsid w:val="43D752E0"/>
    <w:rsid w:val="43F05E1D"/>
    <w:rsid w:val="44353AA3"/>
    <w:rsid w:val="44BD32B2"/>
    <w:rsid w:val="45061931"/>
    <w:rsid w:val="450E7154"/>
    <w:rsid w:val="454C5DD1"/>
    <w:rsid w:val="455933CC"/>
    <w:rsid w:val="4563373A"/>
    <w:rsid w:val="45D60A18"/>
    <w:rsid w:val="45F37989"/>
    <w:rsid w:val="45F605F5"/>
    <w:rsid w:val="461E35B1"/>
    <w:rsid w:val="4635704A"/>
    <w:rsid w:val="463A62E0"/>
    <w:rsid w:val="465055D4"/>
    <w:rsid w:val="468A7902"/>
    <w:rsid w:val="46C9246C"/>
    <w:rsid w:val="4727115F"/>
    <w:rsid w:val="47625ED1"/>
    <w:rsid w:val="47C40DD5"/>
    <w:rsid w:val="47D9599A"/>
    <w:rsid w:val="47E75E09"/>
    <w:rsid w:val="489C026E"/>
    <w:rsid w:val="48B131E5"/>
    <w:rsid w:val="490F4E5B"/>
    <w:rsid w:val="494D3F74"/>
    <w:rsid w:val="49944408"/>
    <w:rsid w:val="499661F8"/>
    <w:rsid w:val="499A2DFD"/>
    <w:rsid w:val="49CB5668"/>
    <w:rsid w:val="49E53927"/>
    <w:rsid w:val="4A1E549B"/>
    <w:rsid w:val="4A687024"/>
    <w:rsid w:val="4AE87B39"/>
    <w:rsid w:val="4AF163DD"/>
    <w:rsid w:val="4B003837"/>
    <w:rsid w:val="4B230500"/>
    <w:rsid w:val="4B294D26"/>
    <w:rsid w:val="4B3C5024"/>
    <w:rsid w:val="4BA55545"/>
    <w:rsid w:val="4BAA0F20"/>
    <w:rsid w:val="4BBF5772"/>
    <w:rsid w:val="4BD800D2"/>
    <w:rsid w:val="4C245054"/>
    <w:rsid w:val="4C2A56EA"/>
    <w:rsid w:val="4C7038FB"/>
    <w:rsid w:val="4C9F01E6"/>
    <w:rsid w:val="4CA84402"/>
    <w:rsid w:val="4CCD39DA"/>
    <w:rsid w:val="4D296204"/>
    <w:rsid w:val="4D952497"/>
    <w:rsid w:val="4DBF646A"/>
    <w:rsid w:val="4DC1224F"/>
    <w:rsid w:val="4DC23A1D"/>
    <w:rsid w:val="4E053FFC"/>
    <w:rsid w:val="4E0A534D"/>
    <w:rsid w:val="4E126CB1"/>
    <w:rsid w:val="4E444738"/>
    <w:rsid w:val="4E5A5329"/>
    <w:rsid w:val="4E976DC6"/>
    <w:rsid w:val="4EE70990"/>
    <w:rsid w:val="4EFA3B4E"/>
    <w:rsid w:val="4F170FE3"/>
    <w:rsid w:val="4F244AAB"/>
    <w:rsid w:val="4F2E75E9"/>
    <w:rsid w:val="4F442388"/>
    <w:rsid w:val="4F687188"/>
    <w:rsid w:val="4F755D84"/>
    <w:rsid w:val="4FCE0B34"/>
    <w:rsid w:val="50265E0A"/>
    <w:rsid w:val="50A60283"/>
    <w:rsid w:val="512B04C5"/>
    <w:rsid w:val="5134626A"/>
    <w:rsid w:val="51363F50"/>
    <w:rsid w:val="516B2B23"/>
    <w:rsid w:val="5190642C"/>
    <w:rsid w:val="51914BFA"/>
    <w:rsid w:val="51C16C9B"/>
    <w:rsid w:val="51D828C8"/>
    <w:rsid w:val="51D96987"/>
    <w:rsid w:val="51DD23AF"/>
    <w:rsid w:val="51EF38C2"/>
    <w:rsid w:val="520A3EC1"/>
    <w:rsid w:val="522B4CE1"/>
    <w:rsid w:val="5237369C"/>
    <w:rsid w:val="524B5398"/>
    <w:rsid w:val="525F53C4"/>
    <w:rsid w:val="52976ACB"/>
    <w:rsid w:val="52A10E87"/>
    <w:rsid w:val="52A5375E"/>
    <w:rsid w:val="52BE382F"/>
    <w:rsid w:val="52C109C7"/>
    <w:rsid w:val="52E87389"/>
    <w:rsid w:val="52F15438"/>
    <w:rsid w:val="52F5553C"/>
    <w:rsid w:val="52FB6928"/>
    <w:rsid w:val="53470A80"/>
    <w:rsid w:val="536F129E"/>
    <w:rsid w:val="53731FA9"/>
    <w:rsid w:val="538763F5"/>
    <w:rsid w:val="541805F8"/>
    <w:rsid w:val="542E7073"/>
    <w:rsid w:val="543F69EA"/>
    <w:rsid w:val="5476411C"/>
    <w:rsid w:val="548F6E8C"/>
    <w:rsid w:val="54B55507"/>
    <w:rsid w:val="54D20E92"/>
    <w:rsid w:val="54D53927"/>
    <w:rsid w:val="54D57A56"/>
    <w:rsid w:val="54FD5F8B"/>
    <w:rsid w:val="552E230F"/>
    <w:rsid w:val="5545557F"/>
    <w:rsid w:val="5566250B"/>
    <w:rsid w:val="559B01C1"/>
    <w:rsid w:val="55AC51D2"/>
    <w:rsid w:val="55B57209"/>
    <w:rsid w:val="55E17C68"/>
    <w:rsid w:val="56034FE5"/>
    <w:rsid w:val="56463262"/>
    <w:rsid w:val="565106DE"/>
    <w:rsid w:val="56775F49"/>
    <w:rsid w:val="5690783C"/>
    <w:rsid w:val="56A11E50"/>
    <w:rsid w:val="56CC39BF"/>
    <w:rsid w:val="56D60713"/>
    <w:rsid w:val="56E8239C"/>
    <w:rsid w:val="56FD5EBA"/>
    <w:rsid w:val="576029FE"/>
    <w:rsid w:val="57662994"/>
    <w:rsid w:val="578373DA"/>
    <w:rsid w:val="579A77B4"/>
    <w:rsid w:val="57C446B0"/>
    <w:rsid w:val="57CE3F8B"/>
    <w:rsid w:val="57E16AAA"/>
    <w:rsid w:val="5810450B"/>
    <w:rsid w:val="583776CA"/>
    <w:rsid w:val="585436A0"/>
    <w:rsid w:val="58F82CB2"/>
    <w:rsid w:val="58FE5F02"/>
    <w:rsid w:val="592A2A30"/>
    <w:rsid w:val="59476115"/>
    <w:rsid w:val="597E04AB"/>
    <w:rsid w:val="59953163"/>
    <w:rsid w:val="59F31C71"/>
    <w:rsid w:val="5A0C0D0A"/>
    <w:rsid w:val="5A1A6B1C"/>
    <w:rsid w:val="5A6D5DD7"/>
    <w:rsid w:val="5A7A4003"/>
    <w:rsid w:val="5AA55E65"/>
    <w:rsid w:val="5B31040E"/>
    <w:rsid w:val="5B5318A7"/>
    <w:rsid w:val="5B6014DE"/>
    <w:rsid w:val="5BDC0C81"/>
    <w:rsid w:val="5C0A2CA6"/>
    <w:rsid w:val="5C1C6902"/>
    <w:rsid w:val="5CCB3CFF"/>
    <w:rsid w:val="5D0D0A5A"/>
    <w:rsid w:val="5D1B7756"/>
    <w:rsid w:val="5D24203A"/>
    <w:rsid w:val="5D29779B"/>
    <w:rsid w:val="5D59272F"/>
    <w:rsid w:val="5D8C19A7"/>
    <w:rsid w:val="5DA42C12"/>
    <w:rsid w:val="5DC9718E"/>
    <w:rsid w:val="5DCD1A92"/>
    <w:rsid w:val="5DE722C8"/>
    <w:rsid w:val="5E0D7652"/>
    <w:rsid w:val="5E266B47"/>
    <w:rsid w:val="5E2C5B27"/>
    <w:rsid w:val="5E8D62C9"/>
    <w:rsid w:val="5E924C53"/>
    <w:rsid w:val="5EE75C28"/>
    <w:rsid w:val="5F15115F"/>
    <w:rsid w:val="5F315BBE"/>
    <w:rsid w:val="5F34112B"/>
    <w:rsid w:val="5F3C0431"/>
    <w:rsid w:val="5F3C7AEA"/>
    <w:rsid w:val="5FB764D2"/>
    <w:rsid w:val="60426A3F"/>
    <w:rsid w:val="60626674"/>
    <w:rsid w:val="608A688B"/>
    <w:rsid w:val="60AA5077"/>
    <w:rsid w:val="60D518BB"/>
    <w:rsid w:val="60F611BD"/>
    <w:rsid w:val="6103018B"/>
    <w:rsid w:val="610A7F35"/>
    <w:rsid w:val="611D2854"/>
    <w:rsid w:val="613242B3"/>
    <w:rsid w:val="61354623"/>
    <w:rsid w:val="613A1C1F"/>
    <w:rsid w:val="624429C7"/>
    <w:rsid w:val="624F4A80"/>
    <w:rsid w:val="6261092B"/>
    <w:rsid w:val="62AE35FB"/>
    <w:rsid w:val="62C33EC4"/>
    <w:rsid w:val="62D75E40"/>
    <w:rsid w:val="63495F4B"/>
    <w:rsid w:val="63DE7319"/>
    <w:rsid w:val="640712B6"/>
    <w:rsid w:val="6459622E"/>
    <w:rsid w:val="64F178C7"/>
    <w:rsid w:val="65727758"/>
    <w:rsid w:val="659D71F0"/>
    <w:rsid w:val="65DF4F1C"/>
    <w:rsid w:val="65F80CBE"/>
    <w:rsid w:val="660C3E24"/>
    <w:rsid w:val="6635189E"/>
    <w:rsid w:val="66636DA7"/>
    <w:rsid w:val="67066F2C"/>
    <w:rsid w:val="67505F8C"/>
    <w:rsid w:val="67DC216F"/>
    <w:rsid w:val="67E50D68"/>
    <w:rsid w:val="68345E8F"/>
    <w:rsid w:val="683F11A9"/>
    <w:rsid w:val="688C1749"/>
    <w:rsid w:val="68A71FA3"/>
    <w:rsid w:val="6915613A"/>
    <w:rsid w:val="6941672D"/>
    <w:rsid w:val="69750960"/>
    <w:rsid w:val="69FB496B"/>
    <w:rsid w:val="6A1A7DA3"/>
    <w:rsid w:val="6A331B06"/>
    <w:rsid w:val="6A6D70AD"/>
    <w:rsid w:val="6A806A08"/>
    <w:rsid w:val="6AD21FD2"/>
    <w:rsid w:val="6B036375"/>
    <w:rsid w:val="6B172FBF"/>
    <w:rsid w:val="6B352F4C"/>
    <w:rsid w:val="6B3E3547"/>
    <w:rsid w:val="6B467A1A"/>
    <w:rsid w:val="6B662C52"/>
    <w:rsid w:val="6B970619"/>
    <w:rsid w:val="6BF2033E"/>
    <w:rsid w:val="6C0F02A4"/>
    <w:rsid w:val="6C215EAA"/>
    <w:rsid w:val="6C23619F"/>
    <w:rsid w:val="6C250B24"/>
    <w:rsid w:val="6C6C184A"/>
    <w:rsid w:val="6CA21DCA"/>
    <w:rsid w:val="6CA86739"/>
    <w:rsid w:val="6CC14D56"/>
    <w:rsid w:val="6CF34043"/>
    <w:rsid w:val="6D1C31AB"/>
    <w:rsid w:val="6D236405"/>
    <w:rsid w:val="6D4B5A6F"/>
    <w:rsid w:val="6D821C9F"/>
    <w:rsid w:val="6DB8333A"/>
    <w:rsid w:val="6DE953A6"/>
    <w:rsid w:val="6DEC7F72"/>
    <w:rsid w:val="6E2D79E0"/>
    <w:rsid w:val="6E2E4B72"/>
    <w:rsid w:val="6E3A3FA2"/>
    <w:rsid w:val="6E6F23D2"/>
    <w:rsid w:val="6ED22832"/>
    <w:rsid w:val="6EE3190F"/>
    <w:rsid w:val="6EF76642"/>
    <w:rsid w:val="6F527B03"/>
    <w:rsid w:val="6F5F1689"/>
    <w:rsid w:val="6F7307C0"/>
    <w:rsid w:val="6F8E32A4"/>
    <w:rsid w:val="6FAA0136"/>
    <w:rsid w:val="6FAA4B27"/>
    <w:rsid w:val="702E4978"/>
    <w:rsid w:val="70803ADA"/>
    <w:rsid w:val="7088411C"/>
    <w:rsid w:val="70ED2ABF"/>
    <w:rsid w:val="71012D07"/>
    <w:rsid w:val="7105441D"/>
    <w:rsid w:val="711B0DB4"/>
    <w:rsid w:val="7138613C"/>
    <w:rsid w:val="71907CAE"/>
    <w:rsid w:val="719A4569"/>
    <w:rsid w:val="71C323D3"/>
    <w:rsid w:val="71DB1E04"/>
    <w:rsid w:val="71DC2D77"/>
    <w:rsid w:val="72100D33"/>
    <w:rsid w:val="724745B5"/>
    <w:rsid w:val="725F72B6"/>
    <w:rsid w:val="7270752F"/>
    <w:rsid w:val="72AB4ACD"/>
    <w:rsid w:val="72BD3E0F"/>
    <w:rsid w:val="72C35C78"/>
    <w:rsid w:val="72E07104"/>
    <w:rsid w:val="72E53CA7"/>
    <w:rsid w:val="72E67A10"/>
    <w:rsid w:val="72E80587"/>
    <w:rsid w:val="730E577A"/>
    <w:rsid w:val="732E6D16"/>
    <w:rsid w:val="733D1677"/>
    <w:rsid w:val="733D6E8A"/>
    <w:rsid w:val="73D246C4"/>
    <w:rsid w:val="73FE7CAF"/>
    <w:rsid w:val="741C481A"/>
    <w:rsid w:val="749703E7"/>
    <w:rsid w:val="749C1EEA"/>
    <w:rsid w:val="74BD1BD7"/>
    <w:rsid w:val="74CC5174"/>
    <w:rsid w:val="75155309"/>
    <w:rsid w:val="751A02DC"/>
    <w:rsid w:val="753900E5"/>
    <w:rsid w:val="756C3F8D"/>
    <w:rsid w:val="75745BA4"/>
    <w:rsid w:val="75CD67FB"/>
    <w:rsid w:val="76092C49"/>
    <w:rsid w:val="7625541B"/>
    <w:rsid w:val="76430528"/>
    <w:rsid w:val="765E60A6"/>
    <w:rsid w:val="76664776"/>
    <w:rsid w:val="76B161E7"/>
    <w:rsid w:val="77592488"/>
    <w:rsid w:val="77771238"/>
    <w:rsid w:val="779D0BD8"/>
    <w:rsid w:val="77D15D7E"/>
    <w:rsid w:val="77EA10E8"/>
    <w:rsid w:val="782A02FC"/>
    <w:rsid w:val="78810C2A"/>
    <w:rsid w:val="78882EAE"/>
    <w:rsid w:val="78DB4B89"/>
    <w:rsid w:val="791820C1"/>
    <w:rsid w:val="7930488D"/>
    <w:rsid w:val="79487DCD"/>
    <w:rsid w:val="794C1303"/>
    <w:rsid w:val="79682F01"/>
    <w:rsid w:val="797809C0"/>
    <w:rsid w:val="798152B2"/>
    <w:rsid w:val="79F10BF9"/>
    <w:rsid w:val="79FF7789"/>
    <w:rsid w:val="7A0A72A3"/>
    <w:rsid w:val="7A21073A"/>
    <w:rsid w:val="7A37260E"/>
    <w:rsid w:val="7A383EA6"/>
    <w:rsid w:val="7A484C7E"/>
    <w:rsid w:val="7A4E2566"/>
    <w:rsid w:val="7A610296"/>
    <w:rsid w:val="7A954DAC"/>
    <w:rsid w:val="7AB901CB"/>
    <w:rsid w:val="7B433587"/>
    <w:rsid w:val="7B4D7010"/>
    <w:rsid w:val="7B53256B"/>
    <w:rsid w:val="7B6C5FAE"/>
    <w:rsid w:val="7BAF2247"/>
    <w:rsid w:val="7BD053E8"/>
    <w:rsid w:val="7C1510B1"/>
    <w:rsid w:val="7C6826E6"/>
    <w:rsid w:val="7C975A3F"/>
    <w:rsid w:val="7D2701C2"/>
    <w:rsid w:val="7D543B16"/>
    <w:rsid w:val="7D890613"/>
    <w:rsid w:val="7D963416"/>
    <w:rsid w:val="7DC01404"/>
    <w:rsid w:val="7E041BAA"/>
    <w:rsid w:val="7E0C6C3E"/>
    <w:rsid w:val="7E484108"/>
    <w:rsid w:val="7E8907D6"/>
    <w:rsid w:val="7EDA402E"/>
    <w:rsid w:val="7EEC4462"/>
    <w:rsid w:val="7F104F2A"/>
    <w:rsid w:val="7FCF44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qFormat="1" w:unhideWhenUsed="0" w:uiPriority="0" w:semiHidden="0" w:name="HTML Address"/>
    <w:lsdException w:uiPriority="99"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nhideWhenUsed="0" w:uiPriority="0" w:semiHidden="0"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24"/>
      <w:lang w:val="en-US" w:eastAsia="zh-CN" w:bidi="ar-SA"/>
    </w:rPr>
  </w:style>
  <w:style w:type="paragraph" w:styleId="3">
    <w:name w:val="heading 1"/>
    <w:basedOn w:val="1"/>
    <w:next w:val="1"/>
    <w:link w:val="62"/>
    <w:qFormat/>
    <w:uiPriority w:val="0"/>
    <w:pPr>
      <w:keepNext/>
      <w:outlineLvl w:val="0"/>
    </w:pPr>
    <w:rPr>
      <w:rFonts w:ascii="仿宋_GB2312" w:hAnsi="宋体" w:eastAsia="仿宋_GB2312"/>
      <w:b/>
      <w:kern w:val="2"/>
      <w:sz w:val="32"/>
    </w:rPr>
  </w:style>
  <w:style w:type="paragraph" w:styleId="4">
    <w:name w:val="heading 2"/>
    <w:basedOn w:val="1"/>
    <w:next w:val="5"/>
    <w:link w:val="63"/>
    <w:qFormat/>
    <w:uiPriority w:val="9"/>
    <w:pPr>
      <w:keepNext/>
      <w:keepLines/>
      <w:widowControl/>
      <w:spacing w:before="260" w:after="260"/>
      <w:ind w:left="284"/>
      <w:jc w:val="left"/>
      <w:outlineLvl w:val="1"/>
    </w:pPr>
    <w:rPr>
      <w:rFonts w:ascii="Arial" w:hAnsi="Arial"/>
      <w:b/>
      <w:bCs/>
      <w:sz w:val="28"/>
      <w:szCs w:val="32"/>
    </w:rPr>
  </w:style>
  <w:style w:type="paragraph" w:styleId="6">
    <w:name w:val="heading 3"/>
    <w:basedOn w:val="1"/>
    <w:next w:val="1"/>
    <w:link w:val="64"/>
    <w:qFormat/>
    <w:uiPriority w:val="0"/>
    <w:pPr>
      <w:keepNext/>
      <w:spacing w:beforeLines="200" w:line="400" w:lineRule="exact"/>
      <w:jc w:val="center"/>
      <w:outlineLvl w:val="2"/>
    </w:pPr>
    <w:rPr>
      <w:rFonts w:ascii="Times New Roman"/>
      <w:b/>
      <w:bCs/>
      <w:kern w:val="2"/>
      <w:szCs w:val="24"/>
    </w:rPr>
  </w:style>
  <w:style w:type="paragraph" w:styleId="7">
    <w:name w:val="heading 4"/>
    <w:basedOn w:val="1"/>
    <w:next w:val="1"/>
    <w:link w:val="65"/>
    <w:qFormat/>
    <w:uiPriority w:val="0"/>
    <w:pPr>
      <w:keepNext/>
      <w:keepLines/>
      <w:tabs>
        <w:tab w:val="left" w:pos="864"/>
      </w:tabs>
      <w:spacing w:before="120" w:line="360" w:lineRule="auto"/>
      <w:ind w:left="864" w:hanging="864"/>
      <w:outlineLvl w:val="3"/>
    </w:pPr>
    <w:rPr>
      <w:rFonts w:ascii="Arial" w:hAnsi="Arial"/>
      <w:bCs/>
      <w:kern w:val="2"/>
      <w:szCs w:val="28"/>
    </w:rPr>
  </w:style>
  <w:style w:type="paragraph" w:styleId="8">
    <w:name w:val="heading 5"/>
    <w:basedOn w:val="1"/>
    <w:next w:val="1"/>
    <w:link w:val="66"/>
    <w:qFormat/>
    <w:uiPriority w:val="0"/>
    <w:pPr>
      <w:keepNext/>
      <w:keepLines/>
      <w:tabs>
        <w:tab w:val="left" w:pos="1008"/>
        <w:tab w:val="left" w:pos="1218"/>
      </w:tabs>
      <w:spacing w:before="60" w:line="360" w:lineRule="auto"/>
      <w:ind w:left="1008" w:hanging="1008"/>
      <w:outlineLvl w:val="4"/>
    </w:pPr>
    <w:rPr>
      <w:rFonts w:ascii="Arial Unicode MS" w:hAnsi="Arial Unicode MS"/>
      <w:bCs/>
      <w:kern w:val="2"/>
      <w:szCs w:val="24"/>
    </w:rPr>
  </w:style>
  <w:style w:type="paragraph" w:styleId="9">
    <w:name w:val="heading 6"/>
    <w:basedOn w:val="1"/>
    <w:next w:val="1"/>
    <w:link w:val="67"/>
    <w:qFormat/>
    <w:uiPriority w:val="0"/>
    <w:pPr>
      <w:keepNext/>
      <w:keepLines/>
      <w:tabs>
        <w:tab w:val="left" w:pos="1152"/>
      </w:tabs>
      <w:spacing w:before="60" w:line="360" w:lineRule="auto"/>
      <w:ind w:left="1152" w:hanging="1152"/>
      <w:outlineLvl w:val="5"/>
    </w:pPr>
    <w:rPr>
      <w:rFonts w:ascii="Arial Unicode MS" w:hAnsi="Arial Unicode MS"/>
      <w:bCs/>
      <w:kern w:val="2"/>
      <w:szCs w:val="24"/>
    </w:rPr>
  </w:style>
  <w:style w:type="paragraph" w:styleId="10">
    <w:name w:val="heading 7"/>
    <w:basedOn w:val="1"/>
    <w:next w:val="1"/>
    <w:link w:val="68"/>
    <w:qFormat/>
    <w:uiPriority w:val="0"/>
    <w:pPr>
      <w:keepNext/>
      <w:tabs>
        <w:tab w:val="left" w:pos="1296"/>
      </w:tabs>
      <w:autoSpaceDE w:val="0"/>
      <w:autoSpaceDN w:val="0"/>
      <w:adjustRightInd w:val="0"/>
      <w:spacing w:line="288" w:lineRule="auto"/>
      <w:ind w:left="1296" w:hanging="1296"/>
      <w:outlineLvl w:val="6"/>
    </w:pPr>
    <w:rPr>
      <w:rFonts w:ascii="Arial" w:hAnsi="Arial"/>
      <w:b/>
      <w:color w:val="000000"/>
      <w:kern w:val="2"/>
      <w:sz w:val="15"/>
    </w:rPr>
  </w:style>
  <w:style w:type="paragraph" w:styleId="11">
    <w:name w:val="heading 8"/>
    <w:basedOn w:val="1"/>
    <w:next w:val="1"/>
    <w:link w:val="69"/>
    <w:qFormat/>
    <w:uiPriority w:val="0"/>
    <w:pPr>
      <w:keepNext/>
      <w:tabs>
        <w:tab w:val="left" w:pos="1440"/>
      </w:tabs>
      <w:spacing w:line="360" w:lineRule="auto"/>
      <w:ind w:left="1440" w:hanging="1440"/>
      <w:outlineLvl w:val="7"/>
    </w:pPr>
    <w:rPr>
      <w:rFonts w:ascii="仿宋_GB2312" w:eastAsia="仿宋_GB2312"/>
      <w:b/>
      <w:kern w:val="2"/>
    </w:rPr>
  </w:style>
  <w:style w:type="paragraph" w:styleId="12">
    <w:name w:val="heading 9"/>
    <w:basedOn w:val="1"/>
    <w:next w:val="1"/>
    <w:link w:val="70"/>
    <w:qFormat/>
    <w:uiPriority w:val="0"/>
    <w:pPr>
      <w:keepNext/>
      <w:keepLines/>
      <w:tabs>
        <w:tab w:val="left" w:pos="1584"/>
      </w:tabs>
      <w:spacing w:before="240" w:after="64" w:line="320" w:lineRule="auto"/>
      <w:ind w:left="1584" w:hanging="1584"/>
      <w:outlineLvl w:val="8"/>
    </w:pPr>
    <w:rPr>
      <w:rFonts w:ascii="Arial" w:hAnsi="Arial" w:eastAsia="黑体"/>
      <w:kern w:val="2"/>
      <w:sz w:val="21"/>
      <w:szCs w:val="21"/>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77"/>
    <w:qFormat/>
    <w:uiPriority w:val="0"/>
    <w:rPr>
      <w:rFonts w:hAnsi="Courier New"/>
      <w:kern w:val="2"/>
      <w:sz w:val="21"/>
    </w:rPr>
  </w:style>
  <w:style w:type="paragraph" w:styleId="5">
    <w:name w:val="Normal Indent"/>
    <w:basedOn w:val="1"/>
    <w:link w:val="61"/>
    <w:qFormat/>
    <w:uiPriority w:val="99"/>
    <w:pPr>
      <w:spacing w:line="300" w:lineRule="auto"/>
      <w:ind w:firstLine="420" w:firstLineChars="200"/>
    </w:pPr>
    <w:rPr>
      <w:rFonts w:ascii="Times New Roman"/>
      <w:kern w:val="2"/>
      <w:sz w:val="21"/>
      <w:szCs w:val="24"/>
    </w:rPr>
  </w:style>
  <w:style w:type="paragraph" w:styleId="13">
    <w:name w:val="toc 7"/>
    <w:basedOn w:val="1"/>
    <w:next w:val="1"/>
    <w:unhideWhenUsed/>
    <w:qFormat/>
    <w:uiPriority w:val="39"/>
    <w:pPr>
      <w:ind w:left="2520" w:leftChars="1200"/>
    </w:pPr>
  </w:style>
  <w:style w:type="paragraph" w:styleId="14">
    <w:name w:val="table of authorities"/>
    <w:basedOn w:val="1"/>
    <w:next w:val="1"/>
    <w:semiHidden/>
    <w:unhideWhenUsed/>
    <w:qFormat/>
    <w:uiPriority w:val="99"/>
    <w:pPr>
      <w:ind w:left="420" w:leftChars="200"/>
    </w:pPr>
  </w:style>
  <w:style w:type="paragraph" w:styleId="15">
    <w:name w:val="caption"/>
    <w:basedOn w:val="1"/>
    <w:next w:val="1"/>
    <w:link w:val="71"/>
    <w:qFormat/>
    <w:uiPriority w:val="0"/>
    <w:pPr>
      <w:spacing w:before="152" w:after="160"/>
    </w:pPr>
    <w:rPr>
      <w:rFonts w:ascii="Arial" w:hAnsi="Arial" w:eastAsia="黑体"/>
      <w:kern w:val="2"/>
      <w:sz w:val="20"/>
    </w:rPr>
  </w:style>
  <w:style w:type="paragraph" w:styleId="16">
    <w:name w:val="Document Map"/>
    <w:basedOn w:val="1"/>
    <w:link w:val="72"/>
    <w:qFormat/>
    <w:uiPriority w:val="0"/>
    <w:pPr>
      <w:shd w:val="clear" w:color="auto" w:fill="000080"/>
    </w:pPr>
    <w:rPr>
      <w:rFonts w:ascii="Times New Roman"/>
      <w:kern w:val="2"/>
      <w:sz w:val="21"/>
    </w:rPr>
  </w:style>
  <w:style w:type="paragraph" w:styleId="17">
    <w:name w:val="annotation text"/>
    <w:basedOn w:val="1"/>
    <w:link w:val="73"/>
    <w:qFormat/>
    <w:uiPriority w:val="0"/>
    <w:pPr>
      <w:jc w:val="left"/>
    </w:pPr>
    <w:rPr>
      <w:rFonts w:ascii="Times New Roman"/>
      <w:kern w:val="2"/>
      <w:sz w:val="21"/>
      <w:szCs w:val="24"/>
    </w:rPr>
  </w:style>
  <w:style w:type="paragraph" w:styleId="18">
    <w:name w:val="Body Text 3"/>
    <w:basedOn w:val="1"/>
    <w:link w:val="74"/>
    <w:qFormat/>
    <w:uiPriority w:val="0"/>
    <w:pPr>
      <w:jc w:val="center"/>
    </w:pPr>
    <w:rPr>
      <w:rFonts w:ascii="Times New Roman"/>
      <w:b/>
      <w:spacing w:val="-20"/>
      <w:w w:val="110"/>
      <w:kern w:val="2"/>
      <w:sz w:val="52"/>
    </w:rPr>
  </w:style>
  <w:style w:type="paragraph" w:styleId="19">
    <w:name w:val="Body Text"/>
    <w:basedOn w:val="1"/>
    <w:next w:val="1"/>
    <w:link w:val="75"/>
    <w:qFormat/>
    <w:uiPriority w:val="0"/>
    <w:pPr>
      <w:spacing w:after="120"/>
    </w:pPr>
    <w:rPr>
      <w:rFonts w:ascii="Times New Roman"/>
      <w:kern w:val="2"/>
      <w:sz w:val="21"/>
    </w:rPr>
  </w:style>
  <w:style w:type="paragraph" w:styleId="20">
    <w:name w:val="Body Text Indent"/>
    <w:basedOn w:val="1"/>
    <w:next w:val="21"/>
    <w:link w:val="76"/>
    <w:qFormat/>
    <w:uiPriority w:val="0"/>
    <w:pPr>
      <w:widowControl/>
      <w:ind w:firstLine="652" w:firstLineChars="233"/>
    </w:pPr>
    <w:rPr>
      <w:rFonts w:ascii="Times New Roman"/>
      <w:sz w:val="28"/>
    </w:rPr>
  </w:style>
  <w:style w:type="paragraph" w:styleId="21">
    <w:name w:val="Body Text First Indent 2"/>
    <w:basedOn w:val="20"/>
    <w:unhideWhenUsed/>
    <w:qFormat/>
    <w:uiPriority w:val="0"/>
    <w:pPr>
      <w:ind w:firstLine="420"/>
    </w:pPr>
  </w:style>
  <w:style w:type="paragraph" w:styleId="22">
    <w:name w:val="Block Text"/>
    <w:basedOn w:val="1"/>
    <w:qFormat/>
    <w:uiPriority w:val="0"/>
    <w:pPr>
      <w:spacing w:after="120"/>
      <w:ind w:left="1440" w:leftChars="700" w:right="700" w:rightChars="700"/>
    </w:pPr>
    <w:rPr>
      <w:rFonts w:ascii="Times New Roman"/>
    </w:rPr>
  </w:style>
  <w:style w:type="paragraph" w:styleId="23">
    <w:name w:val="HTML Address"/>
    <w:basedOn w:val="1"/>
    <w:qFormat/>
    <w:uiPriority w:val="0"/>
    <w:pPr>
      <w:widowControl/>
      <w:jc w:val="left"/>
    </w:pPr>
    <w:rPr>
      <w:rFonts w:hAnsi="宋体" w:cs="宋体"/>
      <w:i/>
      <w:iCs/>
      <w:szCs w:val="24"/>
    </w:rPr>
  </w:style>
  <w:style w:type="paragraph" w:styleId="24">
    <w:name w:val="toc 5"/>
    <w:basedOn w:val="1"/>
    <w:next w:val="1"/>
    <w:unhideWhenUsed/>
    <w:qFormat/>
    <w:uiPriority w:val="39"/>
    <w:pPr>
      <w:ind w:left="1680" w:leftChars="800"/>
    </w:pPr>
  </w:style>
  <w:style w:type="paragraph" w:styleId="25">
    <w:name w:val="toc 3"/>
    <w:basedOn w:val="1"/>
    <w:next w:val="1"/>
    <w:unhideWhenUsed/>
    <w:qFormat/>
    <w:uiPriority w:val="39"/>
    <w:pPr>
      <w:ind w:left="840" w:leftChars="400"/>
    </w:pPr>
  </w:style>
  <w:style w:type="paragraph" w:styleId="26">
    <w:name w:val="toc 8"/>
    <w:basedOn w:val="1"/>
    <w:next w:val="1"/>
    <w:unhideWhenUsed/>
    <w:qFormat/>
    <w:uiPriority w:val="39"/>
    <w:pPr>
      <w:ind w:left="2940" w:leftChars="1400"/>
    </w:pPr>
  </w:style>
  <w:style w:type="paragraph" w:styleId="27">
    <w:name w:val="Date"/>
    <w:basedOn w:val="1"/>
    <w:next w:val="1"/>
    <w:link w:val="78"/>
    <w:qFormat/>
    <w:uiPriority w:val="0"/>
    <w:rPr>
      <w:rFonts w:ascii="Times New Roman"/>
      <w:kern w:val="2"/>
      <w:sz w:val="28"/>
    </w:rPr>
  </w:style>
  <w:style w:type="paragraph" w:styleId="28">
    <w:name w:val="Body Text Indent 2"/>
    <w:basedOn w:val="1"/>
    <w:link w:val="79"/>
    <w:qFormat/>
    <w:uiPriority w:val="99"/>
    <w:pPr>
      <w:tabs>
        <w:tab w:val="left" w:pos="5625"/>
      </w:tabs>
      <w:ind w:left="1138" w:leftChars="542"/>
    </w:pPr>
    <w:rPr>
      <w:rFonts w:ascii="Times New Roman"/>
      <w:kern w:val="2"/>
    </w:rPr>
  </w:style>
  <w:style w:type="paragraph" w:styleId="29">
    <w:name w:val="Balloon Text"/>
    <w:basedOn w:val="1"/>
    <w:link w:val="80"/>
    <w:qFormat/>
    <w:uiPriority w:val="99"/>
    <w:rPr>
      <w:rFonts w:ascii="Times New Roman"/>
      <w:kern w:val="2"/>
      <w:sz w:val="18"/>
      <w:szCs w:val="18"/>
    </w:rPr>
  </w:style>
  <w:style w:type="paragraph" w:styleId="30">
    <w:name w:val="footer"/>
    <w:basedOn w:val="1"/>
    <w:link w:val="81"/>
    <w:qFormat/>
    <w:uiPriority w:val="99"/>
    <w:pPr>
      <w:tabs>
        <w:tab w:val="center" w:pos="4153"/>
        <w:tab w:val="right" w:pos="8306"/>
      </w:tabs>
      <w:snapToGrid w:val="0"/>
      <w:jc w:val="left"/>
    </w:pPr>
    <w:rPr>
      <w:rFonts w:ascii="Times New Roman"/>
      <w:kern w:val="2"/>
      <w:sz w:val="18"/>
      <w:szCs w:val="18"/>
    </w:rPr>
  </w:style>
  <w:style w:type="paragraph" w:styleId="31">
    <w:name w:val="header"/>
    <w:basedOn w:val="1"/>
    <w:link w:val="82"/>
    <w:qFormat/>
    <w:uiPriority w:val="0"/>
    <w:pPr>
      <w:pBdr>
        <w:bottom w:val="single" w:color="auto" w:sz="6" w:space="1"/>
      </w:pBdr>
      <w:tabs>
        <w:tab w:val="center" w:pos="4153"/>
        <w:tab w:val="right" w:pos="8306"/>
      </w:tabs>
      <w:snapToGrid w:val="0"/>
      <w:jc w:val="center"/>
    </w:pPr>
    <w:rPr>
      <w:rFonts w:ascii="Times New Roman"/>
      <w:kern w:val="2"/>
      <w:sz w:val="18"/>
      <w:szCs w:val="18"/>
    </w:rPr>
  </w:style>
  <w:style w:type="paragraph" w:styleId="32">
    <w:name w:val="toc 1"/>
    <w:basedOn w:val="1"/>
    <w:next w:val="1"/>
    <w:unhideWhenUsed/>
    <w:qFormat/>
    <w:uiPriority w:val="39"/>
    <w:pPr>
      <w:tabs>
        <w:tab w:val="left" w:pos="1418"/>
        <w:tab w:val="right" w:leader="dot" w:pos="8302"/>
      </w:tabs>
      <w:spacing w:line="960" w:lineRule="auto"/>
    </w:pPr>
  </w:style>
  <w:style w:type="paragraph" w:styleId="33">
    <w:name w:val="toc 4"/>
    <w:basedOn w:val="1"/>
    <w:next w:val="1"/>
    <w:unhideWhenUsed/>
    <w:qFormat/>
    <w:uiPriority w:val="39"/>
    <w:pPr>
      <w:ind w:left="1260" w:leftChars="600"/>
    </w:pPr>
  </w:style>
  <w:style w:type="paragraph" w:styleId="34">
    <w:name w:val="Subtitle"/>
    <w:basedOn w:val="1"/>
    <w:next w:val="1"/>
    <w:link w:val="83"/>
    <w:qFormat/>
    <w:uiPriority w:val="0"/>
    <w:pPr>
      <w:spacing w:before="240" w:after="60" w:line="312" w:lineRule="auto"/>
      <w:jc w:val="center"/>
      <w:outlineLvl w:val="1"/>
    </w:pPr>
    <w:rPr>
      <w:rFonts w:ascii="Cambria" w:hAnsi="Cambria"/>
      <w:b/>
      <w:bCs/>
      <w:kern w:val="28"/>
      <w:sz w:val="32"/>
      <w:szCs w:val="32"/>
    </w:rPr>
  </w:style>
  <w:style w:type="paragraph" w:styleId="35">
    <w:name w:val="List"/>
    <w:basedOn w:val="1"/>
    <w:qFormat/>
    <w:uiPriority w:val="0"/>
    <w:pPr>
      <w:numPr>
        <w:ilvl w:val="1"/>
        <w:numId w:val="1"/>
      </w:numPr>
      <w:spacing w:line="360" w:lineRule="auto"/>
      <w:jc w:val="left"/>
    </w:pPr>
    <w:rPr>
      <w:szCs w:val="24"/>
    </w:rPr>
  </w:style>
  <w:style w:type="paragraph" w:styleId="36">
    <w:name w:val="toc 6"/>
    <w:basedOn w:val="1"/>
    <w:next w:val="1"/>
    <w:unhideWhenUsed/>
    <w:qFormat/>
    <w:uiPriority w:val="39"/>
    <w:pPr>
      <w:ind w:left="2100" w:leftChars="1000"/>
    </w:pPr>
  </w:style>
  <w:style w:type="paragraph" w:styleId="37">
    <w:name w:val="Body Text Indent 3"/>
    <w:basedOn w:val="1"/>
    <w:link w:val="84"/>
    <w:qFormat/>
    <w:uiPriority w:val="0"/>
    <w:pPr>
      <w:spacing w:line="410" w:lineRule="exact"/>
      <w:ind w:left="619" w:leftChars="295" w:firstLine="390" w:firstLineChars="179"/>
    </w:pPr>
    <w:rPr>
      <w:rFonts w:hAnsi="宋体"/>
      <w:spacing w:val="4"/>
      <w:kern w:val="2"/>
      <w:sz w:val="21"/>
    </w:rPr>
  </w:style>
  <w:style w:type="paragraph" w:styleId="38">
    <w:name w:val="toc 2"/>
    <w:basedOn w:val="1"/>
    <w:next w:val="1"/>
    <w:unhideWhenUsed/>
    <w:qFormat/>
    <w:uiPriority w:val="39"/>
    <w:pPr>
      <w:tabs>
        <w:tab w:val="right" w:leader="dot" w:pos="8302"/>
      </w:tabs>
      <w:spacing w:line="960" w:lineRule="auto"/>
      <w:ind w:left="420" w:leftChars="200"/>
    </w:pPr>
  </w:style>
  <w:style w:type="paragraph" w:styleId="39">
    <w:name w:val="toc 9"/>
    <w:basedOn w:val="1"/>
    <w:next w:val="1"/>
    <w:unhideWhenUsed/>
    <w:qFormat/>
    <w:uiPriority w:val="39"/>
    <w:pPr>
      <w:ind w:left="3360" w:leftChars="1600"/>
    </w:pPr>
  </w:style>
  <w:style w:type="paragraph" w:styleId="40">
    <w:name w:val="Body Text 2"/>
    <w:basedOn w:val="1"/>
    <w:link w:val="85"/>
    <w:qFormat/>
    <w:uiPriority w:val="0"/>
    <w:rPr>
      <w:rFonts w:ascii="楷体_GB2312" w:hAnsi="Copperplate Gothic Bold" w:eastAsia="楷体_GB2312"/>
      <w:kern w:val="2"/>
      <w:sz w:val="28"/>
    </w:rPr>
  </w:style>
  <w:style w:type="paragraph" w:styleId="41">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黑体" w:hAnsi="Courier New" w:eastAsia="黑体" w:cs="Courier New"/>
      <w:sz w:val="20"/>
    </w:rPr>
  </w:style>
  <w:style w:type="paragraph" w:styleId="42">
    <w:name w:val="Normal (Web)"/>
    <w:basedOn w:val="1"/>
    <w:qFormat/>
    <w:uiPriority w:val="99"/>
    <w:pPr>
      <w:widowControl/>
      <w:spacing w:before="100" w:beforeAutospacing="1" w:after="100" w:afterAutospacing="1"/>
      <w:jc w:val="left"/>
    </w:pPr>
    <w:rPr>
      <w:rFonts w:hAnsi="宋体"/>
      <w:szCs w:val="24"/>
    </w:rPr>
  </w:style>
  <w:style w:type="paragraph" w:styleId="43">
    <w:name w:val="Title"/>
    <w:basedOn w:val="1"/>
    <w:next w:val="1"/>
    <w:link w:val="86"/>
    <w:qFormat/>
    <w:uiPriority w:val="0"/>
    <w:pPr>
      <w:spacing w:before="240" w:after="60"/>
      <w:jc w:val="center"/>
      <w:outlineLvl w:val="0"/>
    </w:pPr>
    <w:rPr>
      <w:rFonts w:ascii="Cambria" w:hAnsi="Cambria"/>
      <w:b/>
      <w:bCs/>
      <w:kern w:val="2"/>
      <w:sz w:val="32"/>
      <w:szCs w:val="32"/>
    </w:rPr>
  </w:style>
  <w:style w:type="paragraph" w:styleId="44">
    <w:name w:val="annotation subject"/>
    <w:basedOn w:val="17"/>
    <w:next w:val="17"/>
    <w:link w:val="87"/>
    <w:qFormat/>
    <w:uiPriority w:val="0"/>
    <w:rPr>
      <w:b/>
      <w:bCs/>
    </w:rPr>
  </w:style>
  <w:style w:type="paragraph" w:styleId="45">
    <w:name w:val="Body Text First Indent"/>
    <w:basedOn w:val="19"/>
    <w:qFormat/>
    <w:uiPriority w:val="0"/>
    <w:pPr>
      <w:ind w:firstLine="420" w:firstLineChars="100"/>
    </w:pPr>
  </w:style>
  <w:style w:type="table" w:styleId="47">
    <w:name w:val="Table Grid"/>
    <w:basedOn w:val="4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9">
    <w:name w:val="Strong"/>
    <w:basedOn w:val="48"/>
    <w:qFormat/>
    <w:uiPriority w:val="22"/>
    <w:rPr>
      <w:b/>
      <w:bCs/>
    </w:rPr>
  </w:style>
  <w:style w:type="character" w:styleId="50">
    <w:name w:val="page number"/>
    <w:basedOn w:val="48"/>
    <w:qFormat/>
    <w:uiPriority w:val="0"/>
  </w:style>
  <w:style w:type="character" w:styleId="51">
    <w:name w:val="FollowedHyperlink"/>
    <w:qFormat/>
    <w:uiPriority w:val="0"/>
    <w:rPr>
      <w:rFonts w:hint="eastAsia" w:ascii="宋体" w:hAnsi="宋体" w:eastAsia="宋体" w:cs="宋体"/>
      <w:color w:val="000000"/>
      <w:sz w:val="18"/>
      <w:szCs w:val="18"/>
      <w:u w:val="none"/>
    </w:rPr>
  </w:style>
  <w:style w:type="character" w:styleId="52">
    <w:name w:val="Emphasis"/>
    <w:qFormat/>
    <w:uiPriority w:val="0"/>
    <w:rPr>
      <w:i/>
      <w:iCs/>
    </w:rPr>
  </w:style>
  <w:style w:type="character" w:styleId="53">
    <w:name w:val="HTML Definition"/>
    <w:basedOn w:val="48"/>
    <w:unhideWhenUsed/>
    <w:qFormat/>
    <w:uiPriority w:val="99"/>
    <w:rPr>
      <w:i/>
    </w:rPr>
  </w:style>
  <w:style w:type="character" w:styleId="54">
    <w:name w:val="HTML Typewriter"/>
    <w:qFormat/>
    <w:uiPriority w:val="0"/>
    <w:rPr>
      <w:rFonts w:ascii="黑体" w:hAnsi="Courier New" w:eastAsia="黑体" w:cs="Courier New"/>
      <w:sz w:val="20"/>
      <w:szCs w:val="20"/>
    </w:rPr>
  </w:style>
  <w:style w:type="character" w:styleId="55">
    <w:name w:val="Hyperlink"/>
    <w:qFormat/>
    <w:uiPriority w:val="99"/>
    <w:rPr>
      <w:rFonts w:hint="eastAsia" w:ascii="宋体" w:hAnsi="宋体" w:eastAsia="宋体" w:cs="宋体"/>
      <w:color w:val="000000"/>
      <w:sz w:val="18"/>
      <w:szCs w:val="18"/>
      <w:u w:val="none"/>
    </w:rPr>
  </w:style>
  <w:style w:type="character" w:styleId="56">
    <w:name w:val="HTML Code"/>
    <w:basedOn w:val="48"/>
    <w:unhideWhenUsed/>
    <w:qFormat/>
    <w:uiPriority w:val="99"/>
    <w:rPr>
      <w:rFonts w:ascii="Consolas" w:hAnsi="Consolas" w:eastAsia="Consolas" w:cs="Consolas"/>
      <w:color w:val="C7254E"/>
      <w:sz w:val="21"/>
      <w:szCs w:val="21"/>
      <w:shd w:val="clear" w:color="auto" w:fill="F9F2F4"/>
    </w:rPr>
  </w:style>
  <w:style w:type="character" w:styleId="57">
    <w:name w:val="annotation reference"/>
    <w:qFormat/>
    <w:uiPriority w:val="0"/>
    <w:rPr>
      <w:sz w:val="21"/>
      <w:szCs w:val="21"/>
    </w:rPr>
  </w:style>
  <w:style w:type="character" w:styleId="58">
    <w:name w:val="HTML Keyboard"/>
    <w:basedOn w:val="48"/>
    <w:unhideWhenUsed/>
    <w:qFormat/>
    <w:uiPriority w:val="99"/>
    <w:rPr>
      <w:rFonts w:hint="default" w:ascii="Consolas" w:hAnsi="Consolas" w:eastAsia="Consolas" w:cs="Consolas"/>
      <w:color w:val="FFFFFF"/>
      <w:sz w:val="21"/>
      <w:szCs w:val="21"/>
      <w:shd w:val="clear" w:color="auto" w:fill="333333"/>
    </w:rPr>
  </w:style>
  <w:style w:type="character" w:styleId="59">
    <w:name w:val="HTML Sample"/>
    <w:basedOn w:val="48"/>
    <w:unhideWhenUsed/>
    <w:qFormat/>
    <w:uiPriority w:val="99"/>
    <w:rPr>
      <w:rFonts w:hint="default" w:ascii="Consolas" w:hAnsi="Consolas" w:eastAsia="Consolas" w:cs="Consolas"/>
      <w:sz w:val="21"/>
      <w:szCs w:val="21"/>
    </w:rPr>
  </w:style>
  <w:style w:type="paragraph" w:styleId="60">
    <w:name w:val="List Paragraph"/>
    <w:basedOn w:val="1"/>
    <w:link w:val="100"/>
    <w:qFormat/>
    <w:uiPriority w:val="34"/>
    <w:pPr>
      <w:ind w:firstLine="420" w:firstLineChars="200"/>
    </w:pPr>
    <w:rPr>
      <w:rFonts w:ascii="Calibri" w:hAnsi="Calibri"/>
      <w:kern w:val="2"/>
      <w:sz w:val="21"/>
      <w:szCs w:val="22"/>
    </w:rPr>
  </w:style>
  <w:style w:type="character" w:customStyle="1" w:styleId="61">
    <w:name w:val="正文缩进 字符"/>
    <w:link w:val="5"/>
    <w:qFormat/>
    <w:uiPriority w:val="0"/>
    <w:rPr>
      <w:kern w:val="2"/>
      <w:sz w:val="21"/>
      <w:szCs w:val="24"/>
    </w:rPr>
  </w:style>
  <w:style w:type="character" w:customStyle="1" w:styleId="62">
    <w:name w:val="标题 1 字符"/>
    <w:link w:val="3"/>
    <w:qFormat/>
    <w:uiPriority w:val="0"/>
    <w:rPr>
      <w:rFonts w:ascii="仿宋_GB2312" w:hAnsi="宋体" w:eastAsia="仿宋_GB2312"/>
      <w:b/>
      <w:kern w:val="2"/>
      <w:sz w:val="32"/>
    </w:rPr>
  </w:style>
  <w:style w:type="character" w:customStyle="1" w:styleId="63">
    <w:name w:val="标题 2 字符"/>
    <w:link w:val="4"/>
    <w:qFormat/>
    <w:uiPriority w:val="9"/>
    <w:rPr>
      <w:rFonts w:ascii="Arial" w:hAnsi="Arial"/>
      <w:b/>
      <w:bCs/>
      <w:sz w:val="28"/>
      <w:szCs w:val="32"/>
    </w:rPr>
  </w:style>
  <w:style w:type="character" w:customStyle="1" w:styleId="64">
    <w:name w:val="标题 3 字符"/>
    <w:link w:val="6"/>
    <w:qFormat/>
    <w:uiPriority w:val="0"/>
    <w:rPr>
      <w:b/>
      <w:bCs/>
      <w:kern w:val="2"/>
      <w:sz w:val="24"/>
      <w:szCs w:val="24"/>
    </w:rPr>
  </w:style>
  <w:style w:type="character" w:customStyle="1" w:styleId="65">
    <w:name w:val="标题 4 字符"/>
    <w:link w:val="7"/>
    <w:qFormat/>
    <w:uiPriority w:val="0"/>
    <w:rPr>
      <w:rFonts w:ascii="Arial" w:hAnsi="Arial"/>
      <w:bCs/>
      <w:kern w:val="2"/>
      <w:sz w:val="24"/>
      <w:szCs w:val="28"/>
    </w:rPr>
  </w:style>
  <w:style w:type="character" w:customStyle="1" w:styleId="66">
    <w:name w:val="标题 5 字符"/>
    <w:link w:val="8"/>
    <w:qFormat/>
    <w:uiPriority w:val="0"/>
    <w:rPr>
      <w:rFonts w:ascii="Arial Unicode MS" w:hAnsi="Arial Unicode MS"/>
      <w:bCs/>
      <w:kern w:val="2"/>
      <w:sz w:val="24"/>
      <w:szCs w:val="24"/>
    </w:rPr>
  </w:style>
  <w:style w:type="character" w:customStyle="1" w:styleId="67">
    <w:name w:val="标题 6 字符"/>
    <w:link w:val="9"/>
    <w:qFormat/>
    <w:uiPriority w:val="0"/>
    <w:rPr>
      <w:rFonts w:ascii="Arial Unicode MS" w:hAnsi="Arial Unicode MS"/>
      <w:bCs/>
      <w:kern w:val="2"/>
      <w:sz w:val="24"/>
      <w:szCs w:val="24"/>
    </w:rPr>
  </w:style>
  <w:style w:type="character" w:customStyle="1" w:styleId="68">
    <w:name w:val="标题 7 字符"/>
    <w:link w:val="10"/>
    <w:qFormat/>
    <w:uiPriority w:val="0"/>
    <w:rPr>
      <w:rFonts w:ascii="Arial" w:hAnsi="Arial"/>
      <w:b/>
      <w:color w:val="000000"/>
      <w:kern w:val="2"/>
      <w:sz w:val="15"/>
    </w:rPr>
  </w:style>
  <w:style w:type="character" w:customStyle="1" w:styleId="69">
    <w:name w:val="标题 8 字符"/>
    <w:link w:val="11"/>
    <w:qFormat/>
    <w:uiPriority w:val="0"/>
    <w:rPr>
      <w:rFonts w:ascii="仿宋_GB2312" w:eastAsia="仿宋_GB2312"/>
      <w:b/>
      <w:kern w:val="2"/>
      <w:sz w:val="24"/>
    </w:rPr>
  </w:style>
  <w:style w:type="character" w:customStyle="1" w:styleId="70">
    <w:name w:val="标题 9 字符"/>
    <w:link w:val="12"/>
    <w:qFormat/>
    <w:uiPriority w:val="0"/>
    <w:rPr>
      <w:rFonts w:ascii="Arial" w:hAnsi="Arial" w:eastAsia="黑体"/>
      <w:kern w:val="2"/>
      <w:sz w:val="21"/>
      <w:szCs w:val="21"/>
    </w:rPr>
  </w:style>
  <w:style w:type="character" w:customStyle="1" w:styleId="71">
    <w:name w:val="题注 字符"/>
    <w:link w:val="15"/>
    <w:qFormat/>
    <w:uiPriority w:val="0"/>
    <w:rPr>
      <w:rFonts w:ascii="Arial" w:hAnsi="Arial" w:eastAsia="黑体" w:cs="Arial"/>
      <w:kern w:val="2"/>
    </w:rPr>
  </w:style>
  <w:style w:type="character" w:customStyle="1" w:styleId="72">
    <w:name w:val="文档结构图 字符"/>
    <w:link w:val="16"/>
    <w:qFormat/>
    <w:uiPriority w:val="0"/>
    <w:rPr>
      <w:kern w:val="2"/>
      <w:sz w:val="21"/>
      <w:shd w:val="clear" w:color="auto" w:fill="000080"/>
    </w:rPr>
  </w:style>
  <w:style w:type="character" w:customStyle="1" w:styleId="73">
    <w:name w:val="批注文字 字符"/>
    <w:link w:val="17"/>
    <w:qFormat/>
    <w:uiPriority w:val="0"/>
    <w:rPr>
      <w:rFonts w:eastAsia="宋体"/>
      <w:kern w:val="2"/>
      <w:sz w:val="21"/>
      <w:szCs w:val="24"/>
      <w:lang w:val="en-US" w:eastAsia="zh-CN" w:bidi="ar-SA"/>
    </w:rPr>
  </w:style>
  <w:style w:type="character" w:customStyle="1" w:styleId="74">
    <w:name w:val="正文文本 3 字符"/>
    <w:link w:val="18"/>
    <w:qFormat/>
    <w:uiPriority w:val="0"/>
    <w:rPr>
      <w:b/>
      <w:spacing w:val="-20"/>
      <w:w w:val="110"/>
      <w:kern w:val="2"/>
      <w:sz w:val="52"/>
    </w:rPr>
  </w:style>
  <w:style w:type="character" w:customStyle="1" w:styleId="75">
    <w:name w:val="正文文本 字符"/>
    <w:link w:val="19"/>
    <w:qFormat/>
    <w:uiPriority w:val="0"/>
    <w:rPr>
      <w:kern w:val="2"/>
      <w:sz w:val="21"/>
    </w:rPr>
  </w:style>
  <w:style w:type="character" w:customStyle="1" w:styleId="76">
    <w:name w:val="正文文本缩进 字符"/>
    <w:link w:val="20"/>
    <w:qFormat/>
    <w:uiPriority w:val="0"/>
    <w:rPr>
      <w:sz w:val="28"/>
    </w:rPr>
  </w:style>
  <w:style w:type="character" w:customStyle="1" w:styleId="77">
    <w:name w:val="纯文本 字符"/>
    <w:link w:val="2"/>
    <w:qFormat/>
    <w:uiPriority w:val="0"/>
    <w:rPr>
      <w:rFonts w:ascii="宋体" w:hAnsi="Courier New" w:eastAsia="宋体"/>
      <w:kern w:val="2"/>
      <w:sz w:val="21"/>
      <w:lang w:val="en-US" w:eastAsia="zh-CN" w:bidi="ar-SA"/>
    </w:rPr>
  </w:style>
  <w:style w:type="character" w:customStyle="1" w:styleId="78">
    <w:name w:val="日期 字符"/>
    <w:link w:val="27"/>
    <w:qFormat/>
    <w:uiPriority w:val="0"/>
    <w:rPr>
      <w:kern w:val="2"/>
      <w:sz w:val="28"/>
    </w:rPr>
  </w:style>
  <w:style w:type="character" w:customStyle="1" w:styleId="79">
    <w:name w:val="正文文本缩进 2 字符"/>
    <w:link w:val="28"/>
    <w:qFormat/>
    <w:uiPriority w:val="99"/>
    <w:rPr>
      <w:kern w:val="2"/>
      <w:sz w:val="24"/>
    </w:rPr>
  </w:style>
  <w:style w:type="character" w:customStyle="1" w:styleId="80">
    <w:name w:val="批注框文本 字符"/>
    <w:link w:val="29"/>
    <w:qFormat/>
    <w:uiPriority w:val="99"/>
    <w:rPr>
      <w:kern w:val="2"/>
      <w:sz w:val="18"/>
      <w:szCs w:val="18"/>
    </w:rPr>
  </w:style>
  <w:style w:type="character" w:customStyle="1" w:styleId="81">
    <w:name w:val="页脚 字符"/>
    <w:link w:val="30"/>
    <w:qFormat/>
    <w:uiPriority w:val="99"/>
    <w:rPr>
      <w:rFonts w:eastAsia="宋体"/>
      <w:kern w:val="2"/>
      <w:sz w:val="18"/>
      <w:szCs w:val="18"/>
      <w:lang w:val="en-US" w:eastAsia="zh-CN" w:bidi="ar-SA"/>
    </w:rPr>
  </w:style>
  <w:style w:type="character" w:customStyle="1" w:styleId="82">
    <w:name w:val="页眉 字符"/>
    <w:link w:val="31"/>
    <w:qFormat/>
    <w:uiPriority w:val="0"/>
    <w:rPr>
      <w:rFonts w:eastAsia="宋体"/>
      <w:kern w:val="2"/>
      <w:sz w:val="18"/>
      <w:szCs w:val="18"/>
      <w:lang w:val="en-US" w:eastAsia="zh-CN" w:bidi="ar-SA"/>
    </w:rPr>
  </w:style>
  <w:style w:type="character" w:customStyle="1" w:styleId="83">
    <w:name w:val="副标题 字符"/>
    <w:link w:val="34"/>
    <w:qFormat/>
    <w:uiPriority w:val="0"/>
    <w:rPr>
      <w:rFonts w:ascii="Cambria" w:hAnsi="Cambria"/>
      <w:b/>
      <w:bCs/>
      <w:kern w:val="28"/>
      <w:sz w:val="32"/>
      <w:szCs w:val="32"/>
    </w:rPr>
  </w:style>
  <w:style w:type="character" w:customStyle="1" w:styleId="84">
    <w:name w:val="正文文本缩进 3 字符"/>
    <w:link w:val="37"/>
    <w:qFormat/>
    <w:uiPriority w:val="0"/>
    <w:rPr>
      <w:rFonts w:ascii="宋体" w:hAnsi="宋体"/>
      <w:spacing w:val="4"/>
      <w:kern w:val="2"/>
      <w:sz w:val="21"/>
    </w:rPr>
  </w:style>
  <w:style w:type="character" w:customStyle="1" w:styleId="85">
    <w:name w:val="正文文本 2 字符"/>
    <w:link w:val="40"/>
    <w:qFormat/>
    <w:uiPriority w:val="0"/>
    <w:rPr>
      <w:rFonts w:ascii="楷体_GB2312" w:hAnsi="Copperplate Gothic Bold" w:eastAsia="楷体_GB2312"/>
      <w:kern w:val="2"/>
      <w:sz w:val="28"/>
    </w:rPr>
  </w:style>
  <w:style w:type="character" w:customStyle="1" w:styleId="86">
    <w:name w:val="标题 字符"/>
    <w:link w:val="43"/>
    <w:qFormat/>
    <w:uiPriority w:val="0"/>
    <w:rPr>
      <w:rFonts w:ascii="Cambria" w:hAnsi="Cambria"/>
      <w:b/>
      <w:bCs/>
      <w:kern w:val="2"/>
      <w:sz w:val="32"/>
      <w:szCs w:val="32"/>
    </w:rPr>
  </w:style>
  <w:style w:type="character" w:customStyle="1" w:styleId="87">
    <w:name w:val="批注主题 字符"/>
    <w:link w:val="44"/>
    <w:qFormat/>
    <w:uiPriority w:val="0"/>
    <w:rPr>
      <w:rFonts w:eastAsia="宋体"/>
      <w:b/>
      <w:bCs/>
      <w:kern w:val="2"/>
      <w:sz w:val="21"/>
      <w:szCs w:val="24"/>
      <w:lang w:val="en-US" w:eastAsia="zh-CN" w:bidi="ar-SA"/>
    </w:rPr>
  </w:style>
  <w:style w:type="character" w:customStyle="1" w:styleId="88">
    <w:name w:val="emtidy-4"/>
    <w:basedOn w:val="48"/>
    <w:qFormat/>
    <w:uiPriority w:val="0"/>
  </w:style>
  <w:style w:type="character" w:customStyle="1" w:styleId="89">
    <w:name w:val="para1"/>
    <w:qFormat/>
    <w:uiPriority w:val="0"/>
    <w:rPr>
      <w:rFonts w:hint="default" w:ascii="Arial" w:hAnsi="Arial" w:cs="Arial"/>
      <w:sz w:val="18"/>
      <w:szCs w:val="18"/>
    </w:rPr>
  </w:style>
  <w:style w:type="character" w:customStyle="1" w:styleId="90">
    <w:name w:val="unnamed11"/>
    <w:basedOn w:val="48"/>
    <w:qFormat/>
    <w:uiPriority w:val="0"/>
  </w:style>
  <w:style w:type="character" w:customStyle="1" w:styleId="91">
    <w:name w:val="indent"/>
    <w:basedOn w:val="48"/>
    <w:qFormat/>
    <w:uiPriority w:val="0"/>
  </w:style>
  <w:style w:type="character" w:customStyle="1" w:styleId="92">
    <w:name w:val="hui3"/>
    <w:qFormat/>
    <w:uiPriority w:val="0"/>
    <w:rPr>
      <w:color w:val="333333"/>
    </w:rPr>
  </w:style>
  <w:style w:type="character" w:customStyle="1" w:styleId="93">
    <w:name w:val="ziti12-333-25"/>
    <w:basedOn w:val="48"/>
    <w:qFormat/>
    <w:uiPriority w:val="0"/>
  </w:style>
  <w:style w:type="character" w:customStyle="1" w:styleId="94">
    <w:name w:val="c lh15"/>
    <w:basedOn w:val="48"/>
    <w:qFormat/>
    <w:uiPriority w:val="0"/>
  </w:style>
  <w:style w:type="character" w:customStyle="1" w:styleId="95">
    <w:name w:val="ca-01"/>
    <w:qFormat/>
    <w:uiPriority w:val="0"/>
    <w:rPr>
      <w:rFonts w:hint="eastAsia" w:ascii="宋体" w:hAnsi="宋体" w:eastAsia="宋体"/>
      <w:sz w:val="28"/>
      <w:szCs w:val="28"/>
    </w:rPr>
  </w:style>
  <w:style w:type="character" w:customStyle="1" w:styleId="96">
    <w:name w:val="emtidy-3"/>
    <w:basedOn w:val="48"/>
    <w:qFormat/>
    <w:uiPriority w:val="0"/>
  </w:style>
  <w:style w:type="character" w:customStyle="1" w:styleId="97">
    <w:name w:val="Char Char7"/>
    <w:qFormat/>
    <w:uiPriority w:val="0"/>
    <w:rPr>
      <w:rFonts w:ascii="宋体" w:hAnsi="Courier New" w:eastAsia="宋体"/>
      <w:kern w:val="2"/>
      <w:sz w:val="21"/>
      <w:lang w:val="en-US" w:eastAsia="zh-CN" w:bidi="ar-SA"/>
    </w:rPr>
  </w:style>
  <w:style w:type="character" w:customStyle="1" w:styleId="98">
    <w:name w:val="emtidy-5"/>
    <w:basedOn w:val="48"/>
    <w:qFormat/>
    <w:uiPriority w:val="0"/>
  </w:style>
  <w:style w:type="character" w:customStyle="1" w:styleId="99">
    <w:name w:val="displayarti"/>
    <w:basedOn w:val="48"/>
    <w:qFormat/>
    <w:uiPriority w:val="0"/>
    <w:rPr>
      <w:color w:val="FFFFFF"/>
      <w:shd w:val="clear" w:color="auto" w:fill="A00000"/>
    </w:rPr>
  </w:style>
  <w:style w:type="character" w:customStyle="1" w:styleId="100">
    <w:name w:val="列表段落 字符"/>
    <w:link w:val="60"/>
    <w:qFormat/>
    <w:uiPriority w:val="34"/>
    <w:rPr>
      <w:rFonts w:ascii="Calibri" w:hAnsi="Calibri"/>
      <w:kern w:val="2"/>
      <w:sz w:val="21"/>
      <w:szCs w:val="22"/>
    </w:rPr>
  </w:style>
  <w:style w:type="character" w:customStyle="1" w:styleId="101">
    <w:name w:val="emtidy-6"/>
    <w:basedOn w:val="48"/>
    <w:qFormat/>
    <w:uiPriority w:val="0"/>
  </w:style>
  <w:style w:type="character" w:customStyle="1" w:styleId="102">
    <w:name w:val="glyphicon4"/>
    <w:basedOn w:val="48"/>
    <w:qFormat/>
    <w:uiPriority w:val="0"/>
  </w:style>
  <w:style w:type="character" w:customStyle="1" w:styleId="103">
    <w:name w:val="style5 style5"/>
    <w:basedOn w:val="48"/>
    <w:qFormat/>
    <w:uiPriority w:val="0"/>
  </w:style>
  <w:style w:type="character" w:customStyle="1" w:styleId="104">
    <w:name w:val="emtidy-2"/>
    <w:basedOn w:val="48"/>
    <w:qFormat/>
    <w:uiPriority w:val="0"/>
  </w:style>
  <w:style w:type="character" w:customStyle="1" w:styleId="105">
    <w:name w:val="button"/>
    <w:basedOn w:val="48"/>
    <w:qFormat/>
    <w:uiPriority w:val="0"/>
  </w:style>
  <w:style w:type="character" w:customStyle="1" w:styleId="106">
    <w:name w:val="selected"/>
    <w:basedOn w:val="48"/>
    <w:qFormat/>
    <w:uiPriority w:val="0"/>
    <w:rPr>
      <w:shd w:val="clear" w:color="auto" w:fill="B00006"/>
    </w:rPr>
  </w:style>
  <w:style w:type="character" w:customStyle="1" w:styleId="107">
    <w:name w:val="base"/>
    <w:basedOn w:val="48"/>
    <w:qFormat/>
    <w:uiPriority w:val="0"/>
  </w:style>
  <w:style w:type="character" w:customStyle="1" w:styleId="108">
    <w:name w:val="hour_pm"/>
    <w:basedOn w:val="48"/>
    <w:qFormat/>
    <w:uiPriority w:val="0"/>
  </w:style>
  <w:style w:type="character" w:customStyle="1" w:styleId="109">
    <w:name w:val="样式 正文缩进 + 首行缩进:  2 字符 段前: 0.5 行 段后: 0.5 行 Char"/>
    <w:link w:val="110"/>
    <w:qFormat/>
    <w:uiPriority w:val="0"/>
    <w:rPr>
      <w:rFonts w:cs="宋体"/>
      <w:kern w:val="2"/>
      <w:sz w:val="24"/>
    </w:rPr>
  </w:style>
  <w:style w:type="paragraph" w:customStyle="1" w:styleId="110">
    <w:name w:val="样式 正文缩进 + 首行缩进:  2 字符 段前: 0.5 行 段后: 0.5 行"/>
    <w:basedOn w:val="5"/>
    <w:link w:val="109"/>
    <w:qFormat/>
    <w:uiPriority w:val="0"/>
    <w:pPr>
      <w:spacing w:beforeLines="50" w:afterLines="50" w:line="360" w:lineRule="auto"/>
      <w:ind w:firstLine="480"/>
    </w:pPr>
    <w:rPr>
      <w:sz w:val="24"/>
      <w:szCs w:val="20"/>
    </w:rPr>
  </w:style>
  <w:style w:type="character" w:customStyle="1" w:styleId="111">
    <w:name w:val="招标书 正文 Char"/>
    <w:link w:val="112"/>
    <w:qFormat/>
    <w:uiPriority w:val="0"/>
    <w:rPr>
      <w:rFonts w:ascii="宋体" w:hAnsi="宋体"/>
      <w:color w:val="000000"/>
      <w:sz w:val="24"/>
      <w:szCs w:val="28"/>
    </w:rPr>
  </w:style>
  <w:style w:type="paragraph" w:customStyle="1" w:styleId="112">
    <w:name w:val="招标书 正文"/>
    <w:basedOn w:val="1"/>
    <w:link w:val="111"/>
    <w:qFormat/>
    <w:uiPriority w:val="0"/>
    <w:pPr>
      <w:widowControl/>
      <w:snapToGrid w:val="0"/>
      <w:spacing w:line="560" w:lineRule="exact"/>
      <w:ind w:firstLine="560" w:firstLineChars="200"/>
      <w:jc w:val="left"/>
    </w:pPr>
    <w:rPr>
      <w:rFonts w:hAnsi="宋体"/>
      <w:color w:val="000000"/>
      <w:szCs w:val="28"/>
    </w:rPr>
  </w:style>
  <w:style w:type="character" w:customStyle="1" w:styleId="113">
    <w:name w:val="c1"/>
    <w:qFormat/>
    <w:uiPriority w:val="0"/>
    <w:rPr>
      <w:sz w:val="28"/>
      <w:szCs w:val="28"/>
    </w:rPr>
  </w:style>
  <w:style w:type="character" w:customStyle="1" w:styleId="114">
    <w:name w:val="introduction1"/>
    <w:qFormat/>
    <w:uiPriority w:val="0"/>
  </w:style>
  <w:style w:type="character" w:customStyle="1" w:styleId="115">
    <w:name w:val="tmpztreemove_arrow"/>
    <w:basedOn w:val="48"/>
    <w:qFormat/>
    <w:uiPriority w:val="0"/>
    <w:rPr>
      <w:shd w:val="clear" w:color="auto" w:fill="FFFFFF"/>
    </w:rPr>
  </w:style>
  <w:style w:type="character" w:customStyle="1" w:styleId="116">
    <w:name w:val="old"/>
    <w:basedOn w:val="48"/>
    <w:qFormat/>
    <w:uiPriority w:val="0"/>
    <w:rPr>
      <w:color w:val="999999"/>
    </w:rPr>
  </w:style>
  <w:style w:type="character" w:customStyle="1" w:styleId="117">
    <w:name w:val="正文文本 3 Char1"/>
    <w:semiHidden/>
    <w:qFormat/>
    <w:uiPriority w:val="99"/>
    <w:rPr>
      <w:kern w:val="2"/>
      <w:sz w:val="16"/>
      <w:szCs w:val="16"/>
    </w:rPr>
  </w:style>
  <w:style w:type="character" w:customStyle="1" w:styleId="118">
    <w:name w:val="gpa"/>
    <w:basedOn w:val="48"/>
    <w:qFormat/>
    <w:uiPriority w:val="0"/>
    <w:rPr>
      <w:rFonts w:ascii="Arial" w:hAnsi="Arial" w:cs="Arial"/>
      <w:sz w:val="15"/>
      <w:szCs w:val="15"/>
    </w:rPr>
  </w:style>
  <w:style w:type="character" w:customStyle="1" w:styleId="119">
    <w:name w:val="正文文本 2 Char1"/>
    <w:semiHidden/>
    <w:qFormat/>
    <w:uiPriority w:val="99"/>
    <w:rPr>
      <w:kern w:val="2"/>
      <w:sz w:val="21"/>
    </w:rPr>
  </w:style>
  <w:style w:type="character" w:customStyle="1" w:styleId="120">
    <w:name w:val="hover3"/>
    <w:basedOn w:val="48"/>
    <w:qFormat/>
    <w:uiPriority w:val="0"/>
    <w:rPr>
      <w:shd w:val="clear" w:color="auto" w:fill="EEEEEE"/>
    </w:rPr>
  </w:style>
  <w:style w:type="character" w:customStyle="1" w:styleId="121">
    <w:name w:val="hour_am"/>
    <w:basedOn w:val="48"/>
    <w:qFormat/>
    <w:uiPriority w:val="0"/>
  </w:style>
  <w:style w:type="character" w:customStyle="1" w:styleId="122">
    <w:name w:val="副标题 Char1"/>
    <w:qFormat/>
    <w:uiPriority w:val="11"/>
    <w:rPr>
      <w:rFonts w:ascii="Cambria" w:hAnsi="Cambria" w:cs="Times New Roman"/>
      <w:b/>
      <w:bCs/>
      <w:kern w:val="28"/>
      <w:sz w:val="32"/>
      <w:szCs w:val="32"/>
    </w:rPr>
  </w:style>
  <w:style w:type="character" w:customStyle="1" w:styleId="123">
    <w:name w:val="style31"/>
    <w:qFormat/>
    <w:uiPriority w:val="0"/>
    <w:rPr>
      <w:sz w:val="21"/>
      <w:szCs w:val="21"/>
    </w:rPr>
  </w:style>
  <w:style w:type="paragraph" w:customStyle="1" w:styleId="124">
    <w:name w:val="xl51"/>
    <w:basedOn w:val="1"/>
    <w:qFormat/>
    <w:uiPriority w:val="0"/>
    <w:pPr>
      <w:widowControl/>
      <w:spacing w:before="100" w:beforeAutospacing="1" w:after="100" w:afterAutospacing="1"/>
      <w:jc w:val="center"/>
    </w:pPr>
    <w:rPr>
      <w:rFonts w:ascii="Arial Unicode MS" w:hAnsi="Arial Unicode MS" w:eastAsia="Arial Unicode MS"/>
      <w:b/>
      <w:sz w:val="32"/>
    </w:rPr>
  </w:style>
  <w:style w:type="paragraph" w:customStyle="1" w:styleId="125">
    <w:name w:val="正文序号 4"/>
    <w:basedOn w:val="1"/>
    <w:qFormat/>
    <w:uiPriority w:val="0"/>
    <w:pPr>
      <w:numPr>
        <w:ilvl w:val="3"/>
        <w:numId w:val="2"/>
      </w:numPr>
      <w:spacing w:before="60"/>
    </w:pPr>
    <w:rPr>
      <w:szCs w:val="24"/>
    </w:rPr>
  </w:style>
  <w:style w:type="paragraph" w:customStyle="1" w:styleId="126">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hAnsi="宋体"/>
      <w:b/>
      <w:bCs/>
      <w:szCs w:val="24"/>
    </w:rPr>
  </w:style>
  <w:style w:type="paragraph" w:customStyle="1" w:styleId="127">
    <w:name w:val="样式 WG标题3 + 行距: 固定值 18 磅"/>
    <w:basedOn w:val="1"/>
    <w:qFormat/>
    <w:uiPriority w:val="0"/>
    <w:pPr>
      <w:autoSpaceDE w:val="0"/>
      <w:autoSpaceDN w:val="0"/>
      <w:adjustRightInd w:val="0"/>
      <w:spacing w:line="360" w:lineRule="exact"/>
      <w:ind w:firstLine="200" w:firstLineChars="200"/>
      <w:textAlignment w:val="baseline"/>
      <w:outlineLvl w:val="2"/>
    </w:pPr>
    <w:rPr>
      <w:rFonts w:cs="宋体"/>
      <w:b/>
      <w:bCs/>
      <w:color w:val="000000"/>
      <w:kern w:val="20"/>
    </w:rPr>
  </w:style>
  <w:style w:type="paragraph" w:customStyle="1" w:styleId="128">
    <w:name w:val="_Style 3"/>
    <w:basedOn w:val="1"/>
    <w:qFormat/>
    <w:uiPriority w:val="34"/>
    <w:pPr>
      <w:ind w:firstLine="420" w:firstLineChars="200"/>
    </w:pPr>
    <w:rPr>
      <w:rFonts w:ascii="Calibri" w:hAnsi="Calibri"/>
      <w:szCs w:val="22"/>
    </w:rPr>
  </w:style>
  <w:style w:type="paragraph" w:customStyle="1" w:styleId="129">
    <w:name w:val="表格文字"/>
    <w:basedOn w:val="1"/>
    <w:qFormat/>
    <w:uiPriority w:val="0"/>
    <w:pPr>
      <w:spacing w:before="120" w:after="120"/>
    </w:pPr>
    <w:rPr>
      <w:rFonts w:ascii="新宋体" w:hAnsi="宋体" w:eastAsia="新宋体"/>
      <w:bCs/>
      <w:color w:val="000000"/>
      <w:sz w:val="18"/>
      <w:szCs w:val="18"/>
    </w:rPr>
  </w:style>
  <w:style w:type="paragraph" w:customStyle="1" w:styleId="130">
    <w:name w:val="Char"/>
    <w:basedOn w:val="1"/>
    <w:qFormat/>
    <w:uiPriority w:val="0"/>
    <w:rPr>
      <w:rFonts w:hAnsi="宋体"/>
      <w:szCs w:val="24"/>
    </w:rPr>
  </w:style>
  <w:style w:type="paragraph" w:customStyle="1" w:styleId="131">
    <w:name w:val="Char1"/>
    <w:basedOn w:val="1"/>
    <w:qFormat/>
    <w:uiPriority w:val="0"/>
    <w:pPr>
      <w:tabs>
        <w:tab w:val="left" w:pos="360"/>
      </w:tabs>
      <w:ind w:left="360" w:hanging="360" w:hangingChars="200"/>
    </w:pPr>
    <w:rPr>
      <w:szCs w:val="24"/>
    </w:rPr>
  </w:style>
  <w:style w:type="paragraph" w:customStyle="1" w:styleId="132">
    <w:name w:val="Form Header 1"/>
    <w:basedOn w:val="1"/>
    <w:next w:val="1"/>
    <w:qFormat/>
    <w:uiPriority w:val="0"/>
    <w:pPr>
      <w:widowControl/>
      <w:spacing w:before="80" w:after="80"/>
      <w:jc w:val="left"/>
    </w:pPr>
    <w:rPr>
      <w:rFonts w:ascii="Arial" w:hAnsi="Arial"/>
      <w:b/>
      <w:lang w:val="de-DE" w:eastAsia="en-US"/>
    </w:rPr>
  </w:style>
  <w:style w:type="paragraph" w:customStyle="1" w:styleId="133">
    <w:name w:val="case31"/>
    <w:basedOn w:val="1"/>
    <w:qFormat/>
    <w:uiPriority w:val="0"/>
    <w:pPr>
      <w:widowControl/>
      <w:spacing w:before="100" w:beforeAutospacing="1" w:after="100" w:afterAutospacing="1"/>
      <w:jc w:val="left"/>
    </w:pPr>
    <w:rPr>
      <w:rFonts w:hAnsi="宋体"/>
      <w:color w:val="000000"/>
      <w:szCs w:val="24"/>
    </w:rPr>
  </w:style>
  <w:style w:type="paragraph" w:customStyle="1" w:styleId="134">
    <w:name w:val="日期1"/>
    <w:basedOn w:val="1"/>
    <w:next w:val="1"/>
    <w:qFormat/>
    <w:uiPriority w:val="0"/>
    <w:rPr>
      <w:rFonts w:ascii="黑体" w:eastAsia="黑体"/>
      <w:sz w:val="28"/>
    </w:rPr>
  </w:style>
  <w:style w:type="paragraph" w:customStyle="1" w:styleId="135">
    <w:name w:val="表格文字中"/>
    <w:basedOn w:val="1"/>
    <w:qFormat/>
    <w:uiPriority w:val="0"/>
    <w:pPr>
      <w:adjustRightInd w:val="0"/>
      <w:snapToGrid w:val="0"/>
      <w:ind w:left="22" w:leftChars="8"/>
      <w:jc w:val="center"/>
    </w:pPr>
    <w:rPr>
      <w:szCs w:val="24"/>
    </w:rPr>
  </w:style>
  <w:style w:type="paragraph" w:customStyle="1" w:styleId="136">
    <w:name w:val="Q/19LGT01—2001"/>
    <w:basedOn w:val="1"/>
    <w:qFormat/>
    <w:uiPriority w:val="0"/>
    <w:pPr>
      <w:tabs>
        <w:tab w:val="left" w:pos="555"/>
      </w:tabs>
      <w:spacing w:line="360" w:lineRule="auto"/>
      <w:ind w:firstLine="420" w:firstLineChars="200"/>
    </w:pPr>
    <w:rPr>
      <w:rFonts w:hAnsi="宋体"/>
      <w:bCs/>
    </w:rPr>
  </w:style>
  <w:style w:type="paragraph" w:customStyle="1" w:styleId="137">
    <w:name w:val="??¨???¨????ì?¨¨??¨?o??????ì?¨¨?"/>
    <w:basedOn w:val="1"/>
    <w:qFormat/>
    <w:uiPriority w:val="0"/>
    <w:pPr>
      <w:autoSpaceDE w:val="0"/>
      <w:autoSpaceDN w:val="0"/>
      <w:adjustRightInd w:val="0"/>
      <w:jc w:val="left"/>
    </w:pPr>
  </w:style>
  <w:style w:type="paragraph" w:customStyle="1" w:styleId="138">
    <w:name w:val="Char3"/>
    <w:basedOn w:val="1"/>
    <w:qFormat/>
    <w:uiPriority w:val="0"/>
    <w:pPr>
      <w:tabs>
        <w:tab w:val="left" w:pos="360"/>
      </w:tabs>
    </w:pPr>
    <w:rPr>
      <w:szCs w:val="24"/>
    </w:rPr>
  </w:style>
  <w:style w:type="paragraph" w:customStyle="1" w:styleId="139">
    <w:name w:val="正文1"/>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140">
    <w:name w:val="Char11"/>
    <w:basedOn w:val="1"/>
    <w:qFormat/>
    <w:uiPriority w:val="0"/>
    <w:rPr>
      <w:rFonts w:hAnsi="宋体"/>
      <w:szCs w:val="24"/>
    </w:rPr>
  </w:style>
  <w:style w:type="paragraph" w:customStyle="1" w:styleId="141">
    <w:name w:val="Char1 Char Char Char"/>
    <w:basedOn w:val="1"/>
    <w:qFormat/>
    <w:uiPriority w:val="0"/>
  </w:style>
  <w:style w:type="paragraph" w:customStyle="1" w:styleId="142">
    <w:name w:val="列出段落1"/>
    <w:basedOn w:val="1"/>
    <w:qFormat/>
    <w:uiPriority w:val="0"/>
    <w:pPr>
      <w:ind w:firstLine="420" w:firstLineChars="200"/>
    </w:pPr>
  </w:style>
  <w:style w:type="paragraph" w:customStyle="1" w:styleId="143">
    <w:name w:val="正文序号 1"/>
    <w:basedOn w:val="1"/>
    <w:qFormat/>
    <w:uiPriority w:val="0"/>
    <w:pPr>
      <w:numPr>
        <w:ilvl w:val="0"/>
        <w:numId w:val="2"/>
      </w:numPr>
      <w:spacing w:before="60"/>
    </w:pPr>
    <w:rPr>
      <w:szCs w:val="24"/>
    </w:rPr>
  </w:style>
  <w:style w:type="paragraph" w:customStyle="1" w:styleId="144">
    <w:name w:val="文字列表"/>
    <w:basedOn w:val="1"/>
    <w:qFormat/>
    <w:uiPriority w:val="0"/>
    <w:pPr>
      <w:tabs>
        <w:tab w:val="left" w:pos="420"/>
      </w:tabs>
      <w:spacing w:line="360" w:lineRule="auto"/>
      <w:ind w:left="358" w:leftChars="128" w:firstLine="2"/>
    </w:pPr>
    <w:rPr>
      <w:spacing w:val="20"/>
      <w:szCs w:val="24"/>
    </w:rPr>
  </w:style>
  <w:style w:type="paragraph" w:customStyle="1" w:styleId="145">
    <w:name w:val="普通(网站)1"/>
    <w:basedOn w:val="1"/>
    <w:qFormat/>
    <w:uiPriority w:val="0"/>
    <w:pPr>
      <w:widowControl/>
      <w:spacing w:before="100" w:beforeAutospacing="1" w:after="100" w:afterAutospacing="1"/>
      <w:jc w:val="left"/>
    </w:pPr>
    <w:rPr>
      <w:rFonts w:hAnsi="宋体" w:cs="宋体"/>
      <w:szCs w:val="24"/>
    </w:rPr>
  </w:style>
  <w:style w:type="paragraph" w:customStyle="1" w:styleId="146">
    <w:name w:val="_Style 37"/>
    <w:basedOn w:val="1"/>
    <w:qFormat/>
    <w:uiPriority w:val="0"/>
    <w:pPr>
      <w:widowControl/>
      <w:spacing w:after="160" w:line="240" w:lineRule="exact"/>
      <w:jc w:val="center"/>
    </w:pPr>
    <w:rPr>
      <w:rFonts w:hAnsi="宋体"/>
      <w:b/>
      <w:sz w:val="28"/>
      <w:szCs w:val="28"/>
      <w:lang w:eastAsia="en-US"/>
    </w:rPr>
  </w:style>
  <w:style w:type="paragraph" w:customStyle="1" w:styleId="147">
    <w:name w:val="插图编号"/>
    <w:basedOn w:val="1"/>
    <w:next w:val="5"/>
    <w:qFormat/>
    <w:uiPriority w:val="0"/>
    <w:pPr>
      <w:tabs>
        <w:tab w:val="left" w:pos="1440"/>
      </w:tabs>
      <w:spacing w:line="360" w:lineRule="auto"/>
      <w:ind w:left="1021" w:hanging="1021"/>
    </w:pPr>
    <w:rPr>
      <w:spacing w:val="20"/>
      <w:szCs w:val="24"/>
    </w:rPr>
  </w:style>
  <w:style w:type="paragraph" w:customStyle="1" w:styleId="148">
    <w:name w:val="缺省文本"/>
    <w:basedOn w:val="1"/>
    <w:qFormat/>
    <w:uiPriority w:val="0"/>
    <w:pPr>
      <w:autoSpaceDE w:val="0"/>
      <w:autoSpaceDN w:val="0"/>
      <w:adjustRightInd w:val="0"/>
      <w:jc w:val="left"/>
    </w:pPr>
  </w:style>
  <w:style w:type="paragraph" w:customStyle="1" w:styleId="149">
    <w:name w:val="样式3"/>
    <w:basedOn w:val="2"/>
    <w:qFormat/>
    <w:uiPriority w:val="0"/>
    <w:pPr>
      <w:spacing w:line="0" w:lineRule="atLeast"/>
      <w:outlineLvl w:val="0"/>
    </w:pPr>
    <w:rPr>
      <w:sz w:val="28"/>
    </w:rPr>
  </w:style>
  <w:style w:type="paragraph" w:customStyle="1" w:styleId="150">
    <w:name w:val="ec_msonormal"/>
    <w:basedOn w:val="1"/>
    <w:qFormat/>
    <w:uiPriority w:val="0"/>
    <w:pPr>
      <w:widowControl/>
      <w:spacing w:before="100" w:beforeAutospacing="1" w:after="100" w:afterAutospacing="1"/>
      <w:jc w:val="left"/>
    </w:pPr>
    <w:rPr>
      <w:rFonts w:hAnsi="宋体" w:cs="宋体"/>
      <w:szCs w:val="24"/>
    </w:rPr>
  </w:style>
  <w:style w:type="paragraph" w:customStyle="1" w:styleId="151">
    <w:name w:val="1册标题2"/>
    <w:basedOn w:val="1"/>
    <w:next w:val="1"/>
    <w:qFormat/>
    <w:uiPriority w:val="0"/>
    <w:pPr>
      <w:adjustRightInd w:val="0"/>
      <w:spacing w:beforeLines="50" w:afterLines="50" w:line="300" w:lineRule="auto"/>
      <w:jc w:val="center"/>
      <w:textAlignment w:val="baseline"/>
      <w:outlineLvl w:val="1"/>
    </w:pPr>
    <w:rPr>
      <w:rFonts w:ascii="Arial" w:hAnsi="Arial" w:eastAsia="黑体"/>
      <w:bCs/>
      <w:sz w:val="32"/>
      <w:szCs w:val="24"/>
    </w:rPr>
  </w:style>
  <w:style w:type="paragraph" w:customStyle="1" w:styleId="152">
    <w:name w:val="表内文字"/>
    <w:basedOn w:val="1"/>
    <w:qFormat/>
    <w:uiPriority w:val="0"/>
    <w:pPr>
      <w:jc w:val="left"/>
    </w:pPr>
    <w:rPr>
      <w:szCs w:val="24"/>
    </w:rPr>
  </w:style>
  <w:style w:type="paragraph" w:customStyle="1" w:styleId="153">
    <w:name w:val="Char Char Char Char"/>
    <w:basedOn w:val="1"/>
    <w:qFormat/>
    <w:uiPriority w:val="0"/>
    <w:pPr>
      <w:widowControl/>
      <w:spacing w:after="160" w:line="240" w:lineRule="exact"/>
      <w:jc w:val="center"/>
    </w:pPr>
    <w:rPr>
      <w:rFonts w:hAnsi="宋体"/>
      <w:b/>
      <w:sz w:val="28"/>
      <w:szCs w:val="28"/>
      <w:lang w:eastAsia="en-US"/>
    </w:rPr>
  </w:style>
  <w:style w:type="paragraph" w:customStyle="1" w:styleId="154">
    <w:name w:val="标准"/>
    <w:basedOn w:val="1"/>
    <w:qFormat/>
    <w:uiPriority w:val="0"/>
    <w:pPr>
      <w:widowControl/>
      <w:autoSpaceDE w:val="0"/>
      <w:autoSpaceDN w:val="0"/>
      <w:adjustRightInd w:val="0"/>
      <w:spacing w:line="318" w:lineRule="atLeast"/>
    </w:pPr>
    <w:rPr>
      <w:rFonts w:ascii="楷体_GB2312" w:hAnsi="宋体" w:eastAsia="楷体_GB2312" w:cs="宋体"/>
    </w:rPr>
  </w:style>
  <w:style w:type="paragraph" w:customStyle="1" w:styleId="155">
    <w:name w:val="正文11"/>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156">
    <w:name w:val="表格标题"/>
    <w:basedOn w:val="1"/>
    <w:qFormat/>
    <w:uiPriority w:val="0"/>
    <w:pPr>
      <w:adjustRightInd w:val="0"/>
      <w:snapToGrid w:val="0"/>
      <w:spacing w:beforeLines="50" w:afterLines="50"/>
      <w:ind w:left="22" w:leftChars="8"/>
      <w:jc w:val="center"/>
    </w:pPr>
    <w:rPr>
      <w:b/>
      <w:bCs/>
      <w:color w:val="000000"/>
      <w:sz w:val="32"/>
      <w:szCs w:val="32"/>
    </w:rPr>
  </w:style>
  <w:style w:type="paragraph" w:styleId="157">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158">
    <w:name w:val="普通(网站)11"/>
    <w:basedOn w:val="1"/>
    <w:qFormat/>
    <w:uiPriority w:val="0"/>
    <w:pPr>
      <w:widowControl/>
      <w:spacing w:before="100" w:beforeAutospacing="1" w:after="100" w:afterAutospacing="1"/>
      <w:jc w:val="left"/>
    </w:pPr>
    <w:rPr>
      <w:rFonts w:hAnsi="宋体" w:cs="宋体"/>
      <w:szCs w:val="24"/>
    </w:rPr>
  </w:style>
  <w:style w:type="paragraph" w:customStyle="1" w:styleId="159">
    <w:name w:val="排列"/>
    <w:basedOn w:val="1"/>
    <w:qFormat/>
    <w:uiPriority w:val="0"/>
    <w:pPr>
      <w:adjustRightInd w:val="0"/>
      <w:spacing w:line="360" w:lineRule="auto"/>
      <w:ind w:hanging="627"/>
      <w:jc w:val="left"/>
    </w:pPr>
    <w:rPr>
      <w:b/>
    </w:rPr>
  </w:style>
  <w:style w:type="paragraph" w:customStyle="1" w:styleId="160">
    <w:name w:val="p0"/>
    <w:basedOn w:val="1"/>
    <w:qFormat/>
    <w:uiPriority w:val="0"/>
    <w:pPr>
      <w:widowControl/>
      <w:snapToGrid w:val="0"/>
      <w:spacing w:line="312" w:lineRule="atLeast"/>
      <w:textAlignment w:val="baseline"/>
    </w:pPr>
    <w:rPr>
      <w:szCs w:val="21"/>
    </w:rPr>
  </w:style>
  <w:style w:type="paragraph" w:customStyle="1" w:styleId="161">
    <w:name w:val="正文序号 2"/>
    <w:basedOn w:val="1"/>
    <w:qFormat/>
    <w:uiPriority w:val="0"/>
    <w:pPr>
      <w:numPr>
        <w:ilvl w:val="1"/>
        <w:numId w:val="2"/>
      </w:numPr>
      <w:spacing w:before="60"/>
    </w:pPr>
    <w:rPr>
      <w:szCs w:val="24"/>
    </w:rPr>
  </w:style>
  <w:style w:type="paragraph" w:customStyle="1" w:styleId="162">
    <w:name w:val="?§?§?¨¤?§o????¨¤?"/>
    <w:basedOn w:val="1"/>
    <w:qFormat/>
    <w:uiPriority w:val="0"/>
    <w:pPr>
      <w:autoSpaceDE w:val="0"/>
      <w:autoSpaceDN w:val="0"/>
      <w:adjustRightInd w:val="0"/>
      <w:jc w:val="left"/>
    </w:pPr>
  </w:style>
  <w:style w:type="paragraph" w:customStyle="1" w:styleId="163">
    <w:name w:val="纯文本1"/>
    <w:basedOn w:val="1"/>
    <w:qFormat/>
    <w:uiPriority w:val="0"/>
    <w:pPr>
      <w:spacing w:line="324" w:lineRule="auto"/>
    </w:pPr>
    <w:rPr>
      <w:rFonts w:hAnsi="Courier New" w:cs="Courier New"/>
      <w:szCs w:val="21"/>
    </w:rPr>
  </w:style>
  <w:style w:type="paragraph" w:customStyle="1" w:styleId="164">
    <w:name w:val="Char12"/>
    <w:basedOn w:val="1"/>
    <w:qFormat/>
    <w:uiPriority w:val="0"/>
    <w:pPr>
      <w:tabs>
        <w:tab w:val="left" w:pos="360"/>
      </w:tabs>
    </w:pPr>
    <w:rPr>
      <w:szCs w:val="24"/>
    </w:rPr>
  </w:style>
  <w:style w:type="paragraph" w:customStyle="1" w:styleId="165">
    <w:name w:val="Char2"/>
    <w:basedOn w:val="1"/>
    <w:qFormat/>
    <w:uiPriority w:val="0"/>
    <w:pPr>
      <w:numPr>
        <w:ilvl w:val="0"/>
        <w:numId w:val="3"/>
      </w:numPr>
      <w:tabs>
        <w:tab w:val="left" w:pos="1200"/>
        <w:tab w:val="clear" w:pos="720"/>
      </w:tabs>
      <w:ind w:left="1200" w:hanging="360"/>
    </w:pPr>
    <w:rPr>
      <w:szCs w:val="24"/>
    </w:rPr>
  </w:style>
  <w:style w:type="paragraph" w:customStyle="1" w:styleId="166">
    <w:name w:val="Char13"/>
    <w:basedOn w:val="1"/>
    <w:qFormat/>
    <w:uiPriority w:val="0"/>
    <w:pPr>
      <w:tabs>
        <w:tab w:val="left" w:pos="360"/>
      </w:tabs>
      <w:ind w:left="360" w:hanging="360" w:hangingChars="200"/>
    </w:pPr>
    <w:rPr>
      <w:szCs w:val="24"/>
    </w:rPr>
  </w:style>
  <w:style w:type="paragraph" w:customStyle="1" w:styleId="167">
    <w:name w:val="Char Char1"/>
    <w:basedOn w:val="1"/>
    <w:qFormat/>
    <w:uiPriority w:val="0"/>
    <w:pPr>
      <w:widowControl/>
      <w:spacing w:after="160" w:line="240" w:lineRule="exact"/>
      <w:jc w:val="left"/>
    </w:pPr>
    <w:rPr>
      <w:rFonts w:ascii="Verdana" w:hAnsi="Verdana" w:eastAsia="楷体_GB2312"/>
      <w:b/>
      <w:i/>
      <w:iCs/>
      <w:color w:val="000000"/>
      <w:sz w:val="20"/>
      <w:lang w:eastAsia="en-US"/>
    </w:rPr>
  </w:style>
  <w:style w:type="paragraph" w:customStyle="1" w:styleId="168">
    <w:name w:val="Char2 Char Char Char"/>
    <w:basedOn w:val="1"/>
    <w:qFormat/>
    <w:uiPriority w:val="0"/>
    <w:rPr>
      <w:rFonts w:ascii="Tahoma" w:hAnsi="Tahoma"/>
    </w:rPr>
  </w:style>
  <w:style w:type="paragraph" w:customStyle="1" w:styleId="169">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170">
    <w:name w:val="List Paragraph1"/>
    <w:basedOn w:val="1"/>
    <w:qFormat/>
    <w:uiPriority w:val="34"/>
    <w:pPr>
      <w:ind w:firstLine="420" w:firstLineChars="200"/>
    </w:pPr>
  </w:style>
  <w:style w:type="paragraph" w:customStyle="1" w:styleId="171">
    <w:name w:val="小标题 2"/>
    <w:basedOn w:val="1"/>
    <w:qFormat/>
    <w:uiPriority w:val="0"/>
    <w:pPr>
      <w:autoSpaceDE w:val="0"/>
      <w:autoSpaceDN w:val="0"/>
      <w:adjustRightInd w:val="0"/>
    </w:pPr>
    <w:rPr>
      <w:rFonts w:ascii="黑体" w:eastAsia="黑体" w:cs="黑体"/>
      <w:szCs w:val="24"/>
    </w:rPr>
  </w:style>
  <w:style w:type="paragraph" w:customStyle="1" w:styleId="172">
    <w:name w:val="二级条标题"/>
    <w:basedOn w:val="1"/>
    <w:next w:val="1"/>
    <w:qFormat/>
    <w:uiPriority w:val="0"/>
    <w:pPr>
      <w:widowControl/>
      <w:numPr>
        <w:ilvl w:val="3"/>
        <w:numId w:val="4"/>
      </w:numPr>
      <w:jc w:val="left"/>
      <w:outlineLvl w:val="3"/>
    </w:pPr>
    <w:rPr>
      <w:rFonts w:eastAsia="黑体"/>
    </w:rPr>
  </w:style>
  <w:style w:type="paragraph" w:customStyle="1" w:styleId="173">
    <w:name w:val="表注1"/>
    <w:basedOn w:val="1"/>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174">
    <w:name w:val="(a)正文"/>
    <w:basedOn w:val="1"/>
    <w:qFormat/>
    <w:uiPriority w:val="0"/>
    <w:pPr>
      <w:widowControl/>
      <w:tabs>
        <w:tab w:val="left" w:pos="1871"/>
        <w:tab w:val="left" w:pos="2081"/>
      </w:tabs>
      <w:spacing w:line="360" w:lineRule="exact"/>
      <w:ind w:left="1871" w:hanging="510"/>
    </w:pPr>
  </w:style>
  <w:style w:type="paragraph" w:customStyle="1" w:styleId="175">
    <w:name w:val="正文序号 3"/>
    <w:basedOn w:val="1"/>
    <w:qFormat/>
    <w:uiPriority w:val="0"/>
    <w:pPr>
      <w:numPr>
        <w:ilvl w:val="2"/>
        <w:numId w:val="2"/>
      </w:numPr>
      <w:spacing w:before="60"/>
    </w:pPr>
    <w:rPr>
      <w:szCs w:val="24"/>
    </w:rPr>
  </w:style>
  <w:style w:type="paragraph" w:customStyle="1" w:styleId="176">
    <w:name w:val="正文段"/>
    <w:basedOn w:val="1"/>
    <w:qFormat/>
    <w:uiPriority w:val="0"/>
    <w:pPr>
      <w:adjustRightInd w:val="0"/>
      <w:snapToGrid w:val="0"/>
      <w:spacing w:line="360" w:lineRule="auto"/>
    </w:pPr>
    <w:rPr>
      <w:rFonts w:eastAsia="仿宋_GB2312"/>
      <w:spacing w:val="-8"/>
    </w:rPr>
  </w:style>
  <w:style w:type="paragraph" w:customStyle="1" w:styleId="177">
    <w:name w:val="日期11"/>
    <w:basedOn w:val="1"/>
    <w:next w:val="1"/>
    <w:qFormat/>
    <w:uiPriority w:val="0"/>
    <w:rPr>
      <w:rFonts w:ascii="黑体" w:eastAsia="黑体"/>
      <w:sz w:val="28"/>
    </w:rPr>
  </w:style>
  <w:style w:type="paragraph" w:customStyle="1" w:styleId="178">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customStyle="1" w:styleId="179">
    <w:name w:val="正文缩进1"/>
    <w:basedOn w:val="1"/>
    <w:qFormat/>
    <w:uiPriority w:val="0"/>
    <w:pPr>
      <w:ind w:firstLine="420" w:firstLineChars="200"/>
    </w:pPr>
  </w:style>
  <w:style w:type="paragraph" w:customStyle="1" w:styleId="180">
    <w:name w:val="TOC 标题1"/>
    <w:basedOn w:val="3"/>
    <w:next w:val="1"/>
    <w:qFormat/>
    <w:uiPriority w:val="39"/>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181">
    <w:name w:val="09正文_wh"/>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character" w:customStyle="1" w:styleId="182">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jpeg"/><Relationship Id="rId45" Type="http://schemas.openxmlformats.org/officeDocument/2006/relationships/image" Target="media/image31.jpe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jpeg"/><Relationship Id="rId4" Type="http://schemas.openxmlformats.org/officeDocument/2006/relationships/header" Target="header2.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GIF"/><Relationship Id="rId36" Type="http://schemas.openxmlformats.org/officeDocument/2006/relationships/image" Target="media/image22.png"/><Relationship Id="rId35" Type="http://schemas.openxmlformats.org/officeDocument/2006/relationships/image" Target="media/image21.jpeg"/><Relationship Id="rId34" Type="http://schemas.openxmlformats.org/officeDocument/2006/relationships/image" Target="media/image20.png"/><Relationship Id="rId33" Type="http://schemas.openxmlformats.org/officeDocument/2006/relationships/image" Target="media/image19.jpeg"/><Relationship Id="rId32" Type="http://schemas.openxmlformats.org/officeDocument/2006/relationships/image" Target="media/image18.pn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146</Pages>
  <Words>59021</Words>
  <Characters>67562</Characters>
  <Lines>252</Lines>
  <Paragraphs>71</Paragraphs>
  <TotalTime>47</TotalTime>
  <ScaleCrop>false</ScaleCrop>
  <LinksUpToDate>false</LinksUpToDate>
  <CharactersWithSpaces>70042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2021-07-08T09:18:00Z</dcterms:created>
  <dc:creator>郭颖</dc:creator>
  <cp:lastModifiedBy>Administrator</cp:lastModifiedBy>
  <cp:lastPrinted>2023-06-21T02:34:00Z</cp:lastPrinted>
  <dcterms:modified xsi:type="dcterms:W3CDTF">2023-06-27T07:30:00Z</dcterms:modified>
  <dc:title>政府采购货物和服务项目</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C409B85AAB64447EA760BB0D322A7C3D</vt:lpwstr>
  </property>
</Properties>
</file>