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 w:lineRule="atLeast"/>
        <w:rPr>
          <w:rFonts w:hint="eastAsia"/>
          <w:color w:val="auto"/>
        </w:rPr>
      </w:pPr>
    </w:p>
    <w:p>
      <w:pPr>
        <w:spacing w:line="100" w:lineRule="atLeast"/>
        <w:rPr>
          <w:rFonts w:hint="eastAsia" w:ascii="宋体" w:hAnsi="宋体" w:eastAsia="宋体" w:cs="宋体"/>
          <w:b/>
          <w:bCs/>
          <w:color w:val="auto"/>
          <w:szCs w:val="28"/>
          <w:lang w:eastAsia="zh-CN"/>
        </w:rPr>
      </w:pPr>
      <w:r>
        <w:rPr>
          <w:rFonts w:hint="eastAsia" w:ascii="宋体" w:hAnsi="宋体" w:cs="宋体"/>
          <w:b/>
          <w:bCs/>
          <w:color w:val="auto"/>
          <w:sz w:val="32"/>
          <w:szCs w:val="32"/>
          <w:lang w:val="en-US" w:eastAsia="zh-CN"/>
        </w:rPr>
        <w:t>项目</w:t>
      </w:r>
      <w:r>
        <w:rPr>
          <w:rFonts w:hint="eastAsia" w:ascii="宋体" w:hAnsi="宋体" w:cs="宋体"/>
          <w:b/>
          <w:bCs/>
          <w:color w:val="auto"/>
          <w:sz w:val="32"/>
          <w:szCs w:val="32"/>
        </w:rPr>
        <w:t>编号：</w:t>
      </w:r>
      <w:r>
        <w:rPr>
          <w:rFonts w:hint="eastAsia" w:hAnsi="宋体" w:cs="宋体"/>
          <w:b/>
          <w:color w:val="auto"/>
          <w:sz w:val="32"/>
          <w:szCs w:val="32"/>
          <w:highlight w:val="none"/>
          <w:lang w:eastAsia="zh-CN" w:bidi="ar"/>
        </w:rPr>
        <w:t xml:space="preserve">XBZB-2023-032 </w:t>
      </w:r>
    </w:p>
    <w:p>
      <w:pPr>
        <w:jc w:val="center"/>
        <w:rPr>
          <w:rFonts w:hint="eastAsia"/>
          <w:color w:val="auto"/>
          <w:sz w:val="52"/>
          <w:szCs w:val="52"/>
          <w:u w:val="single"/>
        </w:rPr>
      </w:pPr>
    </w:p>
    <w:p>
      <w:pPr>
        <w:jc w:val="center"/>
        <w:rPr>
          <w:rFonts w:hint="eastAsia"/>
          <w:color w:val="auto"/>
          <w:sz w:val="52"/>
          <w:szCs w:val="52"/>
          <w:u w:val="single"/>
        </w:rPr>
      </w:pPr>
    </w:p>
    <w:p>
      <w:pPr>
        <w:jc w:val="center"/>
        <w:rPr>
          <w:rFonts w:hint="eastAsia"/>
          <w:color w:val="auto"/>
          <w:sz w:val="52"/>
          <w:szCs w:val="52"/>
          <w:u w:val="single"/>
        </w:rPr>
      </w:pPr>
    </w:p>
    <w:p>
      <w:pPr>
        <w:spacing w:line="100" w:lineRule="atLeast"/>
        <w:jc w:val="center"/>
        <w:rPr>
          <w:rFonts w:hint="eastAsia" w:eastAsia="宋体" w:cs="宋体"/>
          <w:b/>
          <w:color w:val="auto"/>
          <w:sz w:val="48"/>
          <w:szCs w:val="48"/>
          <w:lang w:eastAsia="zh-CN" w:bidi="ar"/>
        </w:rPr>
      </w:pPr>
      <w:r>
        <w:rPr>
          <w:rFonts w:hint="eastAsia" w:eastAsia="宋体" w:cs="宋体"/>
          <w:b/>
          <w:color w:val="auto"/>
          <w:sz w:val="48"/>
          <w:szCs w:val="48"/>
          <w:lang w:eastAsia="zh-CN" w:bidi="ar"/>
        </w:rPr>
        <w:t>谭家街道办事处廉政灶采买项目</w:t>
      </w:r>
    </w:p>
    <w:p>
      <w:pPr>
        <w:spacing w:line="100" w:lineRule="atLeast"/>
        <w:jc w:val="center"/>
        <w:rPr>
          <w:rFonts w:cs="宋体"/>
          <w:b/>
          <w:color w:val="auto"/>
          <w:sz w:val="48"/>
          <w:szCs w:val="48"/>
          <w:lang w:bidi="ar"/>
        </w:rPr>
      </w:pPr>
    </w:p>
    <w:p>
      <w:pPr>
        <w:spacing w:line="100" w:lineRule="atLeast"/>
        <w:jc w:val="center"/>
        <w:rPr>
          <w:rFonts w:hint="eastAsia" w:cs="宋体"/>
          <w:b/>
          <w:color w:val="auto"/>
          <w:sz w:val="48"/>
          <w:szCs w:val="48"/>
          <w:lang w:bidi="ar"/>
        </w:rPr>
      </w:pPr>
    </w:p>
    <w:p>
      <w:pPr>
        <w:spacing w:line="100" w:lineRule="atLeast"/>
        <w:jc w:val="center"/>
        <w:rPr>
          <w:b/>
          <w:bCs/>
          <w:color w:val="auto"/>
          <w:sz w:val="84"/>
          <w:szCs w:val="84"/>
        </w:rPr>
      </w:pPr>
      <w:r>
        <w:rPr>
          <w:rFonts w:hint="eastAsia"/>
          <w:b/>
          <w:bCs/>
          <w:color w:val="auto"/>
          <w:sz w:val="84"/>
          <w:szCs w:val="84"/>
          <w:lang w:val="en-US" w:eastAsia="zh-CN"/>
        </w:rPr>
        <w:t>竞争性磋商</w:t>
      </w:r>
      <w:r>
        <w:rPr>
          <w:b/>
          <w:bCs/>
          <w:color w:val="auto"/>
          <w:sz w:val="84"/>
          <w:szCs w:val="84"/>
        </w:rPr>
        <w:t>文件</w:t>
      </w:r>
    </w:p>
    <w:p>
      <w:pPr>
        <w:tabs>
          <w:tab w:val="left" w:pos="5670"/>
        </w:tabs>
        <w:autoSpaceDE w:val="0"/>
        <w:autoSpaceDN w:val="0"/>
        <w:adjustRightInd w:val="0"/>
        <w:snapToGrid w:val="0"/>
        <w:spacing w:line="360" w:lineRule="auto"/>
        <w:jc w:val="center"/>
        <w:rPr>
          <w:rFonts w:eastAsia="黑体"/>
          <w:color w:val="auto"/>
          <w:sz w:val="50"/>
          <w:szCs w:val="50"/>
        </w:rPr>
      </w:pPr>
      <w:r>
        <w:rPr>
          <w:rFonts w:hint="eastAsia" w:ascii="宋体" w:hAnsi="宋体" w:eastAsia="宋体"/>
          <w:b/>
          <w:color w:val="auto"/>
          <w:sz w:val="72"/>
          <w:szCs w:val="72"/>
          <w:lang w:eastAsia="zh-CN"/>
        </w:rPr>
        <w:drawing>
          <wp:anchor distT="0" distB="0" distL="114300" distR="114300" simplePos="0" relativeHeight="251661312" behindDoc="1" locked="0" layoutInCell="1" allowOverlap="1">
            <wp:simplePos x="0" y="0"/>
            <wp:positionH relativeFrom="column">
              <wp:posOffset>2145030</wp:posOffset>
            </wp:positionH>
            <wp:positionV relativeFrom="paragraph">
              <wp:posOffset>252730</wp:posOffset>
            </wp:positionV>
            <wp:extent cx="1522095" cy="1658620"/>
            <wp:effectExtent l="0" t="0" r="1905" b="2540"/>
            <wp:wrapTight wrapText="bothSides">
              <wp:wrapPolygon>
                <wp:start x="9083" y="397"/>
                <wp:lineTo x="865" y="4763"/>
                <wp:lineTo x="0" y="5756"/>
                <wp:lineTo x="0" y="11114"/>
                <wp:lineTo x="1081" y="13099"/>
                <wp:lineTo x="216" y="14290"/>
                <wp:lineTo x="0" y="14885"/>
                <wp:lineTo x="433" y="16274"/>
                <wp:lineTo x="9948" y="21435"/>
                <wp:lineTo x="11246" y="21435"/>
                <wp:lineTo x="21194" y="16274"/>
                <wp:lineTo x="21411" y="5359"/>
                <wp:lineTo x="20978" y="4962"/>
                <wp:lineTo x="12327" y="397"/>
                <wp:lineTo x="9083" y="397"/>
              </wp:wrapPolygon>
            </wp:wrapTight>
            <wp:docPr id="7"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logo"/>
                    <pic:cNvPicPr>
                      <a:picLocks noChangeAspect="1"/>
                    </pic:cNvPicPr>
                  </pic:nvPicPr>
                  <pic:blipFill>
                    <a:blip r:embed="rId10"/>
                    <a:stretch>
                      <a:fillRect/>
                    </a:stretch>
                  </pic:blipFill>
                  <pic:spPr>
                    <a:xfrm>
                      <a:off x="0" y="0"/>
                      <a:ext cx="1522095" cy="1658620"/>
                    </a:xfrm>
                    <a:prstGeom prst="rect">
                      <a:avLst/>
                    </a:prstGeom>
                    <a:noFill/>
                    <a:ln>
                      <a:noFill/>
                    </a:ln>
                  </pic:spPr>
                </pic:pic>
              </a:graphicData>
            </a:graphic>
          </wp:anchor>
        </w:drawing>
      </w:r>
    </w:p>
    <w:p>
      <w:pPr>
        <w:tabs>
          <w:tab w:val="left" w:pos="5670"/>
        </w:tabs>
        <w:autoSpaceDE w:val="0"/>
        <w:autoSpaceDN w:val="0"/>
        <w:adjustRightInd w:val="0"/>
        <w:snapToGrid w:val="0"/>
        <w:spacing w:line="360" w:lineRule="auto"/>
        <w:rPr>
          <w:rFonts w:hint="eastAsia" w:eastAsia="黑体"/>
          <w:color w:val="auto"/>
          <w:sz w:val="50"/>
          <w:szCs w:val="50"/>
        </w:rPr>
      </w:pPr>
    </w:p>
    <w:p>
      <w:pPr>
        <w:pStyle w:val="10"/>
        <w:rPr>
          <w:rFonts w:hint="eastAsia" w:eastAsia="黑体"/>
          <w:color w:val="auto"/>
          <w:sz w:val="50"/>
          <w:szCs w:val="50"/>
        </w:rPr>
      </w:pPr>
    </w:p>
    <w:p>
      <w:pPr>
        <w:rPr>
          <w:rFonts w:hint="eastAsia"/>
          <w:color w:val="auto"/>
        </w:rPr>
      </w:pPr>
    </w:p>
    <w:p>
      <w:pPr>
        <w:rPr>
          <w:rFonts w:hint="eastAsia"/>
          <w:color w:val="auto"/>
        </w:rPr>
      </w:pPr>
    </w:p>
    <w:p>
      <w:pPr>
        <w:tabs>
          <w:tab w:val="left" w:pos="5670"/>
        </w:tabs>
        <w:autoSpaceDE w:val="0"/>
        <w:autoSpaceDN w:val="0"/>
        <w:adjustRightInd w:val="0"/>
        <w:snapToGrid w:val="0"/>
        <w:spacing w:line="360" w:lineRule="auto"/>
        <w:rPr>
          <w:rFonts w:hint="eastAsia" w:eastAsia="黑体"/>
          <w:color w:val="auto"/>
          <w:sz w:val="50"/>
          <w:szCs w:val="50"/>
        </w:rPr>
      </w:pPr>
    </w:p>
    <w:p>
      <w:pPr>
        <w:spacing w:line="720" w:lineRule="auto"/>
        <w:rPr>
          <w:rFonts w:hint="eastAsia" w:eastAsia="宋体"/>
          <w:b/>
          <w:color w:val="auto"/>
          <w:sz w:val="32"/>
          <w:szCs w:val="32"/>
          <w:lang w:eastAsia="zh-CN"/>
        </w:rPr>
      </w:pPr>
      <w:r>
        <w:rPr>
          <w:rFonts w:hint="eastAsia"/>
          <w:b/>
          <w:color w:val="auto"/>
          <w:sz w:val="32"/>
          <w:szCs w:val="32"/>
        </w:rPr>
        <w:t xml:space="preserve">        </w:t>
      </w:r>
      <w:r>
        <w:rPr>
          <w:rFonts w:hint="eastAsia"/>
          <w:b/>
          <w:color w:val="auto"/>
          <w:sz w:val="32"/>
          <w:szCs w:val="32"/>
          <w:lang w:val="en-US" w:eastAsia="zh-CN"/>
        </w:rPr>
        <w:t>采购</w:t>
      </w:r>
      <w:r>
        <w:rPr>
          <w:rFonts w:hint="eastAsia"/>
          <w:b/>
          <w:color w:val="auto"/>
          <w:sz w:val="32"/>
          <w:szCs w:val="32"/>
        </w:rPr>
        <w:t>人：</w:t>
      </w:r>
      <w:r>
        <w:rPr>
          <w:rFonts w:hint="eastAsia"/>
          <w:b/>
          <w:color w:val="auto"/>
          <w:sz w:val="32"/>
          <w:szCs w:val="32"/>
          <w:lang w:eastAsia="zh-CN"/>
        </w:rPr>
        <w:t>西安市未央区谭家街道办事处</w:t>
      </w:r>
    </w:p>
    <w:p>
      <w:pPr>
        <w:spacing w:line="720" w:lineRule="auto"/>
        <w:rPr>
          <w:rFonts w:hint="eastAsia" w:eastAsia="宋体"/>
          <w:b/>
          <w:color w:val="auto"/>
          <w:sz w:val="32"/>
          <w:szCs w:val="32"/>
          <w:lang w:eastAsia="zh-CN"/>
        </w:rPr>
      </w:pPr>
      <w:r>
        <w:rPr>
          <w:rFonts w:hint="eastAsia"/>
          <w:b/>
          <w:color w:val="auto"/>
          <w:sz w:val="32"/>
          <w:szCs w:val="32"/>
        </w:rPr>
        <w:t xml:space="preserve">     </w:t>
      </w:r>
      <w:r>
        <w:rPr>
          <w:rFonts w:hint="eastAsia"/>
          <w:b/>
          <w:color w:val="auto"/>
          <w:sz w:val="32"/>
          <w:szCs w:val="32"/>
          <w:lang w:val="en-US" w:eastAsia="zh-CN"/>
        </w:rPr>
        <w:t>采购</w:t>
      </w:r>
      <w:r>
        <w:rPr>
          <w:rFonts w:hint="eastAsia"/>
          <w:b/>
          <w:color w:val="auto"/>
          <w:sz w:val="32"/>
          <w:szCs w:val="32"/>
        </w:rPr>
        <w:t>代理机构：</w:t>
      </w:r>
      <w:r>
        <w:rPr>
          <w:rFonts w:hint="eastAsia"/>
          <w:b/>
          <w:color w:val="auto"/>
          <w:sz w:val="32"/>
          <w:szCs w:val="32"/>
          <w:lang w:eastAsia="zh-CN"/>
        </w:rPr>
        <w:t>西北国际（陕西）造价管理集团有限公司</w:t>
      </w:r>
    </w:p>
    <w:p>
      <w:pPr>
        <w:jc w:val="center"/>
        <w:rPr>
          <w:rFonts w:hint="eastAsia" w:ascii="宋体" w:hAnsi="宋体" w:eastAsia="宋体" w:cs="宋体"/>
          <w:color w:val="auto"/>
          <w:highlight w:val="none"/>
        </w:rPr>
      </w:pPr>
      <w:r>
        <w:rPr>
          <w:rFonts w:hint="eastAsia" w:ascii="宋体" w:hAnsi="宋体"/>
          <w:b/>
          <w:bCs/>
          <w:color w:val="auto"/>
          <w:sz w:val="32"/>
          <w:szCs w:val="32"/>
        </w:rPr>
        <w:t>二〇二</w:t>
      </w:r>
      <w:r>
        <w:rPr>
          <w:rFonts w:hint="eastAsia" w:ascii="宋体" w:hAnsi="宋体"/>
          <w:b/>
          <w:bCs/>
          <w:color w:val="auto"/>
          <w:sz w:val="32"/>
          <w:szCs w:val="32"/>
          <w:lang w:val="en-US" w:eastAsia="zh-CN"/>
        </w:rPr>
        <w:t>三</w:t>
      </w:r>
      <w:r>
        <w:rPr>
          <w:rFonts w:hint="eastAsia" w:ascii="宋体" w:hAnsi="宋体"/>
          <w:b/>
          <w:bCs/>
          <w:color w:val="auto"/>
          <w:sz w:val="32"/>
          <w:szCs w:val="32"/>
        </w:rPr>
        <w:t>年</w:t>
      </w:r>
      <w:r>
        <w:rPr>
          <w:rFonts w:hint="eastAsia" w:hAnsi="宋体"/>
          <w:b/>
          <w:bCs/>
          <w:color w:val="auto"/>
          <w:sz w:val="32"/>
          <w:szCs w:val="32"/>
          <w:lang w:val="en-US" w:eastAsia="zh-CN"/>
        </w:rPr>
        <w:t>四</w:t>
      </w:r>
      <w:r>
        <w:rPr>
          <w:rFonts w:hint="eastAsia" w:ascii="宋体" w:hAnsi="宋体"/>
          <w:b/>
          <w:bCs/>
          <w:color w:val="auto"/>
          <w:sz w:val="32"/>
          <w:szCs w:val="32"/>
        </w:rPr>
        <w:t>月</w:t>
      </w:r>
    </w:p>
    <w:p>
      <w:pPr>
        <w:jc w:val="center"/>
        <w:rPr>
          <w:rFonts w:hint="eastAsia" w:ascii="宋体" w:hAnsi="宋体" w:eastAsia="宋体" w:cs="宋体"/>
          <w:b/>
          <w:color w:val="auto"/>
          <w:sz w:val="52"/>
          <w:szCs w:val="52"/>
          <w:highlight w:val="none"/>
        </w:rPr>
      </w:pPr>
    </w:p>
    <w:p>
      <w:pPr>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目   录</w:t>
      </w:r>
    </w:p>
    <w:p>
      <w:pPr>
        <w:pStyle w:val="16"/>
        <w:tabs>
          <w:tab w:val="right" w:leader="dot" w:pos="8839"/>
        </w:tabs>
        <w:spacing w:line="720" w:lineRule="auto"/>
        <w:rPr>
          <w:rFonts w:hint="eastAsia" w:ascii="宋体" w:hAnsi="宋体" w:eastAsia="宋体" w:cs="宋体"/>
          <w:b/>
          <w:color w:val="auto"/>
          <w:sz w:val="28"/>
          <w:szCs w:val="28"/>
          <w:highlight w:val="none"/>
        </w:rPr>
      </w:pPr>
    </w:p>
    <w:p>
      <w:pPr>
        <w:pStyle w:val="16"/>
        <w:tabs>
          <w:tab w:val="right" w:leader="dot" w:pos="8839"/>
        </w:tabs>
        <w:spacing w:line="720" w:lineRule="auto"/>
        <w:rPr>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"1-1" \h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_Toc3814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第一章  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_Toc3814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6"/>
        <w:tabs>
          <w:tab w:val="right" w:leader="dot" w:pos="8839"/>
        </w:tabs>
        <w:spacing w:line="720" w:lineRule="auto"/>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_Toc1310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6"/>
        <w:tabs>
          <w:tab w:val="right" w:leader="dot" w:pos="8839"/>
        </w:tabs>
        <w:spacing w:line="720" w:lineRule="auto"/>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_Toc12140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lang w:eastAsia="zh-CN"/>
        </w:rPr>
        <w:t>第三章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bCs/>
          <w:color w:val="auto"/>
          <w:sz w:val="28"/>
          <w:szCs w:val="28"/>
          <w:highlight w:val="none"/>
        </w:rPr>
        <w:t>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_Toc12140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6"/>
        <w:tabs>
          <w:tab w:val="right" w:leader="dot" w:pos="8839"/>
        </w:tabs>
        <w:spacing w:line="720" w:lineRule="auto"/>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_Toc24334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第四章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_Toc24334 \h </w:instrText>
      </w:r>
      <w:r>
        <w:rPr>
          <w:color w:val="auto"/>
          <w:sz w:val="28"/>
          <w:szCs w:val="28"/>
          <w:highlight w:val="none"/>
        </w:rPr>
        <w:fldChar w:fldCharType="separate"/>
      </w:r>
      <w:r>
        <w:rPr>
          <w:color w:val="auto"/>
          <w:sz w:val="28"/>
          <w:szCs w:val="28"/>
          <w:highlight w:val="none"/>
        </w:rPr>
        <w:t>26</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6"/>
        <w:tabs>
          <w:tab w:val="right" w:leader="dot" w:pos="8839"/>
        </w:tabs>
        <w:spacing w:line="720" w:lineRule="auto"/>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kern w:val="2"/>
          <w:sz w:val="28"/>
          <w:szCs w:val="28"/>
          <w:highlight w:val="none"/>
        </w:rPr>
        <w:t>第五章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_Toc1075 \h </w:instrText>
      </w:r>
      <w:r>
        <w:rPr>
          <w:color w:val="auto"/>
          <w:sz w:val="28"/>
          <w:szCs w:val="28"/>
          <w:highlight w:val="none"/>
        </w:rPr>
        <w:fldChar w:fldCharType="separate"/>
      </w:r>
      <w:r>
        <w:rPr>
          <w:color w:val="auto"/>
          <w:sz w:val="28"/>
          <w:szCs w:val="28"/>
          <w:highlight w:val="none"/>
        </w:rPr>
        <w:t>31</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6"/>
        <w:tabs>
          <w:tab w:val="right" w:leader="dot" w:pos="8839"/>
        </w:tabs>
        <w:spacing w:line="720" w:lineRule="auto"/>
        <w:rPr>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_Toc31122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_Toc31122 \h </w:instrText>
      </w:r>
      <w:r>
        <w:rPr>
          <w:color w:val="auto"/>
          <w:sz w:val="28"/>
          <w:szCs w:val="28"/>
          <w:highlight w:val="none"/>
        </w:rPr>
        <w:fldChar w:fldCharType="separate"/>
      </w:r>
      <w:r>
        <w:rPr>
          <w:color w:val="auto"/>
          <w:sz w:val="28"/>
          <w:szCs w:val="28"/>
          <w:highlight w:val="none"/>
        </w:rPr>
        <w:t>39</w:t>
      </w:r>
      <w:r>
        <w:rPr>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5"/>
        <w:spacing w:line="720" w:lineRule="auto"/>
        <w:ind w:firstLine="602"/>
        <w:jc w:val="left"/>
        <w:rPr>
          <w:rFonts w:hint="eastAsia" w:ascii="宋体" w:hAnsi="宋体" w:eastAsia="宋体" w:cs="宋体"/>
          <w:b/>
          <w:color w:val="auto"/>
          <w:sz w:val="32"/>
          <w:szCs w:val="32"/>
          <w:highlight w:val="none"/>
        </w:rPr>
      </w:pPr>
      <w:r>
        <w:rPr>
          <w:rFonts w:hint="eastAsia" w:ascii="宋体" w:hAnsi="宋体" w:eastAsia="宋体" w:cs="宋体"/>
          <w:color w:val="auto"/>
          <w:sz w:val="28"/>
          <w:szCs w:val="28"/>
          <w:highlight w:val="none"/>
        </w:rPr>
        <w:fldChar w:fldCharType="end"/>
      </w:r>
    </w:p>
    <w:p>
      <w:pPr>
        <w:pStyle w:val="3"/>
        <w:keepNext w:val="0"/>
        <w:keepLines/>
        <w:pageBreakBefore/>
        <w:spacing w:line="360" w:lineRule="auto"/>
        <w:jc w:val="center"/>
        <w:outlineLvl w:val="9"/>
        <w:rPr>
          <w:rFonts w:hint="eastAsia" w:ascii="宋体" w:hAnsi="宋体" w:eastAsia="宋体" w:cs="宋体"/>
          <w:bCs/>
          <w:color w:val="auto"/>
          <w:sz w:val="36"/>
          <w:szCs w:val="36"/>
          <w:highlight w:val="none"/>
        </w:rPr>
        <w:sectPr>
          <w:headerReference r:id="rId3" w:type="default"/>
          <w:footerReference r:id="rId4" w:type="default"/>
          <w:footerReference r:id="rId5" w:type="even"/>
          <w:pgSz w:w="11906" w:h="16838"/>
          <w:pgMar w:top="1418" w:right="1423" w:bottom="1418" w:left="1644" w:header="720" w:footer="720" w:gutter="0"/>
          <w:cols w:space="720" w:num="1"/>
          <w:docGrid w:linePitch="288" w:charSpace="-3449"/>
        </w:sectPr>
      </w:pPr>
      <w:bookmarkStart w:id="0" w:name="_Toc27118"/>
      <w:bookmarkStart w:id="1" w:name="_Toc18732"/>
      <w:bookmarkStart w:id="2" w:name="_Toc13148"/>
      <w:bookmarkStart w:id="3" w:name="_Toc26257"/>
      <w:bookmarkStart w:id="4" w:name="_Toc7407"/>
      <w:bookmarkStart w:id="5" w:name="_Toc10060"/>
      <w:bookmarkStart w:id="6" w:name="_Toc17180"/>
      <w:bookmarkStart w:id="7" w:name="_Toc24699"/>
      <w:bookmarkStart w:id="8" w:name="_Toc5566"/>
      <w:bookmarkStart w:id="9" w:name="_Toc25452_WPSOffice_Level1"/>
      <w:bookmarkStart w:id="10" w:name="_Toc30973"/>
      <w:bookmarkStart w:id="11" w:name="_Toc24670"/>
      <w:bookmarkStart w:id="12" w:name="_Toc9811"/>
      <w:bookmarkStart w:id="13" w:name="_Toc8032_WPSOffice_Level1"/>
      <w:bookmarkStart w:id="14" w:name="_Toc16420"/>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Pr>
        <w:pStyle w:val="3"/>
        <w:keepNext w:val="0"/>
        <w:keepLines/>
        <w:pageBreakBefore/>
        <w:numPr>
          <w:ilvl w:val="0"/>
          <w:numId w:val="2"/>
        </w:numPr>
        <w:spacing w:line="360" w:lineRule="auto"/>
        <w:jc w:val="center"/>
        <w:rPr>
          <w:rFonts w:hint="eastAsia" w:ascii="宋体" w:hAnsi="宋体" w:eastAsia="宋体" w:cs="宋体"/>
          <w:bCs/>
          <w:color w:val="auto"/>
          <w:sz w:val="36"/>
          <w:szCs w:val="36"/>
          <w:highlight w:val="none"/>
        </w:rPr>
      </w:pPr>
      <w:bookmarkStart w:id="15" w:name="_Toc3814"/>
      <w:bookmarkStart w:id="16" w:name="_Toc25507"/>
      <w:bookmarkStart w:id="17" w:name="_Toc21869"/>
      <w:bookmarkStart w:id="18" w:name="_Toc389582035"/>
      <w:bookmarkStart w:id="19" w:name="_Toc2929"/>
      <w:bookmarkStart w:id="20" w:name="_Toc2377"/>
      <w:bookmarkStart w:id="21" w:name="_Toc7442"/>
      <w:bookmarkStart w:id="22" w:name="_Toc2587"/>
      <w:bookmarkStart w:id="23" w:name="_Toc1177"/>
      <w:bookmarkStart w:id="24" w:name="_Toc29249"/>
      <w:r>
        <w:rPr>
          <w:rFonts w:hint="eastAsia" w:ascii="宋体" w:hAnsi="宋体" w:eastAsia="宋体" w:cs="宋体"/>
          <w:bCs/>
          <w:color w:val="auto"/>
          <w:sz w:val="36"/>
          <w:szCs w:val="36"/>
          <w:highlight w:val="none"/>
        </w:rPr>
        <w:t xml:space="preserve"> 磋商公告</w:t>
      </w:r>
      <w:bookmarkEnd w:id="15"/>
      <w:bookmarkEnd w:id="16"/>
      <w:bookmarkEnd w:id="17"/>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600" w:lineRule="atLeast"/>
        <w:ind w:left="0" w:right="0" w:firstLine="0"/>
        <w:jc w:val="center"/>
        <w:textAlignment w:val="baseline"/>
        <w:rPr>
          <w:rFonts w:hint="eastAsia" w:ascii="宋体" w:hAnsi="宋体" w:eastAsia="宋体" w:cs="宋体"/>
          <w:b/>
          <w:bCs/>
          <w:i w:val="0"/>
          <w:iCs w:val="0"/>
          <w:caps w:val="0"/>
          <w:color w:val="333333"/>
          <w:spacing w:val="0"/>
          <w:kern w:val="44"/>
          <w:sz w:val="24"/>
          <w:szCs w:val="24"/>
          <w:lang w:val="en-US" w:eastAsia="zh-CN" w:bidi="ar"/>
        </w:rPr>
      </w:pPr>
      <w:r>
        <w:rPr>
          <w:rFonts w:hint="eastAsia" w:ascii="宋体" w:hAnsi="宋体" w:eastAsia="宋体" w:cs="宋体"/>
          <w:b/>
          <w:bCs/>
          <w:i w:val="0"/>
          <w:iCs w:val="0"/>
          <w:caps w:val="0"/>
          <w:color w:val="333333"/>
          <w:spacing w:val="0"/>
          <w:kern w:val="44"/>
          <w:sz w:val="24"/>
          <w:szCs w:val="24"/>
          <w:shd w:val="clear" w:fill="FFFFFF"/>
          <w:vertAlign w:val="baseline"/>
          <w:lang w:val="en-US" w:eastAsia="zh-CN" w:bidi="ar"/>
        </w:rPr>
        <w:t>谭家街道办事处廉政灶采买项目竞争性磋商公告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452"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项目概况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452"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谭家街道办事处廉政灶采买项目采购项目的潜在供应商应在陕西省西安市碑林区长安国际F座办公楼19楼07室获取采购文件，并于2023年04月24日09时30分（北京时间）前提交响应文件。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一、项目基本情况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项目编号：XBZB-2023-032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项目名称：谭家街道办事处廉政灶采买项目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采购方式：竞争性磋商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预算金额：690,000.00元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采购需求：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合同包1(谭家街道办事处廉政灶采买项目):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合同包预算金额：690,000.00元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合同包最高限价：690,000.00元</w:t>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1"/>
        <w:gridCol w:w="1677"/>
        <w:gridCol w:w="1755"/>
        <w:gridCol w:w="722"/>
        <w:gridCol w:w="1028"/>
        <w:gridCol w:w="144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品目号</w:t>
            </w:r>
          </w:p>
        </w:tc>
        <w:tc>
          <w:tcPr>
            <w:tcW w:w="113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品目名称</w:t>
            </w:r>
          </w:p>
        </w:tc>
        <w:tc>
          <w:tcPr>
            <w:tcW w:w="113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采购标的</w:t>
            </w:r>
          </w:p>
        </w:tc>
        <w:tc>
          <w:tcPr>
            <w:tcW w:w="4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数量（单位）</w:t>
            </w:r>
          </w:p>
        </w:tc>
        <w:tc>
          <w:tcPr>
            <w:tcW w:w="7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技术规格、参数及要求</w:t>
            </w:r>
          </w:p>
        </w:tc>
        <w:tc>
          <w:tcPr>
            <w:tcW w:w="5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品目预算(元)</w:t>
            </w:r>
          </w:p>
        </w:tc>
        <w:tc>
          <w:tcPr>
            <w:tcW w:w="5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kern w:val="2"/>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3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1-1</w:t>
            </w:r>
          </w:p>
        </w:tc>
        <w:tc>
          <w:tcPr>
            <w:tcW w:w="113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餐饮服务</w:t>
            </w:r>
          </w:p>
        </w:tc>
        <w:tc>
          <w:tcPr>
            <w:tcW w:w="113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廉政灶采买</w:t>
            </w:r>
          </w:p>
        </w:tc>
        <w:tc>
          <w:tcPr>
            <w:tcW w:w="43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1(批)</w:t>
            </w:r>
          </w:p>
        </w:tc>
        <w:tc>
          <w:tcPr>
            <w:tcW w:w="7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详见采购文件</w:t>
            </w:r>
          </w:p>
        </w:tc>
        <w:tc>
          <w:tcPr>
            <w:tcW w:w="5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kern w:val="2"/>
                <w:sz w:val="24"/>
                <w:szCs w:val="24"/>
              </w:rPr>
            </w:pPr>
            <w:r>
              <w:rPr>
                <w:rFonts w:hint="eastAsia" w:ascii="宋体" w:hAnsi="宋体" w:eastAsia="宋体" w:cs="宋体"/>
                <w:kern w:val="0"/>
                <w:sz w:val="24"/>
                <w:szCs w:val="24"/>
                <w:vertAlign w:val="baseline"/>
                <w:lang w:val="en-US" w:eastAsia="zh-CN" w:bidi="ar"/>
              </w:rPr>
              <w:t>690,000.00</w:t>
            </w:r>
          </w:p>
        </w:tc>
        <w:tc>
          <w:tcPr>
            <w:tcW w:w="5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kern w:val="2"/>
                <w:sz w:val="24"/>
                <w:szCs w:val="24"/>
              </w:rPr>
            </w:pPr>
            <w:r>
              <w:rPr>
                <w:rFonts w:hint="eastAsia" w:ascii="宋体" w:hAnsi="宋体" w:eastAsia="宋体" w:cs="宋体"/>
                <w:kern w:val="0"/>
                <w:sz w:val="24"/>
                <w:szCs w:val="24"/>
                <w:vertAlign w:val="baseline"/>
                <w:lang w:val="en-US" w:eastAsia="zh-CN" w:bidi="ar"/>
              </w:rPr>
              <w:t>690,000.00</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本合同包不接受联合体投标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63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合同履行期限：自合同签订之日起一年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二、申请人的资格要求：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1.满足《中华人民共和国政府采购法》第二十二条规定;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2.落实政府采购政策需满足的资格要求：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合同包1(谭家街道办事处廉政灶采买项目)落实政府采购政策需满足的资格要求如下: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本项目为专门面向中小企业项目，供应商应为中型企业或小型、微型企业或监狱企业或残疾人福利性单位。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3.本项目的特定资格要求：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合同包1(谭家街道办事处廉政灶采买项目)特定资格要求如下: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1、提供有效合格的具有社会统一信用代码的营业执照，其他组织经营的须提供合法凭证；</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2、财务状况报告：提供2021年度经审计的财务报告或开标日期前三个月内其基本存款账户开户银行出具的资信证明及基本存款账户开户许可证（基本账户信息表）；</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3、税收缴纳证明：提供2022年1月至今已缴纳的至少一个月的纳税证明，依法免税的单位应提供相关证明材料；</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4、社会保障资金缴纳证明：提供2022年1月至今已缴存的至少一个月的社会保障资金缴存单据或社保机构开具的社会保险参保缴费情况证明，依法不需要缴纳社会保障资金的单位应提供相关证明材料；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5、具备履行合同所必须的设备和专业技术能力的书面声明;</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6、参加政府采购活动前三年内，在经营活动中没有重大违法记录的书面声明；</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7、法定代表人授权他人参加磋商的，须提供法定代表人授权书（附法定代表人、被授权人身份证复印件）及被授权人身份证原件（法定代表人直接参加磋商，须提供法定代表人身份证明及身份证原件）；非法人单位参照执行；</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8、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br w:type="textWrapping"/>
      </w: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9、供应商为生产厂家的须具有《食品生产许可证》、《食品经营许可证》及《动物防疫条件合格证》（仅肉类）；供应商为代理商的须提供《食品经营许可证》，并提供所代理产品生产厂家的《食品生产许可证》及《动物防疫条件合格证》（仅肉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三、获取采购文件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时间：2023年04月14日至2023年04月20日，每天上午09:00:00至12:00:00，下午14:00:00至17:00:00（北京时间）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途径：陕西省西安市碑林区长安国际F座办公楼19楼07室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方式：现场获取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售价：0元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四、响应文件提交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截止时间：2023年04月24日09时30分00秒（北京时间）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地点：陕西省西安市碑林区长安国际F座办公楼19楼07室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五、开启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时间：2023年04月24日09时30分00秒（北京时间）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地点：陕西省西安市碑林区长安国际F座办公楼19楼07室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六、公告期限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自本公告发布之日起3个工作日。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七、其他补充事宜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72"/>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1.领取磋商文件时须提供单位介绍信原件、本人身份证原件及加盖公章的复印件。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72"/>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2.提示：请供应商按照陕西省财政厅关于政府采购供应商注册登记有关事项的通知中的要求，通过陕西省政府采购网（http://www.ccgp-shaanxi.gov.cn/）注册登记加入陕西省政府采购供应商库。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3.依据《中华人民共和国政府采购法》和《中华人民共和国政府采购法实施条例》的有关规定，落实政府采购政策，合同包1(谭家街道办事处廉政灶采买项目)包含但不限于以下政策：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1）《政府采购促进中小企业发展管理办法》（财库〔2020〕46号）；（2）《财政部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6）《三部门联合发布关于促进残疾人就业政府采购政策的通知》（财库〔2017〕141号）；（7）《财政部发展改革委生态环境部市场监管总局关于调整优化节能产品、环境标志产品政府采购执行机制的通知》（财库〔2019〕9号）；（8）陕西省财政厅关于印发《陕西省中小企业政府采购信用融资办法》（陕财办采〔2018〕23号）；（9）《财政部农业农村部国家乡村振兴局关于运用政府采购政策支持乡村产业振兴的通知》（财库〔2021〕19号）；（10）《财政部农业农村部国家乡村振兴局中华全国供销合作总社关于印发&lt;关于深入开展政府采购脱贫地区农副产品工作推进乡村产业振兴的实施意见&gt;的通知》（财库〔2021〕20号）；（11）其他需要落实的政府采购政策，详见采购文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452"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bCs/>
          <w:i w:val="0"/>
          <w:iCs w:val="0"/>
          <w:caps w:val="0"/>
          <w:color w:val="333333"/>
          <w:spacing w:val="0"/>
          <w:kern w:val="0"/>
          <w:sz w:val="24"/>
          <w:szCs w:val="24"/>
          <w:shd w:val="clear" w:fill="FFFFFF"/>
          <w:vertAlign w:val="baseline"/>
          <w:lang w:val="en-US" w:eastAsia="zh-CN" w:bidi="ar"/>
        </w:rPr>
        <w:t>八、对本次招标提出询问，请按以下方式联系。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i w:val="0"/>
          <w:iCs w:val="0"/>
          <w:caps w:val="0"/>
          <w:color w:val="333333"/>
          <w:spacing w:val="0"/>
          <w:kern w:val="0"/>
          <w:sz w:val="24"/>
          <w:szCs w:val="24"/>
          <w:shd w:val="clear" w:fill="FFFFFF"/>
          <w:vertAlign w:val="baseline"/>
          <w:lang w:val="en-US" w:eastAsia="zh-CN" w:bidi="ar"/>
        </w:rPr>
        <w:t>1.采购人信息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名称：西安市未央区谭家街道办事处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地址：未央区渭滨街158号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联系方式：029-87913019</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i w:val="0"/>
          <w:iCs w:val="0"/>
          <w:caps w:val="0"/>
          <w:color w:val="333333"/>
          <w:spacing w:val="0"/>
          <w:kern w:val="0"/>
          <w:sz w:val="24"/>
          <w:szCs w:val="24"/>
          <w:shd w:val="clear" w:fill="FFFFFF"/>
          <w:vertAlign w:val="baseline"/>
          <w:lang w:val="en-US" w:eastAsia="zh-CN" w:bidi="ar"/>
        </w:rPr>
        <w:t>2.采购代理机构信息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名称：西北国际（陕西）造价管理集团有限公司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地址：陕西省西安市碑林区长安国际F座办公楼19楼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联系方式：15389075380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jc w:val="left"/>
        <w:textAlignment w:val="baseline"/>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i w:val="0"/>
          <w:iCs w:val="0"/>
          <w:caps w:val="0"/>
          <w:color w:val="333333"/>
          <w:spacing w:val="0"/>
          <w:kern w:val="0"/>
          <w:sz w:val="24"/>
          <w:szCs w:val="24"/>
          <w:shd w:val="clear" w:fill="FFFFFF"/>
          <w:vertAlign w:val="baseline"/>
          <w:lang w:val="en-US" w:eastAsia="zh-CN" w:bidi="ar"/>
        </w:rPr>
        <w:t>3.项目联系方式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项目联系人：赵工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both"/>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电话：15389075380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right"/>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西北国际（陕西）造价管理集团有限公司</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300" w:beforeAutospacing="0" w:after="300" w:afterAutospacing="0" w:line="360" w:lineRule="auto"/>
        <w:ind w:left="0" w:right="0" w:firstLine="480"/>
        <w:jc w:val="right"/>
        <w:textAlignment w:val="baseline"/>
        <w:rPr>
          <w:rFonts w:hint="eastAsia" w:ascii="宋体" w:hAnsi="宋体" w:eastAsia="宋体" w:cs="宋体"/>
          <w:kern w:val="0"/>
          <w:sz w:val="24"/>
          <w:szCs w:val="24"/>
          <w:lang w:val="en-US" w:eastAsia="zh-CN" w:bidi="ar"/>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2023年04月13日</w:t>
      </w:r>
    </w:p>
    <w:p>
      <w:pPr>
        <w:shd w:val="clear" w:color="auto" w:fill="FFFFFF"/>
        <w:spacing w:before="0" w:after="0" w:line="360" w:lineRule="auto"/>
        <w:outlineLvl w:val="9"/>
        <w:rPr>
          <w:rFonts w:hint="eastAsia" w:ascii="宋体" w:hAnsi="宋体" w:eastAsia="宋体" w:cs="宋体"/>
          <w:b w:val="0"/>
          <w:bCs w:val="0"/>
          <w:color w:val="auto"/>
          <w:sz w:val="24"/>
          <w:szCs w:val="24"/>
          <w:highlight w:val="none"/>
        </w:rPr>
      </w:pPr>
    </w:p>
    <w:p>
      <w:pPr>
        <w:pStyle w:val="3"/>
        <w:keepNext w:val="0"/>
        <w:keepLines/>
        <w:pageBreakBefore/>
        <w:spacing w:line="360" w:lineRule="auto"/>
        <w:jc w:val="center"/>
        <w:rPr>
          <w:rFonts w:hint="eastAsia" w:ascii="宋体" w:hAnsi="宋体" w:eastAsia="宋体" w:cs="宋体"/>
          <w:bCs/>
          <w:color w:val="auto"/>
          <w:sz w:val="36"/>
          <w:szCs w:val="36"/>
          <w:highlight w:val="none"/>
        </w:rPr>
      </w:pPr>
      <w:bookmarkStart w:id="25" w:name="_Toc5393"/>
      <w:bookmarkStart w:id="26" w:name="_Toc9318"/>
      <w:bookmarkStart w:id="27" w:name="_Toc13524"/>
      <w:bookmarkStart w:id="28" w:name="_Toc26119"/>
      <w:bookmarkStart w:id="29" w:name="_Toc28100"/>
      <w:bookmarkStart w:id="30" w:name="_Toc7567_WPSOffice_Level1"/>
      <w:bookmarkStart w:id="31" w:name="_Toc2531"/>
      <w:bookmarkStart w:id="32" w:name="_Toc28680"/>
      <w:bookmarkStart w:id="33" w:name="_Toc12290"/>
      <w:bookmarkStart w:id="34" w:name="_Toc1310"/>
      <w:bookmarkStart w:id="35" w:name="_Toc9077"/>
      <w:bookmarkStart w:id="36" w:name="_Toc26889_WPSOffice_Level1"/>
      <w:bookmarkStart w:id="37" w:name="_Toc9860"/>
      <w:r>
        <w:rPr>
          <w:rFonts w:hint="eastAsia" w:ascii="宋体" w:hAnsi="宋体" w:eastAsia="宋体" w:cs="宋体"/>
          <w:bCs/>
          <w:color w:val="auto"/>
          <w:sz w:val="36"/>
          <w:szCs w:val="36"/>
          <w:highlight w:val="none"/>
        </w:rPr>
        <w:t xml:space="preserve">第二章  </w:t>
      </w:r>
      <w:bookmarkEnd w:id="18"/>
      <w:bookmarkEnd w:id="19"/>
      <w:r>
        <w:rPr>
          <w:rFonts w:hint="eastAsia" w:ascii="宋体" w:hAnsi="宋体" w:eastAsia="宋体" w:cs="宋体"/>
          <w:bCs/>
          <w:color w:val="auto"/>
          <w:sz w:val="36"/>
          <w:szCs w:val="36"/>
          <w:highlight w:val="none"/>
        </w:rPr>
        <w:t>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line="360" w:lineRule="auto"/>
        <w:jc w:val="center"/>
        <w:rPr>
          <w:rFonts w:hint="eastAsia" w:ascii="宋体" w:hAnsi="宋体" w:eastAsia="宋体" w:cs="宋体"/>
          <w:color w:val="auto"/>
          <w:sz w:val="32"/>
          <w:highlight w:val="none"/>
        </w:rPr>
      </w:pPr>
      <w:bookmarkStart w:id="38" w:name="_Toc423973073"/>
      <w:bookmarkStart w:id="39" w:name="_Toc2257"/>
      <w:bookmarkStart w:id="40" w:name="_Toc19364"/>
      <w:r>
        <w:rPr>
          <w:rFonts w:hint="eastAsia" w:ascii="宋体" w:hAnsi="宋体" w:eastAsia="宋体" w:cs="宋体"/>
          <w:b/>
          <w:bCs/>
          <w:color w:val="auto"/>
          <w:sz w:val="32"/>
          <w:highlight w:val="none"/>
        </w:rPr>
        <w:t>供应商须知前附表</w:t>
      </w:r>
      <w:bookmarkEnd w:id="38"/>
      <w:bookmarkEnd w:id="39"/>
      <w:bookmarkEnd w:id="40"/>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295"/>
        <w:gridCol w:w="6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58" w:type="dxa"/>
            <w:vAlign w:val="center"/>
          </w:tcPr>
          <w:p>
            <w:pPr>
              <w:spacing w:line="240" w:lineRule="auto"/>
              <w:jc w:val="center"/>
              <w:rPr>
                <w:rFonts w:ascii="宋体" w:hAnsi="宋体" w:cs="宋体"/>
                <w:szCs w:val="24"/>
              </w:rPr>
            </w:pPr>
            <w:bookmarkStart w:id="41" w:name="_Toc403077639"/>
            <w:bookmarkStart w:id="42" w:name="_Toc363473972"/>
            <w:bookmarkStart w:id="43" w:name="_Toc363474017"/>
            <w:bookmarkStart w:id="44" w:name="_Toc403077645"/>
            <w:bookmarkStart w:id="45" w:name="_Toc25783"/>
            <w:bookmarkStart w:id="46" w:name="_Toc363474023"/>
            <w:r>
              <w:rPr>
                <w:rFonts w:hint="eastAsia" w:ascii="宋体" w:hAnsi="宋体" w:cs="宋体"/>
                <w:szCs w:val="24"/>
              </w:rPr>
              <w:t>条款</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条款名称</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658" w:type="dxa"/>
            <w:vAlign w:val="center"/>
          </w:tcPr>
          <w:p>
            <w:pPr>
              <w:spacing w:line="240" w:lineRule="auto"/>
              <w:jc w:val="center"/>
              <w:rPr>
                <w:rFonts w:ascii="宋体" w:hAnsi="宋体" w:cs="宋体"/>
                <w:szCs w:val="24"/>
              </w:rPr>
            </w:pPr>
            <w:r>
              <w:rPr>
                <w:rFonts w:hint="eastAsia" w:ascii="宋体" w:hAnsi="宋体" w:cs="宋体"/>
                <w:szCs w:val="24"/>
              </w:rPr>
              <w:t>1</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采购人</w:t>
            </w:r>
          </w:p>
        </w:tc>
        <w:tc>
          <w:tcPr>
            <w:tcW w:w="6006" w:type="dxa"/>
            <w:vAlign w:val="center"/>
          </w:tcPr>
          <w:p>
            <w:pPr>
              <w:spacing w:line="240" w:lineRule="auto"/>
              <w:jc w:val="both"/>
            </w:pPr>
            <w:r>
              <w:rPr>
                <w:rFonts w:hint="eastAsia"/>
              </w:rPr>
              <w:t>采购人名称：</w:t>
            </w:r>
            <w:r>
              <w:rPr>
                <w:rFonts w:hint="eastAsia"/>
                <w:lang w:eastAsia="zh-CN"/>
              </w:rPr>
              <w:t>西安市未央区谭家街道办事处</w:t>
            </w:r>
          </w:p>
          <w:p>
            <w:pPr>
              <w:spacing w:line="240" w:lineRule="auto"/>
              <w:jc w:val="both"/>
            </w:pPr>
            <w:r>
              <w:rPr>
                <w:rFonts w:hint="eastAsia"/>
              </w:rPr>
              <w:t>地址：</w:t>
            </w:r>
            <w:r>
              <w:rPr>
                <w:rFonts w:hint="eastAsia"/>
                <w:lang w:eastAsia="zh-CN"/>
              </w:rPr>
              <w:t>未央区渭滨街158号</w:t>
            </w:r>
          </w:p>
          <w:p>
            <w:pPr>
              <w:spacing w:line="240" w:lineRule="auto"/>
              <w:jc w:val="both"/>
              <w:rPr>
                <w:rFonts w:hint="default" w:eastAsia="宋体"/>
                <w:lang w:val="en-US" w:eastAsia="zh-CN"/>
              </w:rPr>
            </w:pPr>
            <w:r>
              <w:rPr>
                <w:rFonts w:hint="eastAsia"/>
              </w:rPr>
              <w:t>联系人：</w:t>
            </w:r>
            <w:r>
              <w:rPr>
                <w:rFonts w:hint="eastAsia"/>
                <w:lang w:val="en-US" w:eastAsia="zh-CN"/>
              </w:rPr>
              <w:t>方工</w:t>
            </w:r>
          </w:p>
          <w:p>
            <w:pPr>
              <w:pStyle w:val="2"/>
              <w:ind w:left="0" w:leftChars="0" w:firstLine="0" w:firstLineChars="0"/>
              <w:rPr>
                <w:rFonts w:hint="eastAsia" w:eastAsia="宋体"/>
                <w:lang w:val="en-US" w:eastAsia="zh-CN"/>
              </w:rPr>
            </w:pPr>
            <w:r>
              <w:rPr>
                <w:rFonts w:hint="eastAsia" w:cs="宋体"/>
                <w:szCs w:val="24"/>
                <w:lang w:val="en-US" w:eastAsia="zh-CN"/>
              </w:rPr>
              <w:t>联系方式：029-87913019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658" w:type="dxa"/>
            <w:vAlign w:val="center"/>
          </w:tcPr>
          <w:p>
            <w:pPr>
              <w:spacing w:line="240" w:lineRule="auto"/>
              <w:jc w:val="center"/>
              <w:rPr>
                <w:rFonts w:ascii="宋体" w:hAnsi="宋体" w:cs="宋体"/>
                <w:szCs w:val="24"/>
              </w:rPr>
            </w:pPr>
            <w:r>
              <w:rPr>
                <w:rFonts w:hint="eastAsia" w:ascii="宋体" w:hAnsi="宋体" w:cs="宋体"/>
                <w:szCs w:val="24"/>
              </w:rPr>
              <w:t>2</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采购代理机构</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名称：</w:t>
            </w:r>
            <w:r>
              <w:rPr>
                <w:rFonts w:hint="eastAsia" w:ascii="宋体" w:hAnsi="宋体" w:cs="宋体"/>
                <w:szCs w:val="24"/>
                <w:lang w:eastAsia="zh-CN"/>
              </w:rPr>
              <w:t>西北国际（陕西）造价管理集团有限公司</w:t>
            </w:r>
          </w:p>
          <w:p>
            <w:pPr>
              <w:spacing w:line="240" w:lineRule="auto"/>
              <w:jc w:val="both"/>
              <w:rPr>
                <w:rFonts w:ascii="宋体" w:hAnsi="宋体" w:cs="宋体"/>
                <w:szCs w:val="24"/>
              </w:rPr>
            </w:pPr>
            <w:r>
              <w:rPr>
                <w:rFonts w:hint="eastAsia" w:ascii="宋体" w:hAnsi="宋体" w:cs="宋体"/>
                <w:szCs w:val="24"/>
              </w:rPr>
              <w:t>地址：</w:t>
            </w:r>
            <w:r>
              <w:rPr>
                <w:rFonts w:hint="eastAsia" w:ascii="宋体" w:hAnsi="宋体" w:cs="宋体"/>
                <w:szCs w:val="24"/>
                <w:lang w:eastAsia="zh-CN"/>
              </w:rPr>
              <w:t>陕西省西安市碑林区长安国际F座办公楼19楼</w:t>
            </w:r>
          </w:p>
          <w:p>
            <w:pPr>
              <w:spacing w:line="240" w:lineRule="auto"/>
              <w:jc w:val="both"/>
              <w:rPr>
                <w:rFonts w:hint="default" w:ascii="宋体" w:hAnsi="宋体" w:eastAsia="宋体" w:cs="宋体"/>
                <w:szCs w:val="24"/>
                <w:lang w:val="en-US" w:eastAsia="zh-CN"/>
              </w:rPr>
            </w:pPr>
            <w:r>
              <w:rPr>
                <w:rFonts w:hint="eastAsia" w:ascii="宋体" w:hAnsi="宋体" w:cs="宋体"/>
                <w:szCs w:val="24"/>
              </w:rPr>
              <w:t>联系人：</w:t>
            </w:r>
            <w:r>
              <w:rPr>
                <w:rFonts w:hint="eastAsia" w:ascii="宋体" w:hAnsi="宋体" w:cs="宋体"/>
                <w:szCs w:val="24"/>
                <w:lang w:val="en-US" w:eastAsia="zh-CN"/>
              </w:rPr>
              <w:t>赵工</w:t>
            </w:r>
          </w:p>
          <w:p>
            <w:pPr>
              <w:spacing w:line="240" w:lineRule="auto"/>
              <w:jc w:val="both"/>
              <w:rPr>
                <w:rFonts w:ascii="宋体" w:hAnsi="宋体" w:cs="宋体"/>
                <w:szCs w:val="24"/>
              </w:rPr>
            </w:pPr>
            <w:r>
              <w:rPr>
                <w:rFonts w:hint="eastAsia" w:ascii="宋体" w:hAnsi="宋体" w:cs="宋体"/>
                <w:szCs w:val="24"/>
              </w:rPr>
              <w:t>联系电话：</w:t>
            </w:r>
            <w:r>
              <w:rPr>
                <w:rFonts w:hint="eastAsia" w:ascii="宋体" w:hAnsi="宋体" w:cs="宋体"/>
                <w:szCs w:val="24"/>
                <w:lang w:eastAsia="zh-CN"/>
              </w:rPr>
              <w:t>15389075380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58" w:type="dxa"/>
            <w:vAlign w:val="center"/>
          </w:tcPr>
          <w:p>
            <w:pPr>
              <w:spacing w:line="240" w:lineRule="auto"/>
              <w:jc w:val="center"/>
              <w:rPr>
                <w:rFonts w:ascii="宋体" w:hAnsi="宋体" w:cs="宋体"/>
                <w:szCs w:val="24"/>
              </w:rPr>
            </w:pPr>
            <w:r>
              <w:rPr>
                <w:rFonts w:hint="eastAsia" w:ascii="宋体" w:hAnsi="宋体" w:cs="宋体"/>
                <w:szCs w:val="24"/>
              </w:rPr>
              <w:t>3</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项目名称</w:t>
            </w:r>
          </w:p>
        </w:tc>
        <w:tc>
          <w:tcPr>
            <w:tcW w:w="6006" w:type="dxa"/>
            <w:vAlign w:val="center"/>
          </w:tcPr>
          <w:p>
            <w:pPr>
              <w:spacing w:line="240" w:lineRule="auto"/>
              <w:jc w:val="both"/>
              <w:rPr>
                <w:rFonts w:ascii="宋体" w:hAnsi="宋体" w:cs="宋体"/>
                <w:szCs w:val="24"/>
              </w:rPr>
            </w:pPr>
            <w:r>
              <w:rPr>
                <w:rFonts w:hint="eastAsia" w:ascii="宋体" w:hAnsi="宋体" w:cs="宋体"/>
                <w:szCs w:val="24"/>
                <w:lang w:eastAsia="zh-CN"/>
              </w:rPr>
              <w:t>谭家街道办事处廉政灶采买项目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658" w:type="dxa"/>
            <w:vAlign w:val="center"/>
          </w:tcPr>
          <w:p>
            <w:pPr>
              <w:spacing w:line="240" w:lineRule="auto"/>
              <w:jc w:val="center"/>
              <w:rPr>
                <w:rFonts w:ascii="宋体" w:hAnsi="宋体" w:cs="宋体"/>
                <w:szCs w:val="24"/>
              </w:rPr>
            </w:pPr>
            <w:r>
              <w:rPr>
                <w:rFonts w:hint="eastAsia" w:ascii="宋体" w:hAnsi="宋体" w:cs="宋体"/>
                <w:szCs w:val="24"/>
              </w:rPr>
              <w:t>4</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招标文件</w:t>
            </w:r>
          </w:p>
          <w:p>
            <w:pPr>
              <w:spacing w:line="240" w:lineRule="auto"/>
              <w:jc w:val="center"/>
              <w:rPr>
                <w:rFonts w:ascii="宋体" w:hAnsi="宋体" w:cs="宋体"/>
                <w:szCs w:val="24"/>
              </w:rPr>
            </w:pPr>
            <w:r>
              <w:rPr>
                <w:rFonts w:hint="eastAsia" w:ascii="宋体" w:hAnsi="宋体" w:cs="宋体"/>
                <w:szCs w:val="24"/>
              </w:rPr>
              <w:t>获取时间</w:t>
            </w:r>
          </w:p>
        </w:tc>
        <w:tc>
          <w:tcPr>
            <w:tcW w:w="6006" w:type="dxa"/>
            <w:vAlign w:val="center"/>
          </w:tcPr>
          <w:p>
            <w:pPr>
              <w:spacing w:line="240" w:lineRule="auto"/>
              <w:jc w:val="both"/>
              <w:rPr>
                <w:rFonts w:ascii="宋体" w:hAnsi="宋体" w:cs="宋体"/>
                <w:szCs w:val="24"/>
              </w:rPr>
            </w:pPr>
            <w:r>
              <w:rPr>
                <w:rFonts w:hint="eastAsia" w:ascii="宋体" w:hAnsi="宋体" w:cs="宋体"/>
                <w:szCs w:val="24"/>
                <w:lang w:eastAsia="zh-CN"/>
              </w:rPr>
              <w:t>2023年</w:t>
            </w:r>
            <w:r>
              <w:rPr>
                <w:rFonts w:hint="eastAsia" w:hAnsi="宋体" w:cs="宋体"/>
                <w:szCs w:val="24"/>
                <w:lang w:val="en-US" w:eastAsia="zh-CN"/>
              </w:rPr>
              <w:t>04</w:t>
            </w:r>
            <w:r>
              <w:rPr>
                <w:rFonts w:hint="eastAsia" w:ascii="宋体" w:hAnsi="宋体" w:cs="宋体"/>
                <w:szCs w:val="24"/>
              </w:rPr>
              <w:t>月</w:t>
            </w:r>
            <w:r>
              <w:rPr>
                <w:rFonts w:hint="eastAsia" w:hAnsi="宋体" w:cs="宋体"/>
                <w:szCs w:val="24"/>
                <w:lang w:val="en-US" w:eastAsia="zh-CN"/>
              </w:rPr>
              <w:t>14</w:t>
            </w:r>
            <w:r>
              <w:rPr>
                <w:rFonts w:hint="eastAsia" w:ascii="宋体" w:hAnsi="宋体" w:cs="宋体"/>
                <w:szCs w:val="24"/>
              </w:rPr>
              <w:t>日至</w:t>
            </w:r>
            <w:r>
              <w:rPr>
                <w:rFonts w:hint="eastAsia" w:ascii="宋体" w:hAnsi="宋体" w:cs="宋体"/>
                <w:szCs w:val="24"/>
                <w:lang w:eastAsia="zh-CN"/>
              </w:rPr>
              <w:t>2023年</w:t>
            </w:r>
            <w:r>
              <w:rPr>
                <w:rFonts w:hint="eastAsia" w:hAnsi="宋体" w:cs="宋体"/>
                <w:szCs w:val="24"/>
                <w:lang w:val="en-US" w:eastAsia="zh-CN"/>
              </w:rPr>
              <w:t>04</w:t>
            </w:r>
            <w:r>
              <w:rPr>
                <w:rFonts w:hint="eastAsia" w:ascii="宋体" w:hAnsi="宋体" w:cs="宋体"/>
                <w:szCs w:val="24"/>
              </w:rPr>
              <w:t>月</w:t>
            </w:r>
            <w:r>
              <w:rPr>
                <w:rFonts w:hint="eastAsia" w:hAnsi="宋体" w:cs="宋体"/>
                <w:szCs w:val="24"/>
                <w:lang w:val="en-US" w:eastAsia="zh-CN"/>
              </w:rPr>
              <w:t>20</w:t>
            </w:r>
            <w:r>
              <w:rPr>
                <w:rFonts w:hint="eastAsia" w:ascii="宋体" w:hAnsi="宋体" w:cs="宋体"/>
                <w:szCs w:val="24"/>
              </w:rPr>
              <w:t>日，每天上午0</w:t>
            </w:r>
            <w:r>
              <w:rPr>
                <w:rFonts w:hint="eastAsia" w:ascii="宋体" w:hAnsi="宋体" w:cs="宋体"/>
                <w:szCs w:val="24"/>
                <w:lang w:val="en-US" w:eastAsia="zh-CN"/>
              </w:rPr>
              <w:t>9</w:t>
            </w:r>
            <w:r>
              <w:rPr>
                <w:rFonts w:hint="eastAsia" w:ascii="宋体" w:hAnsi="宋体" w:cs="宋体"/>
                <w:szCs w:val="24"/>
              </w:rPr>
              <w:t>:00:00至12:00:00，下午1</w:t>
            </w:r>
            <w:r>
              <w:rPr>
                <w:rFonts w:hint="eastAsia" w:ascii="宋体" w:hAnsi="宋体" w:cs="宋体"/>
                <w:szCs w:val="24"/>
                <w:lang w:val="en-US" w:eastAsia="zh-CN"/>
              </w:rPr>
              <w:t>4</w:t>
            </w:r>
            <w:r>
              <w:rPr>
                <w:rFonts w:hint="eastAsia" w:ascii="宋体" w:hAnsi="宋体" w:cs="宋体"/>
                <w:szCs w:val="24"/>
              </w:rPr>
              <w:t>:00:00至</w:t>
            </w:r>
            <w:r>
              <w:rPr>
                <w:rFonts w:hint="eastAsia" w:ascii="宋体" w:hAnsi="宋体" w:cs="宋体"/>
                <w:szCs w:val="24"/>
                <w:lang w:val="en-US" w:eastAsia="zh-CN"/>
              </w:rPr>
              <w:t>17</w:t>
            </w:r>
            <w:r>
              <w:rPr>
                <w:rFonts w:hint="eastAsia" w:ascii="宋体" w:hAnsi="宋体" w:cs="宋体"/>
                <w:szCs w:val="24"/>
              </w:rPr>
              <w:t>:</w:t>
            </w:r>
            <w:r>
              <w:rPr>
                <w:rFonts w:hint="eastAsia" w:ascii="宋体" w:hAnsi="宋体" w:cs="宋体"/>
                <w:szCs w:val="24"/>
                <w:lang w:val="en-US" w:eastAsia="zh-CN"/>
              </w:rPr>
              <w:t>00</w:t>
            </w:r>
            <w:r>
              <w:rPr>
                <w:rFonts w:hint="eastAsia" w:ascii="宋体" w:hAnsi="宋体" w:cs="宋体"/>
                <w:szCs w:val="24"/>
              </w:rPr>
              <w:t>:</w:t>
            </w:r>
            <w:r>
              <w:rPr>
                <w:rFonts w:hint="eastAsia" w:ascii="宋体" w:hAnsi="宋体" w:cs="宋体"/>
                <w:szCs w:val="24"/>
                <w:lang w:val="en-US" w:eastAsia="zh-CN"/>
              </w:rPr>
              <w:t>00</w:t>
            </w:r>
            <w:r>
              <w:rPr>
                <w:rFonts w:hint="eastAsia" w:ascii="宋体" w:hAnsi="宋体" w:cs="宋体"/>
                <w:szCs w:val="24"/>
              </w:rPr>
              <w:t>（北京时间,法定节假日除外）</w:t>
            </w:r>
            <w:r>
              <w:rPr>
                <w:rFonts w:hint="eastAsia" w:ascii="宋体" w:hAnsi="宋体" w:cs="宋体"/>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8" w:type="dxa"/>
            <w:vAlign w:val="center"/>
          </w:tcPr>
          <w:p>
            <w:pPr>
              <w:spacing w:line="240" w:lineRule="auto"/>
              <w:jc w:val="center"/>
              <w:rPr>
                <w:rFonts w:ascii="宋体" w:hAnsi="宋体" w:cs="宋体"/>
                <w:szCs w:val="24"/>
              </w:rPr>
            </w:pPr>
            <w:r>
              <w:rPr>
                <w:rFonts w:hint="eastAsia" w:ascii="宋体" w:hAnsi="宋体" w:cs="宋体"/>
                <w:szCs w:val="24"/>
              </w:rPr>
              <w:t>5</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资金来源</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jc w:val="center"/>
        </w:trPr>
        <w:tc>
          <w:tcPr>
            <w:tcW w:w="658" w:type="dxa"/>
            <w:vAlign w:val="center"/>
          </w:tcPr>
          <w:p>
            <w:pPr>
              <w:spacing w:line="240" w:lineRule="auto"/>
              <w:jc w:val="center"/>
              <w:rPr>
                <w:rFonts w:ascii="宋体" w:hAnsi="宋体" w:cs="宋体"/>
                <w:szCs w:val="24"/>
              </w:rPr>
            </w:pPr>
            <w:r>
              <w:rPr>
                <w:rFonts w:hint="eastAsia" w:ascii="宋体" w:hAnsi="宋体" w:cs="宋体"/>
                <w:szCs w:val="24"/>
              </w:rPr>
              <w:t>6</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采购预算</w:t>
            </w:r>
          </w:p>
        </w:tc>
        <w:tc>
          <w:tcPr>
            <w:tcW w:w="6006" w:type="dxa"/>
            <w:vAlign w:val="center"/>
          </w:tcPr>
          <w:p>
            <w:pPr>
              <w:spacing w:line="240" w:lineRule="auto"/>
              <w:jc w:val="both"/>
              <w:rPr>
                <w:rFonts w:hint="default" w:ascii="宋体" w:hAnsi="宋体" w:eastAsia="宋体" w:cs="宋体"/>
                <w:szCs w:val="24"/>
                <w:shd w:val="clear" w:color="auto" w:fill="FFFFFF"/>
                <w:lang w:val="en-US" w:eastAsia="zh-CN"/>
              </w:rPr>
            </w:pPr>
            <w:r>
              <w:rPr>
                <w:rFonts w:hint="eastAsia" w:ascii="宋体" w:hAnsi="宋体" w:cs="宋体"/>
                <w:szCs w:val="24"/>
                <w:shd w:val="clear" w:color="auto" w:fill="FFFFFF"/>
                <w:lang w:val="en-US" w:eastAsia="zh-CN"/>
              </w:rPr>
              <w:t>690000.00元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658" w:type="dxa"/>
            <w:vAlign w:val="center"/>
          </w:tcPr>
          <w:p>
            <w:pPr>
              <w:spacing w:line="240" w:lineRule="auto"/>
              <w:jc w:val="center"/>
              <w:rPr>
                <w:rFonts w:hint="eastAsia" w:ascii="宋体" w:hAnsi="宋体" w:eastAsia="宋体" w:cs="宋体"/>
                <w:szCs w:val="24"/>
                <w:lang w:eastAsia="zh-CN"/>
              </w:rPr>
            </w:pPr>
            <w:r>
              <w:rPr>
                <w:rFonts w:hint="eastAsia" w:ascii="宋体" w:hAnsi="宋体" w:cs="宋体"/>
                <w:szCs w:val="24"/>
                <w:lang w:val="en-US" w:eastAsia="zh-CN"/>
              </w:rPr>
              <w:t>7</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投标报价</w:t>
            </w:r>
          </w:p>
        </w:tc>
        <w:tc>
          <w:tcPr>
            <w:tcW w:w="6006" w:type="dxa"/>
            <w:vAlign w:val="center"/>
          </w:tcPr>
          <w:p>
            <w:pPr>
              <w:spacing w:line="240" w:lineRule="auto"/>
              <w:jc w:val="both"/>
              <w:rPr>
                <w:rFonts w:hint="eastAsia" w:ascii="宋体" w:hAnsi="宋体" w:cs="宋体"/>
                <w:szCs w:val="24"/>
                <w:shd w:val="clear" w:color="auto" w:fill="FFFFFF"/>
                <w:lang w:val="zh-CN"/>
              </w:rPr>
            </w:pPr>
            <w:r>
              <w:rPr>
                <w:rFonts w:hint="eastAsia" w:ascii="宋体" w:hAnsi="宋体" w:cs="宋体"/>
                <w:szCs w:val="24"/>
                <w:shd w:val="clear" w:color="auto" w:fill="FFFFFF"/>
                <w:lang w:val="zh-CN"/>
              </w:rPr>
              <w:t>食材折扣以百分比形式报价；最终结算以西安市大型食材市场</w:t>
            </w:r>
            <w:r>
              <w:rPr>
                <w:rFonts w:hint="eastAsia" w:ascii="宋体" w:hAnsi="宋体" w:cs="宋体"/>
                <w:szCs w:val="24"/>
                <w:shd w:val="clear" w:color="auto" w:fill="FFFFFF"/>
              </w:rPr>
              <w:t>的综合均价，</w:t>
            </w:r>
            <w:r>
              <w:rPr>
                <w:rFonts w:hint="eastAsia" w:ascii="宋体" w:hAnsi="宋体" w:cs="宋体"/>
                <w:szCs w:val="24"/>
                <w:shd w:val="clear" w:color="auto" w:fill="FFFFFF"/>
                <w:lang w:val="zh-CN"/>
              </w:rPr>
              <w:t>每日公布食材价*</w:t>
            </w:r>
            <w:r>
              <w:rPr>
                <w:rFonts w:hint="eastAsia" w:ascii="宋体" w:hAnsi="宋体" w:cs="宋体"/>
                <w:szCs w:val="24"/>
                <w:shd w:val="clear" w:color="auto" w:fill="FFFFFF"/>
                <w:lang w:val="en-US" w:eastAsia="zh-CN"/>
              </w:rPr>
              <w:t>供应商</w:t>
            </w:r>
            <w:r>
              <w:rPr>
                <w:rFonts w:hint="eastAsia" w:ascii="宋体" w:hAnsi="宋体" w:cs="宋体"/>
                <w:szCs w:val="24"/>
                <w:shd w:val="clear" w:color="auto" w:fill="FFFFFF"/>
                <w:lang w:val="zh-CN"/>
              </w:rPr>
              <w:t>食材折扣。例如：食材折扣报80%，则结算价格=</w:t>
            </w:r>
            <w:r>
              <w:rPr>
                <w:rFonts w:hint="eastAsia" w:ascii="宋体" w:hAnsi="宋体" w:cs="宋体"/>
                <w:szCs w:val="24"/>
                <w:shd w:val="clear" w:color="auto" w:fill="FFFFFF"/>
                <w:lang w:val="en-US" w:eastAsia="zh-CN"/>
              </w:rPr>
              <w:t>西安市大型食材市场</w:t>
            </w:r>
            <w:r>
              <w:rPr>
                <w:rFonts w:hint="eastAsia" w:ascii="宋体" w:hAnsi="宋体" w:cs="宋体"/>
                <w:szCs w:val="24"/>
                <w:shd w:val="clear" w:color="auto" w:fill="FFFFFF"/>
                <w:lang w:val="zh-CN"/>
              </w:rPr>
              <w:t>公布食材价*80%。</w:t>
            </w:r>
          </w:p>
          <w:p>
            <w:pPr>
              <w:spacing w:line="240" w:lineRule="auto"/>
              <w:jc w:val="both"/>
              <w:rPr>
                <w:rFonts w:hint="eastAsia" w:ascii="宋体" w:hAnsi="宋体" w:cs="宋体"/>
                <w:szCs w:val="24"/>
                <w:shd w:val="clear" w:color="auto" w:fill="FFFFFF"/>
                <w:lang w:val="zh-CN"/>
              </w:rPr>
            </w:pPr>
            <w:r>
              <w:rPr>
                <w:rFonts w:hint="eastAsia" w:ascii="宋体" w:hAnsi="宋体" w:cs="宋体"/>
                <w:szCs w:val="24"/>
                <w:shd w:val="clear" w:color="auto" w:fill="FFFFFF"/>
              </w:rPr>
              <w:t>磋商总报价</w:t>
            </w:r>
            <w:r>
              <w:rPr>
                <w:rFonts w:hint="eastAsia" w:ascii="宋体" w:hAnsi="宋体" w:cs="宋体"/>
                <w:szCs w:val="24"/>
                <w:shd w:val="clear" w:color="auto" w:fill="FFFFFF"/>
                <w:lang w:val="en-US" w:eastAsia="zh-CN"/>
              </w:rPr>
              <w:t>=预算金额*</w:t>
            </w:r>
            <w:r>
              <w:rPr>
                <w:rFonts w:hint="eastAsia" w:ascii="宋体" w:hAnsi="宋体" w:cs="宋体"/>
                <w:szCs w:val="24"/>
                <w:shd w:val="clear" w:color="auto" w:fill="FFFFFF"/>
                <w:lang w:val="zh-CN"/>
              </w:rPr>
              <w:t>食材折扣</w:t>
            </w:r>
          </w:p>
          <w:p>
            <w:pPr>
              <w:spacing w:line="240" w:lineRule="auto"/>
              <w:jc w:val="both"/>
              <w:rPr>
                <w:rFonts w:ascii="宋体" w:hAnsi="宋体" w:cs="宋体"/>
                <w:szCs w:val="24"/>
                <w:shd w:val="clear" w:color="auto" w:fill="FFFFFF"/>
              </w:rPr>
            </w:pPr>
            <w:r>
              <w:rPr>
                <w:rFonts w:hint="eastAsia" w:ascii="宋体" w:hAnsi="宋体" w:cs="宋体"/>
                <w:szCs w:val="24"/>
                <w:shd w:val="clear" w:color="auto" w:fill="FFFFFF"/>
                <w:lang w:val="en-US" w:eastAsia="zh-CN"/>
              </w:rPr>
              <w:t>磋商总报价</w:t>
            </w:r>
            <w:r>
              <w:rPr>
                <w:rFonts w:hint="eastAsia" w:ascii="宋体" w:hAnsi="宋体" w:cs="宋体"/>
                <w:szCs w:val="24"/>
                <w:shd w:val="clear" w:color="auto" w:fill="FFFFFF"/>
              </w:rPr>
              <w:t>为暂定金额，</w:t>
            </w:r>
            <w:r>
              <w:rPr>
                <w:rFonts w:hint="eastAsia" w:ascii="宋体" w:hAnsi="宋体" w:cs="宋体"/>
                <w:szCs w:val="24"/>
                <w:shd w:val="clear" w:color="auto" w:fill="FFFFFF"/>
                <w:lang w:val="en-US" w:eastAsia="zh-CN"/>
              </w:rPr>
              <w:t>结算</w:t>
            </w:r>
            <w:r>
              <w:rPr>
                <w:rFonts w:hint="eastAsia" w:ascii="宋体" w:hAnsi="宋体" w:cs="宋体"/>
                <w:szCs w:val="24"/>
                <w:shd w:val="clear" w:color="auto" w:fill="FFFFFF"/>
              </w:rPr>
              <w:t>以</w:t>
            </w:r>
            <w:r>
              <w:rPr>
                <w:rFonts w:hint="eastAsia" w:ascii="宋体" w:hAnsi="宋体" w:cs="宋体"/>
                <w:szCs w:val="24"/>
                <w:shd w:val="clear" w:color="auto" w:fill="FFFFFF"/>
                <w:lang w:val="en-US" w:eastAsia="zh-CN"/>
              </w:rPr>
              <w:t>食材折扣</w:t>
            </w:r>
            <w:r>
              <w:rPr>
                <w:rFonts w:hint="eastAsia" w:ascii="宋体" w:hAnsi="宋体" w:cs="宋体"/>
                <w:szCs w:val="24"/>
                <w:shd w:val="clear" w:color="auto" w:fill="FFFFFF"/>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8" w:type="dxa"/>
            <w:vAlign w:val="center"/>
          </w:tcPr>
          <w:p>
            <w:pPr>
              <w:spacing w:line="240" w:lineRule="auto"/>
              <w:jc w:val="center"/>
              <w:rPr>
                <w:rFonts w:hint="eastAsia" w:ascii="宋体" w:hAnsi="宋体" w:eastAsia="宋体" w:cs="宋体"/>
                <w:szCs w:val="24"/>
                <w:lang w:eastAsia="zh-CN"/>
              </w:rPr>
            </w:pPr>
            <w:r>
              <w:rPr>
                <w:rFonts w:hint="eastAsia" w:ascii="宋体" w:hAnsi="宋体" w:cs="宋体"/>
                <w:szCs w:val="24"/>
                <w:lang w:val="en-US" w:eastAsia="zh-CN"/>
              </w:rPr>
              <w:t>8</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采购内容</w:t>
            </w:r>
          </w:p>
        </w:tc>
        <w:tc>
          <w:tcPr>
            <w:tcW w:w="6006" w:type="dxa"/>
            <w:vAlign w:val="center"/>
          </w:tcPr>
          <w:p>
            <w:pPr>
              <w:spacing w:line="240" w:lineRule="auto"/>
              <w:jc w:val="both"/>
              <w:rPr>
                <w:rFonts w:hint="default" w:ascii="宋体" w:hAnsi="宋体" w:eastAsia="宋体" w:cs="宋体"/>
                <w:szCs w:val="24"/>
                <w:lang w:val="en-US" w:eastAsia="zh-CN"/>
              </w:rPr>
            </w:pPr>
            <w:r>
              <w:rPr>
                <w:rFonts w:hint="eastAsia" w:hAnsi="宋体" w:cs="宋体"/>
                <w:szCs w:val="24"/>
                <w:lang w:val="en-US" w:eastAsia="zh-CN"/>
              </w:rPr>
              <w:t>详见采购需求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1" w:hRule="atLeast"/>
          <w:jc w:val="center"/>
        </w:trPr>
        <w:tc>
          <w:tcPr>
            <w:tcW w:w="658" w:type="dxa"/>
            <w:vAlign w:val="center"/>
          </w:tcPr>
          <w:p>
            <w:pPr>
              <w:spacing w:line="240" w:lineRule="auto"/>
              <w:jc w:val="center"/>
              <w:rPr>
                <w:rFonts w:hint="eastAsia" w:ascii="宋体" w:hAnsi="宋体" w:eastAsia="宋体" w:cs="宋体"/>
                <w:szCs w:val="24"/>
                <w:lang w:eastAsia="zh-CN"/>
              </w:rPr>
            </w:pPr>
            <w:r>
              <w:rPr>
                <w:rFonts w:hint="eastAsia" w:ascii="宋体" w:hAnsi="宋体" w:cs="宋体"/>
                <w:szCs w:val="24"/>
                <w:lang w:val="en-US" w:eastAsia="zh-CN"/>
              </w:rPr>
              <w:t>9</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服务期</w:t>
            </w:r>
          </w:p>
        </w:tc>
        <w:tc>
          <w:tcPr>
            <w:tcW w:w="6006" w:type="dxa"/>
            <w:vAlign w:val="center"/>
          </w:tcPr>
          <w:p>
            <w:pPr>
              <w:spacing w:line="240" w:lineRule="auto"/>
              <w:rPr>
                <w:rFonts w:ascii="宋体" w:hAnsi="宋体" w:cs="宋体"/>
                <w:szCs w:val="24"/>
              </w:rPr>
            </w:pPr>
            <w:r>
              <w:rPr>
                <w:rFonts w:hint="eastAsia" w:ascii="宋体" w:hAnsi="宋体" w:cs="宋体"/>
                <w:szCs w:val="24"/>
              </w:rPr>
              <w:t>自合同签订之日起1年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10</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配送地点</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按采购人指定地点配送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11</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提交投标文件截止时间及开标时间</w:t>
            </w:r>
          </w:p>
        </w:tc>
        <w:tc>
          <w:tcPr>
            <w:tcW w:w="6006" w:type="dxa"/>
            <w:vAlign w:val="center"/>
          </w:tcPr>
          <w:p>
            <w:pPr>
              <w:spacing w:line="240" w:lineRule="auto"/>
              <w:jc w:val="both"/>
              <w:rPr>
                <w:rFonts w:ascii="宋体" w:hAnsi="宋体" w:cs="宋体"/>
                <w:szCs w:val="24"/>
              </w:rPr>
            </w:pPr>
            <w:r>
              <w:rPr>
                <w:rFonts w:hint="eastAsia" w:ascii="宋体" w:hAnsi="宋体" w:cs="宋体"/>
                <w:szCs w:val="24"/>
                <w:lang w:val="en-US" w:eastAsia="zh-CN"/>
              </w:rPr>
              <w:t>2023年</w:t>
            </w:r>
            <w:r>
              <w:rPr>
                <w:rFonts w:hint="eastAsia" w:hAnsi="宋体" w:cs="宋体"/>
                <w:szCs w:val="24"/>
                <w:lang w:val="en-US" w:eastAsia="zh-CN"/>
              </w:rPr>
              <w:t>04</w:t>
            </w:r>
            <w:r>
              <w:rPr>
                <w:rFonts w:hint="eastAsia" w:ascii="宋体" w:hAnsi="宋体" w:cs="宋体"/>
                <w:szCs w:val="24"/>
                <w:lang w:val="en-US" w:eastAsia="zh-CN"/>
              </w:rPr>
              <w:t>月</w:t>
            </w:r>
            <w:r>
              <w:rPr>
                <w:rFonts w:hint="eastAsia" w:hAnsi="宋体" w:cs="宋体"/>
                <w:szCs w:val="24"/>
                <w:lang w:val="en-US" w:eastAsia="zh-CN"/>
              </w:rPr>
              <w:t>24</w:t>
            </w:r>
            <w:r>
              <w:rPr>
                <w:rFonts w:hint="eastAsia" w:ascii="宋体" w:hAnsi="宋体" w:cs="宋体"/>
                <w:szCs w:val="24"/>
                <w:lang w:val="en-US" w:eastAsia="zh-CN"/>
              </w:rPr>
              <w:t>日09时30分00秒（北京时间）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12</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递交投标文件地点</w:t>
            </w:r>
          </w:p>
        </w:tc>
        <w:tc>
          <w:tcPr>
            <w:tcW w:w="6006" w:type="dxa"/>
            <w:vAlign w:val="center"/>
          </w:tcPr>
          <w:p>
            <w:pPr>
              <w:spacing w:line="240" w:lineRule="auto"/>
              <w:jc w:val="both"/>
              <w:rPr>
                <w:rFonts w:ascii="宋体" w:hAnsi="宋体" w:cs="宋体"/>
                <w:szCs w:val="24"/>
              </w:rPr>
            </w:pPr>
            <w:r>
              <w:rPr>
                <w:rFonts w:hint="eastAsia" w:ascii="宋体" w:hAnsi="宋体" w:cs="宋体"/>
                <w:szCs w:val="24"/>
                <w:lang w:eastAsia="zh-CN"/>
              </w:rPr>
              <w:t>陕西省西安市碑林区长安国际F座办公楼19楼</w:t>
            </w:r>
            <w:r>
              <w:rPr>
                <w:rFonts w:hint="eastAsia" w:ascii="宋体" w:hAnsi="宋体" w:cs="宋体"/>
                <w:szCs w:val="24"/>
                <w:lang w:val="en-US" w:eastAsia="zh-CN"/>
              </w:rPr>
              <w:t>07室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58" w:type="dxa"/>
            <w:vAlign w:val="center"/>
          </w:tcPr>
          <w:p>
            <w:pPr>
              <w:spacing w:line="240" w:lineRule="auto"/>
              <w:jc w:val="center"/>
              <w:rPr>
                <w:rFonts w:hint="default"/>
                <w:lang w:val="en-US" w:eastAsia="zh-CN"/>
              </w:rPr>
            </w:pPr>
            <w:r>
              <w:rPr>
                <w:rFonts w:hint="eastAsia"/>
                <w:lang w:val="en-US" w:eastAsia="zh-CN"/>
              </w:rPr>
              <w:t>13</w:t>
            </w:r>
          </w:p>
        </w:tc>
        <w:tc>
          <w:tcPr>
            <w:tcW w:w="2295" w:type="dxa"/>
            <w:vAlign w:val="center"/>
          </w:tcPr>
          <w:p>
            <w:pPr>
              <w:spacing w:line="240" w:lineRule="auto"/>
              <w:jc w:val="center"/>
              <w:rPr>
                <w:szCs w:val="24"/>
              </w:rPr>
            </w:pPr>
            <w:r>
              <w:rPr>
                <w:rFonts w:hint="eastAsia"/>
                <w:szCs w:val="24"/>
              </w:rPr>
              <w:t>投标人资格要求</w:t>
            </w:r>
          </w:p>
        </w:tc>
        <w:tc>
          <w:tcPr>
            <w:tcW w:w="6006" w:type="dxa"/>
            <w:vAlign w:val="center"/>
          </w:tcPr>
          <w:p>
            <w:pPr>
              <w:spacing w:line="240" w:lineRule="auto"/>
              <w:jc w:val="both"/>
              <w:rPr>
                <w:rFonts w:hint="eastAsia"/>
                <w:lang w:val="en-US" w:eastAsia="zh-CN"/>
              </w:rPr>
            </w:pPr>
            <w:r>
              <w:rPr>
                <w:rFonts w:hint="eastAsia"/>
                <w:lang w:val="en-US" w:eastAsia="zh-CN"/>
              </w:rPr>
              <w:t>1、提供有效合格的具有社会统一信用代码的营业执照，其他组织经营的须提供合法凭证；</w:t>
            </w:r>
          </w:p>
          <w:p>
            <w:pPr>
              <w:spacing w:line="240" w:lineRule="auto"/>
              <w:jc w:val="both"/>
              <w:rPr>
                <w:rFonts w:hint="eastAsia"/>
                <w:lang w:val="en-US" w:eastAsia="zh-CN"/>
              </w:rPr>
            </w:pPr>
            <w:r>
              <w:rPr>
                <w:rFonts w:hint="eastAsia"/>
                <w:lang w:val="en-US" w:eastAsia="zh-CN"/>
              </w:rPr>
              <w:t>2、财务状况报告：提供2021年度经审计的财务报告或开标日期前三个月内其基本存款账户开户银行出具的资信证明及基本存款账户开户许可证（基本账户信息表）；</w:t>
            </w:r>
          </w:p>
          <w:p>
            <w:pPr>
              <w:spacing w:line="240" w:lineRule="auto"/>
              <w:jc w:val="both"/>
              <w:rPr>
                <w:rFonts w:hint="eastAsia"/>
                <w:lang w:val="en-US" w:eastAsia="zh-CN"/>
              </w:rPr>
            </w:pPr>
            <w:r>
              <w:rPr>
                <w:rFonts w:hint="eastAsia"/>
                <w:lang w:val="en-US" w:eastAsia="zh-CN"/>
              </w:rPr>
              <w:t>3、税收缴纳证明：提供2022年1月至今已缴纳的至少一个月的纳税证明，依法免税的单位应提供相关证明材料；</w:t>
            </w:r>
          </w:p>
          <w:p>
            <w:pPr>
              <w:spacing w:line="240" w:lineRule="auto"/>
              <w:jc w:val="both"/>
              <w:rPr>
                <w:rFonts w:hint="eastAsia"/>
                <w:lang w:val="en-US" w:eastAsia="zh-CN"/>
              </w:rPr>
            </w:pPr>
            <w:r>
              <w:rPr>
                <w:rFonts w:hint="eastAsia"/>
                <w:lang w:val="en-US" w:eastAsia="zh-CN"/>
              </w:rPr>
              <w:t>4、社会保障资金缴纳证明：提供2022年1月至今已缴存的至少一个月的社会保障资金缴存单据或社保机构开具的社会保险参保缴费情况证明，依法不需要缴纳社会保障资金的单位应提供相关证明材料；</w:t>
            </w:r>
          </w:p>
          <w:p>
            <w:pPr>
              <w:spacing w:line="240" w:lineRule="auto"/>
              <w:jc w:val="both"/>
              <w:rPr>
                <w:rFonts w:hint="eastAsia"/>
                <w:lang w:val="en-US" w:eastAsia="zh-CN"/>
              </w:rPr>
            </w:pPr>
            <w:r>
              <w:rPr>
                <w:rFonts w:hint="eastAsia"/>
                <w:lang w:val="en-US" w:eastAsia="zh-CN"/>
              </w:rPr>
              <w:t>5、具备履行合同所必须的设备和专业技术能力的书面声明;</w:t>
            </w:r>
          </w:p>
          <w:p>
            <w:pPr>
              <w:spacing w:line="240" w:lineRule="auto"/>
              <w:jc w:val="both"/>
              <w:rPr>
                <w:rFonts w:hint="eastAsia"/>
                <w:lang w:val="en-US" w:eastAsia="zh-CN"/>
              </w:rPr>
            </w:pPr>
            <w:r>
              <w:rPr>
                <w:rFonts w:hint="eastAsia"/>
                <w:lang w:val="en-US" w:eastAsia="zh-CN"/>
              </w:rPr>
              <w:t>6、参加政府采购活动前三年内，在经营活动中没有重大违法记录的书面声明；</w:t>
            </w:r>
          </w:p>
          <w:p>
            <w:pPr>
              <w:spacing w:line="240" w:lineRule="auto"/>
              <w:jc w:val="both"/>
              <w:rPr>
                <w:rFonts w:hint="eastAsia"/>
                <w:lang w:val="en-US" w:eastAsia="zh-CN"/>
              </w:rPr>
            </w:pPr>
            <w:r>
              <w:rPr>
                <w:rFonts w:hint="eastAsia"/>
                <w:lang w:val="en-US" w:eastAsia="zh-CN"/>
              </w:rPr>
              <w:t>7、法定代表人授权他人参加磋商的，须提供法定代表人授权书（附法定代表人、被授权人身份证复印件）及被授权人身份证原件（法定代表人直接参加磋商，须提供法定代表人身份证明及身份证原件）；非法人单位参照执行；</w:t>
            </w:r>
          </w:p>
          <w:p>
            <w:pPr>
              <w:spacing w:line="240" w:lineRule="auto"/>
              <w:jc w:val="both"/>
              <w:rPr>
                <w:rFonts w:hint="eastAsia"/>
                <w:lang w:val="en-US" w:eastAsia="zh-CN"/>
              </w:rPr>
            </w:pPr>
            <w:r>
              <w:rPr>
                <w:rFonts w:hint="eastAsia"/>
                <w:lang w:val="en-US" w:eastAsia="zh-CN"/>
              </w:rPr>
              <w:t>8、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pPr>
              <w:spacing w:line="240" w:lineRule="auto"/>
              <w:jc w:val="both"/>
              <w:rPr>
                <w:rFonts w:hint="eastAsia"/>
                <w:lang w:val="en-US" w:eastAsia="zh-CN"/>
              </w:rPr>
            </w:pPr>
            <w:r>
              <w:rPr>
                <w:rFonts w:hint="eastAsia"/>
                <w:lang w:val="en-US" w:eastAsia="zh-CN"/>
              </w:rPr>
              <w:t>9、供应商为生产厂家的须具有《食品生产许可证》、《食品经营许可证》及《动物防疫条件合格证》（仅肉类）；供应商为代理商的须提供《食品经营许可证》，并提供所代理产品生产厂家的《食品生产许可证》及《动物防疫条件合格证》（仅肉类）；</w:t>
            </w:r>
          </w:p>
          <w:p>
            <w:pPr>
              <w:spacing w:line="240" w:lineRule="auto"/>
              <w:jc w:val="both"/>
              <w:rPr>
                <w:rFonts w:hint="eastAsia"/>
                <w:lang w:val="en-US" w:eastAsia="zh-CN"/>
              </w:rPr>
            </w:pPr>
            <w:r>
              <w:rPr>
                <w:rFonts w:hint="eastAsia"/>
                <w:lang w:val="en-US" w:eastAsia="zh-CN"/>
              </w:rPr>
              <w:t>10、本项目不接受联合体投标。</w:t>
            </w:r>
          </w:p>
          <w:p>
            <w:pPr>
              <w:pStyle w:val="2"/>
            </w:pPr>
            <w:r>
              <w:rPr>
                <w:rFonts w:hint="eastAsia"/>
                <w:lang w:val="en-US" w:eastAsia="zh-CN"/>
              </w:rPr>
              <w:t>本项目为专门面向中小企业项目，供应商应为中型企业或小型、微型企业或监狱企业或残疾人福利性单位。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14</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投标文件份数</w:t>
            </w:r>
          </w:p>
        </w:tc>
        <w:tc>
          <w:tcPr>
            <w:tcW w:w="6006" w:type="dxa"/>
            <w:vAlign w:val="center"/>
          </w:tcPr>
          <w:p>
            <w:pPr>
              <w:spacing w:line="240" w:lineRule="auto"/>
              <w:jc w:val="both"/>
              <w:rPr>
                <w:rFonts w:hint="eastAsia" w:ascii="宋体" w:hAnsi="宋体" w:cs="宋体"/>
                <w:bCs/>
                <w:szCs w:val="24"/>
              </w:rPr>
            </w:pPr>
            <w:r>
              <w:rPr>
                <w:rFonts w:hint="eastAsia" w:ascii="宋体" w:hAnsi="宋体" w:cs="宋体"/>
                <w:bCs/>
                <w:szCs w:val="24"/>
              </w:rPr>
              <w:t>纸质版：正本一份，副本</w:t>
            </w:r>
            <w:r>
              <w:rPr>
                <w:rFonts w:hint="eastAsia" w:ascii="宋体" w:hAnsi="宋体" w:cs="宋体"/>
                <w:bCs/>
                <w:szCs w:val="24"/>
                <w:lang w:val="en-US" w:eastAsia="zh-CN"/>
              </w:rPr>
              <w:t>两</w:t>
            </w:r>
            <w:r>
              <w:rPr>
                <w:rFonts w:hint="eastAsia" w:ascii="宋体" w:hAnsi="宋体" w:cs="宋体"/>
                <w:bCs/>
                <w:szCs w:val="24"/>
              </w:rPr>
              <w:t>份。</w:t>
            </w:r>
          </w:p>
          <w:p>
            <w:pPr>
              <w:spacing w:line="240" w:lineRule="auto"/>
              <w:jc w:val="both"/>
              <w:rPr>
                <w:rFonts w:ascii="宋体" w:hAnsi="宋体" w:cs="宋体"/>
                <w:bCs/>
                <w:szCs w:val="24"/>
              </w:rPr>
            </w:pPr>
            <w:r>
              <w:rPr>
                <w:rFonts w:hint="eastAsia" w:ascii="宋体" w:hAnsi="宋体" w:cs="宋体"/>
                <w:bCs/>
                <w:szCs w:val="24"/>
              </w:rPr>
              <w:t>电子版：</w:t>
            </w:r>
            <w:r>
              <w:rPr>
                <w:rFonts w:hint="eastAsia" w:hAnsi="宋体" w:cs="宋体"/>
                <w:bCs/>
                <w:szCs w:val="24"/>
                <w:lang w:val="en-US" w:eastAsia="zh-CN"/>
              </w:rPr>
              <w:t>U盘</w:t>
            </w:r>
            <w:r>
              <w:rPr>
                <w:rFonts w:hint="eastAsia" w:ascii="宋体" w:hAnsi="宋体" w:cs="宋体"/>
                <w:bCs/>
                <w:szCs w:val="24"/>
                <w:lang w:val="en-US" w:eastAsia="zh-CN"/>
              </w:rPr>
              <w:t>2</w:t>
            </w:r>
            <w:r>
              <w:rPr>
                <w:rFonts w:hint="eastAsia" w:ascii="宋体" w:hAnsi="宋体" w:cs="宋体"/>
                <w:bCs/>
                <w:szCs w:val="24"/>
              </w:rPr>
              <w:t>份</w:t>
            </w:r>
            <w:r>
              <w:rPr>
                <w:rFonts w:hint="eastAsia" w:ascii="宋体" w:hAnsi="宋体" w:cs="宋体"/>
                <w:bCs/>
                <w:szCs w:val="24"/>
                <w:lang w:eastAsia="zh-CN"/>
              </w:rPr>
              <w:t>（</w:t>
            </w:r>
            <w:r>
              <w:rPr>
                <w:rFonts w:hint="eastAsia" w:ascii="宋体" w:hAnsi="宋体" w:cs="宋体"/>
                <w:bCs/>
                <w:szCs w:val="24"/>
                <w:lang w:val="en-US" w:eastAsia="zh-CN"/>
              </w:rPr>
              <w:t>含</w:t>
            </w:r>
            <w:r>
              <w:rPr>
                <w:rFonts w:hint="eastAsia" w:ascii="宋体" w:hAnsi="宋体" w:cs="宋体"/>
                <w:bCs/>
                <w:szCs w:val="24"/>
              </w:rPr>
              <w:t>签字盖章齐全的PDF扫描件</w:t>
            </w:r>
            <w:r>
              <w:rPr>
                <w:rFonts w:hint="eastAsia" w:ascii="宋体" w:hAnsi="宋体" w:cs="宋体"/>
                <w:bCs/>
                <w:szCs w:val="24"/>
                <w:lang w:val="en-US" w:eastAsia="zh-CN"/>
              </w:rPr>
              <w:t>及word版</w:t>
            </w:r>
            <w:r>
              <w:rPr>
                <w:rFonts w:hint="eastAsia" w:hAnsi="宋体" w:cs="宋体"/>
                <w:bCs/>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15</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投标人确认收到澄清或者修改的时间</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在收到相应澄清或答疑文件后24小时内。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16</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投标有效期</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自递交磋商响应文件的截止之日起90日历天。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17</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是否接受</w:t>
            </w:r>
          </w:p>
          <w:p>
            <w:pPr>
              <w:spacing w:line="240" w:lineRule="auto"/>
              <w:jc w:val="center"/>
              <w:rPr>
                <w:rFonts w:ascii="宋体" w:hAnsi="宋体" w:cs="宋体"/>
                <w:szCs w:val="24"/>
              </w:rPr>
            </w:pPr>
            <w:r>
              <w:rPr>
                <w:rFonts w:hint="eastAsia" w:ascii="宋体" w:hAnsi="宋体" w:cs="宋体"/>
                <w:szCs w:val="24"/>
              </w:rPr>
              <w:t>联合体投标</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18</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答疑会</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9"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19</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投标文件的签署要求</w:t>
            </w:r>
          </w:p>
        </w:tc>
        <w:tc>
          <w:tcPr>
            <w:tcW w:w="6006" w:type="dxa"/>
            <w:vAlign w:val="center"/>
          </w:tcPr>
          <w:p>
            <w:pPr>
              <w:spacing w:line="240" w:lineRule="auto"/>
              <w:jc w:val="both"/>
              <w:rPr>
                <w:rFonts w:ascii="宋体" w:hAnsi="宋体" w:cs="宋体"/>
                <w:szCs w:val="24"/>
              </w:rPr>
            </w:pPr>
            <w:r>
              <w:rPr>
                <w:rFonts w:hint="eastAsia" w:ascii="宋体" w:hAnsi="宋体" w:cs="宋体"/>
                <w:szCs w:val="24"/>
                <w:lang w:val="zh-CN"/>
              </w:rPr>
              <w:t>投标文件应按照招标文件要求加盖投标人公章</w:t>
            </w:r>
            <w:r>
              <w:rPr>
                <w:rFonts w:hint="eastAsia" w:ascii="宋体" w:hAnsi="宋体" w:cs="宋体"/>
                <w:bCs/>
                <w:szCs w:val="24"/>
              </w:rPr>
              <w:t>并按照招标文件要求由法定代表人（或授权代表人）签字，</w:t>
            </w:r>
            <w:r>
              <w:rPr>
                <w:rFonts w:hint="eastAsia" w:ascii="宋体" w:hAnsi="宋体" w:cs="宋体"/>
                <w:szCs w:val="24"/>
              </w:rPr>
              <w:t>无法定代表人则由单位负责人签字。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20</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中标公告公示媒体</w:t>
            </w:r>
          </w:p>
        </w:tc>
        <w:tc>
          <w:tcPr>
            <w:tcW w:w="6006" w:type="dxa"/>
            <w:vAlign w:val="center"/>
          </w:tcPr>
          <w:p>
            <w:pPr>
              <w:spacing w:line="240" w:lineRule="auto"/>
              <w:jc w:val="both"/>
              <w:rPr>
                <w:rFonts w:ascii="宋体" w:hAnsi="宋体" w:cs="宋体"/>
                <w:szCs w:val="24"/>
              </w:rPr>
            </w:pPr>
            <w:r>
              <w:rPr>
                <w:rFonts w:hint="eastAsia" w:ascii="宋体" w:hAnsi="宋体" w:cs="宋体"/>
                <w:szCs w:val="24"/>
              </w:rPr>
              <w:t>陕西省政府采购网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4"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21</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中标服务费</w:t>
            </w:r>
          </w:p>
        </w:tc>
        <w:tc>
          <w:tcPr>
            <w:tcW w:w="6006" w:type="dxa"/>
            <w:vAlign w:val="center"/>
          </w:tcPr>
          <w:p>
            <w:pPr>
              <w:spacing w:line="240" w:lineRule="auto"/>
              <w:jc w:val="both"/>
              <w:rPr>
                <w:rFonts w:ascii="宋体" w:hAnsi="宋体" w:cs="宋体"/>
                <w:szCs w:val="24"/>
              </w:rPr>
            </w:pPr>
            <w:r>
              <w:rPr>
                <w:rFonts w:hint="eastAsia" w:ascii="宋体" w:hAnsi="宋体" w:cs="宋体"/>
                <w:szCs w:val="24"/>
                <w:lang w:val="en-US" w:eastAsia="zh-CN"/>
              </w:rPr>
              <w:t>参照</w:t>
            </w:r>
            <w:r>
              <w:rPr>
                <w:rFonts w:hint="eastAsia" w:ascii="宋体" w:hAnsi="宋体" w:cs="宋体"/>
                <w:szCs w:val="24"/>
              </w:rPr>
              <w:t>国家计委颁发的《招标代理服务收费管理暂行办法》（计价格[2002]1980号）和国家发展改革委员会办公厅颁发的《关于招标代理服务收费有关问题的通知》（发改办价格[2003] 857号）的有关规定标准计算招标代理服务费，</w:t>
            </w:r>
            <w:r>
              <w:rPr>
                <w:rFonts w:hint="eastAsia" w:hAnsi="宋体" w:cs="宋体"/>
                <w:szCs w:val="24"/>
                <w:lang w:val="en-US" w:eastAsia="zh-CN"/>
              </w:rPr>
              <w:t>不足壹万按壹万收取。</w:t>
            </w:r>
            <w:r>
              <w:rPr>
                <w:rFonts w:hint="eastAsia" w:ascii="宋体" w:hAnsi="宋体" w:cs="宋体"/>
                <w:szCs w:val="24"/>
              </w:rPr>
              <w:t>由</w:t>
            </w:r>
            <w:r>
              <w:rPr>
                <w:rFonts w:hint="eastAsia" w:ascii="宋体" w:hAnsi="宋体" w:cs="宋体"/>
                <w:szCs w:val="24"/>
                <w:lang w:val="en-US" w:eastAsia="zh-CN"/>
              </w:rPr>
              <w:t>成交</w:t>
            </w:r>
            <w:r>
              <w:rPr>
                <w:rFonts w:hint="eastAsia" w:ascii="宋体" w:hAnsi="宋体" w:cs="宋体"/>
                <w:szCs w:val="24"/>
              </w:rPr>
              <w:t>人</w:t>
            </w:r>
            <w:r>
              <w:rPr>
                <w:rFonts w:hint="eastAsia" w:ascii="宋体" w:hAnsi="宋体" w:cs="宋体"/>
                <w:szCs w:val="24"/>
                <w:lang w:eastAsia="zh-CN"/>
              </w:rPr>
              <w:t>向</w:t>
            </w:r>
            <w:r>
              <w:rPr>
                <w:rFonts w:hint="eastAsia" w:ascii="宋体" w:hAnsi="宋体" w:cs="宋体"/>
                <w:szCs w:val="24"/>
                <w:lang w:val="en-US" w:eastAsia="zh-CN"/>
              </w:rPr>
              <w:t>采购</w:t>
            </w:r>
            <w:r>
              <w:rPr>
                <w:rFonts w:hint="eastAsia" w:ascii="宋体" w:hAnsi="宋体" w:cs="宋体"/>
                <w:szCs w:val="24"/>
              </w:rPr>
              <w:t>代理机构缴纳招标代理服务费。</w:t>
            </w:r>
          </w:p>
          <w:p>
            <w:pPr>
              <w:spacing w:line="240" w:lineRule="auto"/>
              <w:jc w:val="both"/>
              <w:rPr>
                <w:rFonts w:ascii="宋体" w:hAnsi="宋体" w:cs="宋体"/>
                <w:szCs w:val="24"/>
              </w:rPr>
            </w:pPr>
            <w:r>
              <w:rPr>
                <w:rFonts w:hint="eastAsia" w:ascii="宋体" w:hAnsi="宋体" w:cs="宋体"/>
                <w:szCs w:val="24"/>
              </w:rPr>
              <w:t>代理费缴存账户：</w:t>
            </w:r>
          </w:p>
          <w:p>
            <w:pPr>
              <w:spacing w:line="240" w:lineRule="auto"/>
              <w:jc w:val="both"/>
              <w:rPr>
                <w:rFonts w:ascii="宋体" w:hAnsi="宋体" w:cs="宋体"/>
                <w:szCs w:val="24"/>
                <w:lang w:val="zh-CN"/>
              </w:rPr>
            </w:pPr>
            <w:r>
              <w:rPr>
                <w:rFonts w:hint="eastAsia" w:ascii="宋体" w:hAnsi="宋体" w:cs="宋体"/>
                <w:szCs w:val="24"/>
                <w:lang w:val="zh-CN"/>
              </w:rPr>
              <w:t>开户名称：</w:t>
            </w:r>
            <w:r>
              <w:rPr>
                <w:rFonts w:hint="eastAsia" w:ascii="宋体" w:hAnsi="宋体" w:cs="宋体"/>
                <w:szCs w:val="24"/>
                <w:lang w:val="zh-CN" w:eastAsia="zh-CN"/>
              </w:rPr>
              <w:t>西北国际（陕西）造价管理集团有限公司</w:t>
            </w:r>
          </w:p>
          <w:p>
            <w:pPr>
              <w:spacing w:line="240" w:lineRule="auto"/>
              <w:jc w:val="both"/>
              <w:rPr>
                <w:rFonts w:ascii="宋体" w:hAnsi="宋体" w:cs="宋体"/>
                <w:szCs w:val="24"/>
                <w:lang w:val="zh-CN"/>
              </w:rPr>
            </w:pPr>
            <w:r>
              <w:rPr>
                <w:rFonts w:hint="eastAsia" w:ascii="宋体" w:hAnsi="宋体" w:cs="宋体"/>
                <w:szCs w:val="24"/>
                <w:lang w:val="zh-CN"/>
              </w:rPr>
              <w:t>开户银行：</w:t>
            </w:r>
            <w:r>
              <w:rPr>
                <w:rFonts w:hint="eastAsia" w:ascii="宋体" w:hAnsi="宋体" w:cs="宋体"/>
                <w:szCs w:val="24"/>
                <w:lang w:val="zh-CN" w:eastAsia="zh-CN"/>
              </w:rPr>
              <w:t>招商银行股份有限公司西安雁塔路支行</w:t>
            </w:r>
          </w:p>
          <w:p>
            <w:pPr>
              <w:spacing w:line="240" w:lineRule="auto"/>
              <w:jc w:val="both"/>
              <w:rPr>
                <w:rFonts w:ascii="宋体" w:hAnsi="宋体" w:cs="宋体"/>
                <w:szCs w:val="24"/>
                <w:lang w:val="zh-CN"/>
              </w:rPr>
            </w:pPr>
            <w:r>
              <w:rPr>
                <w:rFonts w:hint="eastAsia" w:ascii="宋体" w:hAnsi="宋体" w:cs="宋体"/>
                <w:szCs w:val="24"/>
                <w:lang w:val="zh-CN"/>
              </w:rPr>
              <w:t>账    号：</w:t>
            </w:r>
            <w:r>
              <w:rPr>
                <w:rFonts w:hint="eastAsia" w:ascii="宋体" w:hAnsi="宋体" w:cs="宋体"/>
                <w:szCs w:val="24"/>
                <w:lang w:val="zh-CN" w:eastAsia="zh-CN"/>
              </w:rPr>
              <w:t>129912898210301</w:t>
            </w:r>
          </w:p>
          <w:p>
            <w:pPr>
              <w:spacing w:line="240" w:lineRule="auto"/>
              <w:jc w:val="both"/>
              <w:rPr>
                <w:szCs w:val="24"/>
              </w:rPr>
            </w:pPr>
            <w:r>
              <w:rPr>
                <w:rFonts w:hint="eastAsia" w:ascii="宋体" w:hAnsi="宋体" w:cs="宋体"/>
                <w:szCs w:val="24"/>
                <w:lang w:val="zh-CN"/>
              </w:rPr>
              <w:t>（备注：项目名称代理服务费）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658" w:type="dxa"/>
            <w:vAlign w:val="center"/>
          </w:tcPr>
          <w:p>
            <w:pPr>
              <w:spacing w:line="240" w:lineRule="auto"/>
              <w:jc w:val="center"/>
              <w:rPr>
                <w:rFonts w:hint="default" w:ascii="宋体" w:hAnsi="宋体" w:eastAsia="宋体" w:cs="宋体"/>
                <w:szCs w:val="24"/>
                <w:lang w:val="en-US" w:eastAsia="zh-CN"/>
              </w:rPr>
            </w:pPr>
            <w:r>
              <w:rPr>
                <w:rFonts w:hint="eastAsia" w:ascii="宋体" w:hAnsi="宋体" w:cs="宋体"/>
                <w:szCs w:val="24"/>
                <w:lang w:val="en-US" w:eastAsia="zh-CN"/>
              </w:rPr>
              <w:t>22</w:t>
            </w:r>
          </w:p>
        </w:tc>
        <w:tc>
          <w:tcPr>
            <w:tcW w:w="2295" w:type="dxa"/>
            <w:vAlign w:val="center"/>
          </w:tcPr>
          <w:p>
            <w:pPr>
              <w:spacing w:line="240" w:lineRule="auto"/>
              <w:jc w:val="center"/>
              <w:rPr>
                <w:rFonts w:ascii="宋体" w:hAnsi="宋体" w:cs="宋体"/>
                <w:szCs w:val="24"/>
              </w:rPr>
            </w:pPr>
            <w:r>
              <w:rPr>
                <w:rFonts w:hint="eastAsia" w:ascii="宋体" w:hAnsi="宋体" w:cs="宋体"/>
                <w:szCs w:val="24"/>
              </w:rPr>
              <w:t>其他说明事项</w:t>
            </w:r>
          </w:p>
        </w:tc>
        <w:tc>
          <w:tcPr>
            <w:tcW w:w="6006" w:type="dxa"/>
            <w:vAlign w:val="center"/>
          </w:tcPr>
          <w:p>
            <w:pPr>
              <w:spacing w:line="240" w:lineRule="auto"/>
              <w:jc w:val="both"/>
              <w:rPr>
                <w:rFonts w:ascii="宋体" w:hAnsi="宋体" w:cs="宋体"/>
                <w:b/>
                <w:szCs w:val="24"/>
              </w:rPr>
            </w:pPr>
            <w:r>
              <w:rPr>
                <w:rFonts w:hint="eastAsia" w:ascii="宋体" w:hAnsi="宋体" w:cs="宋体"/>
                <w:b/>
                <w:szCs w:val="24"/>
              </w:rPr>
              <w:t>本项目采购标的对应的中小企业划分标准所属行业为批发业</w:t>
            </w:r>
          </w:p>
          <w:p>
            <w:pPr>
              <w:spacing w:line="240" w:lineRule="auto"/>
              <w:jc w:val="both"/>
              <w:rPr>
                <w:rFonts w:ascii="宋体" w:hAnsi="宋体" w:cs="宋体"/>
                <w:szCs w:val="24"/>
              </w:rPr>
            </w:pPr>
            <w:r>
              <w:rPr>
                <w:rFonts w:hint="eastAsia" w:ascii="宋体" w:hAnsi="宋体" w:cs="宋体"/>
                <w:szCs w:val="24"/>
              </w:rPr>
              <w:t>从业人员200人以下或营业收入40000万元以下的为中小微型企业。</w:t>
            </w:r>
          </w:p>
          <w:p>
            <w:pPr>
              <w:spacing w:line="240" w:lineRule="auto"/>
              <w:jc w:val="both"/>
              <w:rPr>
                <w:rFonts w:ascii="宋体" w:hAnsi="宋体" w:cs="宋体"/>
                <w:szCs w:val="24"/>
              </w:rPr>
            </w:pPr>
            <w:r>
              <w:rPr>
                <w:rFonts w:hint="eastAsia" w:ascii="宋体" w:hAnsi="宋体" w:cs="宋体"/>
                <w:szCs w:val="24"/>
              </w:rPr>
              <w:t>其中，从业人员20人及以上，且营业收入5000万元及以上的为中型企业；从业人员5人及以上，且营业收入1000万元及以上的为小型企业；从业人员5人以下或营业收入1000万元以下的为微型企业。</w:t>
            </w:r>
          </w:p>
        </w:tc>
      </w:tr>
    </w:tbl>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一.总  则</w:t>
      </w:r>
      <w:bookmarkEnd w:id="41"/>
      <w:bookmarkEnd w:id="42"/>
      <w:bookmarkEnd w:id="43"/>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1.资金来源</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1.1本次磋商所签合同使用</w:t>
      </w:r>
      <w:r>
        <w:rPr>
          <w:rFonts w:hint="eastAsia" w:hAnsi="宋体" w:cs="宋体"/>
          <w:color w:val="auto"/>
          <w:szCs w:val="24"/>
          <w:highlight w:val="none"/>
          <w:lang w:val="en-US" w:eastAsia="zh-CN"/>
        </w:rPr>
        <w:t>财政</w:t>
      </w:r>
      <w:r>
        <w:rPr>
          <w:rFonts w:hint="eastAsia" w:ascii="宋体" w:hAnsi="宋体" w:eastAsia="宋体" w:cs="宋体"/>
          <w:color w:val="auto"/>
          <w:szCs w:val="24"/>
          <w:highlight w:val="none"/>
        </w:rPr>
        <w:t>资金支付，资金已落实到位。</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2.招标代理机构及合格的供应商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2.1招标代理机构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实施本次招标的招标代理机构为</w:t>
      </w:r>
      <w:r>
        <w:rPr>
          <w:rFonts w:hint="eastAsia" w:hAnsi="宋体" w:cs="宋体"/>
          <w:color w:val="auto"/>
          <w:szCs w:val="24"/>
          <w:highlight w:val="none"/>
          <w:lang w:eastAsia="zh-CN"/>
        </w:rPr>
        <w:t>西北国际（陕西）造价管理集团有限公司</w:t>
      </w:r>
      <w:r>
        <w:rPr>
          <w:rFonts w:hint="eastAsia" w:ascii="宋体" w:hAnsi="宋体" w:eastAsia="宋体" w:cs="宋体"/>
          <w:color w:val="auto"/>
          <w:szCs w:val="24"/>
          <w:highlight w:val="none"/>
        </w:rPr>
        <w:t>。</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2.2合格的供应商：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2.2.1供应商应具备的资格条件：见供应商须知前附表。</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2.2.2供应商不得存在下列情形之一：</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2.2.2.1为采购人不具有独立法人资格的附属机构（单位）； </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2.2.2.2为本项目前期准备提供设计或咨询服务的；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2.2.2.3与本项目采购代理机构同为一个法定代表人的；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2.2.2.4被责令停业的；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2.2.2.5被暂停或取消磋商资格的；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2.2.2.6财产被接管或冻结的；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2.2.2.7在最近三年内有骗取中标或严重违约或重大质量问题的；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2.2.2.8与采购人存在利害关系可能影响</w:t>
      </w:r>
      <w:r>
        <w:rPr>
          <w:rFonts w:hint="eastAsia" w:hAnsi="宋体" w:cs="宋体"/>
          <w:color w:val="auto"/>
          <w:szCs w:val="24"/>
          <w:highlight w:val="none"/>
          <w:lang w:val="en-US" w:eastAsia="zh-CN"/>
        </w:rPr>
        <w:t>采购</w:t>
      </w:r>
      <w:r>
        <w:rPr>
          <w:rFonts w:hint="eastAsia" w:ascii="宋体" w:hAnsi="宋体" w:eastAsia="宋体" w:cs="宋体"/>
          <w:color w:val="auto"/>
          <w:szCs w:val="24"/>
          <w:highlight w:val="none"/>
        </w:rPr>
        <w:t>公正性的法人、其他组织或者个人；</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2.2.2.9单位负责人为同一人或者存在控股、管理关系的不同单位，不得参加同一项目磋商或者未划分标段的同一磋商项目磋商。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2.2.2.10受到刑事处罚，或者受到责令停产停业、在一至三年内禁止参加政府采购活动、暂扣或者吊销许可证、暂扣或者吊销执照等情形之一的行政处罚，或者存在财政部门认定的其他重大违法记录；</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2.2.2.11两家以上的供应商不得在同一合同项下的采购项目中，同时委托同一个自然人、同一家庭的人员、同一单位的人员作为其代理人，否则，其磋商响应文件作为无效处理；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2.2.2.12法律法规及相关行政规范性文件规定的其他情形。</w:t>
      </w:r>
    </w:p>
    <w:p>
      <w:pPr>
        <w:spacing w:line="360" w:lineRule="auto"/>
        <w:ind w:firstLine="48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2.2.3关联企业磋商限制</w:t>
      </w:r>
      <w:r>
        <w:rPr>
          <w:rFonts w:hint="eastAsia" w:hAnsi="宋体" w:cs="宋体"/>
          <w:color w:val="auto"/>
          <w:szCs w:val="24"/>
          <w:highlight w:val="none"/>
          <w:lang w:eastAsia="zh-CN"/>
        </w:rPr>
        <w:t>。</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2.2.3.1本磋商文件所称关联企业,是指存在关联关系的企业。</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2.2.3.2关联企业中，同一个法定代表人的两个及两个以上法人，母公司、全资子公司及其控股公司，都不得参加同一采购项目磋商。一经发现，将导致磋商同时被拒绝。</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2.2.4关系企业磋商限制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总公司、分公司不能以不同的供应商身份参加同一采购项目磋商。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2.2.5本项目不接受联合体磋商。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如果在磋商文件中接受联合体磋商（见供应商须知前附表），则两个以上供应商可以组成一个联合体，以一个供应商的身份磋商。以联合体形式参加磋商的，联合体各方均应当符合</w:t>
      </w:r>
      <w:r>
        <w:rPr>
          <w:rFonts w:hint="eastAsia" w:ascii="宋体" w:hAnsi="宋体" w:eastAsia="宋体" w:cs="宋体"/>
          <w:color w:val="auto"/>
          <w:spacing w:val="4"/>
          <w:szCs w:val="24"/>
          <w:highlight w:val="none"/>
        </w:rPr>
        <w:t>中华人民共和国政府采购法</w:t>
      </w:r>
      <w:r>
        <w:rPr>
          <w:rFonts w:hint="eastAsia" w:ascii="宋体" w:hAnsi="宋体" w:eastAsia="宋体" w:cs="宋体"/>
          <w:color w:val="auto"/>
          <w:szCs w:val="24"/>
          <w:highlight w:val="none"/>
        </w:rPr>
        <w:t>第二十二条规定的条件。采购人根据采购项目的特殊要求规定供应商特定条件的，联合体各方中至少应当有一方符合采购人规定的特定条件。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联合体各方之间应当签订共同磋商协议，明确约定联合体各方承担的工作和相应的责任，并将共同磋商协议连同磋商响应文件一并递交磋商响应文件接收人。联合体各方签订共同磋商协议后，不得再以自己名义单独在同一项目（同一包）中磋商，也不得组成新的联合体参加同一项目（同一包）磋商，否则按无效磋商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2.2.6磋商费用自理。不论磋商的结果如何，供应商均应自行承担所有与参加磋商有关的费用。</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3.磋商标的物的合格性和合法性</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3.1磋商标的物应满足磋商文件的要求并应符合国家法律法规、行业管理部门要求的其他强制性标准。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4.磋商响应文件内容的真实性</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4.1供应商应保证其磋商响应文件中所提供的所有有关磋商的资料、信息是真实的，并且来源于合法的渠道。因磋商响应文件中所提供的磋商资料、信息不真实或者其来源不合法而导致的所有法律责任，由供应商自行承担。</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5.磋商过程的监督和管理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5.1同级政府采购监管管理部门和有关部门依法履行对磋商过程的监督管理职责。</w:t>
      </w:r>
    </w:p>
    <w:p>
      <w:pPr>
        <w:spacing w:line="360" w:lineRule="auto"/>
        <w:jc w:val="center"/>
        <w:rPr>
          <w:rFonts w:hint="eastAsia" w:ascii="宋体" w:hAnsi="宋体" w:eastAsia="宋体" w:cs="宋体"/>
          <w:b/>
          <w:color w:val="auto"/>
          <w:sz w:val="32"/>
          <w:szCs w:val="32"/>
          <w:highlight w:val="none"/>
        </w:rPr>
      </w:pPr>
      <w:bookmarkStart w:id="47" w:name="_Toc363474018"/>
      <w:bookmarkStart w:id="48" w:name="_Toc403077640"/>
      <w:bookmarkStart w:id="49" w:name="_Toc363473973"/>
      <w:r>
        <w:rPr>
          <w:rFonts w:hint="eastAsia" w:ascii="宋体" w:hAnsi="宋体" w:eastAsia="宋体" w:cs="宋体"/>
          <w:b/>
          <w:color w:val="auto"/>
          <w:sz w:val="32"/>
          <w:szCs w:val="32"/>
          <w:highlight w:val="none"/>
        </w:rPr>
        <w:t>二.磋商文件</w:t>
      </w:r>
      <w:bookmarkEnd w:id="47"/>
      <w:bookmarkEnd w:id="48"/>
      <w:bookmarkEnd w:id="49"/>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6.磋商文件构成</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6.1磋商文件由磋商文件总目录所列内容组成。</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6.2供应商应认真阅读磋商文件中所有的事项、格式、条款和规范等要求。未按磋商文件要求提供的磋商响应文件和资料可能导致磋商被拒绝。</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6.3供应商必须从招标代理机构</w:t>
      </w:r>
      <w:r>
        <w:rPr>
          <w:rFonts w:hint="eastAsia" w:hAnsi="宋体" w:cs="宋体"/>
          <w:color w:val="auto"/>
          <w:szCs w:val="24"/>
          <w:highlight w:val="none"/>
          <w:lang w:val="en-US" w:eastAsia="zh-CN"/>
        </w:rPr>
        <w:t>处</w:t>
      </w:r>
      <w:r>
        <w:rPr>
          <w:rFonts w:hint="eastAsia" w:ascii="宋体" w:hAnsi="宋体" w:eastAsia="宋体" w:cs="宋体"/>
          <w:color w:val="auto"/>
          <w:szCs w:val="24"/>
          <w:highlight w:val="none"/>
        </w:rPr>
        <w:t>获取磋商文件，供应商自行转让或复制磋商文件视为无效。磋商文件一经售出，一律不退，仅作为本次磋商使用。</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6.4供应商应仔细阅读磋商文件，对磋商文件中有疑义或异议的部分及时函告，否则视为同意磋商文件的一切条款和要求，并承担法律责任。</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6.5本磋商文件的解释权归</w:t>
      </w:r>
      <w:r>
        <w:rPr>
          <w:rFonts w:hint="eastAsia" w:hAnsi="宋体" w:cs="宋体"/>
          <w:color w:val="auto"/>
          <w:szCs w:val="24"/>
          <w:highlight w:val="none"/>
          <w:lang w:eastAsia="zh-CN"/>
        </w:rPr>
        <w:t>西北国际（陕西）造价管理集团有限公司</w:t>
      </w:r>
      <w:r>
        <w:rPr>
          <w:rFonts w:hint="eastAsia" w:ascii="宋体" w:hAnsi="宋体" w:eastAsia="宋体" w:cs="宋体"/>
          <w:color w:val="auto"/>
          <w:szCs w:val="24"/>
          <w:highlight w:val="none"/>
        </w:rPr>
        <w:t>，如发现磋商文件内容与现行法律法规不相符的情况，以现行法律法规为准。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7.磋商文件的修改和澄清</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7.1在磋商响应文件递交截止时间前，招标代理机构可以视采购具体情况，延长磋商响应文件递交截止时间和磋商时间并在财政部门指定的媒体上发布变更公告，同时将变更时间书面通知所有购买磋商文件的供应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7.2招标代理机构如果对已发出的磋商文件进行必要的澄清或者修改，澄清或者修改的内容作为磋商文件的组成部分。澄清或者修改的内容可能影响响应文件编制的，招标代理机构应当在提交首次响应文件截止时间至少5日前，以书面形式通知所有获取磋商文件的供应商；不足5日的，招标代理机构应当顺延提交首次响应文件截止时间。</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7.3已经获取磋商文件的供应商对磋商文件有疑问的，均应在磋商截止日期3日前以书面形式向招标代理机构提出。招标代理机构视情况必要时将书面答复传送给所有供应商。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7.4供应商在收到上述通知后，应立即向招标代理机构回函确认。</w:t>
      </w:r>
    </w:p>
    <w:p>
      <w:pPr>
        <w:keepNext/>
        <w:keepLines/>
        <w:spacing w:line="360" w:lineRule="auto"/>
        <w:jc w:val="center"/>
        <w:rPr>
          <w:rFonts w:hint="eastAsia" w:ascii="宋体" w:hAnsi="宋体" w:eastAsia="宋体" w:cs="宋体"/>
          <w:b/>
          <w:color w:val="auto"/>
          <w:sz w:val="32"/>
          <w:szCs w:val="32"/>
          <w:highlight w:val="none"/>
        </w:rPr>
      </w:pPr>
      <w:bookmarkStart w:id="50" w:name="_Toc403077641"/>
      <w:bookmarkStart w:id="51" w:name="_Toc363474019"/>
      <w:bookmarkStart w:id="52" w:name="_Toc363473974"/>
      <w:r>
        <w:rPr>
          <w:rFonts w:hint="eastAsia" w:ascii="宋体" w:hAnsi="宋体" w:eastAsia="宋体" w:cs="宋体"/>
          <w:b/>
          <w:color w:val="auto"/>
          <w:sz w:val="32"/>
          <w:szCs w:val="32"/>
          <w:highlight w:val="none"/>
        </w:rPr>
        <w:t>三.磋商响应文件的编制</w:t>
      </w:r>
      <w:bookmarkEnd w:id="50"/>
      <w:bookmarkEnd w:id="51"/>
      <w:bookmarkEnd w:id="52"/>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8.磋商语言、磋商货币、计量单位</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8.1供应商提交的磋商响应文件以及供应商与采购代理机构就有关磋商的所有来往书面文件均须使用中文。磋商响应文件中如附有外文资料，必须逐一对应翻译成中文并加盖供应商公章后附在相关外文资料后面，否则，由此带来的一切影响后果自负。</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8.2翻译的中文资料与外文资料如果出现差异和矛盾时，以中文为准。但不能故意错误翻译，否则，供应商的磋商响应文件将作为无效磋商处理。必要时采购人可以要求供应商提供附有公证书的中文翻译文件或者与原版文件签章相一致的中文翻译文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8.3磋商报价应以人民币报价。任何包含非人民币报价的磋商将按无效磋商处理。</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8.4磋商资料中所使用的计量单位，除有特殊要求外，均采用国家法定计量单位。</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9.磋商响应文件的构成</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9.1供应商提交的磋商响应文件应包括磋商文件第六章“磋商响应文件格式”所要求的所有内容。</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9.2如果在磋商文件中没有允许提供备选方案，则每个供应商只允许提交一个磋商响应方案，否则，其将按无效磋商处理。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 xml:space="preserve">10.磋商响应文件格式 </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10.1供应商应按照磋商文件中第六章所提供的格式和要求制作磋商响应文件，明确表达磋商意愿，详细说明磋商方案、承诺及价格。</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10.2按磋商文件第六章提供的格式和要求编写其磋商响应文件，供应商不得缺少任何磋商文件要求填写的表格或提交的资料。</w:t>
      </w:r>
      <w:r>
        <w:rPr>
          <w:rFonts w:hint="eastAsia" w:ascii="宋体" w:hAnsi="宋体" w:eastAsia="宋体" w:cs="宋体"/>
          <w:color w:val="auto"/>
          <w:highlight w:val="none"/>
        </w:rPr>
        <w:t>否则，按</w:t>
      </w:r>
      <w:r>
        <w:rPr>
          <w:rFonts w:hint="eastAsia" w:ascii="宋体" w:hAnsi="宋体" w:eastAsia="宋体" w:cs="宋体"/>
          <w:color w:val="auto"/>
          <w:szCs w:val="24"/>
          <w:highlight w:val="none"/>
        </w:rPr>
        <w:t>无效磋商</w:t>
      </w:r>
      <w:r>
        <w:rPr>
          <w:rFonts w:hint="eastAsia" w:ascii="宋体" w:hAnsi="宋体" w:eastAsia="宋体" w:cs="宋体"/>
          <w:color w:val="auto"/>
          <w:highlight w:val="none"/>
        </w:rPr>
        <w:t>处理。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11.磋商报价</w:t>
      </w:r>
    </w:p>
    <w:p>
      <w:pPr>
        <w:spacing w:line="360" w:lineRule="auto"/>
        <w:ind w:firstLine="480" w:firstLineChars="200"/>
        <w:jc w:val="left"/>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11.1磋商报价是供应商为完成本项目要求的全部服务（含为完成服务提供的货物）内容最终价格的体现</w:t>
      </w:r>
      <w:r>
        <w:rPr>
          <w:rFonts w:hint="eastAsia" w:hAnsi="宋体" w:cs="宋体"/>
          <w:color w:val="auto"/>
          <w:szCs w:val="24"/>
          <w:highlight w:val="none"/>
          <w:lang w:eastAsia="zh-CN"/>
        </w:rPr>
        <w:t>。</w:t>
      </w:r>
    </w:p>
    <w:p>
      <w:pPr>
        <w:spacing w:line="360" w:lineRule="auto"/>
        <w:ind w:firstLine="480" w:firstLineChars="200"/>
        <w:jc w:val="left"/>
        <w:rPr>
          <w:rFonts w:hint="eastAsia" w:ascii="宋体" w:hAnsi="宋体" w:eastAsia="宋体" w:cs="宋体"/>
          <w:color w:val="auto"/>
          <w:szCs w:val="24"/>
          <w:highlight w:val="none"/>
        </w:rPr>
      </w:pPr>
      <w:r>
        <w:rPr>
          <w:rFonts w:hint="eastAsia" w:hAnsi="宋体" w:cs="宋体"/>
          <w:color w:val="auto"/>
          <w:szCs w:val="24"/>
          <w:highlight w:val="none"/>
          <w:lang w:val="en-US" w:eastAsia="zh-CN"/>
        </w:rPr>
        <w:t>11.2</w:t>
      </w:r>
      <w:r>
        <w:rPr>
          <w:rFonts w:hint="eastAsia" w:hAnsi="宋体" w:cs="宋体"/>
          <w:color w:val="auto"/>
          <w:szCs w:val="24"/>
          <w:highlight w:val="none"/>
          <w:lang w:eastAsia="zh-CN"/>
        </w:rPr>
        <w:t>磋商</w:t>
      </w:r>
      <w:r>
        <w:rPr>
          <w:rFonts w:hint="eastAsia" w:ascii="宋体" w:hAnsi="宋体" w:eastAsia="宋体" w:cs="宋体"/>
          <w:color w:val="auto"/>
          <w:szCs w:val="24"/>
          <w:highlight w:val="none"/>
        </w:rPr>
        <w:t>报价表应有法定代表人或被授权人的签字</w:t>
      </w:r>
      <w:r>
        <w:rPr>
          <w:rFonts w:hint="eastAsia" w:hAnsi="宋体" w:cs="宋体"/>
          <w:color w:val="auto"/>
          <w:szCs w:val="24"/>
          <w:highlight w:val="none"/>
          <w:lang w:eastAsia="zh-CN"/>
        </w:rPr>
        <w:t>。</w:t>
      </w:r>
      <w:r>
        <w:rPr>
          <w:rFonts w:hint="eastAsia" w:ascii="宋体" w:hAnsi="宋体" w:eastAsia="宋体" w:cs="宋体"/>
          <w:color w:val="auto"/>
          <w:szCs w:val="24"/>
          <w:highlight w:val="none"/>
        </w:rPr>
        <w:t xml:space="preserve"> </w:t>
      </w:r>
    </w:p>
    <w:p>
      <w:pPr>
        <w:spacing w:line="360" w:lineRule="auto"/>
        <w:ind w:firstLine="480" w:firstLineChars="200"/>
        <w:jc w:val="left"/>
        <w:rPr>
          <w:rFonts w:hint="eastAsia" w:ascii="宋体" w:hAnsi="宋体" w:eastAsia="宋体" w:cs="宋体"/>
          <w:color w:val="auto"/>
          <w:szCs w:val="24"/>
          <w:highlight w:val="none"/>
          <w:lang w:eastAsia="zh-CN"/>
        </w:rPr>
      </w:pPr>
      <w:r>
        <w:rPr>
          <w:rFonts w:hint="eastAsia" w:hAnsi="宋体" w:cs="宋体"/>
          <w:color w:val="auto"/>
          <w:szCs w:val="24"/>
          <w:highlight w:val="none"/>
          <w:lang w:val="en-US" w:eastAsia="zh-CN"/>
        </w:rPr>
        <w:t>11.3</w:t>
      </w:r>
      <w:r>
        <w:rPr>
          <w:rFonts w:hint="eastAsia" w:ascii="宋体" w:hAnsi="宋体" w:eastAsia="宋体" w:cs="宋体"/>
          <w:color w:val="auto"/>
          <w:szCs w:val="24"/>
          <w:highlight w:val="none"/>
        </w:rPr>
        <w:t>凡因磋商供应商对磋商文件阅读不深、理解不透、误解、疏漏、或因市场行情了解不清造成的后果和风险均由磋商供应商自负</w:t>
      </w:r>
      <w:r>
        <w:rPr>
          <w:rFonts w:hint="eastAsia" w:hAnsi="宋体" w:cs="宋体"/>
          <w:color w:val="auto"/>
          <w:szCs w:val="24"/>
          <w:highlight w:val="none"/>
          <w:lang w:eastAsia="zh-CN"/>
        </w:rPr>
        <w:t>。</w:t>
      </w:r>
    </w:p>
    <w:p>
      <w:pPr>
        <w:spacing w:line="360" w:lineRule="auto"/>
        <w:ind w:firstLine="480" w:firstLineChars="200"/>
        <w:jc w:val="left"/>
        <w:rPr>
          <w:rFonts w:hint="eastAsia" w:ascii="宋体" w:hAnsi="宋体" w:eastAsia="宋体" w:cs="宋体"/>
          <w:color w:val="auto"/>
          <w:szCs w:val="24"/>
          <w:highlight w:val="none"/>
        </w:rPr>
      </w:pPr>
      <w:r>
        <w:rPr>
          <w:rFonts w:hint="eastAsia" w:hAnsi="宋体" w:cs="宋体"/>
          <w:color w:val="auto"/>
          <w:szCs w:val="24"/>
          <w:highlight w:val="none"/>
          <w:lang w:val="en-US" w:eastAsia="zh-CN"/>
        </w:rPr>
        <w:t>11.4</w:t>
      </w:r>
      <w:r>
        <w:rPr>
          <w:rFonts w:hint="eastAsia" w:ascii="宋体" w:hAnsi="宋体" w:eastAsia="宋体" w:cs="宋体"/>
          <w:color w:val="auto"/>
          <w:szCs w:val="24"/>
          <w:highlight w:val="none"/>
        </w:rPr>
        <w:t>磋商供应商不得以低于成本的报价参加磋商。当磋商小组认为某个磋商供应商的磋商价或者某些分项报价明显不合理或者低于成本，有可能影响质量和不能诚信履约的</w:t>
      </w:r>
      <w:r>
        <w:rPr>
          <w:rFonts w:hint="eastAsia" w:hAnsi="宋体" w:cs="宋体"/>
          <w:color w:val="auto"/>
          <w:szCs w:val="24"/>
          <w:highlight w:val="none"/>
          <w:lang w:eastAsia="zh-CN"/>
        </w:rPr>
        <w:t>，</w:t>
      </w:r>
      <w:r>
        <w:rPr>
          <w:rFonts w:hint="eastAsia" w:ascii="宋体" w:hAnsi="宋体" w:eastAsia="宋体" w:cs="宋体"/>
          <w:color w:val="auto"/>
          <w:szCs w:val="24"/>
          <w:highlight w:val="none"/>
        </w:rPr>
        <w:t>可要求该磋商供应商在规定的期限内提供书面文件予以解释说明，并提交相关证明材料；否则，磋商小组可以取消该磋商供应商的成交候选资格。</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12.证明供应商合格的资格证明文件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12.1供应商应按照磋商文件“供应商须知前附表”的要求，在磋商响应文件中提交合格的资格证明文件。如果资格证明文件不全或不合格的，将按无效磋商处理。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13.证明标的物的合格性和符合磋商文件规定的文件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13.1供应商应在磋商响应文件中提供标的物满足磋商文件要求并符合国家法律法规、行业管理部门要求的其他强制性标准的证明文件。缺少证明文件或证明文件不合格的磋商，与磋商文件要求有重大偏离（评审中进行扣分的除外）的磋商，不符合国家法律法规、行业管理部门要求的其他强制性标准的磋商响应文件将被作无效磋商处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14.磋商有效期</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14.1磋商有效期、授权有效期：从递交磋商响应文件的截止之日起 90 个日历天。磋商有效期不满足磋商文件要求的磋商，将被视为非响应性磋商而予以拒绝，将按无效磋商处理。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14.2在特殊情况下，在原磋商有效期期满之前，招标代理机构可向供应商提出延长磋商有效期的要求。这种要求与答复均应以书面的形式。</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15.磋商响应文件的式样、签署和装订</w:t>
      </w:r>
    </w:p>
    <w:p>
      <w:pPr>
        <w:spacing w:line="360" w:lineRule="auto"/>
        <w:ind w:firstLine="480" w:firstLineChars="200"/>
        <w:rPr>
          <w:rFonts w:hint="eastAsia" w:ascii="宋体" w:hAnsi="宋体" w:eastAsia="宋体" w:cs="宋体"/>
          <w:color w:val="auto"/>
          <w:spacing w:val="-2"/>
          <w:highlight w:val="none"/>
        </w:rPr>
      </w:pPr>
      <w:r>
        <w:rPr>
          <w:rFonts w:hint="eastAsia" w:ascii="宋体" w:hAnsi="宋体" w:eastAsia="宋体" w:cs="宋体"/>
          <w:color w:val="auto"/>
          <w:szCs w:val="24"/>
          <w:highlight w:val="none"/>
        </w:rPr>
        <w:t>15.1供应商应按照“供应商须知前附表”的要求,递交规定数量及要求的正本、副本及电子版文件。</w:t>
      </w:r>
      <w:r>
        <w:rPr>
          <w:rFonts w:hint="eastAsia" w:ascii="宋体" w:hAnsi="宋体" w:eastAsia="宋体" w:cs="宋体"/>
          <w:color w:val="auto"/>
          <w:spacing w:val="4"/>
          <w:highlight w:val="none"/>
        </w:rPr>
        <w:t>磋商响应文件的副本、电子版须和正本保持一致。</w:t>
      </w:r>
      <w:r>
        <w:rPr>
          <w:rFonts w:hint="eastAsia" w:ascii="宋体" w:hAnsi="宋体" w:eastAsia="宋体" w:cs="宋体"/>
          <w:color w:val="auto"/>
          <w:szCs w:val="24"/>
          <w:highlight w:val="none"/>
        </w:rPr>
        <w:t>如果发生正本与副本</w:t>
      </w:r>
      <w:r>
        <w:rPr>
          <w:rFonts w:hint="eastAsia" w:ascii="宋体" w:hAnsi="宋体" w:eastAsia="宋体" w:cs="宋体"/>
          <w:color w:val="auto"/>
          <w:highlight w:val="none"/>
        </w:rPr>
        <w:t>或电子版</w:t>
      </w:r>
      <w:r>
        <w:rPr>
          <w:rFonts w:hint="eastAsia" w:ascii="宋体" w:hAnsi="宋体" w:eastAsia="宋体" w:cs="宋体"/>
          <w:color w:val="auto"/>
          <w:szCs w:val="24"/>
          <w:highlight w:val="none"/>
        </w:rPr>
        <w:t>不一致的情况，以正本为准。</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15.2磋商响应文件须打印或用不褪色的蓝（黑）墨水书写,清楚地标明“正本”、“副本”字样，各自装订成册，并由供应商法定代表人或经法定代表人正式授权的代表签字或盖章（磋商文件要求磋商响应文件中法定代表人签字处必须由法定代表人签署，要求授权代表签字处必须由授权代表签署）。若由授权代表签署，须按磋商文件规定的格式出具的“法定代表人授权委托书”原件附在磋商响应文件中。</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15.3任何行间插字、涂改和增删，必须由供应商的法定代表人或其授权代表在旁边签字或加盖公章方有效。</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15.4供应商名称应填写全称并加盖公章。</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15.5因字迹潦草或表达不清所引起的后果由供应商负责。</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15.6磋商响应文件的装订</w:t>
      </w:r>
    </w:p>
    <w:p>
      <w:pPr>
        <w:pStyle w:val="16"/>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15.6.1供应商应采用胶装等牢固的装订方式，不得采用活页夹或可随时拆换的方式装订，不得有零散页。若同一册的内容较多，可装订成若干分册，并在封面标明次序及册数。</w:t>
      </w:r>
    </w:p>
    <w:p>
      <w:pPr>
        <w:pStyle w:val="16"/>
        <w:spacing w:line="360" w:lineRule="auto"/>
        <w:ind w:firstLine="480" w:firstLineChars="200"/>
        <w:rPr>
          <w:rFonts w:hint="eastAsia" w:ascii="宋体" w:hAnsi="宋体" w:eastAsia="宋体" w:cs="宋体"/>
          <w:b/>
          <w:color w:val="auto"/>
          <w:sz w:val="32"/>
          <w:szCs w:val="32"/>
          <w:highlight w:val="none"/>
        </w:rPr>
      </w:pPr>
      <w:r>
        <w:rPr>
          <w:rFonts w:hint="eastAsia" w:ascii="宋体" w:hAnsi="宋体" w:eastAsia="宋体" w:cs="宋体"/>
          <w:color w:val="auto"/>
          <w:szCs w:val="24"/>
          <w:highlight w:val="none"/>
        </w:rPr>
        <w:t>15.6.2由于装订原因造成磋商响应文件的散落、丢失等，责任供应商自负。</w:t>
      </w:r>
    </w:p>
    <w:p>
      <w:pPr>
        <w:spacing w:line="360" w:lineRule="auto"/>
        <w:ind w:firstLine="643"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四.磋商响应文件的递交</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16.磋商响应文件的密封和标记</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16.1封线处加贴封条并加盖供应商公章，封袋正面要粘贴标识，单独递交（该单独密封磋商一览表的报价必须与磋商响应文件正本中的磋商一览表报价一致，若不一致，则按单独密封的磋商一览表为准）。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16.2</w:t>
      </w:r>
      <w:r>
        <w:rPr>
          <w:rFonts w:hint="eastAsia" w:ascii="宋体" w:hAnsi="宋体" w:eastAsia="宋体" w:cs="宋体"/>
          <w:b/>
          <w:color w:val="auto"/>
          <w:szCs w:val="24"/>
          <w:highlight w:val="none"/>
        </w:rPr>
        <w:t>供应商应将磋商响应文件正本、所有副本、电子版分别密封装在单独封袋中，共</w:t>
      </w:r>
      <w:r>
        <w:rPr>
          <w:rFonts w:hint="eastAsia" w:hAnsi="宋体" w:cs="宋体"/>
          <w:b/>
          <w:color w:val="auto"/>
          <w:szCs w:val="24"/>
          <w:highlight w:val="none"/>
          <w:lang w:val="en-US" w:eastAsia="zh-CN"/>
        </w:rPr>
        <w:t>三</w:t>
      </w:r>
      <w:r>
        <w:rPr>
          <w:rFonts w:hint="eastAsia" w:ascii="宋体" w:hAnsi="宋体" w:eastAsia="宋体" w:cs="宋体"/>
          <w:b/>
          <w:color w:val="auto"/>
          <w:szCs w:val="24"/>
          <w:highlight w:val="none"/>
        </w:rPr>
        <w:t>个封袋</w:t>
      </w:r>
      <w:r>
        <w:rPr>
          <w:rFonts w:hint="eastAsia" w:ascii="宋体" w:hAnsi="宋体" w:eastAsia="宋体" w:cs="宋体"/>
          <w:color w:val="auto"/>
          <w:szCs w:val="24"/>
          <w:highlight w:val="none"/>
        </w:rPr>
        <w:t>。封袋不得破损，否则不予接收。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16.3外层包装请按以下要求标记：</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16.3.1 供应商的全称；</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16.3.2 磋商项目名称、项目编号；</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16.3.3正本/副本/电子版/。</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16.4如果供应商未对磋商响应文件按上述要求进行完好密封，由此产生的不利后果由供应商自行承担。</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17．磋商响应文件的递交</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17.1供应商应按磋商文件中规定的时间和地点，在磋商截止时间前将全部磋商文件和磋商资料递交至招标代理机构文件接收人。</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17.2磋商响应文件接收人在参数文件规定的磋商响应文件递交截止时间前，只负责对磋商响应文件和磋商资料的接收、清点、造册登记工作，并请递交人签字确认，对其有效性不负任何责任；</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17.3本次磋商不接受邮寄或速递或快递的磋商响应文件；</w:t>
      </w:r>
    </w:p>
    <w:p>
      <w:pPr>
        <w:spacing w:line="360" w:lineRule="auto"/>
        <w:ind w:firstLine="480" w:firstLineChars="200"/>
        <w:rPr>
          <w:rFonts w:hint="eastAsia" w:ascii="宋体" w:hAnsi="宋体" w:eastAsia="宋体" w:cs="宋体"/>
          <w:color w:val="auto"/>
          <w:spacing w:val="-2"/>
          <w:highlight w:val="none"/>
        </w:rPr>
      </w:pPr>
      <w:r>
        <w:rPr>
          <w:rFonts w:hint="eastAsia" w:ascii="宋体" w:hAnsi="宋体" w:eastAsia="宋体" w:cs="宋体"/>
          <w:color w:val="auto"/>
          <w:szCs w:val="24"/>
          <w:highlight w:val="none"/>
        </w:rPr>
        <w:t>17.4无论供应商中标与否，其磋商响应文件</w:t>
      </w:r>
      <w:r>
        <w:rPr>
          <w:rFonts w:hint="eastAsia" w:ascii="宋体" w:hAnsi="宋体" w:eastAsia="宋体" w:cs="宋体"/>
          <w:color w:val="auto"/>
          <w:highlight w:val="none"/>
        </w:rPr>
        <w:t>恕不退还。</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18．迟交的磋商响应文件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18.1逾期送达的或者未送达指定地点的磋商响应文件，为无效磋商响应文件，招标代理机构将拒绝接收。</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19．磋商的修改与撤回</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19.1供应商在递交磋商响应文件后，可以修改或撤回其磋商响应文件，也可以提出价格变动声明，但供应商必须在规定的磋商截止时间之前将修改或撤回或变动价格的书面通知文件递交到招标代理机构。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19.2供应商的修改或撤回或变动价格的通知应按本章第15条、16条、17条的规定编制、密封、标记和递交。</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19.3在磋商响应文件递交截止时间之后，供应商不得对其磋商响应文件做任何修改或撤回。</w:t>
      </w:r>
    </w:p>
    <w:p>
      <w:pPr>
        <w:keepNext/>
        <w:keepLines/>
        <w:spacing w:line="360" w:lineRule="auto"/>
        <w:jc w:val="center"/>
        <w:rPr>
          <w:rFonts w:hint="eastAsia" w:ascii="宋体" w:hAnsi="宋体" w:eastAsia="宋体" w:cs="宋体"/>
          <w:b/>
          <w:color w:val="auto"/>
          <w:sz w:val="32"/>
          <w:szCs w:val="32"/>
          <w:highlight w:val="none"/>
        </w:rPr>
      </w:pPr>
      <w:bookmarkStart w:id="53" w:name="_Toc363473976"/>
      <w:bookmarkStart w:id="54" w:name="_Toc403077643"/>
      <w:bookmarkStart w:id="55" w:name="_Toc363474021"/>
      <w:r>
        <w:rPr>
          <w:rFonts w:hint="eastAsia" w:ascii="宋体" w:hAnsi="宋体" w:eastAsia="宋体" w:cs="宋体"/>
          <w:b/>
          <w:color w:val="auto"/>
          <w:sz w:val="32"/>
          <w:szCs w:val="32"/>
          <w:highlight w:val="none"/>
        </w:rPr>
        <w:t>五.磋商与评</w:t>
      </w:r>
      <w:bookmarkEnd w:id="53"/>
      <w:bookmarkEnd w:id="54"/>
      <w:bookmarkEnd w:id="55"/>
      <w:r>
        <w:rPr>
          <w:rFonts w:hint="eastAsia" w:ascii="宋体" w:hAnsi="宋体" w:eastAsia="宋体" w:cs="宋体"/>
          <w:b/>
          <w:color w:val="auto"/>
          <w:sz w:val="32"/>
          <w:szCs w:val="32"/>
          <w:highlight w:val="none"/>
        </w:rPr>
        <w:t>审</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20.磋商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hAnsi="宋体" w:cs="宋体"/>
          <w:color w:val="auto"/>
          <w:szCs w:val="24"/>
          <w:highlight w:val="none"/>
          <w:lang w:val="en-US" w:eastAsia="zh-CN"/>
        </w:rPr>
        <w:t>0</w:t>
      </w:r>
      <w:r>
        <w:rPr>
          <w:rFonts w:hint="eastAsia" w:ascii="宋体" w:hAnsi="宋体" w:eastAsia="宋体" w:cs="宋体"/>
          <w:color w:val="auto"/>
          <w:szCs w:val="24"/>
          <w:highlight w:val="none"/>
        </w:rPr>
        <w:t>.1 采购代理机构按供应商须知前附表规定的时间、地点进行磋商。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hAnsi="宋体" w:cs="宋体"/>
          <w:color w:val="auto"/>
          <w:szCs w:val="24"/>
          <w:highlight w:val="none"/>
          <w:lang w:val="en-US" w:eastAsia="zh-CN"/>
        </w:rPr>
        <w:t>0</w:t>
      </w:r>
      <w:r>
        <w:rPr>
          <w:rFonts w:hint="eastAsia" w:ascii="宋体" w:hAnsi="宋体" w:eastAsia="宋体" w:cs="宋体"/>
          <w:color w:val="auto"/>
          <w:szCs w:val="24"/>
          <w:highlight w:val="none"/>
        </w:rPr>
        <w:t>.2供应商应派法定代表人或者授权代表出席磋商会。参加磋商的代表应签名报到，以证明其出席。供应商的法定代表人或授权代表未出席磋商会的，视为其认同磋商结果。</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hAnsi="宋体" w:cs="宋体"/>
          <w:color w:val="auto"/>
          <w:szCs w:val="24"/>
          <w:highlight w:val="none"/>
          <w:lang w:val="en-US" w:eastAsia="zh-CN"/>
        </w:rPr>
        <w:t>0</w:t>
      </w:r>
      <w:r>
        <w:rPr>
          <w:rFonts w:hint="eastAsia" w:ascii="宋体" w:hAnsi="宋体" w:eastAsia="宋体" w:cs="宋体"/>
          <w:color w:val="auto"/>
          <w:szCs w:val="24"/>
          <w:highlight w:val="none"/>
        </w:rPr>
        <w:t>.3磋商仪式由采购代理机构主持，主持人宣读磋商会议开始，宣读会场纪律，宣布参加会议的供应商名单。</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hAnsi="宋体" w:cs="宋体"/>
          <w:color w:val="auto"/>
          <w:szCs w:val="24"/>
          <w:highlight w:val="none"/>
          <w:lang w:val="en-US" w:eastAsia="zh-CN"/>
        </w:rPr>
        <w:t>0</w:t>
      </w:r>
      <w:r>
        <w:rPr>
          <w:rFonts w:hint="eastAsia" w:ascii="宋体" w:hAnsi="宋体" w:eastAsia="宋体" w:cs="宋体"/>
          <w:color w:val="auto"/>
          <w:szCs w:val="24"/>
          <w:highlight w:val="none"/>
        </w:rPr>
        <w:t>.4为保证参会供应商身份的真实性，磋商时</w:t>
      </w:r>
      <w:r>
        <w:rPr>
          <w:rFonts w:hint="eastAsia" w:hAnsi="宋体" w:cs="宋体"/>
          <w:color w:val="auto"/>
          <w:szCs w:val="24"/>
          <w:highlight w:val="none"/>
          <w:lang w:val="en-US" w:eastAsia="zh-CN"/>
        </w:rPr>
        <w:t>监标</w:t>
      </w:r>
      <w:r>
        <w:rPr>
          <w:rFonts w:hint="eastAsia" w:ascii="宋体" w:hAnsi="宋体" w:eastAsia="宋体" w:cs="宋体"/>
          <w:color w:val="auto"/>
          <w:szCs w:val="24"/>
          <w:highlight w:val="none"/>
        </w:rPr>
        <w:t>人对供应商的身份进行核查确认。</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hAnsi="宋体" w:cs="宋体"/>
          <w:color w:val="auto"/>
          <w:szCs w:val="24"/>
          <w:highlight w:val="none"/>
          <w:lang w:val="en-US" w:eastAsia="zh-CN"/>
        </w:rPr>
        <w:t>0</w:t>
      </w:r>
      <w:r>
        <w:rPr>
          <w:rFonts w:hint="eastAsia" w:ascii="宋体" w:hAnsi="宋体" w:eastAsia="宋体" w:cs="宋体"/>
          <w:color w:val="auto"/>
          <w:szCs w:val="24"/>
          <w:highlight w:val="none"/>
        </w:rPr>
        <w:t>.5供应商的法定代表人或被授权人与监标人当众检查所有竞争性磋商响应文件的密封情况，签字确认并宣读检查结果。未通过核查的按无效文件处理。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hAnsi="宋体" w:cs="宋体"/>
          <w:color w:val="auto"/>
          <w:szCs w:val="24"/>
          <w:highlight w:val="none"/>
          <w:lang w:val="en-US" w:eastAsia="zh-CN"/>
        </w:rPr>
        <w:t>0</w:t>
      </w:r>
      <w:r>
        <w:rPr>
          <w:rFonts w:hint="eastAsia" w:ascii="宋体" w:hAnsi="宋体" w:eastAsia="宋体" w:cs="宋体"/>
          <w:color w:val="auto"/>
          <w:szCs w:val="24"/>
          <w:highlight w:val="none"/>
        </w:rPr>
        <w:t>.6采购代理机构工作人员开启各供应商的竞争性磋商响应文件。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hAnsi="宋体" w:cs="宋体"/>
          <w:color w:val="auto"/>
          <w:szCs w:val="24"/>
          <w:highlight w:val="none"/>
          <w:lang w:val="en-US" w:eastAsia="zh-CN"/>
        </w:rPr>
        <w:t>0</w:t>
      </w:r>
      <w:r>
        <w:rPr>
          <w:rFonts w:hint="eastAsia" w:ascii="宋体" w:hAnsi="宋体" w:eastAsia="宋体" w:cs="宋体"/>
          <w:color w:val="auto"/>
          <w:szCs w:val="24"/>
          <w:highlight w:val="none"/>
        </w:rPr>
        <w:t>.7采购代理机构对磋商过程进行录音录像，并存档备查。</w:t>
      </w:r>
    </w:p>
    <w:p>
      <w:pPr>
        <w:spacing w:line="360" w:lineRule="auto"/>
        <w:ind w:firstLine="480" w:firstLineChars="200"/>
        <w:rPr>
          <w:rFonts w:hint="eastAsia" w:ascii="宋体" w:hAnsi="宋体" w:eastAsia="宋体" w:cs="宋体"/>
          <w:color w:val="auto"/>
          <w:szCs w:val="24"/>
          <w:highlight w:val="none"/>
        </w:rPr>
      </w:pPr>
      <w:r>
        <w:rPr>
          <w:rFonts w:hint="eastAsia" w:hAnsi="宋体" w:cs="宋体"/>
          <w:color w:val="auto"/>
          <w:szCs w:val="24"/>
          <w:highlight w:val="none"/>
          <w:lang w:val="en-US" w:eastAsia="zh-CN"/>
        </w:rPr>
        <w:t>20</w:t>
      </w:r>
      <w:r>
        <w:rPr>
          <w:rFonts w:hint="eastAsia" w:ascii="宋体" w:hAnsi="宋体" w:eastAsia="宋体" w:cs="宋体"/>
          <w:color w:val="auto"/>
          <w:szCs w:val="24"/>
          <w:highlight w:val="none"/>
        </w:rPr>
        <w:t>.8供应商代表对磋商过程有异议的，以及认为采购人、采购代理机构相关工作人员有需要回避的情形的，应当场提出询问或回避申请。</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21．评审组织及评审原则</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21.1按照《中华人民共和国政府采购法》、《中华人民共和国政府采购法实施条例》和关于印发《政府采购竞争性磋商采购方式管理暂行办法》的通知财库【2014】214号等规定，依法组建磋商小组。磋商小组由采购人评审代表和评审专家共3人以上单数组成。其中评审专家人数不得少于成员总数的三分之二，采购人评审代表须持有授权书以及核对评审专家身份和采购人评审代表授权函，对评审专家在政府采购活动中的职责履行情况予以记录，并及时将有关违法违规行为向财政部门报告。磋商小组按照磋商文件规定的评审方法独立进行评审工作。</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21.2磋商文件和磋商响应文件是评审的依据。在评审中，不得改变磋商文件中规定的评审标准、方法和成交条件。供应商不得在磋商后使用任何方式对磋商响应文件的实质性内容做任何更改。</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21.3在评审期间，对磋商响应文件中含义不明确、同类问题表述不一致或者有明显文字和计算错误的内容，磋商小组可以书面形式（由磋商小组全体专家签字）要求供应商作出必要的澄清、说明或者纠正。供应商的澄清、说明或者补正应当采用书面形式，由其授权的代表签字，并不得超出磋商响应文件的范围或者改变磋商响应文件的实质性内容。</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21.4如果供应商在澄清规定期限内，未能答复或拒绝答复磋商小组提出的澄清要求，将由磋商小组根据其磋商响应文件按最大风险进行评审。</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21.5磋商过程中的实质性变动：</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21.5.1在磋商过程中，磋商小组可以根据磋商文件和磋商情况在最终报价之前实质性变动采购需求中的技术、服务要求以及合同草案条款，但不得变动磋商文件中的其他内容。实质性变动的内容，须经采购人代表确认。</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21.5.2对磋商文件做出的实质性变动是磋商文件的有效组成部分，磋商小组应当及时以书面形式通知所有参加磋商的供应商。</w:t>
      </w:r>
    </w:p>
    <w:p>
      <w:pPr>
        <w:spacing w:line="360" w:lineRule="auto"/>
        <w:ind w:firstLine="482" w:firstLineChars="20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21.6磋商响应文件的初审（含资格性审查和符合性审查）</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21.6.1采购人应当依法对供应商的资格进行审查；评审小组应当对符合资格的供应商的磋商响应文件进行符合性审查，以确定其是否满足磋商文件的实质性要求。</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21.6.2计算错误将按以下方法更正：①磋商响应文件中磋商一览表（磋商报价表）内容与磋商响应文件中相应内容不一致的，以磋商一览表（磋商报价表）为准；②大写金额和小写金额不一致的，以大写金额为准；③单价金额小数点或者百分比有明显错位的，以磋商一览表的总价为准，并修改单价；④总价金额与按单价汇总金额不一致的，以单价金额计算结果为准。同时出现两种以上不一致的，按照前款规定的顺序修正。修正后的报价按照磋商文件21.3条的规定经供应商确认后产生约束力，供应商不同意以上修正的，其磋商无效。</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21.6.3在详细评审前，根据本须知第21.6.4条的规定，评审小组要审查每份磋商响应文件是否实质上响应了磋商文件的要求。对关键条文的偏离、保留或反对将被认为是实质上的偏离，这些偏离不允许在开标后修正。但允许修改不构成重大偏离的、微小的、非正规的不一致或不规则的地方。</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21.6.4实质上没有响应磋商文件要求的磋商将被拒绝。供应商不得通过修正或撤销不合要求的偏离从而使其磋商成为实质性响应的磋商。如发现下列情况之一的，其磋商将构成非实质性响应，按无效响应处理：</w:t>
      </w:r>
    </w:p>
    <w:p>
      <w:pPr>
        <w:tabs>
          <w:tab w:val="left" w:pos="1260"/>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21.6.4.1没有按照磋商文件要求提供的磋商响应文件或磋商响应文件构成有重大缺项；</w:t>
      </w:r>
    </w:p>
    <w:p>
      <w:pPr>
        <w:tabs>
          <w:tab w:val="left" w:pos="1260"/>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21.6.4.2磋商响应文件未按磋商文件要求签署、盖章、装订的；</w:t>
      </w:r>
    </w:p>
    <w:p>
      <w:pPr>
        <w:tabs>
          <w:tab w:val="left" w:pos="1260"/>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21.6.4.3资格证明文件不全的或无效的，或不符合国家规定的；</w:t>
      </w:r>
    </w:p>
    <w:p>
      <w:pPr>
        <w:tabs>
          <w:tab w:val="left" w:pos="1260"/>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21.6.4.4磋商响应文件无供应商公章、无法定代表人签字或签字人无法定代表人有效委托书的；</w:t>
      </w:r>
    </w:p>
    <w:p>
      <w:pPr>
        <w:tabs>
          <w:tab w:val="left" w:pos="1260"/>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21.6.4.5</w:t>
      </w:r>
      <w:r>
        <w:rPr>
          <w:rFonts w:hint="eastAsia" w:ascii="宋体" w:hAnsi="宋体" w:eastAsia="宋体" w:cs="宋体"/>
          <w:color w:val="auto"/>
          <w:spacing w:val="-6"/>
          <w:szCs w:val="24"/>
          <w:highlight w:val="none"/>
        </w:rPr>
        <w:t>无磋商有效期或有效期不满足磋商文件要求的</w:t>
      </w:r>
      <w:r>
        <w:rPr>
          <w:rFonts w:hint="eastAsia" w:ascii="宋体" w:hAnsi="宋体" w:eastAsia="宋体" w:cs="宋体"/>
          <w:color w:val="auto"/>
          <w:szCs w:val="24"/>
          <w:highlight w:val="none"/>
        </w:rPr>
        <w:t>；</w:t>
      </w:r>
    </w:p>
    <w:p>
      <w:pPr>
        <w:tabs>
          <w:tab w:val="left" w:pos="1260"/>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21.6.4.6供应商在同一份磋商响应文件中，有两个或多个报价的；</w:t>
      </w:r>
    </w:p>
    <w:p>
      <w:pPr>
        <w:tabs>
          <w:tab w:val="left" w:pos="1260"/>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21.6.4.7供应商有串通磋商、以他人名义磋商、行贿、提供虚假证明（包括第三方提供的虚假证明），开具虚假资质，出现虚假应答的，除按无效响应处理外，还将按照政府采购的有关规定进行处罚；</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21.6.4.8磋商响应文件名称与本项目名称不一致的；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21.6.4.9磋商总报价低于成本或者高于磋商文件公布的采购预算的。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21.7磋商响应文件的详细评审</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21.7.1评审小组将按照本须知第21.6.4条规定，只对确定为实质性响应磋商文件要求的磋商进行详细评审。评审时，评审小组各成员应当独立对每个供应商的磋商响应文件进行评价，并汇总每个供应商的得分。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21.7.2详细评审按照第五章“评审方法”的方法进行评审。</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21.8成交候选人的确定</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21.8.1磋商小组完成评审后，向采购人提交书面磋商结果报告，并推荐一至三名成交候选人，标明排列顺序。</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22．评审过程的保密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22.1磋商小组全体成员和与评审活动有关的工作人员不得泄露有关磋商响应文件的评审和比较、成交候选人的推荐以及与评审有关的其他情况。</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22.2在评审过程中，如果供应商试图在磋商响应文件的评审和比较、成交候选人的推荐以及与评审有关的其他方面，向磋商小组和采购人及招标代理机构施加任何影响，应予废标。</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23．评审方法</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23.1按照关于印发《政府采购竞争性磋商采购方式管理暂行办法》的通知财库【2014】214号的规定，本次评审采用综合评分法，供应商在全部满足磋商文件实质性要求前提下，磋商小组应当根据综合评分情况，按照评审得分高低顺序推荐一至三名成交候选供应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24．评审程序</w:t>
      </w:r>
    </w:p>
    <w:p>
      <w:pPr>
        <w:pStyle w:val="17"/>
        <w:spacing w:line="360" w:lineRule="auto"/>
        <w:ind w:left="0" w:leftChars="0" w:firstLine="49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24.1按照初审（含资格性审查和符合性审查）、澄清有关问题、分别磋商、二次报价、详细评审、推荐成交候选人名单的工作程序进行评审、在上</w:t>
      </w:r>
    </w:p>
    <w:p>
      <w:pPr>
        <w:pStyle w:val="17"/>
        <w:spacing w:line="360" w:lineRule="auto"/>
        <w:ind w:left="0" w:leftChars="0" w:firstLine="49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一步评审中供应商被按无效磋商处理的或被被废标的供应商认定为无效磋商者，不进入下一步的评审。</w:t>
      </w:r>
    </w:p>
    <w:p>
      <w:pPr>
        <w:keepNext/>
        <w:keepLines/>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六.成交、通知与签约</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25．成交程序</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25.1磋商小组根据评审方法的规定对供应商进行评审排序，推荐1-3名成交候选人，作为评审结果。评审结果由磋商小组全体成员签字确认。</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25.2采购人根据评标报告中推荐的成交候选人排列顺序，确定排名第一的为成交供应商。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25.3排名第一的成交候选人放弃成交、在规定期限内未能签订合同、因不可抗力不能履行合同、不按照竞争性磋商文件要求提交履约保证金</w:t>
      </w:r>
      <w:r>
        <w:rPr>
          <w:rFonts w:hint="eastAsia" w:hAnsi="宋体" w:cs="宋体"/>
          <w:color w:val="auto"/>
          <w:szCs w:val="24"/>
          <w:highlight w:val="none"/>
          <w:lang w:eastAsia="zh-CN"/>
        </w:rPr>
        <w:t>（</w:t>
      </w:r>
      <w:r>
        <w:rPr>
          <w:rFonts w:hint="eastAsia" w:hAnsi="宋体" w:cs="宋体"/>
          <w:color w:val="auto"/>
          <w:szCs w:val="24"/>
          <w:highlight w:val="none"/>
          <w:lang w:val="en-US" w:eastAsia="zh-CN"/>
        </w:rPr>
        <w:t>如有</w:t>
      </w:r>
      <w:r>
        <w:rPr>
          <w:rFonts w:hint="eastAsia" w:hAnsi="宋体" w:cs="宋体"/>
          <w:color w:val="auto"/>
          <w:szCs w:val="24"/>
          <w:highlight w:val="none"/>
          <w:lang w:eastAsia="zh-CN"/>
        </w:rPr>
        <w:t>）</w:t>
      </w:r>
      <w:r>
        <w:rPr>
          <w:rFonts w:hint="eastAsia" w:ascii="宋体" w:hAnsi="宋体" w:eastAsia="宋体" w:cs="宋体"/>
          <w:color w:val="auto"/>
          <w:szCs w:val="24"/>
          <w:highlight w:val="none"/>
        </w:rPr>
        <w:t>，或者被查实存在影响成交结果的违法行为等情形，不符合成交条件的，采购人可以按照磋商小组提出的成交候选人名单排序依次确定其他成交候选人为成交供应商，也可以重新组织竞争性磋商。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25.4采购人也可以授权磋商小组评审后直接确定成交人。</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25.5成交供应商确定之后，成交结果将在财政部门指定的政府采购信息发布媒体上公告。</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25.5供应商或者其他利害关系人对评审结果有异议的，应当在公示期间提出。</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26．成交与落标通知</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26.1招标代理机构向成交供应商发出《成交通知书》。</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26.2成交通知书对采购人和向成交供应商具有同等法律效力。成交通知书发出之后，采购人改变成交结果，或者向成交供应商放弃成交，应当承担相应的法律责任。</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27. 成交合同的签订</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27.1采购人应当自成交通知书发出之日起三十日内，按照磋商文件和成交供应商的磋商响应文件（包括评审中形成的澄清文件）的约定，与成交供应商签订书面合同。所签订的合同不得对磋商文件和成交供应商的磋商响应文件（包括评审中形成的澄清文件）作实质性修改。</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27.2采购人自政府采购合同签订之日起2个工作日内，将政府采购合同在省级以上人民政府财政部门指定的媒体上公告，但政府采购合同中涉及国家秘密、商业秘密的内容除外。</w:t>
      </w:r>
    </w:p>
    <w:p>
      <w:pPr>
        <w:numPr>
          <w:ilvl w:val="0"/>
          <w:numId w:val="3"/>
        </w:num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招标代理服务费</w:t>
      </w:r>
    </w:p>
    <w:p>
      <w:pPr>
        <w:spacing w:line="360" w:lineRule="auto"/>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28.1招标代理服务费：</w:t>
      </w:r>
      <w:r>
        <w:rPr>
          <w:rFonts w:hint="eastAsia" w:ascii="宋体" w:hAnsi="宋体" w:eastAsia="宋体" w:cs="宋体"/>
          <w:color w:val="auto"/>
          <w:szCs w:val="24"/>
          <w:highlight w:val="none"/>
          <w:lang w:val="en-US" w:eastAsia="zh-CN"/>
        </w:rPr>
        <w:t>参照</w:t>
      </w:r>
      <w:r>
        <w:rPr>
          <w:rFonts w:hint="eastAsia" w:ascii="宋体" w:hAnsi="宋体" w:eastAsia="宋体" w:cs="宋体"/>
          <w:color w:val="auto"/>
          <w:szCs w:val="24"/>
          <w:highlight w:val="none"/>
        </w:rPr>
        <w:t>国家计委颁发的《招标代理服务收费管理暂行办法》（计价格[2002]1980号）和国家发展改革委员会办公厅颁发的《关于招标代理服务收费有关问题的通知》（发改办价格[2003]857号）的有关规定标准计算招标代理服务费，</w:t>
      </w:r>
      <w:r>
        <w:rPr>
          <w:rFonts w:hint="eastAsia" w:ascii="宋体" w:hAnsi="宋体" w:eastAsia="宋体" w:cs="宋体"/>
          <w:color w:val="auto"/>
          <w:szCs w:val="24"/>
          <w:highlight w:val="none"/>
          <w:lang w:val="en-US" w:eastAsia="zh-CN"/>
        </w:rPr>
        <w:t>不足壹万按壹万收取</w:t>
      </w:r>
      <w:r>
        <w:rPr>
          <w:rFonts w:hint="eastAsia" w:hAnsi="宋体" w:cs="宋体"/>
          <w:color w:val="auto"/>
          <w:szCs w:val="24"/>
          <w:highlight w:val="none"/>
          <w:lang w:val="en-US" w:eastAsia="zh-CN"/>
        </w:rPr>
        <w:t>，</w:t>
      </w:r>
      <w:r>
        <w:rPr>
          <w:rFonts w:hint="eastAsia" w:ascii="宋体" w:hAnsi="宋体" w:eastAsia="宋体" w:cs="宋体"/>
          <w:color w:val="auto"/>
          <w:szCs w:val="24"/>
          <w:highlight w:val="none"/>
        </w:rPr>
        <w:t>由</w:t>
      </w:r>
      <w:r>
        <w:rPr>
          <w:rFonts w:hint="eastAsia" w:ascii="宋体" w:hAnsi="宋体" w:eastAsia="宋体" w:cs="宋体"/>
          <w:color w:val="auto"/>
          <w:szCs w:val="24"/>
          <w:highlight w:val="none"/>
          <w:lang w:val="en-US" w:eastAsia="zh-CN"/>
        </w:rPr>
        <w:t>成交</w:t>
      </w:r>
      <w:r>
        <w:rPr>
          <w:rFonts w:hint="eastAsia" w:ascii="宋体" w:hAnsi="宋体" w:eastAsia="宋体" w:cs="宋体"/>
          <w:color w:val="auto"/>
          <w:szCs w:val="24"/>
          <w:highlight w:val="none"/>
        </w:rPr>
        <w:t>人</w:t>
      </w:r>
      <w:r>
        <w:rPr>
          <w:rFonts w:hint="eastAsia" w:ascii="宋体" w:hAnsi="宋体" w:eastAsia="宋体" w:cs="宋体"/>
          <w:color w:val="auto"/>
          <w:szCs w:val="24"/>
          <w:highlight w:val="none"/>
          <w:lang w:eastAsia="zh-CN"/>
        </w:rPr>
        <w:t>向</w:t>
      </w:r>
      <w:r>
        <w:rPr>
          <w:rFonts w:hint="eastAsia" w:ascii="宋体" w:hAnsi="宋体" w:eastAsia="宋体" w:cs="宋体"/>
          <w:color w:val="auto"/>
          <w:szCs w:val="24"/>
          <w:highlight w:val="none"/>
          <w:lang w:val="en-US" w:eastAsia="zh-CN"/>
        </w:rPr>
        <w:t>采购</w:t>
      </w:r>
      <w:r>
        <w:rPr>
          <w:rFonts w:hint="eastAsia" w:ascii="宋体" w:hAnsi="宋体" w:eastAsia="宋体" w:cs="宋体"/>
          <w:color w:val="auto"/>
          <w:szCs w:val="24"/>
          <w:highlight w:val="none"/>
        </w:rPr>
        <w:t>代理机构缴纳招标代理服务费。</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28.2招标代理服务费由成交供应商支付，在领取《</w:t>
      </w:r>
      <w:r>
        <w:rPr>
          <w:rFonts w:hint="eastAsia" w:hAnsi="宋体" w:cs="宋体"/>
          <w:color w:val="auto"/>
          <w:szCs w:val="24"/>
          <w:highlight w:val="none"/>
          <w:lang w:val="en-US" w:eastAsia="zh-CN"/>
        </w:rPr>
        <w:t>成交</w:t>
      </w:r>
      <w:r>
        <w:rPr>
          <w:rFonts w:hint="eastAsia" w:ascii="宋体" w:hAnsi="宋体" w:eastAsia="宋体" w:cs="宋体"/>
          <w:color w:val="auto"/>
          <w:szCs w:val="24"/>
          <w:highlight w:val="none"/>
        </w:rPr>
        <w:t>通知书》前，由</w:t>
      </w:r>
      <w:r>
        <w:rPr>
          <w:rFonts w:hint="eastAsia" w:hAnsi="宋体" w:cs="宋体"/>
          <w:color w:val="auto"/>
          <w:szCs w:val="24"/>
          <w:highlight w:val="none"/>
          <w:lang w:val="en-US" w:eastAsia="zh-CN"/>
        </w:rPr>
        <w:t>成交</w:t>
      </w:r>
      <w:r>
        <w:rPr>
          <w:rFonts w:hint="eastAsia" w:ascii="宋体" w:hAnsi="宋体" w:eastAsia="宋体" w:cs="宋体"/>
          <w:color w:val="auto"/>
          <w:szCs w:val="24"/>
          <w:highlight w:val="none"/>
        </w:rPr>
        <w:t>人一次性支付给</w:t>
      </w:r>
      <w:r>
        <w:rPr>
          <w:rFonts w:hint="eastAsia" w:hAnsi="宋体" w:cs="宋体"/>
          <w:color w:val="auto"/>
          <w:szCs w:val="24"/>
          <w:highlight w:val="none"/>
          <w:lang w:val="en-US" w:eastAsia="zh-CN"/>
        </w:rPr>
        <w:t>代理公司</w:t>
      </w:r>
      <w:r>
        <w:rPr>
          <w:rFonts w:hint="eastAsia" w:ascii="宋体" w:hAnsi="宋体" w:eastAsia="宋体" w:cs="宋体"/>
          <w:color w:val="auto"/>
          <w:szCs w:val="24"/>
          <w:highlight w:val="none"/>
        </w:rPr>
        <w:t>。</w:t>
      </w:r>
    </w:p>
    <w:p>
      <w:pPr>
        <w:spacing w:line="360" w:lineRule="auto"/>
        <w:ind w:firstLine="482" w:firstLineChars="20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29.履约保证金</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☑不要求提供</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□要求提供，金额为本采购项目履约保证金为合同金额的5%，提交方式为：转账、电汇、担保机构保函。</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30.其他</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30.1磋商步骤为：第一次报价（磋商响应文件的报价）---分别磋商---第二次报价---综合评审推荐成交候选人。</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30.2经过公开发布磋商信息后，有效磋商供应商不足三家时，由磋商小组集体研究并报监督管理机关同意，采用相应方式完成采购。</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30.3当第二次报价全部超过财政预算限额或均低于公认的制作成本时，磋商小组有权决定是否磋商失败或进行第三次报价。当第三次报价若超出财政预算，且采购人又无力支付，磋商小组有权决定磋商失败。</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30.4成交供应商确定后，成交供应商无正当理由拖延或拒签合同的，或未能按照规定的时间提供履约担保，采购人有权取消其成交资格，并按评审顺序重新确定成交供应商。同时报请监督机构予以通报，禁止其进入政府采购市场。</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31.质疑与质疑答复</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31.1供应商认为采购文件、采购过程、中标结果使自己的权益受到损害的，可以在知道或者应知其权益受到损害之日起七个工作日内，以书面形式向采购代理机构提出质疑（质疑函接收联系人、联系电话和通讯地址等详见磋商公告）。</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31.2质疑函范本格式在中国政府采购网站（http://www.ccgp.gov.cn/）自行下载。</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31.3供应商须在法定质疑期内一次性提出针对同一采购程序环节的质疑。</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31.4法定代表人提交质疑的，须出具法定代表人资格证明书；委托代理人提交质疑的，必须出具授权委托书，授权委托书应当载明代理人的姓名或者名称、代理事项、具体权限、期限和相关事项，由法定代表人签字或者盖章，并加盖单位公章。</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质疑函应当包括下列内容：</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val="zh-CN"/>
        </w:rPr>
        <w:t>供应商</w:t>
      </w:r>
      <w:r>
        <w:rPr>
          <w:rFonts w:hint="eastAsia" w:ascii="宋体" w:hAnsi="宋体" w:eastAsia="宋体" w:cs="宋体"/>
          <w:color w:val="auto"/>
          <w:szCs w:val="24"/>
          <w:highlight w:val="none"/>
        </w:rPr>
        <w:t>的姓名或者名称、地址、邮编、联系人及联系电话；</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4、事实依据；</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6、提出质疑的日期。 </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备注：</w:t>
      </w:r>
      <w:r>
        <w:rPr>
          <w:rFonts w:hint="eastAsia" w:ascii="宋体" w:hAnsi="宋体" w:eastAsia="宋体" w:cs="宋体"/>
          <w:color w:val="auto"/>
          <w:szCs w:val="24"/>
          <w:highlight w:val="none"/>
          <w:lang w:val="zh-CN"/>
        </w:rPr>
        <w:t>供应商为自然人的，应当由本人签字；供应商为法人或者其他组织的，应当由法定代表人、主要负责人，或者其授权代表签字或者盖章，并加盖公章。</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31.5质疑有以下情形之一的，采购代理机构不予受理：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1、未按规定程序和渠道提出质疑的；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2、超过法定质疑期限的；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3、书面质疑的形式和内容不符合上述要求的；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4、提出的质疑事项已经明确答复的；</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5、法律法规规定的其他不予受理的条件。</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31.6质疑答复</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采购人或招标代理机构在收到供应商的书面质疑后将按规定的时间进行回复。</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31.7</w:t>
      </w:r>
      <w:r>
        <w:rPr>
          <w:rFonts w:hint="eastAsia" w:ascii="宋体" w:hAnsi="宋体" w:eastAsia="宋体" w:cs="宋体"/>
          <w:color w:val="auto"/>
          <w:szCs w:val="24"/>
          <w:highlight w:val="none"/>
          <w:lang w:val="zh-CN"/>
        </w:rPr>
        <w:t>供应商进行虚假和恶意质疑的，采购代理机构将提供相关资料报监督机构，按其情况进行相应处理。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32.信用担保</w:t>
      </w:r>
    </w:p>
    <w:p>
      <w:pPr>
        <w:pStyle w:val="10"/>
        <w:spacing w:after="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32</w:t>
      </w:r>
      <w:r>
        <w:rPr>
          <w:rFonts w:hint="eastAsia" w:ascii="宋体" w:hAnsi="宋体" w:eastAsia="宋体" w:cs="宋体"/>
          <w:color w:val="auto"/>
          <w:kern w:val="0"/>
          <w:sz w:val="24"/>
          <w:szCs w:val="24"/>
          <w:highlight w:val="none"/>
          <w:lang w:val="zh-CN"/>
        </w:rPr>
        <w:t>.1西安市政府采购信用担保及信用融资政策</w:t>
      </w:r>
    </w:p>
    <w:p>
      <w:pPr>
        <w:pStyle w:val="10"/>
        <w:spacing w:after="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根据陕西省财政厅关于印发《陕西省中小企业政府采购信用融资办法》（陕财办采〔2018〕23号）和《陕西省财政厅关于加快推进我省中小企业政府采购信用融资工作的通知》（陕财办采〔2020〕15号）文件精神，有融资需求的供应商可根据自身情况，在陕西省政府采购信用融资平台（含各市分平台）自主选择金融机构及其融资产品，凭政府采购中标（成交）通知书或政府采购合同向金融机构提出融资申请。</w:t>
      </w:r>
    </w:p>
    <w:p>
      <w:pPr>
        <w:pStyle w:val="3"/>
        <w:spacing w:line="360" w:lineRule="auto"/>
        <w:jc w:val="center"/>
        <w:rPr>
          <w:rFonts w:hint="eastAsia"/>
        </w:rPr>
      </w:pPr>
      <w:r>
        <w:rPr>
          <w:rFonts w:hint="eastAsia" w:ascii="宋体" w:hAnsi="宋体" w:eastAsia="宋体" w:cs="宋体"/>
          <w:color w:val="auto"/>
          <w:szCs w:val="24"/>
          <w:highlight w:val="none"/>
        </w:rPr>
        <w:br w:type="page"/>
      </w:r>
      <w:bookmarkStart w:id="56" w:name="_Toc4059"/>
      <w:bookmarkStart w:id="57" w:name="_Toc31588"/>
      <w:bookmarkStart w:id="58" w:name="_Toc24527_WPSOffice_Level1"/>
      <w:bookmarkStart w:id="59" w:name="_Toc9420"/>
      <w:bookmarkStart w:id="60" w:name="_Toc21408"/>
      <w:bookmarkStart w:id="61" w:name="_Toc25317_WPSOffice_Level1"/>
      <w:bookmarkStart w:id="62" w:name="_Toc8070"/>
      <w:bookmarkStart w:id="63" w:name="_Toc13332"/>
      <w:bookmarkStart w:id="64" w:name="_Toc25746"/>
      <w:bookmarkStart w:id="65" w:name="_Toc6289"/>
      <w:bookmarkStart w:id="66" w:name="_Toc6209"/>
      <w:bookmarkStart w:id="67" w:name="_Toc12426"/>
      <w:bookmarkStart w:id="68" w:name="_Toc2021"/>
      <w:bookmarkStart w:id="69" w:name="_Toc7197"/>
      <w:bookmarkStart w:id="70" w:name="_Toc12140"/>
      <w:bookmarkStart w:id="71" w:name="_Toc2694"/>
      <w:bookmarkStart w:id="72" w:name="_Toc29904"/>
    </w:p>
    <w:p>
      <w:pPr>
        <w:pStyle w:val="3"/>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color w:val="auto"/>
          <w:szCs w:val="24"/>
          <w:highlight w:val="none"/>
          <w:lang w:eastAsia="zh-CN"/>
        </w:rPr>
        <w:t>第三章</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lang w:eastAsia="zh-CN"/>
        </w:rPr>
        <w:t>合同条款及格式</w:t>
      </w:r>
      <w:bookmarkEnd w:id="44"/>
      <w:bookmarkEnd w:id="4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jc w:val="left"/>
        <w:rPr>
          <w:rFonts w:ascii="宋体" w:hAnsi="宋体" w:eastAsia="宋体" w:cs="宋体"/>
          <w:b/>
          <w:bCs/>
          <w:sz w:val="28"/>
          <w:szCs w:val="28"/>
        </w:rPr>
      </w:pPr>
      <w:bookmarkStart w:id="73" w:name="_Toc29387"/>
      <w:bookmarkStart w:id="74" w:name="_Toc9450_WPSOffice_Level1"/>
      <w:bookmarkStart w:id="75" w:name="_Toc20944_WPSOffice_Level1"/>
      <w:bookmarkStart w:id="76" w:name="_Toc4168"/>
      <w:bookmarkStart w:id="77" w:name="_Toc31793"/>
      <w:bookmarkStart w:id="78" w:name="_Toc4679"/>
      <w:bookmarkStart w:id="79" w:name="_Toc16267"/>
      <w:bookmarkStart w:id="80" w:name="_Toc24210"/>
      <w:bookmarkStart w:id="81" w:name="_Toc19199"/>
      <w:bookmarkStart w:id="82" w:name="_Toc389582037"/>
      <w:bookmarkStart w:id="83" w:name="_Toc19246"/>
      <w:bookmarkStart w:id="84" w:name="_Toc11601"/>
      <w:bookmarkStart w:id="85" w:name="_Toc8333"/>
      <w:bookmarkStart w:id="86" w:name="_Toc16849"/>
      <w:bookmarkStart w:id="87" w:name="_Toc28117"/>
      <w:bookmarkStart w:id="88" w:name="_Toc29888"/>
      <w:bookmarkStart w:id="89" w:name="_Toc8406"/>
      <w:bookmarkStart w:id="90" w:name="_Toc26595"/>
      <w:bookmarkStart w:id="91" w:name="_Toc6817"/>
      <w:bookmarkStart w:id="92" w:name="_Toc28790"/>
      <w:bookmarkStart w:id="93" w:name="_Toc8259"/>
      <w:bookmarkStart w:id="94" w:name="_Toc31520"/>
      <w:bookmarkStart w:id="95" w:name="_Toc7345"/>
      <w:r>
        <w:rPr>
          <w:rFonts w:hint="eastAsia" w:ascii="宋体" w:hAnsi="宋体" w:eastAsia="宋体" w:cs="宋体"/>
          <w:b/>
          <w:bCs/>
          <w:sz w:val="24"/>
          <w:szCs w:val="24"/>
        </w:rPr>
        <w:t xml:space="preserve">合同编号： </w:t>
      </w:r>
      <w:r>
        <w:rPr>
          <w:rFonts w:hint="eastAsia" w:ascii="宋体" w:hAnsi="宋体" w:eastAsia="宋体" w:cs="宋体"/>
          <w:b/>
          <w:bCs/>
          <w:sz w:val="28"/>
          <w:szCs w:val="28"/>
        </w:rPr>
        <w:t xml:space="preserve">                                     </w:t>
      </w:r>
    </w:p>
    <w:p>
      <w:pPr>
        <w:rPr>
          <w:rFonts w:ascii="宋体" w:hAnsi="宋体" w:eastAsia="宋体" w:cs="宋体"/>
          <w:b/>
          <w:bCs/>
          <w:sz w:val="36"/>
          <w:szCs w:val="36"/>
        </w:rPr>
      </w:pPr>
    </w:p>
    <w:p>
      <w:pPr>
        <w:pStyle w:val="14"/>
        <w:rPr>
          <w:rFonts w:ascii="宋体" w:hAnsi="宋体" w:eastAsia="宋体" w:cs="宋体"/>
          <w:b/>
          <w:bCs/>
          <w:sz w:val="36"/>
          <w:szCs w:val="36"/>
        </w:rPr>
      </w:pPr>
    </w:p>
    <w:p>
      <w:pPr>
        <w:pStyle w:val="14"/>
        <w:rPr>
          <w:rFonts w:ascii="宋体" w:hAnsi="宋体" w:eastAsia="宋体" w:cs="宋体"/>
          <w:b/>
          <w:bCs/>
          <w:sz w:val="36"/>
          <w:szCs w:val="36"/>
        </w:rPr>
      </w:pPr>
    </w:p>
    <w:p>
      <w:pPr>
        <w:jc w:val="center"/>
        <w:rPr>
          <w:rFonts w:ascii="宋体" w:hAnsi="宋体" w:eastAsia="宋体" w:cs="宋体"/>
          <w:b/>
          <w:bCs/>
          <w:sz w:val="30"/>
          <w:szCs w:val="30"/>
        </w:rPr>
      </w:pPr>
      <w:r>
        <w:rPr>
          <w:rFonts w:hint="eastAsia" w:ascii="宋体" w:hAnsi="宋体" w:eastAsia="宋体" w:cs="宋体"/>
          <w:b/>
          <w:bCs/>
          <w:sz w:val="30"/>
          <w:szCs w:val="30"/>
          <w:lang w:eastAsia="zh-CN"/>
        </w:rPr>
        <w:t>谭家街道办事处廉政灶采买项目</w:t>
      </w:r>
      <w:r>
        <w:rPr>
          <w:rFonts w:hint="eastAsia" w:ascii="宋体" w:hAnsi="宋体" w:eastAsia="宋体" w:cs="宋体"/>
          <w:b/>
          <w:bCs/>
          <w:sz w:val="30"/>
          <w:szCs w:val="30"/>
        </w:rPr>
        <w:t>合同</w:t>
      </w:r>
    </w:p>
    <w:p>
      <w:pPr>
        <w:jc w:val="center"/>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w:t>
      </w:r>
      <w:r>
        <w:rPr>
          <w:rFonts w:hint="eastAsia" w:ascii="宋体" w:hAnsi="宋体" w:eastAsia="宋体" w:cs="宋体"/>
          <w:b/>
          <w:bCs/>
          <w:sz w:val="30"/>
          <w:szCs w:val="30"/>
          <w:lang w:val="en-US" w:eastAsia="zh-CN"/>
        </w:rPr>
        <w:t>仅供参考</w:t>
      </w:r>
      <w:r>
        <w:rPr>
          <w:rFonts w:hint="eastAsia" w:ascii="宋体" w:hAnsi="宋体" w:eastAsia="宋体" w:cs="宋体"/>
          <w:b/>
          <w:bCs/>
          <w:sz w:val="30"/>
          <w:szCs w:val="30"/>
          <w:lang w:eastAsia="zh-CN"/>
        </w:rPr>
        <w:t>）</w:t>
      </w:r>
    </w:p>
    <w:p>
      <w:pPr>
        <w:jc w:val="center"/>
        <w:rPr>
          <w:rFonts w:ascii="宋体" w:hAnsi="宋体" w:eastAsia="宋体" w:cs="宋体"/>
          <w:b/>
          <w:bCs/>
          <w:sz w:val="36"/>
          <w:szCs w:val="36"/>
        </w:rPr>
      </w:pPr>
    </w:p>
    <w:p>
      <w:pPr>
        <w:jc w:val="center"/>
        <w:rPr>
          <w:rFonts w:ascii="宋体" w:hAnsi="宋体" w:eastAsia="宋体" w:cs="宋体"/>
          <w:b/>
          <w:bCs/>
          <w:sz w:val="36"/>
          <w:szCs w:val="36"/>
        </w:rPr>
      </w:pPr>
    </w:p>
    <w:p>
      <w:pPr>
        <w:rPr>
          <w:rFonts w:ascii="宋体" w:hAnsi="宋体" w:eastAsia="宋体" w:cs="宋体"/>
          <w:b/>
          <w:bCs/>
          <w:sz w:val="36"/>
          <w:szCs w:val="36"/>
        </w:rPr>
      </w:pPr>
    </w:p>
    <w:p>
      <w:pPr>
        <w:jc w:val="center"/>
        <w:rPr>
          <w:rFonts w:ascii="宋体" w:hAnsi="宋体" w:eastAsia="宋体" w:cs="宋体"/>
          <w:b/>
          <w:bCs/>
          <w:sz w:val="36"/>
          <w:szCs w:val="36"/>
        </w:rPr>
      </w:pPr>
    </w:p>
    <w:p>
      <w:pPr>
        <w:ind w:firstLine="2249" w:firstLineChars="800"/>
        <w:jc w:val="left"/>
        <w:rPr>
          <w:rFonts w:ascii="宋体" w:hAnsi="宋体" w:eastAsia="宋体" w:cs="宋体"/>
          <w:b/>
          <w:bCs/>
          <w:sz w:val="28"/>
          <w:szCs w:val="28"/>
        </w:rPr>
      </w:pPr>
      <w:r>
        <w:rPr>
          <w:rFonts w:hint="eastAsia" w:ascii="宋体" w:hAnsi="宋体" w:eastAsia="宋体" w:cs="宋体"/>
          <w:b/>
          <w:bCs/>
          <w:sz w:val="28"/>
          <w:szCs w:val="28"/>
        </w:rPr>
        <w:t>甲 方：</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rPr>
        <w:t>（盖章）</w:t>
      </w:r>
    </w:p>
    <w:p>
      <w:pPr>
        <w:jc w:val="left"/>
        <w:rPr>
          <w:rFonts w:ascii="宋体" w:hAnsi="宋体" w:eastAsia="宋体" w:cs="宋体"/>
          <w:b/>
          <w:bCs/>
          <w:sz w:val="28"/>
          <w:szCs w:val="28"/>
        </w:rPr>
      </w:pPr>
    </w:p>
    <w:p>
      <w:pPr>
        <w:ind w:firstLine="2249" w:firstLineChars="800"/>
        <w:jc w:val="left"/>
        <w:rPr>
          <w:rFonts w:ascii="宋体" w:hAnsi="宋体" w:eastAsia="宋体" w:cs="宋体"/>
          <w:b/>
          <w:bCs/>
          <w:sz w:val="28"/>
          <w:szCs w:val="28"/>
        </w:rPr>
      </w:pPr>
      <w:r>
        <w:rPr>
          <w:rFonts w:hint="eastAsia" w:ascii="宋体" w:hAnsi="宋体" w:eastAsia="宋体" w:cs="宋体"/>
          <w:b/>
          <w:bCs/>
          <w:sz w:val="28"/>
          <w:szCs w:val="28"/>
        </w:rPr>
        <w:t>乙 方：</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（盖章）</w:t>
      </w:r>
    </w:p>
    <w:p>
      <w:pPr>
        <w:jc w:val="left"/>
        <w:rPr>
          <w:rFonts w:ascii="宋体" w:hAnsi="宋体" w:eastAsia="宋体" w:cs="宋体"/>
          <w:b/>
          <w:bCs/>
          <w:sz w:val="28"/>
          <w:szCs w:val="28"/>
        </w:rPr>
      </w:pPr>
    </w:p>
    <w:p>
      <w:pPr>
        <w:ind w:firstLine="2249" w:firstLineChars="800"/>
        <w:jc w:val="both"/>
        <w:rPr>
          <w:rFonts w:ascii="宋体" w:hAnsi="宋体" w:eastAsia="宋体" w:cs="宋体"/>
          <w:b/>
          <w:bCs/>
          <w:sz w:val="28"/>
          <w:szCs w:val="28"/>
        </w:rPr>
      </w:pPr>
      <w:r>
        <w:rPr>
          <w:rFonts w:hint="eastAsia" w:ascii="宋体" w:hAnsi="宋体" w:eastAsia="宋体" w:cs="宋体"/>
          <w:b/>
          <w:bCs/>
          <w:sz w:val="28"/>
          <w:szCs w:val="28"/>
        </w:rPr>
        <w:t>签订日期：</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年</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月</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日</w:t>
      </w:r>
    </w:p>
    <w:p>
      <w:pPr>
        <w:ind w:firstLine="1687" w:firstLineChars="600"/>
        <w:jc w:val="center"/>
        <w:rPr>
          <w:rFonts w:ascii="宋体" w:hAnsi="宋体" w:eastAsia="宋体" w:cs="宋体"/>
          <w:b/>
          <w:bCs/>
          <w:sz w:val="28"/>
          <w:szCs w:val="28"/>
        </w:rPr>
      </w:pPr>
    </w:p>
    <w:p>
      <w:pPr>
        <w:ind w:firstLine="2249" w:firstLineChars="800"/>
        <w:jc w:val="left"/>
        <w:rPr>
          <w:rFonts w:ascii="宋体" w:hAnsi="宋体" w:eastAsia="宋体" w:cs="宋体"/>
          <w:b/>
          <w:bCs/>
          <w:sz w:val="28"/>
          <w:szCs w:val="28"/>
          <w:u w:val="single"/>
        </w:rPr>
      </w:pPr>
      <w:r>
        <w:rPr>
          <w:rFonts w:hint="eastAsia" w:ascii="宋体" w:hAnsi="宋体" w:eastAsia="宋体" w:cs="宋体"/>
          <w:b/>
          <w:bCs/>
          <w:sz w:val="28"/>
          <w:szCs w:val="28"/>
        </w:rPr>
        <w:t>签订地点：</w:t>
      </w:r>
      <w:r>
        <w:rPr>
          <w:rFonts w:hint="eastAsia" w:ascii="宋体" w:hAnsi="宋体" w:eastAsia="宋体" w:cs="宋体"/>
          <w:b/>
          <w:bCs/>
          <w:sz w:val="28"/>
          <w:szCs w:val="28"/>
          <w:u w:val="single"/>
        </w:rPr>
        <w:t xml:space="preserve">                              </w:t>
      </w:r>
    </w:p>
    <w:p>
      <w:pPr>
        <w:jc w:val="both"/>
        <w:rPr>
          <w:rFonts w:ascii="宋体" w:hAnsi="宋体" w:cs="宋体"/>
          <w:b/>
          <w:bCs/>
          <w:sz w:val="28"/>
          <w:szCs w:val="28"/>
        </w:rPr>
      </w:pPr>
    </w:p>
    <w:p>
      <w:pPr>
        <w:jc w:val="center"/>
        <w:rPr>
          <w:rFonts w:ascii="宋体" w:hAnsi="宋体" w:cs="宋体"/>
          <w:b/>
          <w:bCs/>
          <w:sz w:val="32"/>
          <w:szCs w:val="32"/>
        </w:rPr>
      </w:pPr>
      <w:r>
        <w:rPr>
          <w:rFonts w:hint="eastAsia" w:ascii="宋体" w:hAnsi="宋体" w:cs="宋体"/>
          <w:b/>
          <w:bCs/>
          <w:sz w:val="36"/>
          <w:szCs w:val="36"/>
        </w:rPr>
        <w:br w:type="page"/>
      </w:r>
      <w:r>
        <w:rPr>
          <w:rFonts w:hint="eastAsia" w:ascii="宋体" w:hAnsi="宋体" w:cs="宋体"/>
          <w:b/>
          <w:bCs/>
          <w:sz w:val="32"/>
          <w:szCs w:val="32"/>
        </w:rPr>
        <w:t>食材货合同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u w:val="single"/>
        </w:rPr>
      </w:pPr>
      <w:r>
        <w:rPr>
          <w:rFonts w:hint="eastAsia" w:ascii="宋体" w:hAnsi="宋体" w:cs="宋体"/>
          <w:sz w:val="24"/>
          <w:szCs w:val="24"/>
        </w:rPr>
        <w:t>甲方：</w:t>
      </w:r>
      <w:r>
        <w:rPr>
          <w:rFonts w:hint="eastAsia" w:ascii="宋体" w:hAnsi="宋体" w:cs="宋体"/>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u w:val="single"/>
          <w:lang w:val="en-US" w:eastAsia="zh-CN"/>
        </w:rPr>
      </w:pPr>
      <w:r>
        <w:rPr>
          <w:rFonts w:hint="eastAsia" w:ascii="宋体" w:hAnsi="宋体" w:cs="宋体"/>
          <w:sz w:val="24"/>
          <w:szCs w:val="24"/>
        </w:rPr>
        <w:t>乙方</w:t>
      </w:r>
      <w:r>
        <w:rPr>
          <w:rFonts w:hint="eastAsia" w:ascii="宋体" w:hAnsi="宋体" w:cs="宋体"/>
          <w:sz w:val="24"/>
          <w:szCs w:val="24"/>
          <w:u w:val="none"/>
        </w:rPr>
        <w:t>：</w:t>
      </w:r>
      <w:r>
        <w:rPr>
          <w:rFonts w:hint="eastAsia" w:ascii="宋体" w:hAnsi="宋体" w:cs="宋体"/>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为了保护供需双方的合法权益，保证甲方用上安全卫生的放心食品，确保甲方全体员工的身心健康</w:t>
      </w:r>
      <w:r>
        <w:rPr>
          <w:rFonts w:hint="eastAsia" w:ascii="宋体" w:hAnsi="宋体" w:cs="宋体"/>
          <w:sz w:val="24"/>
          <w:szCs w:val="24"/>
          <w:lang w:eastAsia="zh-CN"/>
        </w:rPr>
        <w:t>，</w:t>
      </w:r>
      <w:r>
        <w:rPr>
          <w:rFonts w:hint="eastAsia" w:ascii="宋体" w:hAnsi="宋体" w:cs="宋体"/>
          <w:sz w:val="24"/>
          <w:szCs w:val="24"/>
        </w:rPr>
        <w:t>经甲、乙双方共同协商后，特签定供货合同如下：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b/>
          <w:bCs/>
          <w:sz w:val="24"/>
          <w:szCs w:val="24"/>
        </w:rPr>
      </w:pPr>
      <w:r>
        <w:rPr>
          <w:rFonts w:hint="eastAsia" w:ascii="宋体" w:hAnsi="宋体" w:cs="宋体"/>
          <w:b/>
          <w:bCs/>
          <w:sz w:val="24"/>
          <w:szCs w:val="24"/>
        </w:rPr>
        <w:t>一.提供相应资格证明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乙方必须将本公司(或本商店)合法有效的营业执照</w:t>
      </w:r>
      <w:r>
        <w:rPr>
          <w:rFonts w:hint="eastAsia" w:ascii="宋体" w:hAnsi="宋体" w:cs="宋体"/>
          <w:sz w:val="24"/>
          <w:szCs w:val="24"/>
          <w:highlight w:val="none"/>
        </w:rPr>
        <w:t>、流通许可证原件送</w:t>
      </w:r>
      <w:r>
        <w:rPr>
          <w:rFonts w:hint="eastAsia" w:ascii="宋体" w:hAnsi="宋体" w:cs="宋体"/>
          <w:sz w:val="24"/>
          <w:szCs w:val="24"/>
        </w:rPr>
        <w:t>交甲方查验，并向甲方提供本公司(或商店)的营业执照复印件、流通许可证复印件以及公司(或商店)经营负责人身份证复印件(供甲方备案)。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b/>
          <w:bCs/>
          <w:sz w:val="24"/>
          <w:szCs w:val="24"/>
        </w:rPr>
      </w:pPr>
      <w:r>
        <w:rPr>
          <w:rFonts w:hint="eastAsia" w:ascii="宋体" w:hAnsi="宋体" w:cs="宋体"/>
          <w:b/>
          <w:bCs/>
          <w:sz w:val="24"/>
          <w:szCs w:val="24"/>
        </w:rPr>
        <w:t>二.质量要求及相应品目信息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1.乙方必须按甲方指定的食品(原料、调料)品名、规格数量等要求及时进行供货。乙方供货不符合要求的，乙方应当及时调换，不得影响甲方使用。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cs="宋体"/>
          <w:sz w:val="24"/>
          <w:szCs w:val="24"/>
        </w:rPr>
        <w:t>2.乙方所供食材包括：</w:t>
      </w:r>
    </w:p>
    <w:tbl>
      <w:tblPr>
        <w:tblStyle w:val="21"/>
        <w:tblpPr w:leftFromText="180" w:rightFromText="180" w:vertAnchor="text" w:horzAnchor="page" w:tblpX="1950" w:tblpY="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2655"/>
        <w:gridCol w:w="240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食材名称</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r>
              <w:rPr>
                <w:rFonts w:hint="eastAsia" w:ascii="宋体" w:hAnsi="宋体" w:cs="宋体"/>
                <w:sz w:val="28"/>
                <w:szCs w:val="28"/>
                <w:highlight w:val="none"/>
              </w:rPr>
              <w:t>规格</w:t>
            </w:r>
          </w:p>
        </w:tc>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r>
              <w:rPr>
                <w:rFonts w:hint="eastAsia" w:ascii="宋体" w:hAnsi="宋体" w:cs="宋体"/>
                <w:sz w:val="28"/>
                <w:szCs w:val="28"/>
                <w:highlight w:val="none"/>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大肉</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restart"/>
            <w:noWrap w:val="0"/>
            <w:vAlign w:val="top"/>
          </w:tcPr>
          <w:p>
            <w:pPr>
              <w:rPr>
                <w:rFonts w:ascii="宋体" w:hAnsi="宋体" w:cs="宋体"/>
                <w:sz w:val="28"/>
                <w:szCs w:val="28"/>
                <w:highlight w:val="none"/>
              </w:rPr>
            </w:pPr>
          </w:p>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粮油</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continue"/>
            <w:noWrap w:val="0"/>
            <w:vAlign w:val="top"/>
          </w:tcPr>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水产</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continue"/>
            <w:noWrap w:val="0"/>
            <w:vAlign w:val="top"/>
          </w:tcPr>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水果</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restart"/>
            <w:noWrap w:val="0"/>
            <w:vAlign w:val="top"/>
          </w:tcPr>
          <w:p>
            <w:pPr>
              <w:rPr>
                <w:rFonts w:ascii="宋体" w:hAnsi="宋体" w:cs="宋体"/>
                <w:sz w:val="28"/>
                <w:szCs w:val="28"/>
                <w:highlight w:val="none"/>
              </w:rPr>
            </w:pPr>
          </w:p>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蔬菜</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continue"/>
            <w:noWrap w:val="0"/>
            <w:vAlign w:val="top"/>
          </w:tcPr>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调味品</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continue"/>
            <w:noWrap w:val="0"/>
            <w:vAlign w:val="top"/>
          </w:tcPr>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禽蛋类</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continue"/>
            <w:noWrap w:val="0"/>
            <w:vAlign w:val="top"/>
          </w:tcPr>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8"/>
                <w:szCs w:val="28"/>
                <w:highlight w:val="none"/>
              </w:rPr>
            </w:pPr>
            <w:r>
              <w:rPr>
                <w:rFonts w:hint="eastAsia" w:ascii="宋体" w:hAnsi="宋体" w:cs="宋体"/>
                <w:color w:val="auto"/>
                <w:sz w:val="28"/>
                <w:szCs w:val="28"/>
                <w:highlight w:val="none"/>
              </w:rPr>
              <w:t>豆制品类</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vMerge w:val="continue"/>
            <w:noWrap w:val="0"/>
            <w:vAlign w:val="top"/>
          </w:tcPr>
          <w:p>
            <w:pPr>
              <w:rPr>
                <w:rFonts w:ascii="宋体" w:hAnsi="宋体" w:cs="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color w:val="auto"/>
                <w:sz w:val="28"/>
                <w:szCs w:val="28"/>
                <w:highlight w:val="none"/>
              </w:rPr>
            </w:pPr>
            <w:r>
              <w:rPr>
                <w:rFonts w:hint="eastAsia" w:ascii="宋体" w:hAnsi="宋体" w:cs="宋体"/>
                <w:color w:val="auto"/>
                <w:sz w:val="28"/>
                <w:szCs w:val="28"/>
                <w:highlight w:val="none"/>
              </w:rPr>
              <w:t>……</w:t>
            </w:r>
          </w:p>
        </w:tc>
        <w:tc>
          <w:tcPr>
            <w:tcW w:w="26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sz w:val="28"/>
                <w:szCs w:val="28"/>
                <w:highlight w:val="none"/>
              </w:rPr>
            </w:pPr>
          </w:p>
        </w:tc>
        <w:tc>
          <w:tcPr>
            <w:tcW w:w="24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sz w:val="28"/>
                <w:szCs w:val="28"/>
                <w:highlight w:val="none"/>
              </w:rPr>
            </w:pPr>
          </w:p>
        </w:tc>
        <w:tc>
          <w:tcPr>
            <w:tcW w:w="1473" w:type="dxa"/>
            <w:noWrap w:val="0"/>
            <w:vAlign w:val="top"/>
          </w:tcPr>
          <w:p>
            <w:pPr>
              <w:rPr>
                <w:rFonts w:ascii="宋体" w:hAnsi="宋体" w:cs="宋体"/>
                <w:sz w:val="28"/>
                <w:szCs w:val="28"/>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ascii="宋体" w:hAnsi="宋体" w:eastAsia="宋体" w:cs="宋体"/>
          <w:color w:val="000000"/>
          <w:sz w:val="24"/>
          <w:szCs w:val="24"/>
          <w:highlight w:val="none"/>
        </w:rPr>
        <w:t>食</w:t>
      </w:r>
      <w:r>
        <w:rPr>
          <w:rFonts w:hint="eastAsia" w:ascii="宋体" w:hAnsi="宋体" w:eastAsia="宋体" w:cs="宋体"/>
          <w:color w:val="000000"/>
          <w:sz w:val="24"/>
          <w:szCs w:val="24"/>
          <w:highlight w:val="none"/>
        </w:rPr>
        <w:t>材</w:t>
      </w:r>
      <w:r>
        <w:rPr>
          <w:rFonts w:ascii="宋体" w:hAnsi="宋体" w:eastAsia="宋体" w:cs="宋体"/>
          <w:color w:val="000000"/>
          <w:sz w:val="24"/>
          <w:szCs w:val="24"/>
          <w:highlight w:val="none"/>
        </w:rPr>
        <w:t>原料的卫生、质</w:t>
      </w:r>
      <w:r>
        <w:rPr>
          <w:rFonts w:ascii="宋体" w:hAnsi="宋体" w:eastAsia="宋体" w:cs="宋体"/>
          <w:color w:val="000000"/>
          <w:sz w:val="24"/>
          <w:szCs w:val="24"/>
        </w:rPr>
        <w:t>量及包装等必须符合《中华人民共和国食品安全法》的要求。</w:t>
      </w:r>
      <w:r>
        <w:rPr>
          <w:rFonts w:hint="eastAsia" w:ascii="宋体" w:hAnsi="宋体" w:eastAsia="宋体" w:cs="宋体"/>
          <w:color w:val="000000"/>
          <w:sz w:val="24"/>
          <w:szCs w:val="24"/>
        </w:rPr>
        <w:t>保证供应食材原料不存在腐烂过期变质现象，</w:t>
      </w:r>
      <w:r>
        <w:rPr>
          <w:rFonts w:ascii="宋体" w:hAnsi="宋体" w:eastAsia="宋体" w:cs="宋体"/>
          <w:color w:val="000000"/>
          <w:sz w:val="24"/>
          <w:szCs w:val="24"/>
        </w:rPr>
        <w:t>包装物的标识须与内品种一致；包装费用由乙方承担；包装不</w:t>
      </w:r>
      <w:r>
        <w:rPr>
          <w:rFonts w:hint="eastAsia" w:ascii="宋体" w:hAnsi="宋体" w:eastAsia="宋体" w:cs="宋体"/>
          <w:color w:val="000000"/>
          <w:sz w:val="24"/>
          <w:szCs w:val="24"/>
        </w:rPr>
        <w:t>符</w:t>
      </w:r>
      <w:r>
        <w:rPr>
          <w:rFonts w:ascii="宋体" w:hAnsi="宋体" w:eastAsia="宋体" w:cs="宋体"/>
          <w:color w:val="000000"/>
          <w:sz w:val="24"/>
          <w:szCs w:val="24"/>
        </w:rPr>
        <w:t>合标准或约定，造成货物损毁灭失或其他后果的由乙方承担全部责任。保质期限不得少于</w:t>
      </w:r>
      <w:r>
        <w:rPr>
          <w:rFonts w:hint="eastAsia" w:ascii="宋体" w:hAnsi="宋体" w:eastAsia="宋体" w:cs="宋体"/>
          <w:color w:val="000000"/>
          <w:sz w:val="24"/>
          <w:szCs w:val="24"/>
        </w:rPr>
        <w:t>食材原料</w:t>
      </w:r>
      <w:r>
        <w:rPr>
          <w:rFonts w:ascii="宋体" w:hAnsi="宋体" w:eastAsia="宋体" w:cs="宋体"/>
          <w:color w:val="000000"/>
          <w:sz w:val="24"/>
          <w:szCs w:val="24"/>
        </w:rPr>
        <w:t>保质期的三分之二以上时间。具体数量要求以实际订单或通知单为准</w:t>
      </w:r>
      <w:r>
        <w:rPr>
          <w:rFonts w:hint="eastAsia" w:ascii="宋体" w:hAnsi="宋体" w:eastAsia="宋体" w:cs="宋体"/>
          <w:color w:val="000000"/>
          <w:sz w:val="24"/>
          <w:szCs w:val="24"/>
        </w:rPr>
        <w:t>。</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乙方必须向甲方提供甲方所需的有关食品资料：食品生产厂家的营业执照复印件，生产许可证复印件以及食品检验报告等</w:t>
      </w:r>
      <w:r>
        <w:rPr>
          <w:rFonts w:hint="eastAsia" w:ascii="宋体" w:hAnsi="宋体" w:eastAsia="宋体" w:cs="宋体"/>
          <w:color w:val="000000"/>
          <w:sz w:val="24"/>
          <w:szCs w:val="24"/>
        </w:rPr>
        <w:t>，及食药部门要求的索证制度相关材料。</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4.如乙方配送食材原料经甲方加工后而导致甲方供餐区域内人员食物中毒等严重事故时，需经卫生防疫部门鉴定后如系乙方所供食材原料质量问题造成的，乙方应承担一切赔偿责任和法律后果（包括因事故造成他人的人身财产损害赔偿及行政部门处罚等），如系甲方操作不当而至事故与乙方无关。</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5.</w:t>
      </w:r>
      <w:r>
        <w:rPr>
          <w:rFonts w:ascii="宋体" w:hAnsi="宋体" w:eastAsia="宋体" w:cs="宋体"/>
          <w:color w:val="000000"/>
          <w:sz w:val="24"/>
          <w:szCs w:val="24"/>
        </w:rPr>
        <w:t>由于市场浮动等原因，乙方向甲方供应的食</w:t>
      </w:r>
      <w:r>
        <w:rPr>
          <w:rFonts w:hint="eastAsia" w:ascii="宋体" w:hAnsi="宋体" w:eastAsia="宋体" w:cs="宋体"/>
          <w:color w:val="000000"/>
          <w:sz w:val="24"/>
          <w:szCs w:val="24"/>
        </w:rPr>
        <w:t>材原料</w:t>
      </w:r>
      <w:r>
        <w:rPr>
          <w:rFonts w:ascii="宋体" w:hAnsi="宋体" w:eastAsia="宋体" w:cs="宋体"/>
          <w:color w:val="000000"/>
          <w:sz w:val="24"/>
          <w:szCs w:val="24"/>
        </w:rPr>
        <w:t>价格应随行就市，具体到每批次货物的价格，按照供货时</w:t>
      </w:r>
      <w:r>
        <w:rPr>
          <w:rFonts w:hint="eastAsia" w:ascii="宋体" w:hAnsi="宋体" w:eastAsia="宋体" w:cs="宋体"/>
          <w:color w:val="000000"/>
          <w:sz w:val="24"/>
          <w:szCs w:val="24"/>
        </w:rPr>
        <w:t>当</w:t>
      </w:r>
      <w:r>
        <w:rPr>
          <w:rFonts w:ascii="宋体" w:hAnsi="宋体" w:eastAsia="宋体" w:cs="宋体"/>
          <w:color w:val="000000"/>
          <w:sz w:val="24"/>
          <w:szCs w:val="24"/>
        </w:rPr>
        <w:t>日的市场行情确定。双方可协议按照批发价或优惠价确定，最终价格以有效货单上协议的价格为准</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color w:val="000000"/>
          <w:sz w:val="24"/>
          <w:szCs w:val="24"/>
        </w:rPr>
      </w:pPr>
      <w:r>
        <w:rPr>
          <w:rFonts w:hint="eastAsia" w:ascii="宋体" w:hAnsi="宋体" w:eastAsia="宋体" w:cs="宋体"/>
          <w:b/>
          <w:bCs/>
          <w:color w:val="000000"/>
          <w:sz w:val="24"/>
          <w:szCs w:val="24"/>
        </w:rPr>
        <w:t>三.服务细则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1.</w:t>
      </w:r>
      <w:r>
        <w:rPr>
          <w:rFonts w:ascii="宋体" w:hAnsi="宋体" w:eastAsia="宋体" w:cs="宋体"/>
          <w:color w:val="000000"/>
          <w:sz w:val="24"/>
          <w:szCs w:val="24"/>
        </w:rPr>
        <w:t>甲方提前1日向乙方提出配送计划，乙方按配送计划组织货源。并按照甲方指定地点送货，在接到甲方通知后次日内早晨9点前按照食</w:t>
      </w:r>
      <w:r>
        <w:rPr>
          <w:rFonts w:hint="eastAsia" w:ascii="宋体" w:hAnsi="宋体" w:eastAsia="宋体" w:cs="宋体"/>
          <w:color w:val="000000"/>
          <w:sz w:val="24"/>
          <w:szCs w:val="24"/>
        </w:rPr>
        <w:t>材原料</w:t>
      </w:r>
      <w:r>
        <w:rPr>
          <w:rFonts w:ascii="宋体" w:hAnsi="宋体" w:eastAsia="宋体" w:cs="宋体"/>
          <w:color w:val="000000"/>
          <w:sz w:val="24"/>
          <w:szCs w:val="24"/>
        </w:rPr>
        <w:t>配送计划现场实物验收品种，数量，质量</w:t>
      </w:r>
      <w:r>
        <w:rPr>
          <w:rFonts w:hint="eastAsia" w:ascii="宋体" w:hAnsi="宋体" w:eastAsia="宋体" w:cs="宋体"/>
          <w:color w:val="000000"/>
          <w:sz w:val="24"/>
          <w:szCs w:val="24"/>
        </w:rPr>
        <w:t>完成送货</w:t>
      </w:r>
      <w:r>
        <w:rPr>
          <w:rFonts w:ascii="宋体" w:hAnsi="宋体" w:eastAsia="宋体" w:cs="宋体"/>
          <w:color w:val="000000"/>
          <w:sz w:val="24"/>
          <w:szCs w:val="24"/>
        </w:rPr>
        <w:t>。具体交付地点为未央区</w:t>
      </w:r>
      <w:r>
        <w:rPr>
          <w:rFonts w:hint="eastAsia" w:ascii="宋体" w:hAnsi="宋体" w:eastAsia="宋体" w:cs="宋体"/>
          <w:color w:val="000000"/>
          <w:sz w:val="24"/>
          <w:szCs w:val="24"/>
        </w:rPr>
        <w:t>汉城街道办事处</w:t>
      </w:r>
      <w:r>
        <w:rPr>
          <w:rFonts w:ascii="宋体" w:hAnsi="宋体" w:eastAsia="宋体" w:cs="宋体"/>
          <w:color w:val="000000"/>
          <w:sz w:val="24"/>
          <w:szCs w:val="24"/>
        </w:rPr>
        <w:t>。由乙方自行组织运输，运费由乙方承担</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2.</w:t>
      </w:r>
      <w:r>
        <w:rPr>
          <w:rFonts w:ascii="宋体" w:hAnsi="宋体" w:eastAsia="宋体" w:cs="宋体"/>
          <w:color w:val="000000"/>
          <w:sz w:val="24"/>
          <w:szCs w:val="24"/>
        </w:rPr>
        <w:t>乙方提供给甲方的食</w:t>
      </w:r>
      <w:r>
        <w:rPr>
          <w:rFonts w:hint="eastAsia" w:ascii="宋体" w:hAnsi="宋体" w:eastAsia="宋体" w:cs="宋体"/>
          <w:color w:val="000000"/>
          <w:sz w:val="24"/>
          <w:szCs w:val="24"/>
        </w:rPr>
        <w:t>材原</w:t>
      </w:r>
      <w:r>
        <w:rPr>
          <w:rFonts w:ascii="宋体" w:hAnsi="宋体" w:eastAsia="宋体" w:cs="宋体"/>
          <w:color w:val="000000"/>
          <w:sz w:val="24"/>
          <w:szCs w:val="24"/>
        </w:rPr>
        <w:t>料</w:t>
      </w:r>
      <w:r>
        <w:rPr>
          <w:rFonts w:hint="eastAsia" w:ascii="宋体" w:hAnsi="宋体" w:eastAsia="宋体" w:cs="宋体"/>
          <w:color w:val="000000"/>
          <w:sz w:val="24"/>
          <w:szCs w:val="24"/>
        </w:rPr>
        <w:t>与</w:t>
      </w:r>
      <w:r>
        <w:rPr>
          <w:rFonts w:ascii="宋体" w:hAnsi="宋体" w:eastAsia="宋体" w:cs="宋体"/>
          <w:color w:val="000000"/>
          <w:sz w:val="24"/>
          <w:szCs w:val="24"/>
        </w:rPr>
        <w:t>周边市场价</w:t>
      </w:r>
      <w:r>
        <w:rPr>
          <w:rFonts w:hint="eastAsia" w:ascii="宋体" w:hAnsi="宋体" w:eastAsia="宋体" w:cs="宋体"/>
          <w:color w:val="000000"/>
          <w:sz w:val="24"/>
          <w:szCs w:val="24"/>
        </w:rPr>
        <w:t>综合优惠下浮比例为</w:t>
      </w:r>
      <w:r>
        <w:rPr>
          <w:rFonts w:hint="eastAsia" w:hAnsi="宋体" w:eastAsia="宋体" w:cs="宋体"/>
          <w:color w:val="000000"/>
          <w:sz w:val="24"/>
          <w:szCs w:val="24"/>
          <w:u w:val="single"/>
          <w:lang w:val="en-US" w:eastAsia="zh-CN"/>
        </w:rPr>
        <w:t xml:space="preserve">   </w:t>
      </w:r>
      <w:r>
        <w:rPr>
          <w:rFonts w:ascii="宋体" w:hAnsi="宋体" w:eastAsia="宋体" w:cs="宋体"/>
          <w:color w:val="000000"/>
          <w:sz w:val="24"/>
          <w:szCs w:val="24"/>
        </w:rPr>
        <w:t>，</w:t>
      </w:r>
      <w:r>
        <w:rPr>
          <w:rFonts w:hint="eastAsia" w:ascii="宋体" w:hAnsi="宋体" w:eastAsia="宋体" w:cs="宋体"/>
          <w:color w:val="000000"/>
          <w:sz w:val="24"/>
          <w:szCs w:val="24"/>
        </w:rPr>
        <w:t>若经甲方调研市场后乙方所供食材高于周边市场价</w:t>
      </w:r>
      <w:r>
        <w:rPr>
          <w:rFonts w:hint="eastAsia"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，甲方有权视情节程度进行处罚，所供食材价格发生较大变化时乙方应提前通知甲方，经甲方允许方可购买。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3.合同期内，乙方不按合同约定履行义务或供货质量不符合约定，且乙方未及时采取措施或更换货物，给甲方造成损失的，甲方有权利要求乙方赔偿损失。</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color w:val="000000"/>
          <w:sz w:val="24"/>
          <w:szCs w:val="24"/>
        </w:rPr>
      </w:pPr>
      <w:r>
        <w:rPr>
          <w:rFonts w:hint="eastAsia" w:ascii="宋体" w:hAnsi="宋体" w:eastAsia="宋体" w:cs="宋体"/>
          <w:b/>
          <w:bCs/>
          <w:color w:val="000000"/>
          <w:sz w:val="24"/>
          <w:szCs w:val="24"/>
        </w:rPr>
        <w:t>四.结款方式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ascii="宋体" w:hAnsi="宋体" w:eastAsia="宋体" w:cs="宋体"/>
          <w:color w:val="000000"/>
          <w:sz w:val="24"/>
          <w:szCs w:val="24"/>
        </w:rPr>
        <w:t>货款按月结清，乙方提供税务发票后甲方办</w:t>
      </w:r>
      <w:r>
        <w:rPr>
          <w:rFonts w:hint="eastAsia" w:ascii="宋体" w:hAnsi="宋体" w:eastAsia="宋体" w:cs="宋体"/>
          <w:color w:val="000000"/>
          <w:sz w:val="24"/>
          <w:szCs w:val="24"/>
        </w:rPr>
        <w:t>理结算手续，最终结算价款以甲乙双方签字确认的食材供货清单为依据，甲方应在次月将上一月份的货款以银行转账方式支付给乙方。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1.甲方开票信息：</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eastAsia="宋体" w:cs="宋体"/>
          <w:color w:val="000000"/>
          <w:sz w:val="24"/>
          <w:szCs w:val="24"/>
          <w:u w:val="single"/>
        </w:rPr>
      </w:pPr>
      <w:r>
        <w:rPr>
          <w:rFonts w:hint="eastAsia" w:ascii="宋体" w:hAnsi="宋体" w:eastAsia="宋体" w:cs="宋体"/>
          <w:color w:val="000000"/>
          <w:sz w:val="24"/>
          <w:szCs w:val="24"/>
        </w:rPr>
        <w:t>开票名称：</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eastAsia="宋体" w:cs="宋体"/>
          <w:color w:val="000000"/>
          <w:sz w:val="24"/>
          <w:szCs w:val="24"/>
          <w:u w:val="single"/>
        </w:rPr>
      </w:pPr>
      <w:r>
        <w:rPr>
          <w:rFonts w:hint="eastAsia" w:ascii="宋体" w:hAnsi="宋体" w:eastAsia="宋体" w:cs="宋体"/>
          <w:color w:val="000000"/>
          <w:sz w:val="24"/>
          <w:szCs w:val="24"/>
        </w:rPr>
        <w:t>开票税号：</w:t>
      </w:r>
      <w:r>
        <w:rPr>
          <w:rFonts w:hint="eastAsia" w:ascii="宋体" w:hAnsi="宋体" w:eastAsia="宋体" w:cs="宋体"/>
          <w:color w:val="000000"/>
          <w:sz w:val="24"/>
          <w:szCs w:val="24"/>
          <w:u w:val="single"/>
        </w:rPr>
        <w:t xml:space="preserve">                           </w:t>
      </w:r>
    </w:p>
    <w:p>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2.乙方开户行信息：</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eastAsia="宋体" w:cs="宋体"/>
          <w:color w:val="000000"/>
          <w:sz w:val="24"/>
          <w:szCs w:val="24"/>
          <w:u w:val="single"/>
        </w:rPr>
      </w:pPr>
      <w:r>
        <w:rPr>
          <w:rFonts w:hint="eastAsia" w:ascii="宋体" w:hAnsi="宋体" w:eastAsia="宋体" w:cs="宋体"/>
          <w:color w:val="000000"/>
          <w:sz w:val="24"/>
          <w:szCs w:val="24"/>
        </w:rPr>
        <w:t>开户行名称：</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eastAsia="宋体" w:cs="宋体"/>
          <w:color w:val="000000"/>
          <w:sz w:val="24"/>
          <w:szCs w:val="24"/>
          <w:u w:val="single"/>
        </w:rPr>
      </w:pP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w:t>
      </w:r>
      <w:r>
        <w:rPr>
          <w:rFonts w:hint="eastAsia"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bCs/>
          <w:color w:val="000000"/>
          <w:sz w:val="24"/>
          <w:szCs w:val="24"/>
        </w:rPr>
      </w:pPr>
      <w:r>
        <w:rPr>
          <w:rFonts w:hint="eastAsia" w:ascii="宋体" w:hAnsi="宋体" w:eastAsia="宋体" w:cs="宋体"/>
          <w:b/>
          <w:bCs/>
          <w:color w:val="000000"/>
          <w:sz w:val="24"/>
          <w:szCs w:val="24"/>
        </w:rPr>
        <w:t>五.合同期限及相关事宜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1.本合同未尽事宜，双方可签订补充协议；补充协议是合同的组成部分，具有与合同同等的法律效力。如有争议，甲乙双方应协商解决。如协商不成可向甲方所在地人民法院提起诉讼。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2.本合同一式陆份，正本贰份，副本肆份，甲方执本合同正本壹份，副本叁份，乙方执本合同壹正壹副，一经签订立即生效。</w:t>
      </w:r>
    </w:p>
    <w:p>
      <w:pPr>
        <w:keepNext w:val="0"/>
        <w:keepLines w:val="0"/>
        <w:pageBreakBefore w:val="0"/>
        <w:widowControl w:val="0"/>
        <w:kinsoku/>
        <w:wordWrap/>
        <w:overflowPunct/>
        <w:topLinePunct w:val="0"/>
        <w:autoSpaceDE/>
        <w:autoSpaceDN/>
        <w:bidi w:val="0"/>
        <w:adjustRightInd/>
        <w:snapToGrid/>
        <w:spacing w:line="360" w:lineRule="auto"/>
        <w:ind w:left="1118" w:leftChars="266" w:hanging="480" w:hanging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3.本合同执行时间：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000000"/>
          <w:sz w:val="24"/>
          <w:szCs w:val="24"/>
        </w:rPr>
      </w:pPr>
      <w:r>
        <w:rPr>
          <w:rFonts w:hint="eastAsia" w:ascii="宋体" w:hAnsi="宋体" w:eastAsia="宋体" w:cs="宋体"/>
          <w:color w:val="000000"/>
          <w:sz w:val="24"/>
          <w:szCs w:val="24"/>
        </w:rPr>
        <w:t>自</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日起至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日至合同期满。</w:t>
      </w:r>
    </w:p>
    <w:p>
      <w:pPr>
        <w:rPr>
          <w:rFonts w:ascii="宋体" w:hAnsi="宋体" w:eastAsia="宋体" w:cs="宋体"/>
          <w:color w:val="000000"/>
          <w:sz w:val="28"/>
          <w:szCs w:val="28"/>
        </w:rPr>
      </w:pPr>
    </w:p>
    <w:p>
      <w:pPr>
        <w:rPr>
          <w:rFonts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eastAsia="宋体" w:cs="宋体"/>
          <w:color w:val="000000"/>
          <w:sz w:val="24"/>
          <w:szCs w:val="24"/>
        </w:rPr>
        <w:t xml:space="preserve">甲  方（盖章）：                </w:t>
      </w:r>
      <w:r>
        <w:rPr>
          <w:rFonts w:hint="eastAsia" w:hAnsi="宋体" w:eastAsia="宋体" w:cs="宋体"/>
          <w:color w:val="000000"/>
          <w:sz w:val="24"/>
          <w:szCs w:val="24"/>
          <w:lang w:val="en-US" w:eastAsia="zh-CN"/>
        </w:rPr>
        <w:t xml:space="preserve">       </w:t>
      </w:r>
      <w:r>
        <w:rPr>
          <w:rFonts w:hint="eastAsia" w:ascii="宋体" w:hAnsi="宋体" w:eastAsia="宋体" w:cs="宋体"/>
          <w:color w:val="000000"/>
          <w:sz w:val="24"/>
          <w:szCs w:val="24"/>
        </w:rPr>
        <w:t>乙 方（盖章）：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 xml:space="preserve">法定代表人签字：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法定代表人签字：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 xml:space="preserve">联系电话：                     </w:t>
      </w:r>
      <w:r>
        <w:rPr>
          <w:rFonts w:hint="eastAsia" w:ascii="宋体" w:hAnsi="宋体" w:cs="宋体"/>
          <w:sz w:val="24"/>
          <w:szCs w:val="24"/>
          <w:lang w:val="en-US" w:eastAsia="zh-CN"/>
        </w:rPr>
        <w:t xml:space="preserve">        </w:t>
      </w:r>
      <w:r>
        <w:rPr>
          <w:rFonts w:hint="eastAsia" w:ascii="宋体" w:hAnsi="宋体" w:cs="宋体"/>
          <w:sz w:val="24"/>
          <w:szCs w:val="24"/>
        </w:rPr>
        <w:t>联系电话：</w:t>
      </w: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r>
        <w:rPr>
          <w:rFonts w:hint="eastAsia" w:ascii="宋体" w:hAnsi="宋体" w:cs="宋体"/>
          <w:sz w:val="24"/>
          <w:szCs w:val="24"/>
        </w:rPr>
        <w:t xml:space="preserve">签字日期：                     </w:t>
      </w:r>
      <w:r>
        <w:rPr>
          <w:rFonts w:hint="eastAsia" w:ascii="宋体" w:hAnsi="宋体" w:cs="宋体"/>
          <w:sz w:val="24"/>
          <w:szCs w:val="24"/>
          <w:lang w:val="en-US" w:eastAsia="zh-CN"/>
        </w:rPr>
        <w:t xml:space="preserve">        </w:t>
      </w:r>
      <w:r>
        <w:rPr>
          <w:rFonts w:hint="eastAsia" w:ascii="宋体" w:hAnsi="宋体" w:cs="宋体"/>
          <w:sz w:val="24"/>
          <w:szCs w:val="24"/>
        </w:rPr>
        <w:t>签字日期：</w:t>
      </w: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autoSpaceDE w:val="0"/>
        <w:autoSpaceDN w:val="0"/>
        <w:adjustRightInd w:val="0"/>
        <w:spacing w:line="360" w:lineRule="auto"/>
        <w:ind w:firstLine="0" w:firstLineChars="0"/>
        <w:jc w:val="left"/>
        <w:rPr>
          <w:rFonts w:hint="eastAsia" w:ascii="宋体" w:hAnsi="宋体" w:eastAsia="宋体" w:cs="宋体"/>
          <w:b/>
          <w:bCs w:val="0"/>
          <w:color w:val="auto"/>
          <w:sz w:val="28"/>
          <w:szCs w:val="28"/>
          <w:highlight w:val="none"/>
        </w:rPr>
      </w:pPr>
    </w:p>
    <w:p>
      <w:pPr>
        <w:pStyle w:val="14"/>
        <w:spacing w:line="360" w:lineRule="auto"/>
        <w:jc w:val="both"/>
        <w:outlineLvl w:val="0"/>
        <w:rPr>
          <w:rFonts w:hint="eastAsia" w:ascii="宋体" w:hAnsi="宋体" w:eastAsia="宋体" w:cs="宋体"/>
          <w:b/>
          <w:color w:val="auto"/>
          <w:sz w:val="36"/>
          <w:szCs w:val="36"/>
          <w:highlight w:val="none"/>
        </w:rPr>
      </w:pPr>
      <w:bookmarkStart w:id="96" w:name="_Toc24334"/>
      <w:bookmarkStart w:id="97" w:name="_Toc19126"/>
    </w:p>
    <w:p>
      <w:pPr>
        <w:pStyle w:val="14"/>
        <w:spacing w:line="360" w:lineRule="auto"/>
        <w:jc w:val="center"/>
        <w:outlineLvl w:val="0"/>
        <w:rPr>
          <w:rFonts w:hint="eastAsia" w:ascii="宋体" w:hAnsi="宋体" w:eastAsia="宋体" w:cs="宋体"/>
          <w:color w:val="auto"/>
          <w:szCs w:val="24"/>
          <w:highlight w:val="none"/>
          <w:lang w:val="en-US" w:eastAsia="zh-CN"/>
        </w:rPr>
      </w:pPr>
      <w:r>
        <w:rPr>
          <w:rFonts w:hint="eastAsia" w:ascii="宋体" w:hAnsi="宋体" w:eastAsia="宋体" w:cs="宋体"/>
          <w:b/>
          <w:color w:val="auto"/>
          <w:sz w:val="36"/>
          <w:szCs w:val="36"/>
          <w:highlight w:val="none"/>
        </w:rPr>
        <w:t>第四章  磋商内容及技术要求</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Start w:id="98" w:name="_Toc23291"/>
      <w:bookmarkStart w:id="99" w:name="_Toc2013"/>
      <w:bookmarkStart w:id="100" w:name="_Toc8242"/>
      <w:bookmarkStart w:id="101" w:name="_Toc404"/>
      <w:bookmarkStart w:id="102" w:name="_Toc6662"/>
      <w:bookmarkStart w:id="103" w:name="_Toc11919"/>
      <w:bookmarkStart w:id="104" w:name="_Toc13146"/>
      <w:bookmarkStart w:id="105" w:name="_Toc10237"/>
      <w:bookmarkStart w:id="106" w:name="_Toc14348"/>
      <w:bookmarkStart w:id="107" w:name="_Toc23856"/>
      <w:bookmarkStart w:id="108" w:name="_Toc389582038"/>
      <w:bookmarkStart w:id="109" w:name="_Toc1025"/>
      <w:bookmarkStart w:id="110" w:name="_Toc4053"/>
      <w:bookmarkStart w:id="111" w:name="_Toc11450"/>
      <w:bookmarkStart w:id="112" w:name="_Toc2711"/>
      <w:bookmarkStart w:id="113" w:name="_Toc20481"/>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iCs/>
          <w:color w:val="auto"/>
          <w:kern w:val="2"/>
          <w:sz w:val="28"/>
          <w:szCs w:val="28"/>
          <w:highlight w:val="none"/>
          <w:lang w:val="en-US" w:eastAsia="zh-CN" w:bidi="ar-SA"/>
        </w:rPr>
      </w:pPr>
      <w:r>
        <w:rPr>
          <w:rFonts w:hint="eastAsia" w:ascii="宋体" w:hAnsi="宋体" w:eastAsia="宋体" w:cs="宋体"/>
          <w:b/>
          <w:bCs/>
          <w:iCs/>
          <w:color w:val="auto"/>
          <w:kern w:val="2"/>
          <w:sz w:val="28"/>
          <w:szCs w:val="28"/>
          <w:highlight w:val="none"/>
          <w:lang w:val="en-US" w:eastAsia="zh-CN" w:bidi="ar-SA"/>
        </w:rPr>
        <w:t>一、采购内容</w:t>
      </w:r>
    </w:p>
    <w:p>
      <w:pPr>
        <w:keepNext w:val="0"/>
        <w:keepLines w:val="0"/>
        <w:pageBreakBefore w:val="0"/>
        <w:widowControl w:val="0"/>
        <w:kinsoku/>
        <w:wordWrap/>
        <w:overflowPunct/>
        <w:topLinePunct w:val="0"/>
        <w:autoSpaceDE/>
        <w:autoSpaceDN/>
        <w:bidi w:val="0"/>
        <w:adjustRightInd/>
        <w:snapToGrid/>
        <w:spacing w:after="120" w:afterLines="50" w:line="360" w:lineRule="auto"/>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
        </w:rPr>
        <w:t>本次招标内容主要为谭家街道办事处廉政灶采买，供应商需根据采购人要求提供其食堂所需的主副食品，</w:t>
      </w:r>
      <w:r>
        <w:rPr>
          <w:rFonts w:hint="eastAsia" w:ascii="宋体" w:hAnsi="宋体" w:eastAsia="宋体" w:cs="宋体"/>
          <w:kern w:val="2"/>
          <w:sz w:val="24"/>
          <w:szCs w:val="24"/>
          <w:highlight w:val="none"/>
          <w:lang w:val="en-US" w:eastAsia="zh-CN" w:bidi="ar"/>
        </w:rPr>
        <w:t>主要内容包括调味品及其他类；粮油类、豆类等；蔬菜类、大肉类、水果、水产类、禽蛋类等。</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iCs/>
          <w:color w:val="auto"/>
          <w:kern w:val="2"/>
          <w:sz w:val="28"/>
          <w:szCs w:val="28"/>
          <w:highlight w:val="none"/>
          <w:lang w:val="en-US" w:eastAsia="zh-CN" w:bidi="ar-SA"/>
        </w:rPr>
      </w:pPr>
      <w:r>
        <w:rPr>
          <w:rFonts w:hint="eastAsia" w:ascii="宋体" w:hAnsi="宋体" w:eastAsia="宋体" w:cs="宋体"/>
          <w:b/>
          <w:bCs/>
          <w:iCs/>
          <w:color w:val="auto"/>
          <w:kern w:val="2"/>
          <w:sz w:val="28"/>
          <w:szCs w:val="28"/>
          <w:highlight w:val="none"/>
          <w:lang w:val="en-US" w:eastAsia="zh-CN" w:bidi="ar-SA"/>
        </w:rPr>
        <w:t>二、用餐数量及标准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1、正常工作日人数</w:t>
      </w:r>
      <w:r>
        <w:rPr>
          <w:rFonts w:hint="eastAsia" w:ascii="宋体" w:hAnsi="宋体" w:eastAsia="宋体" w:cs="宋体"/>
          <w:kern w:val="2"/>
          <w:sz w:val="24"/>
          <w:szCs w:val="24"/>
          <w:highlight w:val="none"/>
          <w:lang w:val="en-US" w:eastAsia="zh-CN" w:bidi="ar"/>
        </w:rPr>
        <w:t>约为早餐120人中餐150晚餐25人。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2、一般为工作日供货；节假日用餐人数及供货由采购人临时通知。</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iCs/>
          <w:color w:val="auto"/>
          <w:kern w:val="2"/>
          <w:sz w:val="28"/>
          <w:szCs w:val="28"/>
          <w:highlight w:val="none"/>
          <w:lang w:val="en-US" w:eastAsia="zh-CN" w:bidi="ar-SA"/>
        </w:rPr>
      </w:pPr>
      <w:r>
        <w:rPr>
          <w:rFonts w:hint="eastAsia" w:ascii="宋体" w:hAnsi="宋体" w:eastAsia="宋体" w:cs="宋体"/>
          <w:b/>
          <w:bCs/>
          <w:iCs/>
          <w:color w:val="auto"/>
          <w:kern w:val="2"/>
          <w:sz w:val="28"/>
          <w:szCs w:val="28"/>
          <w:highlight w:val="none"/>
          <w:lang w:val="en-US" w:eastAsia="zh-CN" w:bidi="ar-SA"/>
        </w:rPr>
        <w:t>三、包装与质量要求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1、货物包装应完好无破漏，可视的内容物无腐败霉变或影响使用的变型，不存在危及人身、财产安全的不合理危险。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2、食品包装标签应符合《食品安全国家标准预包装食品标签通则》（GB 7718-2011）要求，包括食品名称、配料表、净含量、规格、制造商（或）经销者的名称、地址和联系方式、生产日期和保质期、贮存条件、食品生产许可证编号、产品标准代号等内容。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bidi="ar"/>
        </w:rPr>
      </w:pPr>
      <w:r>
        <w:rPr>
          <w:rFonts w:hint="eastAsia" w:ascii="宋体" w:hAnsi="宋体" w:eastAsia="宋体" w:cs="宋体"/>
          <w:szCs w:val="24"/>
          <w:lang w:bidi="ar"/>
        </w:rPr>
        <w:t>3、供应商配送的食品应当符合《产品质量法》和《食品安全法》等相关法律法规规定的质量标准，未具体约定的应当符合国家食品安全要求的质量标准；没有国家标准的按照本省地方标准执行；无国家质量标准或本省地方标准的，按照通常标准或者符合合同目的的特定标准履行。不得提供腐败变质、油脂酸败、霉变、生虫、污秽不洁、混有异物或者其他感官性状异常、含有毒有害物质或者被有毒有害物质污染，可能对人体健康有害的物品。</w:t>
      </w:r>
      <w:r>
        <w:rPr>
          <w:rFonts w:hint="eastAsia" w:ascii="宋体" w:hAnsi="宋体" w:eastAsia="宋体" w:cs="宋体"/>
          <w:kern w:val="0"/>
          <w:sz w:val="24"/>
          <w:szCs w:val="24"/>
          <w:lang w:val="en-US" w:eastAsia="zh-CN" w:bidi="ar"/>
        </w:rPr>
        <w:t>保证供应食材原料不存在腐烂过期变质现象，包装物的标识须与内品种一致；包装费用由供应商承担；包装不符合标准或约定，造成货物损毁灭失或其他后果的由供应商承担全部责任。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4、不得提供未经检疫或者检疫不合格的肉类品(含熟制品)、蔬菜制品，对带骨头肉制品按要求切块，须当批次《肉类卫生防疫证明》和蔬菜农药残留检测报告供采购人随时抽查，抽查发现供应商提供的物资合格证明材料与本批次物资不符时，</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eastAsia="zh-CN"/>
        </w:rPr>
        <w:t>及时</w:t>
      </w:r>
      <w:r>
        <w:rPr>
          <w:rFonts w:hint="eastAsia" w:ascii="宋体" w:hAnsi="宋体" w:eastAsia="宋体" w:cs="宋体"/>
          <w:color w:val="auto"/>
          <w:sz w:val="24"/>
          <w:szCs w:val="24"/>
          <w:highlight w:val="none"/>
        </w:rPr>
        <w:t>免费更换或退货</w:t>
      </w:r>
      <w:r>
        <w:rPr>
          <w:rFonts w:hint="eastAsia" w:ascii="宋体" w:hAnsi="宋体" w:eastAsia="宋体" w:cs="宋体"/>
          <w:szCs w:val="24"/>
          <w:lang w:bidi="ar"/>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5、不得提供来历不明、不能提供相应产品标签的散装物品。</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6、当天送达食品，在检查过程中发现存在变质腐败、油脂酸败、霉变、生虫、污秽不洁、混有异物或者其他感官性状异常、含有毒有害物质或者被有毒有害物质污染，可能对人体健康有害的物品，供应商必须在当天及时更换货物，如有造成的损失由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7、</w:t>
      </w:r>
      <w:r>
        <w:rPr>
          <w:rFonts w:hint="eastAsia" w:ascii="宋体" w:hAnsi="宋体" w:eastAsia="宋体" w:cs="宋体"/>
          <w:szCs w:val="24"/>
          <w:lang w:eastAsia="zh-CN" w:bidi="ar"/>
        </w:rPr>
        <w:t>供应商</w:t>
      </w:r>
      <w:r>
        <w:rPr>
          <w:rFonts w:hint="eastAsia" w:ascii="宋体" w:hAnsi="宋体" w:eastAsia="宋体" w:cs="宋体"/>
          <w:szCs w:val="24"/>
          <w:lang w:bidi="ar"/>
        </w:rPr>
        <w:t>必须按</w:t>
      </w:r>
      <w:r>
        <w:rPr>
          <w:rFonts w:hint="eastAsia" w:ascii="宋体" w:hAnsi="宋体" w:eastAsia="宋体" w:cs="宋体"/>
          <w:szCs w:val="24"/>
          <w:lang w:eastAsia="zh-CN" w:bidi="ar"/>
        </w:rPr>
        <w:t>采购人</w:t>
      </w:r>
      <w:r>
        <w:rPr>
          <w:rFonts w:hint="eastAsia" w:ascii="宋体" w:hAnsi="宋体" w:eastAsia="宋体" w:cs="宋体"/>
          <w:szCs w:val="24"/>
          <w:lang w:bidi="ar"/>
        </w:rPr>
        <w:t>指定的食品(原料、调料)品名、规格数量等要求及时进行供货。</w:t>
      </w:r>
      <w:r>
        <w:rPr>
          <w:rFonts w:hint="eastAsia" w:ascii="宋体" w:hAnsi="宋体" w:eastAsia="宋体" w:cs="宋体"/>
          <w:szCs w:val="24"/>
          <w:lang w:eastAsia="zh-CN" w:bidi="ar"/>
        </w:rPr>
        <w:t>供应商</w:t>
      </w:r>
      <w:r>
        <w:rPr>
          <w:rFonts w:hint="eastAsia" w:ascii="宋体" w:hAnsi="宋体" w:eastAsia="宋体" w:cs="宋体"/>
          <w:szCs w:val="24"/>
          <w:lang w:bidi="ar"/>
        </w:rPr>
        <w:t>供货不符合要求的，</w:t>
      </w:r>
      <w:r>
        <w:rPr>
          <w:rFonts w:hint="eastAsia" w:ascii="宋体" w:hAnsi="宋体" w:eastAsia="宋体" w:cs="宋体"/>
          <w:szCs w:val="24"/>
          <w:lang w:eastAsia="zh-CN" w:bidi="ar"/>
        </w:rPr>
        <w:t>供应商</w:t>
      </w:r>
      <w:r>
        <w:rPr>
          <w:rFonts w:hint="eastAsia" w:ascii="宋体" w:hAnsi="宋体" w:eastAsia="宋体" w:cs="宋体"/>
          <w:szCs w:val="24"/>
          <w:lang w:bidi="ar"/>
        </w:rPr>
        <w:t>应当及时调换，不得影响甲方使用。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val="en-US" w:eastAsia="zh-CN" w:bidi="ar"/>
        </w:rPr>
        <w:t>8</w:t>
      </w:r>
      <w:r>
        <w:rPr>
          <w:rFonts w:hint="eastAsia" w:ascii="宋体" w:hAnsi="宋体" w:eastAsia="宋体" w:cs="宋体"/>
          <w:szCs w:val="24"/>
          <w:lang w:bidi="ar"/>
        </w:rPr>
        <w:t>、物资产品在送达采购人指定地点时保质期剩余时间应在三分之二以上。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val="en-US" w:eastAsia="zh-CN" w:bidi="ar"/>
        </w:rPr>
        <w:t>9</w:t>
      </w:r>
      <w:r>
        <w:rPr>
          <w:rFonts w:hint="eastAsia" w:ascii="宋体" w:hAnsi="宋体" w:eastAsia="宋体" w:cs="宋体"/>
          <w:szCs w:val="24"/>
          <w:lang w:bidi="ar"/>
        </w:rPr>
        <w:t>、如因供应商提供的物资，因质量等问题而使采购人人员发生食物中毒事件的，供应商将承担相应的法律责任。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1</w:t>
      </w:r>
      <w:r>
        <w:rPr>
          <w:rFonts w:hint="eastAsia" w:ascii="宋体" w:hAnsi="宋体" w:eastAsia="宋体" w:cs="宋体"/>
          <w:szCs w:val="24"/>
          <w:lang w:val="en-US" w:eastAsia="zh-CN" w:bidi="ar"/>
        </w:rPr>
        <w:t>0</w:t>
      </w:r>
      <w:r>
        <w:rPr>
          <w:rFonts w:hint="eastAsia" w:ascii="宋体" w:hAnsi="宋体" w:eastAsia="宋体" w:cs="宋体"/>
          <w:szCs w:val="24"/>
          <w:lang w:bidi="ar"/>
        </w:rPr>
        <w:t>、供应商配送的食品应无毒、无害，具有完好的形、色、香、味等性状，并符合下述质量要求: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（1）调味品及其他类供货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eastAsia="zh-CN" w:bidi="ar"/>
        </w:rPr>
      </w:pPr>
      <w:r>
        <w:rPr>
          <w:rFonts w:hint="eastAsia" w:ascii="宋体" w:hAnsi="宋体" w:eastAsia="宋体" w:cs="宋体"/>
          <w:szCs w:val="24"/>
          <w:lang w:bidi="ar"/>
        </w:rPr>
        <w:t>产品无发霉、无变质、无变味、不掺杂、不掺假、不掺水、干货无受潮</w:t>
      </w:r>
      <w:r>
        <w:rPr>
          <w:rFonts w:hint="eastAsia" w:ascii="宋体" w:hAnsi="宋体" w:eastAsia="宋体" w:cs="宋体"/>
          <w:szCs w:val="24"/>
          <w:lang w:eastAsia="zh-CN" w:bidi="ar"/>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产品包装应该有产品名 称、厂名、厂址或出产地等，应有 产品质量合格证明</w:t>
      </w:r>
      <w:r>
        <w:rPr>
          <w:rFonts w:hint="eastAsia" w:ascii="宋体" w:hAnsi="宋体" w:eastAsia="宋体" w:cs="宋体"/>
          <w:szCs w:val="24"/>
          <w:lang w:eastAsia="zh-CN" w:bidi="ar"/>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 xml:space="preserve">产品生产厂家应持有卫生许可证；产品应符合国家食品卫生法规规定的标准。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w:t>
      </w:r>
      <w:r>
        <w:rPr>
          <w:rFonts w:hint="eastAsia" w:ascii="宋体" w:hAnsi="宋体" w:eastAsia="宋体" w:cs="宋体"/>
          <w:szCs w:val="24"/>
          <w:lang w:val="en-US" w:eastAsia="zh-CN" w:bidi="ar"/>
        </w:rPr>
        <w:t>2</w:t>
      </w:r>
      <w:r>
        <w:rPr>
          <w:rFonts w:hint="eastAsia" w:ascii="宋体" w:hAnsi="宋体" w:eastAsia="宋体" w:cs="宋体"/>
          <w:szCs w:val="24"/>
          <w:lang w:bidi="ar"/>
        </w:rPr>
        <w:t>）食用油供货: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食用油为非转基因食用油，品牌必须由采购人指定，应符合“国家标准一级”产品质量标准。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食用油应外包装完好，有SC标志，标明品名、厂名、重量、 生产日期、保质期或保存期、执行标准，剩余保存期不少于保质期的三分之二，具有产品合格证。具有正常植物油的色泽、透明度、气味和滋味，无焦臭、酸败及其他异味。</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w:t>
      </w:r>
      <w:r>
        <w:rPr>
          <w:rFonts w:hint="eastAsia" w:ascii="宋体" w:hAnsi="宋体" w:eastAsia="宋体" w:cs="宋体"/>
          <w:szCs w:val="24"/>
          <w:lang w:val="en-US" w:eastAsia="zh-CN" w:bidi="ar"/>
        </w:rPr>
        <w:t>3</w:t>
      </w:r>
      <w:r>
        <w:rPr>
          <w:rFonts w:hint="eastAsia" w:ascii="宋体" w:hAnsi="宋体" w:eastAsia="宋体" w:cs="宋体"/>
          <w:szCs w:val="24"/>
          <w:lang w:bidi="ar"/>
        </w:rPr>
        <w:t>）豆制品供货：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豆腐、豆腐干、绿豆芽、黄豆芽、红豆等；须保证食材干净、不含非食品用化学物质、按统一标准加工、码放整齐、无须二次处理可以直接进行熟加工。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w:t>
      </w:r>
      <w:r>
        <w:rPr>
          <w:rFonts w:hint="eastAsia" w:ascii="宋体" w:hAnsi="宋体" w:eastAsia="宋体" w:cs="宋体"/>
          <w:szCs w:val="24"/>
          <w:lang w:val="en-US" w:eastAsia="zh-CN" w:bidi="ar"/>
        </w:rPr>
        <w:t>4</w:t>
      </w:r>
      <w:r>
        <w:rPr>
          <w:rFonts w:hint="eastAsia" w:ascii="宋体" w:hAnsi="宋体" w:eastAsia="宋体" w:cs="宋体"/>
          <w:szCs w:val="24"/>
          <w:lang w:bidi="ar"/>
        </w:rPr>
        <w:t>）蔬菜供货: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供应商销售给采购人的蔬菜应当是新鲜、青嫩、干净、无腐 烂、无杂质、无杂草、无黄叶、无老叶、无浸水泡水或注水， 并提供农药残留检测报告。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新鲜指各类蔬菜无腐烂、变质、无臭水伤味、无糟软状态，尤其是黄、绿豆芽鲜菌类应保持应有的新鲜度；</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青嫩是指绝大多数蔬菜(除冬瓜、南瓜等外)不但青而且嫩; 豆角类及葫芦瓜等要保持青色，外壳不能呈白色;青菜类和白菜类的外叶折断时不能有丝相连不断连的现象;丝瓜、苦瓜等折而易断;鲜蒜叶子不黄，头部与杆部一般大小相同;干净、无杂质、无杂草泛指各类蔬菜，特别是根(块)茎类的蔬菜不能有泥巴，鲜蒜、香葱、香菜、洋葱等的根部要干净；</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无黄叶、老叶主要指青菜、白菜类不能有老叶，鲜蒜、香葱等的杆部应当见白；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无浸水、泡水或注水主要指白菜类(含花菜)、瓜果类、鲜 菌类及根(块)茎类蔬菜不能浸水、泡水或注水；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净菜率须在 95%以上。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w:t>
      </w:r>
      <w:r>
        <w:rPr>
          <w:rFonts w:hint="eastAsia" w:ascii="宋体" w:hAnsi="宋体" w:eastAsia="宋体" w:cs="宋体"/>
          <w:szCs w:val="24"/>
          <w:lang w:val="en-US" w:eastAsia="zh-CN" w:bidi="ar"/>
        </w:rPr>
        <w:t>5</w:t>
      </w:r>
      <w:r>
        <w:rPr>
          <w:rFonts w:hint="eastAsia" w:ascii="宋体" w:hAnsi="宋体" w:eastAsia="宋体" w:cs="宋体"/>
          <w:szCs w:val="24"/>
          <w:lang w:bidi="ar"/>
        </w:rPr>
        <w:t>）肉制品类供货: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产品为在政府规定的屠宰场所屠杀的生鲜禽畜肉；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产品应符合国家食品安全标准；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产品非病死禽畜肉；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产品非“注水”禽畜肉、母猪肉、老猪肉；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产品应经检验、检疫合格，有相应的检验、检疫证明，有当地卫生主管部门出具的动物检疫合格证明、有当地政府部门定点屠宰厂“瘦肉精”残留检测合格证明和肉品品质检验合格证供采购人随时抽查，抽查发现供应商提供的证明材料与鲜肉不符时，</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eastAsia="zh-CN"/>
        </w:rPr>
        <w:t>及时</w:t>
      </w:r>
      <w:r>
        <w:rPr>
          <w:rFonts w:hint="eastAsia" w:ascii="宋体" w:hAnsi="宋体" w:eastAsia="宋体" w:cs="宋体"/>
          <w:color w:val="auto"/>
          <w:sz w:val="24"/>
          <w:szCs w:val="24"/>
          <w:highlight w:val="none"/>
        </w:rPr>
        <w:t>免费更换或退货</w:t>
      </w:r>
      <w:r>
        <w:rPr>
          <w:rFonts w:hint="eastAsia" w:ascii="宋体" w:hAnsi="宋体" w:eastAsia="宋体" w:cs="宋体"/>
          <w:szCs w:val="24"/>
          <w:lang w:bidi="ar"/>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新鲜的肉类，表面有光泽，颜色均匀，有弹性，不得呈现青紫色死斑。</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w:t>
      </w:r>
      <w:r>
        <w:rPr>
          <w:rFonts w:hint="eastAsia" w:ascii="宋体" w:hAnsi="宋体" w:eastAsia="宋体" w:cs="宋体"/>
          <w:szCs w:val="24"/>
          <w:lang w:val="en-US" w:eastAsia="zh-CN" w:bidi="ar"/>
        </w:rPr>
        <w:t>6</w:t>
      </w:r>
      <w:r>
        <w:rPr>
          <w:rFonts w:hint="eastAsia" w:ascii="宋体" w:hAnsi="宋体" w:eastAsia="宋体" w:cs="宋体"/>
          <w:szCs w:val="24"/>
          <w:lang w:bidi="ar"/>
        </w:rPr>
        <w:t xml:space="preserve">）水果类供货: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果形完整、质地好、新鲜，无影响消费的腐烂变质;清洁，基本不含可见异物，无坏死斑块，无明显的机械伤，基本无虫害，无冷害，无异常的外部水分，但冷藏取出后的冷凝水除外;无异常气味和味道，发育充分，达到适当的成熟度；带柄时，其长度不能超过1 cm。</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w:t>
      </w:r>
      <w:r>
        <w:rPr>
          <w:rFonts w:hint="eastAsia" w:ascii="宋体" w:hAnsi="宋体" w:eastAsia="宋体" w:cs="宋体"/>
          <w:szCs w:val="24"/>
          <w:lang w:val="en-US" w:eastAsia="zh-CN" w:bidi="ar"/>
        </w:rPr>
        <w:t>7</w:t>
      </w:r>
      <w:r>
        <w:rPr>
          <w:rFonts w:hint="eastAsia" w:ascii="宋体" w:hAnsi="宋体" w:eastAsia="宋体" w:cs="宋体"/>
          <w:szCs w:val="24"/>
          <w:lang w:bidi="ar"/>
        </w:rPr>
        <w:t>）</w:t>
      </w:r>
      <w:r>
        <w:rPr>
          <w:rFonts w:hint="eastAsia" w:ascii="宋体" w:hAnsi="宋体" w:eastAsia="宋体" w:cs="宋体"/>
          <w:szCs w:val="24"/>
          <w:lang w:eastAsia="zh-CN" w:bidi="ar"/>
        </w:rPr>
        <w:t>水产</w:t>
      </w:r>
      <w:r>
        <w:rPr>
          <w:rFonts w:hint="eastAsia" w:ascii="宋体" w:hAnsi="宋体" w:eastAsia="宋体" w:cs="宋体"/>
          <w:szCs w:val="24"/>
          <w:lang w:bidi="ar"/>
        </w:rPr>
        <w:t xml:space="preserve">类供货: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val="en-US" w:eastAsia="zh-CN" w:bidi="ar"/>
        </w:rPr>
      </w:pPr>
      <w:r>
        <w:rPr>
          <w:rFonts w:hint="eastAsia" w:ascii="宋体" w:hAnsi="宋体" w:eastAsia="宋体" w:cs="宋体"/>
          <w:szCs w:val="24"/>
          <w:lang w:val="en-US" w:eastAsia="zh-CN" w:bidi="ar"/>
        </w:rPr>
        <w:t>1）鱼类：游水生猛，对外界刺激敏感，无翻肚；无嘴烂及其它外表损伤。鱼鳞完整有光泽，不易脱落，眼隔膜有光泽、透明，眼球突出；腹部坚实不膨胀，肛门内部洁净无异常红尾。大小均匀。</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val="en-US" w:eastAsia="zh-CN" w:bidi="ar"/>
        </w:rPr>
      </w:pPr>
      <w:r>
        <w:rPr>
          <w:rFonts w:hint="eastAsia" w:ascii="宋体" w:hAnsi="宋体" w:eastAsia="宋体" w:cs="宋体"/>
          <w:szCs w:val="24"/>
          <w:lang w:val="en-US" w:eastAsia="zh-CN" w:bidi="ar"/>
        </w:rPr>
        <w:t xml:space="preserve">（8）禽蛋类供货: </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hint="eastAsia" w:ascii="Times New Roman" w:hAnsi="Times New Roman" w:eastAsia="宋体" w:cs="Times New Roman"/>
          <w:kern w:val="2"/>
          <w:sz w:val="21"/>
          <w:lang w:val="en-US" w:eastAsia="zh-CN" w:bidi="ar-SA"/>
        </w:rPr>
      </w:pPr>
      <w:r>
        <w:rPr>
          <w:rFonts w:hint="eastAsia" w:ascii="宋体" w:hAnsi="宋体" w:eastAsia="宋体" w:cs="宋体"/>
          <w:kern w:val="0"/>
          <w:sz w:val="24"/>
          <w:szCs w:val="24"/>
          <w:lang w:val="en-US" w:eastAsia="zh-CN" w:bidi="ar"/>
        </w:rPr>
        <w:t>应有禽蛋固有的色泽，鸡蛋为白色至浅红褐色之间，蛋壳清洁无破裂，打开后蛋壳凸起、完整、有韧性，蛋白澄清透明，层次分明，同一批次大小差异不明显。</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bidi="ar"/>
        </w:rPr>
      </w:pPr>
      <w:r>
        <w:rPr>
          <w:rFonts w:hint="eastAsia" w:ascii="宋体" w:hAnsi="宋体" w:eastAsia="宋体" w:cs="宋体"/>
          <w:b/>
          <w:bCs/>
          <w:sz w:val="28"/>
          <w:szCs w:val="28"/>
          <w:lang w:bidi="ar"/>
        </w:rPr>
        <w:t>四、运输要求：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Cs w:val="24"/>
          <w:lang w:bidi="ar"/>
        </w:rPr>
      </w:pPr>
      <w:r>
        <w:rPr>
          <w:rFonts w:hint="eastAsia" w:ascii="宋体" w:hAnsi="宋体" w:eastAsia="宋体" w:cs="宋体"/>
          <w:szCs w:val="24"/>
          <w:lang w:bidi="ar"/>
        </w:rPr>
        <w:t>运输工具应清洁卫生无污染：食品运输必须采用符合卫生标准的外包装和运载工具，并且要保持清洁和定期消毒。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360" w:lineRule="auto"/>
        <w:jc w:val="both"/>
        <w:textAlignment w:val="auto"/>
        <w:outlineLvl w:val="0"/>
        <w:rPr>
          <w:rFonts w:hint="eastAsia" w:ascii="宋体" w:hAnsi="宋体" w:eastAsia="宋体" w:cs="宋体"/>
          <w:b/>
          <w:bCs/>
          <w:iCs/>
          <w:color w:val="auto"/>
          <w:kern w:val="2"/>
          <w:sz w:val="28"/>
          <w:szCs w:val="28"/>
          <w:highlight w:val="none"/>
          <w:lang w:val="en-US" w:eastAsia="zh-CN" w:bidi="ar-SA"/>
        </w:rPr>
      </w:pPr>
      <w:r>
        <w:rPr>
          <w:rFonts w:hint="eastAsia" w:ascii="宋体" w:hAnsi="宋体" w:eastAsia="宋体" w:cs="宋体"/>
          <w:b/>
          <w:bCs/>
          <w:iCs/>
          <w:color w:val="auto"/>
          <w:kern w:val="2"/>
          <w:sz w:val="28"/>
          <w:szCs w:val="28"/>
          <w:highlight w:val="none"/>
          <w:lang w:val="en-US" w:eastAsia="zh-CN" w:bidi="ar-SA"/>
        </w:rPr>
        <w:t>五、货物要求</w:t>
      </w:r>
    </w:p>
    <w:p>
      <w:pPr>
        <w:keepNext w:val="0"/>
        <w:keepLines w:val="0"/>
        <w:pageBreakBefore w:val="0"/>
        <w:widowControl w:val="0"/>
        <w:kinsoku/>
        <w:wordWrap/>
        <w:overflowPunct/>
        <w:topLinePunct w:val="0"/>
        <w:autoSpaceDE/>
        <w:autoSpaceDN/>
        <w:bidi w:val="0"/>
        <w:adjustRightInd/>
        <w:snapToGrid/>
        <w:spacing w:after="120" w:afterLines="0" w:line="360" w:lineRule="auto"/>
        <w:jc w:val="both"/>
        <w:textAlignment w:val="auto"/>
        <w:rPr>
          <w:rFonts w:hint="default" w:ascii="宋体" w:hAnsi="宋体" w:eastAsia="宋体" w:cs="宋体"/>
          <w:b/>
          <w:color w:val="auto"/>
          <w:kern w:val="2"/>
          <w:sz w:val="24"/>
          <w:highlight w:val="none"/>
          <w:lang w:val="en-US" w:eastAsia="zh-CN" w:bidi="ar-SA"/>
        </w:rPr>
      </w:pPr>
      <w:r>
        <w:rPr>
          <w:rFonts w:hint="eastAsia" w:ascii="宋体" w:hAnsi="宋体" w:eastAsia="宋体" w:cs="宋体"/>
          <w:b/>
          <w:iCs/>
          <w:color w:val="auto"/>
          <w:kern w:val="2"/>
          <w:sz w:val="24"/>
          <w:highlight w:val="none"/>
          <w:lang w:val="en-US" w:eastAsia="zh-CN" w:bidi="ar-SA"/>
        </w:rPr>
        <w:t>1、供货</w:t>
      </w:r>
      <w:r>
        <w:rPr>
          <w:rFonts w:hint="eastAsia" w:ascii="宋体" w:hAnsi="宋体" w:eastAsia="宋体" w:cs="宋体"/>
          <w:b/>
          <w:bCs/>
          <w:iCs/>
          <w:color w:val="auto"/>
          <w:kern w:val="2"/>
          <w:sz w:val="24"/>
          <w:highlight w:val="none"/>
          <w:lang w:val="en-US" w:eastAsia="zh-CN" w:bidi="ar-SA"/>
        </w:rPr>
        <w:t>范围</w:t>
      </w:r>
      <w:r>
        <w:rPr>
          <w:rFonts w:hint="eastAsia" w:ascii="宋体" w:hAnsi="宋体" w:eastAsia="宋体" w:cs="宋体"/>
          <w:b/>
          <w:iCs/>
          <w:color w:val="auto"/>
          <w:kern w:val="2"/>
          <w:sz w:val="24"/>
          <w:highlight w:val="none"/>
          <w:lang w:val="en-US" w:eastAsia="zh-CN" w:bidi="ar-SA"/>
        </w:rPr>
        <w:t>、供货期、交货地点及质量标准</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hint="eastAsia" w:ascii="仿宋" w:hAnsi="仿宋" w:eastAsia="仿宋" w:cs="仿宋"/>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）供货期：</w:t>
      </w:r>
      <w:r>
        <w:rPr>
          <w:rFonts w:hint="eastAsia" w:ascii="宋体" w:hAnsi="宋体" w:eastAsia="宋体" w:cs="宋体"/>
          <w:color w:val="auto"/>
          <w:kern w:val="2"/>
          <w:sz w:val="24"/>
          <w:szCs w:val="24"/>
          <w:highlight w:val="none"/>
          <w:u w:val="single"/>
          <w:lang w:val="en-US" w:eastAsia="zh-CN" w:bidi="ar-SA"/>
        </w:rPr>
        <w:t xml:space="preserve">供货期限为1年。 </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Times New Roman" w:hAnsi="宋体" w:eastAsia="宋体" w:cs="Times New Roman"/>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）配送服务响应时间：</w:t>
      </w:r>
      <w:r>
        <w:rPr>
          <w:rFonts w:hint="eastAsia" w:ascii="宋体" w:hAnsi="宋体" w:eastAsia="宋体" w:cs="宋体"/>
          <w:color w:val="auto"/>
          <w:kern w:val="2"/>
          <w:sz w:val="24"/>
          <w:szCs w:val="24"/>
          <w:highlight w:val="none"/>
          <w:u w:val="single"/>
          <w:lang w:val="en-US" w:eastAsia="zh-CN" w:bidi="ar-SA"/>
        </w:rPr>
        <w:t>应</w:t>
      </w:r>
      <w:r>
        <w:rPr>
          <w:rFonts w:hint="eastAsia" w:ascii="Times New Roman" w:hAnsi="宋体" w:eastAsia="宋体" w:cs="Times New Roman"/>
          <w:kern w:val="2"/>
          <w:sz w:val="24"/>
          <w:szCs w:val="24"/>
          <w:highlight w:val="none"/>
          <w:u w:val="single"/>
          <w:lang w:val="en-US" w:eastAsia="zh-CN" w:bidi="ar-SA"/>
        </w:rPr>
        <w:t>采购人要求。</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）供货地点：</w:t>
      </w:r>
      <w:r>
        <w:rPr>
          <w:rFonts w:hint="eastAsia" w:hAnsi="宋体" w:cs="宋体"/>
          <w:color w:val="auto"/>
          <w:kern w:val="2"/>
          <w:sz w:val="24"/>
          <w:szCs w:val="24"/>
          <w:highlight w:val="none"/>
          <w:u w:val="single"/>
          <w:lang w:val="en-US" w:eastAsia="zh-CN" w:bidi="ar-SA"/>
        </w:rPr>
        <w:t xml:space="preserve"> 谭家街道办事处</w:t>
      </w:r>
      <w:r>
        <w:rPr>
          <w:rFonts w:hint="eastAsia" w:ascii="宋体" w:hAnsi="宋体" w:eastAsia="宋体" w:cs="宋体"/>
          <w:color w:val="000000"/>
          <w:kern w:val="2"/>
          <w:sz w:val="24"/>
          <w:szCs w:val="24"/>
          <w:u w:val="single"/>
          <w:lang w:val="en-US" w:eastAsia="zh-CN" w:bidi="ar-SA"/>
        </w:rPr>
        <w:t>（或</w:t>
      </w:r>
      <w:r>
        <w:rPr>
          <w:rFonts w:hint="eastAsia" w:ascii="宋体" w:hAnsi="宋体" w:eastAsia="宋体" w:cs="宋体"/>
          <w:color w:val="auto"/>
          <w:kern w:val="2"/>
          <w:sz w:val="24"/>
          <w:szCs w:val="24"/>
          <w:highlight w:val="none"/>
          <w:u w:val="single"/>
          <w:lang w:val="en-US" w:eastAsia="zh-CN" w:bidi="ar-SA"/>
        </w:rPr>
        <w:t>采购人指定地点）</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hint="default"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）质量标准：</w:t>
      </w:r>
      <w:r>
        <w:rPr>
          <w:rFonts w:hint="eastAsia" w:ascii="宋体" w:hAnsi="宋体" w:eastAsia="宋体" w:cs="宋体"/>
          <w:color w:val="auto"/>
          <w:kern w:val="2"/>
          <w:sz w:val="24"/>
          <w:szCs w:val="24"/>
          <w:highlight w:val="none"/>
          <w:u w:val="single"/>
          <w:lang w:val="en-US" w:eastAsia="zh-CN" w:bidi="ar-SA"/>
        </w:rPr>
        <w:t xml:space="preserve"> 合格 </w:t>
      </w:r>
    </w:p>
    <w:p>
      <w:pPr>
        <w:keepNext w:val="0"/>
        <w:keepLines w:val="0"/>
        <w:pageBreakBefore w:val="0"/>
        <w:widowControl w:val="0"/>
        <w:kinsoku/>
        <w:wordWrap/>
        <w:overflowPunct/>
        <w:topLinePunct w:val="0"/>
        <w:autoSpaceDE/>
        <w:autoSpaceDN/>
        <w:bidi w:val="0"/>
        <w:adjustRightInd/>
        <w:snapToGrid/>
        <w:spacing w:after="120" w:afterLines="0" w:line="360" w:lineRule="auto"/>
        <w:jc w:val="both"/>
        <w:textAlignment w:val="auto"/>
        <w:rPr>
          <w:rFonts w:ascii="宋体" w:hAnsi="宋体" w:eastAsia="宋体" w:cs="宋体"/>
          <w:b/>
          <w:iCs/>
          <w:color w:val="auto"/>
          <w:kern w:val="2"/>
          <w:sz w:val="24"/>
          <w:highlight w:val="none"/>
          <w:lang w:val="en-US" w:eastAsia="zh-CN" w:bidi="ar-SA"/>
        </w:rPr>
      </w:pPr>
      <w:r>
        <w:rPr>
          <w:rFonts w:hint="eastAsia" w:ascii="宋体" w:hAnsi="宋体" w:eastAsia="宋体" w:cs="宋体"/>
          <w:b/>
          <w:iCs/>
          <w:color w:val="auto"/>
          <w:kern w:val="2"/>
          <w:sz w:val="24"/>
          <w:highlight w:val="none"/>
          <w:lang w:val="en-US" w:eastAsia="zh-CN" w:bidi="ar-SA"/>
        </w:rPr>
        <w:t>2、货物</w:t>
      </w:r>
      <w:r>
        <w:rPr>
          <w:rFonts w:hint="eastAsia" w:ascii="宋体" w:hAnsi="宋体" w:eastAsia="宋体" w:cs="宋体"/>
          <w:b/>
          <w:bCs/>
          <w:iCs/>
          <w:color w:val="auto"/>
          <w:kern w:val="2"/>
          <w:sz w:val="24"/>
          <w:highlight w:val="none"/>
          <w:lang w:val="en-US" w:eastAsia="zh-CN" w:bidi="ar-SA"/>
        </w:rPr>
        <w:t>技术</w:t>
      </w:r>
      <w:r>
        <w:rPr>
          <w:rFonts w:hint="eastAsia" w:ascii="宋体" w:hAnsi="宋体" w:eastAsia="宋体" w:cs="宋体"/>
          <w:b/>
          <w:iCs/>
          <w:color w:val="auto"/>
          <w:kern w:val="2"/>
          <w:sz w:val="24"/>
          <w:highlight w:val="none"/>
          <w:lang w:val="en-US" w:eastAsia="zh-CN" w:bidi="ar-SA"/>
        </w:rPr>
        <w:t>规格、参数与要求</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凡涉及到食品安全标准、国家标准、产品生产国标准、行业标准、企业标准的按最高标准执行。</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Times New Roman"/>
          <w:sz w:val="24"/>
        </w:rPr>
      </w:pPr>
      <w:r>
        <w:rPr>
          <w:rFonts w:hint="eastAsia" w:ascii="宋体" w:hAnsi="宋体" w:eastAsia="宋体" w:cs="Times New Roman"/>
          <w:b/>
          <w:bCs/>
          <w:sz w:val="24"/>
          <w:lang w:val="en-US" w:eastAsia="zh-CN"/>
        </w:rPr>
        <w:t>3、</w:t>
      </w:r>
      <w:r>
        <w:rPr>
          <w:rFonts w:hint="eastAsia" w:ascii="宋体" w:hAnsi="宋体" w:eastAsia="宋体" w:cs="Times New Roman"/>
          <w:b/>
          <w:bCs/>
          <w:sz w:val="24"/>
        </w:rPr>
        <w:t>配送要求：</w:t>
      </w:r>
      <w:r>
        <w:rPr>
          <w:rFonts w:hint="eastAsia" w:ascii="宋体" w:hAnsi="宋体" w:eastAsia="宋体" w:cs="Times New Roman"/>
          <w:sz w:val="24"/>
        </w:rPr>
        <w:t>配送时须提供的证明材料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Times New Roman" w:eastAsia="宋体" w:cs="Times New Roman"/>
          <w:lang w:eastAsia="zh-CN"/>
        </w:rPr>
      </w:pPr>
      <w:r>
        <w:rPr>
          <w:rFonts w:hint="eastAsia" w:ascii="宋体" w:hAnsi="Times New Roman" w:eastAsia="宋体" w:cs="Times New Roman"/>
          <w:color w:val="auto"/>
          <w:lang w:eastAsia="zh-CN"/>
        </w:rPr>
        <w:t>成交供应商</w:t>
      </w:r>
      <w:r>
        <w:rPr>
          <w:rFonts w:hint="eastAsia" w:ascii="宋体" w:hAnsi="宋体" w:eastAsia="宋体" w:cs="Times New Roman"/>
          <w:color w:val="auto"/>
        </w:rPr>
        <w:t>的</w:t>
      </w:r>
      <w:r>
        <w:rPr>
          <w:rFonts w:hint="eastAsia" w:ascii="宋体" w:hAnsi="Times New Roman" w:eastAsia="宋体" w:cs="Times New Roman"/>
          <w:color w:val="auto"/>
          <w:lang w:eastAsia="zh-CN"/>
        </w:rPr>
        <w:t>资格、</w:t>
      </w:r>
      <w:r>
        <w:rPr>
          <w:rFonts w:hint="eastAsia" w:ascii="宋体" w:hAnsi="宋体" w:eastAsia="宋体" w:cs="Times New Roman"/>
          <w:color w:val="auto"/>
        </w:rPr>
        <w:t>资质证明（首次</w:t>
      </w:r>
      <w:r>
        <w:rPr>
          <w:rFonts w:hint="eastAsia" w:ascii="宋体" w:hAnsi="宋体" w:eastAsia="宋体" w:cs="Times New Roman"/>
          <w:color w:val="auto"/>
          <w:highlight w:val="none"/>
        </w:rPr>
        <w:t>供应时提供）：</w:t>
      </w:r>
      <w:r>
        <w:rPr>
          <w:rFonts w:hint="eastAsia" w:ascii="宋体" w:hAnsi="宋体" w:eastAsia="宋体" w:cs="Times New Roman"/>
          <w:color w:val="auto"/>
          <w:highlight w:val="none"/>
          <w:lang w:val="en-US" w:eastAsia="zh-CN"/>
        </w:rPr>
        <w:t>供应商为生产厂家的须具有《食品生产许可证》、《食品经营许可证》及《动物防疫条件合格证》（仅肉类）；供应商为代理商的须提供《食品经营许可证》，并提供</w:t>
      </w:r>
      <w:r>
        <w:rPr>
          <w:rFonts w:hint="eastAsia" w:hAnsi="宋体" w:cs="Times New Roman"/>
          <w:color w:val="auto"/>
          <w:highlight w:val="none"/>
          <w:lang w:val="en-US" w:eastAsia="zh-CN"/>
        </w:rPr>
        <w:t>（米、面、粮油类、大肉类</w:t>
      </w:r>
      <w:bookmarkStart w:id="233" w:name="_GoBack"/>
      <w:bookmarkEnd w:id="233"/>
      <w:r>
        <w:rPr>
          <w:rFonts w:hint="eastAsia" w:hAnsi="宋体" w:cs="Times New Roman"/>
          <w:color w:val="auto"/>
          <w:highlight w:val="none"/>
          <w:lang w:val="en-US" w:eastAsia="zh-CN"/>
        </w:rPr>
        <w:t>）</w:t>
      </w:r>
      <w:r>
        <w:rPr>
          <w:rFonts w:hint="eastAsia" w:ascii="宋体" w:hAnsi="宋体" w:eastAsia="宋体" w:cs="Times New Roman"/>
          <w:color w:val="auto"/>
          <w:highlight w:val="none"/>
          <w:lang w:val="en-US" w:eastAsia="zh-CN"/>
        </w:rPr>
        <w:t>所代理产品生产厂家的《食品生产许可证》及《动物防疫条件合格证》（仅肉类）</w:t>
      </w:r>
      <w:r>
        <w:rPr>
          <w:rFonts w:hint="eastAsia" w:ascii="宋体" w:hAnsi="宋体" w:eastAsia="宋体" w:cs="宋体"/>
          <w:color w:val="333333"/>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120" w:afterLines="0" w:line="360" w:lineRule="auto"/>
        <w:jc w:val="both"/>
        <w:textAlignment w:val="auto"/>
        <w:rPr>
          <w:rFonts w:hint="eastAsia" w:ascii="宋体" w:hAnsi="宋体" w:eastAsia="宋体" w:cs="宋体"/>
          <w:b/>
          <w:bCs/>
          <w:iCs/>
          <w:color w:val="auto"/>
          <w:kern w:val="2"/>
          <w:sz w:val="24"/>
          <w:highlight w:val="none"/>
          <w:lang w:val="en-US" w:eastAsia="zh-CN" w:bidi="ar-SA"/>
        </w:rPr>
      </w:pPr>
      <w:r>
        <w:rPr>
          <w:rFonts w:hint="eastAsia" w:ascii="宋体" w:hAnsi="宋体" w:eastAsia="宋体" w:cs="宋体"/>
          <w:b/>
          <w:bCs/>
          <w:iCs/>
          <w:color w:val="auto"/>
          <w:kern w:val="2"/>
          <w:sz w:val="24"/>
          <w:highlight w:val="none"/>
          <w:lang w:val="en-US" w:eastAsia="zh-CN" w:bidi="ar-SA"/>
        </w:rPr>
        <w:t>4、验收标准和方法</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包括确认产品的准确产地、规格和数量，对其产品技术指标、质量、重量参数进行逐项检查。</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（1）所检产品的指标、质量等级、重量等通过验收达不到磋商文件要求和磋商响应文件承诺，或在使用中发现买方不能容忍的缺陷等，将视为产品验收不合格，成交供应商应免费更换或退货。</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（2）若发现成交供应商有弄虚作假的故意或随意夸大货物质量、等级与技术性能，买方除要求退货外，还有权要求成交供应商赔偿其相应的损失。</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（3）验收依据</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1）合同文本；</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2）磋商文件要求和磋商响应承诺；</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3）国家和厂方制定的相应的标准和规范。</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产品出现质量问题（包装、标签、等级、内在质量问题等），成交供应商必须收回并更换合格产品；由于食品检验部门抽检出现货物不合格的，成交供应商必须付经济和法律责任；如因食品质量问题引起食品安全方面的问题，成交供应商负全责。</w:t>
      </w:r>
    </w:p>
    <w:p>
      <w:pPr>
        <w:keepNext w:val="0"/>
        <w:keepLines w:val="0"/>
        <w:pageBreakBefore w:val="0"/>
        <w:widowControl w:val="0"/>
        <w:kinsoku/>
        <w:wordWrap/>
        <w:overflowPunct/>
        <w:topLinePunct w:val="0"/>
        <w:autoSpaceDE/>
        <w:autoSpaceDN/>
        <w:bidi w:val="0"/>
        <w:adjustRightInd/>
        <w:snapToGrid/>
        <w:spacing w:after="120" w:afterLines="0" w:line="360" w:lineRule="auto"/>
        <w:jc w:val="both"/>
        <w:textAlignment w:val="auto"/>
        <w:rPr>
          <w:rFonts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w:t>
      </w:r>
      <w:r>
        <w:rPr>
          <w:rFonts w:hint="eastAsia" w:ascii="宋体" w:hAnsi="宋体" w:eastAsia="宋体" w:cs="宋体"/>
          <w:b/>
          <w:iCs/>
          <w:color w:val="auto"/>
          <w:kern w:val="2"/>
          <w:sz w:val="24"/>
          <w:highlight w:val="none"/>
          <w:lang w:val="en-US" w:eastAsia="zh-CN" w:bidi="ar-SA"/>
        </w:rPr>
        <w:t>运输</w:t>
      </w:r>
      <w:r>
        <w:rPr>
          <w:rFonts w:hint="eastAsia" w:ascii="宋体" w:hAnsi="宋体" w:eastAsia="宋体" w:cs="宋体"/>
          <w:b/>
          <w:bCs/>
          <w:color w:val="auto"/>
          <w:kern w:val="2"/>
          <w:sz w:val="24"/>
          <w:szCs w:val="24"/>
          <w:highlight w:val="none"/>
          <w:lang w:val="en-US" w:eastAsia="zh-CN" w:bidi="ar-SA"/>
        </w:rPr>
        <w:t>方式</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运输方式必须按照国家相关要求运输方式严格执行。</w:t>
      </w:r>
    </w:p>
    <w:p>
      <w:pPr>
        <w:keepNext w:val="0"/>
        <w:keepLines w:val="0"/>
        <w:pageBreakBefore w:val="0"/>
        <w:widowControl w:val="0"/>
        <w:kinsoku/>
        <w:wordWrap/>
        <w:overflowPunct/>
        <w:topLinePunct w:val="0"/>
        <w:autoSpaceDE/>
        <w:autoSpaceDN/>
        <w:bidi w:val="0"/>
        <w:adjustRightInd/>
        <w:snapToGrid/>
        <w:spacing w:after="120" w:afterLines="0" w:line="360" w:lineRule="auto"/>
        <w:jc w:val="both"/>
        <w:textAlignment w:val="auto"/>
        <w:rPr>
          <w:rFonts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6、其他</w:t>
      </w:r>
      <w:r>
        <w:rPr>
          <w:rFonts w:hint="eastAsia" w:ascii="宋体" w:hAnsi="宋体" w:eastAsia="宋体" w:cs="宋体"/>
          <w:b/>
          <w:iCs/>
          <w:color w:val="auto"/>
          <w:kern w:val="2"/>
          <w:sz w:val="24"/>
          <w:highlight w:val="none"/>
          <w:lang w:val="en-US" w:eastAsia="zh-CN" w:bidi="ar-SA"/>
        </w:rPr>
        <w:t>需要</w:t>
      </w:r>
      <w:r>
        <w:rPr>
          <w:rFonts w:hint="eastAsia" w:ascii="宋体" w:hAnsi="宋体" w:eastAsia="宋体" w:cs="宋体"/>
          <w:b/>
          <w:bCs/>
          <w:color w:val="auto"/>
          <w:kern w:val="2"/>
          <w:sz w:val="24"/>
          <w:szCs w:val="24"/>
          <w:highlight w:val="none"/>
          <w:lang w:val="en-US" w:eastAsia="zh-CN" w:bidi="ar-SA"/>
        </w:rPr>
        <w:t>说明的事项</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1、成交供应商必须保证所供货物进货渠道正规，质量符合国家质量标准和食品卫生安全要求。</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Times New Roman" w:hAnsi="宋体" w:eastAsia="宋体" w:cs="Times New Roman"/>
          <w:bCs/>
          <w:color w:val="auto"/>
          <w:kern w:val="2"/>
          <w:sz w:val="21"/>
          <w:szCs w:val="21"/>
          <w:highlight w:val="none"/>
          <w:lang w:val="en-US" w:eastAsia="zh-CN" w:bidi="ar-SA"/>
        </w:rPr>
      </w:pPr>
      <w:r>
        <w:rPr>
          <w:rFonts w:hint="eastAsia" w:ascii="宋体" w:hAnsi="宋体" w:eastAsia="宋体" w:cs="宋体"/>
          <w:color w:val="auto"/>
          <w:kern w:val="2"/>
          <w:sz w:val="24"/>
          <w:szCs w:val="24"/>
          <w:highlight w:val="none"/>
          <w:lang w:val="en-US" w:eastAsia="zh-CN" w:bidi="ar-SA"/>
        </w:rPr>
        <w:t>2、如</w:t>
      </w:r>
      <w:r>
        <w:rPr>
          <w:rFonts w:hint="eastAsia" w:hAnsi="宋体" w:cs="宋体"/>
          <w:color w:val="auto"/>
          <w:kern w:val="2"/>
          <w:sz w:val="24"/>
          <w:szCs w:val="24"/>
          <w:highlight w:val="none"/>
          <w:lang w:val="en-US" w:eastAsia="zh-CN" w:bidi="ar-SA"/>
        </w:rPr>
        <w:t>因特殊</w:t>
      </w:r>
      <w:r>
        <w:rPr>
          <w:rFonts w:hint="eastAsia" w:ascii="宋体" w:hAnsi="宋体" w:eastAsia="宋体" w:cs="宋体"/>
          <w:color w:val="auto"/>
          <w:kern w:val="2"/>
          <w:sz w:val="24"/>
          <w:szCs w:val="24"/>
          <w:highlight w:val="none"/>
          <w:lang w:val="en-US" w:eastAsia="zh-CN" w:bidi="ar-SA"/>
        </w:rPr>
        <w:t>原因导致交货方式发生变化，由采购人和成交供应商双方协商解决。</w:t>
      </w:r>
    </w:p>
    <w:p>
      <w:pPr>
        <w:keepNext w:val="0"/>
        <w:keepLines w:val="0"/>
        <w:pageBreakBefore w:val="0"/>
        <w:widowControl w:val="0"/>
        <w:kinsoku/>
        <w:wordWrap/>
        <w:overflowPunct/>
        <w:topLinePunct w:val="0"/>
        <w:autoSpaceDE/>
        <w:autoSpaceDN/>
        <w:bidi w:val="0"/>
        <w:adjustRightInd/>
        <w:snapToGrid/>
        <w:spacing w:after="120" w:afterLines="0" w:line="360" w:lineRule="auto"/>
        <w:ind w:firstLine="480" w:firstLineChars="200"/>
        <w:jc w:val="both"/>
        <w:textAlignment w:val="auto"/>
        <w:rPr>
          <w:rFonts w:ascii="Times New Roman" w:hAnsi="宋体" w:eastAsia="宋体" w:cs="Times New Roman"/>
          <w:bCs/>
          <w:color w:val="auto"/>
          <w:kern w:val="2"/>
          <w:sz w:val="21"/>
          <w:szCs w:val="21"/>
          <w:highlight w:val="none"/>
          <w:lang w:val="en-US" w:eastAsia="zh-CN" w:bidi="ar-SA"/>
        </w:rPr>
      </w:pPr>
      <w:r>
        <w:rPr>
          <w:rFonts w:hint="eastAsia" w:ascii="宋体" w:hAnsi="宋体" w:eastAsia="宋体" w:cs="宋体"/>
          <w:color w:val="auto"/>
          <w:kern w:val="2"/>
          <w:sz w:val="24"/>
          <w:szCs w:val="24"/>
          <w:highlight w:val="none"/>
          <w:lang w:val="en-US" w:eastAsia="zh-CN" w:bidi="ar-SA"/>
        </w:rPr>
        <w:t>3、如</w:t>
      </w:r>
      <w:r>
        <w:rPr>
          <w:rFonts w:hint="eastAsia" w:hAnsi="宋体" w:cs="宋体"/>
          <w:color w:val="auto"/>
          <w:kern w:val="2"/>
          <w:sz w:val="24"/>
          <w:szCs w:val="24"/>
          <w:highlight w:val="none"/>
          <w:lang w:val="en-US" w:eastAsia="zh-CN" w:bidi="ar-SA"/>
        </w:rPr>
        <w:t>特殊原因</w:t>
      </w:r>
      <w:r>
        <w:rPr>
          <w:rFonts w:hint="eastAsia" w:ascii="宋体" w:hAnsi="宋体" w:eastAsia="宋体" w:cs="宋体"/>
          <w:color w:val="auto"/>
          <w:kern w:val="2"/>
          <w:sz w:val="24"/>
          <w:szCs w:val="24"/>
          <w:highlight w:val="none"/>
          <w:lang w:val="en-US" w:eastAsia="zh-CN" w:bidi="ar-SA"/>
        </w:rPr>
        <w:t>等影响合同结算和付款时间，由采购人和成交供应商双方协商解决。</w:t>
      </w:r>
    </w:p>
    <w:p>
      <w:pPr>
        <w:pStyle w:val="2"/>
        <w:rPr>
          <w:rFonts w:hint="eastAsia" w:ascii="宋体" w:hAnsi="宋体" w:eastAsia="宋体" w:cs="宋体"/>
          <w:b/>
          <w:bCs/>
          <w:szCs w:val="24"/>
          <w:lang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pPr>
        <w:spacing w:line="360" w:lineRule="auto"/>
        <w:ind w:firstLine="723" w:firstLineChars="200"/>
        <w:jc w:val="center"/>
        <w:outlineLvl w:val="0"/>
        <w:rPr>
          <w:rFonts w:hint="eastAsia" w:ascii="宋体" w:hAnsi="宋体" w:eastAsia="宋体" w:cs="宋体"/>
          <w:color w:val="auto"/>
          <w:highlight w:val="none"/>
        </w:rPr>
      </w:pPr>
      <w:bookmarkStart w:id="114" w:name="_Toc24161"/>
      <w:bookmarkStart w:id="115" w:name="_Toc14775_WPSOffice_Level1"/>
      <w:bookmarkStart w:id="116" w:name="_Toc1075"/>
      <w:bookmarkStart w:id="117" w:name="_Toc11078_WPSOffice_Level1"/>
      <w:r>
        <w:rPr>
          <w:rFonts w:hint="eastAsia" w:ascii="宋体" w:hAnsi="宋体" w:eastAsia="宋体" w:cs="宋体"/>
          <w:b/>
          <w:color w:val="auto"/>
          <w:kern w:val="2"/>
          <w:sz w:val="36"/>
          <w:szCs w:val="36"/>
          <w:highlight w:val="none"/>
        </w:rPr>
        <w:t>第五章  评审方法</w:t>
      </w:r>
      <w:bookmarkEnd w:id="98"/>
      <w:bookmarkEnd w:id="99"/>
      <w:bookmarkEnd w:id="100"/>
      <w:bookmarkEnd w:id="101"/>
      <w:bookmarkEnd w:id="102"/>
      <w:bookmarkEnd w:id="103"/>
      <w:bookmarkEnd w:id="104"/>
      <w:bookmarkEnd w:id="105"/>
      <w:bookmarkEnd w:id="106"/>
      <w:bookmarkEnd w:id="114"/>
      <w:bookmarkEnd w:id="115"/>
      <w:bookmarkEnd w:id="116"/>
      <w:bookmarkEnd w:id="117"/>
    </w:p>
    <w:bookmarkEnd w:id="46"/>
    <w:bookmarkEnd w:id="107"/>
    <w:bookmarkEnd w:id="108"/>
    <w:bookmarkEnd w:id="109"/>
    <w:bookmarkEnd w:id="110"/>
    <w:bookmarkEnd w:id="111"/>
    <w:bookmarkEnd w:id="112"/>
    <w:bookmarkEnd w:id="113"/>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1"/>
        <w:rPr>
          <w:rFonts w:hint="eastAsia" w:ascii="宋体" w:hAnsi="宋体" w:eastAsia="宋体" w:cs="宋体"/>
          <w:b/>
          <w:color w:val="auto"/>
          <w:sz w:val="24"/>
          <w:szCs w:val="24"/>
          <w:highlight w:val="none"/>
          <w:lang w:eastAsia="zh-CN"/>
        </w:rPr>
      </w:pPr>
      <w:bookmarkStart w:id="118" w:name="_Toc5084"/>
      <w:bookmarkStart w:id="119" w:name="_Toc403077646"/>
      <w:bookmarkStart w:id="120" w:name="_Toc6333"/>
      <w:bookmarkStart w:id="121" w:name="_Toc363474025"/>
      <w:bookmarkStart w:id="122" w:name="_Toc11187"/>
      <w:r>
        <w:rPr>
          <w:rFonts w:hint="eastAsia" w:ascii="宋体" w:hAnsi="宋体" w:eastAsia="宋体" w:cs="宋体"/>
          <w:b/>
          <w:color w:val="auto"/>
          <w:sz w:val="24"/>
          <w:szCs w:val="24"/>
          <w:highlight w:val="none"/>
          <w:lang w:eastAsia="zh-CN"/>
        </w:rPr>
        <w:t>一、评审方法</w:t>
      </w:r>
    </w:p>
    <w:p>
      <w:pPr>
        <w:keepNext w:val="0"/>
        <w:keepLines w:val="0"/>
        <w:pageBreakBefore w:val="0"/>
        <w:widowControl w:val="0"/>
        <w:kinsoku/>
        <w:wordWrap/>
        <w:overflowPunct/>
        <w:topLinePunct w:val="0"/>
        <w:autoSpaceDE/>
        <w:autoSpaceDN/>
        <w:bidi w:val="0"/>
        <w:spacing w:line="460" w:lineRule="exact"/>
        <w:ind w:firstLine="520" w:firstLineChars="217"/>
        <w:textAlignment w:val="auto"/>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w:t>按照《中华人民共和国政府采购法》及实施条例和关于印发《政府采购竞争性磋商采购方式管理暂行办法》的通知（财库【2014】214号）</w:t>
      </w:r>
      <w:r>
        <w:rPr>
          <w:rFonts w:hint="eastAsia" w:ascii="宋体" w:hAnsi="宋体" w:eastAsia="宋体" w:cs="宋体"/>
          <w:color w:val="auto"/>
          <w:spacing w:val="4"/>
          <w:sz w:val="2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1"/>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二、评审标准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72" w:firstLineChars="196"/>
        <w:textAlignment w:val="auto"/>
        <w:outlineLvl w:val="9"/>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2.1</w:t>
      </w:r>
      <w:r>
        <w:rPr>
          <w:rFonts w:hint="eastAsia" w:ascii="宋体" w:hAnsi="宋体" w:eastAsia="宋体" w:cs="宋体"/>
          <w:b/>
          <w:color w:val="auto"/>
          <w:sz w:val="24"/>
          <w:szCs w:val="24"/>
          <w:highlight w:val="none"/>
          <w:lang w:eastAsia="zh-CN"/>
        </w:rPr>
        <w:t>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70" w:firstLineChars="196"/>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z w:val="24"/>
          <w:szCs w:val="24"/>
          <w:highlight w:val="none"/>
        </w:rPr>
        <w:t>2.1</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资格性审查</w:t>
      </w:r>
      <w:r>
        <w:rPr>
          <w:rFonts w:hint="eastAsia" w:ascii="宋体" w:hAnsi="宋体" w:eastAsia="宋体" w:cs="宋体"/>
          <w:b w:val="0"/>
          <w:bCs w:val="0"/>
          <w:color w:val="auto"/>
          <w:sz w:val="24"/>
          <w:szCs w:val="24"/>
          <w:highlight w:val="none"/>
          <w:lang w:eastAsia="zh-CN"/>
        </w:rPr>
        <w:t>标准：见附件</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70" w:firstLineChars="196"/>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2符合性审查</w:t>
      </w:r>
      <w:r>
        <w:rPr>
          <w:rFonts w:hint="eastAsia" w:ascii="宋体" w:hAnsi="宋体" w:eastAsia="宋体" w:cs="宋体"/>
          <w:b w:val="0"/>
          <w:bCs w:val="0"/>
          <w:color w:val="auto"/>
          <w:sz w:val="24"/>
          <w:szCs w:val="24"/>
          <w:highlight w:val="none"/>
          <w:lang w:eastAsia="zh-CN"/>
        </w:rPr>
        <w:t>标准：见附件</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72" w:firstLineChars="196"/>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2.2分值构成与评分标准</w:t>
      </w:r>
    </w:p>
    <w:p>
      <w:pPr>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70" w:firstLineChars="196"/>
        <w:textAlignment w:val="auto"/>
        <w:outlineLvl w:val="9"/>
        <w:rPr>
          <w:rFonts w:hint="eastAsia" w:ascii="宋体" w:hAnsi="宋体" w:eastAsia="宋体" w:cs="宋体"/>
          <w:b/>
          <w:color w:val="auto"/>
          <w:spacing w:val="4"/>
          <w:sz w:val="24"/>
          <w:szCs w:val="24"/>
          <w:highlight w:val="none"/>
        </w:rPr>
      </w:pPr>
      <w:r>
        <w:rPr>
          <w:rFonts w:hint="eastAsia" w:ascii="宋体" w:hAnsi="宋体" w:eastAsia="宋体" w:cs="宋体"/>
          <w:b w:val="0"/>
          <w:bCs/>
          <w:color w:val="auto"/>
          <w:sz w:val="24"/>
          <w:szCs w:val="24"/>
          <w:highlight w:val="none"/>
          <w:lang w:val="en-US" w:eastAsia="zh-CN"/>
        </w:rPr>
        <w:t>2.2.1 分值构成：见附件2评标因素及权重分值表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1"/>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三、评审程序</w:t>
      </w:r>
    </w:p>
    <w:p>
      <w:pPr>
        <w:pStyle w:val="17"/>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96"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按照竞争性磋商响应文件初审、澄清有关问题、分别磋商、二次报价、比较与评审、推荐成交候选</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名单。在上一步评审中被认定为无效磋商者，不进入下一步的评审。</w:t>
      </w:r>
    </w:p>
    <w:p>
      <w:pPr>
        <w:pStyle w:val="17"/>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98"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1、对磋商响应文件的初审</w:t>
      </w:r>
    </w:p>
    <w:p>
      <w:pPr>
        <w:pStyle w:val="17"/>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96"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1.1资格性审查：磋商小组将依据本章第 2.1.1 项规定的评审标准对磋商响应文件进行资格性审查。有一项不</w:t>
      </w:r>
      <w:r>
        <w:rPr>
          <w:rFonts w:hint="eastAsia" w:ascii="宋体" w:hAnsi="宋体" w:eastAsia="宋体" w:cs="宋体"/>
          <w:color w:val="auto"/>
          <w:sz w:val="24"/>
          <w:szCs w:val="24"/>
          <w:highlight w:val="none"/>
        </w:rPr>
        <w:t>符合评审标准的，将被视为未实质性响应</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，其磋商响应文件将按无效文件处理</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spacing w:line="460" w:lineRule="exact"/>
        <w:ind w:right="0" w:rightChars="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.2符合性审查</w:t>
      </w:r>
      <w:r>
        <w:rPr>
          <w:rFonts w:hint="eastAsia" w:ascii="宋体" w:hAnsi="宋体" w:eastAsia="宋体" w:cs="宋体"/>
          <w:b w:val="0"/>
          <w:bCs w:val="0"/>
          <w:color w:val="auto"/>
          <w:sz w:val="24"/>
          <w:szCs w:val="24"/>
          <w:highlight w:val="none"/>
          <w:lang w:eastAsia="zh-CN"/>
        </w:rPr>
        <w:t>：磋商小组</w:t>
      </w:r>
      <w:r>
        <w:rPr>
          <w:rFonts w:hint="eastAsia" w:ascii="宋体" w:hAnsi="宋体" w:eastAsia="宋体" w:cs="宋体"/>
          <w:b w:val="0"/>
          <w:bCs w:val="0"/>
          <w:color w:val="auto"/>
          <w:sz w:val="24"/>
          <w:szCs w:val="24"/>
          <w:highlight w:val="none"/>
        </w:rPr>
        <w:t>根据本章第 2.1.2 项规定的评审标准对</w:t>
      </w:r>
      <w:r>
        <w:rPr>
          <w:rFonts w:hint="eastAsia" w:ascii="宋体" w:hAnsi="宋体" w:eastAsia="宋体" w:cs="宋体"/>
          <w:b w:val="0"/>
          <w:bCs w:val="0"/>
          <w:color w:val="auto"/>
          <w:sz w:val="24"/>
          <w:szCs w:val="24"/>
          <w:highlight w:val="none"/>
          <w:lang w:eastAsia="zh-CN"/>
        </w:rPr>
        <w:t>磋商响应文件</w:t>
      </w:r>
      <w:r>
        <w:rPr>
          <w:rFonts w:hint="eastAsia" w:ascii="宋体" w:hAnsi="宋体" w:eastAsia="宋体" w:cs="宋体"/>
          <w:b w:val="0"/>
          <w:bCs w:val="0"/>
          <w:color w:val="auto"/>
          <w:sz w:val="24"/>
          <w:szCs w:val="24"/>
          <w:highlight w:val="none"/>
        </w:rPr>
        <w:t>进行符合性评审。有一项不符合评审标准的，将被视为未实质性响应磋商文件，其磋商响应文件将按无效文件处理。</w:t>
      </w:r>
    </w:p>
    <w:p>
      <w:pPr>
        <w:keepNext w:val="0"/>
        <w:keepLines w:val="0"/>
        <w:pageBreakBefore w:val="0"/>
        <w:widowControl w:val="0"/>
        <w:kinsoku/>
        <w:wordWrap/>
        <w:overflowPunct/>
        <w:topLinePunct w:val="0"/>
        <w:autoSpaceDE/>
        <w:autoSpaceDN/>
        <w:bidi w:val="0"/>
        <w:spacing w:line="460" w:lineRule="exact"/>
        <w:ind w:right="0" w:rightChars="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在资格性审查</w:t>
      </w:r>
      <w:r>
        <w:rPr>
          <w:rFonts w:hint="eastAsia" w:ascii="宋体" w:hAnsi="宋体" w:eastAsia="宋体" w:cs="宋体"/>
          <w:b w:val="0"/>
          <w:bCs w:val="0"/>
          <w:color w:val="auto"/>
          <w:sz w:val="24"/>
          <w:szCs w:val="24"/>
          <w:highlight w:val="none"/>
          <w:lang w:eastAsia="zh-CN"/>
        </w:rPr>
        <w:t>阶</w:t>
      </w:r>
      <w:r>
        <w:rPr>
          <w:rFonts w:hint="eastAsia" w:ascii="宋体" w:hAnsi="宋体" w:eastAsia="宋体" w:cs="宋体"/>
          <w:b w:val="0"/>
          <w:bCs w:val="0"/>
          <w:color w:val="auto"/>
          <w:sz w:val="24"/>
          <w:szCs w:val="24"/>
          <w:highlight w:val="none"/>
        </w:rPr>
        <w:t>段，不符合</w:t>
      </w:r>
      <w:r>
        <w:rPr>
          <w:rFonts w:hint="eastAsia" w:ascii="宋体" w:hAnsi="宋体" w:eastAsia="宋体" w:cs="宋体"/>
          <w:b w:val="0"/>
          <w:bCs w:val="0"/>
          <w:color w:val="auto"/>
          <w:sz w:val="24"/>
          <w:szCs w:val="24"/>
          <w:highlight w:val="none"/>
          <w:lang w:eastAsia="zh-CN"/>
        </w:rPr>
        <w:t>磋商文件</w:t>
      </w:r>
      <w:r>
        <w:rPr>
          <w:rFonts w:hint="eastAsia" w:ascii="宋体" w:hAnsi="宋体" w:eastAsia="宋体" w:cs="宋体"/>
          <w:b w:val="0"/>
          <w:bCs w:val="0"/>
          <w:color w:val="auto"/>
          <w:sz w:val="24"/>
          <w:szCs w:val="24"/>
          <w:highlight w:val="none"/>
        </w:rPr>
        <w:t>要求的，不得进入符合性审查，在符合性审查时未通过的，不得进入后续评审环节。</w:t>
      </w:r>
    </w:p>
    <w:p>
      <w:pPr>
        <w:keepNext w:val="0"/>
        <w:keepLines w:val="0"/>
        <w:pageBreakBefore w:val="0"/>
        <w:widowControl w:val="0"/>
        <w:kinsoku/>
        <w:wordWrap/>
        <w:overflowPunct/>
        <w:topLinePunct w:val="0"/>
        <w:autoSpaceDE/>
        <w:autoSpaceDN/>
        <w:bidi w:val="0"/>
        <w:spacing w:line="460" w:lineRule="exact"/>
        <w:ind w:right="0" w:rightChars="0" w:firstLine="480" w:firstLineChars="200"/>
        <w:jc w:val="both"/>
        <w:textAlignment w:val="auto"/>
        <w:outlineLvl w:val="9"/>
        <w:rPr>
          <w:rFonts w:hint="eastAsia" w:ascii="宋体" w:hAnsi="宋体" w:eastAsia="宋体" w:cs="宋体"/>
          <w:b/>
          <w:bCs/>
          <w:color w:val="auto"/>
          <w:spacing w:val="4"/>
          <w:kern w:val="2"/>
          <w:sz w:val="24"/>
          <w:szCs w:val="24"/>
          <w:highlight w:val="none"/>
          <w:lang w:val="en-US" w:eastAsia="zh-CN" w:bidi="ar-SA"/>
        </w:rPr>
      </w:pPr>
      <w:r>
        <w:rPr>
          <w:rFonts w:hint="eastAsia" w:hAnsi="宋体" w:eastAsia="宋体" w:cs="宋体"/>
          <w:b w:val="0"/>
          <w:bCs w:val="0"/>
          <w:color w:val="auto"/>
          <w:sz w:val="24"/>
          <w:szCs w:val="24"/>
          <w:highlight w:val="none"/>
          <w:lang w:val="en-US" w:eastAsia="zh-CN"/>
        </w:rPr>
        <w:t>2、</w:t>
      </w:r>
      <w:r>
        <w:rPr>
          <w:rFonts w:hint="eastAsia" w:ascii="宋体" w:hAnsi="宋体" w:eastAsia="宋体" w:cs="宋体"/>
          <w:b/>
          <w:bCs/>
          <w:color w:val="auto"/>
          <w:spacing w:val="4"/>
          <w:kern w:val="2"/>
          <w:sz w:val="24"/>
          <w:szCs w:val="24"/>
          <w:highlight w:val="none"/>
          <w:lang w:val="en-US" w:eastAsia="zh-CN" w:bidi="ar-SA"/>
        </w:rPr>
        <w:t>磋商响应文件的澄清</w:t>
      </w:r>
    </w:p>
    <w:p>
      <w:pPr>
        <w:keepNext w:val="0"/>
        <w:keepLines w:val="0"/>
        <w:pageBreakBefore w:val="0"/>
        <w:widowControl w:val="0"/>
        <w:kinsoku/>
        <w:wordWrap/>
        <w:overflowPunct/>
        <w:topLinePunct w:val="0"/>
        <w:autoSpaceDE/>
        <w:autoSpaceDN/>
        <w:bidi w:val="0"/>
        <w:spacing w:line="460" w:lineRule="exact"/>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w:t>
      </w:r>
      <w:r>
        <w:rPr>
          <w:rFonts w:hint="eastAsia" w:ascii="宋体" w:hAnsi="宋体" w:eastAsia="宋体" w:cs="宋体"/>
          <w:b w:val="0"/>
          <w:bCs w:val="0"/>
          <w:color w:val="auto"/>
          <w:sz w:val="24"/>
          <w:szCs w:val="24"/>
          <w:highlight w:val="none"/>
          <w:lang w:eastAsia="zh-CN"/>
        </w:rPr>
        <w:t>磋商小组发现供应商的报价明显低于其他通过符合性审查的供应商的报价，有可能影响产品质量或者不能诚信履约的，</w:t>
      </w:r>
      <w:r>
        <w:rPr>
          <w:rFonts w:hint="eastAsia" w:ascii="宋体" w:hAnsi="宋体" w:eastAsia="宋体" w:cs="宋体"/>
          <w:b w:val="0"/>
          <w:bCs w:val="0"/>
          <w:color w:val="auto"/>
          <w:sz w:val="24"/>
          <w:szCs w:val="24"/>
          <w:highlight w:val="none"/>
          <w:lang w:val="en-US" w:eastAsia="zh-CN"/>
        </w:rPr>
        <w:t>应当要求其在磋商现场合理的时间内做出书面说明，必要时提交相关证明材料。供应商不能证明其报价合理性的，磋商小组应当将其作为无效响应处理。</w:t>
      </w:r>
    </w:p>
    <w:p>
      <w:pPr>
        <w:keepNext w:val="0"/>
        <w:keepLines w:val="0"/>
        <w:pageBreakBefore w:val="0"/>
        <w:widowControl w:val="0"/>
        <w:kinsoku/>
        <w:wordWrap/>
        <w:overflowPunct/>
        <w:topLinePunct w:val="0"/>
        <w:autoSpaceDE/>
        <w:autoSpaceDN/>
        <w:bidi w:val="0"/>
        <w:spacing w:line="460" w:lineRule="exact"/>
        <w:ind w:right="0" w:rightChars="0" w:firstLine="480" w:firstLineChars="200"/>
        <w:jc w:val="both"/>
        <w:textAlignment w:val="auto"/>
        <w:outlineLvl w:val="9"/>
        <w:rPr>
          <w:rFonts w:hint="eastAsia" w:ascii="宋体" w:hAnsi="宋体" w:eastAsia="宋体" w:cs="宋体"/>
          <w:b w:val="0"/>
          <w:bCs/>
          <w:color w:val="auto"/>
          <w:spacing w:val="4"/>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.2有效的书面澄清材料，是</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文件的补充材料，成为</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文件的组成部分。</w:t>
      </w:r>
    </w:p>
    <w:p>
      <w:pPr>
        <w:keepNext w:val="0"/>
        <w:keepLines w:val="0"/>
        <w:pageBreakBefore w:val="0"/>
        <w:widowControl w:val="0"/>
        <w:numPr>
          <w:ilvl w:val="0"/>
          <w:numId w:val="4"/>
        </w:numPr>
        <w:kinsoku/>
        <w:wordWrap/>
        <w:overflowPunct/>
        <w:topLinePunct w:val="0"/>
        <w:autoSpaceDE/>
        <w:autoSpaceDN/>
        <w:bidi w:val="0"/>
        <w:adjustRightInd/>
        <w:snapToGrid/>
        <w:spacing w:line="460" w:lineRule="exact"/>
        <w:ind w:left="0" w:leftChars="0" w:right="0" w:rightChars="0" w:firstLine="482" w:firstLineChars="200"/>
        <w:textAlignment w:val="auto"/>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磋商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内容，需经采购人代表确认。</w:t>
      </w:r>
    </w:p>
    <w:p>
      <w:pPr>
        <w:spacing w:line="360" w:lineRule="auto"/>
        <w:ind w:firstLine="482" w:firstLineChars="200"/>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磋商过程中的实质性变动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对竞争性磋商文件做出的实质性变动是磋商文件的有效组成部分，磋商小组应当及时以书面形式通知所有参加磋商的供应商。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80" w:leftChars="0" w:right="0" w:rightChars="0"/>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综合评审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对于经初审合格的所有供应商，由磋商小组各成员依据磋商响应文件和最终报价，按照《评标因素及权重分值表》规定的内容独立进行综合评价、比较打分，然后汇总每个供应商的得分，从高到低依次排序，推荐</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w:t>
      </w:r>
    </w:p>
    <w:p>
      <w:pPr>
        <w:spacing w:line="360" w:lineRule="auto"/>
        <w:ind w:firstLine="482" w:firstLineChars="200"/>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6、推荐</w:t>
      </w:r>
      <w:r>
        <w:rPr>
          <w:rFonts w:hint="eastAsia" w:ascii="宋体" w:hAnsi="宋体" w:eastAsia="宋体" w:cs="宋体"/>
          <w:b/>
          <w:bCs/>
          <w:color w:val="auto"/>
          <w:sz w:val="24"/>
          <w:szCs w:val="24"/>
          <w:highlight w:val="none"/>
        </w:rPr>
        <w:t>成交候选人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磋商小组完成评审后，向采购人提出书面评审，并推荐</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名成交候选人，标明排列顺序。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1"/>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四、磋商小组当履行下列义务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遵纪守法，客观、公正、廉洁地履行职责；</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根据采购文件的规定独立进行评审，对个人的评审意见承担法律责任；</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参与评审报告的起草；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配合采购人、采购代理机构答复供应商提出的质疑；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配合财政部门的投诉处理和监督检查工作。</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outlineLvl w:val="1"/>
        <w:rPr>
          <w:rFonts w:hint="eastAsia" w:ascii="宋体" w:hAnsi="宋体" w:eastAsia="宋体" w:cs="宋体"/>
          <w:b/>
          <w:bCs/>
          <w:color w:val="auto"/>
          <w:spacing w:val="4"/>
          <w:sz w:val="24"/>
          <w:szCs w:val="24"/>
          <w:highlight w:val="none"/>
          <w:lang w:val="en-US" w:eastAsia="zh-CN"/>
        </w:rPr>
      </w:pPr>
      <w:r>
        <w:rPr>
          <w:rFonts w:hint="eastAsia" w:ascii="宋体" w:hAnsi="宋体" w:eastAsia="宋体" w:cs="宋体"/>
          <w:b/>
          <w:color w:val="auto"/>
          <w:sz w:val="24"/>
          <w:szCs w:val="24"/>
          <w:highlight w:val="none"/>
          <w:lang w:eastAsia="zh-CN"/>
        </w:rPr>
        <w:t>五、</w:t>
      </w:r>
      <w:r>
        <w:rPr>
          <w:rFonts w:hint="eastAsia" w:ascii="宋体" w:hAnsi="宋体" w:eastAsia="宋体" w:cs="宋体"/>
          <w:b/>
          <w:bCs/>
          <w:color w:val="auto"/>
          <w:spacing w:val="4"/>
          <w:sz w:val="24"/>
          <w:szCs w:val="24"/>
          <w:highlight w:val="none"/>
          <w:lang w:val="en-US" w:eastAsia="zh-CN"/>
        </w:rPr>
        <w:t>无效响应文件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出现下列情形之一的，磋商响应文件无效：</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没有按照竞争性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文件要求提供的竞争性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响应文件构成有重大缺项、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响应文件格式不符合竞争性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w:t>
      </w:r>
    </w:p>
    <w:p>
      <w:pPr>
        <w:keepNext w:val="0"/>
        <w:keepLines w:val="0"/>
        <w:pageBreakBefore w:val="0"/>
        <w:widowControl w:val="0"/>
        <w:kinsoku w:val="0"/>
        <w:wordWrap/>
        <w:overflowPunct/>
        <w:topLinePunct w:val="0"/>
        <w:autoSpaceDE/>
        <w:autoSpaceDN/>
        <w:bidi w:val="0"/>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响应文件未按竞争性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文件要求密封、签署、盖章的；</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资格证明文件不全的或无效的，或不符合国家规定的；</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pacing w:val="-6"/>
          <w:sz w:val="24"/>
          <w:szCs w:val="24"/>
          <w:highlight w:val="none"/>
        </w:rPr>
        <w:t>无</w:t>
      </w:r>
      <w:r>
        <w:rPr>
          <w:rFonts w:hint="eastAsia" w:ascii="宋体" w:hAnsi="宋体" w:eastAsia="宋体" w:cs="宋体"/>
          <w:color w:val="auto"/>
          <w:spacing w:val="-6"/>
          <w:sz w:val="24"/>
          <w:szCs w:val="24"/>
          <w:highlight w:val="none"/>
          <w:lang w:eastAsia="zh-CN"/>
        </w:rPr>
        <w:t>磋商</w:t>
      </w:r>
      <w:r>
        <w:rPr>
          <w:rFonts w:hint="eastAsia" w:ascii="宋体" w:hAnsi="宋体" w:eastAsia="宋体" w:cs="宋体"/>
          <w:color w:val="auto"/>
          <w:spacing w:val="-6"/>
          <w:sz w:val="24"/>
          <w:szCs w:val="24"/>
          <w:highlight w:val="none"/>
        </w:rPr>
        <w:t>有效期或有效期达不到竞争性</w:t>
      </w:r>
      <w:r>
        <w:rPr>
          <w:rFonts w:hint="eastAsia" w:ascii="宋体" w:hAnsi="宋体" w:eastAsia="宋体" w:cs="宋体"/>
          <w:color w:val="auto"/>
          <w:spacing w:val="-6"/>
          <w:sz w:val="24"/>
          <w:szCs w:val="24"/>
          <w:highlight w:val="none"/>
          <w:lang w:eastAsia="zh-CN"/>
        </w:rPr>
        <w:t>磋商</w:t>
      </w:r>
      <w:r>
        <w:rPr>
          <w:rFonts w:hint="eastAsia" w:ascii="宋体" w:hAnsi="宋体" w:eastAsia="宋体" w:cs="宋体"/>
          <w:color w:val="auto"/>
          <w:spacing w:val="-6"/>
          <w:sz w:val="24"/>
          <w:szCs w:val="24"/>
          <w:highlight w:val="none"/>
        </w:rPr>
        <w:t>文件要求的</w:t>
      </w:r>
      <w:r>
        <w:rPr>
          <w:rFonts w:hint="eastAsia" w:ascii="宋体" w:hAnsi="宋体" w:eastAsia="宋体" w:cs="宋体"/>
          <w:color w:val="auto"/>
          <w:sz w:val="24"/>
          <w:szCs w:val="24"/>
          <w:highlight w:val="none"/>
        </w:rPr>
        <w:t>；</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有串通</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、以他人名义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、行贿、提供虚假证明（包括第三方提供的虚假证明），开具虚假资质，出现虚假应答的，除按无效文件处理外，还将按照政府采购的有关规定进行处罚；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总报价</w:t>
      </w:r>
      <w:r>
        <w:rPr>
          <w:rFonts w:hint="eastAsia" w:ascii="宋体" w:hAnsi="宋体" w:eastAsia="宋体" w:cs="宋体"/>
          <w:color w:val="auto"/>
          <w:sz w:val="24"/>
          <w:szCs w:val="24"/>
          <w:highlight w:val="none"/>
          <w:lang w:eastAsia="zh-CN"/>
        </w:rPr>
        <w:t>超过</w:t>
      </w:r>
      <w:r>
        <w:rPr>
          <w:rFonts w:hint="eastAsia" w:ascii="宋体" w:hAnsi="宋体" w:eastAsia="宋体" w:cs="宋体"/>
          <w:color w:val="auto"/>
          <w:sz w:val="24"/>
          <w:szCs w:val="24"/>
          <w:highlight w:val="none"/>
        </w:rPr>
        <w:t>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文件公布的采购预算的。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文件含有采购人不能接受的附加条件的</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val="en-US" w:eastAsia="zh-CN"/>
        </w:rPr>
        <w:t>8、法律、法规规定的其他无效情形</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left"/>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rPr>
        <w:t>、政策性扣减</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政策性扣减范围</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6.1需要落实的政府采购政策（如果供应商符合相关政府采购优惠政策的，将按以下各标准执行，优惠政策只可享受一条，不累计执行）</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企业满足以下文件要求中任意一条（及以上），其</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rPr>
        <w:t>价格给予</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%的扣除，用扣除后价格参与评审。（须提供政策要求的相关证明资料，如存在虚假应标，将取消其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资格。）</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6.1.1.1中小企业落实政府采购政策</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w:t>
      </w:r>
      <w:r>
        <w:rPr>
          <w:rFonts w:hint="eastAsia" w:eastAsia="宋体" w:cs="宋体"/>
          <w:color w:val="auto"/>
          <w:sz w:val="24"/>
          <w:szCs w:val="24"/>
          <w:highlight w:val="none"/>
          <w:lang w:val="en-US" w:eastAsia="zh-CN"/>
        </w:rPr>
        <w:t>1</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采购活动执行《政府采购促进中小企业发展管理办法》（财库〔2020〕46号）的规定。</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6.1.1.2监狱和戒毒企业应符合《财政部司法部关于政府采购支持监狱企业发展有关问题的通知》--财库〔2014〕68号，并提供由省级以上监狱管理局、戒毒管理局(含新疆生产建设兵团)出具的属于监狱企业的证明。</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6.1.1.3符合条件的残疾人福利性单位在参加政府采购活动时，应当提供</w:t>
      </w:r>
      <w:bookmarkStart w:id="123" w:name="sendNo"/>
      <w:bookmarkEnd w:id="123"/>
      <w:r>
        <w:rPr>
          <w:rFonts w:hint="eastAsia" w:ascii="宋体" w:hAnsi="宋体" w:eastAsia="宋体" w:cs="宋体"/>
          <w:color w:val="auto"/>
          <w:sz w:val="24"/>
          <w:szCs w:val="24"/>
          <w:highlight w:val="none"/>
        </w:rPr>
        <w:t xml:space="preserve">财库〔2017〕141号文规定的《残疾人福利性单位声明函》，并对声明的真实性负责。 </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评审过程中，若出现本办法以外的特殊情况时，将暂停评审，有关情况待磋商小组确定后，再行评定。</w:t>
      </w:r>
    </w:p>
    <w:p>
      <w:pPr>
        <w:pStyle w:val="17"/>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七</w:t>
      </w:r>
      <w:r>
        <w:rPr>
          <w:rFonts w:hint="eastAsia" w:ascii="宋体" w:hAnsi="宋体" w:eastAsia="宋体" w:cs="宋体"/>
          <w:b/>
          <w:color w:val="auto"/>
          <w:sz w:val="24"/>
          <w:szCs w:val="24"/>
          <w:highlight w:val="none"/>
        </w:rPr>
        <w:t>、成交：</w:t>
      </w:r>
    </w:p>
    <w:p>
      <w:pPr>
        <w:keepNext w:val="0"/>
        <w:keepLines w:val="0"/>
        <w:pageBreakBefore w:val="0"/>
        <w:widowControl w:val="0"/>
        <w:kinsoku/>
        <w:wordWrap/>
        <w:overflowPunct/>
        <w:topLinePunct w:val="0"/>
        <w:autoSpaceDE/>
        <w:autoSpaceDN/>
        <w:bidi w:val="0"/>
        <w:spacing w:line="460" w:lineRule="exact"/>
        <w:ind w:firstLine="496" w:firstLineChars="200"/>
        <w:textAlignment w:val="auto"/>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1、磋商结果报告由磋商小组全体成员签字确认。</w:t>
      </w:r>
    </w:p>
    <w:p>
      <w:pPr>
        <w:keepNext w:val="0"/>
        <w:keepLines w:val="0"/>
        <w:pageBreakBefore w:val="0"/>
        <w:widowControl w:val="0"/>
        <w:kinsoku/>
        <w:wordWrap/>
        <w:overflowPunct/>
        <w:topLinePunct w:val="0"/>
        <w:autoSpaceDE/>
        <w:autoSpaceDN/>
        <w:bidi w:val="0"/>
        <w:spacing w:line="460" w:lineRule="exact"/>
        <w:ind w:firstLine="496" w:firstLineChars="200"/>
        <w:textAlignment w:val="auto"/>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2、采购人根据磋商结果报告中推荐的成交候选人确定成交供应商，以复函通知采购代理机构。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b/>
          <w:bCs/>
          <w:color w:val="auto"/>
          <w:spacing w:val="4"/>
          <w:kern w:val="2"/>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rPr>
        <w:t>八、</w:t>
      </w:r>
      <w:r>
        <w:rPr>
          <w:rFonts w:hint="eastAsia" w:ascii="宋体" w:hAnsi="宋体" w:eastAsia="宋体" w:cs="宋体"/>
          <w:b/>
          <w:bCs/>
          <w:color w:val="auto"/>
          <w:spacing w:val="4"/>
          <w:kern w:val="2"/>
          <w:sz w:val="24"/>
          <w:szCs w:val="24"/>
          <w:highlight w:val="none"/>
          <w:lang w:val="en-US" w:eastAsia="zh-CN" w:bidi="ar-SA"/>
        </w:rPr>
        <w:t>特殊情况的处理</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计算错误将按以下方法更正：</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文件中</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表(</w:t>
      </w:r>
      <w:r>
        <w:rPr>
          <w:rFonts w:hint="eastAsia" w:hAnsi="宋体" w:eastAsia="宋体" w:cs="宋体"/>
          <w:color w:val="auto"/>
          <w:sz w:val="24"/>
          <w:szCs w:val="24"/>
          <w:highlight w:val="none"/>
          <w:lang w:eastAsia="zh-CN"/>
        </w:rPr>
        <w:t>第一次</w:t>
      </w:r>
      <w:r>
        <w:rPr>
          <w:rFonts w:hint="eastAsia" w:ascii="宋体" w:hAnsi="宋体" w:eastAsia="宋体" w:cs="宋体"/>
          <w:color w:val="auto"/>
          <w:sz w:val="24"/>
          <w:szCs w:val="24"/>
          <w:highlight w:val="none"/>
        </w:rPr>
        <w:t>报价)内容与</w:t>
      </w:r>
      <w:r>
        <w:rPr>
          <w:rFonts w:hint="eastAsia" w:ascii="宋体" w:hAnsi="宋体" w:eastAsia="宋体" w:cs="宋体"/>
          <w:color w:val="auto"/>
          <w:sz w:val="24"/>
          <w:szCs w:val="24"/>
          <w:highlight w:val="none"/>
          <w:lang w:eastAsia="zh-CN"/>
        </w:rPr>
        <w:t>磋商响应</w:t>
      </w:r>
      <w:r>
        <w:rPr>
          <w:rFonts w:hint="eastAsia" w:ascii="宋体" w:hAnsi="宋体" w:eastAsia="宋体" w:cs="宋体"/>
          <w:color w:val="auto"/>
          <w:sz w:val="24"/>
          <w:szCs w:val="24"/>
          <w:highlight w:val="none"/>
        </w:rPr>
        <w:t>文件中</w:t>
      </w:r>
      <w:r>
        <w:rPr>
          <w:rFonts w:hint="eastAsia" w:ascii="宋体" w:hAnsi="宋体" w:eastAsia="宋体" w:cs="宋体"/>
          <w:color w:val="auto"/>
          <w:sz w:val="24"/>
          <w:szCs w:val="24"/>
          <w:highlight w:val="none"/>
          <w:lang w:eastAsia="zh-CN"/>
        </w:rPr>
        <w:t>相应内容</w:t>
      </w:r>
      <w:r>
        <w:rPr>
          <w:rFonts w:hint="eastAsia" w:ascii="宋体" w:hAnsi="宋体" w:eastAsia="宋体" w:cs="宋体"/>
          <w:color w:val="auto"/>
          <w:sz w:val="24"/>
          <w:szCs w:val="24"/>
          <w:highlight w:val="none"/>
        </w:rPr>
        <w:t>不一致的，以</w:t>
      </w:r>
      <w:r>
        <w:rPr>
          <w:rFonts w:hint="eastAsia" w:hAnsi="宋体" w:eastAsia="宋体" w:cs="宋体"/>
          <w:color w:val="auto"/>
          <w:sz w:val="24"/>
          <w:szCs w:val="24"/>
          <w:highlight w:val="none"/>
          <w:lang w:eastAsia="zh-CN"/>
        </w:rPr>
        <w:t>报</w:t>
      </w:r>
      <w:r>
        <w:rPr>
          <w:rFonts w:hint="eastAsia" w:ascii="宋体" w:hAnsi="宋体" w:eastAsia="宋体" w:cs="宋体"/>
          <w:color w:val="auto"/>
          <w:sz w:val="24"/>
          <w:szCs w:val="24"/>
          <w:highlight w:val="none"/>
          <w:lang w:eastAsia="zh-CN"/>
        </w:rPr>
        <w:t>价</w:t>
      </w:r>
      <w:r>
        <w:rPr>
          <w:rFonts w:hint="eastAsia" w:ascii="宋体" w:hAnsi="宋体" w:eastAsia="宋体" w:cs="宋体"/>
          <w:color w:val="auto"/>
          <w:sz w:val="24"/>
          <w:szCs w:val="24"/>
          <w:highlight w:val="none"/>
        </w:rPr>
        <w:t>表(</w:t>
      </w:r>
      <w:r>
        <w:rPr>
          <w:rFonts w:hint="eastAsia" w:hAnsi="宋体" w:eastAsia="宋体" w:cs="宋体"/>
          <w:color w:val="auto"/>
          <w:sz w:val="24"/>
          <w:szCs w:val="24"/>
          <w:highlight w:val="none"/>
          <w:lang w:eastAsia="zh-CN"/>
        </w:rPr>
        <w:t>第一次</w:t>
      </w:r>
      <w:r>
        <w:rPr>
          <w:rFonts w:hint="eastAsia" w:ascii="宋体" w:hAnsi="宋体" w:eastAsia="宋体" w:cs="宋体"/>
          <w:color w:val="auto"/>
          <w:sz w:val="24"/>
          <w:szCs w:val="24"/>
          <w:highlight w:val="none"/>
        </w:rPr>
        <w:t>报价)为准。</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2）磋商响应</w:t>
      </w:r>
      <w:r>
        <w:rPr>
          <w:rFonts w:hint="eastAsia" w:ascii="宋体" w:hAnsi="宋体" w:eastAsia="宋体" w:cs="宋体"/>
          <w:color w:val="auto"/>
          <w:sz w:val="24"/>
          <w:szCs w:val="24"/>
          <w:highlight w:val="none"/>
        </w:rPr>
        <w:t>文件的大写金额和小写金额不一致的，以大写金额为准；</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单价金额小数点或者百分比有明显错位的，以报价一览表的总价为准，并修改单价；</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总价金额与按单价汇总金额不一致的，以单价金额计算结果为准。</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按上述修正的顺序和方法调整的报价应对供应商具有约束力。如果供应商不接受修正后的价格，其响应文件将按无效响应处理。</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对于竞争性磋商响应文件中明显的标点符号错误或不构成实质性偏差的不正规、不一致或不规则，采购人可以接受。</w:t>
      </w:r>
    </w:p>
    <w:p>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 w:val="24"/>
          <w:szCs w:val="24"/>
          <w:highlight w:val="none"/>
          <w:lang w:val="en-US" w:eastAsia="zh-CN"/>
        </w:rPr>
        <w:t>3、磋商过程中，若出现本评审方法以外的特殊情况时，将暂停评审，待磋商小组商榷后，再进行评定。</w:t>
      </w:r>
      <w:r>
        <w:rPr>
          <w:rFonts w:hint="eastAsia" w:ascii="宋体" w:hAnsi="宋体" w:eastAsia="宋体" w:cs="宋体"/>
          <w:b/>
          <w:color w:val="auto"/>
          <w:spacing w:val="4"/>
          <w:sz w:val="24"/>
          <w:szCs w:val="24"/>
          <w:highlight w:val="none"/>
        </w:rPr>
        <w:br w:type="page"/>
      </w:r>
      <w:r>
        <w:rPr>
          <w:rStyle w:val="134"/>
          <w:rFonts w:hint="eastAsia" w:ascii="宋体" w:hAnsi="宋体" w:eastAsia="宋体" w:cs="宋体"/>
          <w:color w:val="auto"/>
          <w:highlight w:val="none"/>
          <w:lang w:val="en-US" w:eastAsia="zh-CN"/>
        </w:rPr>
        <w:t>附件1：</w:t>
      </w:r>
    </w:p>
    <w:p>
      <w:pPr>
        <w:pStyle w:val="1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初步审查要素表</w:t>
      </w:r>
    </w:p>
    <w:tbl>
      <w:tblPr>
        <w:tblStyle w:val="20"/>
        <w:tblW w:w="9228" w:type="dxa"/>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600"/>
        <w:gridCol w:w="567"/>
        <w:gridCol w:w="1495"/>
        <w:gridCol w:w="5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632" w:type="dxa"/>
            <w:gridSpan w:val="2"/>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条款号</w:t>
            </w:r>
          </w:p>
        </w:tc>
        <w:tc>
          <w:tcPr>
            <w:tcW w:w="2062" w:type="dxa"/>
            <w:gridSpan w:val="2"/>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评审因素</w:t>
            </w:r>
          </w:p>
        </w:tc>
        <w:tc>
          <w:tcPr>
            <w:tcW w:w="5534" w:type="dxa"/>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032" w:type="dxa"/>
            <w:vMerge w:val="restart"/>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2.1.1</w:t>
            </w:r>
          </w:p>
        </w:tc>
        <w:tc>
          <w:tcPr>
            <w:tcW w:w="600" w:type="dxa"/>
            <w:vMerge w:val="restart"/>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资格评审</w:t>
            </w:r>
          </w:p>
          <w:p>
            <w:pPr>
              <w:tabs>
                <w:tab w:val="left" w:pos="0"/>
              </w:tabs>
              <w:adjustRightInd w:val="0"/>
              <w:snapToGrid w:val="0"/>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标准</w:t>
            </w:r>
          </w:p>
        </w:tc>
        <w:tc>
          <w:tcPr>
            <w:tcW w:w="2062" w:type="dxa"/>
            <w:gridSpan w:val="2"/>
            <w:vMerge w:val="restart"/>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基本资格条件</w:t>
            </w:r>
          </w:p>
        </w:tc>
        <w:tc>
          <w:tcPr>
            <w:tcW w:w="5534" w:type="dxa"/>
            <w:noWrap w:val="0"/>
            <w:vAlign w:val="center"/>
          </w:tcPr>
          <w:p>
            <w:pPr>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cs="宋体"/>
                <w:szCs w:val="24"/>
                <w:lang w:val="en-US" w:eastAsia="zh-CN"/>
              </w:rPr>
              <w:t>1、提供有效合格的具有社会统一信用代码的营业执照，其他组织经营的须提供合法凭证；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5534" w:type="dxa"/>
            <w:noWrap w:val="0"/>
            <w:vAlign w:val="center"/>
          </w:tcPr>
          <w:p>
            <w:pPr>
              <w:numPr>
                <w:ilvl w:val="0"/>
                <w:numId w:val="0"/>
              </w:numPr>
              <w:shd w:val="clear" w:color="auto" w:fill="FFFFFF"/>
              <w:spacing w:before="0" w:after="0" w:line="360" w:lineRule="auto"/>
              <w:textAlignment w:val="baseline"/>
              <w:outlineLvl w:val="9"/>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szCs w:val="24"/>
                <w:lang w:val="en-US" w:eastAsia="zh-CN"/>
              </w:rPr>
              <w:t>2、财务状况报告：提供2021年度经审计的财务报告或开标日期前三个月内其基本存款账户开户银行出具的资信证明及基本存款账户开户许可证（基本账户信息表）；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5534" w:type="dxa"/>
            <w:noWrap w:val="0"/>
            <w:vAlign w:val="center"/>
          </w:tcPr>
          <w:p>
            <w:pPr>
              <w:pStyle w:val="18"/>
              <w:keepNext w:val="0"/>
              <w:keepLines w:val="0"/>
              <w:pageBreakBefore w:val="0"/>
              <w:kinsoku/>
              <w:wordWrap/>
              <w:overflowPunct/>
              <w:topLinePunct w:val="0"/>
              <w:autoSpaceDE/>
              <w:autoSpaceDN/>
              <w:bidi w:val="0"/>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bidi="ar-SA"/>
              </w:rPr>
              <w:t>3、税收缴纳证明：提供2022年1月至今已缴纳的至少一个月的纳税证明，依法免税的单位应提供相关证明材料；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5534" w:type="dxa"/>
            <w:noWrap w:val="0"/>
            <w:vAlign w:val="center"/>
          </w:tcPr>
          <w:p>
            <w:pPr>
              <w:pStyle w:val="18"/>
              <w:keepNext w:val="0"/>
              <w:keepLines w:val="0"/>
              <w:pageBreakBefore w:val="0"/>
              <w:kinsoku/>
              <w:wordWrap/>
              <w:overflowPunct/>
              <w:topLinePunct w:val="0"/>
              <w:autoSpaceDE/>
              <w:autoSpaceDN/>
              <w:bidi w:val="0"/>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Style w:val="23"/>
                <w:rFonts w:hint="eastAsia" w:ascii="宋体" w:hAnsi="宋体" w:eastAsia="宋体" w:cs="宋体"/>
                <w:b w:val="0"/>
                <w:bCs w:val="0"/>
                <w:color w:val="auto"/>
                <w:sz w:val="24"/>
                <w:szCs w:val="24"/>
                <w:highlight w:val="none"/>
                <w:lang w:val="en-US" w:eastAsia="zh-CN"/>
              </w:rPr>
              <w:t>4、社会保障资金缴纳证明：提供</w:t>
            </w:r>
            <w:r>
              <w:rPr>
                <w:rStyle w:val="23"/>
                <w:rFonts w:hint="eastAsia" w:hAnsi="宋体" w:cs="宋体"/>
                <w:b w:val="0"/>
                <w:bCs w:val="0"/>
                <w:color w:val="auto"/>
                <w:sz w:val="24"/>
                <w:szCs w:val="24"/>
                <w:highlight w:val="none"/>
                <w:lang w:val="en-US" w:eastAsia="zh-CN"/>
              </w:rPr>
              <w:t>2022年</w:t>
            </w:r>
            <w:r>
              <w:rPr>
                <w:rStyle w:val="23"/>
                <w:rFonts w:hint="eastAsia" w:ascii="宋体" w:hAnsi="宋体" w:eastAsia="宋体" w:cs="宋体"/>
                <w:b w:val="0"/>
                <w:bCs w:val="0"/>
                <w:color w:val="auto"/>
                <w:sz w:val="24"/>
                <w:szCs w:val="24"/>
                <w:highlight w:val="none"/>
                <w:lang w:val="en-US" w:eastAsia="zh-CN"/>
              </w:rPr>
              <w:t>1月至今已缴存的至少一个月的社会保障资金缴存单据或社保机构开具的社会保险参保缴费情况证明，依法不需要缴纳社会保障资金的单位应提供相关证明材料；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5534" w:type="dxa"/>
            <w:noWrap w:val="0"/>
            <w:vAlign w:val="center"/>
          </w:tcPr>
          <w:p>
            <w:pPr>
              <w:pStyle w:val="18"/>
              <w:keepNext w:val="0"/>
              <w:keepLines w:val="0"/>
              <w:pageBreakBefore w:val="0"/>
              <w:kinsoku/>
              <w:wordWrap/>
              <w:overflowPunct/>
              <w:topLinePunct w:val="0"/>
              <w:autoSpaceDE/>
              <w:autoSpaceDN/>
              <w:bidi w:val="0"/>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bidi="ar-SA"/>
              </w:rPr>
              <w:t>5、具备履行合同所必须的设备和专业技术能力的书面声明;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p>
        </w:tc>
        <w:tc>
          <w:tcPr>
            <w:tcW w:w="5534" w:type="dxa"/>
            <w:noWrap w:val="0"/>
            <w:vAlign w:val="center"/>
          </w:tcPr>
          <w:p>
            <w:pPr>
              <w:pStyle w:val="18"/>
              <w:keepNext w:val="0"/>
              <w:keepLines w:val="0"/>
              <w:pageBreakBefore w:val="0"/>
              <w:kinsoku/>
              <w:wordWrap/>
              <w:overflowPunct/>
              <w:topLinePunct w:val="0"/>
              <w:autoSpaceDE/>
              <w:autoSpaceDN/>
              <w:bidi w:val="0"/>
              <w:spacing w:before="0" w:beforeAutospacing="0" w:after="0" w:afterAutospacing="0" w:line="360" w:lineRule="exact"/>
              <w:textAlignment w:val="auto"/>
              <w:rPr>
                <w:rFonts w:hint="eastAsia" w:ascii="宋体" w:hAnsi="宋体" w:eastAsia="宋体" w:cs="宋体"/>
                <w:color w:val="auto"/>
                <w:sz w:val="24"/>
                <w:szCs w:val="24"/>
                <w:highlight w:val="none"/>
                <w:lang w:val="en-US" w:eastAsia="zh-CN" w:bidi="ar-SA"/>
              </w:rPr>
            </w:pPr>
            <w:r>
              <w:rPr>
                <w:rStyle w:val="23"/>
                <w:rFonts w:hint="eastAsia" w:ascii="宋体" w:hAnsi="宋体" w:eastAsia="宋体" w:cs="宋体"/>
                <w:b w:val="0"/>
                <w:bCs w:val="0"/>
                <w:color w:val="auto"/>
                <w:sz w:val="24"/>
                <w:szCs w:val="24"/>
                <w:highlight w:val="none"/>
                <w:lang w:val="en-US" w:eastAsia="zh-CN"/>
              </w:rPr>
              <w:t>6、参加政府采购活动前三年内，在经营活动中没有重大违法记录的书面声明；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p>
        </w:tc>
        <w:tc>
          <w:tcPr>
            <w:tcW w:w="5534" w:type="dxa"/>
            <w:noWrap w:val="0"/>
            <w:vAlign w:val="center"/>
          </w:tcPr>
          <w:p>
            <w:pPr>
              <w:pStyle w:val="18"/>
              <w:keepNext w:val="0"/>
              <w:keepLines w:val="0"/>
              <w:pageBreakBefore w:val="0"/>
              <w:kinsoku/>
              <w:wordWrap/>
              <w:overflowPunct/>
              <w:topLinePunct w:val="0"/>
              <w:autoSpaceDE/>
              <w:autoSpaceDN/>
              <w:bidi w:val="0"/>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Style w:val="23"/>
                <w:rFonts w:hint="eastAsia" w:ascii="宋体" w:hAnsi="宋体" w:eastAsia="宋体" w:cs="宋体"/>
                <w:b w:val="0"/>
                <w:bCs w:val="0"/>
                <w:color w:val="auto"/>
                <w:sz w:val="24"/>
                <w:szCs w:val="24"/>
                <w:highlight w:val="none"/>
                <w:lang w:val="en-US" w:eastAsia="zh-CN"/>
              </w:rPr>
              <w:t>7、法定代表人授权他人参加磋商的，须提供法定代表人授权书（附法定代表人、被授权人身份证复印件）及被授权人身份证原件（法定代表人直接参加磋商，须提供法定代表人身份证明及身份证原件）；非法人单位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p>
        </w:tc>
        <w:tc>
          <w:tcPr>
            <w:tcW w:w="5534" w:type="dxa"/>
            <w:noWrap w:val="0"/>
            <w:vAlign w:val="center"/>
          </w:tcPr>
          <w:p>
            <w:pPr>
              <w:pStyle w:val="18"/>
              <w:keepNext w:val="0"/>
              <w:keepLines w:val="0"/>
              <w:pageBreakBefore w:val="0"/>
              <w:kinsoku/>
              <w:wordWrap/>
              <w:overflowPunct/>
              <w:topLinePunct w:val="0"/>
              <w:autoSpaceDE/>
              <w:autoSpaceDN/>
              <w:bidi w:val="0"/>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Style w:val="23"/>
                <w:rFonts w:hint="eastAsia" w:ascii="宋体" w:hAnsi="宋体" w:eastAsia="宋体" w:cs="宋体"/>
                <w:b w:val="0"/>
                <w:bCs w:val="0"/>
                <w:color w:val="auto"/>
                <w:sz w:val="24"/>
                <w:szCs w:val="24"/>
                <w:highlight w:val="none"/>
                <w:lang w:val="en-US" w:eastAsia="zh-CN"/>
              </w:rPr>
              <w:t>8、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p>
        </w:tc>
        <w:tc>
          <w:tcPr>
            <w:tcW w:w="5534" w:type="dxa"/>
            <w:noWrap w:val="0"/>
            <w:vAlign w:val="center"/>
          </w:tcPr>
          <w:p>
            <w:pPr>
              <w:pStyle w:val="18"/>
              <w:keepNext w:val="0"/>
              <w:keepLines w:val="0"/>
              <w:pageBreakBefore w:val="0"/>
              <w:kinsoku/>
              <w:wordWrap/>
              <w:overflowPunct/>
              <w:topLinePunct w:val="0"/>
              <w:autoSpaceDE/>
              <w:autoSpaceDN/>
              <w:bidi w:val="0"/>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bidi="ar-SA"/>
              </w:rPr>
              <w:t>9、供应商为生产厂家的须具有《食品生产许可证》、《食品经营许可证》及《动物防疫条件合格证》（仅肉类）；供应商为代理商的须提供《食品经营许可证》，并提供所代理产品生产厂家的《食品生产许可证》及《动物防疫条件合格证》（仅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vMerge w:val="continue"/>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p>
        </w:tc>
        <w:tc>
          <w:tcPr>
            <w:tcW w:w="5534"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bidi="ar-SA"/>
              </w:rPr>
              <w:t>10、本项目不接受联合体投标。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600" w:type="dxa"/>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rPr>
            </w:pPr>
          </w:p>
        </w:tc>
        <w:tc>
          <w:tcPr>
            <w:tcW w:w="2062" w:type="dxa"/>
            <w:gridSpan w:val="2"/>
            <w:noWrap w:val="0"/>
            <w:vAlign w:val="center"/>
          </w:tcPr>
          <w:p>
            <w:pPr>
              <w:tabs>
                <w:tab w:val="left" w:pos="0"/>
              </w:tabs>
              <w:adjustRightInd w:val="0"/>
              <w:snapToGrid w:val="0"/>
              <w:jc w:val="center"/>
              <w:rPr>
                <w:rFonts w:hint="eastAsia" w:ascii="宋体" w:hAnsi="宋体" w:eastAsia="宋体" w:cs="宋体"/>
                <w:b w:val="0"/>
                <w:bCs/>
                <w:color w:val="auto"/>
                <w:sz w:val="24"/>
                <w:szCs w:val="24"/>
                <w:highlight w:val="none"/>
                <w:lang w:eastAsia="zh-CN"/>
              </w:rPr>
            </w:pPr>
          </w:p>
        </w:tc>
        <w:tc>
          <w:tcPr>
            <w:tcW w:w="5534" w:type="dxa"/>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bidi="ar-SA"/>
              </w:rPr>
              <w:t>本项目为专门面向中小企业项目，供应商应为中型企业或小型、微型企业或监狱企业或残疾人福利性单位。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9228" w:type="dxa"/>
            <w:gridSpan w:val="5"/>
            <w:noWrap w:val="0"/>
            <w:vAlign w:val="center"/>
          </w:tcPr>
          <w:p>
            <w:pPr>
              <w:pStyle w:val="10"/>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SA"/>
              </w:rPr>
              <w:t>注：以上为必备资格条件，缺一项或某项达不到要求，按无效文件处理。资格审查时以磋商响应文件中所附证明材料（信用中国和中国政府采购网信用记录可不提供，由代理机构查询并留存）为准。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32"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2.1.2</w:t>
            </w:r>
          </w:p>
        </w:tc>
        <w:tc>
          <w:tcPr>
            <w:tcW w:w="600"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符合性评审标准</w:t>
            </w:r>
          </w:p>
        </w:tc>
        <w:tc>
          <w:tcPr>
            <w:tcW w:w="567"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有效性审查</w:t>
            </w: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磋商响应文件</w:t>
            </w:r>
            <w:r>
              <w:rPr>
                <w:rFonts w:hint="eastAsia" w:ascii="宋体" w:hAnsi="宋体" w:eastAsia="宋体" w:cs="宋体"/>
                <w:b w:val="0"/>
                <w:bCs/>
                <w:color w:val="auto"/>
                <w:sz w:val="24"/>
                <w:szCs w:val="24"/>
                <w:highlight w:val="none"/>
              </w:rPr>
              <w:t>的签署盖章</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磋商响应文件</w:t>
            </w:r>
            <w:r>
              <w:rPr>
                <w:rFonts w:hint="eastAsia" w:ascii="宋体" w:hAnsi="宋体" w:eastAsia="宋体" w:cs="宋体"/>
                <w:b w:val="0"/>
                <w:bCs/>
                <w:color w:val="auto"/>
                <w:sz w:val="24"/>
                <w:szCs w:val="24"/>
                <w:highlight w:val="none"/>
              </w:rPr>
              <w:t>上</w:t>
            </w:r>
            <w:r>
              <w:rPr>
                <w:rFonts w:hint="eastAsia" w:ascii="宋体" w:hAnsi="宋体" w:eastAsia="宋体" w:cs="宋体"/>
                <w:b w:val="0"/>
                <w:bCs/>
                <w:color w:val="auto"/>
                <w:sz w:val="24"/>
                <w:szCs w:val="24"/>
                <w:highlight w:val="none"/>
                <w:lang w:eastAsia="zh-CN"/>
              </w:rPr>
              <w:t>法定代表人</w:t>
            </w:r>
            <w:r>
              <w:rPr>
                <w:rFonts w:hint="eastAsia" w:ascii="宋体" w:hAnsi="宋体" w:eastAsia="宋体" w:cs="宋体"/>
                <w:b w:val="0"/>
                <w:bCs/>
                <w:color w:val="auto"/>
                <w:sz w:val="24"/>
                <w:szCs w:val="24"/>
                <w:highlight w:val="none"/>
              </w:rPr>
              <w:t>或其授权代表人的签字齐全并加盖公章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600"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567"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磋商响应文件</w:t>
            </w:r>
            <w:r>
              <w:rPr>
                <w:rFonts w:hint="eastAsia" w:ascii="宋体" w:hAnsi="宋体" w:eastAsia="宋体" w:cs="宋体"/>
                <w:b w:val="0"/>
                <w:bCs/>
                <w:color w:val="auto"/>
                <w:sz w:val="24"/>
                <w:szCs w:val="24"/>
                <w:highlight w:val="none"/>
              </w:rPr>
              <w:t>格式</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应符合“</w:t>
            </w:r>
            <w:r>
              <w:rPr>
                <w:rFonts w:hint="eastAsia" w:ascii="宋体" w:hAnsi="宋体" w:eastAsia="宋体" w:cs="宋体"/>
                <w:b w:val="0"/>
                <w:bCs/>
                <w:color w:val="auto"/>
                <w:sz w:val="24"/>
                <w:szCs w:val="24"/>
                <w:highlight w:val="none"/>
                <w:lang w:eastAsia="zh-CN"/>
              </w:rPr>
              <w:t>磋商响应文件</w:t>
            </w:r>
            <w:r>
              <w:rPr>
                <w:rFonts w:hint="eastAsia" w:ascii="宋体" w:hAnsi="宋体" w:eastAsia="宋体" w:cs="宋体"/>
                <w:b w:val="0"/>
                <w:bCs/>
                <w:color w:val="auto"/>
                <w:sz w:val="24"/>
                <w:szCs w:val="24"/>
                <w:highlight w:val="none"/>
              </w:rPr>
              <w:t>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1032"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600"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567"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报价唯一</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只能有一个有效报价，不得提交选择性报价，</w:t>
            </w:r>
            <w:r>
              <w:rPr>
                <w:rFonts w:hint="eastAsia" w:ascii="宋体" w:hAnsi="宋体" w:eastAsia="宋体" w:cs="宋体"/>
                <w:b w:val="0"/>
                <w:bCs/>
                <w:color w:val="auto"/>
                <w:sz w:val="24"/>
                <w:szCs w:val="24"/>
                <w:highlight w:val="none"/>
                <w:lang w:eastAsia="zh-CN"/>
              </w:rPr>
              <w:t>按要求提交二次或多次报价，</w:t>
            </w:r>
            <w:r>
              <w:rPr>
                <w:rFonts w:hint="eastAsia" w:ascii="宋体" w:hAnsi="宋体" w:eastAsia="宋体" w:cs="宋体"/>
                <w:b w:val="0"/>
                <w:bCs/>
                <w:color w:val="auto"/>
                <w:sz w:val="24"/>
                <w:szCs w:val="24"/>
                <w:highlight w:val="none"/>
              </w:rPr>
              <w:t>且</w:t>
            </w:r>
            <w:r>
              <w:rPr>
                <w:rFonts w:hint="eastAsia" w:hAnsi="宋体" w:eastAsia="宋体" w:cs="宋体"/>
                <w:b w:val="0"/>
                <w:bCs/>
                <w:color w:val="auto"/>
                <w:sz w:val="24"/>
                <w:szCs w:val="24"/>
                <w:highlight w:val="none"/>
                <w:lang w:eastAsia="zh-CN"/>
              </w:rPr>
              <w:t>第一轮</w:t>
            </w:r>
            <w:r>
              <w:rPr>
                <w:rFonts w:hint="eastAsia" w:ascii="宋体" w:hAnsi="宋体" w:eastAsia="宋体" w:cs="宋体"/>
                <w:b w:val="0"/>
                <w:bCs/>
                <w:color w:val="auto"/>
                <w:sz w:val="24"/>
                <w:szCs w:val="24"/>
                <w:highlight w:val="none"/>
              </w:rPr>
              <w:t>报价不超过采购预算金额</w:t>
            </w:r>
            <w:r>
              <w:rPr>
                <w:rFonts w:hint="eastAsia" w:hAnsi="宋体" w:eastAsia="宋体" w:cs="宋体"/>
                <w:b w:val="0"/>
                <w:bCs/>
                <w:color w:val="auto"/>
                <w:sz w:val="24"/>
                <w:szCs w:val="24"/>
                <w:highlight w:val="none"/>
                <w:lang w:eastAsia="zh-CN"/>
              </w:rPr>
              <w:t>，第二轮报价不超过第一轮</w:t>
            </w:r>
            <w:r>
              <w:rPr>
                <w:rFonts w:hint="eastAsia" w:ascii="宋体" w:hAnsi="宋体" w:eastAsia="宋体" w:cs="宋体"/>
                <w:b w:val="0"/>
                <w:bCs/>
                <w:color w:val="auto"/>
                <w:sz w:val="24"/>
                <w:szCs w:val="24"/>
                <w:highlight w:val="none"/>
              </w:rPr>
              <w:t>报价</w:t>
            </w:r>
            <w:r>
              <w:rPr>
                <w:rFonts w:hint="eastAsia" w:ascii="宋体" w:hAnsi="宋体" w:eastAsia="宋体" w:cs="宋体"/>
                <w:b w:val="0"/>
                <w:bCs/>
                <w:color w:val="auto"/>
                <w:sz w:val="24"/>
                <w:szCs w:val="24"/>
                <w:highlight w:val="none"/>
                <w:lang w:eastAsia="zh-CN"/>
              </w:rPr>
              <w:t>金额。</w:t>
            </w:r>
            <w:r>
              <w:rPr>
                <w:rFonts w:hint="eastAsia" w:ascii="宋体" w:hAnsi="宋体" w:eastAsia="宋体" w:cs="宋体"/>
                <w:b w:val="0"/>
                <w:bCs/>
                <w:color w:val="auto"/>
                <w:sz w:val="24"/>
                <w:szCs w:val="24"/>
                <w:highlight w:val="none"/>
                <w:lang w:val="en-US" w:eastAsia="zh-CN"/>
              </w:rPr>
              <w:t>磋商小组认为</w:t>
            </w:r>
            <w:r>
              <w:rPr>
                <w:rFonts w:hint="eastAsia" w:ascii="宋体" w:hAnsi="宋体" w:cs="宋体"/>
                <w:color w:val="auto"/>
                <w:sz w:val="24"/>
                <w:highlight w:val="none"/>
              </w:rPr>
              <w:t>低于成本报价的</w:t>
            </w:r>
            <w:r>
              <w:rPr>
                <w:rFonts w:hint="eastAsia" w:ascii="宋体" w:hAnsi="宋体" w:cs="宋体"/>
                <w:color w:val="auto"/>
                <w:sz w:val="24"/>
                <w:highlight w:val="none"/>
                <w:lang w:eastAsia="zh-CN"/>
              </w:rPr>
              <w:t>磋商报价</w:t>
            </w:r>
            <w:r>
              <w:rPr>
                <w:rFonts w:hint="eastAsia" w:ascii="宋体" w:hAnsi="宋体" w:cs="宋体"/>
                <w:color w:val="auto"/>
                <w:sz w:val="24"/>
                <w:highlight w:val="none"/>
              </w:rPr>
              <w:t>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032" w:type="dxa"/>
            <w:vMerge w:val="continue"/>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rPr>
            </w:pPr>
          </w:p>
        </w:tc>
        <w:tc>
          <w:tcPr>
            <w:tcW w:w="600" w:type="dxa"/>
            <w:vMerge w:val="continue"/>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rPr>
            </w:pPr>
          </w:p>
        </w:tc>
        <w:tc>
          <w:tcPr>
            <w:tcW w:w="567"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完整性审查</w:t>
            </w: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磋商响应文件</w:t>
            </w:r>
            <w:r>
              <w:rPr>
                <w:rFonts w:hint="eastAsia" w:ascii="宋体" w:hAnsi="宋体" w:eastAsia="宋体" w:cs="宋体"/>
                <w:b w:val="0"/>
                <w:bCs/>
                <w:color w:val="auto"/>
                <w:sz w:val="24"/>
                <w:szCs w:val="24"/>
                <w:highlight w:val="none"/>
              </w:rPr>
              <w:t>份数</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应符合“</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须知前附表”规定的正本、副本、电子文件数量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32"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600"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567"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磋商响应文件</w:t>
            </w:r>
            <w:r>
              <w:rPr>
                <w:rFonts w:hint="eastAsia" w:ascii="宋体" w:hAnsi="宋体" w:eastAsia="宋体" w:cs="宋体"/>
                <w:b w:val="0"/>
                <w:bCs/>
                <w:color w:val="auto"/>
                <w:sz w:val="24"/>
                <w:szCs w:val="24"/>
                <w:highlight w:val="none"/>
              </w:rPr>
              <w:t>内容</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eastAsia="zh-CN"/>
              </w:rPr>
              <w:t>磋商响应文件</w:t>
            </w:r>
            <w:r>
              <w:rPr>
                <w:rFonts w:hint="eastAsia" w:ascii="宋体" w:hAnsi="宋体" w:eastAsia="宋体" w:cs="宋体"/>
                <w:b w:val="0"/>
                <w:bCs/>
                <w:color w:val="auto"/>
                <w:sz w:val="24"/>
                <w:szCs w:val="24"/>
                <w:highlight w:val="none"/>
              </w:rPr>
              <w:t>内容</w:t>
            </w:r>
            <w:r>
              <w:rPr>
                <w:rFonts w:hint="eastAsia" w:ascii="宋体" w:hAnsi="宋体" w:eastAsia="宋体" w:cs="宋体"/>
                <w:b w:val="0"/>
                <w:bCs/>
                <w:color w:val="auto"/>
                <w:sz w:val="24"/>
                <w:szCs w:val="24"/>
                <w:highlight w:val="none"/>
                <w:lang w:val="en-US" w:eastAsia="zh-CN"/>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032" w:type="dxa"/>
            <w:vMerge w:val="continue"/>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rPr>
            </w:pPr>
          </w:p>
        </w:tc>
        <w:tc>
          <w:tcPr>
            <w:tcW w:w="600" w:type="dxa"/>
            <w:vMerge w:val="continue"/>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rPr>
            </w:pPr>
          </w:p>
        </w:tc>
        <w:tc>
          <w:tcPr>
            <w:tcW w:w="567"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响应性审查</w:t>
            </w: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对</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响应程度</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要求</w:t>
            </w:r>
            <w:r>
              <w:rPr>
                <w:rFonts w:hint="eastAsia" w:ascii="宋体" w:hAnsi="宋体" w:eastAsia="宋体" w:cs="宋体"/>
                <w:b w:val="0"/>
                <w:bCs/>
                <w:color w:val="auto"/>
                <w:sz w:val="24"/>
                <w:szCs w:val="24"/>
                <w:highlight w:val="none"/>
                <w:lang w:eastAsia="zh-CN"/>
              </w:rPr>
              <w:t>实质性条款全部</w:t>
            </w:r>
            <w:r>
              <w:rPr>
                <w:rFonts w:hint="eastAsia" w:ascii="宋体" w:hAnsi="宋体" w:eastAsia="宋体" w:cs="宋体"/>
                <w:b w:val="0"/>
                <w:bCs/>
                <w:color w:val="auto"/>
                <w:sz w:val="24"/>
                <w:szCs w:val="24"/>
                <w:highlight w:val="none"/>
              </w:rPr>
              <w:t>响应，不能有采购人不能接受的附加条件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600"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567"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hAnsi="宋体" w:eastAsia="宋体" w:cs="宋体"/>
                <w:b w:val="0"/>
                <w:bCs/>
                <w:color w:val="auto"/>
                <w:sz w:val="24"/>
                <w:szCs w:val="24"/>
                <w:highlight w:val="none"/>
                <w:lang w:eastAsia="zh-CN"/>
              </w:rPr>
              <w:t>供货</w:t>
            </w:r>
            <w:r>
              <w:rPr>
                <w:rFonts w:hint="eastAsia" w:ascii="宋体" w:hAnsi="宋体" w:eastAsia="宋体" w:cs="宋体"/>
                <w:b w:val="0"/>
                <w:bCs/>
                <w:color w:val="auto"/>
                <w:sz w:val="24"/>
                <w:szCs w:val="24"/>
                <w:highlight w:val="none"/>
              </w:rPr>
              <w:t>期</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应满足</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中要求的</w:t>
            </w:r>
            <w:r>
              <w:rPr>
                <w:rFonts w:hint="eastAsia" w:hAnsi="宋体" w:eastAsia="宋体" w:cs="宋体"/>
                <w:b w:val="0"/>
                <w:bCs/>
                <w:color w:val="auto"/>
                <w:sz w:val="24"/>
                <w:szCs w:val="24"/>
                <w:highlight w:val="none"/>
                <w:lang w:eastAsia="zh-CN"/>
              </w:rPr>
              <w:t>供货</w:t>
            </w:r>
            <w:r>
              <w:rPr>
                <w:rFonts w:hint="eastAsia" w:ascii="宋体" w:hAnsi="宋体" w:eastAsia="宋体" w:cs="宋体"/>
                <w:b w:val="0"/>
                <w:bCs/>
                <w:color w:val="auto"/>
                <w:sz w:val="24"/>
                <w:szCs w:val="24"/>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2"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600"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567"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p>
        </w:tc>
        <w:tc>
          <w:tcPr>
            <w:tcW w:w="1495"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有效期</w:t>
            </w:r>
          </w:p>
        </w:tc>
        <w:tc>
          <w:tcPr>
            <w:tcW w:w="553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应满足</w:t>
            </w:r>
            <w:r>
              <w:rPr>
                <w:rFonts w:hint="eastAsia" w:ascii="宋体" w:hAnsi="宋体" w:eastAsia="宋体" w:cs="宋体"/>
                <w:b w:val="0"/>
                <w:bCs/>
                <w:color w:val="auto"/>
                <w:sz w:val="24"/>
                <w:szCs w:val="24"/>
                <w:highlight w:val="none"/>
                <w:lang w:eastAsia="zh-CN"/>
              </w:rPr>
              <w:t>磋商文件</w:t>
            </w:r>
            <w:r>
              <w:rPr>
                <w:rFonts w:hint="eastAsia" w:ascii="宋体" w:hAnsi="宋体" w:eastAsia="宋体" w:cs="宋体"/>
                <w:b w:val="0"/>
                <w:bCs/>
                <w:color w:val="auto"/>
                <w:sz w:val="24"/>
                <w:szCs w:val="24"/>
                <w:highlight w:val="none"/>
              </w:rPr>
              <w:t>中的规定</w:t>
            </w:r>
          </w:p>
        </w:tc>
      </w:tr>
    </w:tbl>
    <w:p>
      <w:pPr>
        <w:spacing w:line="360" w:lineRule="auto"/>
        <w:rPr>
          <w:rFonts w:hint="eastAsia" w:ascii="宋体" w:hAnsi="宋体" w:eastAsia="宋体" w:cs="宋体"/>
          <w:b/>
          <w:color w:val="auto"/>
          <w:spacing w:val="4"/>
          <w:szCs w:val="24"/>
          <w:highlight w:val="none"/>
          <w:lang w:val="en-US" w:eastAsia="zh-CN"/>
        </w:rPr>
      </w:pPr>
      <w:r>
        <w:rPr>
          <w:rFonts w:hint="eastAsia" w:ascii="宋体" w:hAnsi="宋体" w:eastAsia="宋体" w:cs="宋体"/>
          <w:b/>
          <w:color w:val="auto"/>
          <w:spacing w:val="4"/>
          <w:szCs w:val="24"/>
          <w:highlight w:val="none"/>
        </w:rPr>
        <w:br w:type="page"/>
      </w:r>
      <w:r>
        <w:rPr>
          <w:rFonts w:hint="eastAsia" w:ascii="宋体" w:hAnsi="宋体" w:eastAsia="宋体" w:cs="宋体"/>
          <w:b/>
          <w:color w:val="auto"/>
          <w:spacing w:val="4"/>
          <w:szCs w:val="24"/>
          <w:highlight w:val="none"/>
          <w:lang w:eastAsia="zh-CN"/>
        </w:rPr>
        <w:t>附件</w:t>
      </w:r>
      <w:r>
        <w:rPr>
          <w:rFonts w:hint="eastAsia" w:ascii="宋体" w:hAnsi="宋体" w:eastAsia="宋体" w:cs="宋体"/>
          <w:b/>
          <w:color w:val="auto"/>
          <w:spacing w:val="4"/>
          <w:szCs w:val="24"/>
          <w:highlight w:val="none"/>
          <w:lang w:val="en-US" w:eastAsia="zh-CN"/>
        </w:rPr>
        <w:t>2：</w:t>
      </w:r>
    </w:p>
    <w:p>
      <w:pPr>
        <w:jc w:val="center"/>
        <w:rPr>
          <w:rFonts w:hint="eastAsia" w:ascii="宋体" w:hAnsi="宋体" w:eastAsia="宋体" w:cs="宋体"/>
          <w:b/>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4"/>
          <w:szCs w:val="24"/>
          <w:highlight w:val="none"/>
        </w:rPr>
      </w:pPr>
      <w:r>
        <w:rPr>
          <w:rFonts w:hint="eastAsia" w:ascii="宋体" w:hAnsi="宋体" w:eastAsia="宋体" w:cs="宋体"/>
          <w:b/>
          <w:color w:val="auto"/>
          <w:spacing w:val="4"/>
          <w:szCs w:val="24"/>
          <w:highlight w:val="none"/>
        </w:rPr>
        <w:t>评标因素及权重分值表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50"/>
        <w:gridCol w:w="794"/>
        <w:gridCol w:w="5996"/>
        <w:gridCol w:w="760"/>
        <w:gridCol w:w="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blHeader/>
          <w:jc w:val="center"/>
        </w:trPr>
        <w:tc>
          <w:tcPr>
            <w:tcW w:w="700" w:type="dxa"/>
            <w:noWrap w:val="0"/>
            <w:vAlign w:val="center"/>
          </w:tcPr>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类别</w:t>
            </w:r>
          </w:p>
        </w:tc>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总分</w:t>
            </w:r>
          </w:p>
        </w:tc>
        <w:tc>
          <w:tcPr>
            <w:tcW w:w="67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评标因素</w:t>
            </w:r>
          </w:p>
        </w:tc>
        <w:tc>
          <w:tcPr>
            <w:tcW w:w="7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最高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得分</w:t>
            </w:r>
          </w:p>
        </w:tc>
        <w:tc>
          <w:tcPr>
            <w:tcW w:w="5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Cs w:val="24"/>
                <w:highlight w:val="none"/>
                <w:lang w:eastAsia="zh-CN"/>
              </w:rPr>
            </w:pPr>
            <w:r>
              <w:rPr>
                <w:rFonts w:hint="eastAsia" w:ascii="宋体" w:hAnsi="宋体" w:eastAsia="宋体" w:cs="宋体"/>
                <w:b/>
                <w:bCs/>
                <w:color w:val="auto"/>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noWrap w:val="0"/>
            <w:vAlign w:val="center"/>
          </w:tcPr>
          <w:p>
            <w:pPr>
              <w:spacing w:line="360" w:lineRule="auto"/>
              <w:jc w:val="center"/>
              <w:rPr>
                <w:rFonts w:hint="eastAsia" w:ascii="宋体" w:hAnsi="宋体" w:eastAsia="宋体" w:cs="宋体"/>
                <w:b/>
                <w:bCs/>
                <w:color w:val="auto"/>
                <w:szCs w:val="24"/>
                <w:highlight w:val="none"/>
              </w:rPr>
            </w:pPr>
            <w:r>
              <w:rPr>
                <w:rFonts w:hint="eastAsia" w:ascii="宋体" w:hAnsi="宋体" w:eastAsia="宋体" w:cs="宋体"/>
                <w:color w:val="auto"/>
                <w:szCs w:val="24"/>
                <w:highlight w:val="none"/>
              </w:rPr>
              <w:t>价格评审</w:t>
            </w:r>
          </w:p>
        </w:tc>
        <w:tc>
          <w:tcPr>
            <w:tcW w:w="650" w:type="dxa"/>
            <w:noWrap w:val="0"/>
            <w:vAlign w:val="center"/>
          </w:tcPr>
          <w:p>
            <w:pPr>
              <w:spacing w:line="360" w:lineRule="auto"/>
              <w:jc w:val="center"/>
              <w:rPr>
                <w:rFonts w:hint="eastAsia" w:ascii="宋体" w:hAnsi="宋体" w:eastAsia="宋体" w:cs="宋体"/>
                <w:color w:val="auto"/>
                <w:highlight w:val="none"/>
              </w:rPr>
            </w:pPr>
            <w:r>
              <w:rPr>
                <w:rFonts w:hint="eastAsia" w:hAnsi="宋体" w:eastAsia="宋体" w:cs="宋体"/>
                <w:b/>
                <w:bCs/>
                <w:color w:val="auto"/>
                <w:szCs w:val="24"/>
                <w:highlight w:val="none"/>
                <w:lang w:val="en-US" w:eastAsia="zh-CN"/>
              </w:rPr>
              <w:t>30</w:t>
            </w:r>
            <w:r>
              <w:rPr>
                <w:rFonts w:hint="eastAsia" w:ascii="宋体" w:hAnsi="宋体" w:eastAsia="宋体" w:cs="宋体"/>
                <w:b/>
                <w:bCs/>
                <w:color w:val="auto"/>
                <w:szCs w:val="24"/>
                <w:highlight w:val="none"/>
              </w:rPr>
              <w:t>分</w:t>
            </w:r>
          </w:p>
        </w:tc>
        <w:tc>
          <w:tcPr>
            <w:tcW w:w="67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right="24" w:rightChars="10" w:firstLine="480" w:firstLineChars="200"/>
              <w:textAlignment w:val="auto"/>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满足磋商文件要求且最后报价最低的供应商的价格为磋商基准价。各供应商的价格分统一按照下列公式计算：</w:t>
            </w:r>
            <w:r>
              <w:rPr>
                <w:rFonts w:hint="eastAsia" w:ascii="宋体" w:hAnsi="宋体" w:eastAsia="宋体" w:cs="宋体"/>
                <w:b/>
                <w:bCs/>
                <w:kern w:val="2"/>
                <w:sz w:val="24"/>
                <w:szCs w:val="24"/>
                <w:highlight w:val="none"/>
                <w:lang w:val="en-US" w:eastAsia="zh-CN"/>
              </w:rPr>
              <w:t>磋商报价得分=（基准价/报价表（第二次）磋商报价）×30％×100</w:t>
            </w:r>
            <w:r>
              <w:rPr>
                <w:rFonts w:hint="eastAsia" w:ascii="宋体" w:hAnsi="宋体" w:eastAsia="宋体" w:cs="宋体"/>
                <w:kern w:val="2"/>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right="24" w:rightChars="1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kern w:val="2"/>
                <w:sz w:val="24"/>
                <w:szCs w:val="24"/>
                <w:highlight w:val="none"/>
                <w:lang w:val="en-US" w:eastAsia="zh-CN"/>
              </w:rPr>
              <w:t>根据《政府采购促进中小企业发展管理办法》、《财政部司法部关于政府采购支持监狱企业发展有关问题的通知》及《三部门联合发布关于促进残疾人就业政府采购政策的通知》的相关规定，对小型、微型企业、监狱企业及残疾人福利性单位给予</w:t>
            </w:r>
            <w:r>
              <w:rPr>
                <w:rFonts w:hint="eastAsia" w:hAnsi="宋体" w:cs="宋体"/>
                <w:kern w:val="2"/>
                <w:sz w:val="24"/>
                <w:szCs w:val="24"/>
                <w:highlight w:val="none"/>
                <w:lang w:val="en-US" w:eastAsia="zh-CN"/>
              </w:rPr>
              <w:t>10</w:t>
            </w:r>
            <w:r>
              <w:rPr>
                <w:rFonts w:hint="eastAsia" w:ascii="宋体" w:hAnsi="宋体" w:eastAsia="宋体" w:cs="宋体"/>
                <w:kern w:val="2"/>
                <w:sz w:val="24"/>
                <w:szCs w:val="24"/>
                <w:highlight w:val="none"/>
                <w:lang w:val="en-US" w:eastAsia="zh-CN"/>
              </w:rPr>
              <w:t>%的扣除，用扣除后的价格参与评审。</w:t>
            </w:r>
          </w:p>
        </w:tc>
        <w:tc>
          <w:tcPr>
            <w:tcW w:w="760" w:type="dxa"/>
            <w:noWrap w:val="0"/>
            <w:vAlign w:val="center"/>
          </w:tcPr>
          <w:p>
            <w:pPr>
              <w:spacing w:line="360" w:lineRule="auto"/>
              <w:jc w:val="center"/>
              <w:rPr>
                <w:rFonts w:hint="eastAsia" w:ascii="宋体" w:hAnsi="宋体" w:eastAsia="宋体" w:cs="宋体"/>
                <w:color w:val="auto"/>
                <w:highlight w:val="none"/>
              </w:rPr>
            </w:pPr>
            <w:r>
              <w:rPr>
                <w:rFonts w:hint="eastAsia" w:hAnsi="宋体" w:eastAsia="宋体" w:cs="宋体"/>
                <w:color w:val="auto"/>
                <w:szCs w:val="24"/>
                <w:highlight w:val="none"/>
                <w:lang w:val="en-US" w:eastAsia="zh-CN"/>
              </w:rPr>
              <w:t>3</w:t>
            </w:r>
            <w:r>
              <w:rPr>
                <w:rFonts w:hint="eastAsia" w:ascii="宋体" w:hAnsi="宋体" w:eastAsia="宋体" w:cs="宋体"/>
                <w:color w:val="auto"/>
                <w:szCs w:val="24"/>
                <w:highlight w:val="none"/>
                <w:lang w:val="en-US" w:eastAsia="zh-CN"/>
              </w:rPr>
              <w:t>0</w:t>
            </w:r>
            <w:r>
              <w:rPr>
                <w:rFonts w:hint="eastAsia" w:ascii="宋体" w:hAnsi="宋体" w:eastAsia="宋体" w:cs="宋体"/>
                <w:color w:val="auto"/>
                <w:szCs w:val="24"/>
                <w:highlight w:val="none"/>
              </w:rPr>
              <w:t>分</w:t>
            </w:r>
          </w:p>
        </w:tc>
        <w:tc>
          <w:tcPr>
            <w:tcW w:w="571" w:type="dxa"/>
            <w:vMerge w:val="restart"/>
            <w:noWrap w:val="0"/>
            <w:vAlign w:val="center"/>
          </w:tcPr>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根</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据</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磋商响应文</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件</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的</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响</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应</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程</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度</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按</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差</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别</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计</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分</w:t>
            </w:r>
          </w:p>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700" w:type="dxa"/>
            <w:vMerge w:val="restart"/>
            <w:noWrap w:val="0"/>
            <w:vAlign w:val="center"/>
          </w:tcPr>
          <w:p>
            <w:pPr>
              <w:spacing w:line="440" w:lineRule="exact"/>
              <w:jc w:val="center"/>
              <w:rPr>
                <w:rFonts w:ascii="宋体" w:hAnsi="宋体"/>
                <w:b w:val="0"/>
                <w:bCs w:val="0"/>
                <w:sz w:val="24"/>
                <w:highlight w:val="none"/>
              </w:rPr>
            </w:pPr>
            <w:r>
              <w:rPr>
                <w:rFonts w:hint="eastAsia" w:ascii="宋体" w:hAnsi="宋体"/>
                <w:b w:val="0"/>
                <w:bCs w:val="0"/>
                <w:sz w:val="24"/>
                <w:highlight w:val="none"/>
              </w:rPr>
              <w:t>产品供给及配送服务</w:t>
            </w:r>
          </w:p>
          <w:p>
            <w:pPr>
              <w:spacing w:line="440" w:lineRule="exact"/>
              <w:jc w:val="center"/>
              <w:rPr>
                <w:rFonts w:hint="eastAsia" w:ascii="宋体" w:hAnsi="宋体"/>
                <w:b w:val="0"/>
                <w:bCs w:val="0"/>
                <w:sz w:val="24"/>
                <w:highlight w:val="none"/>
              </w:rPr>
            </w:pPr>
            <w:r>
              <w:rPr>
                <w:rFonts w:hint="eastAsia" w:ascii="宋体" w:hAnsi="宋体"/>
                <w:b w:val="0"/>
                <w:bCs w:val="0"/>
                <w:sz w:val="24"/>
                <w:highlight w:val="none"/>
              </w:rPr>
              <w:t>要求</w:t>
            </w:r>
          </w:p>
          <w:p>
            <w:pPr>
              <w:spacing w:line="360" w:lineRule="auto"/>
              <w:rPr>
                <w:rFonts w:hint="eastAsia" w:ascii="宋体" w:hAnsi="宋体" w:eastAsia="宋体" w:cs="宋体"/>
                <w:color w:val="auto"/>
                <w:szCs w:val="24"/>
                <w:highlight w:val="none"/>
              </w:rPr>
            </w:pPr>
          </w:p>
        </w:tc>
        <w:tc>
          <w:tcPr>
            <w:tcW w:w="650" w:type="dxa"/>
            <w:vMerge w:val="restart"/>
            <w:noWrap w:val="0"/>
            <w:vAlign w:val="center"/>
          </w:tcPr>
          <w:p>
            <w:pPr>
              <w:spacing w:line="360" w:lineRule="auto"/>
              <w:jc w:val="center"/>
              <w:rPr>
                <w:rFonts w:hint="eastAsia" w:ascii="宋体" w:hAnsi="宋体" w:eastAsia="宋体" w:cs="宋体"/>
                <w:b/>
                <w:bCs/>
                <w:color w:val="auto"/>
                <w:szCs w:val="24"/>
                <w:highlight w:val="none"/>
              </w:rPr>
            </w:pPr>
            <w:r>
              <w:rPr>
                <w:rFonts w:hint="eastAsia" w:hAnsi="宋体" w:eastAsia="宋体" w:cs="宋体"/>
                <w:b/>
                <w:bCs/>
                <w:color w:val="auto"/>
                <w:szCs w:val="24"/>
                <w:highlight w:val="none"/>
                <w:lang w:val="en-US" w:eastAsia="zh-CN"/>
              </w:rPr>
              <w:t>50</w:t>
            </w:r>
            <w:r>
              <w:rPr>
                <w:rFonts w:hint="eastAsia" w:ascii="宋体" w:hAnsi="宋体" w:eastAsia="宋体" w:cs="宋体"/>
                <w:b/>
                <w:bCs/>
                <w:color w:val="auto"/>
                <w:szCs w:val="24"/>
                <w:highlight w:val="none"/>
              </w:rPr>
              <w:t>分</w:t>
            </w:r>
          </w:p>
          <w:p>
            <w:pPr>
              <w:spacing w:line="360" w:lineRule="auto"/>
              <w:jc w:val="center"/>
              <w:rPr>
                <w:rFonts w:hint="eastAsia" w:ascii="宋体" w:hAnsi="宋体" w:eastAsia="宋体" w:cs="宋体"/>
                <w:b/>
                <w:bCs/>
                <w:color w:val="auto"/>
                <w:szCs w:val="24"/>
                <w:highlight w:val="none"/>
              </w:rPr>
            </w:pPr>
          </w:p>
        </w:tc>
        <w:tc>
          <w:tcPr>
            <w:tcW w:w="794" w:type="dxa"/>
            <w:noWrap w:val="0"/>
            <w:vAlign w:val="center"/>
          </w:tcPr>
          <w:p>
            <w:pPr>
              <w:numPr>
                <w:ilvl w:val="0"/>
                <w:numId w:val="5"/>
              </w:numPr>
              <w:spacing w:line="360" w:lineRule="auto"/>
              <w:ind w:left="120" w:leftChars="0" w:firstLine="120" w:firstLineChars="0"/>
              <w:rPr>
                <w:rFonts w:hint="eastAsia" w:ascii="宋体" w:hAnsi="宋体" w:eastAsia="宋体" w:cs="宋体"/>
                <w:color w:val="auto"/>
                <w:szCs w:val="24"/>
                <w:highlight w:val="none"/>
              </w:rPr>
            </w:pPr>
          </w:p>
        </w:tc>
        <w:tc>
          <w:tcPr>
            <w:tcW w:w="599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eastAsia="宋体" w:cs="宋体"/>
                <w:color w:val="auto"/>
                <w:szCs w:val="24"/>
                <w:highlight w:val="none"/>
                <w:lang w:eastAsia="zh-CN"/>
              </w:rPr>
            </w:pPr>
            <w:r>
              <w:rPr>
                <w:rFonts w:hint="eastAsia" w:ascii="宋体" w:hAnsi="宋体" w:eastAsia="宋体" w:cs="宋体"/>
                <w:kern w:val="2"/>
                <w:sz w:val="24"/>
                <w:szCs w:val="24"/>
                <w:highlight w:val="none"/>
                <w:lang w:val="en-US" w:eastAsia="zh-CN"/>
              </w:rPr>
              <w:t>供应商根据项目特点及采购人实际需求制定完善的食材采购、仓储、配送服务方案，方案全面合理，实施方案完整详尽，得6</w:t>
            </w:r>
            <w:r>
              <w:rPr>
                <w:rFonts w:hint="eastAsia" w:hAnsi="宋体" w:cs="宋体"/>
                <w:kern w:val="2"/>
                <w:sz w:val="24"/>
                <w:szCs w:val="24"/>
                <w:highlight w:val="none"/>
                <w:lang w:val="en-US" w:eastAsia="zh-CN"/>
              </w:rPr>
              <w:t>.1</w:t>
            </w:r>
            <w:r>
              <w:rPr>
                <w:rFonts w:hint="eastAsia" w:ascii="宋体" w:hAnsi="宋体" w:eastAsia="宋体" w:cs="宋体"/>
                <w:kern w:val="2"/>
                <w:sz w:val="24"/>
                <w:szCs w:val="24"/>
                <w:highlight w:val="none"/>
                <w:lang w:val="en-US" w:eastAsia="zh-CN"/>
              </w:rPr>
              <w:t>～10分；实施方案比较完善，基本合理可行，得3</w:t>
            </w:r>
            <w:r>
              <w:rPr>
                <w:rFonts w:hint="eastAsia" w:hAnsi="宋体" w:cs="宋体"/>
                <w:kern w:val="2"/>
                <w:sz w:val="24"/>
                <w:szCs w:val="24"/>
                <w:highlight w:val="none"/>
                <w:lang w:val="en-US" w:eastAsia="zh-CN"/>
              </w:rPr>
              <w:t>.1</w:t>
            </w:r>
            <w:r>
              <w:rPr>
                <w:rFonts w:hint="eastAsia" w:ascii="宋体" w:hAnsi="宋体" w:eastAsia="宋体" w:cs="宋体"/>
                <w:kern w:val="2"/>
                <w:sz w:val="24"/>
                <w:szCs w:val="24"/>
                <w:highlight w:val="none"/>
                <w:lang w:val="en-US" w:eastAsia="zh-CN"/>
              </w:rPr>
              <w:t>～6分；实施方案存在部分缺陷和不足的得1～3分；未响应的不计分。</w:t>
            </w:r>
          </w:p>
        </w:tc>
        <w:tc>
          <w:tcPr>
            <w:tcW w:w="760" w:type="dxa"/>
            <w:noWrap w:val="0"/>
            <w:vAlign w:val="center"/>
          </w:tcPr>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10</w:t>
            </w:r>
            <w:r>
              <w:rPr>
                <w:rFonts w:hint="eastAsia" w:ascii="宋体" w:hAnsi="宋体" w:eastAsia="宋体" w:cs="宋体"/>
                <w:color w:val="auto"/>
                <w:szCs w:val="24"/>
                <w:highlight w:val="none"/>
              </w:rPr>
              <w:t>分</w:t>
            </w: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70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65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794" w:type="dxa"/>
            <w:noWrap w:val="0"/>
            <w:vAlign w:val="center"/>
          </w:tcPr>
          <w:p>
            <w:pPr>
              <w:numPr>
                <w:ilvl w:val="0"/>
                <w:numId w:val="5"/>
              </w:numPr>
              <w:spacing w:line="360" w:lineRule="auto"/>
              <w:ind w:left="120" w:leftChars="0" w:firstLine="120" w:firstLineChars="0"/>
              <w:rPr>
                <w:rFonts w:hint="eastAsia" w:ascii="宋体" w:hAnsi="宋体" w:eastAsia="宋体" w:cs="宋体"/>
                <w:color w:val="auto"/>
                <w:szCs w:val="24"/>
                <w:highlight w:val="none"/>
              </w:rPr>
            </w:pPr>
          </w:p>
        </w:tc>
        <w:tc>
          <w:tcPr>
            <w:tcW w:w="5996"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eastAsia="宋体" w:cs="宋体"/>
                <w:color w:val="auto"/>
                <w:szCs w:val="24"/>
                <w:highlight w:val="none"/>
                <w:lang w:eastAsia="zh-CN"/>
              </w:rPr>
            </w:pPr>
            <w:r>
              <w:rPr>
                <w:rFonts w:hint="eastAsia" w:ascii="宋体" w:hAnsi="宋体" w:eastAsia="宋体" w:cs="宋体"/>
                <w:kern w:val="2"/>
                <w:sz w:val="24"/>
                <w:szCs w:val="24"/>
                <w:highlight w:val="none"/>
                <w:lang w:val="en-US" w:eastAsia="zh-CN"/>
              </w:rPr>
              <w:t>拟投产品符合《食品安全法》，提交详尽的“三包”实施内容。有专职售后服务人员，在接到退换货要求的情况下，能够及时到达现场（有明确的响应时间）。方案完善得5</w:t>
            </w:r>
            <w:r>
              <w:rPr>
                <w:rFonts w:hint="eastAsia" w:hAnsi="宋体" w:cs="宋体"/>
                <w:kern w:val="2"/>
                <w:sz w:val="24"/>
                <w:szCs w:val="24"/>
                <w:highlight w:val="none"/>
                <w:lang w:val="en-US" w:eastAsia="zh-CN"/>
              </w:rPr>
              <w:t>.1</w:t>
            </w:r>
            <w:r>
              <w:rPr>
                <w:rFonts w:hint="eastAsia" w:ascii="宋体" w:hAnsi="宋体" w:eastAsia="宋体" w:cs="宋体"/>
                <w:kern w:val="2"/>
                <w:sz w:val="24"/>
                <w:szCs w:val="24"/>
                <w:highlight w:val="none"/>
                <w:lang w:val="en-US" w:eastAsia="zh-CN"/>
              </w:rPr>
              <w:t>～8分；方案较完善得3</w:t>
            </w:r>
            <w:r>
              <w:rPr>
                <w:rFonts w:hint="eastAsia" w:hAnsi="宋体" w:cs="宋体"/>
                <w:kern w:val="2"/>
                <w:sz w:val="24"/>
                <w:szCs w:val="24"/>
                <w:highlight w:val="none"/>
                <w:lang w:val="en-US" w:eastAsia="zh-CN"/>
              </w:rPr>
              <w:t>.1</w:t>
            </w:r>
            <w:r>
              <w:rPr>
                <w:rFonts w:hint="eastAsia" w:ascii="宋体" w:hAnsi="宋体" w:eastAsia="宋体" w:cs="宋体"/>
                <w:kern w:val="2"/>
                <w:sz w:val="24"/>
                <w:szCs w:val="24"/>
                <w:highlight w:val="none"/>
                <w:lang w:val="en-US" w:eastAsia="zh-CN"/>
              </w:rPr>
              <w:t>～5分；方案不够完善得1～3分；缺项不得分。</w:t>
            </w:r>
          </w:p>
        </w:tc>
        <w:tc>
          <w:tcPr>
            <w:tcW w:w="760" w:type="dxa"/>
            <w:noWrap w:val="0"/>
            <w:vAlign w:val="center"/>
          </w:tcPr>
          <w:p>
            <w:pPr>
              <w:spacing w:line="360" w:lineRule="auto"/>
              <w:rPr>
                <w:rFonts w:hint="eastAsia" w:ascii="宋体" w:hAnsi="宋体" w:eastAsia="宋体" w:cs="宋体"/>
                <w:color w:val="auto"/>
                <w:szCs w:val="24"/>
                <w:highlight w:val="none"/>
              </w:rPr>
            </w:pPr>
            <w:r>
              <w:rPr>
                <w:rFonts w:hint="eastAsia" w:hAnsi="宋体" w:eastAsia="宋体" w:cs="宋体"/>
                <w:color w:val="auto"/>
                <w:szCs w:val="24"/>
                <w:highlight w:val="none"/>
                <w:lang w:val="en-US" w:eastAsia="zh-CN"/>
              </w:rPr>
              <w:t>8</w:t>
            </w:r>
            <w:r>
              <w:rPr>
                <w:rFonts w:hint="eastAsia" w:ascii="宋体" w:hAnsi="宋体" w:eastAsia="宋体" w:cs="宋体"/>
                <w:color w:val="auto"/>
                <w:szCs w:val="24"/>
                <w:highlight w:val="none"/>
              </w:rPr>
              <w:t>分</w:t>
            </w: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70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65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794" w:type="dxa"/>
            <w:noWrap w:val="0"/>
            <w:vAlign w:val="center"/>
          </w:tcPr>
          <w:p>
            <w:pPr>
              <w:numPr>
                <w:ilvl w:val="0"/>
                <w:numId w:val="5"/>
              </w:numPr>
              <w:spacing w:line="360" w:lineRule="auto"/>
              <w:ind w:left="120" w:leftChars="0" w:firstLine="120" w:firstLineChars="0"/>
              <w:rPr>
                <w:rFonts w:hint="eastAsia" w:ascii="宋体" w:hAnsi="宋体" w:eastAsia="宋体" w:cs="宋体"/>
                <w:color w:val="auto"/>
                <w:szCs w:val="24"/>
                <w:highlight w:val="none"/>
              </w:rPr>
            </w:pPr>
          </w:p>
        </w:tc>
        <w:tc>
          <w:tcPr>
            <w:tcW w:w="599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eastAsia="宋体" w:cs="宋体"/>
                <w:color w:val="auto"/>
                <w:szCs w:val="24"/>
                <w:highlight w:val="none"/>
                <w:lang w:eastAsia="zh-CN"/>
              </w:rPr>
            </w:pPr>
            <w:r>
              <w:rPr>
                <w:rFonts w:hint="eastAsia" w:ascii="宋体" w:hAnsi="宋体" w:eastAsia="宋体" w:cs="Times New Roman"/>
                <w:sz w:val="24"/>
                <w:highlight w:val="none"/>
                <w:lang w:val="en-US" w:eastAsia="zh-CN"/>
              </w:rPr>
              <w:t>为确保产品质量，提供详细、食材货源证明材料（包括但不限于食材的生产加工企业、检验检疫单位、物流配送企业、包装销售企业的完整货源渠道证明）根据响应情况，证明材料完整详尽的，得</w:t>
            </w:r>
            <w:r>
              <w:rPr>
                <w:rFonts w:hint="eastAsia" w:ascii="宋体" w:hAnsi="宋体" w:eastAsia="宋体" w:cs="Times New Roman"/>
                <w:sz w:val="24"/>
                <w:highlight w:val="none"/>
              </w:rPr>
              <w:t>5</w:t>
            </w:r>
            <w:r>
              <w:rPr>
                <w:rFonts w:hint="eastAsia" w:hAnsi="宋体" w:cs="Times New Roman"/>
                <w:sz w:val="24"/>
                <w:highlight w:val="none"/>
                <w:lang w:val="en-US" w:eastAsia="zh-CN"/>
              </w:rPr>
              <w:t>.1</w:t>
            </w:r>
            <w:r>
              <w:rPr>
                <w:rFonts w:hint="eastAsia" w:ascii="宋体" w:hAnsi="宋体" w:eastAsia="宋体" w:cs="Times New Roman"/>
                <w:sz w:val="24"/>
                <w:highlight w:val="none"/>
              </w:rPr>
              <w:t>～8分</w:t>
            </w:r>
            <w:r>
              <w:rPr>
                <w:rFonts w:hint="eastAsia" w:ascii="宋体" w:hAnsi="宋体" w:eastAsia="宋体" w:cs="Times New Roman"/>
                <w:sz w:val="24"/>
                <w:highlight w:val="none"/>
                <w:lang w:val="en-US" w:eastAsia="zh-CN"/>
              </w:rPr>
              <w:t>；证明材料基本完整的，得</w:t>
            </w:r>
            <w:r>
              <w:rPr>
                <w:rFonts w:hint="eastAsia" w:ascii="宋体" w:hAnsi="宋体" w:eastAsia="宋体" w:cs="Times New Roman"/>
                <w:sz w:val="24"/>
                <w:highlight w:val="none"/>
              </w:rPr>
              <w:t>3</w:t>
            </w:r>
            <w:r>
              <w:rPr>
                <w:rFonts w:hint="eastAsia" w:hAnsi="宋体" w:cs="Times New Roman"/>
                <w:sz w:val="24"/>
                <w:highlight w:val="none"/>
                <w:lang w:val="en-US" w:eastAsia="zh-CN"/>
              </w:rPr>
              <w:t>.1</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5</w:t>
            </w:r>
            <w:r>
              <w:rPr>
                <w:rFonts w:hint="eastAsia" w:ascii="宋体" w:hAnsi="宋体" w:eastAsia="宋体" w:cs="Times New Roman"/>
                <w:sz w:val="24"/>
                <w:highlight w:val="none"/>
              </w:rPr>
              <w:t>分</w:t>
            </w:r>
            <w:r>
              <w:rPr>
                <w:rFonts w:hint="eastAsia" w:ascii="宋体" w:hAnsi="宋体" w:eastAsia="宋体" w:cs="Times New Roman"/>
                <w:sz w:val="24"/>
                <w:highlight w:val="none"/>
                <w:lang w:val="en-US" w:eastAsia="zh-CN"/>
              </w:rPr>
              <w:t>；证明材料严重缺失的，得</w:t>
            </w:r>
            <w:r>
              <w:rPr>
                <w:rFonts w:hint="eastAsia" w:ascii="宋体" w:hAnsi="宋体" w:eastAsia="宋体" w:cs="Times New Roman"/>
                <w:sz w:val="24"/>
                <w:highlight w:val="none"/>
              </w:rPr>
              <w:t>1～</w:t>
            </w:r>
            <w:r>
              <w:rPr>
                <w:rFonts w:hint="eastAsia" w:ascii="宋体" w:hAnsi="宋体" w:eastAsia="宋体" w:cs="Times New Roman"/>
                <w:sz w:val="24"/>
                <w:highlight w:val="none"/>
                <w:lang w:val="en-US" w:eastAsia="zh-CN"/>
              </w:rPr>
              <w:t>3</w:t>
            </w:r>
            <w:r>
              <w:rPr>
                <w:rFonts w:hint="eastAsia" w:ascii="宋体" w:hAnsi="宋体" w:eastAsia="宋体" w:cs="Times New Roman"/>
                <w:sz w:val="24"/>
                <w:highlight w:val="none"/>
              </w:rPr>
              <w:t>分</w:t>
            </w:r>
            <w:r>
              <w:rPr>
                <w:rFonts w:hint="eastAsia" w:ascii="宋体" w:hAnsi="宋体" w:eastAsia="宋体" w:cs="Times New Roman"/>
                <w:sz w:val="24"/>
                <w:highlight w:val="none"/>
                <w:lang w:val="en-US" w:eastAsia="zh-CN"/>
              </w:rPr>
              <w:t>；</w:t>
            </w:r>
            <w:r>
              <w:rPr>
                <w:rFonts w:hint="eastAsia" w:ascii="宋体" w:hAnsi="宋体"/>
                <w:sz w:val="24"/>
                <w:highlight w:val="none"/>
              </w:rPr>
              <w:t>未响应的不</w:t>
            </w:r>
            <w:r>
              <w:rPr>
                <w:rFonts w:hint="eastAsia" w:hAnsi="宋体"/>
                <w:sz w:val="24"/>
                <w:highlight w:val="none"/>
                <w:lang w:eastAsia="zh-CN"/>
              </w:rPr>
              <w:t>得</w:t>
            </w:r>
            <w:r>
              <w:rPr>
                <w:rFonts w:hint="eastAsia" w:ascii="宋体" w:hAnsi="宋体"/>
                <w:sz w:val="24"/>
                <w:highlight w:val="none"/>
              </w:rPr>
              <w:t>分。</w:t>
            </w:r>
          </w:p>
        </w:tc>
        <w:tc>
          <w:tcPr>
            <w:tcW w:w="760" w:type="dxa"/>
            <w:noWrap w:val="0"/>
            <w:vAlign w:val="center"/>
          </w:tcPr>
          <w:p>
            <w:pPr>
              <w:spacing w:line="360" w:lineRule="auto"/>
              <w:ind w:left="-108" w:leftChars="-45" w:firstLine="120" w:firstLineChars="50"/>
              <w:jc w:val="center"/>
              <w:rPr>
                <w:rFonts w:hint="eastAsia" w:ascii="宋体" w:hAnsi="宋体" w:eastAsia="宋体" w:cs="宋体"/>
                <w:color w:val="auto"/>
                <w:szCs w:val="24"/>
                <w:highlight w:val="none"/>
              </w:rPr>
            </w:pPr>
            <w:r>
              <w:rPr>
                <w:rFonts w:hint="eastAsia" w:hAnsi="宋体" w:eastAsia="宋体" w:cs="宋体"/>
                <w:color w:val="auto"/>
                <w:szCs w:val="24"/>
                <w:highlight w:val="none"/>
                <w:lang w:val="en-US" w:eastAsia="zh-CN"/>
              </w:rPr>
              <w:t>8</w:t>
            </w:r>
            <w:r>
              <w:rPr>
                <w:rFonts w:hint="eastAsia" w:ascii="宋体" w:hAnsi="宋体" w:eastAsia="宋体" w:cs="宋体"/>
                <w:color w:val="auto"/>
                <w:szCs w:val="24"/>
                <w:highlight w:val="none"/>
              </w:rPr>
              <w:t>分</w:t>
            </w: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700" w:type="dxa"/>
            <w:vMerge w:val="continue"/>
            <w:noWrap w:val="0"/>
            <w:vAlign w:val="center"/>
          </w:tcPr>
          <w:p>
            <w:pPr>
              <w:spacing w:line="360" w:lineRule="auto"/>
              <w:jc w:val="center"/>
              <w:rPr>
                <w:rFonts w:hint="eastAsia" w:ascii="宋体" w:hAnsi="宋体" w:eastAsia="宋体" w:cs="宋体"/>
                <w:color w:val="auto"/>
                <w:szCs w:val="24"/>
                <w:highlight w:val="none"/>
              </w:rPr>
            </w:pPr>
          </w:p>
        </w:tc>
        <w:tc>
          <w:tcPr>
            <w:tcW w:w="650" w:type="dxa"/>
            <w:vMerge w:val="continue"/>
            <w:noWrap w:val="0"/>
            <w:vAlign w:val="center"/>
          </w:tcPr>
          <w:p>
            <w:pPr>
              <w:spacing w:line="360" w:lineRule="auto"/>
              <w:jc w:val="center"/>
              <w:rPr>
                <w:rFonts w:hint="eastAsia" w:ascii="宋体" w:hAnsi="宋体" w:eastAsia="宋体" w:cs="宋体"/>
                <w:b/>
                <w:bCs/>
                <w:color w:val="auto"/>
                <w:szCs w:val="24"/>
                <w:highlight w:val="none"/>
              </w:rPr>
            </w:pPr>
          </w:p>
        </w:tc>
        <w:tc>
          <w:tcPr>
            <w:tcW w:w="794" w:type="dxa"/>
            <w:noWrap w:val="0"/>
            <w:vAlign w:val="center"/>
          </w:tcPr>
          <w:p>
            <w:pPr>
              <w:spacing w:line="360" w:lineRule="auto"/>
              <w:ind w:left="-108" w:leftChars="-45" w:firstLine="120" w:firstLineChars="5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④</w:t>
            </w:r>
          </w:p>
        </w:tc>
        <w:tc>
          <w:tcPr>
            <w:tcW w:w="5996"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eastAsia="宋体" w:cs="宋体"/>
                <w:color w:val="auto"/>
                <w:highlight w:val="none"/>
                <w:lang w:eastAsia="zh-CN"/>
              </w:rPr>
            </w:pPr>
            <w:r>
              <w:rPr>
                <w:rFonts w:hint="eastAsia" w:ascii="宋体" w:hAnsi="宋体" w:cs="宋体"/>
                <w:bCs/>
                <w:color w:val="auto"/>
                <w:szCs w:val="21"/>
                <w:highlight w:val="none"/>
              </w:rPr>
              <w:t>针对本项目的实际情况，对此做出的供货组织、运输和</w:t>
            </w:r>
            <w:r>
              <w:rPr>
                <w:rFonts w:hint="eastAsia" w:ascii="宋体" w:hAnsi="宋体" w:cs="宋体"/>
                <w:bCs/>
                <w:color w:val="auto"/>
                <w:szCs w:val="21"/>
                <w:highlight w:val="none"/>
                <w:lang w:eastAsia="zh-CN"/>
              </w:rPr>
              <w:t>供</w:t>
            </w:r>
            <w:r>
              <w:rPr>
                <w:rFonts w:hint="eastAsia" w:ascii="宋体" w:hAnsi="宋体" w:cs="宋体"/>
                <w:bCs/>
                <w:color w:val="auto"/>
                <w:szCs w:val="21"/>
                <w:highlight w:val="none"/>
              </w:rPr>
              <w:t>货期计划安排合理可行，产品原材料进货渠道安全规范，供应组织保障方案详细、全面，得</w:t>
            </w:r>
            <w:r>
              <w:rPr>
                <w:rFonts w:ascii="宋体" w:hAnsi="宋体" w:cs="仿宋"/>
                <w:sz w:val="24"/>
                <w:highlight w:val="none"/>
              </w:rPr>
              <w:t>5</w:t>
            </w:r>
            <w:r>
              <w:rPr>
                <w:rFonts w:hint="eastAsia" w:hAnsi="宋体" w:cs="仿宋"/>
                <w:sz w:val="24"/>
                <w:highlight w:val="none"/>
                <w:lang w:val="en-US" w:eastAsia="zh-CN"/>
              </w:rPr>
              <w:t>.1</w:t>
            </w:r>
            <w:r>
              <w:rPr>
                <w:rFonts w:hint="eastAsia" w:ascii="宋体" w:hAnsi="宋体" w:cs="宋体"/>
                <w:bCs/>
                <w:color w:val="auto"/>
                <w:szCs w:val="21"/>
                <w:highlight w:val="none"/>
              </w:rPr>
              <w:t>～</w:t>
            </w:r>
            <w:r>
              <w:rPr>
                <w:rFonts w:ascii="宋体" w:hAnsi="宋体" w:cs="仿宋"/>
                <w:sz w:val="24"/>
                <w:highlight w:val="none"/>
              </w:rPr>
              <w:t>8</w:t>
            </w:r>
            <w:r>
              <w:rPr>
                <w:rFonts w:hint="eastAsia" w:ascii="宋体" w:hAnsi="宋体" w:cs="宋体"/>
                <w:bCs/>
                <w:color w:val="auto"/>
                <w:szCs w:val="21"/>
                <w:highlight w:val="none"/>
              </w:rPr>
              <w:t>分</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保障方案</w:t>
            </w:r>
            <w:r>
              <w:rPr>
                <w:rFonts w:hint="eastAsia" w:ascii="宋体" w:hAnsi="宋体" w:cs="宋体"/>
                <w:bCs/>
                <w:color w:val="auto"/>
                <w:szCs w:val="21"/>
                <w:highlight w:val="none"/>
                <w:lang w:eastAsia="zh-CN"/>
              </w:rPr>
              <w:t>基本</w:t>
            </w:r>
            <w:r>
              <w:rPr>
                <w:rFonts w:hint="eastAsia" w:ascii="宋体" w:hAnsi="宋体" w:cs="宋体"/>
                <w:bCs/>
                <w:color w:val="auto"/>
                <w:szCs w:val="21"/>
                <w:highlight w:val="none"/>
              </w:rPr>
              <w:t>详细、全面，得</w:t>
            </w:r>
            <w:r>
              <w:rPr>
                <w:rFonts w:ascii="宋体" w:hAnsi="宋体"/>
                <w:sz w:val="24"/>
                <w:highlight w:val="none"/>
              </w:rPr>
              <w:t>3</w:t>
            </w:r>
            <w:r>
              <w:rPr>
                <w:rFonts w:hint="eastAsia" w:hAnsi="宋体"/>
                <w:sz w:val="24"/>
                <w:highlight w:val="none"/>
                <w:lang w:val="en-US" w:eastAsia="zh-CN"/>
              </w:rPr>
              <w:t>.1</w:t>
            </w:r>
            <w:r>
              <w:rPr>
                <w:rFonts w:hint="eastAsia" w:ascii="宋体" w:hAnsi="宋体" w:cs="宋体"/>
                <w:bCs/>
                <w:color w:val="auto"/>
                <w:szCs w:val="21"/>
                <w:highlight w:val="none"/>
              </w:rPr>
              <w:t>～</w:t>
            </w:r>
            <w:r>
              <w:rPr>
                <w:rFonts w:hint="eastAsia" w:ascii="宋体" w:hAnsi="宋体"/>
                <w:sz w:val="24"/>
                <w:highlight w:val="none"/>
                <w:lang w:val="en-US" w:eastAsia="zh-CN"/>
              </w:rPr>
              <w:t>5</w:t>
            </w:r>
            <w:r>
              <w:rPr>
                <w:rFonts w:hint="eastAsia" w:ascii="宋体" w:hAnsi="宋体" w:cs="宋体"/>
                <w:bCs/>
                <w:color w:val="auto"/>
                <w:szCs w:val="21"/>
                <w:highlight w:val="none"/>
              </w:rPr>
              <w:t>分</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保障方案</w:t>
            </w:r>
            <w:r>
              <w:rPr>
                <w:rFonts w:hint="eastAsia" w:ascii="宋体" w:hAnsi="宋体" w:cs="宋体"/>
                <w:bCs/>
                <w:color w:val="auto"/>
                <w:szCs w:val="21"/>
                <w:highlight w:val="none"/>
                <w:lang w:eastAsia="zh-CN"/>
              </w:rPr>
              <w:t>不够</w:t>
            </w:r>
            <w:r>
              <w:rPr>
                <w:rFonts w:hint="eastAsia" w:ascii="宋体" w:hAnsi="宋体" w:cs="宋体"/>
                <w:bCs/>
                <w:color w:val="auto"/>
                <w:szCs w:val="21"/>
                <w:highlight w:val="none"/>
              </w:rPr>
              <w:t>详细、全面，得</w:t>
            </w:r>
            <w:r>
              <w:rPr>
                <w:rFonts w:hint="eastAsia" w:ascii="宋体" w:hAnsi="宋体"/>
                <w:sz w:val="24"/>
                <w:highlight w:val="none"/>
                <w:lang w:val="en-US" w:eastAsia="zh-CN"/>
              </w:rPr>
              <w:t>1</w:t>
            </w:r>
            <w:r>
              <w:rPr>
                <w:rFonts w:hint="eastAsia" w:ascii="宋体" w:hAnsi="宋体" w:cs="宋体"/>
                <w:bCs/>
                <w:color w:val="auto"/>
                <w:szCs w:val="21"/>
                <w:highlight w:val="none"/>
              </w:rPr>
              <w:t>～</w:t>
            </w:r>
            <w:r>
              <w:rPr>
                <w:rFonts w:hint="eastAsia" w:ascii="宋体" w:hAnsi="宋体"/>
                <w:sz w:val="24"/>
                <w:highlight w:val="none"/>
                <w:lang w:val="en-US" w:eastAsia="zh-CN"/>
              </w:rPr>
              <w:t>3</w:t>
            </w:r>
            <w:r>
              <w:rPr>
                <w:rFonts w:hint="eastAsia" w:ascii="宋体" w:hAnsi="宋体" w:cs="宋体"/>
                <w:bCs/>
                <w:color w:val="auto"/>
                <w:szCs w:val="21"/>
                <w:highlight w:val="none"/>
              </w:rPr>
              <w:t>分</w:t>
            </w:r>
            <w:r>
              <w:rPr>
                <w:rFonts w:hint="eastAsia" w:ascii="宋体" w:hAnsi="宋体"/>
                <w:sz w:val="24"/>
                <w:highlight w:val="none"/>
              </w:rPr>
              <w:t>；</w:t>
            </w:r>
            <w:r>
              <w:rPr>
                <w:rFonts w:hint="eastAsia" w:hAnsi="宋体" w:eastAsia="宋体" w:cs="宋体"/>
                <w:color w:val="auto"/>
                <w:sz w:val="24"/>
                <w:szCs w:val="24"/>
                <w:highlight w:val="none"/>
                <w:lang w:eastAsia="zh-CN"/>
              </w:rPr>
              <w:t>缺项不得分</w:t>
            </w:r>
            <w:r>
              <w:rPr>
                <w:rFonts w:hint="eastAsia" w:ascii="宋体" w:hAnsi="宋体" w:cs="宋体"/>
                <w:bCs/>
                <w:color w:val="auto"/>
                <w:szCs w:val="21"/>
                <w:highlight w:val="none"/>
              </w:rPr>
              <w:t>。</w:t>
            </w:r>
          </w:p>
        </w:tc>
        <w:tc>
          <w:tcPr>
            <w:tcW w:w="760" w:type="dxa"/>
            <w:noWrap w:val="0"/>
            <w:vAlign w:val="center"/>
          </w:tcPr>
          <w:p>
            <w:pPr>
              <w:spacing w:line="360" w:lineRule="auto"/>
              <w:ind w:left="-108" w:leftChars="-45" w:firstLine="120" w:firstLineChars="50"/>
              <w:rPr>
                <w:rFonts w:hint="eastAsia" w:ascii="宋体" w:hAnsi="宋体" w:eastAsia="宋体" w:cs="宋体"/>
                <w:color w:val="auto"/>
                <w:szCs w:val="24"/>
                <w:highlight w:val="none"/>
              </w:rPr>
            </w:pPr>
            <w:r>
              <w:rPr>
                <w:rFonts w:hint="eastAsia" w:hAnsi="宋体" w:eastAsia="宋体" w:cs="宋体"/>
                <w:color w:val="auto"/>
                <w:szCs w:val="24"/>
                <w:highlight w:val="none"/>
                <w:lang w:val="en-US" w:eastAsia="zh-CN"/>
              </w:rPr>
              <w:t>8</w:t>
            </w:r>
            <w:r>
              <w:rPr>
                <w:rFonts w:hint="eastAsia" w:ascii="宋体" w:hAnsi="宋体" w:eastAsia="宋体" w:cs="宋体"/>
                <w:color w:val="auto"/>
                <w:szCs w:val="24"/>
                <w:highlight w:val="none"/>
              </w:rPr>
              <w:t>分</w:t>
            </w:r>
          </w:p>
        </w:tc>
        <w:tc>
          <w:tcPr>
            <w:tcW w:w="571" w:type="dxa"/>
            <w:vMerge w:val="restart"/>
            <w:noWrap w:val="0"/>
            <w:vAlign w:val="center"/>
          </w:tcPr>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根</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据</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磋商响应文</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件</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的</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响</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应</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程</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度</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按</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差</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别</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计</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分</w:t>
            </w:r>
          </w:p>
          <w:p>
            <w:pPr>
              <w:spacing w:line="360" w:lineRule="auto"/>
              <w:jc w:val="center"/>
              <w:rPr>
                <w:rFonts w:hint="eastAsia" w:ascii="宋体" w:hAnsi="宋体" w:eastAsia="宋体" w:cs="宋体"/>
                <w:b w:val="0"/>
                <w:bCs/>
                <w:color w:val="auto"/>
                <w:szCs w:val="24"/>
                <w:highlight w:val="none"/>
              </w:rPr>
            </w:pPr>
            <w:r>
              <w:rPr>
                <w:rFonts w:hint="eastAsia" w:ascii="宋体" w:hAnsi="宋体" w:eastAsia="宋体" w:cs="宋体"/>
                <w:b w:val="0"/>
                <w:bCs/>
                <w:color w:val="auto"/>
                <w:szCs w:val="24"/>
                <w:highlight w:val="none"/>
              </w:rPr>
              <w:t>。</w:t>
            </w:r>
          </w:p>
          <w:p>
            <w:pPr>
              <w:spacing w:line="360" w:lineRule="auto"/>
              <w:ind w:left="-108" w:leftChars="-45" w:firstLine="120" w:firstLineChars="50"/>
              <w:jc w:val="center"/>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0" w:type="dxa"/>
            <w:vMerge w:val="continue"/>
            <w:noWrap w:val="0"/>
            <w:vAlign w:val="center"/>
          </w:tcPr>
          <w:p>
            <w:pPr>
              <w:spacing w:line="360" w:lineRule="auto"/>
              <w:jc w:val="center"/>
              <w:rPr>
                <w:rFonts w:hint="eastAsia" w:ascii="宋体" w:hAnsi="宋体" w:eastAsia="宋体" w:cs="宋体"/>
                <w:color w:val="auto"/>
                <w:szCs w:val="24"/>
                <w:highlight w:val="none"/>
              </w:rPr>
            </w:pPr>
          </w:p>
        </w:tc>
        <w:tc>
          <w:tcPr>
            <w:tcW w:w="650" w:type="dxa"/>
            <w:vMerge w:val="continue"/>
            <w:noWrap w:val="0"/>
            <w:vAlign w:val="center"/>
          </w:tcPr>
          <w:p>
            <w:pPr>
              <w:spacing w:line="360" w:lineRule="auto"/>
              <w:jc w:val="center"/>
              <w:rPr>
                <w:rFonts w:hint="eastAsia" w:ascii="宋体" w:hAnsi="宋体" w:eastAsia="宋体" w:cs="宋体"/>
                <w:b/>
                <w:bCs/>
                <w:color w:val="auto"/>
                <w:szCs w:val="24"/>
                <w:highlight w:val="none"/>
              </w:rPr>
            </w:pPr>
          </w:p>
        </w:tc>
        <w:tc>
          <w:tcPr>
            <w:tcW w:w="794" w:type="dxa"/>
            <w:noWrap w:val="0"/>
            <w:vAlign w:val="center"/>
          </w:tcPr>
          <w:p>
            <w:pPr>
              <w:spacing w:line="360" w:lineRule="auto"/>
              <w:ind w:left="-108" w:leftChars="-45" w:firstLine="120" w:firstLineChars="5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⑤</w:t>
            </w:r>
          </w:p>
        </w:tc>
        <w:tc>
          <w:tcPr>
            <w:tcW w:w="5996"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Cs w:val="24"/>
                <w:highlight w:val="none"/>
                <w:lang w:eastAsia="zh-CN"/>
              </w:rPr>
              <w:t>对突发事件的处理预案措施及违约责任的承担与赔偿。应急预案详细可行性强，责任明确，赔偿方案合理的计</w:t>
            </w:r>
            <w:r>
              <w:rPr>
                <w:rFonts w:ascii="宋体" w:hAnsi="宋体" w:cs="仿宋"/>
                <w:sz w:val="24"/>
                <w:highlight w:val="none"/>
              </w:rPr>
              <w:t>5</w:t>
            </w:r>
            <w:r>
              <w:rPr>
                <w:rFonts w:hint="eastAsia" w:hAnsi="宋体" w:cs="仿宋"/>
                <w:sz w:val="24"/>
                <w:highlight w:val="none"/>
                <w:lang w:val="en-US" w:eastAsia="zh-CN"/>
              </w:rPr>
              <w:t>.1</w:t>
            </w:r>
            <w:r>
              <w:rPr>
                <w:rFonts w:hint="eastAsia" w:ascii="宋体" w:hAnsi="宋体" w:cs="宋体"/>
                <w:bCs/>
                <w:color w:val="auto"/>
                <w:szCs w:val="21"/>
                <w:highlight w:val="none"/>
              </w:rPr>
              <w:t>～</w:t>
            </w:r>
            <w:r>
              <w:rPr>
                <w:rFonts w:ascii="宋体" w:hAnsi="宋体" w:cs="仿宋"/>
                <w:sz w:val="24"/>
                <w:highlight w:val="none"/>
              </w:rPr>
              <w:t>8</w:t>
            </w:r>
            <w:r>
              <w:rPr>
                <w:rFonts w:hint="eastAsia" w:ascii="宋体" w:hAnsi="宋体" w:cs="仿宋"/>
                <w:sz w:val="24"/>
                <w:highlight w:val="none"/>
                <w:lang w:eastAsia="zh-CN"/>
              </w:rPr>
              <w:t>分</w:t>
            </w:r>
            <w:r>
              <w:rPr>
                <w:rFonts w:hint="eastAsia" w:ascii="宋体" w:hAnsi="宋体" w:eastAsia="宋体" w:cs="宋体"/>
                <w:color w:val="auto"/>
                <w:szCs w:val="24"/>
                <w:highlight w:val="none"/>
                <w:lang w:val="en-US" w:eastAsia="zh-CN"/>
              </w:rPr>
              <w:t>；应急预案比较合理、责任划分比较合理，赔偿方案较为合理的计</w:t>
            </w:r>
            <w:r>
              <w:rPr>
                <w:rFonts w:ascii="宋体" w:hAnsi="宋体"/>
                <w:sz w:val="24"/>
                <w:highlight w:val="none"/>
              </w:rPr>
              <w:t>3</w:t>
            </w:r>
            <w:r>
              <w:rPr>
                <w:rFonts w:hint="eastAsia" w:hAnsi="宋体"/>
                <w:sz w:val="24"/>
                <w:highlight w:val="none"/>
                <w:lang w:val="en-US" w:eastAsia="zh-CN"/>
              </w:rPr>
              <w:t>.1</w:t>
            </w:r>
            <w:r>
              <w:rPr>
                <w:rFonts w:hint="eastAsia" w:ascii="宋体" w:hAnsi="宋体" w:cs="宋体"/>
                <w:bCs/>
                <w:color w:val="auto"/>
                <w:szCs w:val="21"/>
                <w:highlight w:val="none"/>
              </w:rPr>
              <w:t>～</w:t>
            </w:r>
            <w:r>
              <w:rPr>
                <w:rFonts w:hint="eastAsia" w:ascii="宋体" w:hAnsi="宋体"/>
                <w:sz w:val="24"/>
                <w:highlight w:val="none"/>
                <w:lang w:val="en-US" w:eastAsia="zh-CN"/>
              </w:rPr>
              <w:t>5</w:t>
            </w:r>
            <w:r>
              <w:rPr>
                <w:rFonts w:hint="eastAsia" w:ascii="宋体" w:hAnsi="宋体"/>
                <w:sz w:val="24"/>
                <w:highlight w:val="none"/>
                <w:lang w:eastAsia="zh-CN"/>
              </w:rPr>
              <w:t>分</w:t>
            </w:r>
            <w:r>
              <w:rPr>
                <w:rFonts w:hint="eastAsia" w:ascii="宋体" w:hAnsi="宋体" w:eastAsia="宋体" w:cs="宋体"/>
                <w:color w:val="auto"/>
                <w:szCs w:val="24"/>
                <w:highlight w:val="none"/>
                <w:lang w:val="en-US" w:eastAsia="zh-CN"/>
              </w:rPr>
              <w:t>；应急预案不够合理、责任划分不够合理，赔偿方案不够合理的计</w:t>
            </w:r>
            <w:r>
              <w:rPr>
                <w:rFonts w:ascii="宋体" w:hAnsi="宋体"/>
                <w:sz w:val="24"/>
                <w:highlight w:val="none"/>
              </w:rPr>
              <w:t>1</w:t>
            </w:r>
            <w:r>
              <w:rPr>
                <w:rFonts w:hint="eastAsia" w:ascii="宋体" w:hAnsi="宋体" w:cs="宋体"/>
                <w:bCs/>
                <w:color w:val="auto"/>
                <w:szCs w:val="21"/>
                <w:highlight w:val="none"/>
              </w:rPr>
              <w:t>～</w:t>
            </w:r>
            <w:r>
              <w:rPr>
                <w:rFonts w:hint="eastAsia" w:ascii="宋体" w:hAnsi="宋体"/>
                <w:sz w:val="24"/>
                <w:highlight w:val="none"/>
                <w:lang w:val="en-US" w:eastAsia="zh-CN"/>
              </w:rPr>
              <w:t>3</w:t>
            </w:r>
            <w:r>
              <w:rPr>
                <w:rFonts w:hint="eastAsia" w:ascii="宋体" w:hAnsi="宋体"/>
                <w:sz w:val="24"/>
                <w:highlight w:val="none"/>
              </w:rPr>
              <w:t>分；</w:t>
            </w:r>
            <w:r>
              <w:rPr>
                <w:rFonts w:hint="eastAsia" w:hAnsi="宋体" w:eastAsia="宋体" w:cs="宋体"/>
                <w:color w:val="auto"/>
                <w:sz w:val="24"/>
                <w:szCs w:val="24"/>
                <w:highlight w:val="none"/>
                <w:lang w:eastAsia="zh-CN"/>
              </w:rPr>
              <w:t>缺项不得分</w:t>
            </w:r>
            <w:r>
              <w:rPr>
                <w:rFonts w:hint="eastAsia" w:ascii="宋体" w:hAnsi="宋体" w:eastAsia="宋体" w:cs="宋体"/>
                <w:color w:val="auto"/>
                <w:szCs w:val="24"/>
                <w:highlight w:val="none"/>
                <w:lang w:val="en-US" w:eastAsia="zh-CN"/>
              </w:rPr>
              <w:t>。</w:t>
            </w:r>
          </w:p>
        </w:tc>
        <w:tc>
          <w:tcPr>
            <w:tcW w:w="760" w:type="dxa"/>
            <w:noWrap w:val="0"/>
            <w:vAlign w:val="center"/>
          </w:tcPr>
          <w:p>
            <w:pPr>
              <w:spacing w:line="360" w:lineRule="auto"/>
              <w:ind w:left="-108" w:leftChars="-45" w:firstLine="120" w:firstLineChars="50"/>
              <w:rPr>
                <w:rFonts w:hint="eastAsia" w:ascii="宋体" w:hAnsi="宋体" w:eastAsia="宋体" w:cs="宋体"/>
                <w:color w:val="auto"/>
                <w:szCs w:val="24"/>
                <w:highlight w:val="none"/>
                <w:lang w:val="en-US" w:eastAsia="zh-CN"/>
              </w:rPr>
            </w:pPr>
            <w:r>
              <w:rPr>
                <w:rFonts w:hint="eastAsia" w:hAnsi="宋体" w:eastAsia="宋体" w:cs="宋体"/>
                <w:color w:val="auto"/>
                <w:szCs w:val="24"/>
                <w:highlight w:val="none"/>
                <w:lang w:val="en-US" w:eastAsia="zh-CN"/>
              </w:rPr>
              <w:t>8</w:t>
            </w:r>
            <w:r>
              <w:rPr>
                <w:rFonts w:hint="eastAsia" w:ascii="宋体" w:hAnsi="宋体" w:eastAsia="宋体" w:cs="宋体"/>
                <w:color w:val="auto"/>
                <w:szCs w:val="24"/>
                <w:highlight w:val="none"/>
                <w:lang w:val="en-US" w:eastAsia="zh-CN"/>
              </w:rPr>
              <w:t>分</w:t>
            </w: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700" w:type="dxa"/>
            <w:vMerge w:val="continue"/>
            <w:noWrap w:val="0"/>
            <w:vAlign w:val="center"/>
          </w:tcPr>
          <w:p>
            <w:pPr>
              <w:spacing w:line="360" w:lineRule="auto"/>
              <w:jc w:val="center"/>
              <w:rPr>
                <w:rFonts w:hint="eastAsia" w:ascii="宋体" w:hAnsi="宋体" w:eastAsia="宋体" w:cs="宋体"/>
                <w:color w:val="auto"/>
                <w:szCs w:val="24"/>
                <w:highlight w:val="none"/>
              </w:rPr>
            </w:pPr>
          </w:p>
        </w:tc>
        <w:tc>
          <w:tcPr>
            <w:tcW w:w="650" w:type="dxa"/>
            <w:vMerge w:val="continue"/>
            <w:noWrap w:val="0"/>
            <w:vAlign w:val="center"/>
          </w:tcPr>
          <w:p>
            <w:pPr>
              <w:spacing w:line="360" w:lineRule="auto"/>
              <w:jc w:val="center"/>
              <w:rPr>
                <w:rFonts w:hint="eastAsia" w:ascii="宋体" w:hAnsi="宋体" w:eastAsia="宋体" w:cs="宋体"/>
                <w:b/>
                <w:bCs/>
                <w:color w:val="auto"/>
                <w:szCs w:val="24"/>
                <w:highlight w:val="none"/>
              </w:rPr>
            </w:pPr>
          </w:p>
        </w:tc>
        <w:tc>
          <w:tcPr>
            <w:tcW w:w="794" w:type="dxa"/>
            <w:noWrap w:val="0"/>
            <w:vAlign w:val="center"/>
          </w:tcPr>
          <w:p>
            <w:pPr>
              <w:spacing w:line="360" w:lineRule="auto"/>
              <w:ind w:left="-108" w:leftChars="-45" w:firstLine="120" w:firstLineChars="5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⑥</w:t>
            </w:r>
          </w:p>
        </w:tc>
        <w:tc>
          <w:tcPr>
            <w:tcW w:w="5996"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default" w:ascii="宋体" w:hAnsi="宋体" w:eastAsia="宋体" w:cs="宋体"/>
                <w:color w:val="auto"/>
                <w:szCs w:val="24"/>
                <w:highlight w:val="none"/>
                <w:lang w:val="en-US" w:eastAsia="zh-CN"/>
              </w:rPr>
            </w:pPr>
            <w:r>
              <w:rPr>
                <w:rFonts w:hint="eastAsia" w:ascii="宋体" w:hAnsi="宋体" w:eastAsia="宋体" w:cs="宋体"/>
                <w:color w:val="auto"/>
                <w:sz w:val="24"/>
                <w:szCs w:val="24"/>
                <w:highlight w:val="none"/>
              </w:rPr>
              <w:t>针对本项目</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质量保证措施方案（服务期限内出现安全隐患及满意度下降等情况时的处罚办法）。有具体可行的</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质量保证措施，方案具体、完整、可操作性强的得</w:t>
            </w:r>
            <w:r>
              <w:rPr>
                <w:rFonts w:ascii="宋体" w:hAnsi="宋体" w:cs="仿宋"/>
                <w:sz w:val="24"/>
                <w:highlight w:val="none"/>
              </w:rPr>
              <w:t>5</w:t>
            </w:r>
            <w:r>
              <w:rPr>
                <w:rFonts w:hint="eastAsia" w:hAnsi="宋体" w:cs="仿宋"/>
                <w:sz w:val="24"/>
                <w:highlight w:val="none"/>
                <w:lang w:val="en-US" w:eastAsia="zh-CN"/>
              </w:rPr>
              <w:t>.1</w:t>
            </w:r>
            <w:r>
              <w:rPr>
                <w:rFonts w:hint="eastAsia" w:ascii="宋体" w:hAnsi="宋体" w:cs="宋体"/>
                <w:bCs/>
                <w:color w:val="auto"/>
                <w:szCs w:val="21"/>
                <w:highlight w:val="none"/>
              </w:rPr>
              <w:t>～</w:t>
            </w:r>
            <w:r>
              <w:rPr>
                <w:rFonts w:ascii="宋体" w:hAnsi="宋体" w:cs="仿宋"/>
                <w:sz w:val="24"/>
                <w:highlight w:val="none"/>
              </w:rPr>
              <w:t>8</w:t>
            </w:r>
            <w:r>
              <w:rPr>
                <w:rFonts w:hint="eastAsia" w:ascii="宋体" w:hAnsi="宋体" w:cs="仿宋"/>
                <w:sz w:val="24"/>
                <w:highlight w:val="none"/>
                <w:lang w:eastAsia="zh-CN"/>
              </w:rPr>
              <w:t>分</w:t>
            </w:r>
            <w:r>
              <w:rPr>
                <w:rFonts w:hint="eastAsia" w:ascii="宋体" w:hAnsi="宋体" w:eastAsia="宋体" w:cs="宋体"/>
                <w:color w:val="auto"/>
                <w:sz w:val="24"/>
                <w:szCs w:val="24"/>
                <w:highlight w:val="none"/>
              </w:rPr>
              <w:t>；方案具体、完整、可操作性强的得</w:t>
            </w:r>
            <w:r>
              <w:rPr>
                <w:rFonts w:ascii="宋体" w:hAnsi="宋体"/>
                <w:sz w:val="24"/>
                <w:highlight w:val="none"/>
              </w:rPr>
              <w:t>3</w:t>
            </w:r>
            <w:r>
              <w:rPr>
                <w:rFonts w:hint="eastAsia" w:hAnsi="宋体"/>
                <w:sz w:val="24"/>
                <w:highlight w:val="none"/>
                <w:lang w:val="en-US" w:eastAsia="zh-CN"/>
              </w:rPr>
              <w:t>.1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5</w:t>
            </w:r>
            <w:r>
              <w:rPr>
                <w:rFonts w:hint="eastAsia" w:ascii="宋体" w:hAnsi="宋体"/>
                <w:sz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方案有明显缺漏项，不能完全保证服务期内质量保证需求，可操作性较差的计</w:t>
            </w:r>
            <w:r>
              <w:rPr>
                <w:rFonts w:ascii="宋体" w:hAnsi="宋体"/>
                <w:sz w:val="24"/>
                <w:highlight w:val="none"/>
              </w:rPr>
              <w:t>1</w:t>
            </w:r>
            <w:r>
              <w:rPr>
                <w:rFonts w:hint="eastAsia" w:ascii="宋体" w:hAnsi="宋体" w:cs="宋体"/>
                <w:bCs/>
                <w:color w:val="auto"/>
                <w:szCs w:val="21"/>
                <w:highlight w:val="none"/>
              </w:rPr>
              <w:t>～</w:t>
            </w:r>
            <w:r>
              <w:rPr>
                <w:rFonts w:hint="eastAsia" w:ascii="宋体" w:hAnsi="宋体"/>
                <w:sz w:val="24"/>
                <w:highlight w:val="none"/>
                <w:lang w:val="en-US" w:eastAsia="zh-CN"/>
              </w:rPr>
              <w:t>3</w:t>
            </w:r>
            <w:r>
              <w:rPr>
                <w:rFonts w:hint="eastAsia" w:ascii="宋体" w:hAnsi="宋体"/>
                <w:sz w:val="24"/>
                <w:highlight w:val="none"/>
              </w:rPr>
              <w:t>分；</w:t>
            </w:r>
            <w:r>
              <w:rPr>
                <w:rFonts w:hint="eastAsia" w:hAnsi="宋体" w:eastAsia="宋体" w:cs="宋体"/>
                <w:color w:val="auto"/>
                <w:sz w:val="24"/>
                <w:szCs w:val="24"/>
                <w:highlight w:val="none"/>
                <w:lang w:eastAsia="zh-CN"/>
              </w:rPr>
              <w:t>缺项不得分</w:t>
            </w:r>
            <w:r>
              <w:rPr>
                <w:rFonts w:hint="eastAsia" w:hAnsi="宋体" w:eastAsia="宋体" w:cs="宋体"/>
                <w:color w:val="auto"/>
                <w:sz w:val="24"/>
                <w:szCs w:val="24"/>
                <w:highlight w:val="none"/>
                <w:lang w:val="en-US" w:eastAsia="zh-CN"/>
              </w:rPr>
              <w:t>。</w:t>
            </w:r>
          </w:p>
        </w:tc>
        <w:tc>
          <w:tcPr>
            <w:tcW w:w="760" w:type="dxa"/>
            <w:noWrap w:val="0"/>
            <w:vAlign w:val="center"/>
          </w:tcPr>
          <w:p>
            <w:pPr>
              <w:spacing w:line="360" w:lineRule="auto"/>
              <w:ind w:left="-108" w:leftChars="-45" w:firstLine="120" w:firstLineChars="50"/>
              <w:rPr>
                <w:rFonts w:hint="eastAsia" w:ascii="宋体" w:hAnsi="宋体" w:eastAsia="宋体" w:cs="宋体"/>
                <w:color w:val="auto"/>
                <w:szCs w:val="24"/>
                <w:highlight w:val="none"/>
              </w:rPr>
            </w:pPr>
            <w:r>
              <w:rPr>
                <w:rFonts w:hint="eastAsia" w:hAnsi="宋体" w:eastAsia="宋体" w:cs="宋体"/>
                <w:color w:val="auto"/>
                <w:szCs w:val="24"/>
                <w:highlight w:val="none"/>
                <w:lang w:val="en-US" w:eastAsia="zh-CN"/>
              </w:rPr>
              <w:t>8</w:t>
            </w:r>
            <w:r>
              <w:rPr>
                <w:rFonts w:hint="eastAsia" w:ascii="宋体" w:hAnsi="宋体" w:eastAsia="宋体" w:cs="宋体"/>
                <w:color w:val="auto"/>
                <w:szCs w:val="24"/>
                <w:highlight w:val="none"/>
              </w:rPr>
              <w:t>分</w:t>
            </w: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00" w:type="dxa"/>
            <w:vMerge w:val="restart"/>
            <w:noWrap w:val="0"/>
            <w:vAlign w:val="center"/>
          </w:tcPr>
          <w:p>
            <w:pPr>
              <w:spacing w:line="360" w:lineRule="auto"/>
              <w:jc w:val="center"/>
              <w:rPr>
                <w:rFonts w:hint="eastAsia" w:ascii="宋体" w:hAnsi="宋体" w:eastAsia="宋体" w:cs="宋体"/>
                <w:color w:val="auto"/>
                <w:szCs w:val="24"/>
                <w:highlight w:val="none"/>
              </w:rPr>
            </w:pPr>
            <w:r>
              <w:rPr>
                <w:rFonts w:hint="eastAsia" w:hAnsi="宋体" w:eastAsia="宋体" w:cs="宋体"/>
                <w:color w:val="auto"/>
                <w:szCs w:val="24"/>
                <w:highlight w:val="none"/>
                <w:lang w:eastAsia="zh-CN"/>
              </w:rPr>
              <w:t>业绩</w:t>
            </w:r>
            <w:r>
              <w:rPr>
                <w:rFonts w:hint="eastAsia" w:ascii="宋体" w:hAnsi="宋体" w:eastAsia="宋体" w:cs="宋体"/>
                <w:color w:val="auto"/>
                <w:szCs w:val="24"/>
                <w:highlight w:val="none"/>
              </w:rPr>
              <w:t>及</w:t>
            </w:r>
          </w:p>
          <w:p>
            <w:pPr>
              <w:spacing w:line="360" w:lineRule="auto"/>
              <w:jc w:val="center"/>
              <w:rPr>
                <w:rFonts w:hint="eastAsia" w:ascii="宋体" w:hAnsi="宋体" w:eastAsia="宋体" w:cs="宋体"/>
                <w:color w:val="auto"/>
                <w:szCs w:val="24"/>
                <w:highlight w:val="none"/>
              </w:rPr>
            </w:pPr>
            <w:r>
              <w:rPr>
                <w:rFonts w:hint="eastAsia" w:hAnsi="宋体" w:eastAsia="宋体" w:cs="宋体"/>
                <w:color w:val="auto"/>
                <w:szCs w:val="24"/>
                <w:highlight w:val="none"/>
                <w:lang w:eastAsia="zh-CN"/>
              </w:rPr>
              <w:t>售后</w:t>
            </w:r>
            <w:r>
              <w:rPr>
                <w:rFonts w:hint="eastAsia" w:ascii="宋体" w:hAnsi="宋体" w:eastAsia="宋体" w:cs="宋体"/>
                <w:color w:val="auto"/>
                <w:szCs w:val="24"/>
                <w:highlight w:val="none"/>
              </w:rPr>
              <w:t>服务承诺评审</w:t>
            </w:r>
          </w:p>
        </w:tc>
        <w:tc>
          <w:tcPr>
            <w:tcW w:w="650" w:type="dxa"/>
            <w:vMerge w:val="restart"/>
            <w:noWrap w:val="0"/>
            <w:vAlign w:val="center"/>
          </w:tcPr>
          <w:p>
            <w:pPr>
              <w:spacing w:line="360" w:lineRule="auto"/>
              <w:jc w:val="cente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lang w:val="en-US" w:eastAsia="zh-CN"/>
              </w:rPr>
              <w:t>20</w:t>
            </w:r>
            <w:r>
              <w:rPr>
                <w:rFonts w:hint="eastAsia" w:ascii="宋体" w:hAnsi="宋体" w:eastAsia="宋体" w:cs="宋体"/>
                <w:b/>
                <w:bCs/>
                <w:color w:val="auto"/>
                <w:szCs w:val="24"/>
                <w:highlight w:val="none"/>
              </w:rPr>
              <w:t>分</w:t>
            </w:r>
          </w:p>
          <w:p>
            <w:pPr>
              <w:pStyle w:val="10"/>
              <w:rPr>
                <w:rFonts w:hint="eastAsia" w:ascii="宋体" w:hAnsi="宋体" w:eastAsia="宋体" w:cs="宋体"/>
                <w:color w:val="auto"/>
                <w:highlight w:val="none"/>
              </w:rPr>
            </w:pPr>
          </w:p>
        </w:tc>
        <w:tc>
          <w:tcPr>
            <w:tcW w:w="794" w:type="dxa"/>
            <w:noWrap w:val="0"/>
            <w:vAlign w:val="center"/>
          </w:tcPr>
          <w:p>
            <w:pPr>
              <w:numPr>
                <w:ilvl w:val="0"/>
                <w:numId w:val="0"/>
              </w:numPr>
              <w:spacing w:line="360" w:lineRule="auto"/>
              <w:ind w:left="12" w:leftChars="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①</w:t>
            </w:r>
          </w:p>
        </w:tc>
        <w:tc>
          <w:tcPr>
            <w:tcW w:w="5996"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供应商提供201</w:t>
            </w:r>
            <w:r>
              <w:rPr>
                <w:rFonts w:hint="eastAsia" w:ascii="宋体" w:hAnsi="宋体" w:eastAsia="宋体" w:cs="宋体"/>
                <w:color w:val="auto"/>
                <w:szCs w:val="24"/>
                <w:highlight w:val="none"/>
                <w:lang w:val="en-US" w:eastAsia="zh-CN"/>
              </w:rPr>
              <w:t>8</w:t>
            </w:r>
            <w:r>
              <w:rPr>
                <w:rFonts w:hint="eastAsia" w:ascii="宋体" w:hAnsi="宋体" w:eastAsia="宋体" w:cs="宋体"/>
                <w:color w:val="auto"/>
                <w:szCs w:val="24"/>
                <w:highlight w:val="none"/>
              </w:rPr>
              <w:t>年</w:t>
            </w: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rPr>
              <w:t>月至今的</w:t>
            </w:r>
            <w:r>
              <w:rPr>
                <w:rFonts w:hint="eastAsia" w:ascii="宋体" w:hAnsi="宋体" w:cs="宋体"/>
                <w:bCs/>
                <w:color w:val="auto"/>
                <w:szCs w:val="21"/>
                <w:highlight w:val="none"/>
              </w:rPr>
              <w:t>类似项目供货业绩</w:t>
            </w:r>
            <w:r>
              <w:rPr>
                <w:rFonts w:hint="eastAsia" w:ascii="宋体" w:hAnsi="宋体" w:eastAsia="宋体" w:cs="宋体"/>
                <w:color w:val="auto"/>
                <w:szCs w:val="24"/>
                <w:highlight w:val="none"/>
              </w:rPr>
              <w:t>证明，每提供一份得2分，最高得10分。（以合同为准，同时须在磋商响应文件中附合同复印件加盖公章，弄虚作假者取消其成交资格）。</w:t>
            </w:r>
          </w:p>
        </w:tc>
        <w:tc>
          <w:tcPr>
            <w:tcW w:w="760" w:type="dxa"/>
            <w:noWrap w:val="0"/>
            <w:vAlign w:val="center"/>
          </w:tcPr>
          <w:p>
            <w:pPr>
              <w:spacing w:line="360" w:lineRule="auto"/>
              <w:ind w:left="-108" w:leftChars="-45" w:firstLine="120" w:firstLineChars="5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10分</w:t>
            </w: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70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65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794" w:type="dxa"/>
            <w:noWrap w:val="0"/>
            <w:vAlign w:val="center"/>
          </w:tcPr>
          <w:p>
            <w:pPr>
              <w:numPr>
                <w:ilvl w:val="0"/>
                <w:numId w:val="0"/>
              </w:numPr>
              <w:spacing w:line="360" w:lineRule="auto"/>
              <w:ind w:left="12" w:leftChars="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②</w:t>
            </w:r>
          </w:p>
        </w:tc>
        <w:tc>
          <w:tcPr>
            <w:tcW w:w="599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sz w:val="24"/>
                <w:highlight w:val="none"/>
                <w:lang w:val="en-US" w:eastAsia="zh-CN" w:bidi="ar-SA"/>
              </w:rPr>
            </w:pPr>
            <w:r>
              <w:rPr>
                <w:rFonts w:hint="eastAsia"/>
                <w:color w:val="auto"/>
                <w:highlight w:val="none"/>
              </w:rPr>
              <w:t>满足用户的配送要求，承诺最短响应时间，对服务期内所提供产品食品安全、质量等方面具有详细的服务承诺及保证措施</w:t>
            </w:r>
            <w:r>
              <w:rPr>
                <w:rFonts w:hint="eastAsia"/>
                <w:color w:val="auto"/>
                <w:highlight w:val="none"/>
                <w:lang w:eastAsia="zh-CN"/>
              </w:rPr>
              <w:t>；</w:t>
            </w:r>
            <w:r>
              <w:rPr>
                <w:rFonts w:hint="eastAsia" w:ascii="宋体" w:hAnsi="宋体" w:cs="仿宋"/>
                <w:sz w:val="24"/>
                <w:highlight w:val="none"/>
              </w:rPr>
              <w:t>服务承诺及保证措施</w:t>
            </w:r>
            <w:r>
              <w:rPr>
                <w:rFonts w:hint="eastAsia" w:ascii="宋体" w:hAnsi="宋体" w:cs="仿宋"/>
                <w:sz w:val="24"/>
                <w:highlight w:val="none"/>
                <w:lang w:eastAsia="zh-CN"/>
              </w:rPr>
              <w:t>根据优</w:t>
            </w:r>
            <w:r>
              <w:rPr>
                <w:rFonts w:hint="eastAsia" w:ascii="宋体" w:hAnsi="宋体"/>
                <w:sz w:val="24"/>
                <w:highlight w:val="none"/>
              </w:rPr>
              <w:t>计</w:t>
            </w:r>
            <w:r>
              <w:rPr>
                <w:rFonts w:hint="eastAsia" w:hAnsi="宋体"/>
                <w:sz w:val="24"/>
                <w:highlight w:val="none"/>
                <w:lang w:val="en-US" w:eastAsia="zh-CN"/>
              </w:rPr>
              <w:t>0</w:t>
            </w:r>
            <w:r>
              <w:rPr>
                <w:rFonts w:hint="eastAsia" w:ascii="宋体" w:hAnsi="宋体" w:cs="宋体"/>
                <w:bCs/>
                <w:color w:val="auto"/>
                <w:szCs w:val="21"/>
                <w:highlight w:val="none"/>
              </w:rPr>
              <w:t>～</w:t>
            </w:r>
            <w:r>
              <w:rPr>
                <w:rFonts w:ascii="宋体" w:hAnsi="宋体"/>
                <w:sz w:val="24"/>
                <w:highlight w:val="none"/>
              </w:rPr>
              <w:t>5</w:t>
            </w:r>
            <w:r>
              <w:rPr>
                <w:rFonts w:hint="eastAsia" w:ascii="宋体" w:hAnsi="宋体"/>
                <w:sz w:val="24"/>
                <w:highlight w:val="none"/>
              </w:rPr>
              <w:t>，未</w:t>
            </w:r>
            <w:r>
              <w:rPr>
                <w:rFonts w:hint="eastAsia" w:ascii="宋体" w:hAnsi="宋体"/>
                <w:sz w:val="24"/>
                <w:highlight w:val="none"/>
                <w:lang w:eastAsia="zh-CN"/>
              </w:rPr>
              <w:t>响应</w:t>
            </w:r>
            <w:r>
              <w:rPr>
                <w:rFonts w:hint="eastAsia" w:ascii="宋体" w:hAnsi="宋体"/>
                <w:sz w:val="24"/>
                <w:highlight w:val="none"/>
              </w:rPr>
              <w:t>的不</w:t>
            </w:r>
            <w:r>
              <w:rPr>
                <w:rFonts w:hint="eastAsia" w:ascii="宋体" w:hAnsi="宋体"/>
                <w:sz w:val="24"/>
                <w:highlight w:val="none"/>
                <w:lang w:eastAsia="zh-CN"/>
              </w:rPr>
              <w:t>得</w:t>
            </w:r>
            <w:r>
              <w:rPr>
                <w:rFonts w:hint="eastAsia" w:ascii="宋体" w:hAnsi="宋体"/>
                <w:sz w:val="24"/>
                <w:highlight w:val="none"/>
              </w:rPr>
              <w:t>分。</w:t>
            </w:r>
          </w:p>
        </w:tc>
        <w:tc>
          <w:tcPr>
            <w:tcW w:w="760" w:type="dxa"/>
            <w:noWrap w:val="0"/>
            <w:vAlign w:val="center"/>
          </w:tcPr>
          <w:p>
            <w:pPr>
              <w:spacing w:line="360" w:lineRule="auto"/>
              <w:ind w:left="-108" w:leftChars="-45" w:firstLine="120" w:firstLineChars="50"/>
              <w:rPr>
                <w:rFonts w:hint="eastAsia" w:ascii="宋体" w:hAnsi="宋体" w:eastAsia="宋体" w:cs="宋体"/>
                <w:color w:val="auto"/>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分</w:t>
            </w: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0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650"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c>
          <w:tcPr>
            <w:tcW w:w="794" w:type="dxa"/>
            <w:noWrap w:val="0"/>
            <w:vAlign w:val="center"/>
          </w:tcPr>
          <w:p>
            <w:pPr>
              <w:numPr>
                <w:ilvl w:val="0"/>
                <w:numId w:val="0"/>
              </w:numPr>
              <w:spacing w:line="360" w:lineRule="auto"/>
              <w:ind w:left="12" w:leftChars="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③</w:t>
            </w:r>
          </w:p>
        </w:tc>
        <w:tc>
          <w:tcPr>
            <w:tcW w:w="599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10" w:after="0" w:afterLines="10" w:line="360" w:lineRule="exact"/>
              <w:ind w:left="24" w:leftChars="10" w:right="24" w:rightChars="10"/>
              <w:textAlignment w:val="auto"/>
              <w:rPr>
                <w:rFonts w:hint="eastAsia" w:ascii="宋体" w:hAnsi="宋体"/>
                <w:sz w:val="24"/>
                <w:highlight w:val="none"/>
                <w:lang w:val="en-US" w:eastAsia="zh-CN" w:bidi="ar-SA"/>
              </w:rPr>
            </w:pPr>
            <w:r>
              <w:rPr>
                <w:rFonts w:hint="eastAsia" w:ascii="宋体" w:hAnsi="宋体"/>
                <w:sz w:val="24"/>
                <w:highlight w:val="none"/>
              </w:rPr>
              <w:t>针对运输途中产生的破损、胀袋等有无补救措施和承诺及其补救措施和承诺的可行性、可靠性，根据优劣计</w:t>
            </w:r>
            <w:r>
              <w:rPr>
                <w:rFonts w:hint="eastAsia" w:hAnsi="宋体"/>
                <w:sz w:val="24"/>
                <w:highlight w:val="none"/>
                <w:lang w:val="en-US" w:eastAsia="zh-CN"/>
              </w:rPr>
              <w:t>0</w:t>
            </w:r>
            <w:r>
              <w:rPr>
                <w:rFonts w:hint="eastAsia" w:ascii="宋体" w:hAnsi="宋体" w:cs="宋体"/>
                <w:bCs/>
                <w:color w:val="auto"/>
                <w:szCs w:val="21"/>
                <w:highlight w:val="none"/>
              </w:rPr>
              <w:t>～</w:t>
            </w:r>
            <w:r>
              <w:rPr>
                <w:rFonts w:ascii="宋体" w:hAnsi="宋体"/>
                <w:sz w:val="24"/>
                <w:highlight w:val="none"/>
              </w:rPr>
              <w:t>5</w:t>
            </w:r>
            <w:r>
              <w:rPr>
                <w:rFonts w:hint="eastAsia" w:ascii="宋体" w:hAnsi="宋体"/>
                <w:sz w:val="24"/>
                <w:highlight w:val="none"/>
              </w:rPr>
              <w:t>分，未承诺的不</w:t>
            </w:r>
            <w:r>
              <w:rPr>
                <w:rFonts w:hint="eastAsia" w:ascii="宋体" w:hAnsi="宋体"/>
                <w:sz w:val="24"/>
                <w:highlight w:val="none"/>
                <w:lang w:eastAsia="zh-CN"/>
              </w:rPr>
              <w:t>得</w:t>
            </w:r>
            <w:r>
              <w:rPr>
                <w:rFonts w:hint="eastAsia" w:ascii="宋体" w:hAnsi="宋体"/>
                <w:sz w:val="24"/>
                <w:highlight w:val="none"/>
              </w:rPr>
              <w:t>分。</w:t>
            </w:r>
          </w:p>
        </w:tc>
        <w:tc>
          <w:tcPr>
            <w:tcW w:w="760" w:type="dxa"/>
            <w:noWrap w:val="0"/>
            <w:vAlign w:val="center"/>
          </w:tcPr>
          <w:p>
            <w:pPr>
              <w:spacing w:line="360" w:lineRule="auto"/>
              <w:ind w:left="-108" w:leftChars="-45" w:firstLine="120" w:firstLineChars="5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分</w:t>
            </w:r>
          </w:p>
          <w:p>
            <w:pPr>
              <w:pStyle w:val="10"/>
              <w:rPr>
                <w:rFonts w:hint="eastAsia" w:ascii="宋体" w:hAnsi="宋体" w:eastAsia="宋体" w:cs="宋体"/>
                <w:color w:val="auto"/>
                <w:highlight w:val="none"/>
              </w:rPr>
            </w:pPr>
          </w:p>
        </w:tc>
        <w:tc>
          <w:tcPr>
            <w:tcW w:w="571" w:type="dxa"/>
            <w:vMerge w:val="continue"/>
            <w:noWrap w:val="0"/>
            <w:vAlign w:val="center"/>
          </w:tcPr>
          <w:p>
            <w:pPr>
              <w:spacing w:line="360" w:lineRule="auto"/>
              <w:ind w:left="-108" w:leftChars="-45" w:firstLine="120" w:firstLineChars="50"/>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471" w:type="dxa"/>
            <w:gridSpan w:val="6"/>
            <w:noWrap w:val="0"/>
            <w:vAlign w:val="top"/>
          </w:tcPr>
          <w:p>
            <w:pPr>
              <w:spacing w:line="360" w:lineRule="auto"/>
              <w:ind w:left="-108" w:leftChars="-45" w:firstLine="600" w:firstLineChars="250"/>
              <w:rPr>
                <w:rFonts w:hint="eastAsia" w:ascii="宋体" w:hAnsi="宋体" w:eastAsia="宋体" w:cs="宋体"/>
                <w:color w:val="auto"/>
                <w:szCs w:val="24"/>
                <w:highlight w:val="none"/>
              </w:rPr>
            </w:pPr>
            <w:r>
              <w:rPr>
                <w:rFonts w:hint="eastAsia" w:hAnsi="宋体" w:cs="宋体"/>
                <w:color w:val="auto"/>
                <w:szCs w:val="24"/>
                <w:highlight w:val="none"/>
                <w:lang w:val="en-US" w:eastAsia="zh-CN"/>
              </w:rPr>
              <w:t>磋商小组</w:t>
            </w:r>
            <w:r>
              <w:rPr>
                <w:rFonts w:hint="eastAsia" w:ascii="宋体" w:hAnsi="宋体" w:eastAsia="宋体" w:cs="宋体"/>
                <w:color w:val="auto"/>
                <w:szCs w:val="24"/>
                <w:highlight w:val="none"/>
              </w:rPr>
              <w:t>成员必须按照本评审要素据实打分，各类数字计算均按“四舍五入”保留小数点后两位；</w:t>
            </w:r>
          </w:p>
        </w:tc>
      </w:tr>
    </w:tbl>
    <w:p>
      <w:pPr>
        <w:spacing w:line="360" w:lineRule="auto"/>
        <w:jc w:val="left"/>
        <w:rPr>
          <w:rFonts w:hint="eastAsia" w:ascii="宋体" w:hAnsi="宋体" w:eastAsia="宋体" w:cs="宋体"/>
          <w:bCs/>
          <w:color w:val="auto"/>
          <w:szCs w:val="24"/>
          <w:highlight w:val="none"/>
          <w:lang w:val="zh-CN"/>
        </w:rPr>
      </w:pPr>
    </w:p>
    <w:p>
      <w:pPr>
        <w:spacing w:line="360" w:lineRule="auto"/>
        <w:jc w:val="center"/>
        <w:outlineLvl w:val="0"/>
        <w:rPr>
          <w:rFonts w:hint="eastAsia" w:ascii="宋体" w:hAnsi="宋体" w:eastAsia="宋体" w:cs="宋体"/>
          <w:color w:val="auto"/>
          <w:sz w:val="36"/>
          <w:highlight w:val="none"/>
        </w:rPr>
      </w:pPr>
      <w:r>
        <w:rPr>
          <w:rFonts w:hint="eastAsia" w:ascii="宋体" w:hAnsi="宋体" w:eastAsia="宋体" w:cs="宋体"/>
          <w:bCs/>
          <w:color w:val="auto"/>
          <w:szCs w:val="36"/>
          <w:highlight w:val="none"/>
        </w:rPr>
        <w:br w:type="page"/>
      </w:r>
      <w:bookmarkStart w:id="124" w:name="_Toc7801"/>
      <w:bookmarkStart w:id="125" w:name="_Toc28332"/>
      <w:bookmarkStart w:id="126" w:name="_Toc20413_WPSOffice_Level1"/>
      <w:bookmarkStart w:id="127" w:name="_Toc17756"/>
      <w:bookmarkStart w:id="128" w:name="_Toc18821"/>
      <w:bookmarkStart w:id="129" w:name="_Toc9551"/>
      <w:bookmarkStart w:id="130" w:name="_Toc16453"/>
      <w:bookmarkStart w:id="131" w:name="_Toc31122"/>
      <w:bookmarkStart w:id="132" w:name="_Toc24924_WPSOffice_Level1"/>
      <w:bookmarkStart w:id="133" w:name="_Toc22892"/>
      <w:bookmarkStart w:id="134" w:name="_Toc25324"/>
      <w:bookmarkStart w:id="135" w:name="_Toc28564"/>
      <w:bookmarkStart w:id="136" w:name="_Toc23694"/>
      <w:bookmarkStart w:id="137" w:name="_Toc3006"/>
      <w:bookmarkStart w:id="138" w:name="_Toc20449"/>
      <w:r>
        <w:rPr>
          <w:rFonts w:hint="eastAsia" w:ascii="宋体" w:hAnsi="宋体" w:eastAsia="宋体" w:cs="宋体"/>
          <w:b/>
          <w:bCs/>
          <w:color w:val="auto"/>
          <w:sz w:val="36"/>
          <w:highlight w:val="none"/>
        </w:rPr>
        <w:t>第六章  磋商响应文件格式</w:t>
      </w:r>
      <w:bookmarkEnd w:id="118"/>
      <w:bookmarkEnd w:id="119"/>
      <w:bookmarkEnd w:id="120"/>
      <w:bookmarkEnd w:id="121"/>
      <w:bookmarkEnd w:id="12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spacing w:line="360" w:lineRule="auto"/>
        <w:jc w:val="center"/>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磋商响应文件编制说明</w:t>
      </w:r>
    </w:p>
    <w:p>
      <w:pPr>
        <w:spacing w:line="360" w:lineRule="auto"/>
        <w:rPr>
          <w:rFonts w:hint="eastAsia" w:ascii="宋体" w:hAnsi="宋体" w:eastAsia="宋体" w:cs="宋体"/>
          <w:color w:val="auto"/>
          <w:szCs w:val="24"/>
          <w:highlight w:val="none"/>
        </w:rPr>
      </w:pPr>
    </w:p>
    <w:p>
      <w:pPr>
        <w:spacing w:line="360" w:lineRule="auto"/>
        <w:ind w:left="120" w:leftChars="50" w:firstLine="491" w:firstLineChars="205"/>
        <w:rPr>
          <w:rFonts w:hint="eastAsia" w:ascii="宋体" w:hAnsi="宋体" w:eastAsia="宋体" w:cs="宋体"/>
          <w:color w:val="auto"/>
          <w:szCs w:val="24"/>
          <w:highlight w:val="none"/>
        </w:rPr>
      </w:pPr>
      <w:r>
        <w:rPr>
          <w:rFonts w:hint="eastAsia" w:ascii="宋体" w:hAnsi="宋体" w:eastAsia="宋体" w:cs="宋体"/>
          <w:color w:val="auto"/>
          <w:szCs w:val="24"/>
          <w:highlight w:val="none"/>
        </w:rPr>
        <w:t>1、磋商文件中提供的磋商响应文件格式，起到样式作用，编制磋商响应文件前，请详细阅读磋商文件，理解文件中的每一项要求。</w:t>
      </w:r>
    </w:p>
    <w:p>
      <w:pPr>
        <w:spacing w:line="360" w:lineRule="auto"/>
        <w:ind w:left="120" w:leftChars="50" w:firstLine="491" w:firstLineChars="205"/>
        <w:rPr>
          <w:rFonts w:hint="eastAsia" w:ascii="宋体" w:hAnsi="宋体" w:eastAsia="宋体" w:cs="宋体"/>
          <w:color w:val="auto"/>
          <w:szCs w:val="24"/>
          <w:highlight w:val="none"/>
        </w:rPr>
      </w:pPr>
      <w:r>
        <w:rPr>
          <w:rFonts w:hint="eastAsia" w:ascii="宋体" w:hAnsi="宋体" w:eastAsia="宋体" w:cs="宋体"/>
          <w:color w:val="auto"/>
          <w:szCs w:val="24"/>
          <w:highlight w:val="none"/>
        </w:rPr>
        <w:t>2、磋商响应文件的编制应按照样本格式提供的内容，做出逐一明确的答复；供应商认为有必要，还可以做其它补充说明。</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项目编号：</w:t>
      </w:r>
    </w:p>
    <w:p>
      <w:pPr>
        <w:ind w:firstLine="4343" w:firstLineChars="1352"/>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sz w:val="32"/>
          <w:szCs w:val="32"/>
          <w:highlight w:val="none"/>
        </w:rPr>
        <w:t>（正本/副本）</w:t>
      </w:r>
    </w:p>
    <w:p>
      <w:pPr>
        <w:jc w:val="both"/>
        <w:rPr>
          <w:rFonts w:hint="eastAsia" w:ascii="宋体" w:hAnsi="宋体" w:eastAsia="宋体" w:cs="宋体"/>
          <w:b/>
          <w:bCs/>
          <w:color w:val="auto"/>
          <w:kern w:val="2"/>
          <w:sz w:val="56"/>
          <w:szCs w:val="56"/>
          <w:highlight w:val="none"/>
        </w:rPr>
      </w:pPr>
    </w:p>
    <w:p>
      <w:pPr>
        <w:jc w:val="center"/>
        <w:rPr>
          <w:rFonts w:hint="eastAsia" w:ascii="宋体" w:hAnsi="宋体" w:eastAsia="宋体" w:cs="宋体"/>
          <w:b/>
          <w:color w:val="auto"/>
          <w:sz w:val="56"/>
          <w:szCs w:val="56"/>
          <w:highlight w:val="none"/>
        </w:rPr>
      </w:pPr>
    </w:p>
    <w:p>
      <w:pPr>
        <w:jc w:val="center"/>
        <w:rPr>
          <w:rFonts w:hint="eastAsia" w:ascii="宋体" w:hAnsi="宋体" w:eastAsia="宋体" w:cs="宋体"/>
          <w:color w:val="auto"/>
          <w:highlight w:val="none"/>
          <w:lang w:eastAsia="zh-CN"/>
        </w:rPr>
      </w:pPr>
      <w:r>
        <w:rPr>
          <w:rFonts w:hint="eastAsia" w:hAnsi="宋体" w:cs="宋体"/>
          <w:b/>
          <w:color w:val="auto"/>
          <w:sz w:val="56"/>
          <w:szCs w:val="56"/>
          <w:highlight w:val="none"/>
          <w:lang w:eastAsia="zh-CN"/>
        </w:rPr>
        <w:t>谭家街道办事处廉政灶采买项目</w:t>
      </w:r>
    </w:p>
    <w:p>
      <w:pPr>
        <w:jc w:val="center"/>
        <w:rPr>
          <w:rFonts w:hint="eastAsia" w:ascii="宋体" w:hAnsi="宋体" w:eastAsia="宋体" w:cs="宋体"/>
          <w:b/>
          <w:color w:val="auto"/>
          <w:kern w:val="2"/>
          <w:sz w:val="56"/>
          <w:szCs w:val="56"/>
          <w:highlight w:val="none"/>
        </w:rPr>
      </w:pPr>
    </w:p>
    <w:p>
      <w:pPr>
        <w:jc w:val="center"/>
        <w:rPr>
          <w:rFonts w:hint="eastAsia" w:ascii="宋体" w:hAnsi="宋体" w:eastAsia="宋体" w:cs="宋体"/>
          <w:b/>
          <w:color w:val="auto"/>
          <w:kern w:val="2"/>
          <w:sz w:val="56"/>
          <w:szCs w:val="56"/>
          <w:highlight w:val="none"/>
        </w:rPr>
      </w:pPr>
    </w:p>
    <w:p>
      <w:pPr>
        <w:jc w:val="center"/>
        <w:rPr>
          <w:rFonts w:hint="eastAsia" w:ascii="宋体" w:hAnsi="宋体" w:eastAsia="宋体" w:cs="宋体"/>
          <w:b/>
          <w:color w:val="auto"/>
          <w:kern w:val="2"/>
          <w:sz w:val="56"/>
          <w:szCs w:val="56"/>
          <w:highlight w:val="none"/>
        </w:rPr>
      </w:pPr>
      <w:r>
        <w:rPr>
          <w:rFonts w:hint="eastAsia" w:ascii="宋体" w:hAnsi="宋体" w:eastAsia="宋体" w:cs="宋体"/>
          <w:b/>
          <w:color w:val="auto"/>
          <w:kern w:val="2"/>
          <w:sz w:val="56"/>
          <w:szCs w:val="56"/>
          <w:highlight w:val="none"/>
        </w:rPr>
        <w:t>磋商响应文件</w:t>
      </w:r>
    </w:p>
    <w:p>
      <w:pPr>
        <w:jc w:val="center"/>
        <w:rPr>
          <w:rFonts w:hint="eastAsia" w:ascii="宋体" w:hAnsi="宋体" w:eastAsia="宋体" w:cs="宋体"/>
          <w:b/>
          <w:color w:val="auto"/>
          <w:sz w:val="36"/>
          <w:szCs w:val="36"/>
          <w:highlight w:val="none"/>
        </w:rPr>
      </w:pPr>
    </w:p>
    <w:p>
      <w:pPr>
        <w:jc w:val="center"/>
        <w:rPr>
          <w:rFonts w:hint="eastAsia" w:ascii="宋体" w:hAnsi="宋体" w:eastAsia="宋体" w:cs="宋体"/>
          <w:b/>
          <w:color w:val="auto"/>
          <w:sz w:val="36"/>
          <w:szCs w:val="36"/>
          <w:highlight w:val="none"/>
        </w:rPr>
      </w:pPr>
    </w:p>
    <w:p>
      <w:pPr>
        <w:pStyle w:val="10"/>
        <w:rPr>
          <w:rFonts w:hint="eastAsia" w:ascii="宋体" w:hAnsi="宋体" w:eastAsia="宋体" w:cs="宋体"/>
          <w:color w:val="auto"/>
          <w:highlight w:val="none"/>
        </w:rPr>
      </w:pPr>
    </w:p>
    <w:p>
      <w:pPr>
        <w:pStyle w:val="5"/>
        <w:ind w:firstLine="0" w:firstLineChars="0"/>
        <w:rPr>
          <w:rFonts w:hint="eastAsia" w:ascii="宋体" w:hAnsi="宋体" w:eastAsia="宋体" w:cs="宋体"/>
          <w:b/>
          <w:color w:val="auto"/>
          <w:sz w:val="36"/>
          <w:szCs w:val="36"/>
          <w:highlight w:val="none"/>
        </w:rPr>
      </w:pPr>
    </w:p>
    <w:p>
      <w:pPr>
        <w:tabs>
          <w:tab w:val="center" w:pos="5346"/>
        </w:tabs>
        <w:spacing w:line="480" w:lineRule="auto"/>
        <w:rPr>
          <w:rFonts w:hint="eastAsia" w:ascii="宋体" w:hAnsi="宋体" w:eastAsia="宋体" w:cs="宋体"/>
          <w:b/>
          <w:color w:val="auto"/>
          <w:sz w:val="32"/>
          <w:szCs w:val="32"/>
          <w:highlight w:val="none"/>
        </w:rPr>
      </w:pPr>
      <w:bookmarkStart w:id="139" w:name="_Toc344572156"/>
    </w:p>
    <w:p>
      <w:pPr>
        <w:tabs>
          <w:tab w:val="center" w:pos="5346"/>
        </w:tabs>
        <w:spacing w:line="480" w:lineRule="auto"/>
        <w:ind w:left="1603" w:leftChars="534" w:hanging="321" w:hangingChars="100"/>
        <w:rPr>
          <w:rFonts w:hint="eastAsia" w:ascii="宋体" w:hAnsi="宋体" w:eastAsia="宋体" w:cs="宋体"/>
          <w:b/>
          <w:color w:val="auto"/>
          <w:sz w:val="32"/>
          <w:szCs w:val="32"/>
          <w:highlight w:val="none"/>
        </w:rPr>
      </w:pPr>
    </w:p>
    <w:p>
      <w:pPr>
        <w:tabs>
          <w:tab w:val="center" w:pos="5346"/>
        </w:tabs>
        <w:spacing w:line="480" w:lineRule="auto"/>
        <w:ind w:left="1603" w:leftChars="534" w:hanging="321" w:hangingChars="1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供应商名称（公章）：</w:t>
      </w:r>
    </w:p>
    <w:p>
      <w:pPr>
        <w:tabs>
          <w:tab w:val="center" w:pos="5346"/>
        </w:tabs>
        <w:spacing w:line="480" w:lineRule="auto"/>
        <w:ind w:left="1603" w:leftChars="534" w:hanging="321" w:hangingChars="1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法定代表人</w:t>
      </w:r>
      <w:r>
        <w:rPr>
          <w:rFonts w:hint="eastAsia" w:hAnsi="宋体" w:cs="宋体"/>
          <w:b/>
          <w:color w:val="auto"/>
          <w:sz w:val="32"/>
          <w:szCs w:val="32"/>
          <w:highlight w:val="none"/>
          <w:lang w:val="en-US" w:eastAsia="zh-CN"/>
        </w:rPr>
        <w:t>或</w:t>
      </w:r>
      <w:r>
        <w:rPr>
          <w:rFonts w:hint="eastAsia" w:ascii="宋体" w:hAnsi="宋体" w:eastAsia="宋体" w:cs="宋体"/>
          <w:b/>
          <w:color w:val="auto"/>
          <w:sz w:val="32"/>
          <w:szCs w:val="32"/>
          <w:highlight w:val="none"/>
        </w:rPr>
        <w:t>被授权人（签字或盖章）：</w:t>
      </w:r>
    </w:p>
    <w:p>
      <w:pPr>
        <w:tabs>
          <w:tab w:val="center" w:pos="5346"/>
        </w:tabs>
        <w:spacing w:line="480" w:lineRule="auto"/>
        <w:ind w:left="1603" w:leftChars="534" w:hanging="321" w:hangingChars="1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时间：</w:t>
      </w:r>
      <w:r>
        <w:rPr>
          <w:rFonts w:hint="eastAsia" w:hAnsi="宋体" w:cs="宋体"/>
          <w:b/>
          <w:color w:val="auto"/>
          <w:sz w:val="32"/>
          <w:szCs w:val="32"/>
          <w:highlight w:val="none"/>
          <w:lang w:eastAsia="zh-CN"/>
        </w:rPr>
        <w:t>2023年</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rPr>
        <w:t>月</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rPr>
        <w:t>日</w:t>
      </w:r>
    </w:p>
    <w:p>
      <w:pPr>
        <w:pStyle w:val="4"/>
        <w:rPr>
          <w:rFonts w:hint="eastAsia"/>
          <w:color w:val="auto"/>
          <w:highlight w:val="none"/>
        </w:rPr>
      </w:pPr>
    </w:p>
    <w:p>
      <w:pPr>
        <w:jc w:val="center"/>
        <w:rPr>
          <w:rFonts w:hint="eastAsia" w:ascii="宋体" w:hAnsi="宋体" w:eastAsia="宋体" w:cs="宋体"/>
          <w:b/>
          <w:color w:val="auto"/>
          <w:sz w:val="44"/>
          <w:highlight w:val="none"/>
        </w:rPr>
      </w:pPr>
    </w:p>
    <w:p>
      <w:pPr>
        <w:jc w:val="center"/>
        <w:rPr>
          <w:rFonts w:hint="eastAsia" w:ascii="宋体" w:hAnsi="宋体" w:eastAsia="宋体" w:cs="宋体"/>
          <w:b/>
          <w:color w:val="auto"/>
          <w:sz w:val="44"/>
          <w:highlight w:val="none"/>
        </w:rPr>
      </w:pPr>
      <w:r>
        <w:rPr>
          <w:rFonts w:hint="eastAsia" w:ascii="宋体" w:hAnsi="宋体" w:eastAsia="宋体" w:cs="宋体"/>
          <w:b/>
          <w:color w:val="auto"/>
          <w:sz w:val="44"/>
          <w:highlight w:val="none"/>
        </w:rPr>
        <w:t>目  录</w:t>
      </w:r>
    </w:p>
    <w:p>
      <w:pPr>
        <w:jc w:val="center"/>
        <w:rPr>
          <w:rFonts w:hint="eastAsia" w:ascii="宋体" w:hAnsi="宋体" w:eastAsia="宋体" w:cs="宋体"/>
          <w:b/>
          <w:color w:val="auto"/>
          <w:sz w:val="44"/>
          <w:highlight w:val="none"/>
        </w:rPr>
      </w:pPr>
    </w:p>
    <w:p>
      <w:pPr>
        <w:pStyle w:val="5"/>
        <w:ind w:firstLine="0" w:firstLineChars="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（格式自拟）</w:t>
      </w:r>
    </w:p>
    <w:p>
      <w:pPr>
        <w:tabs>
          <w:tab w:val="left" w:pos="1701"/>
        </w:tabs>
        <w:spacing w:line="480" w:lineRule="auto"/>
        <w:rPr>
          <w:rFonts w:hint="eastAsia" w:ascii="宋体" w:hAnsi="宋体" w:eastAsia="宋体" w:cs="宋体"/>
          <w:color w:val="auto"/>
          <w:spacing w:val="4"/>
          <w:sz w:val="28"/>
          <w:szCs w:val="28"/>
          <w:highlight w:val="none"/>
        </w:rPr>
      </w:pPr>
    </w:p>
    <w:p>
      <w:pPr>
        <w:pStyle w:val="5"/>
        <w:ind w:firstLine="0" w:firstLineChars="0"/>
        <w:rPr>
          <w:rFonts w:hint="eastAsia" w:ascii="宋体" w:hAnsi="宋体" w:eastAsia="宋体" w:cs="宋体"/>
          <w:color w:val="auto"/>
          <w:highlight w:val="none"/>
        </w:rPr>
      </w:pPr>
    </w:p>
    <w:p>
      <w:pPr>
        <w:pStyle w:val="5"/>
        <w:ind w:firstLine="0" w:firstLineChars="0"/>
        <w:rPr>
          <w:rFonts w:hint="eastAsia" w:ascii="宋体" w:hAnsi="宋体" w:eastAsia="宋体" w:cs="宋体"/>
          <w:color w:val="auto"/>
          <w:highlight w:val="none"/>
        </w:rPr>
      </w:pPr>
    </w:p>
    <w:p>
      <w:pPr>
        <w:pStyle w:val="5"/>
        <w:ind w:firstLine="0" w:firstLineChars="0"/>
        <w:rPr>
          <w:rFonts w:hint="eastAsia" w:ascii="宋体" w:hAnsi="宋体" w:eastAsia="宋体" w:cs="宋体"/>
          <w:color w:val="auto"/>
          <w:highlight w:val="none"/>
        </w:rPr>
      </w:pPr>
    </w:p>
    <w:p>
      <w:pPr>
        <w:pStyle w:val="5"/>
        <w:ind w:firstLine="0" w:firstLineChars="0"/>
        <w:rPr>
          <w:rFonts w:hint="eastAsia" w:ascii="宋体" w:hAnsi="宋体" w:eastAsia="宋体" w:cs="宋体"/>
          <w:color w:val="auto"/>
          <w:highlight w:val="none"/>
        </w:rPr>
      </w:pPr>
    </w:p>
    <w:p>
      <w:pPr>
        <w:pStyle w:val="5"/>
        <w:ind w:firstLine="0" w:firstLineChars="0"/>
        <w:rPr>
          <w:rFonts w:hint="eastAsia" w:ascii="宋体" w:hAnsi="宋体" w:eastAsia="宋体" w:cs="宋体"/>
          <w:color w:val="auto"/>
          <w:highlight w:val="none"/>
        </w:rPr>
      </w:pPr>
    </w:p>
    <w:p>
      <w:pPr>
        <w:pStyle w:val="5"/>
        <w:ind w:firstLine="0" w:firstLineChars="0"/>
        <w:rPr>
          <w:rFonts w:hint="eastAsia" w:ascii="宋体" w:hAnsi="宋体" w:eastAsia="宋体" w:cs="宋体"/>
          <w:color w:val="auto"/>
          <w:highlight w:val="none"/>
        </w:rPr>
      </w:pPr>
    </w:p>
    <w:p>
      <w:pPr>
        <w:pStyle w:val="5"/>
        <w:ind w:firstLine="0" w:firstLineChars="0"/>
        <w:rPr>
          <w:rFonts w:hint="eastAsia" w:ascii="宋体" w:hAnsi="宋体" w:eastAsia="宋体" w:cs="宋体"/>
          <w:color w:val="auto"/>
          <w:highlight w:val="none"/>
        </w:rPr>
      </w:pPr>
    </w:p>
    <w:p>
      <w:pPr>
        <w:pStyle w:val="5"/>
        <w:ind w:firstLine="0" w:firstLineChars="0"/>
        <w:rPr>
          <w:rFonts w:hint="eastAsia" w:ascii="宋体" w:hAnsi="宋体" w:eastAsia="宋体" w:cs="宋体"/>
          <w:color w:val="auto"/>
          <w:highlight w:val="none"/>
        </w:rPr>
      </w:pPr>
    </w:p>
    <w:bookmarkEnd w:id="139"/>
    <w:p>
      <w:pPr>
        <w:spacing w:line="360" w:lineRule="auto"/>
        <w:jc w:val="center"/>
        <w:rPr>
          <w:rFonts w:hint="eastAsia" w:ascii="宋体" w:hAnsi="宋体" w:eastAsia="宋体" w:cs="宋体"/>
          <w:color w:val="auto"/>
          <w:sz w:val="32"/>
          <w:szCs w:val="32"/>
          <w:highlight w:val="none"/>
        </w:rPr>
      </w:pPr>
      <w:bookmarkStart w:id="140" w:name="_Toc204524343"/>
      <w:r>
        <w:rPr>
          <w:rFonts w:hint="eastAsia" w:ascii="宋体" w:hAnsi="宋体" w:eastAsia="宋体" w:cs="宋体"/>
          <w:color w:val="auto"/>
          <w:sz w:val="32"/>
          <w:szCs w:val="32"/>
          <w:highlight w:val="none"/>
        </w:rPr>
        <w:br w:type="page"/>
      </w:r>
      <w:bookmarkEnd w:id="140"/>
      <w:bookmarkStart w:id="141" w:name="_Toc76"/>
      <w:bookmarkStart w:id="142" w:name="_Toc28602"/>
      <w:bookmarkStart w:id="143" w:name="_Toc20735"/>
      <w:bookmarkStart w:id="144" w:name="_Toc22362"/>
      <w:bookmarkStart w:id="145" w:name="_Toc23103"/>
      <w:bookmarkStart w:id="146" w:name="_Toc5371"/>
      <w:r>
        <w:rPr>
          <w:rFonts w:hint="eastAsia" w:ascii="宋体" w:hAnsi="宋体" w:eastAsia="宋体" w:cs="宋体"/>
          <w:b/>
          <w:bCs/>
          <w:color w:val="auto"/>
          <w:sz w:val="32"/>
          <w:szCs w:val="32"/>
          <w:highlight w:val="none"/>
        </w:rPr>
        <w:t>一、磋商响应函</w:t>
      </w:r>
      <w:bookmarkEnd w:id="141"/>
      <w:bookmarkEnd w:id="142"/>
      <w:bookmarkEnd w:id="143"/>
      <w:bookmarkEnd w:id="144"/>
      <w:bookmarkEnd w:id="145"/>
      <w:bookmarkEnd w:id="146"/>
    </w:p>
    <w:p>
      <w:pPr>
        <w:spacing w:line="360" w:lineRule="auto"/>
        <w:jc w:val="left"/>
        <w:rPr>
          <w:rFonts w:hint="eastAsia" w:ascii="宋体" w:hAnsi="宋体" w:eastAsia="宋体" w:cs="宋体"/>
          <w:b/>
          <w:color w:val="auto"/>
          <w:highlight w:val="none"/>
        </w:rPr>
      </w:pPr>
      <w:r>
        <w:rPr>
          <w:rFonts w:hint="eastAsia" w:ascii="宋体" w:hAnsi="宋体" w:eastAsia="宋体" w:cs="宋体"/>
          <w:b/>
          <w:color w:val="auto"/>
          <w:spacing w:val="4"/>
          <w:szCs w:val="24"/>
          <w:highlight w:val="none"/>
        </w:rPr>
        <w:t>致：</w:t>
      </w:r>
      <w:r>
        <w:rPr>
          <w:rFonts w:hint="eastAsia" w:hAnsi="宋体" w:cs="宋体"/>
          <w:b/>
          <w:color w:val="auto"/>
          <w:spacing w:val="4"/>
          <w:szCs w:val="24"/>
          <w:highlight w:val="none"/>
          <w:lang w:eastAsia="zh-CN"/>
        </w:rPr>
        <w:t>西安市未央区谭家街道办事处</w:t>
      </w:r>
      <w:r>
        <w:rPr>
          <w:rFonts w:hint="eastAsia" w:ascii="宋体" w:hAnsi="宋体" w:eastAsia="宋体" w:cs="宋体"/>
          <w:b/>
          <w:color w:val="auto"/>
          <w:spacing w:val="4"/>
          <w:szCs w:val="24"/>
          <w:highlight w:val="none"/>
        </w:rPr>
        <w:t>/</w:t>
      </w:r>
      <w:r>
        <w:rPr>
          <w:rFonts w:hint="eastAsia" w:hAnsi="宋体" w:cs="宋体"/>
          <w:b/>
          <w:color w:val="auto"/>
          <w:spacing w:val="4"/>
          <w:szCs w:val="24"/>
          <w:highlight w:val="none"/>
          <w:lang w:eastAsia="zh-CN"/>
        </w:rPr>
        <w:t>西北国际（陕西）造价管理集团有限公司</w:t>
      </w:r>
      <w:r>
        <w:rPr>
          <w:rFonts w:hint="eastAsia" w:ascii="宋体" w:hAnsi="宋体" w:eastAsia="宋体" w:cs="宋体"/>
          <w:b/>
          <w:color w:val="auto"/>
          <w:spacing w:val="4"/>
          <w:szCs w:val="24"/>
          <w:highlight w:val="none"/>
        </w:rPr>
        <w:t xml:space="preserve"> </w:t>
      </w:r>
    </w:p>
    <w:p>
      <w:pPr>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根据贵方（</w:t>
      </w:r>
      <w:r>
        <w:rPr>
          <w:rFonts w:hint="eastAsia" w:ascii="宋体" w:hAnsi="宋体" w:eastAsia="宋体" w:cs="宋体"/>
          <w:color w:val="auto"/>
          <w:spacing w:val="4"/>
          <w:szCs w:val="24"/>
          <w:highlight w:val="none"/>
          <w:u w:val="single"/>
        </w:rPr>
        <w:t>项目名称：                  ）</w:t>
      </w:r>
      <w:r>
        <w:rPr>
          <w:rFonts w:hint="eastAsia" w:ascii="宋体" w:hAnsi="宋体" w:eastAsia="宋体" w:cs="宋体"/>
          <w:color w:val="auto"/>
          <w:spacing w:val="4"/>
          <w:szCs w:val="24"/>
          <w:highlight w:val="none"/>
        </w:rPr>
        <w:t>(项目编号：</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）的磋商文件，签字代表</w:t>
      </w:r>
      <w:r>
        <w:rPr>
          <w:rFonts w:hint="eastAsia" w:ascii="宋体" w:hAnsi="宋体" w:eastAsia="宋体" w:cs="宋体"/>
          <w:color w:val="auto"/>
          <w:spacing w:val="4"/>
          <w:szCs w:val="24"/>
          <w:highlight w:val="none"/>
          <w:u w:val="single"/>
        </w:rPr>
        <w:t>（全名、职务</w:t>
      </w:r>
      <w:r>
        <w:rPr>
          <w:rFonts w:hint="eastAsia" w:ascii="宋体" w:hAnsi="宋体" w:eastAsia="宋体" w:cs="宋体"/>
          <w:color w:val="auto"/>
          <w:spacing w:val="4"/>
          <w:szCs w:val="24"/>
          <w:highlight w:val="none"/>
        </w:rPr>
        <w:t>）经正式授权并代表供应商</w:t>
      </w:r>
      <w:r>
        <w:rPr>
          <w:rFonts w:hint="eastAsia" w:ascii="宋体" w:hAnsi="宋体" w:eastAsia="宋体" w:cs="宋体"/>
          <w:color w:val="auto"/>
          <w:spacing w:val="4"/>
          <w:szCs w:val="24"/>
          <w:highlight w:val="none"/>
          <w:u w:val="single"/>
        </w:rPr>
        <w:t xml:space="preserve">  (供应商名称)</w:t>
      </w:r>
      <w:r>
        <w:rPr>
          <w:rFonts w:hint="eastAsia" w:ascii="宋体" w:hAnsi="宋体" w:eastAsia="宋体" w:cs="宋体"/>
          <w:color w:val="auto"/>
          <w:spacing w:val="4"/>
          <w:szCs w:val="24"/>
          <w:highlight w:val="none"/>
        </w:rPr>
        <w:t>提交磋商响应文件正本</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份、副本</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份。</w:t>
      </w:r>
    </w:p>
    <w:p>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我方承诺如下：</w:t>
      </w:r>
    </w:p>
    <w:p>
      <w:pPr>
        <w:numPr>
          <w:ilvl w:val="0"/>
          <w:numId w:val="0"/>
        </w:num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hAnsi="宋体" w:cs="宋体"/>
          <w:color w:val="auto"/>
          <w:spacing w:val="4"/>
          <w:szCs w:val="24"/>
          <w:highlight w:val="none"/>
          <w:lang w:val="en-US" w:eastAsia="zh-CN"/>
        </w:rPr>
        <w:t>1.</w:t>
      </w:r>
      <w:r>
        <w:rPr>
          <w:rFonts w:hint="eastAsia" w:ascii="宋体" w:hAnsi="宋体" w:eastAsia="宋体" w:cs="宋体"/>
          <w:color w:val="auto"/>
          <w:spacing w:val="4"/>
          <w:szCs w:val="24"/>
          <w:highlight w:val="none"/>
        </w:rPr>
        <w:t>磋商报价为食材折扣：</w:t>
      </w:r>
      <w:r>
        <w:rPr>
          <w:rFonts w:hint="eastAsia" w:hAnsi="宋体" w:cs="宋体"/>
          <w:color w:val="auto"/>
          <w:spacing w:val="4"/>
          <w:szCs w:val="24"/>
          <w:highlight w:val="none"/>
          <w:u w:val="none"/>
          <w:lang w:val="en-US" w:eastAsia="zh-CN"/>
        </w:rPr>
        <w:t>小写</w:t>
      </w:r>
      <w:r>
        <w:rPr>
          <w:rFonts w:hint="eastAsia" w:hAnsi="宋体" w:cs="宋体"/>
          <w:color w:val="auto"/>
          <w:spacing w:val="4"/>
          <w:szCs w:val="24"/>
          <w:highlight w:val="none"/>
          <w:u w:val="single"/>
          <w:lang w:val="en-US" w:eastAsia="zh-CN"/>
        </w:rPr>
        <w:t xml:space="preserve">     %</w:t>
      </w:r>
      <w:r>
        <w:rPr>
          <w:rFonts w:hint="eastAsia" w:hAnsi="宋体" w:cs="宋体"/>
          <w:color w:val="auto"/>
          <w:spacing w:val="4"/>
          <w:szCs w:val="24"/>
          <w:highlight w:val="none"/>
          <w:u w:val="none"/>
          <w:lang w:val="en-US" w:eastAsia="zh-CN"/>
        </w:rPr>
        <w:t>，大写</w:t>
      </w:r>
      <w:r>
        <w:rPr>
          <w:rFonts w:hint="eastAsia" w:hAnsi="宋体" w:cs="宋体"/>
          <w:color w:val="auto"/>
          <w:spacing w:val="4"/>
          <w:szCs w:val="24"/>
          <w:highlight w:val="none"/>
          <w:u w:val="single"/>
          <w:lang w:val="en-US" w:eastAsia="zh-CN"/>
        </w:rPr>
        <w:t xml:space="preserve">百分之     </w:t>
      </w:r>
      <w:r>
        <w:rPr>
          <w:rFonts w:hint="eastAsia" w:ascii="宋体" w:hAnsi="宋体" w:eastAsia="宋体" w:cs="宋体"/>
          <w:color w:val="auto"/>
          <w:spacing w:val="4"/>
          <w:szCs w:val="24"/>
          <w:highlight w:val="none"/>
        </w:rPr>
        <w:t>。</w:t>
      </w:r>
    </w:p>
    <w:p>
      <w:pPr>
        <w:pStyle w:val="14"/>
        <w:numPr>
          <w:ilvl w:val="0"/>
          <w:numId w:val="0"/>
        </w:numPr>
        <w:ind w:firstLine="744" w:firstLineChars="300"/>
        <w:rPr>
          <w:rFonts w:hint="default"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磋商总报价：小写：</w:t>
      </w:r>
      <w:r>
        <w:rPr>
          <w:rFonts w:hint="eastAsia" w:ascii="宋体" w:hAnsi="宋体" w:eastAsia="宋体" w:cs="宋体"/>
          <w:color w:val="auto"/>
          <w:spacing w:val="4"/>
          <w:kern w:val="0"/>
          <w:sz w:val="24"/>
          <w:szCs w:val="24"/>
          <w:highlight w:val="none"/>
          <w:u w:val="single"/>
          <w:lang w:val="en-US" w:eastAsia="zh-CN" w:bidi="ar-SA"/>
        </w:rPr>
        <w:t xml:space="preserve">        </w:t>
      </w:r>
      <w:r>
        <w:rPr>
          <w:rFonts w:hint="eastAsia" w:ascii="宋体" w:hAnsi="宋体" w:eastAsia="宋体" w:cs="宋体"/>
          <w:color w:val="auto"/>
          <w:spacing w:val="4"/>
          <w:kern w:val="0"/>
          <w:sz w:val="24"/>
          <w:szCs w:val="24"/>
          <w:highlight w:val="none"/>
          <w:lang w:val="en-US" w:eastAsia="zh-CN" w:bidi="ar-SA"/>
        </w:rPr>
        <w:t>，大写：</w:t>
      </w:r>
      <w:r>
        <w:rPr>
          <w:rFonts w:hint="eastAsia" w:ascii="宋体" w:hAnsi="宋体" w:eastAsia="宋体" w:cs="宋体"/>
          <w:color w:val="auto"/>
          <w:spacing w:val="4"/>
          <w:kern w:val="0"/>
          <w:sz w:val="24"/>
          <w:szCs w:val="24"/>
          <w:highlight w:val="none"/>
          <w:u w:val="single"/>
          <w:lang w:val="en-US" w:eastAsia="zh-CN" w:bidi="ar-SA"/>
        </w:rPr>
        <w:t xml:space="preserve">         </w:t>
      </w:r>
      <w:r>
        <w:rPr>
          <w:rFonts w:hint="eastAsia" w:ascii="宋体" w:hAnsi="宋体" w:eastAsia="宋体" w:cs="宋体"/>
          <w:color w:val="auto"/>
          <w:spacing w:val="4"/>
          <w:kern w:val="0"/>
          <w:sz w:val="24"/>
          <w:szCs w:val="24"/>
          <w:highlight w:val="none"/>
          <w:lang w:val="en-US" w:eastAsia="zh-CN" w:bidi="ar-SA"/>
        </w:rPr>
        <w:t>。</w:t>
      </w:r>
    </w:p>
    <w:p>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2.如果成交，我们根据磋商文件的规定，履行合同的责任和义务。</w:t>
      </w:r>
    </w:p>
    <w:p>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3.我们已详细阅读和审核全部磋商文件（含修改部分）及有关附件，我们知道必须放弃提出含糊不清或误解的问题的权利。</w:t>
      </w:r>
    </w:p>
    <w:p>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4.我们同意在磋商有效期内（自</w:t>
      </w:r>
      <w:r>
        <w:rPr>
          <w:rFonts w:hint="eastAsia" w:ascii="宋体" w:hAnsi="宋体" w:eastAsia="宋体" w:cs="宋体"/>
          <w:color w:val="auto"/>
          <w:szCs w:val="24"/>
          <w:highlight w:val="none"/>
        </w:rPr>
        <w:t>递交磋商响应文件的截止之日</w:t>
      </w:r>
      <w:r>
        <w:rPr>
          <w:rFonts w:hint="eastAsia" w:ascii="宋体" w:hAnsi="宋体" w:eastAsia="宋体" w:cs="宋体"/>
          <w:color w:val="auto"/>
          <w:spacing w:val="4"/>
          <w:szCs w:val="24"/>
          <w:highlight w:val="none"/>
        </w:rPr>
        <w:t>起</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天内），本磋商响应函对我方具有约束力。</w:t>
      </w:r>
    </w:p>
    <w:p>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 xml:space="preserve">5.同意提供贵方可能另外要求的与本磋商有关的任何证据和资料。 </w:t>
      </w:r>
    </w:p>
    <w:p>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6.我们同意，如果成交，向</w:t>
      </w:r>
      <w:r>
        <w:rPr>
          <w:rFonts w:hint="eastAsia" w:hAnsi="宋体" w:cs="宋体"/>
          <w:color w:val="auto"/>
          <w:spacing w:val="4"/>
          <w:szCs w:val="24"/>
          <w:highlight w:val="none"/>
          <w:lang w:eastAsia="zh-CN"/>
        </w:rPr>
        <w:t>西北国际（陕西）造价管理集团有限公司</w:t>
      </w:r>
      <w:r>
        <w:rPr>
          <w:rFonts w:hint="eastAsia" w:ascii="宋体" w:hAnsi="宋体" w:eastAsia="宋体" w:cs="宋体"/>
          <w:color w:val="auto"/>
          <w:spacing w:val="4"/>
          <w:szCs w:val="24"/>
          <w:highlight w:val="none"/>
        </w:rPr>
        <w:t>交纳招标代理服务费。</w:t>
      </w:r>
    </w:p>
    <w:p>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7.与本磋商有关的一切正式往来通讯为：</w:t>
      </w:r>
    </w:p>
    <w:p>
      <w:pPr>
        <w:tabs>
          <w:tab w:val="left" w:pos="2160"/>
        </w:tabs>
        <w:spacing w:line="360" w:lineRule="auto"/>
        <w:ind w:firstLine="496" w:firstLineChars="200"/>
        <w:jc w:val="left"/>
        <w:rPr>
          <w:rFonts w:hint="eastAsia" w:ascii="宋体" w:hAnsi="宋体" w:eastAsia="宋体" w:cs="宋体"/>
          <w:color w:val="auto"/>
          <w:spacing w:val="4"/>
          <w:szCs w:val="24"/>
          <w:highlight w:val="none"/>
        </w:rPr>
      </w:pPr>
    </w:p>
    <w:p>
      <w:pPr>
        <w:spacing w:line="360" w:lineRule="auto"/>
        <w:ind w:firstLine="424" w:firstLineChars="171"/>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联系地址：</w:t>
      </w:r>
      <w:r>
        <w:rPr>
          <w:rFonts w:hint="eastAsia" w:ascii="宋体" w:hAnsi="宋体" w:eastAsia="宋体" w:cs="宋体"/>
          <w:color w:val="auto"/>
          <w:spacing w:val="4"/>
          <w:szCs w:val="24"/>
          <w:highlight w:val="none"/>
          <w:u w:val="single"/>
        </w:rPr>
        <w:t xml:space="preserve">                           </w:t>
      </w:r>
    </w:p>
    <w:p>
      <w:pPr>
        <w:spacing w:line="360" w:lineRule="auto"/>
        <w:ind w:firstLine="424" w:firstLineChars="171"/>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邮政编码：</w:t>
      </w:r>
      <w:r>
        <w:rPr>
          <w:rFonts w:hint="eastAsia" w:ascii="宋体" w:hAnsi="宋体" w:eastAsia="宋体" w:cs="宋体"/>
          <w:color w:val="auto"/>
          <w:spacing w:val="4"/>
          <w:szCs w:val="24"/>
          <w:highlight w:val="none"/>
          <w:u w:val="single"/>
        </w:rPr>
        <w:t xml:space="preserve">                           </w:t>
      </w:r>
    </w:p>
    <w:p>
      <w:pPr>
        <w:spacing w:line="360" w:lineRule="auto"/>
        <w:ind w:firstLine="424" w:firstLineChars="171"/>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电    话：</w:t>
      </w:r>
      <w:r>
        <w:rPr>
          <w:rFonts w:hint="eastAsia" w:ascii="宋体" w:hAnsi="宋体" w:eastAsia="宋体" w:cs="宋体"/>
          <w:color w:val="auto"/>
          <w:spacing w:val="4"/>
          <w:szCs w:val="24"/>
          <w:highlight w:val="none"/>
          <w:u w:val="single"/>
        </w:rPr>
        <w:t xml:space="preserve">                           </w:t>
      </w:r>
    </w:p>
    <w:p>
      <w:pPr>
        <w:spacing w:line="360" w:lineRule="auto"/>
        <w:ind w:firstLine="424" w:firstLineChars="171"/>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供应商名称（公章）：</w:t>
      </w:r>
      <w:r>
        <w:rPr>
          <w:rFonts w:hint="eastAsia" w:ascii="宋体" w:hAnsi="宋体" w:eastAsia="宋体" w:cs="宋体"/>
          <w:color w:val="auto"/>
          <w:spacing w:val="4"/>
          <w:szCs w:val="24"/>
          <w:highlight w:val="none"/>
          <w:u w:val="single"/>
        </w:rPr>
        <w:t xml:space="preserve">                 </w:t>
      </w:r>
    </w:p>
    <w:p>
      <w:pPr>
        <w:spacing w:line="360" w:lineRule="auto"/>
        <w:ind w:firstLine="410" w:firstLineChars="171"/>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zCs w:val="22"/>
          <w:highlight w:val="none"/>
        </w:rPr>
        <w:t>法定代表人</w:t>
      </w:r>
      <w:r>
        <w:rPr>
          <w:rFonts w:hint="eastAsia" w:hAnsi="宋体" w:cs="宋体"/>
          <w:color w:val="auto"/>
          <w:szCs w:val="22"/>
          <w:highlight w:val="none"/>
          <w:lang w:val="en-US" w:eastAsia="zh-CN"/>
        </w:rPr>
        <w:t>或</w:t>
      </w:r>
      <w:r>
        <w:rPr>
          <w:rFonts w:hint="eastAsia" w:ascii="宋体" w:hAnsi="宋体" w:eastAsia="宋体" w:cs="宋体"/>
          <w:color w:val="auto"/>
          <w:szCs w:val="22"/>
          <w:highlight w:val="none"/>
        </w:rPr>
        <w:t>被授权人（签字或盖章）：</w:t>
      </w:r>
      <w:r>
        <w:rPr>
          <w:rFonts w:hint="eastAsia" w:ascii="宋体" w:hAnsi="宋体" w:eastAsia="宋体" w:cs="宋体"/>
          <w:color w:val="auto"/>
          <w:szCs w:val="22"/>
          <w:highlight w:val="none"/>
          <w:u w:val="single"/>
        </w:rPr>
        <w:t xml:space="preserve">             </w:t>
      </w:r>
    </w:p>
    <w:p>
      <w:pPr>
        <w:spacing w:line="360" w:lineRule="auto"/>
        <w:ind w:firstLine="424" w:firstLineChars="171"/>
        <w:jc w:val="left"/>
        <w:rPr>
          <w:rFonts w:hint="eastAsia" w:ascii="宋体" w:hAnsi="宋体" w:eastAsia="宋体" w:cs="宋体"/>
          <w:color w:val="auto"/>
          <w:spacing w:val="4"/>
          <w:sz w:val="28"/>
          <w:szCs w:val="28"/>
          <w:highlight w:val="none"/>
        </w:rPr>
      </w:pPr>
      <w:r>
        <w:rPr>
          <w:rFonts w:hint="eastAsia" w:ascii="宋体" w:hAnsi="宋体" w:eastAsia="宋体" w:cs="宋体"/>
          <w:color w:val="auto"/>
          <w:spacing w:val="4"/>
          <w:szCs w:val="24"/>
          <w:highlight w:val="none"/>
        </w:rPr>
        <w:t>日    期：</w:t>
      </w:r>
      <w:r>
        <w:rPr>
          <w:rFonts w:hint="eastAsia" w:ascii="宋体" w:hAnsi="宋体" w:eastAsia="宋体" w:cs="宋体"/>
          <w:color w:val="auto"/>
          <w:spacing w:val="4"/>
          <w:szCs w:val="24"/>
          <w:highlight w:val="none"/>
          <w:u w:val="single"/>
        </w:rPr>
        <w:t xml:space="preserve">                           </w:t>
      </w:r>
    </w:p>
    <w:p>
      <w:pPr>
        <w:spacing w:line="360" w:lineRule="auto"/>
        <w:rPr>
          <w:rFonts w:hint="eastAsia" w:ascii="宋体" w:hAnsi="宋体" w:eastAsia="宋体" w:cs="宋体"/>
          <w:color w:val="auto"/>
          <w:spacing w:val="4"/>
          <w:szCs w:val="24"/>
          <w:highlight w:val="none"/>
        </w:rPr>
      </w:pPr>
      <w:r>
        <w:rPr>
          <w:rFonts w:hint="eastAsia" w:ascii="宋体" w:hAnsi="宋体" w:eastAsia="宋体" w:cs="宋体"/>
          <w:color w:val="auto"/>
          <w:sz w:val="28"/>
          <w:szCs w:val="28"/>
          <w:highlight w:val="none"/>
        </w:rPr>
        <w:br w:type="page"/>
      </w:r>
      <w:bookmarkStart w:id="147" w:name="_Toc403077650"/>
      <w:bookmarkStart w:id="148" w:name="_Toc363474029"/>
      <w:bookmarkStart w:id="149" w:name="_Toc426457702"/>
      <w:bookmarkStart w:id="150" w:name="_Toc324414285"/>
    </w:p>
    <w:bookmarkEnd w:id="147"/>
    <w:bookmarkEnd w:id="148"/>
    <w:bookmarkEnd w:id="149"/>
    <w:bookmarkEnd w:id="150"/>
    <w:p>
      <w:pPr>
        <w:tabs>
          <w:tab w:val="left" w:pos="1440"/>
        </w:tabs>
        <w:jc w:val="center"/>
        <w:rPr>
          <w:rFonts w:hint="eastAsia" w:ascii="宋体" w:hAnsi="宋体" w:eastAsia="宋体" w:cs="宋体"/>
          <w:color w:val="auto"/>
          <w:sz w:val="32"/>
          <w:szCs w:val="32"/>
          <w:highlight w:val="none"/>
        </w:rPr>
      </w:pPr>
      <w:bookmarkStart w:id="151" w:name="_Toc16791"/>
      <w:bookmarkStart w:id="152" w:name="_Toc8895"/>
      <w:bookmarkStart w:id="153" w:name="_Toc14249"/>
      <w:bookmarkStart w:id="154" w:name="_Toc16989"/>
      <w:bookmarkStart w:id="155" w:name="_Toc23874"/>
      <w:bookmarkStart w:id="156" w:name="_Toc19026"/>
      <w:r>
        <w:rPr>
          <w:rFonts w:hint="eastAsia" w:hAnsi="宋体" w:cs="宋体"/>
          <w:b/>
          <w:bCs/>
          <w:color w:val="auto"/>
          <w:sz w:val="32"/>
          <w:szCs w:val="32"/>
          <w:highlight w:val="none"/>
          <w:lang w:val="en-US" w:eastAsia="zh-CN"/>
        </w:rPr>
        <w:t>二</w:t>
      </w:r>
      <w:r>
        <w:rPr>
          <w:rFonts w:hint="eastAsia" w:ascii="宋体" w:hAnsi="宋体" w:eastAsia="宋体" w:cs="宋体"/>
          <w:b/>
          <w:bCs/>
          <w:color w:val="auto"/>
          <w:sz w:val="32"/>
          <w:szCs w:val="32"/>
          <w:highlight w:val="none"/>
        </w:rPr>
        <w:t>、磋商报价表</w:t>
      </w:r>
      <w:bookmarkEnd w:id="151"/>
      <w:bookmarkEnd w:id="152"/>
      <w:bookmarkEnd w:id="153"/>
      <w:bookmarkEnd w:id="154"/>
      <w:bookmarkEnd w:id="155"/>
      <w:bookmarkEnd w:id="156"/>
    </w:p>
    <w:p>
      <w:pPr>
        <w:spacing w:line="360" w:lineRule="auto"/>
        <w:jc w:val="center"/>
        <w:rPr>
          <w:rFonts w:hint="eastAsia" w:ascii="宋体" w:hAnsi="宋体" w:eastAsia="宋体" w:cs="宋体"/>
          <w:b/>
          <w:color w:val="auto"/>
          <w:sz w:val="30"/>
          <w:szCs w:val="30"/>
          <w:highlight w:val="none"/>
        </w:rPr>
      </w:pPr>
    </w:p>
    <w:tbl>
      <w:tblPr>
        <w:tblStyle w:val="20"/>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6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atLeast"/>
          <w:jc w:val="center"/>
        </w:trPr>
        <w:tc>
          <w:tcPr>
            <w:tcW w:w="2636" w:type="dxa"/>
            <w:noWrap w:val="0"/>
            <w:vAlign w:val="center"/>
          </w:tcPr>
          <w:p>
            <w:pPr>
              <w:pStyle w:val="12"/>
              <w:spacing w:line="360" w:lineRule="auto"/>
              <w:jc w:val="center"/>
              <w:rPr>
                <w:rFonts w:hint="eastAsia" w:ascii="宋体" w:hAnsi="宋体" w:eastAsia="宋体" w:cs="宋体"/>
                <w:b/>
                <w:color w:val="auto"/>
                <w:sz w:val="24"/>
                <w:szCs w:val="24"/>
                <w:highlight w:val="yellow"/>
              </w:rPr>
            </w:pPr>
            <w:r>
              <w:rPr>
                <w:rFonts w:hint="eastAsia" w:ascii="宋体" w:hAnsi="宋体" w:eastAsia="宋体" w:cs="宋体"/>
                <w:b/>
                <w:color w:val="auto"/>
                <w:sz w:val="24"/>
                <w:szCs w:val="24"/>
                <w:highlight w:val="none"/>
              </w:rPr>
              <w:t>项目名称</w:t>
            </w:r>
          </w:p>
        </w:tc>
        <w:tc>
          <w:tcPr>
            <w:tcW w:w="6504" w:type="dxa"/>
            <w:noWrap w:val="0"/>
            <w:vAlign w:val="center"/>
          </w:tcPr>
          <w:p>
            <w:pPr>
              <w:spacing w:line="360" w:lineRule="auto"/>
              <w:rPr>
                <w:rFonts w:hint="eastAsia" w:ascii="宋体" w:hAnsi="宋体" w:eastAsia="宋体" w:cs="宋体"/>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atLeast"/>
          <w:jc w:val="center"/>
        </w:trPr>
        <w:tc>
          <w:tcPr>
            <w:tcW w:w="2636" w:type="dxa"/>
            <w:noWrap w:val="0"/>
            <w:vAlign w:val="center"/>
          </w:tcPr>
          <w:p>
            <w:pPr>
              <w:pStyle w:val="12"/>
              <w:spacing w:line="360" w:lineRule="auto"/>
              <w:jc w:val="center"/>
              <w:rPr>
                <w:rFonts w:hint="eastAsia" w:ascii="宋体" w:hAnsi="宋体" w:eastAsia="宋体" w:cs="宋体"/>
                <w:b/>
                <w:color w:val="auto"/>
                <w:sz w:val="24"/>
                <w:szCs w:val="24"/>
                <w:highlight w:val="yellow"/>
              </w:rPr>
            </w:pPr>
            <w:r>
              <w:rPr>
                <w:rFonts w:hint="eastAsia" w:ascii="宋体" w:hAnsi="宋体" w:eastAsia="宋体" w:cs="宋体"/>
                <w:b/>
                <w:color w:val="auto"/>
                <w:sz w:val="24"/>
                <w:szCs w:val="24"/>
                <w:highlight w:val="none"/>
              </w:rPr>
              <w:t>磋商总报价</w:t>
            </w:r>
          </w:p>
        </w:tc>
        <w:tc>
          <w:tcPr>
            <w:tcW w:w="6504" w:type="dxa"/>
            <w:noWrap w:val="0"/>
            <w:vAlign w:val="center"/>
          </w:tcPr>
          <w:p>
            <w:pPr>
              <w:pStyle w:val="12"/>
              <w:jc w:val="left"/>
              <w:rPr>
                <w:rFonts w:hAnsi="宋体" w:cs="宋体"/>
                <w:sz w:val="24"/>
                <w:szCs w:val="24"/>
              </w:rPr>
            </w:pPr>
            <w:r>
              <w:rPr>
                <w:rFonts w:hint="eastAsia" w:hAnsi="宋体" w:cs="宋体"/>
                <w:sz w:val="24"/>
                <w:szCs w:val="24"/>
              </w:rPr>
              <w:t>大写：人民币______元</w:t>
            </w:r>
          </w:p>
          <w:p>
            <w:pPr>
              <w:spacing w:line="360" w:lineRule="auto"/>
              <w:rPr>
                <w:rFonts w:hint="eastAsia" w:ascii="宋体" w:hAnsi="宋体" w:eastAsia="宋体" w:cs="宋体"/>
                <w:color w:val="auto"/>
                <w:sz w:val="24"/>
                <w:szCs w:val="24"/>
                <w:highlight w:val="yellow"/>
              </w:rPr>
            </w:pPr>
            <w:r>
              <w:rPr>
                <w:rFonts w:hint="eastAsia" w:hAnsi="宋体" w:cs="宋体"/>
                <w:sz w:val="24"/>
                <w:szCs w:val="24"/>
              </w:rPr>
              <w:t>小写：￥______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7" w:hRule="atLeast"/>
          <w:jc w:val="center"/>
        </w:trPr>
        <w:tc>
          <w:tcPr>
            <w:tcW w:w="2636" w:type="dxa"/>
            <w:noWrap w:val="0"/>
            <w:vAlign w:val="center"/>
          </w:tcPr>
          <w:p>
            <w:pPr>
              <w:pStyle w:val="12"/>
              <w:spacing w:line="360" w:lineRule="auto"/>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食材折扣</w:t>
            </w:r>
          </w:p>
        </w:tc>
        <w:tc>
          <w:tcPr>
            <w:tcW w:w="6504" w:type="dxa"/>
            <w:noWrap w:val="0"/>
            <w:vAlign w:val="center"/>
          </w:tcPr>
          <w:p>
            <w:pPr>
              <w:pStyle w:val="12"/>
              <w:spacing w:line="360" w:lineRule="auto"/>
              <w:jc w:val="left"/>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小写：</w:t>
            </w:r>
            <w:r>
              <w:rPr>
                <w:rFonts w:hint="eastAsia" w:ascii="宋体" w:hAnsi="宋体" w:eastAsia="宋体" w:cs="宋体"/>
                <w:color w:val="auto"/>
                <w:sz w:val="24"/>
                <w:szCs w:val="24"/>
                <w:highlight w:val="none"/>
                <w:u w:val="single"/>
                <w:lang w:val="en-US" w:eastAsia="zh-CN"/>
              </w:rPr>
              <w:t xml:space="preserve">       %</w:t>
            </w:r>
          </w:p>
          <w:p>
            <w:pPr>
              <w:pStyle w:val="12"/>
              <w:spacing w:line="360" w:lineRule="auto"/>
              <w:jc w:val="left"/>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大写：</w:t>
            </w:r>
            <w:r>
              <w:rPr>
                <w:rFonts w:hint="eastAsia" w:ascii="宋体" w:hAnsi="宋体" w:eastAsia="宋体" w:cs="宋体"/>
                <w:color w:val="auto"/>
                <w:sz w:val="24"/>
                <w:szCs w:val="24"/>
                <w:highlight w:val="none"/>
                <w:u w:val="single"/>
                <w:lang w:val="en-US" w:eastAsia="zh-CN"/>
              </w:rPr>
              <w:t xml:space="preserve">百分之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0" w:hRule="atLeast"/>
          <w:jc w:val="center"/>
        </w:trPr>
        <w:tc>
          <w:tcPr>
            <w:tcW w:w="2636" w:type="dxa"/>
            <w:noWrap w:val="0"/>
            <w:vAlign w:val="center"/>
          </w:tcPr>
          <w:p>
            <w:pPr>
              <w:pStyle w:val="12"/>
              <w:spacing w:line="360" w:lineRule="auto"/>
              <w:jc w:val="center"/>
              <w:rPr>
                <w:rFonts w:hint="eastAsia" w:ascii="宋体" w:hAnsi="宋体" w:eastAsia="宋体" w:cs="宋体"/>
                <w:b/>
                <w:color w:val="auto"/>
                <w:sz w:val="24"/>
                <w:szCs w:val="24"/>
                <w:highlight w:val="yellow"/>
                <w:lang w:eastAsia="zh-CN"/>
              </w:rPr>
            </w:pPr>
            <w:r>
              <w:rPr>
                <w:rFonts w:hint="eastAsia" w:ascii="宋体" w:hAnsi="宋体" w:eastAsia="宋体" w:cs="宋体"/>
                <w:b/>
                <w:color w:val="auto"/>
                <w:sz w:val="24"/>
                <w:szCs w:val="24"/>
                <w:highlight w:val="none"/>
                <w:lang w:eastAsia="zh-CN"/>
              </w:rPr>
              <w:t>服务期限</w:t>
            </w:r>
          </w:p>
        </w:tc>
        <w:tc>
          <w:tcPr>
            <w:tcW w:w="6504" w:type="dxa"/>
            <w:noWrap w:val="0"/>
            <w:vAlign w:val="center"/>
          </w:tcPr>
          <w:p>
            <w:pPr>
              <w:pStyle w:val="12"/>
              <w:spacing w:line="360" w:lineRule="auto"/>
              <w:ind w:firstLine="240" w:firstLineChars="100"/>
              <w:rPr>
                <w:rFonts w:hint="eastAsia" w:ascii="宋体" w:hAnsi="宋体" w:eastAsia="宋体" w:cs="宋体"/>
                <w:color w:val="auto"/>
                <w:sz w:val="24"/>
                <w:szCs w:val="24"/>
                <w:highlight w:val="yellow"/>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2636" w:type="dxa"/>
            <w:noWrap w:val="0"/>
            <w:vAlign w:val="center"/>
          </w:tcPr>
          <w:p>
            <w:pPr>
              <w:pStyle w:val="12"/>
              <w:spacing w:line="360" w:lineRule="auto"/>
              <w:jc w:val="center"/>
              <w:rPr>
                <w:rFonts w:hint="eastAsia" w:ascii="宋体" w:hAnsi="宋体" w:eastAsia="宋体" w:cs="宋体"/>
                <w:b/>
                <w:color w:val="auto"/>
                <w:sz w:val="24"/>
                <w:szCs w:val="24"/>
                <w:highlight w:val="yellow"/>
              </w:rPr>
            </w:pPr>
            <w:r>
              <w:rPr>
                <w:rFonts w:hint="eastAsia" w:ascii="宋体" w:hAnsi="宋体" w:eastAsia="宋体" w:cs="宋体"/>
                <w:b/>
                <w:color w:val="auto"/>
                <w:sz w:val="24"/>
                <w:szCs w:val="24"/>
                <w:highlight w:val="none"/>
              </w:rPr>
              <w:t>备注</w:t>
            </w:r>
          </w:p>
        </w:tc>
        <w:tc>
          <w:tcPr>
            <w:tcW w:w="6504" w:type="dxa"/>
            <w:noWrap w:val="0"/>
            <w:vAlign w:val="center"/>
          </w:tcPr>
          <w:p>
            <w:pPr>
              <w:pStyle w:val="12"/>
              <w:numPr>
                <w:ilvl w:val="0"/>
                <w:numId w:val="6"/>
              </w:numPr>
              <w:jc w:val="left"/>
              <w:rPr>
                <w:rFonts w:hint="eastAsia"/>
                <w:lang w:val="zh-CN"/>
              </w:rPr>
            </w:pPr>
            <w:r>
              <w:rPr>
                <w:rFonts w:hint="eastAsia"/>
                <w:lang w:val="zh-CN"/>
              </w:rPr>
              <w:t>食材折扣以百分比形式报价；最终结算以西安市大型食材市场</w:t>
            </w:r>
            <w:r>
              <w:rPr>
                <w:rFonts w:hint="eastAsia"/>
              </w:rPr>
              <w:t>的综合均价，</w:t>
            </w:r>
            <w:r>
              <w:rPr>
                <w:rFonts w:hint="eastAsia"/>
                <w:lang w:val="zh-CN"/>
              </w:rPr>
              <w:t>每日公布食材价*</w:t>
            </w:r>
            <w:r>
              <w:rPr>
                <w:rFonts w:hint="eastAsia"/>
                <w:lang w:val="en-US" w:eastAsia="zh-CN"/>
              </w:rPr>
              <w:t>供应商</w:t>
            </w:r>
            <w:r>
              <w:rPr>
                <w:rFonts w:hint="eastAsia"/>
                <w:lang w:val="zh-CN"/>
              </w:rPr>
              <w:t>食材折扣。例如：食材折扣报80%，则结算价格=</w:t>
            </w:r>
            <w:r>
              <w:rPr>
                <w:rFonts w:hint="eastAsia"/>
                <w:lang w:val="en-US" w:eastAsia="zh-CN"/>
              </w:rPr>
              <w:t>西安市大型食材市场</w:t>
            </w:r>
            <w:r>
              <w:rPr>
                <w:rFonts w:hint="eastAsia"/>
                <w:lang w:val="zh-CN"/>
              </w:rPr>
              <w:t>公布食材价*80%。</w:t>
            </w:r>
          </w:p>
          <w:p>
            <w:pPr>
              <w:pStyle w:val="12"/>
              <w:numPr>
                <w:ilvl w:val="0"/>
                <w:numId w:val="6"/>
              </w:numPr>
              <w:spacing w:line="360" w:lineRule="auto"/>
              <w:ind w:left="0" w:leftChars="0" w:firstLine="0" w:firstLineChars="0"/>
              <w:rPr>
                <w:rFonts w:hint="eastAsia"/>
                <w:lang w:val="zh-CN"/>
              </w:rPr>
            </w:pPr>
            <w:r>
              <w:rPr>
                <w:rFonts w:hint="eastAsia"/>
              </w:rPr>
              <w:t>磋商总报价</w:t>
            </w:r>
            <w:r>
              <w:rPr>
                <w:rFonts w:hint="eastAsia"/>
                <w:lang w:val="en-US" w:eastAsia="zh-CN"/>
              </w:rPr>
              <w:t>=预算金额*</w:t>
            </w:r>
            <w:r>
              <w:rPr>
                <w:rFonts w:hint="eastAsia"/>
                <w:lang w:val="zh-CN"/>
              </w:rPr>
              <w:t>食材折扣</w:t>
            </w:r>
          </w:p>
          <w:p>
            <w:pPr>
              <w:numPr>
                <w:ilvl w:val="0"/>
                <w:numId w:val="0"/>
              </w:numPr>
              <w:ind w:leftChars="0"/>
              <w:rPr>
                <w:rFonts w:hint="eastAsia"/>
              </w:rPr>
            </w:pPr>
            <w:r>
              <w:rPr>
                <w:rFonts w:hint="eastAsia"/>
                <w:lang w:val="en-US" w:eastAsia="zh-CN"/>
              </w:rPr>
              <w:t>磋商总报价</w:t>
            </w:r>
            <w:r>
              <w:rPr>
                <w:rFonts w:hint="eastAsia"/>
              </w:rPr>
              <w:t>为暂定金额，</w:t>
            </w:r>
            <w:r>
              <w:rPr>
                <w:rFonts w:hint="eastAsia"/>
                <w:lang w:val="en-US" w:eastAsia="zh-CN"/>
              </w:rPr>
              <w:t>结算</w:t>
            </w:r>
            <w:r>
              <w:rPr>
                <w:rFonts w:hint="eastAsia"/>
              </w:rPr>
              <w:t>以</w:t>
            </w:r>
            <w:r>
              <w:rPr>
                <w:rFonts w:hint="eastAsia"/>
                <w:lang w:val="en-US" w:eastAsia="zh-CN"/>
              </w:rPr>
              <w:t>食材折扣</w:t>
            </w:r>
            <w:r>
              <w:rPr>
                <w:rFonts w:hint="eastAsia"/>
              </w:rPr>
              <w:t>为准。</w:t>
            </w:r>
          </w:p>
        </w:tc>
      </w:tr>
    </w:tbl>
    <w:p>
      <w:pPr>
        <w:spacing w:line="360" w:lineRule="auto"/>
        <w:jc w:val="left"/>
        <w:rPr>
          <w:rFonts w:hint="eastAsia" w:ascii="宋体" w:hAnsi="宋体" w:eastAsia="宋体" w:cs="宋体"/>
          <w:color w:val="auto"/>
          <w:szCs w:val="24"/>
          <w:highlight w:val="none"/>
        </w:rPr>
      </w:pPr>
    </w:p>
    <w:p>
      <w:pPr>
        <w:pStyle w:val="5"/>
        <w:ind w:firstLine="480"/>
        <w:rPr>
          <w:rFonts w:hint="eastAsia" w:ascii="宋体" w:hAnsi="宋体" w:eastAsia="宋体" w:cs="宋体"/>
          <w:color w:val="auto"/>
          <w:sz w:val="24"/>
          <w:highlight w:val="none"/>
        </w:rPr>
      </w:pPr>
    </w:p>
    <w:p>
      <w:pPr>
        <w:pStyle w:val="5"/>
        <w:ind w:firstLine="0" w:firstLineChars="0"/>
        <w:rPr>
          <w:rFonts w:hint="eastAsia" w:ascii="宋体" w:hAnsi="宋体" w:eastAsia="宋体" w:cs="宋体"/>
          <w:color w:val="auto"/>
          <w:sz w:val="24"/>
          <w:highlight w:val="none"/>
        </w:rPr>
      </w:pP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供应商名称（公章）：</w:t>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法定代表人</w:t>
      </w:r>
      <w:r>
        <w:rPr>
          <w:rFonts w:hint="eastAsia" w:hAnsi="宋体" w:cs="宋体"/>
          <w:color w:val="auto"/>
          <w:szCs w:val="24"/>
          <w:highlight w:val="none"/>
          <w:lang w:val="en-US" w:eastAsia="zh-CN"/>
        </w:rPr>
        <w:t>或</w:t>
      </w:r>
      <w:r>
        <w:rPr>
          <w:rFonts w:hint="eastAsia" w:ascii="宋体" w:hAnsi="宋体" w:eastAsia="宋体" w:cs="宋体"/>
          <w:color w:val="auto"/>
          <w:szCs w:val="24"/>
          <w:highlight w:val="none"/>
        </w:rPr>
        <w:t>被授权人（</w:t>
      </w:r>
      <w:r>
        <w:rPr>
          <w:rFonts w:hint="eastAsia" w:ascii="宋体" w:hAnsi="宋体" w:eastAsia="宋体" w:cs="宋体"/>
          <w:color w:val="auto"/>
          <w:spacing w:val="4"/>
          <w:szCs w:val="24"/>
          <w:highlight w:val="none"/>
        </w:rPr>
        <w:t>签字或盖章</w:t>
      </w:r>
      <w:r>
        <w:rPr>
          <w:rFonts w:hint="eastAsia" w:ascii="宋体" w:hAnsi="宋体" w:eastAsia="宋体" w:cs="宋体"/>
          <w:color w:val="auto"/>
          <w:szCs w:val="24"/>
          <w:highlight w:val="none"/>
        </w:rPr>
        <w:t>）：</w:t>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    期：</w:t>
      </w:r>
    </w:p>
    <w:p>
      <w:pPr>
        <w:adjustRightInd w:val="0"/>
        <w:snapToGrid w:val="0"/>
        <w:spacing w:line="360" w:lineRule="auto"/>
        <w:jc w:val="center"/>
        <w:outlineLvl w:val="9"/>
        <w:rPr>
          <w:rFonts w:hint="eastAsia" w:ascii="宋体" w:hAnsi="宋体" w:eastAsia="宋体" w:cs="宋体"/>
          <w:b/>
          <w:bCs/>
          <w:color w:val="auto"/>
          <w:sz w:val="32"/>
          <w:szCs w:val="32"/>
          <w:highlight w:val="none"/>
        </w:rPr>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pPr>
    </w:p>
    <w:p>
      <w:pPr>
        <w:adjustRightInd w:val="0"/>
        <w:snapToGrid w:val="0"/>
        <w:spacing w:line="360" w:lineRule="auto"/>
        <w:jc w:val="center"/>
        <w:rPr>
          <w:rFonts w:hint="eastAsia" w:ascii="宋体" w:hAnsi="宋体" w:eastAsia="宋体" w:cs="宋体"/>
          <w:b/>
          <w:bCs/>
          <w:color w:val="auto"/>
          <w:sz w:val="32"/>
          <w:szCs w:val="32"/>
          <w:highlight w:val="none"/>
        </w:rPr>
      </w:pPr>
      <w:bookmarkStart w:id="157" w:name="_Toc4855"/>
      <w:bookmarkStart w:id="158" w:name="_Toc4145"/>
      <w:bookmarkStart w:id="159" w:name="_Toc23137"/>
      <w:bookmarkStart w:id="160" w:name="_Toc14469"/>
      <w:bookmarkStart w:id="161" w:name="_Toc12557"/>
      <w:bookmarkStart w:id="162" w:name="_Toc29363"/>
      <w:r>
        <w:rPr>
          <w:rFonts w:hint="eastAsia" w:hAnsi="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w:t>
      </w:r>
      <w:r>
        <w:rPr>
          <w:rFonts w:hint="eastAsia" w:hAnsi="宋体" w:cs="宋体"/>
          <w:b/>
          <w:bCs/>
          <w:color w:val="auto"/>
          <w:sz w:val="32"/>
          <w:szCs w:val="32"/>
          <w:highlight w:val="none"/>
          <w:lang w:val="en-US" w:eastAsia="zh-CN"/>
        </w:rPr>
        <w:t>资格审查</w:t>
      </w:r>
      <w:r>
        <w:rPr>
          <w:rFonts w:hint="eastAsia" w:ascii="宋体" w:hAnsi="宋体" w:eastAsia="宋体" w:cs="宋体"/>
          <w:b/>
          <w:bCs/>
          <w:color w:val="auto"/>
          <w:sz w:val="32"/>
          <w:szCs w:val="32"/>
          <w:highlight w:val="none"/>
        </w:rPr>
        <w:t>部分</w:t>
      </w:r>
      <w:bookmarkEnd w:id="157"/>
      <w:bookmarkEnd w:id="158"/>
      <w:bookmarkEnd w:id="159"/>
      <w:bookmarkEnd w:id="160"/>
      <w:bookmarkEnd w:id="161"/>
      <w:bookmarkEnd w:id="162"/>
    </w:p>
    <w:p>
      <w:pPr>
        <w:spacing w:line="360" w:lineRule="auto"/>
        <w:ind w:firstLine="482" w:firstLineChars="20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供应商应按照磋商文件的要求编制</w:t>
      </w:r>
      <w:r>
        <w:rPr>
          <w:rFonts w:hint="eastAsia" w:hAnsi="宋体" w:cs="宋体"/>
          <w:b/>
          <w:color w:val="auto"/>
          <w:szCs w:val="24"/>
          <w:highlight w:val="none"/>
          <w:lang w:val="en-US" w:eastAsia="zh-CN"/>
        </w:rPr>
        <w:t>资格部分文件</w:t>
      </w:r>
      <w:r>
        <w:rPr>
          <w:rFonts w:hint="eastAsia" w:ascii="宋体" w:hAnsi="宋体" w:eastAsia="宋体" w:cs="宋体"/>
          <w:b/>
          <w:color w:val="auto"/>
          <w:szCs w:val="24"/>
          <w:highlight w:val="none"/>
        </w:rPr>
        <w:t>，并封装至磋商响应文件中。主要内容须包括以下几点，如果实质上没有响应磋商文件要求，将按无效磋商处理。</w:t>
      </w:r>
    </w:p>
    <w:p>
      <w:pPr>
        <w:spacing w:line="360" w:lineRule="auto"/>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（一）资格审查文件</w:t>
      </w:r>
      <w:r>
        <w:rPr>
          <w:rFonts w:hint="eastAsia" w:ascii="宋体" w:hAnsi="宋体" w:eastAsia="宋体" w:cs="宋体"/>
          <w:color w:val="auto"/>
          <w:szCs w:val="24"/>
          <w:highlight w:val="none"/>
        </w:rPr>
        <w:t>（以下相关资料提供加盖公章的复印件，须清晰可见）</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bookmarkStart w:id="163" w:name="_Toc17167"/>
      <w:bookmarkStart w:id="164" w:name="_Toc1430"/>
      <w:bookmarkStart w:id="165" w:name="_Toc363474028"/>
      <w:bookmarkStart w:id="166" w:name="_Toc20657"/>
      <w:bookmarkStart w:id="167" w:name="_Toc8589"/>
      <w:bookmarkStart w:id="168" w:name="_Toc403077649"/>
      <w:bookmarkStart w:id="169" w:name="_Toc4115"/>
      <w:bookmarkStart w:id="170" w:name="_Toc2744"/>
      <w:bookmarkStart w:id="171" w:name="_Toc437333651"/>
      <w:r>
        <w:rPr>
          <w:rStyle w:val="23"/>
          <w:rFonts w:hint="eastAsia" w:ascii="宋体" w:hAnsi="宋体" w:eastAsia="宋体" w:cs="宋体"/>
          <w:b w:val="0"/>
          <w:bCs w:val="0"/>
          <w:color w:val="auto"/>
          <w:sz w:val="24"/>
          <w:szCs w:val="24"/>
          <w:highlight w:val="none"/>
          <w:lang w:val="en-US" w:eastAsia="zh-CN"/>
        </w:rPr>
        <w:t>1、提供有效合格的具有社会统一信用代码的营业执照，其他组织经营的须提供合法凭证；</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2、财务状况报告：提供</w:t>
      </w:r>
      <w:r>
        <w:rPr>
          <w:rStyle w:val="23"/>
          <w:rFonts w:hint="eastAsia" w:hAnsi="宋体" w:cs="宋体" w:asciiTheme="minorHAnsi" w:eastAsiaTheme="minorEastAsia"/>
          <w:b w:val="0"/>
          <w:bCs w:val="0"/>
          <w:color w:val="auto"/>
          <w:sz w:val="24"/>
          <w:szCs w:val="24"/>
          <w:highlight w:val="none"/>
          <w:lang w:val="en-US" w:eastAsia="zh-CN"/>
        </w:rPr>
        <w:t>2021年</w:t>
      </w:r>
      <w:r>
        <w:rPr>
          <w:rStyle w:val="23"/>
          <w:rFonts w:hint="eastAsia" w:ascii="宋体" w:hAnsi="宋体" w:eastAsia="宋体" w:cs="宋体"/>
          <w:b w:val="0"/>
          <w:bCs w:val="0"/>
          <w:color w:val="auto"/>
          <w:sz w:val="24"/>
          <w:szCs w:val="24"/>
          <w:highlight w:val="none"/>
          <w:lang w:val="en-US" w:eastAsia="zh-CN"/>
        </w:rPr>
        <w:t>度经审计的财务报告或开标日期前三个月内其基本存款账户开户银行出具的资信证明及基本存款账户开户许可证（基本账户信息表）；</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3、税收缴纳证明：提供</w:t>
      </w:r>
      <w:r>
        <w:rPr>
          <w:rStyle w:val="23"/>
          <w:rFonts w:hint="eastAsia" w:hAnsi="宋体" w:cs="宋体" w:asciiTheme="minorHAnsi" w:eastAsiaTheme="minorEastAsia"/>
          <w:b w:val="0"/>
          <w:bCs w:val="0"/>
          <w:color w:val="auto"/>
          <w:sz w:val="24"/>
          <w:szCs w:val="24"/>
          <w:highlight w:val="none"/>
          <w:lang w:val="en-US" w:eastAsia="zh-CN"/>
        </w:rPr>
        <w:t>2022年</w:t>
      </w:r>
      <w:r>
        <w:rPr>
          <w:rStyle w:val="23"/>
          <w:rFonts w:hint="eastAsia" w:ascii="宋体" w:hAnsi="宋体" w:eastAsia="宋体" w:cs="宋体"/>
          <w:b w:val="0"/>
          <w:bCs w:val="0"/>
          <w:color w:val="auto"/>
          <w:sz w:val="24"/>
          <w:szCs w:val="24"/>
          <w:highlight w:val="none"/>
          <w:lang w:val="en-US" w:eastAsia="zh-CN"/>
        </w:rPr>
        <w:t>1月至今已缴纳的至少一个月的纳税证明，依法免税的单位应提供相关证明材料；</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4、社会保障资金缴纳证明：提供</w:t>
      </w:r>
      <w:r>
        <w:rPr>
          <w:rStyle w:val="23"/>
          <w:rFonts w:hint="eastAsia" w:hAnsi="宋体" w:cs="宋体" w:asciiTheme="minorHAnsi" w:eastAsiaTheme="minorEastAsia"/>
          <w:b w:val="0"/>
          <w:bCs w:val="0"/>
          <w:color w:val="auto"/>
          <w:sz w:val="24"/>
          <w:szCs w:val="24"/>
          <w:highlight w:val="none"/>
          <w:lang w:val="en-US" w:eastAsia="zh-CN"/>
        </w:rPr>
        <w:t>2022年</w:t>
      </w:r>
      <w:r>
        <w:rPr>
          <w:rStyle w:val="23"/>
          <w:rFonts w:hint="eastAsia" w:ascii="宋体" w:hAnsi="宋体" w:eastAsia="宋体" w:cs="宋体"/>
          <w:b w:val="0"/>
          <w:bCs w:val="0"/>
          <w:color w:val="auto"/>
          <w:sz w:val="24"/>
          <w:szCs w:val="24"/>
          <w:highlight w:val="none"/>
          <w:lang w:val="en-US" w:eastAsia="zh-CN"/>
        </w:rPr>
        <w:t>1月至今已缴存的至少一个月的社会保障资金缴存单据或社保机构开具的社会保险参保缴费情况证明，依法不需要缴纳社会保障资金的单位应提供相关证明材料；</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5、具备履行合同所必须的设备和专业技术能力的书面声明;</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6、参加政府采购活动前三年内，在经营活动中没有重大违法记录的书面声明；</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7、法定代表人授权他人参加磋商的，须提供法定代表人授权书（附法定代表人、被授权人身份证复印件）及被授权人身份证原件（法定代表人直接参加磋商，须提供法定代表人身份证明及身份证原件）；非法人单位参照执行；</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8、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p>
    <w:p>
      <w:pPr>
        <w:numPr>
          <w:ilvl w:val="0"/>
          <w:numId w:val="0"/>
        </w:numPr>
        <w:shd w:val="clear" w:color="auto" w:fill="FFFFFF"/>
        <w:spacing w:before="0" w:after="0" w:line="360" w:lineRule="auto"/>
        <w:ind w:left="0" w:leftChars="0" w:firstLine="480" w:firstLineChars="200"/>
        <w:textAlignment w:val="baseline"/>
        <w:outlineLvl w:val="9"/>
        <w:rPr>
          <w:rStyle w:val="23"/>
          <w:rFonts w:hint="eastAsia" w:ascii="宋体" w:hAnsi="宋体" w:eastAsia="宋体" w:cs="宋体"/>
          <w:b w:val="0"/>
          <w:bCs w:val="0"/>
          <w:color w:val="auto"/>
          <w:sz w:val="24"/>
          <w:szCs w:val="24"/>
          <w:highlight w:val="none"/>
          <w:lang w:val="en-US" w:eastAsia="zh-CN"/>
        </w:rPr>
      </w:pPr>
      <w:r>
        <w:rPr>
          <w:rStyle w:val="23"/>
          <w:rFonts w:hint="eastAsia" w:ascii="宋体" w:hAnsi="宋体" w:eastAsia="宋体" w:cs="宋体"/>
          <w:b w:val="0"/>
          <w:bCs w:val="0"/>
          <w:color w:val="auto"/>
          <w:sz w:val="24"/>
          <w:szCs w:val="24"/>
          <w:highlight w:val="none"/>
          <w:lang w:val="en-US" w:eastAsia="zh-CN"/>
        </w:rPr>
        <w:t>9、供应商为生产厂家的须具有《食品生产许可证》、《食品经营许可证》及《动物防疫条件合格证》（仅肉类）；供应商为代理商的须提供《食品经营许可证》，并提供所代理产品生产厂家的《食品生产许可证》及《动物防疫条件合格证》（仅肉类）；</w:t>
      </w:r>
    </w:p>
    <w:p>
      <w:pPr>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10、本项目不接受联合体投标。</w:t>
      </w:r>
    </w:p>
    <w:p>
      <w:pP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br w:type="page"/>
      </w:r>
    </w:p>
    <w:p>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中小企业声明函（服务）</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zCs w:val="24"/>
          <w:highlight w:val="none"/>
          <w:u w:val="single"/>
        </w:rPr>
        <w:t>（单位名称）</w:t>
      </w:r>
      <w:r>
        <w:rPr>
          <w:rFonts w:hint="eastAsia" w:ascii="宋体" w:hAnsi="宋体" w:eastAsia="宋体" w:cs="宋体"/>
          <w:color w:val="auto"/>
          <w:szCs w:val="24"/>
          <w:highlight w:val="none"/>
        </w:rPr>
        <w:t>的</w:t>
      </w:r>
      <w:r>
        <w:rPr>
          <w:rFonts w:hint="eastAsia" w:ascii="宋体" w:hAnsi="宋体" w:eastAsia="宋体" w:cs="宋体"/>
          <w:color w:val="auto"/>
          <w:szCs w:val="24"/>
          <w:highlight w:val="none"/>
          <w:u w:val="single"/>
        </w:rPr>
        <w:t>（项目名称）</w:t>
      </w:r>
      <w:r>
        <w:rPr>
          <w:rFonts w:hint="eastAsia" w:ascii="宋体" w:hAnsi="宋体" w:eastAsia="宋体" w:cs="宋体"/>
          <w:color w:val="auto"/>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szCs w:val="24"/>
          <w:highlight w:val="none"/>
          <w:u w:val="single"/>
        </w:rPr>
        <w:t xml:space="preserve"> （标的名称） </w:t>
      </w:r>
      <w:r>
        <w:rPr>
          <w:rFonts w:hint="eastAsia" w:ascii="宋体" w:hAnsi="宋体" w:eastAsia="宋体" w:cs="宋体"/>
          <w:color w:val="auto"/>
          <w:szCs w:val="24"/>
          <w:highlight w:val="none"/>
        </w:rPr>
        <w:t>，属于</w:t>
      </w:r>
      <w:r>
        <w:rPr>
          <w:rFonts w:hint="eastAsia" w:ascii="宋体" w:hAnsi="宋体" w:eastAsia="宋体" w:cs="宋体"/>
          <w:color w:val="auto"/>
          <w:szCs w:val="24"/>
          <w:highlight w:val="none"/>
          <w:u w:val="single"/>
        </w:rPr>
        <w:t xml:space="preserve"> </w:t>
      </w:r>
      <w:r>
        <w:rPr>
          <w:rFonts w:hint="eastAsia"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行业；承建（承接）企业为</w:t>
      </w:r>
      <w:r>
        <w:rPr>
          <w:rFonts w:hint="eastAsia" w:ascii="宋体" w:hAnsi="宋体" w:eastAsia="宋体" w:cs="宋体"/>
          <w:color w:val="auto"/>
          <w:szCs w:val="24"/>
          <w:highlight w:val="none"/>
          <w:u w:val="single"/>
        </w:rPr>
        <w:t>（企业名称）</w:t>
      </w:r>
      <w:r>
        <w:rPr>
          <w:rFonts w:hint="eastAsia" w:ascii="宋体" w:hAnsi="宋体" w:eastAsia="宋体" w:cs="宋体"/>
          <w:color w:val="auto"/>
          <w:szCs w:val="24"/>
          <w:highlight w:val="none"/>
        </w:rPr>
        <w:t>，从业人员</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人，营业收入为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万元，资产总额为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w:t>
      </w:r>
      <w:r>
        <w:rPr>
          <w:rFonts w:hint="eastAsia" w:ascii="宋体" w:hAnsi="宋体" w:eastAsia="宋体" w:cs="宋体"/>
          <w:color w:val="auto"/>
          <w:szCs w:val="24"/>
          <w:highlight w:val="none"/>
          <w:vertAlign w:val="superscript"/>
        </w:rPr>
        <w:t>1</w:t>
      </w:r>
      <w:r>
        <w:rPr>
          <w:rFonts w:hint="eastAsia" w:ascii="宋体" w:hAnsi="宋体" w:eastAsia="宋体" w:cs="宋体"/>
          <w:color w:val="auto"/>
          <w:szCs w:val="24"/>
          <w:highlight w:val="none"/>
        </w:rPr>
        <w:t>，属于</w:t>
      </w:r>
      <w:r>
        <w:rPr>
          <w:rFonts w:hint="eastAsia" w:ascii="宋体" w:hAnsi="宋体" w:eastAsia="宋体" w:cs="宋体"/>
          <w:color w:val="auto"/>
          <w:szCs w:val="24"/>
          <w:highlight w:val="none"/>
          <w:u w:val="single"/>
        </w:rPr>
        <w:t>（中型企业、小型企业、微型企业）</w:t>
      </w:r>
      <w:r>
        <w:rPr>
          <w:rFonts w:hint="eastAsia" w:ascii="宋体" w:hAnsi="宋体" w:eastAsia="宋体" w:cs="宋体"/>
          <w:color w:val="auto"/>
          <w:szCs w:val="24"/>
          <w:highlight w:val="none"/>
        </w:rPr>
        <w:t>；</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ascii="宋体" w:hAnsi="宋体" w:eastAsia="宋体" w:cs="宋体"/>
          <w:color w:val="auto"/>
          <w:szCs w:val="24"/>
          <w:highlight w:val="none"/>
          <w:u w:val="single"/>
        </w:rPr>
        <w:t xml:space="preserve"> （标的名称） </w:t>
      </w:r>
      <w:r>
        <w:rPr>
          <w:rFonts w:hint="eastAsia" w:ascii="宋体" w:hAnsi="宋体" w:eastAsia="宋体" w:cs="宋体"/>
          <w:color w:val="auto"/>
          <w:szCs w:val="24"/>
          <w:highlight w:val="none"/>
        </w:rPr>
        <w:t>，属于</w:t>
      </w:r>
      <w:r>
        <w:rPr>
          <w:rFonts w:hint="eastAsia" w:ascii="宋体" w:hAnsi="宋体" w:eastAsia="宋体" w:cs="宋体"/>
          <w:color w:val="auto"/>
          <w:szCs w:val="24"/>
          <w:highlight w:val="none"/>
          <w:u w:val="single"/>
        </w:rPr>
        <w:t xml:space="preserve"> </w:t>
      </w:r>
      <w:r>
        <w:rPr>
          <w:rFonts w:hint="eastAsia"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行业；承建（承接）企业为</w:t>
      </w:r>
      <w:r>
        <w:rPr>
          <w:rFonts w:hint="eastAsia" w:ascii="宋体" w:hAnsi="宋体" w:eastAsia="宋体" w:cs="宋体"/>
          <w:color w:val="auto"/>
          <w:szCs w:val="24"/>
          <w:highlight w:val="none"/>
          <w:u w:val="single"/>
        </w:rPr>
        <w:t>（企业名称）</w:t>
      </w:r>
      <w:r>
        <w:rPr>
          <w:rFonts w:hint="eastAsia" w:ascii="宋体" w:hAnsi="宋体" w:eastAsia="宋体" w:cs="宋体"/>
          <w:color w:val="auto"/>
          <w:szCs w:val="24"/>
          <w:highlight w:val="none"/>
        </w:rPr>
        <w:t>，从业人员</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人，营业收入为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万元，资产总额为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万元，属于</w:t>
      </w:r>
      <w:r>
        <w:rPr>
          <w:rFonts w:hint="eastAsia" w:ascii="宋体" w:hAnsi="宋体" w:eastAsia="宋体" w:cs="宋体"/>
          <w:color w:val="auto"/>
          <w:szCs w:val="24"/>
          <w:highlight w:val="none"/>
          <w:u w:val="single"/>
        </w:rPr>
        <w:t>（中型企业、小型企业、微型企业）</w:t>
      </w:r>
      <w:r>
        <w:rPr>
          <w:rFonts w:hint="eastAsia" w:ascii="宋体" w:hAnsi="宋体" w:eastAsia="宋体" w:cs="宋体"/>
          <w:color w:val="auto"/>
          <w:szCs w:val="24"/>
          <w:highlight w:val="none"/>
        </w:rPr>
        <w:t>；</w:t>
      </w:r>
    </w:p>
    <w:p>
      <w:pPr>
        <w:spacing w:line="360" w:lineRule="auto"/>
        <w:ind w:firstLine="720" w:firstLineChars="300"/>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本企业对上述声明内容的真实性负责。如有虚假，将依法承担相应责任。</w:t>
      </w:r>
    </w:p>
    <w:p>
      <w:pPr>
        <w:spacing w:line="360" w:lineRule="auto"/>
        <w:ind w:firstLine="3960" w:firstLineChars="165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企业名称（盖章）：</w:t>
      </w:r>
    </w:p>
    <w:p>
      <w:pPr>
        <w:spacing w:line="360" w:lineRule="auto"/>
        <w:ind w:firstLine="3960" w:firstLineChars="165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日期：</w:t>
      </w:r>
    </w:p>
    <w:p>
      <w:pPr>
        <w:adjustRightInd w:val="0"/>
        <w:snapToGrid w:val="0"/>
        <w:spacing w:line="360" w:lineRule="auto"/>
        <w:rPr>
          <w:rFonts w:hint="eastAsia" w:ascii="宋体" w:hAnsi="宋体" w:eastAsia="宋体" w:cs="宋体"/>
          <w:color w:val="auto"/>
          <w:szCs w:val="21"/>
          <w:highlight w:val="none"/>
        </w:rPr>
      </w:pPr>
    </w:p>
    <w:p>
      <w:pPr>
        <w:adjustRightInd w:val="0"/>
        <w:snapToGrid w:val="0"/>
        <w:spacing w:line="360" w:lineRule="auto"/>
        <w:rPr>
          <w:rFonts w:hint="eastAsia" w:ascii="宋体" w:hAnsi="宋体" w:eastAsia="宋体" w:cs="宋体"/>
          <w:color w:val="auto"/>
          <w:szCs w:val="21"/>
          <w:highlight w:val="none"/>
        </w:rPr>
      </w:pPr>
    </w:p>
    <w:p>
      <w:pPr>
        <w:adjustRightInd w:val="0"/>
        <w:snapToGrid w:val="0"/>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说明：                                  </w:t>
      </w:r>
    </w:p>
    <w:p>
      <w:pPr>
        <w:adjustRightInd w:val="0"/>
        <w:snapToGrid w:val="0"/>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vertAlign w:val="superscript"/>
        </w:rPr>
        <w:t>1</w:t>
      </w:r>
      <w:r>
        <w:rPr>
          <w:rFonts w:hint="eastAsia" w:ascii="宋体" w:hAnsi="宋体" w:eastAsia="宋体" w:cs="宋体"/>
          <w:color w:val="auto"/>
          <w:szCs w:val="21"/>
          <w:highlight w:val="none"/>
        </w:rPr>
        <w:t>从业人员、营业收入、资产总额填报上一年度数据，无上一年度数据的新成立企业可不填报。</w:t>
      </w:r>
    </w:p>
    <w:p>
      <w:pPr>
        <w:adjustRightInd w:val="0"/>
        <w:snapToGrid w:val="0"/>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如不是该类企业则不需提供相关声明，若提供虚假材料谋取中标、成交的，将按照《</w:t>
      </w:r>
      <w:r>
        <w:rPr>
          <w:rFonts w:hint="eastAsia" w:ascii="宋体" w:hAnsi="宋体" w:eastAsia="宋体" w:cs="宋体"/>
          <w:color w:val="auto"/>
          <w:spacing w:val="4"/>
          <w:szCs w:val="24"/>
          <w:highlight w:val="none"/>
        </w:rPr>
        <w:t>中华人民共和国政府采购法</w:t>
      </w:r>
      <w:r>
        <w:rPr>
          <w:rFonts w:hint="eastAsia" w:ascii="宋体" w:hAnsi="宋体" w:eastAsia="宋体" w:cs="宋体"/>
          <w:color w:val="auto"/>
          <w:szCs w:val="21"/>
          <w:highlight w:val="none"/>
        </w:rPr>
        <w:t>》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2"/>
        <w:rPr>
          <w:rFonts w:hint="eastAsia" w:ascii="宋体" w:hAnsi="宋体" w:eastAsia="宋体" w:cs="宋体"/>
          <w:kern w:val="0"/>
          <w:sz w:val="24"/>
          <w:szCs w:val="24"/>
          <w:lang w:val="en-US" w:eastAsia="zh-CN" w:bidi="ar-SA"/>
        </w:rPr>
      </w:pPr>
    </w:p>
    <w:p>
      <w:pP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br w:type="page"/>
      </w:r>
    </w:p>
    <w:p>
      <w:pPr>
        <w:spacing w:line="360" w:lineRule="auto"/>
        <w:jc w:val="center"/>
        <w:rPr>
          <w:rFonts w:hint="eastAsia" w:ascii="宋体" w:hAnsi="宋体" w:eastAsia="宋体" w:cs="宋体"/>
          <w:color w:val="auto"/>
          <w:sz w:val="32"/>
          <w:szCs w:val="32"/>
          <w:highlight w:val="none"/>
        </w:rPr>
      </w:pPr>
      <w:r>
        <w:rPr>
          <w:rFonts w:hint="eastAsia" w:hAnsi="宋体" w:cs="宋体"/>
          <w:b/>
          <w:bCs/>
          <w:color w:val="auto"/>
          <w:sz w:val="32"/>
          <w:szCs w:val="32"/>
          <w:highlight w:val="none"/>
          <w:lang w:val="en-US" w:eastAsia="zh-CN"/>
        </w:rPr>
        <w:t>3.1</w:t>
      </w:r>
      <w:r>
        <w:rPr>
          <w:rFonts w:hint="eastAsia" w:ascii="宋体" w:hAnsi="宋体" w:eastAsia="宋体" w:cs="宋体"/>
          <w:b/>
          <w:bCs/>
          <w:color w:val="auto"/>
          <w:sz w:val="32"/>
          <w:szCs w:val="32"/>
          <w:highlight w:val="none"/>
        </w:rPr>
        <w:t>、法定代表人授权委托书</w:t>
      </w:r>
      <w:bookmarkEnd w:id="163"/>
      <w:bookmarkEnd w:id="164"/>
      <w:bookmarkEnd w:id="165"/>
      <w:bookmarkEnd w:id="166"/>
      <w:bookmarkEnd w:id="167"/>
      <w:bookmarkEnd w:id="168"/>
      <w:bookmarkEnd w:id="169"/>
      <w:bookmarkEnd w:id="170"/>
    </w:p>
    <w:p>
      <w:pPr>
        <w:spacing w:line="360" w:lineRule="auto"/>
        <w:jc w:val="center"/>
        <w:rPr>
          <w:rFonts w:hint="eastAsia" w:ascii="宋体" w:hAnsi="宋体" w:eastAsia="宋体" w:cs="宋体"/>
          <w:b/>
          <w:bCs/>
          <w:color w:val="auto"/>
          <w:sz w:val="30"/>
          <w:szCs w:val="30"/>
          <w:highlight w:val="none"/>
        </w:rPr>
      </w:pPr>
      <w:r>
        <w:rPr>
          <w:rFonts w:hint="eastAsia" w:hAnsi="宋体" w:cs="宋体"/>
          <w:b/>
          <w:bCs/>
          <w:color w:val="auto"/>
          <w:sz w:val="30"/>
          <w:szCs w:val="30"/>
          <w:highlight w:val="none"/>
          <w:lang w:eastAsia="zh-CN"/>
        </w:rPr>
        <w:t>（</w:t>
      </w:r>
      <w:r>
        <w:rPr>
          <w:rFonts w:hint="eastAsia" w:hAnsi="宋体" w:cs="宋体"/>
          <w:b/>
          <w:bCs/>
          <w:color w:val="auto"/>
          <w:sz w:val="30"/>
          <w:szCs w:val="30"/>
          <w:highlight w:val="none"/>
          <w:lang w:val="en-US" w:eastAsia="zh-CN"/>
        </w:rPr>
        <w:t>一</w:t>
      </w:r>
      <w:r>
        <w:rPr>
          <w:rFonts w:hint="eastAsia" w:hAnsi="宋体" w:cs="宋体"/>
          <w:b/>
          <w:bCs/>
          <w:color w:val="auto"/>
          <w:sz w:val="30"/>
          <w:szCs w:val="30"/>
          <w:highlight w:val="none"/>
          <w:lang w:eastAsia="zh-CN"/>
        </w:rPr>
        <w:t>）</w:t>
      </w:r>
      <w:r>
        <w:rPr>
          <w:rFonts w:hint="eastAsia" w:ascii="宋体" w:hAnsi="宋体" w:eastAsia="宋体" w:cs="宋体"/>
          <w:b/>
          <w:bCs/>
          <w:color w:val="auto"/>
          <w:sz w:val="30"/>
          <w:szCs w:val="30"/>
          <w:highlight w:val="none"/>
        </w:rPr>
        <w:t>法定代表人身份证明书</w:t>
      </w:r>
    </w:p>
    <w:p>
      <w:pPr>
        <w:autoSpaceDE w:val="0"/>
        <w:autoSpaceDN w:val="0"/>
        <w:adjustRightInd w:val="0"/>
        <w:spacing w:line="360" w:lineRule="auto"/>
        <w:jc w:val="left"/>
        <w:rPr>
          <w:rFonts w:hint="eastAsia" w:ascii="宋体" w:hAnsi="宋体" w:eastAsia="宋体" w:cs="宋体"/>
          <w:color w:val="auto"/>
          <w:szCs w:val="24"/>
          <w:highlight w:val="none"/>
          <w:lang w:val="zh-CN"/>
        </w:rPr>
      </w:pPr>
      <w:r>
        <w:rPr>
          <w:rFonts w:hint="eastAsia" w:hAnsi="宋体" w:cs="宋体"/>
          <w:color w:val="auto"/>
          <w:szCs w:val="24"/>
          <w:highlight w:val="none"/>
          <w:lang w:val="zh-CN"/>
        </w:rPr>
        <w:t>西北国际（陕西）造价管理集团有限公司</w:t>
      </w:r>
      <w:r>
        <w:rPr>
          <w:rFonts w:hint="eastAsia" w:ascii="宋体" w:hAnsi="宋体" w:eastAsia="宋体" w:cs="宋体"/>
          <w:color w:val="auto"/>
          <w:szCs w:val="24"/>
          <w:highlight w:val="none"/>
          <w:lang w:val="zh-CN"/>
        </w:rPr>
        <w:t>：</w:t>
      </w:r>
    </w:p>
    <w:p>
      <w:pPr>
        <w:autoSpaceDE w:val="0"/>
        <w:autoSpaceDN w:val="0"/>
        <w:adjustRightInd w:val="0"/>
        <w:spacing w:line="360" w:lineRule="auto"/>
        <w:ind w:firstLine="480" w:firstLineChars="200"/>
        <w:jc w:val="left"/>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val="zh-CN"/>
        </w:rPr>
        <w:t>姓名：</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性别：</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职务：</w:t>
      </w:r>
      <w:r>
        <w:rPr>
          <w:rFonts w:hint="eastAsia" w:ascii="宋体" w:hAnsi="宋体" w:eastAsia="宋体" w:cs="宋体"/>
          <w:color w:val="auto"/>
          <w:szCs w:val="24"/>
          <w:highlight w:val="none"/>
          <w:u w:val="single"/>
        </w:rPr>
        <w:t xml:space="preserve">        </w:t>
      </w:r>
    </w:p>
    <w:p>
      <w:pPr>
        <w:autoSpaceDE w:val="0"/>
        <w:autoSpaceDN w:val="0"/>
        <w:adjustRightInd w:val="0"/>
        <w:spacing w:line="360" w:lineRule="auto"/>
        <w:ind w:firstLine="480" w:firstLineChars="200"/>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系</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lang w:val="zh-CN"/>
        </w:rPr>
        <w:t>（供应商名称）的法定代表人（单位负责人）。</w:t>
      </w:r>
    </w:p>
    <w:p>
      <w:pPr>
        <w:autoSpaceDE w:val="0"/>
        <w:autoSpaceDN w:val="0"/>
        <w:adjustRightInd w:val="0"/>
        <w:spacing w:line="360" w:lineRule="auto"/>
        <w:ind w:firstLine="480" w:firstLineChars="200"/>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特此证明。</w:t>
      </w:r>
    </w:p>
    <w:p>
      <w:pPr>
        <w:autoSpaceDE w:val="0"/>
        <w:autoSpaceDN w:val="0"/>
        <w:adjustRightInd w:val="0"/>
        <w:spacing w:line="360" w:lineRule="auto"/>
        <w:jc w:val="left"/>
        <w:rPr>
          <w:rFonts w:hint="eastAsia" w:ascii="宋体" w:hAnsi="宋体" w:eastAsia="宋体" w:cs="宋体"/>
          <w:color w:val="auto"/>
          <w:szCs w:val="24"/>
          <w:highlight w:val="none"/>
          <w:lang w:val="zh-CN"/>
        </w:rPr>
      </w:pPr>
    </w:p>
    <w:p>
      <w:pPr>
        <w:autoSpaceDE w:val="0"/>
        <w:autoSpaceDN w:val="0"/>
        <w:adjustRightInd w:val="0"/>
        <w:spacing w:line="360" w:lineRule="auto"/>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附：法定代表人（单位负责人）身份证复印件。</w:t>
      </w:r>
    </w:p>
    <w:p>
      <w:pPr>
        <w:autoSpaceDE w:val="0"/>
        <w:autoSpaceDN w:val="0"/>
        <w:adjustRightInd w:val="0"/>
        <w:spacing w:line="360" w:lineRule="auto"/>
        <w:jc w:val="left"/>
        <w:rPr>
          <w:rFonts w:hint="eastAsia" w:ascii="宋体" w:hAnsi="宋体" w:eastAsia="宋体" w:cs="宋体"/>
          <w:color w:val="auto"/>
          <w:szCs w:val="24"/>
          <w:highlight w:val="none"/>
          <w:lang w:val="zh-CN"/>
        </w:rPr>
      </w:pPr>
    </w:p>
    <w:p>
      <w:pPr>
        <w:spacing w:line="360" w:lineRule="auto"/>
        <w:jc w:val="center"/>
        <w:rPr>
          <w:rFonts w:hint="eastAsia" w:ascii="宋体" w:hAnsi="宋体" w:eastAsia="宋体" w:cs="宋体"/>
          <w:color w:val="auto"/>
          <w:highlight w:val="none"/>
        </w:rPr>
      </w:pPr>
    </w:p>
    <w:p>
      <w:pPr>
        <w:spacing w:line="360" w:lineRule="auto"/>
        <w:jc w:val="center"/>
        <w:rPr>
          <w:rFonts w:hint="eastAsia" w:ascii="宋体" w:hAnsi="宋体" w:eastAsia="宋体" w:cs="宋体"/>
          <w:color w:val="auto"/>
          <w:highlight w:val="none"/>
        </w:rPr>
      </w:pPr>
    </w:p>
    <w:p>
      <w:pPr>
        <w:spacing w:line="360" w:lineRule="auto"/>
        <w:jc w:val="center"/>
        <w:rPr>
          <w:rFonts w:hint="eastAsia" w:ascii="宋体" w:hAnsi="宋体" w:eastAsia="宋体" w:cs="宋体"/>
          <w:color w:val="auto"/>
          <w:highlight w:val="none"/>
        </w:rPr>
      </w:pPr>
    </w:p>
    <w:p>
      <w:pPr>
        <w:spacing w:line="360" w:lineRule="auto"/>
        <w:rPr>
          <w:rFonts w:hint="eastAsia" w:ascii="宋体" w:hAnsi="宋体" w:eastAsia="宋体" w:cs="宋体"/>
          <w:color w:val="auto"/>
          <w:spacing w:val="4"/>
          <w:szCs w:val="24"/>
          <w:highlight w:val="none"/>
        </w:rPr>
      </w:pPr>
    </w:p>
    <w:p>
      <w:pPr>
        <w:spacing w:line="36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 xml:space="preserve">供应商名称（公章）:             </w:t>
      </w:r>
    </w:p>
    <w:p>
      <w:pPr>
        <w:spacing w:line="360" w:lineRule="auto"/>
        <w:rPr>
          <w:rFonts w:hint="eastAsia" w:ascii="宋体" w:hAnsi="宋体" w:eastAsia="宋体" w:cs="宋体"/>
          <w:b/>
          <w:color w:val="auto"/>
          <w:spacing w:val="4"/>
          <w:szCs w:val="24"/>
          <w:highlight w:val="none"/>
        </w:rPr>
      </w:pPr>
      <w:r>
        <w:rPr>
          <w:rFonts w:hint="eastAsia" w:ascii="宋体" w:hAnsi="宋体" w:eastAsia="宋体" w:cs="宋体"/>
          <w:color w:val="auto"/>
          <w:spacing w:val="4"/>
          <w:szCs w:val="24"/>
          <w:highlight w:val="none"/>
        </w:rPr>
        <w:t>日期：</w:t>
      </w:r>
    </w:p>
    <w:p>
      <w:pPr>
        <w:spacing w:line="360" w:lineRule="auto"/>
        <w:jc w:val="center"/>
        <w:rPr>
          <w:rFonts w:hint="eastAsia" w:ascii="宋体" w:hAnsi="宋体" w:eastAsia="宋体" w:cs="宋体"/>
          <w:b/>
          <w:color w:val="auto"/>
          <w:spacing w:val="4"/>
          <w:szCs w:val="24"/>
          <w:highlight w:val="none"/>
        </w:rPr>
      </w:pPr>
      <w:r>
        <w:rPr>
          <w:rFonts w:hint="eastAsia" w:ascii="宋体" w:hAnsi="宋体" w:eastAsia="宋体" w:cs="宋体"/>
          <w:b/>
          <w:color w:val="auto"/>
          <w:spacing w:val="4"/>
          <w:sz w:val="30"/>
          <w:szCs w:val="30"/>
          <w:highlight w:val="none"/>
        </w:rPr>
        <w:br w:type="page"/>
      </w:r>
      <w:r>
        <w:rPr>
          <w:rFonts w:hint="eastAsia" w:hAnsi="宋体" w:cs="宋体"/>
          <w:b/>
          <w:color w:val="auto"/>
          <w:spacing w:val="4"/>
          <w:sz w:val="30"/>
          <w:szCs w:val="30"/>
          <w:highlight w:val="none"/>
          <w:lang w:eastAsia="zh-CN"/>
        </w:rPr>
        <w:t>（</w:t>
      </w:r>
      <w:r>
        <w:rPr>
          <w:rFonts w:hint="eastAsia" w:hAnsi="宋体" w:cs="宋体"/>
          <w:b/>
          <w:color w:val="auto"/>
          <w:spacing w:val="4"/>
          <w:sz w:val="30"/>
          <w:szCs w:val="30"/>
          <w:highlight w:val="none"/>
          <w:lang w:val="en-US" w:eastAsia="zh-CN"/>
        </w:rPr>
        <w:t>二</w:t>
      </w:r>
      <w:r>
        <w:rPr>
          <w:rFonts w:hint="eastAsia" w:hAnsi="宋体" w:cs="宋体"/>
          <w:b/>
          <w:color w:val="auto"/>
          <w:spacing w:val="4"/>
          <w:sz w:val="30"/>
          <w:szCs w:val="30"/>
          <w:highlight w:val="none"/>
          <w:lang w:eastAsia="zh-CN"/>
        </w:rPr>
        <w:t>）</w:t>
      </w:r>
      <w:r>
        <w:rPr>
          <w:rFonts w:hint="eastAsia" w:ascii="宋体" w:hAnsi="宋体" w:eastAsia="宋体" w:cs="宋体"/>
          <w:b/>
          <w:color w:val="auto"/>
          <w:spacing w:val="4"/>
          <w:sz w:val="30"/>
          <w:szCs w:val="30"/>
          <w:highlight w:val="none"/>
        </w:rPr>
        <w:t>授权委托书</w:t>
      </w:r>
    </w:p>
    <w:p>
      <w:pPr>
        <w:spacing w:line="360" w:lineRule="auto"/>
        <w:jc w:val="left"/>
        <w:rPr>
          <w:rFonts w:hint="eastAsia" w:ascii="宋体" w:hAnsi="宋体" w:eastAsia="宋体" w:cs="宋体"/>
          <w:b/>
          <w:color w:val="auto"/>
          <w:highlight w:val="none"/>
          <w:lang w:eastAsia="zh-CN"/>
        </w:rPr>
      </w:pPr>
      <w:r>
        <w:rPr>
          <w:rFonts w:hint="eastAsia" w:ascii="宋体" w:hAnsi="宋体" w:eastAsia="宋体" w:cs="宋体"/>
          <w:b/>
          <w:color w:val="auto"/>
          <w:spacing w:val="4"/>
          <w:szCs w:val="24"/>
          <w:highlight w:val="none"/>
        </w:rPr>
        <w:t>致：</w:t>
      </w:r>
      <w:r>
        <w:rPr>
          <w:rFonts w:hint="eastAsia" w:hAnsi="宋体" w:cs="宋体"/>
          <w:b/>
          <w:color w:val="auto"/>
          <w:highlight w:val="none"/>
          <w:lang w:eastAsia="zh-CN"/>
        </w:rPr>
        <w:t>西北国际（陕西）造价管理集团有限公司</w:t>
      </w:r>
    </w:p>
    <w:p>
      <w:pPr>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u w:val="single"/>
        </w:rPr>
        <w:t xml:space="preserve">    (供应商名称)    </w:t>
      </w:r>
      <w:r>
        <w:rPr>
          <w:rFonts w:hint="eastAsia" w:ascii="宋体" w:hAnsi="宋体" w:eastAsia="宋体" w:cs="宋体"/>
          <w:color w:val="auto"/>
          <w:spacing w:val="4"/>
          <w:szCs w:val="24"/>
          <w:highlight w:val="none"/>
        </w:rPr>
        <w:t>按中华人民共和国法律于</w:t>
      </w:r>
      <w:r>
        <w:rPr>
          <w:rFonts w:hint="eastAsia" w:ascii="宋体" w:hAnsi="宋体" w:eastAsia="宋体" w:cs="宋体"/>
          <w:color w:val="auto"/>
          <w:spacing w:val="4"/>
          <w:szCs w:val="24"/>
          <w:highlight w:val="none"/>
          <w:u w:val="single"/>
        </w:rPr>
        <w:t>（  年  月  日 ）</w:t>
      </w:r>
      <w:r>
        <w:rPr>
          <w:rFonts w:hint="eastAsia" w:ascii="宋体" w:hAnsi="宋体" w:eastAsia="宋体" w:cs="宋体"/>
          <w:color w:val="auto"/>
          <w:spacing w:val="4"/>
          <w:szCs w:val="24"/>
          <w:highlight w:val="none"/>
        </w:rPr>
        <w:t xml:space="preserve">成立。  </w:t>
      </w:r>
      <w:r>
        <w:rPr>
          <w:rFonts w:hint="eastAsia" w:ascii="宋体" w:hAnsi="宋体" w:eastAsia="宋体" w:cs="宋体"/>
          <w:color w:val="auto"/>
          <w:spacing w:val="4"/>
          <w:szCs w:val="24"/>
          <w:highlight w:val="none"/>
          <w:u w:val="single"/>
        </w:rPr>
        <w:t xml:space="preserve">(法定代表人姓名)  </w:t>
      </w:r>
      <w:r>
        <w:rPr>
          <w:rFonts w:hint="eastAsia" w:ascii="宋体" w:hAnsi="宋体" w:eastAsia="宋体" w:cs="宋体"/>
          <w:color w:val="auto"/>
          <w:spacing w:val="4"/>
          <w:szCs w:val="24"/>
          <w:highlight w:val="none"/>
        </w:rPr>
        <w:t>特授权</w:t>
      </w:r>
      <w:r>
        <w:rPr>
          <w:rFonts w:hint="eastAsia" w:ascii="宋体" w:hAnsi="宋体" w:eastAsia="宋体" w:cs="宋体"/>
          <w:color w:val="auto"/>
          <w:spacing w:val="4"/>
          <w:szCs w:val="24"/>
          <w:highlight w:val="none"/>
          <w:u w:val="single"/>
        </w:rPr>
        <w:t xml:space="preserve"> （被授权人姓名）  </w:t>
      </w:r>
      <w:r>
        <w:rPr>
          <w:rFonts w:hint="eastAsia" w:ascii="宋体" w:hAnsi="宋体" w:eastAsia="宋体" w:cs="宋体"/>
          <w:color w:val="auto"/>
          <w:spacing w:val="4"/>
          <w:szCs w:val="24"/>
          <w:highlight w:val="none"/>
        </w:rPr>
        <w:t>代表我公司全权办理针对本次</w:t>
      </w:r>
      <w:r>
        <w:rPr>
          <w:rFonts w:hint="eastAsia" w:ascii="宋体" w:hAnsi="宋体" w:eastAsia="宋体" w:cs="宋体"/>
          <w:color w:val="auto"/>
          <w:spacing w:val="4"/>
          <w:szCs w:val="24"/>
          <w:highlight w:val="none"/>
          <w:u w:val="single"/>
        </w:rPr>
        <w:t xml:space="preserve">     (项目名称）     </w:t>
      </w:r>
      <w:r>
        <w:rPr>
          <w:rFonts w:hint="eastAsia" w:ascii="宋体" w:hAnsi="宋体" w:eastAsia="宋体" w:cs="宋体"/>
          <w:color w:val="auto"/>
          <w:spacing w:val="4"/>
          <w:szCs w:val="24"/>
          <w:highlight w:val="none"/>
        </w:rPr>
        <w:t>（项目编号：</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）的磋商、签约等具体工作，并签署全部有关的文件、协议及合同。</w:t>
      </w:r>
    </w:p>
    <w:p>
      <w:pPr>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我公司对被授权人的签名负全部责任。</w:t>
      </w:r>
    </w:p>
    <w:p>
      <w:pPr>
        <w:spacing w:line="360" w:lineRule="auto"/>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委托期限：自递交磋商响应文件的截止之日起</w:t>
      </w:r>
      <w:r>
        <w:rPr>
          <w:rFonts w:hint="eastAsia" w:ascii="宋体" w:hAnsi="宋体" w:eastAsia="宋体" w:cs="宋体"/>
          <w:color w:val="auto"/>
          <w:szCs w:val="24"/>
          <w:highlight w:val="none"/>
          <w:u w:val="single"/>
        </w:rPr>
        <w:t xml:space="preserve"> 90 </w:t>
      </w:r>
      <w:r>
        <w:rPr>
          <w:rFonts w:hint="eastAsia" w:ascii="宋体" w:hAnsi="宋体" w:eastAsia="宋体" w:cs="宋体"/>
          <w:color w:val="auto"/>
          <w:szCs w:val="24"/>
          <w:highlight w:val="none"/>
        </w:rPr>
        <w:t>日历天</w:t>
      </w:r>
    </w:p>
    <w:p>
      <w:pPr>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本授权书于</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zCs w:val="24"/>
          <w:highlight w:val="none"/>
        </w:rPr>
        <w:t>年</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月</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日</w:t>
      </w:r>
      <w:r>
        <w:rPr>
          <w:rFonts w:hint="eastAsia" w:ascii="宋体" w:hAnsi="宋体" w:eastAsia="宋体" w:cs="宋体"/>
          <w:color w:val="auto"/>
          <w:spacing w:val="4"/>
          <w:szCs w:val="24"/>
          <w:highlight w:val="none"/>
        </w:rPr>
        <w:t>生效，特此证明。</w:t>
      </w:r>
    </w:p>
    <w:p>
      <w:pPr>
        <w:spacing w:line="360" w:lineRule="auto"/>
        <w:ind w:firstLine="496" w:firstLineChars="200"/>
        <w:jc w:val="left"/>
        <w:rPr>
          <w:rFonts w:hint="eastAsia" w:ascii="宋体" w:hAnsi="宋体" w:eastAsia="宋体" w:cs="宋体"/>
          <w:color w:val="auto"/>
          <w:spacing w:val="4"/>
          <w:szCs w:val="24"/>
          <w:highlight w:val="none"/>
        </w:rPr>
      </w:pPr>
    </w:p>
    <w:tbl>
      <w:tblPr>
        <w:tblStyle w:val="20"/>
        <w:tblW w:w="0" w:type="auto"/>
        <w:tblInd w:w="0" w:type="dxa"/>
        <w:tblLayout w:type="fixed"/>
        <w:tblCellMar>
          <w:top w:w="0" w:type="dxa"/>
          <w:left w:w="108" w:type="dxa"/>
          <w:bottom w:w="0" w:type="dxa"/>
          <w:right w:w="108" w:type="dxa"/>
        </w:tblCellMar>
      </w:tblPr>
      <w:tblGrid>
        <w:gridCol w:w="4839"/>
        <w:gridCol w:w="4200"/>
      </w:tblGrid>
      <w:tr>
        <w:tblPrEx>
          <w:tblCellMar>
            <w:top w:w="0" w:type="dxa"/>
            <w:left w:w="108" w:type="dxa"/>
            <w:bottom w:w="0" w:type="dxa"/>
            <w:right w:w="108" w:type="dxa"/>
          </w:tblCellMar>
        </w:tblPrEx>
        <w:trPr>
          <w:trHeight w:val="600" w:hRule="atLeast"/>
        </w:trPr>
        <w:tc>
          <w:tcPr>
            <w:tcW w:w="4839" w:type="dxa"/>
            <w:noWrap w:val="0"/>
            <w:vAlign w:val="top"/>
          </w:tcPr>
          <w:p>
            <w:pPr>
              <w:spacing w:line="360" w:lineRule="auto"/>
              <w:ind w:firstLine="124" w:firstLineChars="50"/>
              <w:jc w:val="left"/>
              <w:rPr>
                <w:rFonts w:hint="eastAsia" w:ascii="宋体" w:hAnsi="宋体" w:eastAsia="宋体" w:cs="宋体"/>
                <w:color w:val="auto"/>
                <w:highlight w:val="none"/>
              </w:rPr>
            </w:pPr>
            <w:r>
              <w:rPr>
                <w:rFonts w:hint="eastAsia" w:ascii="宋体" w:hAnsi="宋体" w:eastAsia="宋体" w:cs="宋体"/>
                <w:color w:val="auto"/>
                <w:spacing w:val="4"/>
                <w:szCs w:val="24"/>
                <w:highlight w:val="none"/>
              </w:rPr>
              <w:t>法定代表人（签字或盖章）：</w:t>
            </w:r>
          </w:p>
        </w:tc>
        <w:tc>
          <w:tcPr>
            <w:tcW w:w="4200" w:type="dxa"/>
            <w:noWrap w:val="0"/>
            <w:vAlign w:val="top"/>
          </w:tcPr>
          <w:p>
            <w:pPr>
              <w:spacing w:line="360" w:lineRule="auto"/>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被授权人（签字）：</w:t>
            </w:r>
          </w:p>
        </w:tc>
      </w:tr>
      <w:tr>
        <w:tblPrEx>
          <w:tblCellMar>
            <w:top w:w="0" w:type="dxa"/>
            <w:left w:w="108" w:type="dxa"/>
            <w:bottom w:w="0" w:type="dxa"/>
            <w:right w:w="108" w:type="dxa"/>
          </w:tblCellMar>
        </w:tblPrEx>
        <w:trPr>
          <w:trHeight w:val="600" w:hRule="atLeast"/>
        </w:trPr>
        <w:tc>
          <w:tcPr>
            <w:tcW w:w="4839" w:type="dxa"/>
            <w:noWrap w:val="0"/>
            <w:vAlign w:val="top"/>
          </w:tcPr>
          <w:p>
            <w:pPr>
              <w:spacing w:line="360" w:lineRule="auto"/>
              <w:ind w:firstLine="124" w:firstLineChars="50"/>
              <w:jc w:val="left"/>
              <w:rPr>
                <w:rFonts w:hint="eastAsia" w:ascii="宋体" w:hAnsi="宋体" w:eastAsia="宋体" w:cs="宋体"/>
                <w:color w:val="auto"/>
                <w:highlight w:val="none"/>
              </w:rPr>
            </w:pPr>
            <w:r>
              <w:rPr>
                <w:rFonts w:hint="eastAsia" w:ascii="宋体" w:hAnsi="宋体" w:eastAsia="宋体" w:cs="宋体"/>
                <w:color w:val="auto"/>
                <w:spacing w:val="4"/>
                <w:szCs w:val="24"/>
                <w:highlight w:val="none"/>
              </w:rPr>
              <w:t>职务：</w:t>
            </w:r>
          </w:p>
        </w:tc>
        <w:tc>
          <w:tcPr>
            <w:tcW w:w="4200" w:type="dxa"/>
            <w:noWrap w:val="0"/>
            <w:vAlign w:val="top"/>
          </w:tcPr>
          <w:p>
            <w:pPr>
              <w:spacing w:line="360" w:lineRule="auto"/>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职务：</w:t>
            </w:r>
          </w:p>
        </w:tc>
      </w:tr>
      <w:tr>
        <w:tblPrEx>
          <w:tblCellMar>
            <w:top w:w="0" w:type="dxa"/>
            <w:left w:w="108" w:type="dxa"/>
            <w:bottom w:w="0" w:type="dxa"/>
            <w:right w:w="108" w:type="dxa"/>
          </w:tblCellMar>
        </w:tblPrEx>
        <w:trPr>
          <w:trHeight w:val="600" w:hRule="atLeast"/>
        </w:trPr>
        <w:tc>
          <w:tcPr>
            <w:tcW w:w="4839" w:type="dxa"/>
            <w:noWrap w:val="0"/>
            <w:vAlign w:val="top"/>
          </w:tcPr>
          <w:p>
            <w:pPr>
              <w:spacing w:line="360" w:lineRule="auto"/>
              <w:ind w:firstLine="124" w:firstLineChars="50"/>
              <w:jc w:val="left"/>
              <w:rPr>
                <w:rFonts w:hint="eastAsia" w:ascii="宋体" w:hAnsi="宋体" w:eastAsia="宋体" w:cs="宋体"/>
                <w:color w:val="auto"/>
                <w:highlight w:val="none"/>
              </w:rPr>
            </w:pPr>
            <w:r>
              <w:rPr>
                <w:rFonts w:hint="eastAsia" w:ascii="宋体" w:hAnsi="宋体" w:eastAsia="宋体" w:cs="宋体"/>
                <w:color w:val="auto"/>
                <w:spacing w:val="4"/>
                <w:szCs w:val="24"/>
                <w:highlight w:val="none"/>
              </w:rPr>
              <w:t>身份证号：</w:t>
            </w:r>
          </w:p>
        </w:tc>
        <w:tc>
          <w:tcPr>
            <w:tcW w:w="4200" w:type="dxa"/>
            <w:noWrap w:val="0"/>
            <w:vAlign w:val="top"/>
          </w:tcPr>
          <w:p>
            <w:pPr>
              <w:spacing w:line="360" w:lineRule="auto"/>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身份证号：</w:t>
            </w:r>
          </w:p>
        </w:tc>
      </w:tr>
      <w:tr>
        <w:tblPrEx>
          <w:tblCellMar>
            <w:top w:w="0" w:type="dxa"/>
            <w:left w:w="108" w:type="dxa"/>
            <w:bottom w:w="0" w:type="dxa"/>
            <w:right w:w="108" w:type="dxa"/>
          </w:tblCellMar>
        </w:tblPrEx>
        <w:trPr>
          <w:trHeight w:val="600" w:hRule="atLeast"/>
        </w:trPr>
        <w:tc>
          <w:tcPr>
            <w:tcW w:w="4839" w:type="dxa"/>
            <w:noWrap w:val="0"/>
            <w:vAlign w:val="top"/>
          </w:tcPr>
          <w:p>
            <w:pPr>
              <w:spacing w:line="360" w:lineRule="auto"/>
              <w:jc w:val="left"/>
              <w:rPr>
                <w:rFonts w:hint="eastAsia" w:ascii="宋体" w:hAnsi="宋体" w:eastAsia="宋体" w:cs="宋体"/>
                <w:color w:val="auto"/>
                <w:highlight w:val="none"/>
              </w:rPr>
            </w:pPr>
          </w:p>
        </w:tc>
        <w:tc>
          <w:tcPr>
            <w:tcW w:w="4200" w:type="dxa"/>
            <w:noWrap w:val="0"/>
            <w:vAlign w:val="top"/>
          </w:tcPr>
          <w:p>
            <w:pPr>
              <w:spacing w:line="360" w:lineRule="auto"/>
              <w:jc w:val="left"/>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所在部门：</w:t>
            </w:r>
          </w:p>
        </w:tc>
      </w:tr>
      <w:tr>
        <w:tblPrEx>
          <w:tblCellMar>
            <w:top w:w="0" w:type="dxa"/>
            <w:left w:w="108" w:type="dxa"/>
            <w:bottom w:w="0" w:type="dxa"/>
            <w:right w:w="108" w:type="dxa"/>
          </w:tblCellMar>
        </w:tblPrEx>
        <w:trPr>
          <w:trHeight w:val="600" w:hRule="atLeast"/>
        </w:trPr>
        <w:tc>
          <w:tcPr>
            <w:tcW w:w="4839" w:type="dxa"/>
            <w:noWrap w:val="0"/>
            <w:vAlign w:val="top"/>
          </w:tcPr>
          <w:p>
            <w:pPr>
              <w:spacing w:line="360" w:lineRule="auto"/>
              <w:jc w:val="left"/>
              <w:rPr>
                <w:rFonts w:hint="eastAsia" w:ascii="宋体" w:hAnsi="宋体" w:eastAsia="宋体" w:cs="宋体"/>
                <w:color w:val="auto"/>
                <w:highlight w:val="none"/>
              </w:rPr>
            </w:pPr>
          </w:p>
        </w:tc>
        <w:tc>
          <w:tcPr>
            <w:tcW w:w="4200" w:type="dxa"/>
            <w:noWrap w:val="0"/>
            <w:vAlign w:val="top"/>
          </w:tcPr>
          <w:p>
            <w:pPr>
              <w:spacing w:line="360" w:lineRule="auto"/>
              <w:jc w:val="left"/>
              <w:rPr>
                <w:rFonts w:hint="eastAsia" w:ascii="宋体" w:hAnsi="宋体" w:eastAsia="宋体" w:cs="宋体"/>
                <w:color w:val="auto"/>
                <w:spacing w:val="4"/>
                <w:szCs w:val="24"/>
                <w:highlight w:val="none"/>
              </w:rPr>
            </w:pPr>
          </w:p>
        </w:tc>
      </w:tr>
    </w:tbl>
    <w:p>
      <w:pPr>
        <w:spacing w:line="36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附：法定代表人、被授权人二代身份证双面复印件</w:t>
      </w:r>
    </w:p>
    <w:p>
      <w:pPr>
        <w:spacing w:line="36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注：法定代表人直接参与磋商无需提供此页</w:t>
      </w:r>
    </w:p>
    <w:p>
      <w:pPr>
        <w:spacing w:line="360" w:lineRule="auto"/>
        <w:ind w:firstLine="510"/>
        <w:rPr>
          <w:rFonts w:hint="eastAsia" w:ascii="宋体" w:hAnsi="宋体" w:eastAsia="宋体" w:cs="宋体"/>
          <w:color w:val="auto"/>
          <w:spacing w:val="4"/>
          <w:szCs w:val="24"/>
          <w:highlight w:val="none"/>
        </w:rPr>
      </w:pPr>
    </w:p>
    <w:p>
      <w:pPr>
        <w:spacing w:line="360" w:lineRule="auto"/>
        <w:ind w:firstLine="510"/>
        <w:rPr>
          <w:rFonts w:hint="eastAsia" w:ascii="宋体" w:hAnsi="宋体" w:eastAsia="宋体" w:cs="宋体"/>
          <w:color w:val="auto"/>
          <w:spacing w:val="4"/>
          <w:szCs w:val="24"/>
          <w:highlight w:val="none"/>
        </w:rPr>
      </w:pPr>
    </w:p>
    <w:p>
      <w:pPr>
        <w:spacing w:line="360" w:lineRule="auto"/>
        <w:ind w:firstLine="510"/>
        <w:rPr>
          <w:rFonts w:hint="eastAsia" w:ascii="宋体" w:hAnsi="宋体" w:eastAsia="宋体" w:cs="宋体"/>
          <w:color w:val="auto"/>
          <w:spacing w:val="4"/>
          <w:szCs w:val="24"/>
          <w:highlight w:val="none"/>
        </w:rPr>
      </w:pPr>
    </w:p>
    <w:p>
      <w:pPr>
        <w:spacing w:line="360" w:lineRule="auto"/>
        <w:rPr>
          <w:rFonts w:hint="eastAsia" w:ascii="宋体" w:hAnsi="宋体" w:eastAsia="宋体" w:cs="宋体"/>
          <w:color w:val="auto"/>
          <w:spacing w:val="4"/>
          <w:szCs w:val="24"/>
          <w:highlight w:val="none"/>
          <w:u w:val="single"/>
        </w:rPr>
      </w:pPr>
      <w:r>
        <w:rPr>
          <w:rFonts w:hint="eastAsia" w:ascii="宋体" w:hAnsi="宋体" w:eastAsia="宋体" w:cs="宋体"/>
          <w:color w:val="auto"/>
          <w:spacing w:val="4"/>
          <w:szCs w:val="24"/>
          <w:highlight w:val="none"/>
        </w:rPr>
        <w:t xml:space="preserve">供应商名称（公章）:             </w:t>
      </w:r>
    </w:p>
    <w:p>
      <w:pPr>
        <w:spacing w:line="36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法定代表人/被授权人（签字或盖章）：</w:t>
      </w:r>
    </w:p>
    <w:p>
      <w:pPr>
        <w:spacing w:line="36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日</w:t>
      </w:r>
      <w:r>
        <w:rPr>
          <w:rFonts w:hint="eastAsia" w:hAnsi="宋体" w:cs="宋体"/>
          <w:color w:val="auto"/>
          <w:spacing w:val="4"/>
          <w:szCs w:val="24"/>
          <w:highlight w:val="none"/>
          <w:lang w:val="en-US" w:eastAsia="zh-CN"/>
        </w:rPr>
        <w:t xml:space="preserve">   </w:t>
      </w:r>
      <w:r>
        <w:rPr>
          <w:rFonts w:hint="eastAsia" w:ascii="宋体" w:hAnsi="宋体" w:eastAsia="宋体" w:cs="宋体"/>
          <w:color w:val="auto"/>
          <w:spacing w:val="4"/>
          <w:szCs w:val="24"/>
          <w:highlight w:val="none"/>
        </w:rPr>
        <w:t xml:space="preserve">期：                         </w:t>
      </w: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sz w:val="32"/>
          <w:szCs w:val="32"/>
          <w:highlight w:val="none"/>
          <w:lang w:val="en-US" w:eastAsia="zh-CN"/>
        </w:rPr>
        <w:t>3.2</w:t>
      </w:r>
      <w:r>
        <w:rPr>
          <w:rFonts w:hint="eastAsia" w:ascii="宋体" w:hAnsi="宋体" w:eastAsia="宋体" w:cs="宋体"/>
          <w:b/>
          <w:bCs/>
          <w:color w:val="auto"/>
          <w:sz w:val="32"/>
          <w:szCs w:val="32"/>
          <w:highlight w:val="none"/>
        </w:rPr>
        <w:t>供应商资格声明</w:t>
      </w:r>
    </w:p>
    <w:p>
      <w:pPr>
        <w:spacing w:line="360" w:lineRule="auto"/>
        <w:jc w:val="center"/>
        <w:rPr>
          <w:rFonts w:hint="eastAsia" w:ascii="宋体" w:hAnsi="宋体" w:eastAsia="宋体" w:cs="宋体"/>
          <w:b/>
          <w:color w:val="auto"/>
          <w:sz w:val="30"/>
          <w:szCs w:val="30"/>
          <w:highlight w:val="none"/>
        </w:rPr>
      </w:pPr>
      <w:r>
        <w:rPr>
          <w:rFonts w:hint="eastAsia" w:hAnsi="宋体" w:cs="宋体"/>
          <w:b/>
          <w:color w:val="auto"/>
          <w:sz w:val="30"/>
          <w:szCs w:val="30"/>
          <w:highlight w:val="none"/>
          <w:lang w:eastAsia="zh-CN"/>
        </w:rPr>
        <w:t>（</w:t>
      </w:r>
      <w:r>
        <w:rPr>
          <w:rFonts w:hint="eastAsia" w:hAnsi="宋体" w:cs="宋体"/>
          <w:b/>
          <w:color w:val="auto"/>
          <w:sz w:val="30"/>
          <w:szCs w:val="30"/>
          <w:highlight w:val="none"/>
          <w:lang w:val="en-US" w:eastAsia="zh-CN"/>
        </w:rPr>
        <w:t>一</w:t>
      </w:r>
      <w:r>
        <w:rPr>
          <w:rFonts w:hint="eastAsia"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供应商资格声明</w:t>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1.名称及其它情况</w:t>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供应商名称：</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p>
    <w:p>
      <w:pPr>
        <w:spacing w:line="360" w:lineRule="auto"/>
        <w:jc w:val="left"/>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 xml:space="preserve">  地址：</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p>
    <w:p>
      <w:pPr>
        <w:spacing w:line="360" w:lineRule="auto"/>
        <w:ind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电话：</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成立和注册日期：</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主管部门：</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公司性质：</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职工总人数：</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ab/>
      </w:r>
    </w:p>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2.供应商最近三年法律纠纷情况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2280"/>
        <w:gridCol w:w="1826"/>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center"/>
          </w:tcPr>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时间</w:t>
            </w:r>
          </w:p>
        </w:tc>
        <w:tc>
          <w:tcPr>
            <w:tcW w:w="2280" w:type="dxa"/>
            <w:noWrap w:val="0"/>
            <w:vAlign w:val="center"/>
          </w:tcPr>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案由</w:t>
            </w:r>
          </w:p>
        </w:tc>
        <w:tc>
          <w:tcPr>
            <w:tcW w:w="1826" w:type="dxa"/>
            <w:noWrap w:val="0"/>
            <w:vAlign w:val="center"/>
          </w:tcPr>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涉及金额</w:t>
            </w:r>
          </w:p>
        </w:tc>
        <w:tc>
          <w:tcPr>
            <w:tcW w:w="2812" w:type="dxa"/>
            <w:noWrap w:val="0"/>
            <w:vAlign w:val="center"/>
          </w:tcPr>
          <w:p>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目前办理情况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top"/>
          </w:tcPr>
          <w:p>
            <w:pPr>
              <w:spacing w:line="360" w:lineRule="auto"/>
              <w:jc w:val="left"/>
              <w:rPr>
                <w:rFonts w:hint="eastAsia" w:ascii="宋体" w:hAnsi="宋体" w:eastAsia="宋体" w:cs="宋体"/>
                <w:color w:val="auto"/>
                <w:szCs w:val="24"/>
                <w:highlight w:val="none"/>
              </w:rPr>
            </w:pPr>
          </w:p>
        </w:tc>
        <w:tc>
          <w:tcPr>
            <w:tcW w:w="2280" w:type="dxa"/>
            <w:noWrap w:val="0"/>
            <w:vAlign w:val="top"/>
          </w:tcPr>
          <w:p>
            <w:pPr>
              <w:spacing w:line="360" w:lineRule="auto"/>
              <w:jc w:val="left"/>
              <w:rPr>
                <w:rFonts w:hint="eastAsia" w:ascii="宋体" w:hAnsi="宋体" w:eastAsia="宋体" w:cs="宋体"/>
                <w:color w:val="auto"/>
                <w:szCs w:val="24"/>
                <w:highlight w:val="none"/>
              </w:rPr>
            </w:pPr>
          </w:p>
        </w:tc>
        <w:tc>
          <w:tcPr>
            <w:tcW w:w="1826" w:type="dxa"/>
            <w:noWrap w:val="0"/>
            <w:vAlign w:val="top"/>
          </w:tcPr>
          <w:p>
            <w:pPr>
              <w:spacing w:line="360" w:lineRule="auto"/>
              <w:jc w:val="left"/>
              <w:rPr>
                <w:rFonts w:hint="eastAsia" w:ascii="宋体" w:hAnsi="宋体" w:eastAsia="宋体" w:cs="宋体"/>
                <w:color w:val="auto"/>
                <w:szCs w:val="24"/>
                <w:highlight w:val="none"/>
              </w:rPr>
            </w:pPr>
          </w:p>
        </w:tc>
        <w:tc>
          <w:tcPr>
            <w:tcW w:w="2812" w:type="dxa"/>
            <w:noWrap w:val="0"/>
            <w:vAlign w:val="top"/>
          </w:tcPr>
          <w:p>
            <w:pPr>
              <w:spacing w:line="360" w:lineRule="auto"/>
              <w:jc w:val="left"/>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top"/>
          </w:tcPr>
          <w:p>
            <w:pPr>
              <w:spacing w:line="360" w:lineRule="auto"/>
              <w:jc w:val="left"/>
              <w:rPr>
                <w:rFonts w:hint="eastAsia" w:ascii="宋体" w:hAnsi="宋体" w:eastAsia="宋体" w:cs="宋体"/>
                <w:color w:val="auto"/>
                <w:szCs w:val="24"/>
                <w:highlight w:val="none"/>
              </w:rPr>
            </w:pPr>
          </w:p>
        </w:tc>
        <w:tc>
          <w:tcPr>
            <w:tcW w:w="2280" w:type="dxa"/>
            <w:noWrap w:val="0"/>
            <w:vAlign w:val="top"/>
          </w:tcPr>
          <w:p>
            <w:pPr>
              <w:spacing w:line="360" w:lineRule="auto"/>
              <w:jc w:val="left"/>
              <w:rPr>
                <w:rFonts w:hint="eastAsia" w:ascii="宋体" w:hAnsi="宋体" w:eastAsia="宋体" w:cs="宋体"/>
                <w:color w:val="auto"/>
                <w:szCs w:val="24"/>
                <w:highlight w:val="none"/>
              </w:rPr>
            </w:pPr>
          </w:p>
        </w:tc>
        <w:tc>
          <w:tcPr>
            <w:tcW w:w="1826" w:type="dxa"/>
            <w:noWrap w:val="0"/>
            <w:vAlign w:val="top"/>
          </w:tcPr>
          <w:p>
            <w:pPr>
              <w:spacing w:line="360" w:lineRule="auto"/>
              <w:jc w:val="left"/>
              <w:rPr>
                <w:rFonts w:hint="eastAsia" w:ascii="宋体" w:hAnsi="宋体" w:eastAsia="宋体" w:cs="宋体"/>
                <w:color w:val="auto"/>
                <w:szCs w:val="24"/>
                <w:highlight w:val="none"/>
              </w:rPr>
            </w:pPr>
          </w:p>
        </w:tc>
        <w:tc>
          <w:tcPr>
            <w:tcW w:w="2812" w:type="dxa"/>
            <w:noWrap w:val="0"/>
            <w:vAlign w:val="top"/>
          </w:tcPr>
          <w:p>
            <w:pPr>
              <w:spacing w:line="360" w:lineRule="auto"/>
              <w:jc w:val="left"/>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noWrap w:val="0"/>
            <w:vAlign w:val="top"/>
          </w:tcPr>
          <w:p>
            <w:pPr>
              <w:spacing w:line="360" w:lineRule="auto"/>
              <w:jc w:val="left"/>
              <w:rPr>
                <w:rFonts w:hint="eastAsia" w:ascii="宋体" w:hAnsi="宋体" w:eastAsia="宋体" w:cs="宋体"/>
                <w:color w:val="auto"/>
                <w:szCs w:val="24"/>
                <w:highlight w:val="none"/>
              </w:rPr>
            </w:pPr>
          </w:p>
        </w:tc>
        <w:tc>
          <w:tcPr>
            <w:tcW w:w="2280" w:type="dxa"/>
            <w:noWrap w:val="0"/>
            <w:vAlign w:val="top"/>
          </w:tcPr>
          <w:p>
            <w:pPr>
              <w:spacing w:line="360" w:lineRule="auto"/>
              <w:jc w:val="left"/>
              <w:rPr>
                <w:rFonts w:hint="eastAsia" w:ascii="宋体" w:hAnsi="宋体" w:eastAsia="宋体" w:cs="宋体"/>
                <w:color w:val="auto"/>
                <w:szCs w:val="24"/>
                <w:highlight w:val="none"/>
              </w:rPr>
            </w:pPr>
          </w:p>
        </w:tc>
        <w:tc>
          <w:tcPr>
            <w:tcW w:w="1826" w:type="dxa"/>
            <w:noWrap w:val="0"/>
            <w:vAlign w:val="top"/>
          </w:tcPr>
          <w:p>
            <w:pPr>
              <w:spacing w:line="360" w:lineRule="auto"/>
              <w:jc w:val="left"/>
              <w:rPr>
                <w:rFonts w:hint="eastAsia" w:ascii="宋体" w:hAnsi="宋体" w:eastAsia="宋体" w:cs="宋体"/>
                <w:color w:val="auto"/>
                <w:szCs w:val="24"/>
                <w:highlight w:val="none"/>
              </w:rPr>
            </w:pPr>
          </w:p>
        </w:tc>
        <w:tc>
          <w:tcPr>
            <w:tcW w:w="2812" w:type="dxa"/>
            <w:noWrap w:val="0"/>
            <w:vAlign w:val="top"/>
          </w:tcPr>
          <w:p>
            <w:pPr>
              <w:spacing w:line="360" w:lineRule="auto"/>
              <w:jc w:val="left"/>
              <w:rPr>
                <w:rFonts w:hint="eastAsia" w:ascii="宋体" w:hAnsi="宋体" w:eastAsia="宋体" w:cs="宋体"/>
                <w:color w:val="auto"/>
                <w:szCs w:val="24"/>
                <w:highlight w:val="none"/>
              </w:rPr>
            </w:pPr>
          </w:p>
        </w:tc>
      </w:tr>
    </w:tbl>
    <w:p>
      <w:pPr>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3.其他情况：</w:t>
      </w:r>
      <w:r>
        <w:rPr>
          <w:rFonts w:hint="eastAsia" w:ascii="宋体" w:hAnsi="宋体" w:eastAsia="宋体" w:cs="宋体"/>
          <w:color w:val="auto"/>
          <w:szCs w:val="24"/>
          <w:highlight w:val="none"/>
          <w:u w:val="single"/>
        </w:rPr>
        <w:t xml:space="preserve">                                     </w:t>
      </w:r>
    </w:p>
    <w:p>
      <w:pPr>
        <w:spacing w:line="360" w:lineRule="auto"/>
        <w:ind w:firstLine="360" w:firstLineChars="15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我们保证上述声明是真实的、正确的，并提供了全部能提供的资料和数据；如贵方要求我们同意出示进一步证明文件。</w:t>
      </w:r>
    </w:p>
    <w:p>
      <w:pPr>
        <w:spacing w:line="360" w:lineRule="auto"/>
        <w:rPr>
          <w:rFonts w:hint="eastAsia" w:ascii="宋体" w:hAnsi="宋体" w:eastAsia="宋体" w:cs="宋体"/>
          <w:color w:val="auto"/>
          <w:szCs w:val="24"/>
          <w:highlight w:val="none"/>
        </w:rPr>
      </w:pPr>
    </w:p>
    <w:p>
      <w:pPr>
        <w:spacing w:line="360" w:lineRule="auto"/>
        <w:rPr>
          <w:rFonts w:hint="eastAsia" w:ascii="宋体" w:hAnsi="宋体" w:eastAsia="宋体" w:cs="宋体"/>
          <w:color w:val="auto"/>
          <w:szCs w:val="24"/>
          <w:highlight w:val="none"/>
        </w:rPr>
      </w:pPr>
    </w:p>
    <w:p>
      <w:pPr>
        <w:spacing w:line="360" w:lineRule="auto"/>
        <w:rPr>
          <w:rFonts w:hint="eastAsia" w:ascii="宋体" w:hAnsi="宋体" w:eastAsia="宋体" w:cs="宋体"/>
          <w:color w:val="auto"/>
          <w:szCs w:val="24"/>
          <w:highlight w:val="none"/>
        </w:rPr>
      </w:pP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w:t>
      </w:r>
    </w:p>
    <w:p>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供应商名称（公章）：          </w:t>
      </w:r>
    </w:p>
    <w:p>
      <w:pPr>
        <w:spacing w:line="360" w:lineRule="auto"/>
        <w:jc w:val="left"/>
        <w:rPr>
          <w:rFonts w:hint="eastAsia" w:ascii="宋体" w:hAnsi="宋体" w:eastAsia="宋体" w:cs="宋体"/>
          <w:color w:val="auto"/>
          <w:szCs w:val="22"/>
          <w:highlight w:val="none"/>
        </w:rPr>
      </w:pPr>
      <w:r>
        <w:rPr>
          <w:rFonts w:hint="eastAsia" w:ascii="宋体" w:hAnsi="宋体" w:eastAsia="宋体" w:cs="宋体"/>
          <w:color w:val="auto"/>
          <w:szCs w:val="22"/>
          <w:highlight w:val="none"/>
        </w:rPr>
        <w:t>法定代表人</w:t>
      </w:r>
      <w:r>
        <w:rPr>
          <w:rFonts w:hint="eastAsia" w:hAnsi="宋体" w:cs="宋体"/>
          <w:color w:val="auto"/>
          <w:szCs w:val="22"/>
          <w:highlight w:val="none"/>
          <w:lang w:val="en-US" w:eastAsia="zh-CN"/>
        </w:rPr>
        <w:t>或</w:t>
      </w:r>
      <w:r>
        <w:rPr>
          <w:rFonts w:hint="eastAsia" w:ascii="宋体" w:hAnsi="宋体" w:eastAsia="宋体" w:cs="宋体"/>
          <w:color w:val="auto"/>
          <w:szCs w:val="22"/>
          <w:highlight w:val="none"/>
        </w:rPr>
        <w:t>被授权人（签字或盖章）：</w:t>
      </w:r>
    </w:p>
    <w:p>
      <w:pPr>
        <w:spacing w:line="360" w:lineRule="auto"/>
        <w:jc w:val="left"/>
        <w:rPr>
          <w:rFonts w:hint="eastAsia" w:ascii="宋体" w:hAnsi="宋体" w:eastAsia="宋体" w:cs="宋体"/>
          <w:color w:val="auto"/>
          <w:szCs w:val="22"/>
          <w:highlight w:val="none"/>
        </w:rPr>
      </w:pPr>
      <w:r>
        <w:rPr>
          <w:rFonts w:hint="eastAsia" w:ascii="宋体" w:hAnsi="宋体" w:eastAsia="宋体" w:cs="宋体"/>
          <w:color w:val="auto"/>
          <w:szCs w:val="22"/>
          <w:highlight w:val="none"/>
        </w:rPr>
        <w:t>日</w:t>
      </w:r>
      <w:r>
        <w:rPr>
          <w:rFonts w:hint="eastAsia" w:hAnsi="宋体" w:cs="宋体"/>
          <w:color w:val="auto"/>
          <w:szCs w:val="22"/>
          <w:highlight w:val="none"/>
          <w:lang w:val="en-US" w:eastAsia="zh-CN"/>
        </w:rPr>
        <w:t xml:space="preserve">   </w:t>
      </w:r>
      <w:r>
        <w:rPr>
          <w:rFonts w:hint="eastAsia" w:ascii="宋体" w:hAnsi="宋体" w:eastAsia="宋体" w:cs="宋体"/>
          <w:color w:val="auto"/>
          <w:szCs w:val="22"/>
          <w:highlight w:val="none"/>
        </w:rPr>
        <w:t>期：</w:t>
      </w:r>
    </w:p>
    <w:p>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30"/>
          <w:szCs w:val="30"/>
          <w:highlight w:val="none"/>
        </w:rPr>
        <w:br w:type="page"/>
      </w:r>
      <w:r>
        <w:rPr>
          <w:rFonts w:hint="eastAsia" w:hAnsi="宋体" w:cs="宋体"/>
          <w:b/>
          <w:color w:val="auto"/>
          <w:sz w:val="30"/>
          <w:szCs w:val="30"/>
          <w:highlight w:val="none"/>
          <w:lang w:eastAsia="zh-CN"/>
        </w:rPr>
        <w:t>（</w:t>
      </w:r>
      <w:r>
        <w:rPr>
          <w:rFonts w:hint="eastAsia" w:hAnsi="宋体" w:cs="宋体"/>
          <w:b/>
          <w:color w:val="auto"/>
          <w:sz w:val="30"/>
          <w:szCs w:val="30"/>
          <w:highlight w:val="none"/>
          <w:lang w:val="en-US" w:eastAsia="zh-CN"/>
        </w:rPr>
        <w:t>二</w:t>
      </w:r>
      <w:r>
        <w:rPr>
          <w:rFonts w:hint="eastAsia"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供应商企业关联关系声明函</w:t>
      </w:r>
    </w:p>
    <w:p>
      <w:pPr>
        <w:adjustRightInd w:val="0"/>
        <w:snapToGrid w:val="0"/>
        <w:spacing w:line="360" w:lineRule="auto"/>
        <w:ind w:right="120" w:rightChars="50" w:firstLine="544" w:firstLineChars="227"/>
        <w:jc w:val="left"/>
        <w:rPr>
          <w:rFonts w:hint="eastAsia" w:ascii="宋体" w:hAnsi="宋体" w:eastAsia="宋体" w:cs="宋体"/>
          <w:color w:val="auto"/>
          <w:szCs w:val="21"/>
          <w:highlight w:val="none"/>
        </w:rPr>
      </w:pPr>
    </w:p>
    <w:p>
      <w:pPr>
        <w:adjustRightInd w:val="0"/>
        <w:snapToGrid w:val="0"/>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说明：供应商应当如实披露与本单位存在下列关联关系的单位名称：</w:t>
      </w:r>
    </w:p>
    <w:p>
      <w:pPr>
        <w:pStyle w:val="10"/>
        <w:spacing w:after="0" w:line="360" w:lineRule="auto"/>
        <w:rPr>
          <w:rFonts w:hint="eastAsia" w:ascii="宋体" w:hAnsi="宋体" w:eastAsia="宋体" w:cs="宋体"/>
          <w:color w:val="auto"/>
          <w:sz w:val="24"/>
          <w:szCs w:val="24"/>
          <w:highlight w:val="none"/>
        </w:rPr>
      </w:pPr>
    </w:p>
    <w:p>
      <w:pPr>
        <w:adjustRightInd w:val="0"/>
        <w:snapToGrid w:val="0"/>
        <w:spacing w:line="360" w:lineRule="auto"/>
        <w:jc w:val="left"/>
        <w:rPr>
          <w:rFonts w:hint="eastAsia" w:ascii="宋体" w:hAnsi="宋体" w:eastAsia="宋体" w:cs="宋体"/>
          <w:color w:val="auto"/>
          <w:highlight w:val="none"/>
        </w:rPr>
      </w:pPr>
      <w:bookmarkStart w:id="172" w:name="_Toc31070_WPSOffice_Level2"/>
      <w:bookmarkStart w:id="173" w:name="_Toc2074_WPSOffice_Level2"/>
      <w:r>
        <w:rPr>
          <w:rFonts w:hint="eastAsia" w:ascii="宋体" w:hAnsi="宋体" w:eastAsia="宋体" w:cs="宋体"/>
          <w:color w:val="auto"/>
          <w:highlight w:val="none"/>
        </w:rPr>
        <w:t>（1）与供应商单位法定代表人为同一人的其他单位</w:t>
      </w:r>
      <w:bookmarkEnd w:id="172"/>
      <w:bookmarkEnd w:id="173"/>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adjustRightInd w:val="0"/>
        <w:snapToGrid w:val="0"/>
        <w:spacing w:line="360" w:lineRule="auto"/>
        <w:jc w:val="left"/>
        <w:rPr>
          <w:rFonts w:hint="eastAsia" w:ascii="宋体" w:hAnsi="宋体" w:eastAsia="宋体" w:cs="宋体"/>
          <w:color w:val="auto"/>
          <w:highlight w:val="none"/>
        </w:rPr>
      </w:pPr>
      <w:bookmarkStart w:id="174" w:name="_Toc27053_WPSOffice_Level2"/>
      <w:bookmarkStart w:id="175" w:name="_Toc889_WPSOffice_Level2"/>
      <w:r>
        <w:rPr>
          <w:rFonts w:hint="eastAsia" w:ascii="宋体" w:hAnsi="宋体" w:eastAsia="宋体" w:cs="宋体"/>
          <w:color w:val="auto"/>
          <w:highlight w:val="none"/>
        </w:rPr>
        <w:t>（2）与供应商存在直接控股、管理关系的其他单位</w:t>
      </w:r>
      <w:bookmarkEnd w:id="174"/>
      <w:bookmarkEnd w:id="175"/>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pPr>
        <w:adjustRightInd w:val="0"/>
        <w:snapToGrid w:val="0"/>
        <w:spacing w:line="360" w:lineRule="auto"/>
        <w:ind w:right="120" w:rightChars="50" w:firstLine="544" w:firstLineChars="227"/>
        <w:jc w:val="left"/>
        <w:rPr>
          <w:rFonts w:hint="eastAsia" w:ascii="宋体" w:hAnsi="宋体" w:eastAsia="宋体" w:cs="宋体"/>
          <w:color w:val="auto"/>
          <w:highlight w:val="none"/>
        </w:rPr>
      </w:pPr>
    </w:p>
    <w:p>
      <w:pPr>
        <w:adjustRightInd w:val="0"/>
        <w:snapToGrid w:val="0"/>
        <w:spacing w:line="360" w:lineRule="auto"/>
        <w:ind w:right="120" w:rightChars="50"/>
        <w:jc w:val="left"/>
        <w:rPr>
          <w:rFonts w:hint="eastAsia" w:ascii="宋体" w:hAnsi="宋体" w:eastAsia="宋体" w:cs="宋体"/>
          <w:color w:val="auto"/>
          <w:highlight w:val="none"/>
        </w:rPr>
      </w:pPr>
      <w:r>
        <w:rPr>
          <w:rFonts w:hint="eastAsia" w:ascii="宋体" w:hAnsi="宋体" w:eastAsia="宋体" w:cs="宋体"/>
          <w:color w:val="auto"/>
          <w:highlight w:val="none"/>
        </w:rPr>
        <w:t>注：若无此情形，写“无”即可</w:t>
      </w:r>
    </w:p>
    <w:p>
      <w:pPr>
        <w:pStyle w:val="10"/>
        <w:rPr>
          <w:rFonts w:hint="eastAsia" w:ascii="宋体" w:hAnsi="宋体" w:eastAsia="宋体" w:cs="宋体"/>
          <w:color w:val="auto"/>
          <w:sz w:val="24"/>
          <w:szCs w:val="24"/>
          <w:highlight w:val="none"/>
        </w:rPr>
      </w:pPr>
    </w:p>
    <w:p>
      <w:pPr>
        <w:spacing w:line="360" w:lineRule="auto"/>
        <w:jc w:val="left"/>
        <w:rPr>
          <w:rFonts w:hint="eastAsia" w:ascii="宋体" w:hAnsi="宋体" w:eastAsia="宋体" w:cs="宋体"/>
          <w:color w:val="auto"/>
          <w:highlight w:val="none"/>
        </w:rPr>
      </w:pPr>
    </w:p>
    <w:p>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供应商名称（公章）：</w:t>
      </w:r>
    </w:p>
    <w:p>
      <w:pPr>
        <w:spacing w:line="360" w:lineRule="auto"/>
        <w:jc w:val="left"/>
        <w:rPr>
          <w:rFonts w:hint="eastAsia" w:ascii="宋体" w:hAnsi="宋体" w:eastAsia="宋体" w:cs="宋体"/>
          <w:b/>
          <w:color w:val="auto"/>
          <w:highlight w:val="none"/>
        </w:rPr>
      </w:pPr>
      <w:r>
        <w:rPr>
          <w:rFonts w:hint="eastAsia" w:ascii="宋体" w:hAnsi="宋体" w:eastAsia="宋体" w:cs="宋体"/>
          <w:color w:val="auto"/>
          <w:szCs w:val="22"/>
          <w:highlight w:val="none"/>
        </w:rPr>
        <w:t>法定代表人</w:t>
      </w:r>
      <w:r>
        <w:rPr>
          <w:rFonts w:hint="eastAsia" w:hAnsi="宋体" w:cs="宋体"/>
          <w:color w:val="auto"/>
          <w:szCs w:val="22"/>
          <w:highlight w:val="none"/>
          <w:lang w:val="en-US" w:eastAsia="zh-CN"/>
        </w:rPr>
        <w:t>或</w:t>
      </w:r>
      <w:r>
        <w:rPr>
          <w:rFonts w:hint="eastAsia" w:ascii="宋体" w:hAnsi="宋体" w:eastAsia="宋体" w:cs="宋体"/>
          <w:color w:val="auto"/>
          <w:szCs w:val="22"/>
          <w:highlight w:val="none"/>
        </w:rPr>
        <w:t>被授权人（签字或盖章）</w:t>
      </w:r>
      <w:r>
        <w:rPr>
          <w:rFonts w:hint="eastAsia" w:ascii="宋体" w:hAnsi="宋体" w:eastAsia="宋体" w:cs="宋体"/>
          <w:b/>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日    期：</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附件1：</w:t>
      </w:r>
    </w:p>
    <w:p>
      <w:pPr>
        <w:adjustRightInd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具备履行合同所必须的设备和专业技术能力的书面声明</w:t>
      </w:r>
    </w:p>
    <w:p>
      <w:pPr>
        <w:spacing w:line="720" w:lineRule="auto"/>
        <w:jc w:val="left"/>
        <w:rPr>
          <w:rFonts w:hint="eastAsia" w:ascii="宋体" w:hAnsi="宋体" w:eastAsia="宋体" w:cs="宋体"/>
          <w:b/>
          <w:bCs/>
          <w:color w:val="auto"/>
          <w:szCs w:val="22"/>
          <w:highlight w:val="none"/>
          <w:lang w:eastAsia="zh-CN"/>
        </w:rPr>
      </w:pPr>
      <w:r>
        <w:rPr>
          <w:rFonts w:hint="eastAsia" w:ascii="宋体" w:hAnsi="宋体" w:eastAsia="宋体" w:cs="宋体"/>
          <w:b/>
          <w:bCs/>
          <w:color w:val="auto"/>
          <w:szCs w:val="22"/>
          <w:highlight w:val="none"/>
        </w:rPr>
        <w:t>致：</w:t>
      </w:r>
      <w:r>
        <w:rPr>
          <w:rFonts w:hint="eastAsia" w:hAnsi="宋体" w:cs="宋体"/>
          <w:b/>
          <w:bCs/>
          <w:color w:val="auto"/>
          <w:szCs w:val="22"/>
          <w:highlight w:val="none"/>
          <w:lang w:eastAsia="zh-CN"/>
        </w:rPr>
        <w:t>西北国际（陕西）造价管理集团有限公司</w:t>
      </w:r>
    </w:p>
    <w:p>
      <w:pPr>
        <w:spacing w:line="720" w:lineRule="auto"/>
        <w:ind w:firstLine="480" w:firstLineChars="200"/>
        <w:jc w:val="left"/>
        <w:rPr>
          <w:rFonts w:hint="eastAsia" w:ascii="宋体" w:hAnsi="宋体" w:eastAsia="宋体" w:cs="宋体"/>
          <w:color w:val="auto"/>
          <w:szCs w:val="22"/>
          <w:highlight w:val="none"/>
        </w:rPr>
      </w:pPr>
      <w:r>
        <w:rPr>
          <w:rFonts w:hint="eastAsia" w:ascii="宋体" w:hAnsi="宋体" w:eastAsia="宋体" w:cs="宋体"/>
          <w:color w:val="auto"/>
          <w:szCs w:val="22"/>
          <w:highlight w:val="none"/>
        </w:rPr>
        <w:t>作为参加贵公司组织的竞争性磋商项目的供应商，本公司郑重申告并承诺：我公司</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（具备/不具备）履行合同所必须的设备和专业技术能力的书面声明，如有隐瞒或违反，同意接受业主及行政主管部门处理和处罚决定。</w:t>
      </w:r>
    </w:p>
    <w:p>
      <w:pPr>
        <w:spacing w:line="720" w:lineRule="auto"/>
        <w:ind w:firstLine="480" w:firstLineChars="200"/>
        <w:jc w:val="left"/>
        <w:rPr>
          <w:rFonts w:hint="eastAsia" w:ascii="宋体" w:hAnsi="宋体" w:eastAsia="宋体" w:cs="宋体"/>
          <w:color w:val="auto"/>
          <w:szCs w:val="22"/>
          <w:highlight w:val="none"/>
        </w:rPr>
      </w:pPr>
    </w:p>
    <w:p>
      <w:pPr>
        <w:spacing w:line="360" w:lineRule="auto"/>
        <w:jc w:val="left"/>
        <w:rPr>
          <w:rFonts w:hint="eastAsia" w:ascii="宋体" w:hAnsi="宋体" w:eastAsia="宋体" w:cs="宋体"/>
          <w:color w:val="auto"/>
          <w:highlight w:val="none"/>
        </w:rPr>
      </w:pPr>
    </w:p>
    <w:p>
      <w:pPr>
        <w:spacing w:line="360" w:lineRule="auto"/>
        <w:jc w:val="left"/>
        <w:rPr>
          <w:rFonts w:hint="eastAsia" w:ascii="宋体" w:hAnsi="宋体" w:eastAsia="宋体" w:cs="宋体"/>
          <w:color w:val="auto"/>
          <w:highlight w:val="none"/>
        </w:rPr>
      </w:pPr>
    </w:p>
    <w:p>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供应商名称（公章）：</w:t>
      </w:r>
    </w:p>
    <w:p>
      <w:pPr>
        <w:spacing w:line="360" w:lineRule="auto"/>
        <w:jc w:val="left"/>
        <w:rPr>
          <w:rFonts w:hint="eastAsia" w:ascii="宋体" w:hAnsi="宋体" w:eastAsia="宋体" w:cs="宋体"/>
          <w:color w:val="auto"/>
          <w:szCs w:val="22"/>
          <w:highlight w:val="none"/>
        </w:rPr>
      </w:pPr>
      <w:r>
        <w:rPr>
          <w:rFonts w:hint="eastAsia" w:ascii="宋体" w:hAnsi="宋体" w:eastAsia="宋体" w:cs="宋体"/>
          <w:color w:val="auto"/>
          <w:szCs w:val="22"/>
          <w:highlight w:val="none"/>
        </w:rPr>
        <w:t>法定代表人</w:t>
      </w:r>
      <w:r>
        <w:rPr>
          <w:rFonts w:hint="eastAsia" w:hAnsi="宋体" w:cs="宋体"/>
          <w:color w:val="auto"/>
          <w:szCs w:val="22"/>
          <w:highlight w:val="none"/>
          <w:lang w:val="en-US" w:eastAsia="zh-CN"/>
        </w:rPr>
        <w:t>或</w:t>
      </w:r>
      <w:r>
        <w:rPr>
          <w:rFonts w:hint="eastAsia" w:ascii="宋体" w:hAnsi="宋体" w:eastAsia="宋体" w:cs="宋体"/>
          <w:color w:val="auto"/>
          <w:szCs w:val="22"/>
          <w:highlight w:val="none"/>
        </w:rPr>
        <w:t>被授权人（签字或盖章）：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日    期：</w:t>
      </w:r>
    </w:p>
    <w:p>
      <w:pPr>
        <w:adjustRightInd w:val="0"/>
        <w:snapToGrid w:val="0"/>
        <w:spacing w:line="360" w:lineRule="auto"/>
        <w:jc w:val="left"/>
        <w:rPr>
          <w:rFonts w:hint="eastAsia" w:ascii="宋体" w:hAnsi="宋体" w:eastAsia="宋体" w:cs="宋体"/>
          <w:color w:val="auto"/>
          <w:highlight w:val="none"/>
        </w:rPr>
      </w:pPr>
    </w:p>
    <w:p>
      <w:pPr>
        <w:pStyle w:val="33"/>
        <w:ind w:firstLine="0"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备注：供应商须根据自身实际情况作出真实声明。</w:t>
      </w:r>
    </w:p>
    <w:p>
      <w:pPr>
        <w:spacing w:line="360" w:lineRule="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附件2：</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参加政府采购活动前三年内，在经营活动中</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没有重大违法记录书面声明</w:t>
      </w:r>
    </w:p>
    <w:p>
      <w:pPr>
        <w:spacing w:line="720" w:lineRule="auto"/>
        <w:jc w:val="left"/>
        <w:rPr>
          <w:rFonts w:hint="eastAsia" w:ascii="宋体" w:hAnsi="宋体" w:eastAsia="宋体" w:cs="宋体"/>
          <w:b/>
          <w:color w:val="auto"/>
          <w:highlight w:val="none"/>
          <w:lang w:eastAsia="zh-CN"/>
        </w:rPr>
      </w:pPr>
      <w:r>
        <w:rPr>
          <w:rFonts w:hint="eastAsia" w:ascii="宋体" w:hAnsi="宋体" w:eastAsia="宋体" w:cs="宋体"/>
          <w:b/>
          <w:color w:val="auto"/>
          <w:highlight w:val="none"/>
        </w:rPr>
        <w:t>致：</w:t>
      </w:r>
      <w:r>
        <w:rPr>
          <w:rFonts w:hint="eastAsia" w:hAnsi="宋体" w:cs="宋体"/>
          <w:b/>
          <w:color w:val="auto"/>
          <w:highlight w:val="none"/>
          <w:lang w:eastAsia="zh-CN"/>
        </w:rPr>
        <w:t>西北国际（陕西）造价管理集团有限公司</w:t>
      </w:r>
    </w:p>
    <w:p>
      <w:pPr>
        <w:spacing w:line="720" w:lineRule="auto"/>
        <w:ind w:firstLine="480" w:firstLineChars="200"/>
        <w:jc w:val="left"/>
        <w:rPr>
          <w:rFonts w:hint="eastAsia" w:ascii="宋体" w:hAnsi="宋体" w:eastAsia="宋体" w:cs="宋体"/>
          <w:color w:val="auto"/>
          <w:szCs w:val="22"/>
          <w:highlight w:val="none"/>
        </w:rPr>
      </w:pPr>
      <w:r>
        <w:rPr>
          <w:rFonts w:hint="eastAsia" w:ascii="宋体" w:hAnsi="宋体" w:eastAsia="宋体" w:cs="宋体"/>
          <w:color w:val="auto"/>
          <w:szCs w:val="22"/>
          <w:highlight w:val="none"/>
        </w:rPr>
        <w:t>作为参加贵公司组织的招标项目的供应商，本公司郑重声明：近三年未受到有关行政主管部门的行政处理、无不良行为，产生的重大违法记录为</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（没有填“零”）次。如有隐瞒或违反，同意接受业主及行政主管部门处理和处罚决定。</w:t>
      </w:r>
    </w:p>
    <w:p>
      <w:pPr>
        <w:spacing w:line="360" w:lineRule="auto"/>
        <w:ind w:firstLine="480" w:firstLineChars="200"/>
        <w:jc w:val="left"/>
        <w:rPr>
          <w:rFonts w:hint="eastAsia" w:ascii="宋体" w:hAnsi="宋体" w:eastAsia="宋体" w:cs="宋体"/>
          <w:color w:val="auto"/>
          <w:highlight w:val="none"/>
        </w:rPr>
      </w:pPr>
    </w:p>
    <w:p>
      <w:pPr>
        <w:spacing w:line="360" w:lineRule="auto"/>
        <w:ind w:firstLine="480" w:firstLineChars="200"/>
        <w:jc w:val="left"/>
        <w:rPr>
          <w:rFonts w:hint="eastAsia" w:ascii="宋体" w:hAnsi="宋体" w:eastAsia="宋体" w:cs="宋体"/>
          <w:color w:val="auto"/>
          <w:highlight w:val="none"/>
        </w:rPr>
      </w:pPr>
    </w:p>
    <w:p>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供应商名称（公章）：</w:t>
      </w:r>
    </w:p>
    <w:p>
      <w:pPr>
        <w:spacing w:line="360" w:lineRule="auto"/>
        <w:jc w:val="left"/>
        <w:rPr>
          <w:rFonts w:hint="eastAsia" w:ascii="宋体" w:hAnsi="宋体" w:eastAsia="宋体" w:cs="宋体"/>
          <w:color w:val="auto"/>
          <w:szCs w:val="22"/>
          <w:highlight w:val="none"/>
        </w:rPr>
      </w:pPr>
      <w:r>
        <w:rPr>
          <w:rFonts w:hint="eastAsia" w:ascii="宋体" w:hAnsi="宋体" w:eastAsia="宋体" w:cs="宋体"/>
          <w:color w:val="auto"/>
          <w:szCs w:val="22"/>
          <w:highlight w:val="none"/>
        </w:rPr>
        <w:t>法定代表人</w:t>
      </w:r>
      <w:r>
        <w:rPr>
          <w:rFonts w:hint="eastAsia" w:hAnsi="宋体" w:cs="宋体"/>
          <w:color w:val="auto"/>
          <w:szCs w:val="22"/>
          <w:highlight w:val="none"/>
          <w:lang w:val="en-US" w:eastAsia="zh-CN"/>
        </w:rPr>
        <w:t>或</w:t>
      </w:r>
      <w:r>
        <w:rPr>
          <w:rFonts w:hint="eastAsia" w:ascii="宋体" w:hAnsi="宋体" w:eastAsia="宋体" w:cs="宋体"/>
          <w:color w:val="auto"/>
          <w:szCs w:val="22"/>
          <w:highlight w:val="none"/>
        </w:rPr>
        <w:t>被授权人（签字或盖章）：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日    期：</w:t>
      </w:r>
    </w:p>
    <w:p>
      <w:pPr>
        <w:adjustRightInd w:val="0"/>
        <w:snapToGrid w:val="0"/>
        <w:spacing w:line="360" w:lineRule="auto"/>
        <w:jc w:val="left"/>
        <w:rPr>
          <w:rFonts w:hint="eastAsia" w:ascii="宋体" w:hAnsi="宋体" w:eastAsia="宋体" w:cs="宋体"/>
          <w:color w:val="auto"/>
          <w:szCs w:val="24"/>
          <w:highlight w:val="none"/>
        </w:rPr>
      </w:pPr>
    </w:p>
    <w:p>
      <w:pPr>
        <w:adjustRightInd w:val="0"/>
        <w:snapToGrid w:val="0"/>
        <w:spacing w:line="360" w:lineRule="auto"/>
        <w:jc w:val="left"/>
        <w:rPr>
          <w:rFonts w:hint="eastAsia" w:ascii="宋体" w:hAnsi="宋体" w:eastAsia="宋体" w:cs="宋体"/>
          <w:color w:val="auto"/>
          <w:szCs w:val="24"/>
          <w:highlight w:val="none"/>
        </w:rPr>
      </w:pPr>
    </w:p>
    <w:p>
      <w:pPr>
        <w:spacing w:line="480" w:lineRule="auto"/>
        <w:ind w:right="617" w:rightChars="257"/>
        <w:rPr>
          <w:rFonts w:hint="eastAsia" w:ascii="宋体" w:hAnsi="宋体" w:eastAsia="宋体" w:cs="宋体"/>
          <w:color w:val="auto"/>
          <w:highlight w:val="none"/>
        </w:rPr>
      </w:pPr>
      <w:r>
        <w:rPr>
          <w:rFonts w:hint="eastAsia" w:ascii="宋体" w:hAnsi="宋体" w:eastAsia="宋体" w:cs="宋体"/>
          <w:b/>
          <w:bCs/>
          <w:color w:val="auto"/>
          <w:highlight w:val="none"/>
        </w:rPr>
        <w:t>备注：1.供应商须根据自身实际情况作出真实声明。2.重大违法记录，是指</w:t>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"http://search.xinmin.cn/?q=供应商" \t "_blank"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供应商</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t>因违法经营受到刑事处罚或者责令停产停业、吊销许可证或者执照、较大数额罚款等行政处罚。</w:t>
      </w:r>
    </w:p>
    <w:p>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30"/>
          <w:szCs w:val="30"/>
          <w:highlight w:val="none"/>
        </w:rPr>
        <w:br w:type="page"/>
      </w:r>
    </w:p>
    <w:p>
      <w:pPr>
        <w:adjustRightInd w:val="0"/>
        <w:snapToGrid w:val="0"/>
        <w:spacing w:line="360" w:lineRule="auto"/>
        <w:jc w:val="center"/>
        <w:rPr>
          <w:rFonts w:hint="eastAsia" w:ascii="宋体" w:hAnsi="宋体" w:eastAsia="宋体" w:cs="宋体"/>
          <w:b/>
          <w:color w:val="auto"/>
          <w:szCs w:val="24"/>
          <w:highlight w:val="none"/>
        </w:rPr>
      </w:pPr>
      <w:r>
        <w:rPr>
          <w:rFonts w:hint="eastAsia" w:hAnsi="宋体" w:cs="宋体"/>
          <w:b/>
          <w:bCs/>
          <w:color w:val="auto"/>
          <w:sz w:val="32"/>
          <w:szCs w:val="32"/>
          <w:highlight w:val="none"/>
          <w:lang w:val="en-US" w:eastAsia="zh-CN"/>
        </w:rPr>
        <w:t>四</w:t>
      </w:r>
      <w:r>
        <w:rPr>
          <w:rFonts w:hint="eastAsia" w:ascii="宋体" w:hAnsi="宋体" w:eastAsia="宋体" w:cs="宋体"/>
          <w:b/>
          <w:bCs/>
          <w:color w:val="auto"/>
          <w:sz w:val="32"/>
          <w:szCs w:val="32"/>
          <w:highlight w:val="none"/>
        </w:rPr>
        <w:t>、</w:t>
      </w:r>
      <w:r>
        <w:rPr>
          <w:rFonts w:hint="eastAsia" w:ascii="宋体" w:hAnsi="宋体" w:eastAsia="宋体" w:cs="宋体"/>
          <w:b/>
          <w:bCs/>
          <w:color w:val="auto"/>
          <w:sz w:val="32"/>
          <w:szCs w:val="32"/>
          <w:highlight w:val="none"/>
          <w:lang w:val="en-US" w:eastAsia="zh-CN"/>
        </w:rPr>
        <w:t>商务</w:t>
      </w:r>
      <w:r>
        <w:rPr>
          <w:rFonts w:hint="eastAsia" w:ascii="宋体" w:hAnsi="宋体" w:eastAsia="宋体" w:cs="宋体"/>
          <w:b/>
          <w:bCs/>
          <w:color w:val="auto"/>
          <w:sz w:val="32"/>
          <w:szCs w:val="32"/>
          <w:highlight w:val="none"/>
        </w:rPr>
        <w:t>部分</w:t>
      </w:r>
    </w:p>
    <w:p>
      <w:pPr>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供应商应按照磋商文件的要求编制商务要求，并封装至磋商响应文件中。主要内容须包括对</w:t>
      </w:r>
      <w:r>
        <w:rPr>
          <w:rFonts w:hint="eastAsia" w:hAnsi="宋体" w:cs="宋体"/>
          <w:b w:val="0"/>
          <w:bCs/>
          <w:color w:val="auto"/>
          <w:sz w:val="24"/>
          <w:szCs w:val="24"/>
          <w:highlight w:val="none"/>
          <w:lang w:val="en-US" w:eastAsia="zh-CN"/>
        </w:rPr>
        <w:t>业绩及</w:t>
      </w:r>
      <w:r>
        <w:rPr>
          <w:rFonts w:hint="eastAsia" w:ascii="宋体" w:hAnsi="宋体" w:eastAsia="宋体" w:cs="宋体"/>
          <w:b w:val="0"/>
          <w:bCs/>
          <w:color w:val="auto"/>
          <w:sz w:val="24"/>
          <w:szCs w:val="24"/>
          <w:highlight w:val="none"/>
        </w:rPr>
        <w:t>第三章“合同条款前附表”项目实施地点、服务</w:t>
      </w:r>
      <w:r>
        <w:rPr>
          <w:rFonts w:hint="eastAsia" w:ascii="宋体" w:hAnsi="宋体" w:eastAsia="宋体" w:cs="宋体"/>
          <w:b w:val="0"/>
          <w:bCs/>
          <w:color w:val="auto"/>
          <w:sz w:val="24"/>
          <w:szCs w:val="24"/>
          <w:highlight w:val="none"/>
          <w:lang w:eastAsia="zh-CN"/>
        </w:rPr>
        <w:t>期限</w:t>
      </w:r>
      <w:r>
        <w:rPr>
          <w:rFonts w:hint="eastAsia" w:ascii="宋体" w:hAnsi="宋体" w:eastAsia="宋体" w:cs="宋体"/>
          <w:b w:val="0"/>
          <w:bCs/>
          <w:color w:val="auto"/>
          <w:sz w:val="24"/>
          <w:szCs w:val="24"/>
          <w:highlight w:val="none"/>
        </w:rPr>
        <w:t>、付款方式、项目团队要求、质量保证、验收要求等合同条款逐条响应；（格式自拟）</w:t>
      </w:r>
    </w:p>
    <w:p>
      <w:pPr>
        <w:spacing w:line="360" w:lineRule="auto"/>
        <w:rPr>
          <w:rFonts w:hint="eastAsia" w:ascii="宋体" w:hAnsi="宋体" w:eastAsia="宋体" w:cs="宋体"/>
          <w:b/>
          <w:bCs/>
          <w:color w:val="auto"/>
          <w:sz w:val="30"/>
          <w:szCs w:val="30"/>
          <w:highlight w:val="none"/>
        </w:rPr>
      </w:pPr>
      <w:r>
        <w:rPr>
          <w:rFonts w:hint="eastAsia" w:ascii="宋体" w:hAnsi="宋体" w:eastAsia="宋体" w:cs="宋体"/>
          <w:b/>
          <w:bCs/>
          <w:color w:val="auto"/>
          <w:sz w:val="28"/>
          <w:szCs w:val="28"/>
          <w:highlight w:val="none"/>
        </w:rPr>
        <w:br w:type="page"/>
      </w:r>
      <w:r>
        <w:rPr>
          <w:rFonts w:hint="eastAsia" w:ascii="宋体" w:hAnsi="宋体" w:eastAsia="宋体" w:cs="宋体"/>
          <w:b/>
          <w:bCs/>
          <w:color w:val="auto"/>
          <w:sz w:val="32"/>
          <w:szCs w:val="32"/>
          <w:highlight w:val="none"/>
          <w:lang w:val="en-US" w:eastAsia="zh-CN"/>
        </w:rPr>
        <w:t>附件3：</w:t>
      </w:r>
      <w:r>
        <w:rPr>
          <w:rFonts w:hint="eastAsia" w:ascii="宋体" w:hAnsi="宋体" w:eastAsia="宋体" w:cs="宋体"/>
          <w:b/>
          <w:bCs/>
          <w:color w:val="auto"/>
          <w:sz w:val="32"/>
          <w:szCs w:val="32"/>
          <w:highlight w:val="none"/>
        </w:rPr>
        <w:t>供应商业绩情况</w:t>
      </w:r>
    </w:p>
    <w:p>
      <w:pPr>
        <w:spacing w:line="360" w:lineRule="auto"/>
        <w:jc w:val="center"/>
        <w:rPr>
          <w:rFonts w:hint="eastAsia" w:ascii="宋体" w:hAnsi="宋体" w:eastAsia="宋体" w:cs="宋体"/>
          <w:b/>
          <w:bCs/>
          <w:color w:val="auto"/>
          <w:sz w:val="30"/>
          <w:szCs w:val="30"/>
          <w:highlight w:val="none"/>
        </w:rPr>
      </w:pPr>
      <w:bookmarkStart w:id="176" w:name="_Toc17675_WPSOffice_Level1"/>
      <w:bookmarkStart w:id="177" w:name="_Toc8555_WPSOffice_Level1"/>
      <w:r>
        <w:rPr>
          <w:rFonts w:hint="eastAsia" w:ascii="宋体" w:hAnsi="宋体" w:eastAsia="宋体" w:cs="宋体"/>
          <w:b/>
          <w:bCs/>
          <w:color w:val="auto"/>
          <w:sz w:val="30"/>
          <w:szCs w:val="30"/>
          <w:highlight w:val="none"/>
        </w:rPr>
        <w:t>供应商业绩情况</w:t>
      </w:r>
      <w:bookmarkEnd w:id="176"/>
      <w:bookmarkEnd w:id="177"/>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16"/>
        <w:gridCol w:w="1275"/>
        <w:gridCol w:w="1134"/>
        <w:gridCol w:w="1276"/>
        <w:gridCol w:w="1145"/>
        <w:gridCol w:w="11"/>
        <w:gridCol w:w="1406"/>
        <w:gridCol w:w="9"/>
        <w:gridCol w:w="11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tcBorders>
              <w:top w:val="single" w:color="auto" w:sz="4" w:space="0"/>
            </w:tcBorders>
            <w:noWrap w:val="0"/>
            <w:vAlign w:val="center"/>
          </w:tcPr>
          <w:p>
            <w:pPr>
              <w:spacing w:line="400" w:lineRule="exact"/>
              <w:ind w:firstLine="120" w:firstLineChars="50"/>
              <w:rPr>
                <w:rFonts w:hint="eastAsia" w:ascii="宋体" w:hAnsi="宋体" w:eastAsia="宋体" w:cs="宋体"/>
                <w:color w:val="auto"/>
                <w:szCs w:val="24"/>
                <w:highlight w:val="none"/>
              </w:rPr>
            </w:pPr>
            <w:r>
              <w:rPr>
                <w:rFonts w:hint="eastAsia" w:ascii="宋体" w:hAnsi="宋体" w:eastAsia="宋体" w:cs="宋体"/>
                <w:color w:val="auto"/>
                <w:szCs w:val="24"/>
                <w:highlight w:val="none"/>
              </w:rPr>
              <w:t>年份</w:t>
            </w:r>
          </w:p>
        </w:tc>
        <w:tc>
          <w:tcPr>
            <w:tcW w:w="1275" w:type="dxa"/>
            <w:noWrap w:val="0"/>
            <w:vAlign w:val="center"/>
          </w:tcPr>
          <w:p>
            <w:pPr>
              <w:spacing w:line="400" w:lineRule="exact"/>
              <w:jc w:val="center"/>
              <w:rPr>
                <w:rFonts w:hint="eastAsia" w:hAnsi="宋体" w:cs="宋体"/>
                <w:color w:val="auto"/>
                <w:szCs w:val="24"/>
                <w:highlight w:val="none"/>
                <w:lang w:val="en-US" w:eastAsia="zh-CN"/>
              </w:rPr>
            </w:pPr>
            <w:r>
              <w:rPr>
                <w:rFonts w:hint="eastAsia" w:hAnsi="宋体" w:cs="宋体"/>
                <w:color w:val="auto"/>
                <w:szCs w:val="24"/>
                <w:highlight w:val="none"/>
                <w:lang w:val="en-US" w:eastAsia="zh-CN"/>
              </w:rPr>
              <w:t>招标人</w:t>
            </w:r>
          </w:p>
          <w:p>
            <w:pPr>
              <w:spacing w:line="400" w:lineRule="exact"/>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名称</w:t>
            </w:r>
          </w:p>
        </w:tc>
        <w:tc>
          <w:tcPr>
            <w:tcW w:w="1134" w:type="dxa"/>
            <w:noWrap w:val="0"/>
            <w:vAlign w:val="center"/>
          </w:tcPr>
          <w:p>
            <w:pPr>
              <w:spacing w:line="400" w:lineRule="exact"/>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项目名称</w:t>
            </w:r>
          </w:p>
        </w:tc>
        <w:tc>
          <w:tcPr>
            <w:tcW w:w="1276" w:type="dxa"/>
            <w:noWrap w:val="0"/>
            <w:vAlign w:val="center"/>
          </w:tcPr>
          <w:p>
            <w:pPr>
              <w:spacing w:line="400" w:lineRule="exact"/>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完成时间</w:t>
            </w:r>
          </w:p>
        </w:tc>
        <w:tc>
          <w:tcPr>
            <w:tcW w:w="1145" w:type="dxa"/>
            <w:noWrap w:val="0"/>
            <w:vAlign w:val="center"/>
          </w:tcPr>
          <w:p>
            <w:pPr>
              <w:spacing w:line="400" w:lineRule="exact"/>
              <w:rPr>
                <w:rFonts w:hint="eastAsia" w:ascii="宋体" w:hAnsi="宋体" w:eastAsia="宋体" w:cs="宋体"/>
                <w:color w:val="auto"/>
                <w:szCs w:val="24"/>
                <w:highlight w:val="none"/>
              </w:rPr>
            </w:pPr>
            <w:r>
              <w:rPr>
                <w:rFonts w:hint="eastAsia" w:ascii="宋体" w:hAnsi="宋体" w:eastAsia="宋体" w:cs="宋体"/>
                <w:color w:val="auto"/>
                <w:szCs w:val="24"/>
                <w:highlight w:val="none"/>
              </w:rPr>
              <w:t>合同金额</w:t>
            </w:r>
          </w:p>
        </w:tc>
        <w:tc>
          <w:tcPr>
            <w:tcW w:w="1426" w:type="dxa"/>
            <w:gridSpan w:val="3"/>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完成项目</w:t>
            </w:r>
          </w:p>
          <w:p>
            <w:pPr>
              <w:spacing w:line="400" w:lineRule="exact"/>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质量</w:t>
            </w:r>
          </w:p>
        </w:tc>
        <w:tc>
          <w:tcPr>
            <w:tcW w:w="1159" w:type="dxa"/>
            <w:tcBorders>
              <w:left w:val="single" w:color="auto" w:sz="4" w:space="0"/>
            </w:tcBorders>
            <w:noWrap w:val="0"/>
            <w:vAlign w:val="center"/>
          </w:tcPr>
          <w:p>
            <w:pPr>
              <w:spacing w:line="400" w:lineRule="exac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pPr>
              <w:spacing w:line="400" w:lineRule="exact"/>
              <w:jc w:val="center"/>
              <w:rPr>
                <w:rFonts w:hint="eastAsia" w:ascii="宋体" w:hAnsi="宋体" w:eastAsia="宋体" w:cs="宋体"/>
                <w:color w:val="auto"/>
                <w:szCs w:val="24"/>
                <w:highlight w:val="none"/>
              </w:rPr>
            </w:pPr>
          </w:p>
        </w:tc>
        <w:tc>
          <w:tcPr>
            <w:tcW w:w="1275" w:type="dxa"/>
            <w:noWrap w:val="0"/>
            <w:vAlign w:val="center"/>
          </w:tcPr>
          <w:p>
            <w:pPr>
              <w:spacing w:line="400" w:lineRule="exact"/>
              <w:jc w:val="center"/>
              <w:rPr>
                <w:rFonts w:hint="eastAsia" w:ascii="宋体" w:hAnsi="宋体" w:eastAsia="宋体" w:cs="宋体"/>
                <w:color w:val="auto"/>
                <w:szCs w:val="24"/>
                <w:highlight w:val="none"/>
              </w:rPr>
            </w:pPr>
          </w:p>
        </w:tc>
        <w:tc>
          <w:tcPr>
            <w:tcW w:w="1134" w:type="dxa"/>
            <w:noWrap w:val="0"/>
            <w:vAlign w:val="center"/>
          </w:tcPr>
          <w:p>
            <w:pPr>
              <w:spacing w:line="400" w:lineRule="exact"/>
              <w:jc w:val="center"/>
              <w:rPr>
                <w:rFonts w:hint="eastAsia" w:ascii="宋体" w:hAnsi="宋体" w:eastAsia="宋体" w:cs="宋体"/>
                <w:color w:val="auto"/>
                <w:szCs w:val="24"/>
                <w:highlight w:val="none"/>
              </w:rPr>
            </w:pPr>
          </w:p>
        </w:tc>
        <w:tc>
          <w:tcPr>
            <w:tcW w:w="1276" w:type="dxa"/>
            <w:noWrap w:val="0"/>
            <w:vAlign w:val="center"/>
          </w:tcPr>
          <w:p>
            <w:pPr>
              <w:spacing w:line="400" w:lineRule="exact"/>
              <w:jc w:val="center"/>
              <w:rPr>
                <w:rFonts w:hint="eastAsia" w:ascii="宋体" w:hAnsi="宋体" w:eastAsia="宋体" w:cs="宋体"/>
                <w:color w:val="auto"/>
                <w:szCs w:val="24"/>
                <w:highlight w:val="none"/>
              </w:rPr>
            </w:pPr>
          </w:p>
        </w:tc>
        <w:tc>
          <w:tcPr>
            <w:tcW w:w="1145" w:type="dxa"/>
            <w:noWrap w:val="0"/>
            <w:vAlign w:val="center"/>
          </w:tcPr>
          <w:p>
            <w:pPr>
              <w:spacing w:line="400" w:lineRule="exact"/>
              <w:jc w:val="center"/>
              <w:rPr>
                <w:rFonts w:hint="eastAsia" w:ascii="宋体" w:hAnsi="宋体" w:eastAsia="宋体" w:cs="宋体"/>
                <w:color w:val="auto"/>
                <w:szCs w:val="24"/>
                <w:highlight w:val="none"/>
              </w:rPr>
            </w:pPr>
          </w:p>
        </w:tc>
        <w:tc>
          <w:tcPr>
            <w:tcW w:w="1426" w:type="dxa"/>
            <w:gridSpan w:val="3"/>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59" w:type="dxa"/>
            <w:tcBorders>
              <w:lef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pPr>
              <w:spacing w:line="400" w:lineRule="exact"/>
              <w:jc w:val="center"/>
              <w:rPr>
                <w:rFonts w:hint="eastAsia" w:ascii="宋体" w:hAnsi="宋体" w:eastAsia="宋体" w:cs="宋体"/>
                <w:color w:val="auto"/>
                <w:szCs w:val="24"/>
                <w:highlight w:val="none"/>
              </w:rPr>
            </w:pPr>
          </w:p>
        </w:tc>
        <w:tc>
          <w:tcPr>
            <w:tcW w:w="1275" w:type="dxa"/>
            <w:noWrap w:val="0"/>
            <w:vAlign w:val="center"/>
          </w:tcPr>
          <w:p>
            <w:pPr>
              <w:spacing w:line="400" w:lineRule="exact"/>
              <w:jc w:val="center"/>
              <w:rPr>
                <w:rFonts w:hint="eastAsia" w:ascii="宋体" w:hAnsi="宋体" w:eastAsia="宋体" w:cs="宋体"/>
                <w:color w:val="auto"/>
                <w:szCs w:val="24"/>
                <w:highlight w:val="none"/>
              </w:rPr>
            </w:pPr>
          </w:p>
        </w:tc>
        <w:tc>
          <w:tcPr>
            <w:tcW w:w="1134" w:type="dxa"/>
            <w:noWrap w:val="0"/>
            <w:vAlign w:val="center"/>
          </w:tcPr>
          <w:p>
            <w:pPr>
              <w:spacing w:line="400" w:lineRule="exact"/>
              <w:jc w:val="center"/>
              <w:rPr>
                <w:rFonts w:hint="eastAsia" w:ascii="宋体" w:hAnsi="宋体" w:eastAsia="宋体" w:cs="宋体"/>
                <w:color w:val="auto"/>
                <w:szCs w:val="24"/>
                <w:highlight w:val="none"/>
              </w:rPr>
            </w:pPr>
          </w:p>
        </w:tc>
        <w:tc>
          <w:tcPr>
            <w:tcW w:w="1276" w:type="dxa"/>
            <w:noWrap w:val="0"/>
            <w:vAlign w:val="center"/>
          </w:tcPr>
          <w:p>
            <w:pPr>
              <w:spacing w:line="400" w:lineRule="exact"/>
              <w:jc w:val="center"/>
              <w:rPr>
                <w:rFonts w:hint="eastAsia" w:ascii="宋体" w:hAnsi="宋体" w:eastAsia="宋体" w:cs="宋体"/>
                <w:color w:val="auto"/>
                <w:szCs w:val="24"/>
                <w:highlight w:val="none"/>
              </w:rPr>
            </w:pPr>
          </w:p>
        </w:tc>
        <w:tc>
          <w:tcPr>
            <w:tcW w:w="1145" w:type="dxa"/>
            <w:noWrap w:val="0"/>
            <w:vAlign w:val="center"/>
          </w:tcPr>
          <w:p>
            <w:pPr>
              <w:spacing w:line="400" w:lineRule="exact"/>
              <w:jc w:val="center"/>
              <w:rPr>
                <w:rFonts w:hint="eastAsia" w:ascii="宋体" w:hAnsi="宋体" w:eastAsia="宋体" w:cs="宋体"/>
                <w:color w:val="auto"/>
                <w:szCs w:val="24"/>
                <w:highlight w:val="none"/>
              </w:rPr>
            </w:pPr>
          </w:p>
        </w:tc>
        <w:tc>
          <w:tcPr>
            <w:tcW w:w="1426" w:type="dxa"/>
            <w:gridSpan w:val="3"/>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59" w:type="dxa"/>
            <w:tcBorders>
              <w:lef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pPr>
              <w:spacing w:line="400" w:lineRule="exact"/>
              <w:jc w:val="center"/>
              <w:rPr>
                <w:rFonts w:hint="eastAsia" w:ascii="宋体" w:hAnsi="宋体" w:eastAsia="宋体" w:cs="宋体"/>
                <w:color w:val="auto"/>
                <w:szCs w:val="24"/>
                <w:highlight w:val="none"/>
              </w:rPr>
            </w:pPr>
          </w:p>
        </w:tc>
        <w:tc>
          <w:tcPr>
            <w:tcW w:w="1275" w:type="dxa"/>
            <w:noWrap w:val="0"/>
            <w:vAlign w:val="center"/>
          </w:tcPr>
          <w:p>
            <w:pPr>
              <w:spacing w:line="400" w:lineRule="exact"/>
              <w:jc w:val="center"/>
              <w:rPr>
                <w:rFonts w:hint="eastAsia" w:ascii="宋体" w:hAnsi="宋体" w:eastAsia="宋体" w:cs="宋体"/>
                <w:color w:val="auto"/>
                <w:szCs w:val="24"/>
                <w:highlight w:val="none"/>
              </w:rPr>
            </w:pPr>
          </w:p>
        </w:tc>
        <w:tc>
          <w:tcPr>
            <w:tcW w:w="1134" w:type="dxa"/>
            <w:noWrap w:val="0"/>
            <w:vAlign w:val="center"/>
          </w:tcPr>
          <w:p>
            <w:pPr>
              <w:spacing w:line="400" w:lineRule="exact"/>
              <w:jc w:val="center"/>
              <w:rPr>
                <w:rFonts w:hint="eastAsia" w:ascii="宋体" w:hAnsi="宋体" w:eastAsia="宋体" w:cs="宋体"/>
                <w:color w:val="auto"/>
                <w:szCs w:val="24"/>
                <w:highlight w:val="none"/>
              </w:rPr>
            </w:pPr>
          </w:p>
        </w:tc>
        <w:tc>
          <w:tcPr>
            <w:tcW w:w="1276" w:type="dxa"/>
            <w:noWrap w:val="0"/>
            <w:vAlign w:val="center"/>
          </w:tcPr>
          <w:p>
            <w:pPr>
              <w:spacing w:line="400" w:lineRule="exact"/>
              <w:jc w:val="center"/>
              <w:rPr>
                <w:rFonts w:hint="eastAsia" w:ascii="宋体" w:hAnsi="宋体" w:eastAsia="宋体" w:cs="宋体"/>
                <w:color w:val="auto"/>
                <w:szCs w:val="24"/>
                <w:highlight w:val="none"/>
              </w:rPr>
            </w:pPr>
          </w:p>
        </w:tc>
        <w:tc>
          <w:tcPr>
            <w:tcW w:w="1145" w:type="dxa"/>
            <w:noWrap w:val="0"/>
            <w:vAlign w:val="center"/>
          </w:tcPr>
          <w:p>
            <w:pPr>
              <w:spacing w:line="400" w:lineRule="exact"/>
              <w:jc w:val="center"/>
              <w:rPr>
                <w:rFonts w:hint="eastAsia" w:ascii="宋体" w:hAnsi="宋体" w:eastAsia="宋体" w:cs="宋体"/>
                <w:color w:val="auto"/>
                <w:szCs w:val="24"/>
                <w:highlight w:val="none"/>
              </w:rPr>
            </w:pPr>
          </w:p>
        </w:tc>
        <w:tc>
          <w:tcPr>
            <w:tcW w:w="1426" w:type="dxa"/>
            <w:gridSpan w:val="3"/>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59" w:type="dxa"/>
            <w:tcBorders>
              <w:lef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pPr>
              <w:spacing w:line="400" w:lineRule="exact"/>
              <w:jc w:val="center"/>
              <w:rPr>
                <w:rFonts w:hint="eastAsia" w:ascii="宋体" w:hAnsi="宋体" w:eastAsia="宋体" w:cs="宋体"/>
                <w:color w:val="auto"/>
                <w:szCs w:val="24"/>
                <w:highlight w:val="none"/>
              </w:rPr>
            </w:pPr>
          </w:p>
        </w:tc>
        <w:tc>
          <w:tcPr>
            <w:tcW w:w="1275" w:type="dxa"/>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34" w:type="dxa"/>
            <w:tcBorders>
              <w:lef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276" w:type="dxa"/>
            <w:noWrap w:val="0"/>
            <w:vAlign w:val="center"/>
          </w:tcPr>
          <w:p>
            <w:pPr>
              <w:spacing w:line="400" w:lineRule="exact"/>
              <w:jc w:val="center"/>
              <w:rPr>
                <w:rFonts w:hint="eastAsia" w:ascii="宋体" w:hAnsi="宋体" w:eastAsia="宋体" w:cs="宋体"/>
                <w:color w:val="auto"/>
                <w:szCs w:val="24"/>
                <w:highlight w:val="none"/>
              </w:rPr>
            </w:pPr>
          </w:p>
        </w:tc>
        <w:tc>
          <w:tcPr>
            <w:tcW w:w="1145" w:type="dxa"/>
            <w:noWrap w:val="0"/>
            <w:vAlign w:val="center"/>
          </w:tcPr>
          <w:p>
            <w:pPr>
              <w:spacing w:line="400" w:lineRule="exact"/>
              <w:jc w:val="center"/>
              <w:rPr>
                <w:rFonts w:hint="eastAsia" w:ascii="宋体" w:hAnsi="宋体" w:eastAsia="宋体" w:cs="宋体"/>
                <w:color w:val="auto"/>
                <w:szCs w:val="24"/>
                <w:highlight w:val="none"/>
              </w:rPr>
            </w:pPr>
          </w:p>
        </w:tc>
        <w:tc>
          <w:tcPr>
            <w:tcW w:w="1426" w:type="dxa"/>
            <w:gridSpan w:val="3"/>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59" w:type="dxa"/>
            <w:tcBorders>
              <w:lef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275"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34"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276"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56" w:type="dxa"/>
            <w:gridSpan w:val="2"/>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415" w:type="dxa"/>
            <w:gridSpan w:val="2"/>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59" w:type="dxa"/>
            <w:tcBorders>
              <w:lef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51" w:hRule="exact"/>
          <w:jc w:val="center"/>
        </w:trPr>
        <w:tc>
          <w:tcPr>
            <w:tcW w:w="916" w:type="dxa"/>
            <w:noWrap w:val="0"/>
            <w:vAlign w:val="center"/>
          </w:tcPr>
          <w:p>
            <w:pPr>
              <w:spacing w:line="400" w:lineRule="exact"/>
              <w:jc w:val="center"/>
              <w:rPr>
                <w:rFonts w:hint="eastAsia" w:ascii="宋体" w:hAnsi="宋体" w:eastAsia="宋体" w:cs="宋体"/>
                <w:color w:val="auto"/>
                <w:szCs w:val="24"/>
                <w:highlight w:val="none"/>
              </w:rPr>
            </w:pPr>
          </w:p>
        </w:tc>
        <w:tc>
          <w:tcPr>
            <w:tcW w:w="1275" w:type="dxa"/>
            <w:noWrap w:val="0"/>
            <w:vAlign w:val="center"/>
          </w:tcPr>
          <w:p>
            <w:pPr>
              <w:spacing w:line="400" w:lineRule="exact"/>
              <w:jc w:val="center"/>
              <w:rPr>
                <w:rFonts w:hint="eastAsia" w:ascii="宋体" w:hAnsi="宋体" w:eastAsia="宋体" w:cs="宋体"/>
                <w:color w:val="auto"/>
                <w:szCs w:val="24"/>
                <w:highlight w:val="none"/>
              </w:rPr>
            </w:pPr>
          </w:p>
        </w:tc>
        <w:tc>
          <w:tcPr>
            <w:tcW w:w="1134" w:type="dxa"/>
            <w:noWrap w:val="0"/>
            <w:vAlign w:val="center"/>
          </w:tcPr>
          <w:p>
            <w:pPr>
              <w:spacing w:line="400" w:lineRule="exact"/>
              <w:jc w:val="center"/>
              <w:rPr>
                <w:rFonts w:hint="eastAsia" w:ascii="宋体" w:hAnsi="宋体" w:eastAsia="宋体" w:cs="宋体"/>
                <w:color w:val="auto"/>
                <w:szCs w:val="24"/>
                <w:highlight w:val="none"/>
              </w:rPr>
            </w:pPr>
          </w:p>
        </w:tc>
        <w:tc>
          <w:tcPr>
            <w:tcW w:w="1276" w:type="dxa"/>
            <w:noWrap w:val="0"/>
            <w:vAlign w:val="center"/>
          </w:tcPr>
          <w:p>
            <w:pPr>
              <w:spacing w:line="400" w:lineRule="exact"/>
              <w:jc w:val="center"/>
              <w:rPr>
                <w:rFonts w:hint="eastAsia" w:ascii="宋体" w:hAnsi="宋体" w:eastAsia="宋体" w:cs="宋体"/>
                <w:color w:val="auto"/>
                <w:szCs w:val="24"/>
                <w:highlight w:val="none"/>
              </w:rPr>
            </w:pPr>
          </w:p>
        </w:tc>
        <w:tc>
          <w:tcPr>
            <w:tcW w:w="1156" w:type="dxa"/>
            <w:gridSpan w:val="2"/>
            <w:tcBorders>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406"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c>
          <w:tcPr>
            <w:tcW w:w="1168" w:type="dxa"/>
            <w:gridSpan w:val="2"/>
            <w:tcBorders>
              <w:left w:val="single" w:color="auto" w:sz="4" w:space="0"/>
            </w:tcBorders>
            <w:noWrap w:val="0"/>
            <w:vAlign w:val="center"/>
          </w:tcPr>
          <w:p>
            <w:pPr>
              <w:spacing w:line="400" w:lineRule="exact"/>
              <w:jc w:val="center"/>
              <w:rPr>
                <w:rFonts w:hint="eastAsia" w:ascii="宋体" w:hAnsi="宋体" w:eastAsia="宋体" w:cs="宋体"/>
                <w:color w:val="auto"/>
                <w:szCs w:val="24"/>
                <w:highlight w:val="none"/>
              </w:rPr>
            </w:pPr>
          </w:p>
        </w:tc>
      </w:tr>
    </w:tbl>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注：1.本表后附业绩证明资料加盖供应商公章，签订时间及金额以合同中的内容为准。</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2.供应商应如实列出以上情况，如有隐瞒，一经查实将导致其磋商响应文件被拒绝。</w:t>
      </w:r>
    </w:p>
    <w:p>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3.未按上述要求提供、填写的，评审时不予以考虑。</w:t>
      </w:r>
    </w:p>
    <w:p>
      <w:pPr>
        <w:spacing w:line="360" w:lineRule="auto"/>
        <w:rPr>
          <w:rFonts w:hint="eastAsia" w:ascii="宋体" w:hAnsi="宋体" w:eastAsia="宋体" w:cs="宋体"/>
          <w:b/>
          <w:color w:val="auto"/>
          <w:szCs w:val="24"/>
          <w:highlight w:val="none"/>
        </w:rPr>
      </w:pPr>
    </w:p>
    <w:p>
      <w:pPr>
        <w:spacing w:line="360" w:lineRule="auto"/>
        <w:rPr>
          <w:rFonts w:hint="eastAsia" w:ascii="宋体" w:hAnsi="宋体" w:eastAsia="宋体" w:cs="宋体"/>
          <w:b/>
          <w:color w:val="auto"/>
          <w:szCs w:val="24"/>
          <w:highlight w:val="none"/>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供应商名称（公章）  ：          </w:t>
      </w:r>
    </w:p>
    <w:p>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法定代表人</w:t>
      </w:r>
      <w:r>
        <w:rPr>
          <w:rFonts w:hint="eastAsia" w:hAnsi="宋体" w:cs="宋体"/>
          <w:color w:val="auto"/>
          <w:highlight w:val="none"/>
          <w:lang w:val="en-US" w:eastAsia="zh-CN"/>
        </w:rPr>
        <w:t>或</w:t>
      </w:r>
      <w:r>
        <w:rPr>
          <w:rFonts w:hint="eastAsia" w:ascii="宋体" w:hAnsi="宋体" w:eastAsia="宋体" w:cs="宋体"/>
          <w:color w:val="auto"/>
          <w:highlight w:val="none"/>
        </w:rPr>
        <w:t>被授权人</w:t>
      </w:r>
      <w:r>
        <w:rPr>
          <w:rFonts w:hint="eastAsia" w:ascii="宋体" w:hAnsi="宋体" w:eastAsia="宋体" w:cs="宋体"/>
          <w:color w:val="auto"/>
          <w:spacing w:val="4"/>
          <w:szCs w:val="24"/>
          <w:highlight w:val="none"/>
        </w:rPr>
        <w:t>（签字或盖章）</w:t>
      </w:r>
      <w:r>
        <w:rPr>
          <w:rFonts w:hint="eastAsia" w:ascii="宋体" w:hAnsi="宋体" w:eastAsia="宋体" w:cs="宋体"/>
          <w:color w:val="auto"/>
          <w:highlight w:val="none"/>
        </w:rPr>
        <w:t>：</w:t>
      </w: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    期：</w:t>
      </w:r>
    </w:p>
    <w:p>
      <w:pPr>
        <w:jc w:val="center"/>
        <w:rPr>
          <w:rFonts w:hint="eastAsia" w:ascii="宋体" w:hAnsi="宋体" w:eastAsia="宋体" w:cs="宋体"/>
          <w:b/>
          <w:bCs/>
          <w:color w:val="auto"/>
          <w:highlight w:val="none"/>
        </w:rPr>
        <w:sectPr>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宋体"/>
          <w:color w:val="auto"/>
          <w:highlight w:val="none"/>
        </w:rPr>
        <w:br w:type="page"/>
      </w:r>
      <w:bookmarkEnd w:id="171"/>
    </w:p>
    <w:p>
      <w:pPr>
        <w:spacing w:line="360" w:lineRule="auto"/>
        <w:jc w:val="center"/>
        <w:rPr>
          <w:rFonts w:hint="eastAsia" w:ascii="宋体" w:hAnsi="宋体" w:eastAsia="宋体" w:cs="宋体"/>
          <w:b/>
          <w:bCs/>
          <w:color w:val="auto"/>
          <w:sz w:val="32"/>
          <w:szCs w:val="32"/>
          <w:highlight w:val="none"/>
        </w:rPr>
      </w:pPr>
      <w:bookmarkStart w:id="178" w:name="_Toc16104"/>
      <w:bookmarkStart w:id="179" w:name="_Toc9888"/>
      <w:bookmarkStart w:id="180" w:name="_Toc15169"/>
      <w:bookmarkStart w:id="181" w:name="_Toc18207"/>
      <w:bookmarkStart w:id="182" w:name="_Toc9172_WPSOffice_Level1"/>
      <w:bookmarkStart w:id="183" w:name="_Toc1059"/>
      <w:bookmarkStart w:id="184" w:name="_Toc14926_WPSOffice_Level1"/>
      <w:bookmarkStart w:id="185" w:name="_Toc10200"/>
      <w:r>
        <w:rPr>
          <w:rFonts w:hint="eastAsia" w:hAnsi="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rPr>
        <w:t>、技术部分</w:t>
      </w:r>
      <w:bookmarkEnd w:id="178"/>
      <w:bookmarkEnd w:id="179"/>
      <w:bookmarkEnd w:id="180"/>
      <w:bookmarkEnd w:id="181"/>
      <w:bookmarkEnd w:id="182"/>
      <w:bookmarkEnd w:id="183"/>
      <w:bookmarkEnd w:id="184"/>
      <w:bookmarkEnd w:id="185"/>
    </w:p>
    <w:p>
      <w:pPr>
        <w:spacing w:line="360" w:lineRule="auto"/>
        <w:jc w:val="center"/>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（格式自拟）</w:t>
      </w:r>
    </w:p>
    <w:p>
      <w:pPr>
        <w:kinsoku w:val="0"/>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1.各供应商按照磋商文件“第四章 磋商内容及技术要求”及磋商文件“第五章 评审方法”中的评审细则表编制对应的技术要求。</w:t>
      </w:r>
    </w:p>
    <w:p>
      <w:pPr>
        <w:kinsoku w:val="0"/>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2.供应商需要说明的其他问题。</w:t>
      </w:r>
    </w:p>
    <w:p>
      <w:pPr>
        <w:tabs>
          <w:tab w:val="left" w:pos="709"/>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bCs/>
          <w:color w:val="auto"/>
          <w:kern w:val="2"/>
          <w:szCs w:val="24"/>
          <w:highlight w:val="none"/>
        </w:rPr>
        <w:t>3.完成附件</w:t>
      </w:r>
      <w:r>
        <w:rPr>
          <w:rFonts w:hint="eastAsia" w:hAnsi="宋体" w:cs="宋体"/>
          <w:bCs/>
          <w:color w:val="auto"/>
          <w:kern w:val="2"/>
          <w:szCs w:val="24"/>
          <w:highlight w:val="none"/>
          <w:lang w:val="en-US" w:eastAsia="zh-CN"/>
        </w:rPr>
        <w:t>4</w:t>
      </w:r>
      <w:r>
        <w:rPr>
          <w:rFonts w:hint="eastAsia" w:ascii="宋体" w:hAnsi="宋体" w:eastAsia="宋体" w:cs="宋体"/>
          <w:bCs/>
          <w:color w:val="auto"/>
          <w:kern w:val="2"/>
          <w:szCs w:val="24"/>
          <w:highlight w:val="none"/>
        </w:rPr>
        <w:t>、附件</w:t>
      </w:r>
      <w:r>
        <w:rPr>
          <w:rFonts w:hint="eastAsia" w:hAnsi="宋体" w:cs="宋体"/>
          <w:bCs/>
          <w:color w:val="auto"/>
          <w:kern w:val="2"/>
          <w:szCs w:val="24"/>
          <w:highlight w:val="none"/>
          <w:lang w:val="en-US" w:eastAsia="zh-CN"/>
        </w:rPr>
        <w:t>5</w:t>
      </w:r>
      <w:r>
        <w:rPr>
          <w:rFonts w:hint="eastAsia" w:ascii="宋体" w:hAnsi="宋体" w:eastAsia="宋体" w:cs="宋体"/>
          <w:bCs/>
          <w:color w:val="auto"/>
          <w:kern w:val="2"/>
          <w:szCs w:val="24"/>
          <w:highlight w:val="none"/>
        </w:rPr>
        <w:t>、附件</w:t>
      </w:r>
      <w:r>
        <w:rPr>
          <w:rFonts w:hint="eastAsia" w:hAnsi="宋体" w:cs="宋体"/>
          <w:bCs/>
          <w:color w:val="auto"/>
          <w:kern w:val="2"/>
          <w:szCs w:val="24"/>
          <w:highlight w:val="none"/>
          <w:lang w:val="en-US" w:eastAsia="zh-CN"/>
        </w:rPr>
        <w:t>6</w:t>
      </w:r>
      <w:r>
        <w:rPr>
          <w:rFonts w:hint="eastAsia" w:ascii="宋体" w:hAnsi="宋体" w:eastAsia="宋体" w:cs="宋体"/>
          <w:bCs/>
          <w:color w:val="auto"/>
          <w:kern w:val="2"/>
          <w:szCs w:val="24"/>
          <w:highlight w:val="none"/>
        </w:rPr>
        <w:t>。</w:t>
      </w:r>
    </w:p>
    <w:p>
      <w:pPr>
        <w:spacing w:line="360" w:lineRule="auto"/>
        <w:ind w:firstLine="480" w:firstLineChars="200"/>
        <w:rPr>
          <w:rFonts w:hint="eastAsia" w:ascii="宋体" w:hAnsi="宋体" w:eastAsia="宋体" w:cs="宋体"/>
          <w:color w:val="auto"/>
          <w:szCs w:val="24"/>
          <w:highlight w:val="none"/>
        </w:rPr>
      </w:pPr>
    </w:p>
    <w:p>
      <w:pPr>
        <w:spacing w:line="360" w:lineRule="auto"/>
        <w:ind w:firstLine="480" w:firstLineChars="200"/>
        <w:rPr>
          <w:rFonts w:hint="eastAsia" w:ascii="宋体" w:hAnsi="宋体" w:eastAsia="宋体" w:cs="宋体"/>
          <w:color w:val="auto"/>
          <w:szCs w:val="24"/>
          <w:highlight w:val="none"/>
        </w:rPr>
      </w:pPr>
    </w:p>
    <w:p>
      <w:pPr>
        <w:spacing w:line="360" w:lineRule="auto"/>
        <w:jc w:val="left"/>
        <w:rPr>
          <w:rFonts w:hint="eastAsia" w:ascii="宋体" w:hAnsi="宋体" w:eastAsia="宋体" w:cs="宋体"/>
          <w:b/>
          <w:color w:val="auto"/>
          <w:sz w:val="30"/>
          <w:szCs w:val="30"/>
          <w:highlight w:val="none"/>
        </w:rPr>
      </w:pPr>
      <w:r>
        <w:rPr>
          <w:rFonts w:hint="eastAsia" w:ascii="宋体" w:hAnsi="宋体" w:eastAsia="宋体" w:cs="宋体"/>
          <w:color w:val="auto"/>
          <w:szCs w:val="24"/>
          <w:highlight w:val="none"/>
        </w:rPr>
        <w:t xml:space="preserve">   </w:t>
      </w:r>
      <w:bookmarkStart w:id="186" w:name="_Toc403077656"/>
      <w:bookmarkStart w:id="187" w:name="_Toc363474033"/>
      <w:r>
        <w:rPr>
          <w:rFonts w:hint="eastAsia" w:ascii="宋体" w:hAnsi="宋体" w:eastAsia="宋体" w:cs="宋体"/>
          <w:b/>
          <w:bCs/>
          <w:color w:val="auto"/>
          <w:kern w:val="2"/>
          <w:sz w:val="32"/>
          <w:szCs w:val="32"/>
          <w:highlight w:val="none"/>
        </w:rPr>
        <w:br w:type="page"/>
      </w:r>
      <w:r>
        <w:rPr>
          <w:rFonts w:hint="eastAsia" w:ascii="宋体" w:hAnsi="宋体" w:eastAsia="宋体" w:cs="宋体"/>
          <w:b/>
          <w:bCs/>
          <w:color w:val="auto"/>
          <w:sz w:val="28"/>
          <w:szCs w:val="28"/>
          <w:highlight w:val="none"/>
        </w:rPr>
        <w:t>附件</w:t>
      </w:r>
      <w:r>
        <w:rPr>
          <w:rFonts w:hint="eastAsia" w:hAnsi="宋体" w:cs="宋体"/>
          <w:b/>
          <w:bCs/>
          <w:color w:val="auto"/>
          <w:sz w:val="28"/>
          <w:szCs w:val="28"/>
          <w:highlight w:val="none"/>
          <w:lang w:val="en-US" w:eastAsia="zh-CN"/>
        </w:rPr>
        <w:t>4</w:t>
      </w:r>
      <w:r>
        <w:rPr>
          <w:rFonts w:hint="eastAsia" w:ascii="宋体" w:hAnsi="宋体" w:eastAsia="宋体" w:cs="宋体"/>
          <w:b/>
          <w:bCs/>
          <w:color w:val="auto"/>
          <w:sz w:val="28"/>
          <w:szCs w:val="28"/>
          <w:highlight w:val="none"/>
        </w:rPr>
        <w:t>：</w:t>
      </w:r>
    </w:p>
    <w:p>
      <w:pPr>
        <w:spacing w:line="360" w:lineRule="auto"/>
        <w:jc w:val="center"/>
        <w:rPr>
          <w:rFonts w:hint="eastAsia" w:ascii="宋体" w:hAnsi="宋体" w:eastAsia="宋体" w:cs="宋体"/>
          <w:b/>
          <w:bCs/>
          <w:color w:val="auto"/>
          <w:sz w:val="30"/>
          <w:szCs w:val="30"/>
          <w:highlight w:val="none"/>
        </w:rPr>
      </w:pPr>
      <w:bookmarkStart w:id="188" w:name="_Toc10827_WPSOffice_Level1"/>
      <w:bookmarkStart w:id="189" w:name="_Toc22246_WPSOffice_Level1"/>
      <w:r>
        <w:rPr>
          <w:rFonts w:hint="eastAsia" w:ascii="宋体" w:hAnsi="宋体" w:eastAsia="宋体" w:cs="宋体"/>
          <w:b/>
          <w:bCs/>
          <w:color w:val="auto"/>
          <w:sz w:val="30"/>
          <w:szCs w:val="30"/>
          <w:highlight w:val="none"/>
        </w:rPr>
        <w:t>技术要求响应表</w:t>
      </w:r>
      <w:bookmarkEnd w:id="188"/>
      <w:bookmarkEnd w:id="189"/>
    </w:p>
    <w:p>
      <w:pPr>
        <w:spacing w:line="360" w:lineRule="auto"/>
        <w:jc w:val="left"/>
        <w:rPr>
          <w:rFonts w:hint="eastAsia" w:ascii="宋体" w:hAnsi="宋体" w:eastAsia="宋体" w:cs="宋体"/>
          <w:b/>
          <w:color w:val="auto"/>
          <w:highlight w:val="none"/>
        </w:rPr>
      </w:pPr>
      <w:r>
        <w:rPr>
          <w:rFonts w:hint="eastAsia" w:ascii="宋体" w:hAnsi="宋体" w:eastAsia="宋体" w:cs="宋体"/>
          <w:b/>
          <w:color w:val="auto"/>
          <w:highlight w:val="none"/>
        </w:rPr>
        <w:t xml:space="preserve">  项目名称：</w:t>
      </w:r>
    </w:p>
    <w:p>
      <w:pPr>
        <w:pStyle w:val="10"/>
        <w:spacing w:line="360" w:lineRule="auto"/>
        <w:ind w:firstLine="241" w:firstLineChars="100"/>
        <w:rPr>
          <w:rFonts w:hint="eastAsia" w:ascii="宋体" w:hAnsi="宋体" w:eastAsia="宋体" w:cs="宋体"/>
          <w:color w:val="auto"/>
          <w:highlight w:val="none"/>
        </w:rPr>
      </w:pPr>
      <w:r>
        <w:rPr>
          <w:rFonts w:hint="eastAsia" w:ascii="宋体" w:hAnsi="宋体" w:eastAsia="宋体" w:cs="宋体"/>
          <w:b/>
          <w:color w:val="auto"/>
          <w:kern w:val="0"/>
          <w:sz w:val="24"/>
          <w:szCs w:val="22"/>
          <w:highlight w:val="none"/>
        </w:rPr>
        <w:t>项目编号：</w:t>
      </w:r>
      <w:r>
        <w:rPr>
          <w:rFonts w:hint="eastAsia" w:ascii="宋体" w:hAnsi="宋体" w:eastAsia="宋体" w:cs="宋体"/>
          <w:b/>
          <w:color w:val="auto"/>
          <w:szCs w:val="24"/>
          <w:highlight w:val="none"/>
        </w:rPr>
        <w:t xml:space="preserve">     </w:t>
      </w:r>
      <w:r>
        <w:rPr>
          <w:rFonts w:hint="eastAsia" w:ascii="宋体" w:hAnsi="宋体" w:eastAsia="宋体" w:cs="宋体"/>
          <w:color w:val="auto"/>
          <w:szCs w:val="24"/>
          <w:highlight w:val="none"/>
        </w:rPr>
        <w:t xml:space="preserve">                                    </w:t>
      </w:r>
    </w:p>
    <w:tbl>
      <w:tblPr>
        <w:tblStyle w:val="20"/>
        <w:tblW w:w="0" w:type="auto"/>
        <w:jc w:val="center"/>
        <w:tblLayout w:type="fixed"/>
        <w:tblCellMar>
          <w:top w:w="0" w:type="dxa"/>
          <w:left w:w="28" w:type="dxa"/>
          <w:bottom w:w="0" w:type="dxa"/>
          <w:right w:w="28" w:type="dxa"/>
        </w:tblCellMar>
      </w:tblPr>
      <w:tblGrid>
        <w:gridCol w:w="737"/>
        <w:gridCol w:w="1276"/>
        <w:gridCol w:w="2268"/>
        <w:gridCol w:w="2439"/>
        <w:gridCol w:w="1263"/>
        <w:gridCol w:w="861"/>
      </w:tblGrid>
      <w:tr>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szCs w:val="24"/>
                <w:highlight w:val="none"/>
              </w:rPr>
              <w:t>序号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szCs w:val="24"/>
                <w:highlight w:val="none"/>
              </w:rPr>
              <w:t>名称</w:t>
            </w:r>
          </w:p>
        </w:tc>
        <w:tc>
          <w:tcPr>
            <w:tcW w:w="2268"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szCs w:val="24"/>
                <w:highlight w:val="none"/>
              </w:rPr>
              <w:t>磋商要求</w:t>
            </w:r>
          </w:p>
        </w:tc>
        <w:tc>
          <w:tcPr>
            <w:tcW w:w="2439"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szCs w:val="24"/>
                <w:highlight w:val="none"/>
              </w:rPr>
              <w:t>磋商要求响应</w:t>
            </w:r>
          </w:p>
        </w:tc>
        <w:tc>
          <w:tcPr>
            <w:tcW w:w="1263"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szCs w:val="24"/>
                <w:highlight w:val="none"/>
              </w:rPr>
              <w:t>偏离说明</w:t>
            </w:r>
          </w:p>
        </w:tc>
        <w:tc>
          <w:tcPr>
            <w:tcW w:w="861"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szCs w:val="24"/>
                <w:highlight w:val="none"/>
              </w:rPr>
              <w:t>备注</w:t>
            </w:r>
          </w:p>
        </w:tc>
      </w:tr>
      <w:tr>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r>
      <w:tr>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r>
      <w:tr>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r>
      <w:tr>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r>
      <w:tr>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r>
      <w:tr>
        <w:tblPrEx>
          <w:tblCellMar>
            <w:top w:w="0" w:type="dxa"/>
            <w:left w:w="28" w:type="dxa"/>
            <w:bottom w:w="0" w:type="dxa"/>
            <w:right w:w="28" w:type="dxa"/>
          </w:tblCellMar>
        </w:tblPrEx>
        <w:trPr>
          <w:trHeight w:val="851" w:hRule="exact"/>
          <w:jc w:val="center"/>
        </w:trPr>
        <w:tc>
          <w:tcPr>
            <w:tcW w:w="73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76"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268"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2439"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1263"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c>
          <w:tcPr>
            <w:tcW w:w="861"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宋体" w:hAnsi="宋体" w:eastAsia="宋体" w:cs="宋体"/>
                <w:color w:val="auto"/>
                <w:kern w:val="2"/>
                <w:sz w:val="21"/>
                <w:szCs w:val="21"/>
                <w:highlight w:val="none"/>
              </w:rPr>
            </w:pPr>
          </w:p>
        </w:tc>
      </w:tr>
    </w:tbl>
    <w:p>
      <w:pPr>
        <w:widowControl/>
        <w:spacing w:line="360" w:lineRule="auto"/>
        <w:ind w:left="723" w:hanging="723" w:hangingChars="300"/>
        <w:jc w:val="left"/>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注:1.本表须对第四章“磋商内容及技术要求”进行响应。</w:t>
      </w:r>
    </w:p>
    <w:p>
      <w:pPr>
        <w:widowControl/>
        <w:spacing w:line="360" w:lineRule="auto"/>
        <w:ind w:left="723" w:hanging="723" w:hangingChars="300"/>
        <w:jc w:val="left"/>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2.本表须逐如实填写，不得空缺；如空缺将视为没有实质性响应参数文件。</w:t>
      </w:r>
    </w:p>
    <w:p>
      <w:pPr>
        <w:widowControl/>
        <w:spacing w:line="360" w:lineRule="auto"/>
        <w:ind w:left="723" w:hanging="723" w:hangingChars="300"/>
        <w:jc w:val="left"/>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偏离说明填写：优于、满足或低于。</w:t>
      </w:r>
    </w:p>
    <w:p>
      <w:pPr>
        <w:widowControl/>
        <w:spacing w:line="360" w:lineRule="auto"/>
        <w:jc w:val="left"/>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3.供应商必须据实填写，不得虚假响应，否则将取消其磋商或成交资格，并按有关规定进行处罚。</w:t>
      </w:r>
    </w:p>
    <w:p>
      <w:pPr>
        <w:widowControl/>
        <w:spacing w:line="360" w:lineRule="auto"/>
        <w:jc w:val="left"/>
        <w:rPr>
          <w:rFonts w:hint="eastAsia" w:ascii="宋体" w:hAnsi="宋体" w:eastAsia="宋体" w:cs="宋体"/>
          <w:b/>
          <w:color w:val="auto"/>
          <w:szCs w:val="24"/>
          <w:highlight w:val="none"/>
        </w:rPr>
      </w:pPr>
    </w:p>
    <w:p>
      <w:pPr>
        <w:spacing w:line="360" w:lineRule="auto"/>
        <w:rPr>
          <w:rFonts w:hint="eastAsia" w:ascii="宋体" w:hAnsi="宋体" w:eastAsia="宋体" w:cs="宋体"/>
          <w:color w:val="auto"/>
          <w:kern w:val="2"/>
          <w:sz w:val="21"/>
          <w:szCs w:val="21"/>
          <w:highlight w:val="non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供应商名称（公章）  ：          </w:t>
      </w:r>
    </w:p>
    <w:p>
      <w:pPr>
        <w:spacing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法定代表人</w:t>
      </w:r>
      <w:r>
        <w:rPr>
          <w:rFonts w:hint="eastAsia" w:hAnsi="宋体" w:cs="宋体"/>
          <w:color w:val="auto"/>
          <w:highlight w:val="none"/>
          <w:lang w:val="en-US" w:eastAsia="zh-CN"/>
        </w:rPr>
        <w:t>或</w:t>
      </w:r>
      <w:r>
        <w:rPr>
          <w:rFonts w:hint="eastAsia" w:ascii="宋体" w:hAnsi="宋体" w:eastAsia="宋体" w:cs="宋体"/>
          <w:color w:val="auto"/>
          <w:highlight w:val="none"/>
        </w:rPr>
        <w:t>被授权人</w:t>
      </w:r>
      <w:r>
        <w:rPr>
          <w:rFonts w:hint="eastAsia" w:ascii="宋体" w:hAnsi="宋体" w:eastAsia="宋体" w:cs="宋体"/>
          <w:color w:val="auto"/>
          <w:spacing w:val="4"/>
          <w:szCs w:val="24"/>
          <w:highlight w:val="none"/>
        </w:rPr>
        <w:t>（签字或盖章）</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Cs w:val="24"/>
          <w:highlight w:val="none"/>
        </w:rPr>
        <w:t>日    期：</w:t>
      </w:r>
    </w:p>
    <w:p>
      <w:pPr>
        <w:spacing w:line="360" w:lineRule="auto"/>
        <w:ind w:firstLine="643" w:firstLineChars="200"/>
        <w:rPr>
          <w:rFonts w:hint="eastAsia" w:ascii="宋体" w:hAnsi="宋体" w:eastAsia="宋体" w:cs="宋体"/>
          <w:b/>
          <w:bCs/>
          <w:color w:val="auto"/>
          <w:kern w:val="2"/>
          <w:sz w:val="32"/>
          <w:szCs w:val="32"/>
          <w:highlight w:val="none"/>
        </w:rPr>
        <w:sectPr>
          <w:pgSz w:w="11906" w:h="16838"/>
          <w:pgMar w:top="1440" w:right="1800" w:bottom="1440" w:left="1800" w:header="851" w:footer="992" w:gutter="0"/>
          <w:pgNumType w:fmt="decimal"/>
          <w:cols w:space="720" w:num="1"/>
          <w:docGrid w:type="lines" w:linePitch="312" w:charSpace="0"/>
        </w:sectPr>
      </w:pPr>
    </w:p>
    <w:p>
      <w:pPr>
        <w:spacing w:line="360" w:lineRule="auto"/>
        <w:jc w:val="left"/>
        <w:rPr>
          <w:rFonts w:hint="eastAsia" w:ascii="宋体" w:hAnsi="宋体" w:eastAsia="宋体" w:cs="宋体"/>
          <w:b/>
          <w:bCs/>
          <w:color w:val="auto"/>
          <w:sz w:val="28"/>
          <w:szCs w:val="28"/>
          <w:highlight w:val="none"/>
        </w:rPr>
      </w:pPr>
      <w:bookmarkStart w:id="190" w:name="_Toc15638_WPSOffice_Level1"/>
      <w:bookmarkStart w:id="191" w:name="_Toc18588_WPSOffice_Level1"/>
      <w:r>
        <w:rPr>
          <w:rFonts w:hint="eastAsia" w:ascii="宋体" w:hAnsi="宋体" w:eastAsia="宋体" w:cs="宋体"/>
          <w:b/>
          <w:bCs/>
          <w:color w:val="auto"/>
          <w:sz w:val="28"/>
          <w:szCs w:val="28"/>
          <w:highlight w:val="none"/>
        </w:rPr>
        <w:t>附件</w:t>
      </w:r>
      <w:r>
        <w:rPr>
          <w:rFonts w:hint="eastAsia" w:hAnsi="宋体" w:cs="宋体"/>
          <w:b/>
          <w:bCs/>
          <w:color w:val="auto"/>
          <w:sz w:val="28"/>
          <w:szCs w:val="28"/>
          <w:highlight w:val="none"/>
          <w:lang w:val="en-US" w:eastAsia="zh-CN"/>
        </w:rPr>
        <w:t>5</w:t>
      </w:r>
      <w:r>
        <w:rPr>
          <w:rFonts w:hint="eastAsia" w:ascii="宋体" w:hAnsi="宋体" w:eastAsia="宋体" w:cs="宋体"/>
          <w:b/>
          <w:bCs/>
          <w:color w:val="auto"/>
          <w:sz w:val="28"/>
          <w:szCs w:val="28"/>
          <w:highlight w:val="none"/>
        </w:rPr>
        <w:t>：</w:t>
      </w:r>
      <w:bookmarkEnd w:id="190"/>
      <w:bookmarkEnd w:id="191"/>
    </w:p>
    <w:p>
      <w:pPr>
        <w:pStyle w:val="37"/>
        <w:spacing w:line="360" w:lineRule="auto"/>
        <w:ind w:firstLine="0" w:firstLineChars="0"/>
        <w:jc w:val="center"/>
        <w:outlineLvl w:val="6"/>
        <w:rPr>
          <w:rFonts w:hint="eastAsia" w:ascii="宋体" w:hAnsi="宋体" w:eastAsia="宋体" w:cs="宋体"/>
          <w:color w:val="auto"/>
          <w:sz w:val="32"/>
          <w:szCs w:val="32"/>
          <w:highlight w:val="none"/>
        </w:rPr>
      </w:pPr>
      <w:bookmarkStart w:id="192" w:name="_Toc7860"/>
      <w:bookmarkStart w:id="193" w:name="_Toc1330"/>
      <w:bookmarkStart w:id="194" w:name="_Toc1530"/>
      <w:bookmarkStart w:id="195" w:name="_Toc8324"/>
      <w:bookmarkStart w:id="196" w:name="_Toc13771"/>
      <w:bookmarkStart w:id="197" w:name="_Toc7114"/>
      <w:bookmarkStart w:id="198" w:name="_Toc8270"/>
      <w:bookmarkStart w:id="199" w:name="_Toc24116"/>
      <w:bookmarkStart w:id="200" w:name="_Toc32406"/>
      <w:bookmarkStart w:id="201" w:name="_Toc17717"/>
      <w:r>
        <w:rPr>
          <w:rFonts w:hint="eastAsia" w:ascii="宋体" w:hAnsi="宋体" w:eastAsia="宋体" w:cs="宋体"/>
          <w:color w:val="auto"/>
          <w:sz w:val="32"/>
          <w:szCs w:val="32"/>
          <w:highlight w:val="none"/>
        </w:rPr>
        <w:t>拟投入人员汇总表</w:t>
      </w:r>
      <w:bookmarkEnd w:id="192"/>
      <w:bookmarkEnd w:id="193"/>
      <w:bookmarkEnd w:id="194"/>
      <w:bookmarkEnd w:id="195"/>
      <w:bookmarkEnd w:id="196"/>
      <w:bookmarkEnd w:id="197"/>
      <w:bookmarkEnd w:id="198"/>
      <w:bookmarkEnd w:id="199"/>
      <w:bookmarkEnd w:id="200"/>
      <w:bookmarkEnd w:id="201"/>
    </w:p>
    <w:p>
      <w:pPr>
        <w:spacing w:line="360" w:lineRule="auto"/>
        <w:jc w:val="left"/>
        <w:rPr>
          <w:rFonts w:hint="eastAsia" w:ascii="宋体" w:hAnsi="宋体" w:eastAsia="宋体" w:cs="宋体"/>
          <w:b/>
          <w:color w:val="auto"/>
          <w:highlight w:val="none"/>
        </w:rPr>
      </w:pPr>
      <w:r>
        <w:rPr>
          <w:rFonts w:hint="eastAsia" w:ascii="宋体" w:hAnsi="宋体" w:eastAsia="宋体" w:cs="宋体"/>
          <w:b/>
          <w:color w:val="auto"/>
          <w:highlight w:val="none"/>
        </w:rPr>
        <w:t>项目名称：</w:t>
      </w:r>
    </w:p>
    <w:p>
      <w:pPr>
        <w:rPr>
          <w:rFonts w:hint="eastAsia" w:ascii="宋体" w:hAnsi="宋体" w:eastAsia="宋体" w:cs="宋体"/>
          <w:color w:val="auto"/>
          <w:highlight w:val="none"/>
        </w:rPr>
      </w:pPr>
      <w:r>
        <w:rPr>
          <w:rFonts w:hint="eastAsia" w:ascii="宋体" w:hAnsi="宋体" w:eastAsia="宋体" w:cs="宋体"/>
          <w:b/>
          <w:color w:val="auto"/>
          <w:kern w:val="0"/>
          <w:sz w:val="24"/>
          <w:szCs w:val="22"/>
          <w:highlight w:val="none"/>
        </w:rPr>
        <w:t>项目编号：</w:t>
      </w:r>
    </w:p>
    <w:tbl>
      <w:tblPr>
        <w:tblStyle w:val="20"/>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6"/>
        <w:gridCol w:w="1424"/>
        <w:gridCol w:w="1223"/>
        <w:gridCol w:w="992"/>
        <w:gridCol w:w="946"/>
        <w:gridCol w:w="1108"/>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746" w:type="dxa"/>
            <w:noWrap w:val="0"/>
            <w:tcMar>
              <w:top w:w="15" w:type="dxa"/>
              <w:left w:w="15" w:type="dxa"/>
              <w:bottom w:w="0" w:type="dxa"/>
              <w:right w:w="15" w:type="dxa"/>
            </w:tcMar>
            <w:vAlign w:val="center"/>
          </w:tcPr>
          <w:p>
            <w:pPr>
              <w:pStyle w:val="38"/>
              <w:spacing w:line="360"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424" w:type="dxa"/>
            <w:noWrap w:val="0"/>
            <w:tcMar>
              <w:top w:w="15" w:type="dxa"/>
              <w:left w:w="15" w:type="dxa"/>
              <w:bottom w:w="0" w:type="dxa"/>
              <w:right w:w="15" w:type="dxa"/>
            </w:tcMar>
            <w:vAlign w:val="center"/>
          </w:tcPr>
          <w:p>
            <w:pPr>
              <w:pStyle w:val="38"/>
              <w:spacing w:line="360"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姓  名</w:t>
            </w:r>
          </w:p>
        </w:tc>
        <w:tc>
          <w:tcPr>
            <w:tcW w:w="1223" w:type="dxa"/>
            <w:noWrap w:val="0"/>
            <w:tcMar>
              <w:top w:w="15" w:type="dxa"/>
              <w:left w:w="15" w:type="dxa"/>
              <w:bottom w:w="0" w:type="dxa"/>
              <w:right w:w="15" w:type="dxa"/>
            </w:tcMar>
            <w:vAlign w:val="center"/>
          </w:tcPr>
          <w:p>
            <w:pPr>
              <w:pStyle w:val="38"/>
              <w:spacing w:line="360"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性别</w:t>
            </w:r>
          </w:p>
        </w:tc>
        <w:tc>
          <w:tcPr>
            <w:tcW w:w="992" w:type="dxa"/>
            <w:noWrap w:val="0"/>
            <w:tcMar>
              <w:top w:w="15" w:type="dxa"/>
              <w:left w:w="15" w:type="dxa"/>
              <w:bottom w:w="0" w:type="dxa"/>
              <w:right w:w="15" w:type="dxa"/>
            </w:tcMar>
            <w:vAlign w:val="center"/>
          </w:tcPr>
          <w:p>
            <w:pPr>
              <w:pStyle w:val="38"/>
              <w:spacing w:line="360"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年龄</w:t>
            </w:r>
          </w:p>
        </w:tc>
        <w:tc>
          <w:tcPr>
            <w:tcW w:w="946" w:type="dxa"/>
            <w:noWrap w:val="0"/>
            <w:tcMar>
              <w:top w:w="15" w:type="dxa"/>
              <w:left w:w="15" w:type="dxa"/>
              <w:bottom w:w="0" w:type="dxa"/>
              <w:right w:w="15" w:type="dxa"/>
            </w:tcMar>
            <w:vAlign w:val="center"/>
          </w:tcPr>
          <w:p>
            <w:pPr>
              <w:pStyle w:val="38"/>
              <w:spacing w:line="360" w:lineRule="auto"/>
              <w:ind w:left="0" w:leftChars="0"/>
              <w:rPr>
                <w:rFonts w:hint="eastAsia" w:hAnsi="宋体" w:cs="宋体"/>
                <w:bCs/>
                <w:color w:val="auto"/>
                <w:szCs w:val="21"/>
                <w:highlight w:val="none"/>
                <w:lang w:val="en-US" w:eastAsia="zh-CN"/>
              </w:rPr>
            </w:pPr>
            <w:r>
              <w:rPr>
                <w:rFonts w:hint="eastAsia" w:hAnsi="宋体" w:cs="宋体"/>
                <w:bCs/>
                <w:color w:val="auto"/>
                <w:szCs w:val="21"/>
                <w:highlight w:val="none"/>
                <w:lang w:val="en-US" w:eastAsia="zh-CN"/>
              </w:rPr>
              <w:t>持有</w:t>
            </w:r>
          </w:p>
          <w:p>
            <w:pPr>
              <w:pStyle w:val="38"/>
              <w:spacing w:line="360" w:lineRule="auto"/>
              <w:ind w:left="0" w:leftChars="0"/>
              <w:rPr>
                <w:rFonts w:hint="default" w:ascii="宋体" w:hAnsi="宋体" w:eastAsia="宋体" w:cs="宋体"/>
                <w:bCs/>
                <w:color w:val="auto"/>
                <w:szCs w:val="21"/>
                <w:highlight w:val="none"/>
                <w:lang w:val="en-US" w:eastAsia="zh-CN"/>
              </w:rPr>
            </w:pPr>
            <w:r>
              <w:rPr>
                <w:rFonts w:hint="eastAsia" w:hAnsi="宋体" w:cs="宋体"/>
                <w:bCs/>
                <w:color w:val="auto"/>
                <w:szCs w:val="21"/>
                <w:highlight w:val="none"/>
                <w:lang w:val="en-US" w:eastAsia="zh-CN"/>
              </w:rPr>
              <w:t>证书</w:t>
            </w:r>
          </w:p>
        </w:tc>
        <w:tc>
          <w:tcPr>
            <w:tcW w:w="1108" w:type="dxa"/>
            <w:noWrap w:val="0"/>
            <w:tcMar>
              <w:top w:w="15" w:type="dxa"/>
              <w:left w:w="15" w:type="dxa"/>
              <w:bottom w:w="0" w:type="dxa"/>
              <w:right w:w="15" w:type="dxa"/>
            </w:tcMar>
            <w:vAlign w:val="center"/>
          </w:tcPr>
          <w:p>
            <w:pPr>
              <w:pStyle w:val="38"/>
              <w:spacing w:line="360"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工作</w:t>
            </w:r>
          </w:p>
          <w:p>
            <w:pPr>
              <w:pStyle w:val="38"/>
              <w:spacing w:line="360"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年限</w:t>
            </w:r>
          </w:p>
        </w:tc>
        <w:tc>
          <w:tcPr>
            <w:tcW w:w="2146" w:type="dxa"/>
            <w:noWrap w:val="0"/>
            <w:tcMar>
              <w:top w:w="15" w:type="dxa"/>
              <w:left w:w="15" w:type="dxa"/>
              <w:bottom w:w="0" w:type="dxa"/>
              <w:right w:w="15" w:type="dxa"/>
            </w:tcMar>
            <w:vAlign w:val="center"/>
          </w:tcPr>
          <w:p>
            <w:pPr>
              <w:pStyle w:val="38"/>
              <w:spacing w:line="360" w:lineRule="auto"/>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拟担任的职务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424"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223"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92"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9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1108"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c>
          <w:tcPr>
            <w:tcW w:w="2146" w:type="dxa"/>
            <w:noWrap w:val="0"/>
            <w:tcMar>
              <w:top w:w="15" w:type="dxa"/>
              <w:left w:w="15" w:type="dxa"/>
              <w:bottom w:w="0" w:type="dxa"/>
              <w:right w:w="15" w:type="dxa"/>
            </w:tcMar>
            <w:vAlign w:val="bottom"/>
          </w:tcPr>
          <w:p>
            <w:pPr>
              <w:pStyle w:val="38"/>
              <w:spacing w:line="360" w:lineRule="auto"/>
              <w:ind w:left="0" w:leftChars="0" w:firstLine="480" w:firstLineChars="200"/>
              <w:jc w:val="both"/>
              <w:rPr>
                <w:rFonts w:hint="eastAsia" w:ascii="宋体" w:hAnsi="宋体" w:eastAsia="宋体" w:cs="宋体"/>
                <w:color w:val="auto"/>
                <w:szCs w:val="21"/>
                <w:highlight w:val="none"/>
              </w:rPr>
            </w:pPr>
          </w:p>
        </w:tc>
      </w:tr>
    </w:tbl>
    <w:p>
      <w:pPr>
        <w:widowControl/>
        <w:spacing w:line="360" w:lineRule="auto"/>
        <w:ind w:left="723" w:hanging="723" w:hangingChars="300"/>
        <w:jc w:val="left"/>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注：1.供应商可适当调整该表格式。</w:t>
      </w:r>
    </w:p>
    <w:p>
      <w:pPr>
        <w:widowControl/>
        <w:spacing w:line="360" w:lineRule="auto"/>
        <w:ind w:left="723" w:hanging="723" w:hangingChars="300"/>
        <w:jc w:val="left"/>
        <w:rPr>
          <w:rFonts w:hint="eastAsia" w:ascii="宋体" w:hAnsi="宋体" w:eastAsia="宋体" w:cs="宋体"/>
          <w:b/>
          <w:color w:val="auto"/>
          <w:szCs w:val="22"/>
          <w:highlight w:val="none"/>
        </w:rPr>
      </w:pPr>
      <w:r>
        <w:rPr>
          <w:rFonts w:hint="eastAsia" w:ascii="宋体" w:hAnsi="宋体" w:eastAsia="宋体" w:cs="宋体"/>
          <w:b/>
          <w:color w:val="auto"/>
          <w:szCs w:val="22"/>
          <w:highlight w:val="none"/>
        </w:rPr>
        <w:t>2.附以上人员相关证明材料。</w:t>
      </w:r>
    </w:p>
    <w:p>
      <w:pPr>
        <w:pStyle w:val="39"/>
        <w:tabs>
          <w:tab w:val="left" w:pos="2040"/>
        </w:tabs>
        <w:spacing w:before="0" w:beforeLines="0" w:line="360" w:lineRule="auto"/>
        <w:ind w:left="0" w:firstLine="480" w:firstLineChars="200"/>
        <w:rPr>
          <w:rFonts w:hint="eastAsia" w:ascii="宋体" w:hAnsi="宋体" w:eastAsia="宋体" w:cs="宋体"/>
          <w:color w:val="auto"/>
          <w:highlight w:val="none"/>
        </w:rPr>
      </w:pP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供应商名称（公章）:             </w:t>
      </w: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法定代表人</w:t>
      </w:r>
      <w:r>
        <w:rPr>
          <w:rFonts w:hint="eastAsia" w:hAnsi="宋体" w:cs="宋体"/>
          <w:color w:val="auto"/>
          <w:szCs w:val="24"/>
          <w:highlight w:val="none"/>
          <w:lang w:val="en-US" w:eastAsia="zh-CN"/>
        </w:rPr>
        <w:t>或</w:t>
      </w:r>
      <w:r>
        <w:rPr>
          <w:rFonts w:hint="eastAsia" w:ascii="宋体" w:hAnsi="宋体" w:eastAsia="宋体" w:cs="宋体"/>
          <w:color w:val="auto"/>
          <w:szCs w:val="24"/>
          <w:highlight w:val="none"/>
        </w:rPr>
        <w:t>被授权人（签字或盖章）：</w:t>
      </w: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日    期：                                </w:t>
      </w:r>
    </w:p>
    <w:p>
      <w:pPr>
        <w:spacing w:line="480" w:lineRule="auto"/>
        <w:rPr>
          <w:rFonts w:hint="eastAsia" w:ascii="宋体" w:hAnsi="宋体" w:eastAsia="宋体" w:cs="宋体"/>
          <w:b/>
          <w:bCs/>
          <w:color w:val="auto"/>
          <w:sz w:val="30"/>
          <w:szCs w:val="30"/>
          <w:highlight w:val="none"/>
        </w:rPr>
      </w:pPr>
      <w:r>
        <w:rPr>
          <w:rFonts w:hint="eastAsia" w:ascii="宋体" w:hAnsi="宋体" w:eastAsia="宋体" w:cs="宋体"/>
          <w:color w:val="auto"/>
          <w:szCs w:val="24"/>
          <w:highlight w:val="none"/>
          <w:u w:val="single"/>
        </w:rPr>
        <w:br w:type="page"/>
      </w:r>
      <w:bookmarkStart w:id="202" w:name="_Toc25698_WPSOffice_Level1"/>
      <w:bookmarkStart w:id="203" w:name="_Toc10028_WPSOffice_Level1"/>
      <w:r>
        <w:rPr>
          <w:rFonts w:hint="eastAsia" w:ascii="宋体" w:hAnsi="宋体" w:eastAsia="宋体" w:cs="宋体"/>
          <w:b/>
          <w:bCs/>
          <w:color w:val="auto"/>
          <w:sz w:val="30"/>
          <w:szCs w:val="30"/>
          <w:highlight w:val="none"/>
        </w:rPr>
        <w:t>附件</w:t>
      </w:r>
      <w:r>
        <w:rPr>
          <w:rFonts w:hint="eastAsia" w:hAnsi="宋体" w:cs="宋体"/>
          <w:b/>
          <w:bCs/>
          <w:color w:val="auto"/>
          <w:sz w:val="30"/>
          <w:szCs w:val="30"/>
          <w:highlight w:val="none"/>
          <w:lang w:val="en-US" w:eastAsia="zh-CN"/>
        </w:rPr>
        <w:t>6</w:t>
      </w:r>
      <w:r>
        <w:rPr>
          <w:rFonts w:hint="eastAsia" w:ascii="宋体" w:hAnsi="宋体" w:eastAsia="宋体" w:cs="宋体"/>
          <w:b/>
          <w:bCs/>
          <w:color w:val="auto"/>
          <w:sz w:val="30"/>
          <w:szCs w:val="30"/>
          <w:highlight w:val="none"/>
        </w:rPr>
        <w:t>：</w:t>
      </w:r>
      <w:bookmarkEnd w:id="202"/>
      <w:bookmarkEnd w:id="203"/>
    </w:p>
    <w:p>
      <w:pPr>
        <w:spacing w:line="360" w:lineRule="auto"/>
        <w:jc w:val="center"/>
        <w:rPr>
          <w:rFonts w:hint="eastAsia" w:ascii="宋体" w:hAnsi="宋体" w:eastAsia="宋体" w:cs="宋体"/>
          <w:b/>
          <w:bCs/>
          <w:color w:val="auto"/>
          <w:sz w:val="30"/>
          <w:szCs w:val="30"/>
          <w:highlight w:val="none"/>
        </w:rPr>
      </w:pPr>
      <w:bookmarkStart w:id="204" w:name="_Toc13080_WPSOffice_Level1"/>
      <w:bookmarkStart w:id="205" w:name="_Toc30631_WPSOffice_Level1"/>
      <w:r>
        <w:rPr>
          <w:rFonts w:hint="eastAsia" w:ascii="宋体" w:hAnsi="宋体" w:eastAsia="宋体" w:cs="宋体"/>
          <w:b/>
          <w:bCs/>
          <w:color w:val="auto"/>
          <w:sz w:val="30"/>
          <w:szCs w:val="30"/>
          <w:highlight w:val="none"/>
        </w:rPr>
        <w:t>拟投入项目负责人简历表</w:t>
      </w:r>
      <w:bookmarkEnd w:id="204"/>
      <w:bookmarkEnd w:id="205"/>
    </w:p>
    <w:tbl>
      <w:tblPr>
        <w:tblStyle w:val="20"/>
        <w:tblW w:w="9004" w:type="dxa"/>
        <w:tblInd w:w="0" w:type="dxa"/>
        <w:tblLayout w:type="fixed"/>
        <w:tblCellMar>
          <w:top w:w="0" w:type="dxa"/>
          <w:left w:w="108" w:type="dxa"/>
          <w:bottom w:w="0" w:type="dxa"/>
          <w:right w:w="108" w:type="dxa"/>
        </w:tblCellMar>
      </w:tblPr>
      <w:tblGrid>
        <w:gridCol w:w="1494"/>
        <w:gridCol w:w="268"/>
        <w:gridCol w:w="1570"/>
        <w:gridCol w:w="1516"/>
        <w:gridCol w:w="1280"/>
        <w:gridCol w:w="43"/>
        <w:gridCol w:w="1700"/>
        <w:gridCol w:w="1133"/>
      </w:tblGrid>
      <w:tr>
        <w:tblPrEx>
          <w:tblCellMar>
            <w:top w:w="0" w:type="dxa"/>
            <w:left w:w="108" w:type="dxa"/>
            <w:bottom w:w="0" w:type="dxa"/>
            <w:right w:w="108" w:type="dxa"/>
          </w:tblCellMar>
        </w:tblPrEx>
        <w:trPr>
          <w:trHeight w:val="521" w:hRule="atLeast"/>
        </w:trPr>
        <w:tc>
          <w:tcPr>
            <w:tcW w:w="1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姓  名</w:t>
            </w:r>
          </w:p>
        </w:tc>
        <w:tc>
          <w:tcPr>
            <w:tcW w:w="157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c>
          <w:tcPr>
            <w:tcW w:w="1516"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性  别</w:t>
            </w:r>
          </w:p>
        </w:tc>
        <w:tc>
          <w:tcPr>
            <w:tcW w:w="132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c>
          <w:tcPr>
            <w:tcW w:w="170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年  龄</w:t>
            </w: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22" w:hRule="atLeast"/>
        </w:trPr>
        <w:tc>
          <w:tcPr>
            <w:tcW w:w="1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职</w:t>
            </w:r>
            <w:r>
              <w:rPr>
                <w:rFonts w:hint="eastAsia" w:hAnsi="宋体" w:cs="宋体"/>
                <w:color w:val="auto"/>
                <w:highlight w:val="none"/>
                <w:lang w:val="en-US" w:eastAsia="zh-CN"/>
              </w:rPr>
              <w:t xml:space="preserve"> </w:t>
            </w:r>
            <w:r>
              <w:rPr>
                <w:rFonts w:hint="eastAsia" w:ascii="宋体" w:hAnsi="宋体" w:eastAsia="宋体" w:cs="宋体"/>
                <w:color w:val="auto"/>
                <w:highlight w:val="none"/>
              </w:rPr>
              <w:t xml:space="preserve"> 称</w:t>
            </w:r>
          </w:p>
        </w:tc>
        <w:tc>
          <w:tcPr>
            <w:tcW w:w="157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c>
          <w:tcPr>
            <w:tcW w:w="1516"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身份证号</w:t>
            </w:r>
          </w:p>
        </w:tc>
        <w:tc>
          <w:tcPr>
            <w:tcW w:w="132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c>
          <w:tcPr>
            <w:tcW w:w="170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专业/年限</w:t>
            </w: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21" w:hRule="atLeast"/>
        </w:trPr>
        <w:tc>
          <w:tcPr>
            <w:tcW w:w="1762" w:type="dxa"/>
            <w:gridSpan w:val="2"/>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毕业时间</w:t>
            </w:r>
          </w:p>
        </w:tc>
        <w:tc>
          <w:tcPr>
            <w:tcW w:w="157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c>
          <w:tcPr>
            <w:tcW w:w="1516"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毕业学校</w:t>
            </w:r>
          </w:p>
        </w:tc>
        <w:tc>
          <w:tcPr>
            <w:tcW w:w="132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c>
          <w:tcPr>
            <w:tcW w:w="170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学历/专业</w:t>
            </w: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22" w:hRule="atLeast"/>
        </w:trPr>
        <w:tc>
          <w:tcPr>
            <w:tcW w:w="3332" w:type="dxa"/>
            <w:gridSpan w:val="3"/>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是否属供应商固定雇员</w:t>
            </w:r>
          </w:p>
        </w:tc>
        <w:tc>
          <w:tcPr>
            <w:tcW w:w="1516"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c>
          <w:tcPr>
            <w:tcW w:w="3023"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为供应商服务时间</w:t>
            </w: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21" w:hRule="atLeast"/>
        </w:trPr>
        <w:tc>
          <w:tcPr>
            <w:tcW w:w="3332" w:type="dxa"/>
            <w:gridSpan w:val="3"/>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拟在本项目担任职务</w:t>
            </w:r>
          </w:p>
        </w:tc>
        <w:tc>
          <w:tcPr>
            <w:tcW w:w="5672" w:type="dxa"/>
            <w:gridSpan w:val="5"/>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46" w:hRule="atLeast"/>
        </w:trPr>
        <w:tc>
          <w:tcPr>
            <w:tcW w:w="9004" w:type="dxa"/>
            <w:gridSpan w:val="8"/>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工作经历</w:t>
            </w:r>
          </w:p>
        </w:tc>
      </w:tr>
      <w:tr>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时  间</w:t>
            </w:r>
          </w:p>
        </w:tc>
        <w:tc>
          <w:tcPr>
            <w:tcW w:w="3354"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highlight w:val="none"/>
              </w:rPr>
              <w:t>参加过的项目名称</w:t>
            </w:r>
          </w:p>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及当时所在单位</w:t>
            </w:r>
          </w:p>
        </w:tc>
        <w:tc>
          <w:tcPr>
            <w:tcW w:w="128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担任何职</w:t>
            </w:r>
          </w:p>
        </w:tc>
        <w:tc>
          <w:tcPr>
            <w:tcW w:w="174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主要工作内容</w:t>
            </w: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rPr>
                <w:rFonts w:hint="eastAsia" w:ascii="宋体" w:hAnsi="宋体" w:eastAsia="宋体" w:cs="宋体"/>
                <w:color w:val="auto"/>
                <w:highlight w:val="none"/>
              </w:rPr>
            </w:pPr>
            <w:r>
              <w:rPr>
                <w:rFonts w:hint="eastAsia" w:ascii="宋体" w:hAnsi="宋体" w:eastAsia="宋体" w:cs="宋体"/>
                <w:color w:val="auto"/>
                <w:highlight w:val="none"/>
              </w:rPr>
              <w:t>备 注</w:t>
            </w:r>
          </w:p>
        </w:tc>
      </w:tr>
      <w:tr>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47"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jc w:val="both"/>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46" w:hRule="atLeast"/>
        </w:trPr>
        <w:tc>
          <w:tcPr>
            <w:tcW w:w="1494" w:type="dxa"/>
            <w:tcBorders>
              <w:top w:val="single" w:color="auto" w:sz="4" w:space="0"/>
              <w:left w:val="single" w:color="auto" w:sz="4" w:space="0"/>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3354" w:type="dxa"/>
            <w:gridSpan w:val="3"/>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1280"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1743" w:type="dxa"/>
            <w:gridSpan w:val="2"/>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c>
          <w:tcPr>
            <w:tcW w:w="1133" w:type="dxa"/>
            <w:tcBorders>
              <w:top w:val="single" w:color="auto" w:sz="4" w:space="0"/>
              <w:left w:val="nil"/>
              <w:bottom w:val="single" w:color="auto" w:sz="4" w:space="0"/>
              <w:right w:val="single" w:color="auto" w:sz="4" w:space="0"/>
            </w:tcBorders>
            <w:noWrap w:val="0"/>
            <w:vAlign w:val="center"/>
          </w:tcPr>
          <w:p>
            <w:pPr>
              <w:pStyle w:val="38"/>
              <w:spacing w:line="400" w:lineRule="exact"/>
              <w:ind w:left="0" w:leftChars="0" w:firstLine="480" w:firstLineChars="200"/>
              <w:jc w:val="both"/>
              <w:rPr>
                <w:rFonts w:hint="eastAsia" w:ascii="宋体" w:hAnsi="宋体" w:eastAsia="宋体" w:cs="宋体"/>
                <w:color w:val="auto"/>
                <w:highlight w:val="none"/>
              </w:rPr>
            </w:pPr>
          </w:p>
        </w:tc>
      </w:tr>
    </w:tbl>
    <w:p>
      <w:pPr>
        <w:pStyle w:val="39"/>
        <w:spacing w:beforeLines="0" w:line="400" w:lineRule="exact"/>
        <w:ind w:left="348" w:hanging="348" w:hangingChars="145"/>
        <w:jc w:val="left"/>
        <w:rPr>
          <w:rFonts w:hint="eastAsia" w:ascii="宋体" w:hAnsi="宋体" w:eastAsia="宋体" w:cs="宋体"/>
          <w:color w:val="auto"/>
          <w:highlight w:val="none"/>
        </w:rPr>
      </w:pPr>
      <w:r>
        <w:rPr>
          <w:rFonts w:hint="eastAsia" w:ascii="宋体" w:hAnsi="宋体" w:eastAsia="宋体" w:cs="宋体"/>
          <w:color w:val="auto"/>
          <w:highlight w:val="none"/>
        </w:rPr>
        <w:t>注：附以上人员相关证明材料。</w:t>
      </w:r>
    </w:p>
    <w:p>
      <w:pPr>
        <w:spacing w:line="360" w:lineRule="auto"/>
        <w:rPr>
          <w:rFonts w:hint="eastAsia" w:ascii="宋体" w:hAnsi="宋体" w:eastAsia="宋体" w:cs="宋体"/>
          <w:color w:val="auto"/>
          <w:szCs w:val="24"/>
          <w:highlight w:val="none"/>
        </w:rPr>
      </w:pP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供应商名称（公章）:             </w:t>
      </w: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法定代表人</w:t>
      </w:r>
      <w:r>
        <w:rPr>
          <w:rFonts w:hint="eastAsia" w:hAnsi="宋体" w:cs="宋体"/>
          <w:color w:val="auto"/>
          <w:szCs w:val="24"/>
          <w:highlight w:val="none"/>
          <w:lang w:val="en-US" w:eastAsia="zh-CN"/>
        </w:rPr>
        <w:t>或</w:t>
      </w:r>
      <w:r>
        <w:rPr>
          <w:rFonts w:hint="eastAsia" w:ascii="宋体" w:hAnsi="宋体" w:eastAsia="宋体" w:cs="宋体"/>
          <w:color w:val="auto"/>
          <w:szCs w:val="24"/>
          <w:highlight w:val="none"/>
        </w:rPr>
        <w:t>被授权人（签字或盖章）：</w:t>
      </w:r>
    </w:p>
    <w:p>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日    期：        </w:t>
      </w:r>
    </w:p>
    <w:p>
      <w:pPr>
        <w:spacing w:line="360" w:lineRule="auto"/>
        <w:jc w:val="center"/>
        <w:rPr>
          <w:rFonts w:hint="eastAsia" w:ascii="宋体" w:hAnsi="宋体" w:eastAsia="宋体" w:cs="宋体"/>
          <w:color w:val="auto"/>
          <w:sz w:val="30"/>
          <w:szCs w:val="30"/>
          <w:highlight w:val="none"/>
        </w:rPr>
      </w:pPr>
      <w:r>
        <w:rPr>
          <w:rFonts w:hint="eastAsia" w:ascii="宋体" w:hAnsi="宋体" w:eastAsia="宋体" w:cs="宋体"/>
          <w:b/>
          <w:color w:val="auto"/>
          <w:kern w:val="2"/>
          <w:sz w:val="32"/>
          <w:szCs w:val="32"/>
          <w:highlight w:val="none"/>
        </w:rPr>
        <w:br w:type="page"/>
      </w:r>
      <w:bookmarkEnd w:id="186"/>
      <w:bookmarkEnd w:id="187"/>
      <w:bookmarkStart w:id="206" w:name="_Toc106"/>
      <w:bookmarkStart w:id="207" w:name="_Toc9738"/>
      <w:bookmarkStart w:id="208" w:name="_Toc4204_WPSOffice_Level1"/>
      <w:bookmarkStart w:id="209" w:name="_Toc27079_WPSOffice_Level1"/>
      <w:bookmarkStart w:id="210" w:name="_Toc19969"/>
      <w:bookmarkStart w:id="211" w:name="_Toc19960"/>
      <w:bookmarkStart w:id="212" w:name="_Toc16990"/>
      <w:bookmarkStart w:id="213" w:name="_Toc26645"/>
      <w:r>
        <w:rPr>
          <w:rFonts w:hint="eastAsia" w:hAnsi="宋体" w:cs="宋体"/>
          <w:b/>
          <w:color w:val="auto"/>
          <w:kern w:val="2"/>
          <w:sz w:val="32"/>
          <w:szCs w:val="32"/>
          <w:highlight w:val="none"/>
          <w:lang w:val="en-US" w:eastAsia="zh-CN"/>
        </w:rPr>
        <w:t>六</w:t>
      </w:r>
      <w:r>
        <w:rPr>
          <w:rFonts w:hint="eastAsia" w:ascii="宋体" w:hAnsi="宋体" w:eastAsia="宋体" w:cs="宋体"/>
          <w:b/>
          <w:bCs/>
          <w:color w:val="auto"/>
          <w:sz w:val="30"/>
          <w:szCs w:val="30"/>
          <w:highlight w:val="none"/>
        </w:rPr>
        <w:t>、陕西省政府采购供应商拒绝政府采购领域商业贿赂承诺书</w:t>
      </w:r>
      <w:bookmarkEnd w:id="206"/>
      <w:bookmarkEnd w:id="207"/>
      <w:bookmarkEnd w:id="208"/>
      <w:bookmarkEnd w:id="209"/>
      <w:bookmarkEnd w:id="210"/>
      <w:bookmarkEnd w:id="211"/>
      <w:bookmarkEnd w:id="212"/>
      <w:bookmarkEnd w:id="213"/>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为响应党中央、国务院关于治理政府采购领域商业贿赂行为的号召，我公司在此庄严承诺：</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1.在参与政府采购活动中遵纪守法、诚信经营、公平竞标。</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2.不向政府采购人、招标代理机构和政府采购评审专家进行任何形式的商业贿赂以谋取交易机会。</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3.不向政府招标代理机构和采购人提供虚假资质文件或采用虚假应标方式参与政府采购市场竞争并谋取中标、成交。</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4.不采取“围标、陪标”等商业欺诈手段获得政府采购定单。</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5.不采取不正当手段诋毁、排挤其他供应商。</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6.不在提供商品和服务时“偷梁换柱、以次充好”损害采购人的合法权益。</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7.不与采购人、招标代理机构政府采购评审专家或其它供应商恶意串通，进行质疑和投诉，维护政府采购市场秩序。</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8.尊重和接受政府采购监督管理部门的监督和政府招标代理机构招标采购要求，承担因违约行为给采购人造成的损失。</w:t>
      </w:r>
    </w:p>
    <w:p>
      <w:pPr>
        <w:spacing w:line="600" w:lineRule="exact"/>
        <w:ind w:firstLine="480" w:firstLineChars="200"/>
        <w:jc w:val="left"/>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9.不发生其他有悖于政府采购公开、公平、公正和诚信原则的行为。</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承诺单位（盖章）：</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全权代表人（签字）：</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地址：</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邮编：</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电话：</w:t>
      </w:r>
    </w:p>
    <w:p>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时间：</w:t>
      </w:r>
    </w:p>
    <w:p>
      <w:pPr>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color w:val="auto"/>
          <w:szCs w:val="24"/>
          <w:highlight w:val="none"/>
        </w:rPr>
        <w:br w:type="page"/>
      </w:r>
      <w:bookmarkStart w:id="214" w:name="_Toc31052_WPSOffice_Level1"/>
      <w:bookmarkStart w:id="215" w:name="_Toc19798_WPSOffice_Level1"/>
      <w:r>
        <w:rPr>
          <w:rFonts w:hint="eastAsia" w:ascii="宋体" w:hAnsi="宋体" w:eastAsia="宋体" w:cs="宋体"/>
          <w:b/>
          <w:bCs/>
          <w:color w:val="auto"/>
          <w:sz w:val="30"/>
          <w:szCs w:val="30"/>
          <w:highlight w:val="none"/>
          <w:lang w:val="en-US" w:eastAsia="zh-CN"/>
        </w:rPr>
        <w:t>七</w:t>
      </w:r>
      <w:r>
        <w:rPr>
          <w:rFonts w:hint="eastAsia" w:ascii="宋体" w:hAnsi="宋体" w:eastAsia="宋体" w:cs="宋体"/>
          <w:b/>
          <w:bCs/>
          <w:color w:val="auto"/>
          <w:sz w:val="30"/>
          <w:szCs w:val="30"/>
          <w:highlight w:val="none"/>
        </w:rPr>
        <w:t>、落实政府采购政策须提供的资料及供应商认为有必要提供的其它资料</w:t>
      </w:r>
      <w:bookmarkEnd w:id="214"/>
      <w:bookmarkEnd w:id="215"/>
    </w:p>
    <w:p>
      <w:pPr>
        <w:spacing w:line="360" w:lineRule="auto"/>
        <w:jc w:val="left"/>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r>
        <w:rPr>
          <w:rFonts w:hint="eastAsia" w:ascii="宋体" w:hAnsi="宋体" w:eastAsia="宋体" w:cs="宋体"/>
          <w:b/>
          <w:bCs/>
          <w:color w:val="auto"/>
          <w:sz w:val="30"/>
          <w:szCs w:val="30"/>
          <w:highlight w:val="none"/>
        </w:rPr>
        <w:t>附件</w:t>
      </w:r>
      <w:r>
        <w:rPr>
          <w:rFonts w:hint="eastAsia" w:hAnsi="宋体" w:cs="宋体"/>
          <w:b/>
          <w:bCs/>
          <w:color w:val="auto"/>
          <w:sz w:val="30"/>
          <w:szCs w:val="30"/>
          <w:highlight w:val="none"/>
          <w:lang w:val="en-US" w:eastAsia="zh-CN"/>
        </w:rPr>
        <w:t>7</w:t>
      </w:r>
      <w:r>
        <w:rPr>
          <w:rFonts w:hint="eastAsia" w:ascii="宋体" w:hAnsi="宋体" w:eastAsia="宋体" w:cs="宋体"/>
          <w:b/>
          <w:bCs/>
          <w:color w:val="auto"/>
          <w:sz w:val="30"/>
          <w:szCs w:val="30"/>
          <w:highlight w:val="none"/>
        </w:rPr>
        <w:t>：（如有）</w:t>
      </w:r>
    </w:p>
    <w:p>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中小企业声明函（服务）</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zCs w:val="24"/>
          <w:highlight w:val="none"/>
          <w:u w:val="single"/>
        </w:rPr>
        <w:t>（单位名称）</w:t>
      </w:r>
      <w:r>
        <w:rPr>
          <w:rFonts w:hint="eastAsia" w:ascii="宋体" w:hAnsi="宋体" w:eastAsia="宋体" w:cs="宋体"/>
          <w:color w:val="auto"/>
          <w:szCs w:val="24"/>
          <w:highlight w:val="none"/>
        </w:rPr>
        <w:t>的</w:t>
      </w:r>
      <w:r>
        <w:rPr>
          <w:rFonts w:hint="eastAsia" w:ascii="宋体" w:hAnsi="宋体" w:eastAsia="宋体" w:cs="宋体"/>
          <w:color w:val="auto"/>
          <w:szCs w:val="24"/>
          <w:highlight w:val="none"/>
          <w:u w:val="single"/>
        </w:rPr>
        <w:t>（项目名称）</w:t>
      </w:r>
      <w:r>
        <w:rPr>
          <w:rFonts w:hint="eastAsia" w:ascii="宋体" w:hAnsi="宋体" w:eastAsia="宋体" w:cs="宋体"/>
          <w:color w:val="auto"/>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szCs w:val="24"/>
          <w:highlight w:val="none"/>
          <w:u w:val="single"/>
        </w:rPr>
        <w:t xml:space="preserve"> （标的名称） </w:t>
      </w:r>
      <w:r>
        <w:rPr>
          <w:rFonts w:hint="eastAsia" w:ascii="宋体" w:hAnsi="宋体" w:eastAsia="宋体" w:cs="宋体"/>
          <w:color w:val="auto"/>
          <w:szCs w:val="24"/>
          <w:highlight w:val="none"/>
        </w:rPr>
        <w:t>，属于</w:t>
      </w:r>
      <w:r>
        <w:rPr>
          <w:rFonts w:hint="eastAsia" w:ascii="宋体" w:hAnsi="宋体" w:eastAsia="宋体" w:cs="宋体"/>
          <w:color w:val="auto"/>
          <w:szCs w:val="24"/>
          <w:highlight w:val="none"/>
          <w:u w:val="single"/>
        </w:rPr>
        <w:t xml:space="preserve"> </w:t>
      </w:r>
      <w:r>
        <w:rPr>
          <w:rFonts w:hint="eastAsia"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行业；承建（承接）企业为</w:t>
      </w:r>
      <w:r>
        <w:rPr>
          <w:rFonts w:hint="eastAsia" w:ascii="宋体" w:hAnsi="宋体" w:eastAsia="宋体" w:cs="宋体"/>
          <w:color w:val="auto"/>
          <w:szCs w:val="24"/>
          <w:highlight w:val="none"/>
          <w:u w:val="single"/>
        </w:rPr>
        <w:t>（企业名称）</w:t>
      </w:r>
      <w:r>
        <w:rPr>
          <w:rFonts w:hint="eastAsia" w:ascii="宋体" w:hAnsi="宋体" w:eastAsia="宋体" w:cs="宋体"/>
          <w:color w:val="auto"/>
          <w:szCs w:val="24"/>
          <w:highlight w:val="none"/>
        </w:rPr>
        <w:t>，从业人员</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人，营业收入为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万元，资产总额为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w:t>
      </w:r>
      <w:r>
        <w:rPr>
          <w:rFonts w:hint="eastAsia" w:ascii="宋体" w:hAnsi="宋体" w:eastAsia="宋体" w:cs="宋体"/>
          <w:color w:val="auto"/>
          <w:szCs w:val="24"/>
          <w:highlight w:val="none"/>
          <w:vertAlign w:val="superscript"/>
        </w:rPr>
        <w:t>1</w:t>
      </w:r>
      <w:r>
        <w:rPr>
          <w:rFonts w:hint="eastAsia" w:ascii="宋体" w:hAnsi="宋体" w:eastAsia="宋体" w:cs="宋体"/>
          <w:color w:val="auto"/>
          <w:szCs w:val="24"/>
          <w:highlight w:val="none"/>
        </w:rPr>
        <w:t>，属于</w:t>
      </w:r>
      <w:r>
        <w:rPr>
          <w:rFonts w:hint="eastAsia" w:ascii="宋体" w:hAnsi="宋体" w:eastAsia="宋体" w:cs="宋体"/>
          <w:color w:val="auto"/>
          <w:szCs w:val="24"/>
          <w:highlight w:val="none"/>
          <w:u w:val="single"/>
        </w:rPr>
        <w:t>（中型企业、小型企业、微型企业）</w:t>
      </w:r>
      <w:r>
        <w:rPr>
          <w:rFonts w:hint="eastAsia" w:ascii="宋体" w:hAnsi="宋体" w:eastAsia="宋体" w:cs="宋体"/>
          <w:color w:val="auto"/>
          <w:szCs w:val="24"/>
          <w:highlight w:val="none"/>
        </w:rPr>
        <w:t>；</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r>
        <w:rPr>
          <w:rFonts w:hint="eastAsia" w:ascii="宋体" w:hAnsi="宋体" w:eastAsia="宋体" w:cs="宋体"/>
          <w:color w:val="auto"/>
          <w:szCs w:val="24"/>
          <w:highlight w:val="none"/>
          <w:u w:val="single"/>
        </w:rPr>
        <w:t xml:space="preserve"> （标的名称） </w:t>
      </w:r>
      <w:r>
        <w:rPr>
          <w:rFonts w:hint="eastAsia" w:ascii="宋体" w:hAnsi="宋体" w:eastAsia="宋体" w:cs="宋体"/>
          <w:color w:val="auto"/>
          <w:szCs w:val="24"/>
          <w:highlight w:val="none"/>
        </w:rPr>
        <w:t>，属于</w:t>
      </w:r>
      <w:r>
        <w:rPr>
          <w:rFonts w:hint="eastAsia" w:ascii="宋体" w:hAnsi="宋体" w:eastAsia="宋体" w:cs="宋体"/>
          <w:color w:val="auto"/>
          <w:szCs w:val="24"/>
          <w:highlight w:val="none"/>
          <w:u w:val="single"/>
        </w:rPr>
        <w:t xml:space="preserve"> </w:t>
      </w:r>
      <w:r>
        <w:rPr>
          <w:rFonts w:hint="eastAsia" w:hAnsi="宋体" w:cs="宋体"/>
          <w:color w:val="auto"/>
          <w:szCs w:val="24"/>
          <w:highlight w:val="none"/>
          <w:u w:val="single"/>
          <w:lang w:val="en-US" w:eastAsia="zh-CN"/>
        </w:rPr>
        <w:t xml:space="preserve">     </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行业；承建（承接）企业为</w:t>
      </w:r>
      <w:r>
        <w:rPr>
          <w:rFonts w:hint="eastAsia" w:ascii="宋体" w:hAnsi="宋体" w:eastAsia="宋体" w:cs="宋体"/>
          <w:color w:val="auto"/>
          <w:szCs w:val="24"/>
          <w:highlight w:val="none"/>
          <w:u w:val="single"/>
        </w:rPr>
        <w:t>（企业名称）</w:t>
      </w:r>
      <w:r>
        <w:rPr>
          <w:rFonts w:hint="eastAsia" w:ascii="宋体" w:hAnsi="宋体" w:eastAsia="宋体" w:cs="宋体"/>
          <w:color w:val="auto"/>
          <w:szCs w:val="24"/>
          <w:highlight w:val="none"/>
        </w:rPr>
        <w:t>，从业人员</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人，营业收入为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万元，资产总额为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u w:val="single"/>
        </w:rPr>
        <w:tab/>
      </w:r>
      <w:r>
        <w:rPr>
          <w:rFonts w:hint="eastAsia" w:ascii="宋体" w:hAnsi="宋体" w:eastAsia="宋体" w:cs="宋体"/>
          <w:color w:val="auto"/>
          <w:szCs w:val="24"/>
          <w:highlight w:val="none"/>
        </w:rPr>
        <w:t>万元，属于</w:t>
      </w:r>
      <w:r>
        <w:rPr>
          <w:rFonts w:hint="eastAsia" w:ascii="宋体" w:hAnsi="宋体" w:eastAsia="宋体" w:cs="宋体"/>
          <w:color w:val="auto"/>
          <w:szCs w:val="24"/>
          <w:highlight w:val="none"/>
          <w:u w:val="single"/>
        </w:rPr>
        <w:t>（中型企业、小型企业、微型企业）</w:t>
      </w:r>
      <w:r>
        <w:rPr>
          <w:rFonts w:hint="eastAsia" w:ascii="宋体" w:hAnsi="宋体" w:eastAsia="宋体" w:cs="宋体"/>
          <w:color w:val="auto"/>
          <w:szCs w:val="24"/>
          <w:highlight w:val="none"/>
        </w:rPr>
        <w:t>；</w:t>
      </w:r>
    </w:p>
    <w:p>
      <w:pPr>
        <w:spacing w:line="360" w:lineRule="auto"/>
        <w:ind w:firstLine="720" w:firstLineChars="300"/>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本企业对上述声明内容的真实性负责。如有虚假，将依法承担相应责任。</w:t>
      </w:r>
    </w:p>
    <w:p>
      <w:pPr>
        <w:spacing w:line="360" w:lineRule="auto"/>
        <w:ind w:firstLine="3960" w:firstLineChars="165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企业名称（盖章）：</w:t>
      </w:r>
    </w:p>
    <w:p>
      <w:pPr>
        <w:spacing w:line="360" w:lineRule="auto"/>
        <w:ind w:firstLine="3960" w:firstLineChars="165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日期：</w:t>
      </w:r>
    </w:p>
    <w:p>
      <w:pPr>
        <w:adjustRightInd w:val="0"/>
        <w:snapToGrid w:val="0"/>
        <w:spacing w:line="360" w:lineRule="auto"/>
        <w:rPr>
          <w:rFonts w:hint="eastAsia" w:ascii="宋体" w:hAnsi="宋体" w:eastAsia="宋体" w:cs="宋体"/>
          <w:color w:val="auto"/>
          <w:szCs w:val="21"/>
          <w:highlight w:val="none"/>
        </w:rPr>
      </w:pPr>
    </w:p>
    <w:p>
      <w:pPr>
        <w:adjustRightInd w:val="0"/>
        <w:snapToGrid w:val="0"/>
        <w:spacing w:line="360" w:lineRule="auto"/>
        <w:rPr>
          <w:rFonts w:hint="eastAsia" w:ascii="宋体" w:hAnsi="宋体" w:eastAsia="宋体" w:cs="宋体"/>
          <w:color w:val="auto"/>
          <w:szCs w:val="21"/>
          <w:highlight w:val="none"/>
        </w:rPr>
      </w:pPr>
    </w:p>
    <w:p>
      <w:pPr>
        <w:adjustRightInd w:val="0"/>
        <w:snapToGrid w:val="0"/>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说明：                                  </w:t>
      </w:r>
    </w:p>
    <w:p>
      <w:pPr>
        <w:adjustRightInd w:val="0"/>
        <w:snapToGrid w:val="0"/>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vertAlign w:val="superscript"/>
        </w:rPr>
        <w:t>1</w:t>
      </w:r>
      <w:r>
        <w:rPr>
          <w:rFonts w:hint="eastAsia" w:ascii="宋体" w:hAnsi="宋体" w:eastAsia="宋体" w:cs="宋体"/>
          <w:color w:val="auto"/>
          <w:szCs w:val="21"/>
          <w:highlight w:val="none"/>
        </w:rPr>
        <w:t>从业人员、营业收入、资产总额填报上一年度数据，无上一年度数据的新成立企业可不填报。</w:t>
      </w:r>
    </w:p>
    <w:p>
      <w:pPr>
        <w:adjustRightInd w:val="0"/>
        <w:snapToGrid w:val="0"/>
        <w:spacing w:line="360" w:lineRule="auto"/>
        <w:ind w:firstLine="600"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如不是该类企业则不需提供相关声明，若提供虚假材料谋取中标、成交的，将按照《</w:t>
      </w:r>
      <w:r>
        <w:rPr>
          <w:rFonts w:hint="eastAsia" w:ascii="宋体" w:hAnsi="宋体" w:eastAsia="宋体" w:cs="宋体"/>
          <w:color w:val="auto"/>
          <w:spacing w:val="4"/>
          <w:szCs w:val="24"/>
          <w:highlight w:val="none"/>
        </w:rPr>
        <w:t>中华人民共和国政府采购法</w:t>
      </w:r>
      <w:r>
        <w:rPr>
          <w:rFonts w:hint="eastAsia" w:ascii="宋体" w:hAnsi="宋体" w:eastAsia="宋体" w:cs="宋体"/>
          <w:color w:val="auto"/>
          <w:szCs w:val="21"/>
          <w:highlight w:val="none"/>
        </w:rPr>
        <w:t>》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spacing w:line="360" w:lineRule="auto"/>
        <w:jc w:val="left"/>
        <w:outlineLvl w:val="9"/>
        <w:rPr>
          <w:rFonts w:hint="eastAsia" w:ascii="宋体" w:hAnsi="宋体" w:eastAsia="宋体" w:cs="宋体"/>
          <w:b/>
          <w:bCs/>
          <w:color w:val="auto"/>
          <w:szCs w:val="24"/>
          <w:highlight w:val="none"/>
        </w:rPr>
      </w:pPr>
      <w:r>
        <w:rPr>
          <w:rFonts w:hint="eastAsia" w:ascii="宋体" w:hAnsi="宋体" w:eastAsia="宋体" w:cs="宋体"/>
          <w:b/>
          <w:bCs/>
          <w:color w:val="auto"/>
          <w:kern w:val="2"/>
          <w:sz w:val="30"/>
          <w:szCs w:val="30"/>
          <w:highlight w:val="none"/>
        </w:rPr>
        <w:t>附件</w:t>
      </w:r>
      <w:r>
        <w:rPr>
          <w:rFonts w:hint="eastAsia" w:hAnsi="宋体" w:cs="宋体"/>
          <w:b/>
          <w:bCs/>
          <w:color w:val="auto"/>
          <w:kern w:val="2"/>
          <w:sz w:val="30"/>
          <w:szCs w:val="30"/>
          <w:highlight w:val="none"/>
          <w:lang w:val="en-US" w:eastAsia="zh-CN"/>
        </w:rPr>
        <w:t>8</w:t>
      </w:r>
      <w:r>
        <w:rPr>
          <w:rFonts w:hint="eastAsia" w:ascii="宋体" w:hAnsi="宋体" w:eastAsia="宋体" w:cs="宋体"/>
          <w:b/>
          <w:bCs/>
          <w:color w:val="auto"/>
          <w:kern w:val="2"/>
          <w:sz w:val="30"/>
          <w:szCs w:val="30"/>
          <w:highlight w:val="none"/>
        </w:rPr>
        <w:t>：（如有）</w:t>
      </w:r>
    </w:p>
    <w:p>
      <w:pPr>
        <w:autoSpaceDE w:val="0"/>
        <w:autoSpaceDN w:val="0"/>
        <w:adjustRightInd w:val="0"/>
        <w:spacing w:line="360" w:lineRule="auto"/>
        <w:jc w:val="center"/>
        <w:outlineLvl w:val="9"/>
        <w:rPr>
          <w:rFonts w:hint="eastAsia" w:ascii="宋体" w:hAnsi="宋体" w:eastAsia="宋体" w:cs="宋体"/>
          <w:b/>
          <w:color w:val="auto"/>
          <w:sz w:val="30"/>
          <w:szCs w:val="30"/>
          <w:highlight w:val="none"/>
          <w:lang w:val="zh-CN"/>
        </w:rPr>
      </w:pPr>
      <w:bookmarkStart w:id="216" w:name="_Toc7170_WPSOffice_Level1"/>
      <w:bookmarkStart w:id="217" w:name="_Toc20308_WPSOffice_Level1"/>
      <w:r>
        <w:rPr>
          <w:rFonts w:hint="eastAsia" w:ascii="宋体" w:hAnsi="宋体" w:eastAsia="宋体" w:cs="宋体"/>
          <w:b/>
          <w:color w:val="auto"/>
          <w:sz w:val="30"/>
          <w:szCs w:val="30"/>
          <w:highlight w:val="none"/>
          <w:lang w:val="zh-CN"/>
        </w:rPr>
        <w:t>残疾人福利性单位声明函</w:t>
      </w:r>
      <w:bookmarkEnd w:id="216"/>
      <w:bookmarkEnd w:id="217"/>
    </w:p>
    <w:p>
      <w:pPr>
        <w:autoSpaceDE w:val="0"/>
        <w:autoSpaceDN w:val="0"/>
        <w:adjustRightInd w:val="0"/>
        <w:spacing w:line="360" w:lineRule="auto"/>
        <w:ind w:firstLine="480" w:firstLineChars="200"/>
        <w:jc w:val="left"/>
        <w:outlineLvl w:val="9"/>
        <w:rPr>
          <w:rFonts w:hint="eastAsia" w:ascii="宋体" w:hAnsi="宋体" w:eastAsia="宋体" w:cs="宋体"/>
          <w:bCs/>
          <w:color w:val="auto"/>
          <w:szCs w:val="24"/>
          <w:highlight w:val="none"/>
          <w:lang w:val="zh-CN"/>
        </w:rPr>
      </w:pPr>
    </w:p>
    <w:p>
      <w:pPr>
        <w:autoSpaceDE w:val="0"/>
        <w:autoSpaceDN w:val="0"/>
        <w:adjustRightInd w:val="0"/>
        <w:spacing w:line="360" w:lineRule="auto"/>
        <w:ind w:firstLine="480" w:firstLineChars="200"/>
        <w:jc w:val="left"/>
        <w:outlineLvl w:val="9"/>
        <w:rPr>
          <w:rFonts w:hint="eastAsia" w:ascii="宋体" w:hAnsi="宋体" w:eastAsia="宋体" w:cs="宋体"/>
          <w:bCs/>
          <w:color w:val="auto"/>
          <w:szCs w:val="24"/>
          <w:highlight w:val="none"/>
          <w:lang w:val="zh-CN"/>
        </w:rPr>
      </w:pPr>
      <w:r>
        <w:rPr>
          <w:rFonts w:hint="eastAsia" w:ascii="宋体" w:hAnsi="宋体" w:eastAsia="宋体" w:cs="宋体"/>
          <w:bCs/>
          <w:color w:val="auto"/>
          <w:szCs w:val="24"/>
          <w:highlight w:val="none"/>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bCs/>
          <w:color w:val="auto"/>
          <w:szCs w:val="24"/>
          <w:highlight w:val="none"/>
          <w:u w:val="single"/>
        </w:rPr>
        <w:t xml:space="preserve">           </w:t>
      </w:r>
      <w:r>
        <w:rPr>
          <w:rFonts w:hint="eastAsia" w:ascii="宋体" w:hAnsi="宋体" w:eastAsia="宋体" w:cs="宋体"/>
          <w:bCs/>
          <w:color w:val="auto"/>
          <w:szCs w:val="24"/>
          <w:highlight w:val="none"/>
          <w:lang w:val="zh-CN"/>
        </w:rPr>
        <w:t>单位的</w:t>
      </w:r>
      <w:r>
        <w:rPr>
          <w:rFonts w:hint="eastAsia" w:ascii="宋体" w:hAnsi="宋体" w:eastAsia="宋体" w:cs="宋体"/>
          <w:bCs/>
          <w:color w:val="auto"/>
          <w:szCs w:val="24"/>
          <w:highlight w:val="none"/>
          <w:u w:val="single"/>
        </w:rPr>
        <w:t xml:space="preserve">           </w:t>
      </w:r>
      <w:r>
        <w:rPr>
          <w:rFonts w:hint="eastAsia" w:ascii="宋体" w:hAnsi="宋体" w:eastAsia="宋体" w:cs="宋体"/>
          <w:bCs/>
          <w:color w:val="auto"/>
          <w:szCs w:val="24"/>
          <w:highlight w:val="none"/>
          <w:lang w:val="zh-CN"/>
        </w:rPr>
        <w:t>项目采购活动提供本单位制造的货物（由本单位承担工程/提供服务），或者提供其他残疾人福利性单位制造的货物（不包括使用非残疾人福利性单位注册商标的货物）。</w:t>
      </w:r>
    </w:p>
    <w:p>
      <w:pPr>
        <w:autoSpaceDE w:val="0"/>
        <w:autoSpaceDN w:val="0"/>
        <w:adjustRightInd w:val="0"/>
        <w:spacing w:line="360" w:lineRule="auto"/>
        <w:ind w:firstLine="480" w:firstLineChars="200"/>
        <w:jc w:val="left"/>
        <w:outlineLvl w:val="9"/>
        <w:rPr>
          <w:rFonts w:hint="eastAsia" w:ascii="宋体" w:hAnsi="宋体" w:eastAsia="宋体" w:cs="宋体"/>
          <w:bCs/>
          <w:color w:val="auto"/>
          <w:szCs w:val="24"/>
          <w:highlight w:val="none"/>
          <w:lang w:val="zh-CN"/>
        </w:rPr>
      </w:pPr>
      <w:r>
        <w:rPr>
          <w:rFonts w:hint="eastAsia" w:ascii="宋体" w:hAnsi="宋体" w:eastAsia="宋体" w:cs="宋体"/>
          <w:bCs/>
          <w:color w:val="auto"/>
          <w:szCs w:val="24"/>
          <w:highlight w:val="none"/>
          <w:lang w:val="zh-CN"/>
        </w:rPr>
        <w:t>本单位对上述声明的真实性负责。如有虚假，将依法承担相应责任。</w:t>
      </w:r>
    </w:p>
    <w:p>
      <w:pPr>
        <w:autoSpaceDE w:val="0"/>
        <w:autoSpaceDN w:val="0"/>
        <w:adjustRightInd w:val="0"/>
        <w:spacing w:line="360" w:lineRule="auto"/>
        <w:ind w:firstLine="480" w:firstLineChars="200"/>
        <w:jc w:val="left"/>
        <w:outlineLvl w:val="9"/>
        <w:rPr>
          <w:rFonts w:hint="eastAsia" w:ascii="宋体" w:hAnsi="宋体" w:eastAsia="宋体" w:cs="宋体"/>
          <w:bCs/>
          <w:color w:val="auto"/>
          <w:szCs w:val="24"/>
          <w:highlight w:val="none"/>
          <w:lang w:val="zh-CN"/>
        </w:rPr>
      </w:pPr>
    </w:p>
    <w:p>
      <w:pPr>
        <w:autoSpaceDE w:val="0"/>
        <w:autoSpaceDN w:val="0"/>
        <w:adjustRightInd w:val="0"/>
        <w:spacing w:line="360" w:lineRule="auto"/>
        <w:ind w:firstLine="480" w:firstLineChars="200"/>
        <w:jc w:val="left"/>
        <w:outlineLvl w:val="9"/>
        <w:rPr>
          <w:rFonts w:hint="eastAsia" w:ascii="宋体" w:hAnsi="宋体" w:eastAsia="宋体" w:cs="宋体"/>
          <w:bCs/>
          <w:color w:val="auto"/>
          <w:szCs w:val="24"/>
          <w:highlight w:val="none"/>
          <w:lang w:val="zh-CN"/>
        </w:rPr>
      </w:pPr>
    </w:p>
    <w:p>
      <w:pPr>
        <w:autoSpaceDE w:val="0"/>
        <w:autoSpaceDN w:val="0"/>
        <w:adjustRightInd w:val="0"/>
        <w:spacing w:line="360" w:lineRule="auto"/>
        <w:ind w:firstLine="3840" w:firstLineChars="1600"/>
        <w:jc w:val="left"/>
        <w:outlineLvl w:val="9"/>
        <w:rPr>
          <w:rFonts w:hint="eastAsia" w:ascii="宋体" w:hAnsi="宋体" w:eastAsia="宋体" w:cs="宋体"/>
          <w:bCs/>
          <w:color w:val="auto"/>
          <w:szCs w:val="24"/>
          <w:highlight w:val="none"/>
          <w:lang w:val="zh-CN"/>
        </w:rPr>
      </w:pPr>
      <w:r>
        <w:rPr>
          <w:rFonts w:hint="eastAsia" w:ascii="宋体" w:hAnsi="宋体" w:eastAsia="宋体" w:cs="宋体"/>
          <w:bCs/>
          <w:color w:val="auto"/>
          <w:szCs w:val="24"/>
          <w:highlight w:val="none"/>
          <w:lang w:val="zh-CN"/>
        </w:rPr>
        <w:t>单位名称（盖章）：</w:t>
      </w:r>
    </w:p>
    <w:p>
      <w:pPr>
        <w:autoSpaceDE w:val="0"/>
        <w:autoSpaceDN w:val="0"/>
        <w:adjustRightInd w:val="0"/>
        <w:spacing w:line="360" w:lineRule="auto"/>
        <w:ind w:firstLine="3840" w:firstLineChars="1600"/>
        <w:jc w:val="left"/>
        <w:outlineLvl w:val="9"/>
        <w:rPr>
          <w:rFonts w:hint="eastAsia" w:ascii="宋体" w:hAnsi="宋体" w:eastAsia="宋体" w:cs="宋体"/>
          <w:bCs/>
          <w:color w:val="auto"/>
          <w:szCs w:val="24"/>
          <w:highlight w:val="none"/>
          <w:lang w:val="zh-CN"/>
        </w:rPr>
      </w:pPr>
      <w:r>
        <w:rPr>
          <w:rFonts w:hint="eastAsia" w:ascii="宋体" w:hAnsi="宋体" w:eastAsia="宋体" w:cs="宋体"/>
          <w:bCs/>
          <w:color w:val="auto"/>
          <w:szCs w:val="24"/>
          <w:highlight w:val="none"/>
          <w:lang w:val="zh-CN"/>
        </w:rPr>
        <w:t>日  期：</w:t>
      </w:r>
    </w:p>
    <w:p>
      <w:pPr>
        <w:adjustRightInd w:val="0"/>
        <w:snapToGrid w:val="0"/>
        <w:spacing w:line="360" w:lineRule="auto"/>
        <w:jc w:val="left"/>
        <w:outlineLvl w:val="9"/>
        <w:rPr>
          <w:rFonts w:hint="eastAsia" w:ascii="宋体" w:hAnsi="宋体" w:eastAsia="宋体" w:cs="宋体"/>
          <w:color w:val="auto"/>
          <w:highlight w:val="none"/>
        </w:rPr>
      </w:pPr>
    </w:p>
    <w:p>
      <w:pPr>
        <w:tabs>
          <w:tab w:val="left" w:pos="1620"/>
          <w:tab w:val="left" w:pos="1800"/>
        </w:tabs>
        <w:spacing w:line="360" w:lineRule="auto"/>
        <w:ind w:right="617" w:rightChars="257"/>
        <w:jc w:val="left"/>
        <w:outlineLvl w:val="9"/>
        <w:rPr>
          <w:rFonts w:hint="eastAsia" w:ascii="宋体" w:hAnsi="宋体" w:eastAsia="宋体" w:cs="宋体"/>
          <w:color w:val="auto"/>
          <w:highlight w:val="none"/>
        </w:rPr>
      </w:pPr>
    </w:p>
    <w:p>
      <w:pPr>
        <w:autoSpaceDE w:val="0"/>
        <w:autoSpaceDN w:val="0"/>
        <w:adjustRightInd w:val="0"/>
        <w:spacing w:line="360" w:lineRule="auto"/>
        <w:jc w:val="left"/>
        <w:outlineLvl w:val="9"/>
        <w:rPr>
          <w:rFonts w:hint="eastAsia" w:ascii="宋体" w:hAnsi="宋体" w:eastAsia="宋体" w:cs="宋体"/>
          <w:bCs/>
          <w:color w:val="auto"/>
          <w:szCs w:val="24"/>
          <w:highlight w:val="none"/>
          <w:lang w:val="zh-CN"/>
        </w:rPr>
      </w:pPr>
    </w:p>
    <w:p>
      <w:pPr>
        <w:autoSpaceDE w:val="0"/>
        <w:autoSpaceDN w:val="0"/>
        <w:adjustRightInd w:val="0"/>
        <w:spacing w:line="360" w:lineRule="auto"/>
        <w:jc w:val="left"/>
        <w:outlineLvl w:val="9"/>
        <w:rPr>
          <w:rFonts w:hint="eastAsia" w:ascii="宋体" w:hAnsi="宋体" w:eastAsia="宋体" w:cs="宋体"/>
          <w:bCs/>
          <w:color w:val="auto"/>
          <w:szCs w:val="24"/>
          <w:highlight w:val="none"/>
          <w:lang w:val="zh-CN"/>
        </w:rPr>
      </w:pPr>
    </w:p>
    <w:p>
      <w:pPr>
        <w:autoSpaceDE w:val="0"/>
        <w:autoSpaceDN w:val="0"/>
        <w:adjustRightInd w:val="0"/>
        <w:spacing w:line="360" w:lineRule="auto"/>
        <w:jc w:val="left"/>
        <w:outlineLvl w:val="9"/>
        <w:rPr>
          <w:rFonts w:hint="eastAsia" w:ascii="宋体" w:hAnsi="宋体" w:eastAsia="宋体" w:cs="宋体"/>
          <w:bCs/>
          <w:color w:val="auto"/>
          <w:szCs w:val="24"/>
          <w:highlight w:val="none"/>
          <w:lang w:val="zh-CN"/>
        </w:rPr>
      </w:pPr>
      <w:r>
        <w:rPr>
          <w:rFonts w:hint="eastAsia" w:ascii="宋体" w:hAnsi="宋体" w:eastAsia="宋体" w:cs="宋体"/>
          <w:bCs/>
          <w:color w:val="auto"/>
          <w:szCs w:val="24"/>
          <w:highlight w:val="none"/>
          <w:lang w:val="zh-CN"/>
        </w:rPr>
        <w:t>注：</w:t>
      </w:r>
      <w:r>
        <w:rPr>
          <w:rFonts w:hint="eastAsia" w:ascii="宋体" w:hAnsi="宋体" w:eastAsia="宋体" w:cs="宋体"/>
          <w:bCs/>
          <w:color w:val="auto"/>
          <w:szCs w:val="24"/>
          <w:highlight w:val="none"/>
        </w:rPr>
        <w:t>1.供应商</w:t>
      </w:r>
      <w:r>
        <w:rPr>
          <w:rFonts w:hint="eastAsia" w:ascii="宋体" w:hAnsi="宋体" w:eastAsia="宋体" w:cs="宋体"/>
          <w:bCs/>
          <w:color w:val="auto"/>
          <w:szCs w:val="24"/>
          <w:highlight w:val="none"/>
          <w:lang w:val="zh-CN"/>
        </w:rPr>
        <w:t>应仔细阅读《财政部 民政部 中国残疾人联合会关于促进残疾人就业政府采购政策的通知》，并如实填写本表，符合条件的供应商未按上述要求提供、填写的，评审时不予以考虑。</w:t>
      </w:r>
    </w:p>
    <w:p>
      <w:pPr>
        <w:autoSpaceDE w:val="0"/>
        <w:autoSpaceDN w:val="0"/>
        <w:adjustRightInd w:val="0"/>
        <w:spacing w:line="360" w:lineRule="auto"/>
        <w:ind w:firstLine="240" w:firstLineChars="100"/>
        <w:jc w:val="left"/>
        <w:outlineLvl w:val="9"/>
        <w:rPr>
          <w:rFonts w:hint="eastAsia" w:ascii="宋体" w:hAnsi="宋体" w:eastAsia="宋体" w:cs="宋体"/>
          <w:b/>
          <w:color w:val="auto"/>
          <w:szCs w:val="24"/>
          <w:highlight w:val="none"/>
          <w:lang w:val="zh-CN"/>
        </w:rPr>
      </w:pPr>
      <w:r>
        <w:rPr>
          <w:rFonts w:hint="eastAsia" w:ascii="宋体" w:hAnsi="宋体" w:eastAsia="宋体" w:cs="宋体"/>
          <w:color w:val="auto"/>
          <w:szCs w:val="21"/>
          <w:highlight w:val="none"/>
        </w:rPr>
        <w:t>2.如不是该类企业则不需提供相关声明，若提供虚假材料谋取中标、成交的，将按照《</w:t>
      </w:r>
      <w:r>
        <w:rPr>
          <w:rFonts w:hint="eastAsia" w:ascii="宋体" w:hAnsi="宋体" w:eastAsia="宋体" w:cs="宋体"/>
          <w:color w:val="auto"/>
          <w:spacing w:val="4"/>
          <w:szCs w:val="24"/>
          <w:highlight w:val="none"/>
        </w:rPr>
        <w:t>中华人民共和国政府采购法</w:t>
      </w:r>
      <w:r>
        <w:rPr>
          <w:rFonts w:hint="eastAsia" w:ascii="宋体" w:hAnsi="宋体" w:eastAsia="宋体" w:cs="宋体"/>
          <w:color w:val="auto"/>
          <w:szCs w:val="21"/>
          <w:highlight w:val="none"/>
        </w:rPr>
        <w:t>》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0"/>
        <w:spacing w:line="360" w:lineRule="auto"/>
        <w:jc w:val="left"/>
        <w:outlineLvl w:val="9"/>
        <w:rPr>
          <w:rFonts w:hint="eastAsia" w:ascii="宋体" w:hAnsi="宋体" w:eastAsia="宋体" w:cs="宋体"/>
          <w:color w:val="auto"/>
          <w:highlight w:val="none"/>
        </w:rPr>
      </w:pPr>
    </w:p>
    <w:p>
      <w:pPr>
        <w:pStyle w:val="10"/>
        <w:spacing w:line="360" w:lineRule="auto"/>
        <w:jc w:val="left"/>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r>
        <w:rPr>
          <w:rFonts w:hint="eastAsia" w:ascii="宋体" w:hAnsi="宋体" w:eastAsia="宋体" w:cs="宋体"/>
          <w:b/>
          <w:bCs/>
          <w:color w:val="auto"/>
          <w:sz w:val="30"/>
          <w:szCs w:val="30"/>
          <w:highlight w:val="none"/>
        </w:rPr>
        <w:t>附件</w:t>
      </w:r>
      <w:r>
        <w:rPr>
          <w:rFonts w:hint="eastAsia" w:ascii="宋体" w:hAnsi="宋体" w:cs="宋体"/>
          <w:b/>
          <w:bCs/>
          <w:color w:val="auto"/>
          <w:sz w:val="30"/>
          <w:szCs w:val="30"/>
          <w:highlight w:val="none"/>
          <w:lang w:val="en-US" w:eastAsia="zh-CN"/>
        </w:rPr>
        <w:t>9</w:t>
      </w:r>
      <w:r>
        <w:rPr>
          <w:rFonts w:hint="eastAsia" w:ascii="宋体" w:hAnsi="宋体" w:eastAsia="宋体" w:cs="宋体"/>
          <w:b/>
          <w:bCs/>
          <w:color w:val="auto"/>
          <w:sz w:val="30"/>
          <w:szCs w:val="30"/>
          <w:highlight w:val="none"/>
        </w:rPr>
        <w:t>：（如有）</w:t>
      </w:r>
    </w:p>
    <w:p>
      <w:pPr>
        <w:pStyle w:val="10"/>
        <w:spacing w:line="360" w:lineRule="auto"/>
        <w:jc w:val="center"/>
        <w:outlineLvl w:val="9"/>
        <w:rPr>
          <w:rFonts w:hint="eastAsia" w:ascii="宋体" w:hAnsi="宋体" w:eastAsia="宋体" w:cs="宋体"/>
          <w:b/>
          <w:bCs/>
          <w:color w:val="auto"/>
          <w:sz w:val="30"/>
          <w:szCs w:val="30"/>
          <w:highlight w:val="none"/>
        </w:rPr>
      </w:pPr>
      <w:bookmarkStart w:id="218" w:name="_Toc14555_WPSOffice_Level1"/>
      <w:bookmarkStart w:id="219" w:name="_Toc30531_WPSOffice_Level1"/>
      <w:r>
        <w:rPr>
          <w:rFonts w:hint="eastAsia" w:ascii="宋体" w:hAnsi="宋体" w:eastAsia="宋体" w:cs="宋体"/>
          <w:b/>
          <w:bCs/>
          <w:color w:val="auto"/>
          <w:sz w:val="30"/>
          <w:szCs w:val="30"/>
          <w:highlight w:val="none"/>
        </w:rPr>
        <w:t>监狱企业证明文件</w:t>
      </w:r>
      <w:bookmarkEnd w:id="218"/>
      <w:bookmarkEnd w:id="219"/>
    </w:p>
    <w:p>
      <w:pPr>
        <w:spacing w:line="360" w:lineRule="auto"/>
        <w:ind w:firstLine="480" w:firstLineChars="20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jc w:val="left"/>
        <w:outlineLvl w:val="9"/>
        <w:rPr>
          <w:rFonts w:hint="eastAsia" w:ascii="宋体" w:hAnsi="宋体" w:eastAsia="宋体" w:cs="宋体"/>
          <w:b/>
          <w:bCs/>
          <w:color w:val="auto"/>
          <w:sz w:val="28"/>
          <w:szCs w:val="28"/>
          <w:highlight w:val="none"/>
        </w:rPr>
      </w:pPr>
      <w:r>
        <w:rPr>
          <w:rFonts w:hint="eastAsia" w:ascii="宋体" w:hAnsi="宋体" w:eastAsia="宋体" w:cs="宋体"/>
          <w:color w:val="auto"/>
          <w:highlight w:val="none"/>
        </w:rPr>
        <w:t>监狱企业参加政府采购活动时，应当提供由省级以上监狱管理局、戒毒管理局（含新疆生产建设兵团）出具的属于监狱企业的证明文件。</w:t>
      </w:r>
    </w:p>
    <w:p>
      <w:pPr>
        <w:spacing w:before="156" w:beforeLines="50" w:after="312" w:afterLines="100"/>
        <w:jc w:val="left"/>
        <w:outlineLvl w:val="9"/>
        <w:rPr>
          <w:rFonts w:hint="eastAsia" w:ascii="宋体" w:hAnsi="宋体" w:eastAsia="宋体" w:cs="宋体"/>
          <w:b/>
          <w:bCs/>
          <w:color w:val="auto"/>
          <w:sz w:val="28"/>
          <w:szCs w:val="28"/>
          <w:highlight w:val="none"/>
        </w:rPr>
      </w:pPr>
    </w:p>
    <w:p>
      <w:pPr>
        <w:spacing w:before="156" w:beforeLines="50" w:after="312" w:afterLines="100"/>
        <w:jc w:val="left"/>
        <w:outlineLvl w:val="9"/>
        <w:rPr>
          <w:rFonts w:hint="eastAsia" w:ascii="宋体" w:hAnsi="宋体" w:eastAsia="宋体" w:cs="宋体"/>
          <w:b/>
          <w:bCs/>
          <w:color w:val="auto"/>
          <w:sz w:val="28"/>
          <w:szCs w:val="28"/>
          <w:highlight w:val="none"/>
        </w:rPr>
      </w:pPr>
    </w:p>
    <w:p>
      <w:pPr>
        <w:spacing w:before="156" w:beforeLines="50" w:after="312" w:afterLines="100"/>
        <w:jc w:val="left"/>
        <w:outlineLvl w:val="9"/>
        <w:rPr>
          <w:rFonts w:hint="eastAsia" w:ascii="宋体" w:hAnsi="宋体" w:eastAsia="宋体" w:cs="宋体"/>
          <w:b/>
          <w:bCs/>
          <w:color w:val="auto"/>
          <w:sz w:val="28"/>
          <w:szCs w:val="28"/>
          <w:highlight w:val="none"/>
        </w:rPr>
      </w:pPr>
    </w:p>
    <w:p>
      <w:pPr>
        <w:spacing w:before="156" w:beforeLines="50" w:after="312" w:afterLines="100"/>
        <w:jc w:val="left"/>
        <w:outlineLvl w:val="9"/>
        <w:rPr>
          <w:rFonts w:hint="eastAsia" w:ascii="宋体" w:hAnsi="宋体" w:eastAsia="宋体" w:cs="宋体"/>
          <w:b/>
          <w:bCs/>
          <w:color w:val="auto"/>
          <w:sz w:val="28"/>
          <w:szCs w:val="28"/>
          <w:highlight w:val="none"/>
        </w:rPr>
      </w:pPr>
    </w:p>
    <w:p>
      <w:pPr>
        <w:spacing w:before="156" w:beforeLines="50" w:after="312" w:afterLines="100"/>
        <w:jc w:val="left"/>
        <w:outlineLvl w:val="9"/>
        <w:rPr>
          <w:rFonts w:hint="eastAsia" w:ascii="宋体" w:hAnsi="宋体" w:eastAsia="宋体" w:cs="宋体"/>
          <w:b/>
          <w:bCs/>
          <w:color w:val="auto"/>
          <w:sz w:val="28"/>
          <w:szCs w:val="28"/>
          <w:highlight w:val="none"/>
        </w:rPr>
      </w:pPr>
    </w:p>
    <w:p>
      <w:pPr>
        <w:adjustRightInd w:val="0"/>
        <w:snapToGrid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pPr>
        <w:adjustRightInd w:val="0"/>
        <w:snapToGrid w:val="0"/>
        <w:spacing w:line="360" w:lineRule="auto"/>
        <w:ind w:firstLine="525"/>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1.无格式要求，由出具监狱企业证明的单位自行拟定；</w:t>
      </w:r>
    </w:p>
    <w:p>
      <w:pPr>
        <w:adjustRightInd w:val="0"/>
        <w:snapToGrid w:val="0"/>
        <w:spacing w:line="360" w:lineRule="auto"/>
        <w:ind w:firstLine="525"/>
        <w:outlineLvl w:val="9"/>
        <w:rPr>
          <w:rFonts w:hint="eastAsia" w:ascii="宋体" w:hAnsi="宋体" w:eastAsia="宋体" w:cs="宋体"/>
          <w:color w:val="auto"/>
          <w:sz w:val="28"/>
          <w:szCs w:val="28"/>
          <w:highlight w:val="none"/>
        </w:rPr>
      </w:pPr>
      <w:r>
        <w:rPr>
          <w:rFonts w:hint="eastAsia" w:ascii="宋体" w:hAnsi="宋体" w:eastAsia="宋体" w:cs="宋体"/>
          <w:color w:val="auto"/>
          <w:szCs w:val="21"/>
          <w:highlight w:val="none"/>
        </w:rPr>
        <w:t>2.如不是该类企业则不需提供相关声明，若提供虚假材料谋取中标、成交的，将按照《</w:t>
      </w:r>
      <w:r>
        <w:rPr>
          <w:rFonts w:hint="eastAsia" w:ascii="宋体" w:hAnsi="宋体" w:eastAsia="宋体" w:cs="宋体"/>
          <w:color w:val="auto"/>
          <w:spacing w:val="4"/>
          <w:szCs w:val="24"/>
          <w:highlight w:val="none"/>
        </w:rPr>
        <w:t>中华人民共和国政府采购法</w:t>
      </w:r>
      <w:r>
        <w:rPr>
          <w:rFonts w:hint="eastAsia" w:ascii="宋体" w:hAnsi="宋体" w:eastAsia="宋体" w:cs="宋体"/>
          <w:color w:val="auto"/>
          <w:szCs w:val="21"/>
          <w:highlight w:val="none"/>
        </w:rPr>
        <w:t>》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5"/>
        <w:outlineLvl w:val="9"/>
        <w:rPr>
          <w:rFonts w:hint="eastAsia" w:ascii="宋体" w:hAnsi="宋体" w:eastAsia="宋体" w:cs="宋体"/>
          <w:color w:val="auto"/>
          <w:highlight w:val="none"/>
        </w:rPr>
      </w:pPr>
    </w:p>
    <w:p>
      <w:pPr>
        <w:outlineLvl w:val="9"/>
        <w:rPr>
          <w:rFonts w:hint="eastAsia" w:ascii="宋体" w:hAnsi="宋体" w:eastAsia="宋体" w:cs="宋体"/>
          <w:color w:val="auto"/>
          <w:sz w:val="32"/>
          <w:szCs w:val="32"/>
          <w:highlight w:val="none"/>
        </w:rPr>
      </w:pPr>
      <w:r>
        <w:rPr>
          <w:rFonts w:hint="eastAsia" w:ascii="宋体" w:hAnsi="宋体" w:eastAsia="宋体" w:cs="宋体"/>
          <w:b/>
          <w:bCs/>
          <w:color w:val="auto"/>
          <w:sz w:val="28"/>
          <w:szCs w:val="32"/>
          <w:highlight w:val="none"/>
        </w:rPr>
        <w:t>附件</w:t>
      </w:r>
      <w:r>
        <w:rPr>
          <w:rFonts w:hint="eastAsia" w:hAnsi="宋体" w:cs="宋体"/>
          <w:b/>
          <w:bCs/>
          <w:color w:val="auto"/>
          <w:sz w:val="28"/>
          <w:szCs w:val="32"/>
          <w:highlight w:val="none"/>
          <w:lang w:val="en-US" w:eastAsia="zh-CN"/>
        </w:rPr>
        <w:t>10</w:t>
      </w:r>
      <w:r>
        <w:rPr>
          <w:rFonts w:hint="eastAsia" w:ascii="宋体" w:hAnsi="宋体" w:eastAsia="宋体" w:cs="宋体"/>
          <w:b/>
          <w:bCs/>
          <w:color w:val="auto"/>
          <w:sz w:val="28"/>
          <w:szCs w:val="32"/>
          <w:highlight w:val="none"/>
        </w:rPr>
        <w:t>：</w:t>
      </w:r>
      <w:r>
        <w:rPr>
          <w:rFonts w:hint="eastAsia" w:ascii="宋体" w:hAnsi="宋体" w:eastAsia="宋体" w:cs="宋体"/>
          <w:b/>
          <w:bCs/>
          <w:color w:val="auto"/>
          <w:sz w:val="32"/>
          <w:szCs w:val="32"/>
          <w:highlight w:val="none"/>
        </w:rPr>
        <w:t xml:space="preserve"> </w:t>
      </w:r>
      <w:r>
        <w:rPr>
          <w:rFonts w:hint="eastAsia" w:ascii="宋体" w:hAnsi="宋体" w:eastAsia="宋体" w:cs="宋体"/>
          <w:color w:val="auto"/>
          <w:sz w:val="32"/>
          <w:szCs w:val="32"/>
          <w:highlight w:val="none"/>
        </w:rPr>
        <w:t xml:space="preserve">           </w:t>
      </w:r>
    </w:p>
    <w:p>
      <w:pPr>
        <w:spacing w:before="0" w:beforeLines="0" w:line="360" w:lineRule="auto"/>
        <w:outlineLvl w:val="9"/>
        <w:rPr>
          <w:rFonts w:hint="eastAsia" w:ascii="宋体" w:hAnsi="宋体" w:eastAsia="宋体" w:cs="宋体"/>
          <w:color w:val="auto"/>
          <w:sz w:val="32"/>
          <w:szCs w:val="32"/>
          <w:highlight w:val="none"/>
        </w:rPr>
      </w:pPr>
      <w:bookmarkStart w:id="220" w:name="_Toc12552"/>
      <w:bookmarkStart w:id="221" w:name="_Toc24929"/>
      <w:bookmarkStart w:id="222" w:name="_Toc1161"/>
      <w:bookmarkStart w:id="223" w:name="_Toc2047"/>
      <w:bookmarkStart w:id="224" w:name="_Toc25705"/>
      <w:bookmarkStart w:id="225" w:name="_Toc14543"/>
      <w:bookmarkStart w:id="226" w:name="_Toc1523"/>
      <w:bookmarkStart w:id="227" w:name="_Toc4284"/>
      <w:bookmarkStart w:id="228" w:name="_Toc15349"/>
      <w:bookmarkStart w:id="229" w:name="_Toc29658"/>
      <w:bookmarkStart w:id="230" w:name="_Toc19656"/>
      <w:r>
        <w:rPr>
          <w:rFonts w:hint="eastAsia" w:ascii="宋体" w:hAnsi="宋体" w:eastAsia="宋体" w:cs="宋体"/>
          <w:color w:val="auto"/>
          <w:sz w:val="32"/>
          <w:szCs w:val="32"/>
          <w:highlight w:val="none"/>
        </w:rPr>
        <w:t>封袋正面标识式样</w:t>
      </w:r>
      <w:bookmarkEnd w:id="220"/>
      <w:bookmarkEnd w:id="221"/>
      <w:bookmarkEnd w:id="222"/>
      <w:bookmarkEnd w:id="223"/>
      <w:bookmarkEnd w:id="224"/>
      <w:bookmarkEnd w:id="225"/>
      <w:bookmarkEnd w:id="226"/>
      <w:bookmarkEnd w:id="227"/>
      <w:bookmarkEnd w:id="228"/>
      <w:bookmarkEnd w:id="229"/>
      <w:bookmarkEnd w:id="230"/>
    </w:p>
    <w:p>
      <w:pPr>
        <w:spacing w:line="460" w:lineRule="exact"/>
        <w:outlineLvl w:val="9"/>
        <w:rPr>
          <w:rFonts w:hint="eastAsia" w:ascii="宋体" w:hAnsi="宋体" w:eastAsia="宋体" w:cs="宋体"/>
          <w:b/>
          <w:color w:val="auto"/>
          <w:szCs w:val="24"/>
          <w:highlight w:val="none"/>
        </w:rPr>
      </w:pPr>
      <w:bookmarkStart w:id="231" w:name="_Toc26956"/>
      <w:r>
        <w:rPr>
          <w:rFonts w:hint="eastAsia" w:ascii="宋体" w:hAnsi="宋体" w:eastAsia="宋体" w:cs="宋体"/>
          <w:b/>
          <w:color w:val="auto"/>
          <w:szCs w:val="24"/>
          <w:highlight w:val="none"/>
        </w:rPr>
        <w:t>格式A：磋商响应文件封袋正面标识式样</w:t>
      </w:r>
      <w:bookmarkEnd w:id="231"/>
    </w:p>
    <w:p>
      <w:pPr>
        <w:spacing w:line="460" w:lineRule="exact"/>
        <w:ind w:firstLine="482" w:firstLineChars="200"/>
        <w:outlineLvl w:val="9"/>
        <w:rPr>
          <w:rFonts w:hint="eastAsia" w:ascii="宋体" w:hAnsi="宋体" w:eastAsia="宋体" w:cs="宋体"/>
          <w:b/>
          <w:color w:val="auto"/>
          <w:highlight w:val="none"/>
        </w:rPr>
      </w:pPr>
      <w:r>
        <w:rPr>
          <w:rFonts w:hint="eastAsia" w:ascii="宋体" w:hAnsi="宋体" w:eastAsia="宋体" w:cs="宋体"/>
          <w:b/>
          <w:color w:val="auto"/>
          <w:highlight w:val="none"/>
          <w:lang w:val="zh-CN"/>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153670</wp:posOffset>
                </wp:positionV>
                <wp:extent cx="5479415" cy="3471545"/>
                <wp:effectExtent l="4445" t="4445" r="21590" b="10160"/>
                <wp:wrapNone/>
                <wp:docPr id="2" name="文本框 2"/>
                <wp:cNvGraphicFramePr/>
                <a:graphic xmlns:a="http://schemas.openxmlformats.org/drawingml/2006/main">
                  <a:graphicData uri="http://schemas.microsoft.com/office/word/2010/wordprocessingShape">
                    <wps:wsp>
                      <wps:cNvSpPr txBox="1"/>
                      <wps:spPr>
                        <a:xfrm>
                          <a:off x="0" y="0"/>
                          <a:ext cx="5479415" cy="3471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西北国际（陕西）造价管理集团有限公司</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项目编号：                                  </w:t>
                            </w:r>
                            <w:r>
                              <w:rPr>
                                <w:rFonts w:hint="eastAsia" w:ascii="宋体" w:hAnsi="宋体" w:eastAsia="宋体" w:cs="宋体"/>
                                <w:color w:val="000000"/>
                                <w:sz w:val="28"/>
                                <w:szCs w:val="28"/>
                              </w:rPr>
                              <w:t xml:space="preserve">      </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项目名称：                             </w:t>
                            </w:r>
                          </w:p>
                          <w:p>
                            <w:pPr>
                              <w:jc w:val="center"/>
                              <w:rPr>
                                <w:rFonts w:hint="eastAsia" w:ascii="宋体" w:hAnsi="宋体" w:eastAsia="宋体" w:cs="宋体"/>
                                <w:b/>
                                <w:sz w:val="44"/>
                                <w:szCs w:val="44"/>
                              </w:rPr>
                            </w:pPr>
                            <w:r>
                              <w:rPr>
                                <w:rFonts w:hint="eastAsia" w:ascii="宋体" w:hAnsi="宋体" w:eastAsia="宋体" w:cs="宋体"/>
                                <w:b/>
                                <w:sz w:val="44"/>
                                <w:szCs w:val="44"/>
                              </w:rPr>
                              <w:t>磋商响应文件（正本或副本）</w:t>
                            </w:r>
                          </w:p>
                          <w:p>
                            <w:pPr>
                              <w:jc w:val="center"/>
                              <w:rPr>
                                <w:rFonts w:hint="eastAsia" w:ascii="宋体" w:hAnsi="宋体" w:eastAsia="宋体" w:cs="宋体"/>
                                <w:sz w:val="28"/>
                                <w:szCs w:val="28"/>
                              </w:rPr>
                            </w:pPr>
                            <w:r>
                              <w:rPr>
                                <w:rFonts w:hint="eastAsia" w:ascii="宋体" w:hAnsi="宋体" w:eastAsia="宋体" w:cs="宋体"/>
                                <w:sz w:val="28"/>
                                <w:szCs w:val="28"/>
                              </w:rPr>
                              <w:t>（非磋商会议不得启封）</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供应商名称（公章）： </w:t>
                            </w:r>
                          </w:p>
                          <w:p>
                            <w:pPr>
                              <w:rPr>
                                <w:rFonts w:hint="eastAsia" w:ascii="宋体" w:hAnsi="宋体" w:eastAsia="宋体" w:cs="宋体"/>
                                <w:sz w:val="28"/>
                                <w:szCs w:val="28"/>
                              </w:rPr>
                            </w:pPr>
                            <w:r>
                              <w:rPr>
                                <w:rFonts w:hint="eastAsia" w:ascii="宋体" w:hAnsi="宋体" w:eastAsia="宋体" w:cs="宋体"/>
                                <w:sz w:val="28"/>
                                <w:szCs w:val="28"/>
                              </w:rPr>
                              <w:t>磋商时间：</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9pt;margin-top:12.1pt;height:273.35pt;width:431.45pt;z-index:251659264;mso-width-relative:page;mso-height-relative:page;" fillcolor="#FFFFFF" filled="t" stroked="t" coordsize="21600,21600" o:gfxdata="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wuh12AAAAAkBAAAPAAAAAAAAAAEAIAAA&#10;ACIAAABkcnMvZG93bnJldi54bWxQSwECFAAUAAAACACHTuJAM2i+tQwCAAA3BAAADgAAAAAAAAAB&#10;ACAAAAAnAQAAZHJzL2Uyb0RvYy54bWxQSwUGAAAAAAYABgBZAQAApQUAAAAA&#10;">
                <v:fill on="t" focussize="0,0"/>
                <v:stroke color="#000000" joinstyle="miter"/>
                <v:imagedata o:title=""/>
                <o:lock v:ext="edit" aspectratio="f"/>
                <v:textbo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西北国际（陕西）造价管理集团有限公司</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项目编号：                                  </w:t>
                      </w:r>
                      <w:r>
                        <w:rPr>
                          <w:rFonts w:hint="eastAsia" w:ascii="宋体" w:hAnsi="宋体" w:eastAsia="宋体" w:cs="宋体"/>
                          <w:color w:val="000000"/>
                          <w:sz w:val="28"/>
                          <w:szCs w:val="28"/>
                        </w:rPr>
                        <w:t xml:space="preserve">      </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项目名称：                             </w:t>
                      </w:r>
                    </w:p>
                    <w:p>
                      <w:pPr>
                        <w:jc w:val="center"/>
                        <w:rPr>
                          <w:rFonts w:hint="eastAsia" w:ascii="宋体" w:hAnsi="宋体" w:eastAsia="宋体" w:cs="宋体"/>
                          <w:b/>
                          <w:sz w:val="44"/>
                          <w:szCs w:val="44"/>
                        </w:rPr>
                      </w:pPr>
                      <w:r>
                        <w:rPr>
                          <w:rFonts w:hint="eastAsia" w:ascii="宋体" w:hAnsi="宋体" w:eastAsia="宋体" w:cs="宋体"/>
                          <w:b/>
                          <w:sz w:val="44"/>
                          <w:szCs w:val="44"/>
                        </w:rPr>
                        <w:t>磋商响应文件（正本或副本）</w:t>
                      </w:r>
                    </w:p>
                    <w:p>
                      <w:pPr>
                        <w:jc w:val="center"/>
                        <w:rPr>
                          <w:rFonts w:hint="eastAsia" w:ascii="宋体" w:hAnsi="宋体" w:eastAsia="宋体" w:cs="宋体"/>
                          <w:sz w:val="28"/>
                          <w:szCs w:val="28"/>
                        </w:rPr>
                      </w:pPr>
                      <w:r>
                        <w:rPr>
                          <w:rFonts w:hint="eastAsia" w:ascii="宋体" w:hAnsi="宋体" w:eastAsia="宋体" w:cs="宋体"/>
                          <w:sz w:val="28"/>
                          <w:szCs w:val="28"/>
                        </w:rPr>
                        <w:t>（非磋商会议不得启封）</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供应商名称（公章）： </w:t>
                      </w:r>
                    </w:p>
                    <w:p>
                      <w:pPr>
                        <w:rPr>
                          <w:rFonts w:hint="eastAsia" w:ascii="宋体" w:hAnsi="宋体" w:eastAsia="宋体" w:cs="宋体"/>
                          <w:sz w:val="28"/>
                          <w:szCs w:val="28"/>
                        </w:rPr>
                      </w:pPr>
                      <w:r>
                        <w:rPr>
                          <w:rFonts w:hint="eastAsia" w:ascii="宋体" w:hAnsi="宋体" w:eastAsia="宋体" w:cs="宋体"/>
                          <w:sz w:val="28"/>
                          <w:szCs w:val="28"/>
                        </w:rPr>
                        <w:t>磋商时间：</w:t>
                      </w:r>
                    </w:p>
                    <w:p>
                      <w:pPr>
                        <w:rPr>
                          <w:sz w:val="28"/>
                          <w:szCs w:val="28"/>
                        </w:rPr>
                      </w:pPr>
                      <w:r>
                        <w:rPr>
                          <w:rFonts w:hint="eastAsia"/>
                          <w:sz w:val="28"/>
                          <w:szCs w:val="28"/>
                        </w:rPr>
                        <w:t xml:space="preserve">                                </w:t>
                      </w:r>
                    </w:p>
                  </w:txbxContent>
                </v:textbox>
              </v:shape>
            </w:pict>
          </mc:Fallback>
        </mc:AlternateContent>
      </w:r>
    </w:p>
    <w:p>
      <w:pPr>
        <w:spacing w:line="420" w:lineRule="exact"/>
        <w:outlineLvl w:val="9"/>
        <w:rPr>
          <w:rFonts w:hint="eastAsia" w:ascii="宋体" w:hAnsi="宋体" w:eastAsia="宋体" w:cs="宋体"/>
          <w:b/>
          <w:color w:val="auto"/>
          <w:sz w:val="32"/>
          <w:szCs w:val="32"/>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p>
    <w:p>
      <w:pPr>
        <w:outlineLvl w:val="9"/>
        <w:rPr>
          <w:rFonts w:hint="eastAsia" w:ascii="宋体" w:hAnsi="宋体" w:eastAsia="宋体" w:cs="宋体"/>
          <w:b/>
          <w:color w:val="auto"/>
          <w:highlight w:val="none"/>
        </w:rPr>
      </w:pPr>
    </w:p>
    <w:p>
      <w:pPr>
        <w:outlineLvl w:val="9"/>
        <w:rPr>
          <w:rFonts w:hint="eastAsia" w:ascii="宋体" w:hAnsi="宋体" w:eastAsia="宋体" w:cs="宋体"/>
          <w:b/>
          <w:color w:val="auto"/>
          <w:highlight w:val="none"/>
        </w:rPr>
      </w:pPr>
    </w:p>
    <w:p>
      <w:pPr>
        <w:outlineLvl w:val="9"/>
        <w:rPr>
          <w:rFonts w:hint="eastAsia" w:ascii="宋体" w:hAnsi="宋体" w:eastAsia="宋体" w:cs="宋体"/>
          <w:b/>
          <w:color w:val="auto"/>
          <w:highlight w:val="none"/>
        </w:rPr>
      </w:pPr>
    </w:p>
    <w:p>
      <w:pPr>
        <w:outlineLvl w:val="9"/>
        <w:rPr>
          <w:rFonts w:hint="eastAsia" w:ascii="宋体" w:hAnsi="宋体" w:eastAsia="宋体" w:cs="宋体"/>
          <w:b/>
          <w:color w:val="auto"/>
          <w:highlight w:val="none"/>
        </w:rPr>
      </w:pPr>
    </w:p>
    <w:p>
      <w:pPr>
        <w:outlineLvl w:val="9"/>
        <w:rPr>
          <w:rFonts w:hint="eastAsia" w:ascii="宋体" w:hAnsi="宋体" w:eastAsia="宋体" w:cs="宋体"/>
          <w:b/>
          <w:color w:val="auto"/>
          <w:highlight w:val="none"/>
        </w:rPr>
      </w:pPr>
    </w:p>
    <w:p>
      <w:pPr>
        <w:outlineLvl w:val="9"/>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 xml:space="preserve"> </w:t>
      </w:r>
      <w:bookmarkStart w:id="232" w:name="_Toc3030"/>
      <w:r>
        <w:rPr>
          <w:rFonts w:hint="eastAsia" w:ascii="宋体" w:hAnsi="宋体" w:eastAsia="宋体" w:cs="宋体"/>
          <w:b/>
          <w:color w:val="auto"/>
          <w:szCs w:val="24"/>
          <w:highlight w:val="none"/>
        </w:rPr>
        <w:t>格式B：电子版封袋正面标识式样</w:t>
      </w:r>
      <w:bookmarkEnd w:id="232"/>
    </w:p>
    <w:p>
      <w:pPr>
        <w:spacing w:line="460" w:lineRule="exact"/>
        <w:ind w:firstLine="482" w:firstLineChars="200"/>
        <w:outlineLvl w:val="9"/>
        <w:rPr>
          <w:rFonts w:hint="eastAsia" w:ascii="宋体" w:hAnsi="宋体" w:eastAsia="宋体" w:cs="宋体"/>
          <w:b/>
          <w:color w:val="auto"/>
          <w:highlight w:val="none"/>
        </w:rPr>
      </w:pPr>
      <w:r>
        <w:rPr>
          <w:rFonts w:hint="eastAsia" w:ascii="宋体" w:hAnsi="宋体" w:eastAsia="宋体" w:cs="宋体"/>
          <w:b/>
          <w:color w:val="auto"/>
          <w:highlight w:val="none"/>
          <w:lang w:val="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123190</wp:posOffset>
                </wp:positionV>
                <wp:extent cx="5479415" cy="3500755"/>
                <wp:effectExtent l="4445" t="4445" r="21590" b="19050"/>
                <wp:wrapNone/>
                <wp:docPr id="4" name="文本框 4"/>
                <wp:cNvGraphicFramePr/>
                <a:graphic xmlns:a="http://schemas.openxmlformats.org/drawingml/2006/main">
                  <a:graphicData uri="http://schemas.microsoft.com/office/word/2010/wordprocessingShape">
                    <wps:wsp>
                      <wps:cNvSpPr txBox="1"/>
                      <wps:spPr>
                        <a:xfrm>
                          <a:off x="0" y="0"/>
                          <a:ext cx="5479415" cy="3500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西北国际（陕西）造价管理集团有限公司</w:t>
                            </w:r>
                          </w:p>
                          <w:p>
                            <w:pPr>
                              <w:rPr>
                                <w:rFonts w:hint="eastAsia" w:ascii="宋体" w:hAnsi="宋体" w:eastAsia="宋体" w:cs="宋体"/>
                                <w:sz w:val="28"/>
                                <w:szCs w:val="28"/>
                              </w:rPr>
                            </w:pPr>
                            <w:r>
                              <w:rPr>
                                <w:rFonts w:hint="eastAsia" w:ascii="宋体" w:hAnsi="宋体" w:eastAsia="宋体" w:cs="宋体"/>
                                <w:sz w:val="28"/>
                                <w:szCs w:val="28"/>
                              </w:rPr>
                              <w:t xml:space="preserve">项目编号：                                 </w:t>
                            </w:r>
                            <w:r>
                              <w:rPr>
                                <w:rFonts w:hint="eastAsia" w:ascii="宋体" w:hAnsi="宋体" w:eastAsia="宋体" w:cs="宋体"/>
                                <w:color w:val="000000"/>
                                <w:sz w:val="28"/>
                                <w:szCs w:val="28"/>
                              </w:rPr>
                              <w:t xml:space="preserve">     </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项目名称：                                </w:t>
                            </w:r>
                            <w:r>
                              <w:rPr>
                                <w:rFonts w:hint="eastAsia" w:ascii="宋体" w:hAnsi="宋体" w:eastAsia="宋体" w:cs="宋体"/>
                                <w:color w:val="FF0000"/>
                                <w:sz w:val="28"/>
                                <w:szCs w:val="28"/>
                              </w:rPr>
                              <w:t xml:space="preserve"> </w:t>
                            </w:r>
                          </w:p>
                          <w:p>
                            <w:pPr>
                              <w:jc w:val="center"/>
                              <w:rPr>
                                <w:rFonts w:hint="eastAsia" w:ascii="宋体" w:hAnsi="宋体" w:eastAsia="宋体" w:cs="宋体"/>
                                <w:b/>
                                <w:sz w:val="44"/>
                                <w:szCs w:val="44"/>
                              </w:rPr>
                            </w:pPr>
                            <w:r>
                              <w:rPr>
                                <w:rFonts w:hint="eastAsia" w:ascii="宋体" w:hAnsi="宋体" w:eastAsia="宋体" w:cs="宋体"/>
                                <w:b/>
                                <w:sz w:val="44"/>
                                <w:szCs w:val="44"/>
                              </w:rPr>
                              <w:t>电子版本</w:t>
                            </w:r>
                          </w:p>
                          <w:p>
                            <w:pPr>
                              <w:jc w:val="center"/>
                              <w:rPr>
                                <w:rFonts w:hint="eastAsia" w:ascii="宋体" w:hAnsi="宋体" w:eastAsia="宋体" w:cs="宋体"/>
                                <w:sz w:val="28"/>
                                <w:szCs w:val="28"/>
                              </w:rPr>
                            </w:pPr>
                            <w:r>
                              <w:rPr>
                                <w:rFonts w:hint="eastAsia" w:ascii="宋体" w:hAnsi="宋体" w:eastAsia="宋体" w:cs="宋体"/>
                                <w:sz w:val="28"/>
                                <w:szCs w:val="28"/>
                              </w:rPr>
                              <w:t>（非磋商会议不得启封）</w:t>
                            </w:r>
                          </w:p>
                          <w:p>
                            <w:pPr>
                              <w:jc w:val="cente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供应商名称（公章）： </w:t>
                            </w:r>
                          </w:p>
                          <w:p>
                            <w:pPr>
                              <w:rPr>
                                <w:rFonts w:hint="eastAsia" w:ascii="宋体" w:hAnsi="宋体" w:eastAsia="宋体" w:cs="宋体"/>
                                <w:sz w:val="28"/>
                                <w:szCs w:val="28"/>
                              </w:rPr>
                            </w:pPr>
                            <w:r>
                              <w:rPr>
                                <w:rFonts w:hint="eastAsia" w:ascii="宋体" w:hAnsi="宋体" w:eastAsia="宋体" w:cs="宋体"/>
                                <w:sz w:val="28"/>
                                <w:szCs w:val="28"/>
                              </w:rPr>
                              <w:t>磋商时间：</w:t>
                            </w:r>
                          </w:p>
                        </w:txbxContent>
                      </wps:txbx>
                      <wps:bodyPr upright="1"/>
                    </wps:wsp>
                  </a:graphicData>
                </a:graphic>
              </wp:anchor>
            </w:drawing>
          </mc:Choice>
          <mc:Fallback>
            <w:pict>
              <v:shape id="_x0000_s1026" o:spid="_x0000_s1026" o:spt="202" type="#_x0000_t202" style="position:absolute;left:0pt;margin-left:9pt;margin-top:9.7pt;height:275.65pt;width:431.45pt;z-index:251660288;mso-width-relative:page;mso-height-relative:page;" fillcolor="#FFFFFF" filled="t" stroked="t" coordsize="21600,21600" o:gfxdata="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MlefYAAAACQEAAA8AAAAAAAAAAQAgAAAA&#10;IgAAAGRycy9kb3ducmV2LnhtbFBLAQIUABQAAAAIAIdO4kDtxKl6CwIAADcEAAAOAAAAAAAAAAEA&#10;IAAAACcBAABkcnMvZTJvRG9jLnhtbFBLBQYAAAAABgAGAFkBAACkBQAAAAA=&#10;">
                <v:fill on="t" focussize="0,0"/>
                <v:stroke color="#000000" joinstyle="miter"/>
                <v:imagedata o:title=""/>
                <o:lock v:ext="edit" aspectratio="f"/>
                <v:textbox>
                  <w:txbxContent>
                    <w:p>
                      <w:pPr>
                        <w:rPr>
                          <w:rFonts w:hint="eastAsia" w:ascii="宋体" w:hAnsi="宋体" w:eastAsia="宋体" w:cs="宋体"/>
                          <w:sz w:val="28"/>
                          <w:szCs w:val="28"/>
                          <w:lang w:eastAsia="zh-CN"/>
                        </w:rPr>
                      </w:pPr>
                      <w:r>
                        <w:rPr>
                          <w:rFonts w:hint="eastAsia" w:ascii="宋体" w:hAnsi="宋体" w:eastAsia="宋体" w:cs="宋体"/>
                          <w:sz w:val="28"/>
                          <w:szCs w:val="28"/>
                        </w:rPr>
                        <w:t>致：</w:t>
                      </w:r>
                      <w:r>
                        <w:rPr>
                          <w:rFonts w:hint="eastAsia" w:hAnsi="宋体" w:cs="宋体"/>
                          <w:sz w:val="28"/>
                          <w:szCs w:val="28"/>
                          <w:lang w:eastAsia="zh-CN"/>
                        </w:rPr>
                        <w:t>西北国际（陕西）造价管理集团有限公司</w:t>
                      </w:r>
                    </w:p>
                    <w:p>
                      <w:pPr>
                        <w:rPr>
                          <w:rFonts w:hint="eastAsia" w:ascii="宋体" w:hAnsi="宋体" w:eastAsia="宋体" w:cs="宋体"/>
                          <w:sz w:val="28"/>
                          <w:szCs w:val="28"/>
                        </w:rPr>
                      </w:pPr>
                      <w:r>
                        <w:rPr>
                          <w:rFonts w:hint="eastAsia" w:ascii="宋体" w:hAnsi="宋体" w:eastAsia="宋体" w:cs="宋体"/>
                          <w:sz w:val="28"/>
                          <w:szCs w:val="28"/>
                        </w:rPr>
                        <w:t xml:space="preserve">项目编号：                                 </w:t>
                      </w:r>
                      <w:r>
                        <w:rPr>
                          <w:rFonts w:hint="eastAsia" w:ascii="宋体" w:hAnsi="宋体" w:eastAsia="宋体" w:cs="宋体"/>
                          <w:color w:val="000000"/>
                          <w:sz w:val="28"/>
                          <w:szCs w:val="28"/>
                        </w:rPr>
                        <w:t xml:space="preserve">     </w:t>
                      </w:r>
                    </w:p>
                    <w:p>
                      <w:pPr>
                        <w:rPr>
                          <w:rFonts w:hint="eastAsia" w:ascii="宋体" w:hAnsi="宋体" w:eastAsia="宋体" w:cs="宋体"/>
                          <w:color w:val="FF0000"/>
                          <w:sz w:val="28"/>
                          <w:szCs w:val="28"/>
                        </w:rPr>
                      </w:pPr>
                      <w:r>
                        <w:rPr>
                          <w:rFonts w:hint="eastAsia" w:ascii="宋体" w:hAnsi="宋体" w:eastAsia="宋体" w:cs="宋体"/>
                          <w:sz w:val="28"/>
                          <w:szCs w:val="28"/>
                        </w:rPr>
                        <w:t xml:space="preserve">项目名称：                                </w:t>
                      </w:r>
                      <w:r>
                        <w:rPr>
                          <w:rFonts w:hint="eastAsia" w:ascii="宋体" w:hAnsi="宋体" w:eastAsia="宋体" w:cs="宋体"/>
                          <w:color w:val="FF0000"/>
                          <w:sz w:val="28"/>
                          <w:szCs w:val="28"/>
                        </w:rPr>
                        <w:t xml:space="preserve"> </w:t>
                      </w:r>
                    </w:p>
                    <w:p>
                      <w:pPr>
                        <w:jc w:val="center"/>
                        <w:rPr>
                          <w:rFonts w:hint="eastAsia" w:ascii="宋体" w:hAnsi="宋体" w:eastAsia="宋体" w:cs="宋体"/>
                          <w:b/>
                          <w:sz w:val="44"/>
                          <w:szCs w:val="44"/>
                        </w:rPr>
                      </w:pPr>
                      <w:r>
                        <w:rPr>
                          <w:rFonts w:hint="eastAsia" w:ascii="宋体" w:hAnsi="宋体" w:eastAsia="宋体" w:cs="宋体"/>
                          <w:b/>
                          <w:sz w:val="44"/>
                          <w:szCs w:val="44"/>
                        </w:rPr>
                        <w:t>电子版本</w:t>
                      </w:r>
                    </w:p>
                    <w:p>
                      <w:pPr>
                        <w:jc w:val="center"/>
                        <w:rPr>
                          <w:rFonts w:hint="eastAsia" w:ascii="宋体" w:hAnsi="宋体" w:eastAsia="宋体" w:cs="宋体"/>
                          <w:sz w:val="28"/>
                          <w:szCs w:val="28"/>
                        </w:rPr>
                      </w:pPr>
                      <w:r>
                        <w:rPr>
                          <w:rFonts w:hint="eastAsia" w:ascii="宋体" w:hAnsi="宋体" w:eastAsia="宋体" w:cs="宋体"/>
                          <w:sz w:val="28"/>
                          <w:szCs w:val="28"/>
                        </w:rPr>
                        <w:t>（非磋商会议不得启封）</w:t>
                      </w:r>
                    </w:p>
                    <w:p>
                      <w:pPr>
                        <w:jc w:val="cente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供应商名称（公章）： </w:t>
                      </w:r>
                    </w:p>
                    <w:p>
                      <w:pPr>
                        <w:rPr>
                          <w:rFonts w:hint="eastAsia" w:ascii="宋体" w:hAnsi="宋体" w:eastAsia="宋体" w:cs="宋体"/>
                          <w:sz w:val="28"/>
                          <w:szCs w:val="28"/>
                        </w:rPr>
                      </w:pPr>
                      <w:r>
                        <w:rPr>
                          <w:rFonts w:hint="eastAsia" w:ascii="宋体" w:hAnsi="宋体" w:eastAsia="宋体" w:cs="宋体"/>
                          <w:sz w:val="28"/>
                          <w:szCs w:val="28"/>
                        </w:rPr>
                        <w:t>磋商时间：</w:t>
                      </w:r>
                    </w:p>
                  </w:txbxContent>
                </v:textbox>
              </v:shape>
            </w:pict>
          </mc:Fallback>
        </mc:AlternateContent>
      </w:r>
    </w:p>
    <w:p>
      <w:pPr>
        <w:tabs>
          <w:tab w:val="left" w:pos="684"/>
        </w:tabs>
        <w:jc w:val="left"/>
        <w:outlineLvl w:val="9"/>
        <w:rPr>
          <w:rFonts w:hint="eastAsia" w:ascii="宋体" w:hAnsi="宋体" w:eastAsia="宋体" w:cs="宋体"/>
          <w:color w:val="auto"/>
          <w:highlight w:val="none"/>
        </w:rPr>
      </w:pPr>
    </w:p>
    <w:p>
      <w:pPr>
        <w:outlineLvl w:val="9"/>
        <w:rPr>
          <w:rFonts w:hint="eastAsia" w:ascii="宋体" w:hAnsi="宋体" w:eastAsia="宋体" w:cs="宋体"/>
          <w:b/>
          <w:color w:val="auto"/>
          <w:szCs w:val="24"/>
          <w:highlight w:val="none"/>
        </w:rPr>
      </w:pPr>
    </w:p>
    <w:p>
      <w:pPr>
        <w:outlineLvl w:val="9"/>
        <w:rPr>
          <w:rFonts w:hint="eastAsia" w:ascii="宋体" w:hAnsi="宋体" w:eastAsia="宋体" w:cs="宋体"/>
          <w:b/>
          <w:color w:val="auto"/>
          <w:szCs w:val="24"/>
          <w:highlight w:val="none"/>
        </w:rPr>
      </w:pPr>
    </w:p>
    <w:p>
      <w:pPr>
        <w:outlineLvl w:val="9"/>
        <w:rPr>
          <w:rFonts w:hint="eastAsia" w:ascii="宋体" w:hAnsi="宋体" w:eastAsia="宋体" w:cs="宋体"/>
          <w:b/>
          <w:color w:val="auto"/>
          <w:szCs w:val="24"/>
          <w:highlight w:val="none"/>
        </w:rPr>
      </w:pPr>
    </w:p>
    <w:p>
      <w:pPr>
        <w:outlineLvl w:val="9"/>
        <w:rPr>
          <w:rFonts w:hint="eastAsia" w:ascii="宋体" w:hAnsi="宋体" w:eastAsia="宋体" w:cs="宋体"/>
          <w:b/>
          <w:color w:val="auto"/>
          <w:szCs w:val="24"/>
          <w:highlight w:val="none"/>
        </w:rPr>
      </w:pPr>
    </w:p>
    <w:p>
      <w:pPr>
        <w:outlineLvl w:val="9"/>
        <w:rPr>
          <w:rFonts w:hint="eastAsia" w:ascii="宋体" w:hAnsi="宋体" w:eastAsia="宋体" w:cs="宋体"/>
          <w:b/>
          <w:color w:val="auto"/>
          <w:szCs w:val="24"/>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spacing w:line="460" w:lineRule="exact"/>
        <w:outlineLvl w:val="9"/>
        <w:rPr>
          <w:rFonts w:hint="eastAsia" w:ascii="宋体" w:hAnsi="宋体" w:eastAsia="宋体" w:cs="宋体"/>
          <w:b/>
          <w:color w:val="auto"/>
          <w:highlight w:val="none"/>
        </w:rPr>
      </w:pPr>
    </w:p>
    <w:p>
      <w:pPr>
        <w:spacing w:line="460" w:lineRule="exact"/>
        <w:outlineLvl w:val="9"/>
        <w:rPr>
          <w:rFonts w:hint="eastAsia" w:ascii="宋体" w:hAnsi="宋体" w:eastAsia="宋体" w:cs="宋体"/>
          <w:b/>
          <w:color w:val="auto"/>
          <w:highlight w:val="none"/>
        </w:rPr>
      </w:pPr>
    </w:p>
    <w:p>
      <w:pPr>
        <w:spacing w:line="460" w:lineRule="exact"/>
        <w:outlineLvl w:val="9"/>
        <w:rPr>
          <w:rFonts w:hint="eastAsia" w:ascii="宋体" w:hAnsi="宋体" w:eastAsia="宋体" w:cs="宋体"/>
          <w:b/>
          <w:color w:val="auto"/>
          <w:highlight w:val="none"/>
        </w:rPr>
      </w:pPr>
    </w:p>
    <w:p>
      <w:pPr>
        <w:spacing w:line="460" w:lineRule="exact"/>
        <w:outlineLvl w:val="9"/>
        <w:rPr>
          <w:rFonts w:hint="eastAsia" w:ascii="宋体" w:hAnsi="宋体" w:eastAsia="宋体" w:cs="宋体"/>
          <w:b/>
          <w:color w:val="auto"/>
          <w:highlight w:val="none"/>
        </w:rPr>
      </w:pPr>
    </w:p>
    <w:p>
      <w:pPr>
        <w:spacing w:line="460" w:lineRule="exact"/>
        <w:outlineLvl w:val="9"/>
        <w:rPr>
          <w:rFonts w:hint="eastAsia" w:ascii="宋体" w:hAnsi="宋体" w:eastAsia="宋体" w:cs="宋体"/>
          <w:b/>
          <w:color w:val="auto"/>
          <w:szCs w:val="24"/>
          <w:highlight w:val="none"/>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onsolas">
    <w:panose1 w:val="020B0609020204030204"/>
    <w:charset w:val="00"/>
    <w:family w:val="auto"/>
    <w:pitch w:val="default"/>
    <w:sig w:usb0="E00006FF" w:usb1="0000FCFF" w:usb2="00000001" w:usb3="00000000" w:csb0="6000019F" w:csb1="DFD70000"/>
  </w:font>
  <w:font w:name="SourceHanSansCN-Regular">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fldChar w:fldCharType="begin"/>
    </w:r>
    <w:r>
      <w:rPr>
        <w:rStyle w:val="24"/>
      </w:rPr>
      <w:instrText xml:space="preserve">PAGE  </w:instrText>
    </w:r>
    <w:r>
      <w:fldChar w:fldCharType="separate"/>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楷体" w:hAnsi="楷体" w:eastAsia="楷体"/>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宋体"/>
        <w:sz w:val="21"/>
        <w:szCs w:val="21"/>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-100330</wp:posOffset>
          </wp:positionV>
          <wp:extent cx="2490470" cy="310515"/>
          <wp:effectExtent l="0" t="0" r="0" b="0"/>
          <wp:wrapSquare wrapText="bothSides"/>
          <wp:docPr id="8" name="图片 2" descr="2249735d9b3174d59d847bca3f75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249735d9b3174d59d847bca3f75d60"/>
                  <pic:cNvPicPr>
                    <a:picLocks noChangeAspect="1"/>
                  </pic:cNvPicPr>
                </pic:nvPicPr>
                <pic:blipFill>
                  <a:blip r:embed="rId1"/>
                  <a:stretch>
                    <a:fillRect/>
                  </a:stretch>
                </pic:blipFill>
                <pic:spPr>
                  <a:xfrm>
                    <a:off x="0" y="0"/>
                    <a:ext cx="2490470" cy="31051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rPr>
        <w:rFonts w:hint="eastAsia" w:ascii="楷体" w:hAnsi="楷体" w:eastAsia="楷体" w:cs="仿宋"/>
        <w:szCs w:val="24"/>
        <w:lang w:eastAsia="zh-CN"/>
      </w:rPr>
    </w:pPr>
    <w:r>
      <w:rPr>
        <w:rFonts w:hint="eastAsia" w:eastAsia="宋体"/>
        <w:sz w:val="21"/>
        <w:szCs w:val="21"/>
        <w:lang w:eastAsia="zh-CN"/>
      </w:rPr>
      <w:drawing>
        <wp:anchor distT="0" distB="0" distL="114300" distR="114300" simplePos="0" relativeHeight="251663360" behindDoc="0" locked="0" layoutInCell="1" allowOverlap="1">
          <wp:simplePos x="0" y="0"/>
          <wp:positionH relativeFrom="column">
            <wp:posOffset>-134620</wp:posOffset>
          </wp:positionH>
          <wp:positionV relativeFrom="paragraph">
            <wp:posOffset>-139065</wp:posOffset>
          </wp:positionV>
          <wp:extent cx="2317750" cy="351790"/>
          <wp:effectExtent l="0" t="0" r="0" b="0"/>
          <wp:wrapSquare wrapText="bothSides"/>
          <wp:docPr id="3" name="图片 2" descr="2249735d9b3174d59d847bca3f75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249735d9b3174d59d847bca3f75d60"/>
                  <pic:cNvPicPr>
                    <a:picLocks noChangeAspect="1"/>
                  </pic:cNvPicPr>
                </pic:nvPicPr>
                <pic:blipFill>
                  <a:blip r:embed="rId1"/>
                  <a:stretch>
                    <a:fillRect/>
                  </a:stretch>
                </pic:blipFill>
                <pic:spPr>
                  <a:xfrm>
                    <a:off x="0" y="0"/>
                    <a:ext cx="2317750" cy="3517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0C85D5"/>
    <w:multiLevelType w:val="singleLevel"/>
    <w:tmpl w:val="A50C85D5"/>
    <w:lvl w:ilvl="0" w:tentative="0">
      <w:start w:val="1"/>
      <w:numFmt w:val="decimal"/>
      <w:suff w:val="nothing"/>
      <w:lvlText w:val="%1、"/>
      <w:lvlJc w:val="left"/>
    </w:lvl>
  </w:abstractNum>
  <w:abstractNum w:abstractNumId="1">
    <w:nsid w:val="BC862BF3"/>
    <w:multiLevelType w:val="singleLevel"/>
    <w:tmpl w:val="BC862BF3"/>
    <w:lvl w:ilvl="0" w:tentative="0">
      <w:start w:val="1"/>
      <w:numFmt w:val="chineseCounting"/>
      <w:suff w:val="space"/>
      <w:lvlText w:val="第%1章"/>
      <w:lvlJc w:val="left"/>
      <w:rPr>
        <w:rFonts w:hint="eastAsia"/>
      </w:rPr>
    </w:lvl>
  </w:abstractNum>
  <w:abstractNum w:abstractNumId="2">
    <w:nsid w:val="0000001F"/>
    <w:multiLevelType w:val="singleLevel"/>
    <w:tmpl w:val="0000001F"/>
    <w:lvl w:ilvl="0" w:tentative="0">
      <w:start w:val="1"/>
      <w:numFmt w:val="decimal"/>
      <w:pStyle w:val="32"/>
      <w:lvlText w:val="%1．"/>
      <w:lvlJc w:val="left"/>
      <w:pPr>
        <w:tabs>
          <w:tab w:val="left" w:pos="720"/>
        </w:tabs>
        <w:ind w:left="720" w:hanging="720"/>
      </w:pPr>
    </w:lvl>
  </w:abstractNum>
  <w:abstractNum w:abstractNumId="3">
    <w:nsid w:val="0C7D72BC"/>
    <w:multiLevelType w:val="singleLevel"/>
    <w:tmpl w:val="0C7D72BC"/>
    <w:lvl w:ilvl="0" w:tentative="0">
      <w:start w:val="3"/>
      <w:numFmt w:val="decimal"/>
      <w:suff w:val="nothing"/>
      <w:lvlText w:val="%1、"/>
      <w:lvlJc w:val="left"/>
    </w:lvl>
  </w:abstractNum>
  <w:abstractNum w:abstractNumId="4">
    <w:nsid w:val="44C0B547"/>
    <w:multiLevelType w:val="singleLevel"/>
    <w:tmpl w:val="44C0B547"/>
    <w:lvl w:ilvl="0" w:tentative="0">
      <w:start w:val="28"/>
      <w:numFmt w:val="decimal"/>
      <w:suff w:val="nothing"/>
      <w:lvlText w:val="%1．"/>
      <w:lvlJc w:val="left"/>
    </w:lvl>
  </w:abstractNum>
  <w:abstractNum w:abstractNumId="5">
    <w:nsid w:val="6D162CDE"/>
    <w:multiLevelType w:val="multilevel"/>
    <w:tmpl w:val="6D162CDE"/>
    <w:lvl w:ilvl="0" w:tentative="0">
      <w:start w:val="1"/>
      <w:numFmt w:val="decimalEnclosedCircle"/>
      <w:lvlText w:val="%1"/>
      <w:lvlJc w:val="left"/>
      <w:pPr>
        <w:ind w:left="588" w:hanging="360"/>
      </w:pPr>
      <w:rPr>
        <w:rFonts w:hint="default"/>
      </w:rPr>
    </w:lvl>
    <w:lvl w:ilvl="1" w:tentative="0">
      <w:start w:val="1"/>
      <w:numFmt w:val="lowerLetter"/>
      <w:lvlText w:val="%2)"/>
      <w:lvlJc w:val="left"/>
      <w:pPr>
        <w:ind w:left="1068" w:hanging="420"/>
      </w:pPr>
    </w:lvl>
    <w:lvl w:ilvl="2" w:tentative="0">
      <w:start w:val="1"/>
      <w:numFmt w:val="lowerRoman"/>
      <w:lvlText w:val="%3."/>
      <w:lvlJc w:val="right"/>
      <w:pPr>
        <w:ind w:left="1488" w:hanging="420"/>
      </w:pPr>
    </w:lvl>
    <w:lvl w:ilvl="3" w:tentative="0">
      <w:start w:val="1"/>
      <w:numFmt w:val="decimal"/>
      <w:lvlText w:val="%4."/>
      <w:lvlJc w:val="left"/>
      <w:pPr>
        <w:ind w:left="1908" w:hanging="420"/>
      </w:pPr>
    </w:lvl>
    <w:lvl w:ilvl="4" w:tentative="0">
      <w:start w:val="1"/>
      <w:numFmt w:val="lowerLetter"/>
      <w:lvlText w:val="%5)"/>
      <w:lvlJc w:val="left"/>
      <w:pPr>
        <w:ind w:left="2328" w:hanging="420"/>
      </w:pPr>
    </w:lvl>
    <w:lvl w:ilvl="5" w:tentative="0">
      <w:start w:val="1"/>
      <w:numFmt w:val="lowerRoman"/>
      <w:lvlText w:val="%6."/>
      <w:lvlJc w:val="right"/>
      <w:pPr>
        <w:ind w:left="2748" w:hanging="420"/>
      </w:pPr>
    </w:lvl>
    <w:lvl w:ilvl="6" w:tentative="0">
      <w:start w:val="1"/>
      <w:numFmt w:val="decimal"/>
      <w:lvlText w:val="%7."/>
      <w:lvlJc w:val="left"/>
      <w:pPr>
        <w:ind w:left="3168" w:hanging="420"/>
      </w:pPr>
    </w:lvl>
    <w:lvl w:ilvl="7" w:tentative="0">
      <w:start w:val="1"/>
      <w:numFmt w:val="lowerLetter"/>
      <w:lvlText w:val="%8)"/>
      <w:lvlJc w:val="left"/>
      <w:pPr>
        <w:ind w:left="3588" w:hanging="420"/>
      </w:pPr>
    </w:lvl>
    <w:lvl w:ilvl="8" w:tentative="0">
      <w:start w:val="1"/>
      <w:numFmt w:val="lowerRoman"/>
      <w:lvlText w:val="%9."/>
      <w:lvlJc w:val="right"/>
      <w:pPr>
        <w:ind w:left="4008" w:hanging="420"/>
      </w:p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3MmRiZTFjOWU3N2UyMDAyMTU4NTMxYWNlNjU3MDcifQ=="/>
  </w:docVars>
  <w:rsids>
    <w:rsidRoot w:val="00000000"/>
    <w:rsid w:val="01282F51"/>
    <w:rsid w:val="02E508A1"/>
    <w:rsid w:val="03721278"/>
    <w:rsid w:val="04B15FA2"/>
    <w:rsid w:val="04D20ED1"/>
    <w:rsid w:val="04DA26C6"/>
    <w:rsid w:val="086B5C15"/>
    <w:rsid w:val="087F2384"/>
    <w:rsid w:val="0A9F0D0A"/>
    <w:rsid w:val="0BCA7220"/>
    <w:rsid w:val="0C8335F8"/>
    <w:rsid w:val="10DB145B"/>
    <w:rsid w:val="1230575B"/>
    <w:rsid w:val="14BE16BC"/>
    <w:rsid w:val="15F333DA"/>
    <w:rsid w:val="16B5089D"/>
    <w:rsid w:val="17F93760"/>
    <w:rsid w:val="1AB141B6"/>
    <w:rsid w:val="1DBA0A81"/>
    <w:rsid w:val="1EFE261C"/>
    <w:rsid w:val="20EF61F7"/>
    <w:rsid w:val="21FA6030"/>
    <w:rsid w:val="224C47AB"/>
    <w:rsid w:val="254E083A"/>
    <w:rsid w:val="27067FEC"/>
    <w:rsid w:val="27B54DF4"/>
    <w:rsid w:val="280665D3"/>
    <w:rsid w:val="29A2665C"/>
    <w:rsid w:val="2B823EB1"/>
    <w:rsid w:val="2B8D5567"/>
    <w:rsid w:val="2DFF31CA"/>
    <w:rsid w:val="2E3A6356"/>
    <w:rsid w:val="3203529E"/>
    <w:rsid w:val="359244F1"/>
    <w:rsid w:val="364B48AF"/>
    <w:rsid w:val="36555990"/>
    <w:rsid w:val="36F06E8E"/>
    <w:rsid w:val="37792134"/>
    <w:rsid w:val="37AC3127"/>
    <w:rsid w:val="3A211C22"/>
    <w:rsid w:val="3B050A58"/>
    <w:rsid w:val="3CD4741F"/>
    <w:rsid w:val="3F3B0013"/>
    <w:rsid w:val="41F45048"/>
    <w:rsid w:val="4232344F"/>
    <w:rsid w:val="427B102B"/>
    <w:rsid w:val="43D92CDB"/>
    <w:rsid w:val="44FD197E"/>
    <w:rsid w:val="4638257F"/>
    <w:rsid w:val="46630DF2"/>
    <w:rsid w:val="47273319"/>
    <w:rsid w:val="47441201"/>
    <w:rsid w:val="47656525"/>
    <w:rsid w:val="482D1F14"/>
    <w:rsid w:val="4A22407D"/>
    <w:rsid w:val="4C8A2770"/>
    <w:rsid w:val="4EBA674B"/>
    <w:rsid w:val="4F437F50"/>
    <w:rsid w:val="5033300F"/>
    <w:rsid w:val="51AA2FB3"/>
    <w:rsid w:val="53E5062E"/>
    <w:rsid w:val="551226AE"/>
    <w:rsid w:val="55902664"/>
    <w:rsid w:val="562C39D0"/>
    <w:rsid w:val="5632402F"/>
    <w:rsid w:val="59C43F01"/>
    <w:rsid w:val="5B834092"/>
    <w:rsid w:val="5C3A7F30"/>
    <w:rsid w:val="5C94729A"/>
    <w:rsid w:val="5D894BF4"/>
    <w:rsid w:val="5E972869"/>
    <w:rsid w:val="5FE73D01"/>
    <w:rsid w:val="6031049F"/>
    <w:rsid w:val="61215115"/>
    <w:rsid w:val="6401024A"/>
    <w:rsid w:val="655672F7"/>
    <w:rsid w:val="66091A9E"/>
    <w:rsid w:val="67492CC0"/>
    <w:rsid w:val="68A94EDD"/>
    <w:rsid w:val="68C10378"/>
    <w:rsid w:val="6BAB16B2"/>
    <w:rsid w:val="6BC57151"/>
    <w:rsid w:val="6C3B0944"/>
    <w:rsid w:val="6D33142A"/>
    <w:rsid w:val="70E77441"/>
    <w:rsid w:val="710161CB"/>
    <w:rsid w:val="72494A66"/>
    <w:rsid w:val="73596236"/>
    <w:rsid w:val="73A40BF2"/>
    <w:rsid w:val="752A0703"/>
    <w:rsid w:val="7561323F"/>
    <w:rsid w:val="766F54E7"/>
    <w:rsid w:val="79424F6E"/>
    <w:rsid w:val="7D986C68"/>
    <w:rsid w:val="7F9168DD"/>
    <w:rsid w:val="7F9F4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qFormat/>
    <w:uiPriority w:val="0"/>
    <w:pPr>
      <w:keepNext/>
      <w:outlineLvl w:val="0"/>
    </w:pPr>
    <w:rPr>
      <w:rFonts w:ascii="仿宋_GB2312" w:hAnsi="宋体" w:eastAsia="仿宋_GB2312"/>
      <w:b/>
      <w:kern w:val="2"/>
      <w:sz w:val="32"/>
    </w:rPr>
  </w:style>
  <w:style w:type="paragraph" w:styleId="4">
    <w:name w:val="heading 2"/>
    <w:basedOn w:val="1"/>
    <w:next w:val="5"/>
    <w:link w:val="134"/>
    <w:qFormat/>
    <w:uiPriority w:val="1"/>
    <w:pPr>
      <w:ind w:left="636"/>
      <w:outlineLvl w:val="2"/>
    </w:pPr>
    <w:rPr>
      <w:rFonts w:ascii="宋体" w:hAnsi="宋体" w:eastAsia="宋体" w:cs="宋体"/>
      <w:sz w:val="28"/>
      <w:szCs w:val="28"/>
      <w:lang w:val="en-US" w:eastAsia="zh-CN" w:bidi="ar-SA"/>
    </w:rPr>
  </w:style>
  <w:style w:type="paragraph" w:styleId="6">
    <w:name w:val="heading 3"/>
    <w:basedOn w:val="1"/>
    <w:next w:val="1"/>
    <w:qFormat/>
    <w:uiPriority w:val="0"/>
    <w:pPr>
      <w:keepNext/>
      <w:spacing w:before="624" w:beforeLines="200" w:line="400" w:lineRule="exact"/>
      <w:jc w:val="center"/>
      <w:outlineLvl w:val="2"/>
    </w:pPr>
    <w:rPr>
      <w:rFonts w:ascii="Times New Roman"/>
      <w:b/>
      <w:bCs/>
      <w:kern w:val="2"/>
      <w:szCs w:val="24"/>
    </w:rPr>
  </w:style>
  <w:style w:type="paragraph" w:styleId="7">
    <w:name w:val="heading 4"/>
    <w:basedOn w:val="1"/>
    <w:next w:val="1"/>
    <w:qFormat/>
    <w:uiPriority w:val="0"/>
    <w:pPr>
      <w:keepNext/>
      <w:keepLines/>
      <w:tabs>
        <w:tab w:val="left" w:pos="864"/>
      </w:tabs>
      <w:spacing w:before="120" w:beforeLines="0" w:line="360" w:lineRule="auto"/>
      <w:ind w:left="864" w:hanging="864"/>
      <w:outlineLvl w:val="3"/>
    </w:pPr>
    <w:rPr>
      <w:rFonts w:ascii="Arial" w:hAnsi="Arial"/>
      <w:bCs/>
      <w:kern w:val="2"/>
      <w:szCs w:val="28"/>
    </w:rPr>
  </w:style>
  <w:style w:type="paragraph" w:styleId="8">
    <w:name w:val="heading 6"/>
    <w:basedOn w:val="1"/>
    <w:next w:val="1"/>
    <w:qFormat/>
    <w:uiPriority w:val="0"/>
    <w:pPr>
      <w:keepNext/>
      <w:keepLines/>
      <w:tabs>
        <w:tab w:val="left" w:pos="1152"/>
      </w:tabs>
      <w:spacing w:before="60" w:beforeLines="0" w:line="360" w:lineRule="auto"/>
      <w:ind w:left="1152" w:hanging="1152"/>
      <w:outlineLvl w:val="5"/>
    </w:pPr>
    <w:rPr>
      <w:rFonts w:ascii="Arial Unicode MS" w:hAnsi="Arial Unicode MS"/>
      <w:bCs/>
      <w:kern w:val="2"/>
      <w:szCs w:val="24"/>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列出段落1"/>
    <w:basedOn w:val="1"/>
    <w:qFormat/>
    <w:uiPriority w:val="0"/>
    <w:pPr>
      <w:widowControl/>
      <w:ind w:firstLine="420" w:firstLineChars="200"/>
      <w:jc w:val="left"/>
    </w:pPr>
    <w:rPr>
      <w:rFonts w:ascii="宋体" w:hAnsi="宋体" w:cs="宋体"/>
      <w:kern w:val="0"/>
      <w:sz w:val="24"/>
      <w:szCs w:val="24"/>
    </w:rPr>
  </w:style>
  <w:style w:type="paragraph" w:styleId="5">
    <w:name w:val="Normal Indent"/>
    <w:basedOn w:val="1"/>
    <w:next w:val="1"/>
    <w:qFormat/>
    <w:uiPriority w:val="0"/>
    <w:pPr>
      <w:spacing w:line="300" w:lineRule="auto"/>
      <w:ind w:firstLine="420" w:firstLineChars="200"/>
    </w:pPr>
    <w:rPr>
      <w:rFonts w:ascii="Times New Roman"/>
      <w:kern w:val="2"/>
      <w:sz w:val="21"/>
      <w:szCs w:val="24"/>
    </w:rPr>
  </w:style>
  <w:style w:type="paragraph" w:styleId="9">
    <w:name w:val="Document Map"/>
    <w:basedOn w:val="1"/>
    <w:qFormat/>
    <w:uiPriority w:val="0"/>
    <w:pPr>
      <w:shd w:val="clear" w:color="auto" w:fill="000080"/>
    </w:pPr>
    <w:rPr>
      <w:rFonts w:ascii="Times New Roman"/>
      <w:kern w:val="2"/>
      <w:sz w:val="21"/>
    </w:rPr>
  </w:style>
  <w:style w:type="paragraph" w:styleId="10">
    <w:name w:val="Body Text"/>
    <w:basedOn w:val="1"/>
    <w:next w:val="1"/>
    <w:qFormat/>
    <w:uiPriority w:val="0"/>
    <w:pPr>
      <w:spacing w:after="120" w:afterLines="0"/>
    </w:pPr>
    <w:rPr>
      <w:rFonts w:ascii="Times New Roman"/>
      <w:kern w:val="2"/>
      <w:sz w:val="21"/>
    </w:rPr>
  </w:style>
  <w:style w:type="paragraph" w:styleId="11">
    <w:name w:val="Body Text Indent"/>
    <w:basedOn w:val="1"/>
    <w:qFormat/>
    <w:uiPriority w:val="0"/>
    <w:pPr>
      <w:widowControl/>
      <w:ind w:firstLine="652" w:firstLineChars="233"/>
    </w:pPr>
    <w:rPr>
      <w:rFonts w:ascii="Times New Roman"/>
      <w:sz w:val="28"/>
    </w:rPr>
  </w:style>
  <w:style w:type="paragraph" w:styleId="12">
    <w:name w:val="Plain Text"/>
    <w:basedOn w:val="1"/>
    <w:next w:val="1"/>
    <w:qFormat/>
    <w:uiPriority w:val="0"/>
    <w:rPr>
      <w:rFonts w:hAnsi="Courier New"/>
      <w:kern w:val="2"/>
      <w:sz w:val="21"/>
    </w:rPr>
  </w:style>
  <w:style w:type="paragraph" w:styleId="13">
    <w:name w:val="Date"/>
    <w:basedOn w:val="1"/>
    <w:next w:val="1"/>
    <w:qFormat/>
    <w:uiPriority w:val="0"/>
    <w:rPr>
      <w:rFonts w:ascii="Times New Roman"/>
      <w:kern w:val="2"/>
      <w:sz w:val="28"/>
    </w:rPr>
  </w:style>
  <w:style w:type="paragraph" w:styleId="14">
    <w:name w:val="footer"/>
    <w:basedOn w:val="1"/>
    <w:qFormat/>
    <w:uiPriority w:val="99"/>
    <w:pPr>
      <w:tabs>
        <w:tab w:val="center" w:pos="4153"/>
        <w:tab w:val="right" w:pos="8306"/>
      </w:tabs>
      <w:snapToGrid w:val="0"/>
      <w:jc w:val="left"/>
    </w:pPr>
    <w:rPr>
      <w:rFonts w:ascii="Times New Roman"/>
      <w:kern w:val="2"/>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6">
    <w:name w:val="toc 1"/>
    <w:basedOn w:val="1"/>
    <w:next w:val="1"/>
    <w:unhideWhenUsed/>
    <w:qFormat/>
    <w:uiPriority w:val="39"/>
  </w:style>
  <w:style w:type="paragraph" w:styleId="17">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8">
    <w:name w:val="Normal (Web)"/>
    <w:basedOn w:val="1"/>
    <w:qFormat/>
    <w:uiPriority w:val="0"/>
    <w:pPr>
      <w:widowControl/>
      <w:spacing w:before="100" w:beforeLines="0" w:beforeAutospacing="1" w:after="100" w:afterLines="0" w:afterAutospacing="1"/>
      <w:jc w:val="left"/>
    </w:pPr>
    <w:rPr>
      <w:rFonts w:ascii="宋体" w:hAnsi="宋体"/>
      <w:kern w:val="0"/>
      <w:sz w:val="24"/>
      <w:szCs w:val="24"/>
    </w:rPr>
  </w:style>
  <w:style w:type="paragraph" w:styleId="19">
    <w:name w:val="Body Text First Indent"/>
    <w:basedOn w:val="10"/>
    <w:next w:val="1"/>
    <w:unhideWhenUsed/>
    <w:qFormat/>
    <w:uiPriority w:val="0"/>
    <w:pPr>
      <w:spacing w:after="120" w:afterLines="0" w:line="240" w:lineRule="auto"/>
      <w:ind w:firstLine="420" w:firstLineChars="100"/>
    </w:pPr>
    <w:rPr>
      <w:rFonts w:ascii="Times New Roman" w:hAnsi="Times New Roman"/>
      <w:color w:val="auto"/>
      <w:sz w:val="18"/>
      <w:szCs w:val="18"/>
    </w:rPr>
  </w:style>
  <w:style w:type="table" w:styleId="21">
    <w:name w:val="Table Grid"/>
    <w:basedOn w:val="20"/>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3">
    <w:name w:val="Strong"/>
    <w:basedOn w:val="22"/>
    <w:qFormat/>
    <w:uiPriority w:val="22"/>
    <w:rPr>
      <w:b/>
      <w:bCs/>
    </w:rPr>
  </w:style>
  <w:style w:type="character" w:styleId="24">
    <w:name w:val="page number"/>
    <w:qFormat/>
    <w:uiPriority w:val="0"/>
  </w:style>
  <w:style w:type="character" w:styleId="25">
    <w:name w:val="FollowedHyperlink"/>
    <w:basedOn w:val="22"/>
    <w:qFormat/>
    <w:uiPriority w:val="0"/>
    <w:rPr>
      <w:color w:val="333333"/>
      <w:u w:val="none"/>
    </w:rPr>
  </w:style>
  <w:style w:type="character" w:styleId="26">
    <w:name w:val="Emphasis"/>
    <w:basedOn w:val="22"/>
    <w:qFormat/>
    <w:uiPriority w:val="0"/>
  </w:style>
  <w:style w:type="character" w:styleId="27">
    <w:name w:val="HTML Definition"/>
    <w:basedOn w:val="22"/>
    <w:qFormat/>
    <w:uiPriority w:val="0"/>
    <w:rPr>
      <w:i/>
      <w:iCs/>
      <w:bdr w:val="single" w:color="D2D2D2" w:sz="6" w:space="0"/>
      <w:shd w:val="clear" w:fill="FFFFFF"/>
    </w:rPr>
  </w:style>
  <w:style w:type="character" w:styleId="28">
    <w:name w:val="Hyperlink"/>
    <w:basedOn w:val="22"/>
    <w:qFormat/>
    <w:uiPriority w:val="0"/>
    <w:rPr>
      <w:color w:val="333333"/>
      <w:u w:val="none"/>
    </w:rPr>
  </w:style>
  <w:style w:type="character" w:styleId="29">
    <w:name w:val="HTML Code"/>
    <w:basedOn w:val="22"/>
    <w:qFormat/>
    <w:uiPriority w:val="0"/>
    <w:rPr>
      <w:rFonts w:hint="default" w:ascii="Consolas" w:hAnsi="Consolas" w:eastAsia="Consolas" w:cs="Consolas"/>
      <w:color w:val="C7254E"/>
      <w:sz w:val="21"/>
      <w:szCs w:val="21"/>
      <w:shd w:val="clear" w:fill="F9F2F4"/>
    </w:rPr>
  </w:style>
  <w:style w:type="character" w:styleId="30">
    <w:name w:val="HTML Keyboard"/>
    <w:basedOn w:val="22"/>
    <w:qFormat/>
    <w:uiPriority w:val="0"/>
    <w:rPr>
      <w:rFonts w:hint="default" w:ascii="Consolas" w:hAnsi="Consolas" w:eastAsia="Consolas" w:cs="Consolas"/>
      <w:color w:val="FFFFFF"/>
      <w:sz w:val="21"/>
      <w:szCs w:val="21"/>
      <w:shd w:val="clear" w:fill="333333"/>
    </w:rPr>
  </w:style>
  <w:style w:type="character" w:styleId="31">
    <w:name w:val="HTML Sample"/>
    <w:basedOn w:val="22"/>
    <w:qFormat/>
    <w:uiPriority w:val="0"/>
    <w:rPr>
      <w:rFonts w:ascii="Consolas" w:hAnsi="Consolas" w:eastAsia="Consolas" w:cs="Consolas"/>
      <w:sz w:val="21"/>
      <w:szCs w:val="21"/>
    </w:rPr>
  </w:style>
  <w:style w:type="paragraph" w:customStyle="1" w:styleId="32">
    <w:name w:val="Char"/>
    <w:basedOn w:val="9"/>
    <w:next w:val="6"/>
    <w:qFormat/>
    <w:uiPriority w:val="0"/>
    <w:pPr>
      <w:numPr>
        <w:ilvl w:val="0"/>
        <w:numId w:val="1"/>
      </w:numPr>
      <w:tabs>
        <w:tab w:val="left" w:pos="1200"/>
        <w:tab w:val="clear" w:pos="720"/>
      </w:tabs>
      <w:ind w:left="1200" w:hanging="360"/>
    </w:pPr>
    <w:rPr>
      <w:sz w:val="24"/>
      <w:szCs w:val="24"/>
    </w:rPr>
  </w:style>
  <w:style w:type="paragraph" w:customStyle="1" w:styleId="33">
    <w:name w:val="正文缩进1"/>
    <w:basedOn w:val="1"/>
    <w:qFormat/>
    <w:uiPriority w:val="0"/>
    <w:pPr>
      <w:ind w:firstLine="420" w:firstLineChars="200"/>
    </w:pPr>
  </w:style>
  <w:style w:type="paragraph" w:customStyle="1" w:styleId="34">
    <w:name w:val="WPSOffice手动目录 1"/>
    <w:qFormat/>
    <w:uiPriority w:val="0"/>
    <w:rPr>
      <w:rFonts w:ascii="Times New Roman" w:hAnsi="Times New Roman" w:eastAsia="宋体" w:cs="Times New Roman"/>
      <w:lang w:val="en-US" w:eastAsia="zh-CN" w:bidi="ar-SA"/>
    </w:rPr>
  </w:style>
  <w:style w:type="character" w:customStyle="1" w:styleId="35">
    <w:name w:val="NormalCharacter"/>
    <w:qFormat/>
    <w:uiPriority w:val="99"/>
    <w:rPr>
      <w:rFonts w:ascii="Calibri" w:hAnsi="Calibri" w:eastAsia="宋体"/>
    </w:rPr>
  </w:style>
  <w:style w:type="paragraph" w:customStyle="1" w:styleId="36">
    <w:name w:val="Body text|1"/>
    <w:basedOn w:val="1"/>
    <w:qFormat/>
    <w:uiPriority w:val="0"/>
    <w:pPr>
      <w:widowControl w:val="0"/>
      <w:shd w:val="clear" w:color="auto" w:fill="auto"/>
      <w:spacing w:line="394" w:lineRule="auto"/>
      <w:ind w:firstLine="400"/>
    </w:pPr>
    <w:rPr>
      <w:rFonts w:ascii="宋体" w:hAnsi="宋体" w:eastAsia="宋体" w:cs="宋体"/>
      <w:color w:val="212121"/>
      <w:sz w:val="30"/>
      <w:szCs w:val="30"/>
      <w:u w:val="none"/>
      <w:shd w:val="clear" w:color="auto" w:fill="auto"/>
      <w:lang w:val="zh-TW" w:eastAsia="zh-TW" w:bidi="zh-TW"/>
    </w:rPr>
  </w:style>
  <w:style w:type="paragraph" w:customStyle="1" w:styleId="37">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38">
    <w:name w:val="表格文字中"/>
    <w:basedOn w:val="1"/>
    <w:qFormat/>
    <w:uiPriority w:val="0"/>
    <w:pPr>
      <w:adjustRightInd w:val="0"/>
      <w:snapToGrid w:val="0"/>
      <w:ind w:left="22" w:leftChars="8"/>
      <w:jc w:val="center"/>
    </w:pPr>
    <w:rPr>
      <w:kern w:val="0"/>
      <w:szCs w:val="24"/>
    </w:rPr>
  </w:style>
  <w:style w:type="paragraph" w:customStyle="1" w:styleId="39">
    <w:name w:val="表注1"/>
    <w:basedOn w:val="1"/>
    <w:qFormat/>
    <w:uiPriority w:val="0"/>
    <w:pPr>
      <w:adjustRightInd w:val="0"/>
      <w:snapToGrid w:val="0"/>
      <w:spacing w:before="156" w:beforeLines="50" w:line="300" w:lineRule="auto"/>
      <w:ind w:left="350" w:hanging="350" w:hangingChars="350"/>
    </w:pPr>
    <w:rPr>
      <w:rFonts w:eastAsia="仿宋_GB2312"/>
      <w:bCs/>
      <w:color w:val="000000"/>
      <w:szCs w:val="24"/>
    </w:rPr>
  </w:style>
  <w:style w:type="character" w:customStyle="1" w:styleId="40">
    <w:name w:val="u-content1"/>
    <w:basedOn w:val="22"/>
    <w:qFormat/>
    <w:uiPriority w:val="0"/>
  </w:style>
  <w:style w:type="paragraph" w:customStyle="1" w:styleId="41">
    <w:name w:val="u-content"/>
    <w:basedOn w:val="1"/>
    <w:qFormat/>
    <w:uiPriority w:val="0"/>
    <w:pPr>
      <w:spacing w:before="100" w:beforeAutospacing="1" w:after="100" w:afterAutospacing="1"/>
    </w:pPr>
  </w:style>
  <w:style w:type="paragraph" w:customStyle="1" w:styleId="42">
    <w:name w:val="Table Paragraph"/>
    <w:basedOn w:val="1"/>
    <w:qFormat/>
    <w:uiPriority w:val="1"/>
    <w:rPr>
      <w:rFonts w:ascii="宋体" w:hAnsi="宋体" w:eastAsia="宋体" w:cs="宋体"/>
      <w:lang w:val="en-US" w:eastAsia="zh-CN" w:bidi="ar-SA"/>
    </w:rPr>
  </w:style>
  <w:style w:type="paragraph" w:styleId="43">
    <w:name w:val="List Paragraph"/>
    <w:basedOn w:val="1"/>
    <w:qFormat/>
    <w:uiPriority w:val="1"/>
    <w:pPr>
      <w:ind w:left="178" w:firstLine="480"/>
    </w:pPr>
    <w:rPr>
      <w:rFonts w:ascii="宋体" w:hAnsi="宋体" w:eastAsia="宋体" w:cs="宋体"/>
      <w:lang w:val="en-US" w:eastAsia="zh-CN" w:bidi="ar-SA"/>
    </w:rPr>
  </w:style>
  <w:style w:type="paragraph" w:customStyle="1" w:styleId="44">
    <w:name w:val="4"/>
    <w:basedOn w:val="1"/>
    <w:next w:val="43"/>
    <w:qFormat/>
    <w:uiPriority w:val="34"/>
    <w:pPr>
      <w:ind w:firstLine="420" w:firstLineChars="200"/>
    </w:pPr>
  </w:style>
  <w:style w:type="character" w:customStyle="1" w:styleId="45">
    <w:name w:val="nth-of-type(6)"/>
    <w:basedOn w:val="22"/>
    <w:qFormat/>
    <w:uiPriority w:val="0"/>
  </w:style>
  <w:style w:type="character" w:customStyle="1" w:styleId="46">
    <w:name w:val="nth-of-type(6)1"/>
    <w:basedOn w:val="22"/>
    <w:qFormat/>
    <w:uiPriority w:val="0"/>
  </w:style>
  <w:style w:type="character" w:customStyle="1" w:styleId="47">
    <w:name w:val="nth-of-type(6)2"/>
    <w:basedOn w:val="22"/>
    <w:qFormat/>
    <w:uiPriority w:val="0"/>
  </w:style>
  <w:style w:type="character" w:customStyle="1" w:styleId="48">
    <w:name w:val="nth-of-type(6)3"/>
    <w:basedOn w:val="22"/>
    <w:qFormat/>
    <w:uiPriority w:val="0"/>
    <w:rPr>
      <w:color w:val="0082DF"/>
    </w:rPr>
  </w:style>
  <w:style w:type="character" w:customStyle="1" w:styleId="49">
    <w:name w:val="nth-of-type(6)4"/>
    <w:basedOn w:val="22"/>
    <w:qFormat/>
    <w:uiPriority w:val="0"/>
  </w:style>
  <w:style w:type="character" w:customStyle="1" w:styleId="50">
    <w:name w:val="nth-of-type(6)5"/>
    <w:basedOn w:val="22"/>
    <w:qFormat/>
    <w:uiPriority w:val="0"/>
  </w:style>
  <w:style w:type="character" w:customStyle="1" w:styleId="51">
    <w:name w:val="nth-of-type(1)"/>
    <w:basedOn w:val="22"/>
    <w:qFormat/>
    <w:uiPriority w:val="0"/>
  </w:style>
  <w:style w:type="character" w:customStyle="1" w:styleId="52">
    <w:name w:val="nth-of-type(1)1"/>
    <w:basedOn w:val="22"/>
    <w:qFormat/>
    <w:uiPriority w:val="0"/>
  </w:style>
  <w:style w:type="character" w:customStyle="1" w:styleId="53">
    <w:name w:val="nth-of-type(1)2"/>
    <w:basedOn w:val="22"/>
    <w:qFormat/>
    <w:uiPriority w:val="0"/>
  </w:style>
  <w:style w:type="character" w:customStyle="1" w:styleId="54">
    <w:name w:val="nth-of-type(1)3"/>
    <w:basedOn w:val="22"/>
    <w:qFormat/>
    <w:uiPriority w:val="0"/>
  </w:style>
  <w:style w:type="character" w:customStyle="1" w:styleId="55">
    <w:name w:val="nth-of-type(1)4"/>
    <w:basedOn w:val="22"/>
    <w:qFormat/>
    <w:uiPriority w:val="0"/>
    <w:rPr>
      <w:rFonts w:ascii="SourceHanSansCN-Regular" w:hAnsi="SourceHanSansCN-Regular" w:eastAsia="SourceHanSansCN-Regular" w:cs="SourceHanSansCN-Regular"/>
      <w:color w:val="FB560A"/>
      <w:sz w:val="21"/>
      <w:szCs w:val="21"/>
    </w:rPr>
  </w:style>
  <w:style w:type="character" w:customStyle="1" w:styleId="56">
    <w:name w:val="nth-of-type(1)5"/>
    <w:basedOn w:val="22"/>
    <w:qFormat/>
    <w:uiPriority w:val="0"/>
  </w:style>
  <w:style w:type="character" w:customStyle="1" w:styleId="57">
    <w:name w:val="nth-of-type(1)6"/>
    <w:basedOn w:val="22"/>
    <w:qFormat/>
    <w:uiPriority w:val="0"/>
  </w:style>
  <w:style w:type="character" w:customStyle="1" w:styleId="58">
    <w:name w:val="nth-of-type(1)7"/>
    <w:basedOn w:val="22"/>
    <w:qFormat/>
    <w:uiPriority w:val="0"/>
  </w:style>
  <w:style w:type="character" w:customStyle="1" w:styleId="59">
    <w:name w:val="nth-of-type(1)8"/>
    <w:basedOn w:val="22"/>
    <w:qFormat/>
    <w:uiPriority w:val="0"/>
  </w:style>
  <w:style w:type="character" w:customStyle="1" w:styleId="60">
    <w:name w:val="nth-of-type(1)9"/>
    <w:basedOn w:val="22"/>
    <w:qFormat/>
    <w:uiPriority w:val="0"/>
  </w:style>
  <w:style w:type="character" w:customStyle="1" w:styleId="61">
    <w:name w:val="nth-of-type(1)10"/>
    <w:basedOn w:val="22"/>
    <w:qFormat/>
    <w:uiPriority w:val="0"/>
  </w:style>
  <w:style w:type="character" w:customStyle="1" w:styleId="62">
    <w:name w:val="nth-of-type(1)11"/>
    <w:basedOn w:val="22"/>
    <w:qFormat/>
    <w:uiPriority w:val="0"/>
  </w:style>
  <w:style w:type="character" w:customStyle="1" w:styleId="63">
    <w:name w:val="nth-of-type(1)12"/>
    <w:basedOn w:val="22"/>
    <w:qFormat/>
    <w:uiPriority w:val="0"/>
  </w:style>
  <w:style w:type="character" w:customStyle="1" w:styleId="64">
    <w:name w:val="nth-of-type(1)13"/>
    <w:basedOn w:val="22"/>
    <w:qFormat/>
    <w:uiPriority w:val="0"/>
  </w:style>
  <w:style w:type="character" w:customStyle="1" w:styleId="65">
    <w:name w:val="nth-of-type(1)14"/>
    <w:basedOn w:val="22"/>
    <w:qFormat/>
    <w:uiPriority w:val="0"/>
  </w:style>
  <w:style w:type="character" w:customStyle="1" w:styleId="66">
    <w:name w:val="nth-of-type(1)15"/>
    <w:basedOn w:val="22"/>
    <w:qFormat/>
    <w:uiPriority w:val="0"/>
    <w:rPr>
      <w:sz w:val="21"/>
      <w:szCs w:val="21"/>
    </w:rPr>
  </w:style>
  <w:style w:type="character" w:customStyle="1" w:styleId="67">
    <w:name w:val="nth-of-type(1)16"/>
    <w:basedOn w:val="22"/>
    <w:qFormat/>
    <w:uiPriority w:val="0"/>
  </w:style>
  <w:style w:type="character" w:customStyle="1" w:styleId="68">
    <w:name w:val="nth-of-type(1)17"/>
    <w:basedOn w:val="22"/>
    <w:qFormat/>
    <w:uiPriority w:val="0"/>
  </w:style>
  <w:style w:type="character" w:customStyle="1" w:styleId="69">
    <w:name w:val="nth-of-type(1)18"/>
    <w:basedOn w:val="22"/>
    <w:qFormat/>
    <w:uiPriority w:val="0"/>
  </w:style>
  <w:style w:type="character" w:customStyle="1" w:styleId="70">
    <w:name w:val="nth-child(2)"/>
    <w:basedOn w:val="22"/>
    <w:qFormat/>
    <w:uiPriority w:val="0"/>
  </w:style>
  <w:style w:type="character" w:customStyle="1" w:styleId="71">
    <w:name w:val="nth-of-type(3)"/>
    <w:basedOn w:val="22"/>
    <w:qFormat/>
    <w:uiPriority w:val="0"/>
  </w:style>
  <w:style w:type="character" w:customStyle="1" w:styleId="72">
    <w:name w:val="nth-of-type(3)1"/>
    <w:basedOn w:val="22"/>
    <w:qFormat/>
    <w:uiPriority w:val="0"/>
  </w:style>
  <w:style w:type="character" w:customStyle="1" w:styleId="73">
    <w:name w:val="nth-of-type(3)2"/>
    <w:basedOn w:val="22"/>
    <w:qFormat/>
    <w:uiPriority w:val="0"/>
  </w:style>
  <w:style w:type="character" w:customStyle="1" w:styleId="74">
    <w:name w:val="nth-of-type(3)3"/>
    <w:basedOn w:val="22"/>
    <w:qFormat/>
    <w:uiPriority w:val="0"/>
  </w:style>
  <w:style w:type="character" w:customStyle="1" w:styleId="75">
    <w:name w:val="nth-of-type(3)4"/>
    <w:basedOn w:val="22"/>
    <w:qFormat/>
    <w:uiPriority w:val="0"/>
  </w:style>
  <w:style w:type="character" w:customStyle="1" w:styleId="76">
    <w:name w:val="nth-of-type(3)5"/>
    <w:basedOn w:val="22"/>
    <w:qFormat/>
    <w:uiPriority w:val="0"/>
  </w:style>
  <w:style w:type="character" w:customStyle="1" w:styleId="77">
    <w:name w:val="nth-of-type(3)6"/>
    <w:basedOn w:val="22"/>
    <w:qFormat/>
    <w:uiPriority w:val="0"/>
    <w:rPr>
      <w:sz w:val="21"/>
      <w:szCs w:val="21"/>
    </w:rPr>
  </w:style>
  <w:style w:type="character" w:customStyle="1" w:styleId="78">
    <w:name w:val="nth-of-type(3)7"/>
    <w:basedOn w:val="22"/>
    <w:qFormat/>
    <w:uiPriority w:val="0"/>
  </w:style>
  <w:style w:type="character" w:customStyle="1" w:styleId="79">
    <w:name w:val="nth-of-type(2)"/>
    <w:basedOn w:val="22"/>
    <w:qFormat/>
    <w:uiPriority w:val="0"/>
  </w:style>
  <w:style w:type="character" w:customStyle="1" w:styleId="80">
    <w:name w:val="nth-of-type(2)1"/>
    <w:basedOn w:val="22"/>
    <w:qFormat/>
    <w:uiPriority w:val="0"/>
  </w:style>
  <w:style w:type="character" w:customStyle="1" w:styleId="81">
    <w:name w:val="nth-of-type(2)2"/>
    <w:basedOn w:val="22"/>
    <w:qFormat/>
    <w:uiPriority w:val="0"/>
  </w:style>
  <w:style w:type="character" w:customStyle="1" w:styleId="82">
    <w:name w:val="nth-of-type(2)3"/>
    <w:basedOn w:val="22"/>
    <w:qFormat/>
    <w:uiPriority w:val="0"/>
  </w:style>
  <w:style w:type="character" w:customStyle="1" w:styleId="83">
    <w:name w:val="nth-of-type(2)4"/>
    <w:basedOn w:val="22"/>
    <w:qFormat/>
    <w:uiPriority w:val="0"/>
  </w:style>
  <w:style w:type="character" w:customStyle="1" w:styleId="84">
    <w:name w:val="nth-of-type(2)5"/>
    <w:basedOn w:val="22"/>
    <w:qFormat/>
    <w:uiPriority w:val="0"/>
  </w:style>
  <w:style w:type="character" w:customStyle="1" w:styleId="85">
    <w:name w:val="nth-of-type(2)6"/>
    <w:basedOn w:val="22"/>
    <w:qFormat/>
    <w:uiPriority w:val="0"/>
  </w:style>
  <w:style w:type="character" w:customStyle="1" w:styleId="86">
    <w:name w:val="nth-of-type(2)7"/>
    <w:basedOn w:val="22"/>
    <w:qFormat/>
    <w:uiPriority w:val="0"/>
  </w:style>
  <w:style w:type="character" w:customStyle="1" w:styleId="87">
    <w:name w:val="nth-of-type(2)8"/>
    <w:basedOn w:val="22"/>
    <w:qFormat/>
    <w:uiPriority w:val="0"/>
  </w:style>
  <w:style w:type="character" w:customStyle="1" w:styleId="88">
    <w:name w:val="nth-of-type(2)9"/>
    <w:basedOn w:val="22"/>
    <w:qFormat/>
    <w:uiPriority w:val="0"/>
    <w:rPr>
      <w:sz w:val="21"/>
      <w:szCs w:val="21"/>
    </w:rPr>
  </w:style>
  <w:style w:type="character" w:customStyle="1" w:styleId="89">
    <w:name w:val="nth-of-type(2)10"/>
    <w:basedOn w:val="22"/>
    <w:qFormat/>
    <w:uiPriority w:val="0"/>
  </w:style>
  <w:style w:type="character" w:customStyle="1" w:styleId="90">
    <w:name w:val="nth-of-type(2)11"/>
    <w:basedOn w:val="22"/>
    <w:qFormat/>
    <w:uiPriority w:val="0"/>
  </w:style>
  <w:style w:type="character" w:customStyle="1" w:styleId="91">
    <w:name w:val="nth-of-type(4)"/>
    <w:basedOn w:val="22"/>
    <w:qFormat/>
    <w:uiPriority w:val="0"/>
  </w:style>
  <w:style w:type="character" w:customStyle="1" w:styleId="92">
    <w:name w:val="nth-of-type(4)1"/>
    <w:basedOn w:val="22"/>
    <w:qFormat/>
    <w:uiPriority w:val="0"/>
  </w:style>
  <w:style w:type="character" w:customStyle="1" w:styleId="93">
    <w:name w:val="nth-of-type(4)2"/>
    <w:basedOn w:val="22"/>
    <w:qFormat/>
    <w:uiPriority w:val="0"/>
  </w:style>
  <w:style w:type="character" w:customStyle="1" w:styleId="94">
    <w:name w:val="nth-of-type(4)3"/>
    <w:basedOn w:val="22"/>
    <w:qFormat/>
    <w:uiPriority w:val="0"/>
  </w:style>
  <w:style w:type="character" w:customStyle="1" w:styleId="95">
    <w:name w:val="nth-of-type(4)4"/>
    <w:basedOn w:val="22"/>
    <w:qFormat/>
    <w:uiPriority w:val="0"/>
  </w:style>
  <w:style w:type="character" w:customStyle="1" w:styleId="96">
    <w:name w:val="nth-of-type(4)5"/>
    <w:basedOn w:val="22"/>
    <w:qFormat/>
    <w:uiPriority w:val="0"/>
    <w:rPr>
      <w:sz w:val="21"/>
      <w:szCs w:val="21"/>
    </w:rPr>
  </w:style>
  <w:style w:type="character" w:customStyle="1" w:styleId="97">
    <w:name w:val="nth-of-type(7)"/>
    <w:basedOn w:val="22"/>
    <w:qFormat/>
    <w:uiPriority w:val="0"/>
  </w:style>
  <w:style w:type="character" w:customStyle="1" w:styleId="98">
    <w:name w:val="nth-of-type(7)1"/>
    <w:basedOn w:val="22"/>
    <w:qFormat/>
    <w:uiPriority w:val="0"/>
  </w:style>
  <w:style w:type="character" w:customStyle="1" w:styleId="99">
    <w:name w:val="nth-of-type(7)2"/>
    <w:basedOn w:val="22"/>
    <w:qFormat/>
    <w:uiPriority w:val="0"/>
  </w:style>
  <w:style w:type="character" w:customStyle="1" w:styleId="100">
    <w:name w:val="nth-of-type(5)"/>
    <w:basedOn w:val="22"/>
    <w:qFormat/>
    <w:uiPriority w:val="0"/>
  </w:style>
  <w:style w:type="character" w:customStyle="1" w:styleId="101">
    <w:name w:val="nth-of-type(5)1"/>
    <w:basedOn w:val="22"/>
    <w:qFormat/>
    <w:uiPriority w:val="0"/>
  </w:style>
  <w:style w:type="character" w:customStyle="1" w:styleId="102">
    <w:name w:val="nth-of-type(5)2"/>
    <w:basedOn w:val="22"/>
    <w:qFormat/>
    <w:uiPriority w:val="0"/>
  </w:style>
  <w:style w:type="character" w:customStyle="1" w:styleId="103">
    <w:name w:val="nth-of-type(5)3"/>
    <w:basedOn w:val="22"/>
    <w:qFormat/>
    <w:uiPriority w:val="0"/>
  </w:style>
  <w:style w:type="character" w:customStyle="1" w:styleId="104">
    <w:name w:val="nth-of-type(5)4"/>
    <w:basedOn w:val="22"/>
    <w:qFormat/>
    <w:uiPriority w:val="0"/>
  </w:style>
  <w:style w:type="character" w:customStyle="1" w:styleId="105">
    <w:name w:val="nth-of-type(5)5"/>
    <w:basedOn w:val="22"/>
    <w:qFormat/>
    <w:uiPriority w:val="0"/>
    <w:rPr>
      <w:sz w:val="21"/>
      <w:szCs w:val="21"/>
    </w:rPr>
  </w:style>
  <w:style w:type="character" w:customStyle="1" w:styleId="106">
    <w:name w:val="nth-of-type(5)6"/>
    <w:basedOn w:val="22"/>
    <w:qFormat/>
    <w:uiPriority w:val="0"/>
  </w:style>
  <w:style w:type="character" w:customStyle="1" w:styleId="107">
    <w:name w:val="nth-child(3)"/>
    <w:basedOn w:val="22"/>
    <w:qFormat/>
    <w:uiPriority w:val="0"/>
  </w:style>
  <w:style w:type="character" w:customStyle="1" w:styleId="108">
    <w:name w:val="last-child1"/>
    <w:basedOn w:val="22"/>
    <w:qFormat/>
    <w:uiPriority w:val="0"/>
    <w:rPr>
      <w:color w:val="FFFFFF"/>
    </w:rPr>
  </w:style>
  <w:style w:type="character" w:customStyle="1" w:styleId="109">
    <w:name w:val="last-child2"/>
    <w:basedOn w:val="22"/>
    <w:qFormat/>
    <w:uiPriority w:val="0"/>
  </w:style>
  <w:style w:type="character" w:customStyle="1" w:styleId="110">
    <w:name w:val="last-child3"/>
    <w:basedOn w:val="22"/>
    <w:qFormat/>
    <w:uiPriority w:val="0"/>
  </w:style>
  <w:style w:type="character" w:customStyle="1" w:styleId="111">
    <w:name w:val="before"/>
    <w:basedOn w:val="22"/>
    <w:qFormat/>
    <w:uiPriority w:val="0"/>
    <w:rPr>
      <w:shd w:val="clear" w:fill="C20E0C"/>
    </w:rPr>
  </w:style>
  <w:style w:type="character" w:customStyle="1" w:styleId="112">
    <w:name w:val="nth-of-type(9)"/>
    <w:basedOn w:val="22"/>
    <w:qFormat/>
    <w:uiPriority w:val="0"/>
  </w:style>
  <w:style w:type="character" w:customStyle="1" w:styleId="113">
    <w:name w:val="first-child"/>
    <w:basedOn w:val="22"/>
    <w:qFormat/>
    <w:uiPriority w:val="0"/>
  </w:style>
  <w:style w:type="character" w:customStyle="1" w:styleId="114">
    <w:name w:val="first-child1"/>
    <w:basedOn w:val="22"/>
    <w:qFormat/>
    <w:uiPriority w:val="0"/>
  </w:style>
  <w:style w:type="character" w:customStyle="1" w:styleId="115">
    <w:name w:val="first-child2"/>
    <w:basedOn w:val="22"/>
    <w:qFormat/>
    <w:uiPriority w:val="0"/>
  </w:style>
  <w:style w:type="character" w:customStyle="1" w:styleId="116">
    <w:name w:val="first-child3"/>
    <w:basedOn w:val="22"/>
    <w:qFormat/>
    <w:uiPriority w:val="0"/>
  </w:style>
  <w:style w:type="character" w:customStyle="1" w:styleId="117">
    <w:name w:val="titleshow"/>
    <w:basedOn w:val="22"/>
    <w:qFormat/>
    <w:uiPriority w:val="0"/>
    <w:rPr>
      <w:color w:val="3E464C"/>
    </w:rPr>
  </w:style>
  <w:style w:type="character" w:customStyle="1" w:styleId="118">
    <w:name w:val="layui-this4"/>
    <w:basedOn w:val="22"/>
    <w:qFormat/>
    <w:uiPriority w:val="0"/>
    <w:rPr>
      <w:bdr w:val="single" w:color="EEEEEE" w:sz="6" w:space="0"/>
      <w:shd w:val="clear" w:fill="FFFFFF"/>
    </w:rPr>
  </w:style>
  <w:style w:type="character" w:customStyle="1" w:styleId="119">
    <w:name w:val="nth-of-type(10)"/>
    <w:basedOn w:val="22"/>
    <w:qFormat/>
    <w:uiPriority w:val="0"/>
  </w:style>
  <w:style w:type="character" w:customStyle="1" w:styleId="120">
    <w:name w:val="nth-of-type(8)"/>
    <w:basedOn w:val="22"/>
    <w:qFormat/>
    <w:uiPriority w:val="0"/>
  </w:style>
  <w:style w:type="character" w:customStyle="1" w:styleId="121">
    <w:name w:val="nth-child(1)"/>
    <w:basedOn w:val="22"/>
    <w:qFormat/>
    <w:uiPriority w:val="0"/>
  </w:style>
  <w:style w:type="character" w:customStyle="1" w:styleId="122">
    <w:name w:val="hover25"/>
    <w:basedOn w:val="22"/>
    <w:qFormat/>
    <w:uiPriority w:val="0"/>
    <w:rPr>
      <w:color w:val="167AE0"/>
    </w:rPr>
  </w:style>
  <w:style w:type="character" w:customStyle="1" w:styleId="123">
    <w:name w:val="hover26"/>
    <w:basedOn w:val="22"/>
    <w:qFormat/>
    <w:uiPriority w:val="0"/>
  </w:style>
  <w:style w:type="character" w:customStyle="1" w:styleId="124">
    <w:name w:val="layui-laypage-curr"/>
    <w:basedOn w:val="22"/>
    <w:qFormat/>
    <w:uiPriority w:val="0"/>
  </w:style>
  <w:style w:type="character" w:customStyle="1" w:styleId="125">
    <w:name w:val="lineshow"/>
    <w:basedOn w:val="22"/>
    <w:qFormat/>
    <w:uiPriority w:val="0"/>
  </w:style>
  <w:style w:type="character" w:customStyle="1" w:styleId="126">
    <w:name w:val="lineshow1"/>
    <w:basedOn w:val="22"/>
    <w:qFormat/>
    <w:uiPriority w:val="0"/>
  </w:style>
  <w:style w:type="character" w:customStyle="1" w:styleId="127">
    <w:name w:val="before2"/>
    <w:basedOn w:val="22"/>
    <w:qFormat/>
    <w:uiPriority w:val="0"/>
    <w:rPr>
      <w:shd w:val="clear" w:fill="C20E0C"/>
    </w:rPr>
  </w:style>
  <w:style w:type="character" w:customStyle="1" w:styleId="128">
    <w:name w:val="nth-of-type(2)12"/>
    <w:basedOn w:val="22"/>
    <w:qFormat/>
    <w:uiPriority w:val="0"/>
  </w:style>
  <w:style w:type="character" w:customStyle="1" w:styleId="129">
    <w:name w:val="nth-of-type(2)13"/>
    <w:basedOn w:val="22"/>
    <w:qFormat/>
    <w:uiPriority w:val="0"/>
  </w:style>
  <w:style w:type="character" w:customStyle="1" w:styleId="130">
    <w:name w:val="nth-of-type(2)14"/>
    <w:basedOn w:val="22"/>
    <w:qFormat/>
    <w:uiPriority w:val="0"/>
    <w:rPr>
      <w:sz w:val="21"/>
      <w:szCs w:val="21"/>
    </w:rPr>
  </w:style>
  <w:style w:type="character" w:customStyle="1" w:styleId="131">
    <w:name w:val="nth-of-type(4)6"/>
    <w:basedOn w:val="22"/>
    <w:qFormat/>
    <w:uiPriority w:val="0"/>
  </w:style>
  <w:style w:type="character" w:customStyle="1" w:styleId="132">
    <w:name w:val="nth-of-type(4)7"/>
    <w:basedOn w:val="22"/>
    <w:qFormat/>
    <w:uiPriority w:val="0"/>
  </w:style>
  <w:style w:type="character" w:customStyle="1" w:styleId="133">
    <w:name w:val="nth-of-type(4)8"/>
    <w:basedOn w:val="22"/>
    <w:qFormat/>
    <w:uiPriority w:val="0"/>
    <w:rPr>
      <w:sz w:val="21"/>
      <w:szCs w:val="21"/>
    </w:rPr>
  </w:style>
  <w:style w:type="character" w:customStyle="1" w:styleId="134">
    <w:name w:val="标题 2 Char"/>
    <w:link w:val="4"/>
    <w:qFormat/>
    <w:uiPriority w:val="9"/>
    <w:rPr>
      <w:rFonts w:ascii="宋体" w:hAnsi="宋体" w:eastAsia="宋体" w:cs="宋体"/>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28686</Words>
  <Characters>30167</Characters>
  <Lines>0</Lines>
  <Paragraphs>0</Paragraphs>
  <TotalTime>7</TotalTime>
  <ScaleCrop>false</ScaleCrop>
  <LinksUpToDate>false</LinksUpToDate>
  <CharactersWithSpaces>31860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2022-08-03T07:15:00Z</dcterms:created>
  <dc:creator>Administrator</dc:creator>
  <cp:lastModifiedBy>蓝鳍金枪鱼</cp:lastModifiedBy>
  <dcterms:modified xsi:type="dcterms:W3CDTF">2023-04-20T03:00:49Z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1036F3D493E24AF08A07003AB04045D6_13</vt:lpwstr>
  </property>
</Properties>
</file>