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宋体" w:hAnsi="宋体" w:eastAsia="宋体" w:cs="宋体"/>
          <w:b/>
          <w:color w:val="000000" w:themeColor="text1"/>
          <w:sz w:val="32"/>
          <w:szCs w:val="32"/>
          <w:highlight w:val="none"/>
          <w:bdr w:val="single" w:color="auto" w:sz="4" w:space="0"/>
          <w:shd w:val="pct10" w:color="auto" w:fill="FFFFFF"/>
          <w14:textFill>
            <w14:solidFill>
              <w14:schemeClr w14:val="tx1"/>
            </w14:solidFill>
          </w14:textFill>
        </w:rPr>
      </w:pPr>
      <w:r>
        <w:rPr>
          <w:rFonts w:hint="eastAsia" w:ascii="宋体" w:hAnsi="宋体" w:eastAsia="宋体" w:cs="宋体"/>
          <w:b/>
          <w:color w:val="000000" w:themeColor="text1"/>
          <w:sz w:val="32"/>
          <w:szCs w:val="32"/>
          <w:highlight w:val="none"/>
          <w:bdr w:val="single" w:color="auto" w:sz="4" w:space="0"/>
          <w:shd w:val="pct10" w:color="auto" w:fill="FFFFFF"/>
          <w14:textFill>
            <w14:solidFill>
              <w14:schemeClr w14:val="tx1"/>
            </w14:solidFill>
          </w14:textFill>
        </w:rPr>
        <w:t>政府采购项目</w:t>
      </w:r>
    </w:p>
    <w:p>
      <w:pPr>
        <w:spacing w:line="560" w:lineRule="exact"/>
        <w:rPr>
          <w:rFonts w:ascii="宋体" w:hAnsi="宋体" w:eastAsia="宋体" w:cs="宋体"/>
          <w:b/>
          <w:bCs/>
          <w:color w:val="000000" w:themeColor="text1"/>
          <w:sz w:val="32"/>
          <w:szCs w:val="32"/>
          <w:highlight w:val="none"/>
          <w14:textFill>
            <w14:solidFill>
              <w14:schemeClr w14:val="tx1"/>
            </w14:solidFill>
          </w14:textFill>
        </w:rPr>
      </w:pPr>
    </w:p>
    <w:p>
      <w:pPr>
        <w:spacing w:line="560" w:lineRule="exact"/>
        <w:rPr>
          <w:rFonts w:hint="eastAsia" w:ascii="宋体" w:hAnsi="宋体" w:eastAsia="宋体" w:cs="宋体"/>
          <w:b/>
          <w:bCs/>
          <w:color w:val="000000" w:themeColor="text1"/>
          <w:sz w:val="32"/>
          <w:szCs w:val="32"/>
          <w:highlight w:val="none"/>
          <w:lang w:eastAsia="zh-CN"/>
          <w14:textFill>
            <w14:solidFill>
              <w14:schemeClr w14:val="tx1"/>
            </w14:solidFill>
          </w14:textFill>
        </w:rPr>
      </w:pPr>
      <w:r>
        <w:rPr>
          <w:rFonts w:hint="eastAsia" w:ascii="宋体" w:hAnsi="宋体" w:eastAsia="宋体" w:cs="宋体"/>
          <w:b/>
          <w:bCs/>
          <w:color w:val="000000" w:themeColor="text1"/>
          <w:sz w:val="32"/>
          <w:szCs w:val="32"/>
          <w:highlight w:val="none"/>
          <w14:textFill>
            <w14:solidFill>
              <w14:schemeClr w14:val="tx1"/>
            </w14:solidFill>
          </w14:textFill>
        </w:rPr>
        <w:t>项目编号：</w:t>
      </w:r>
      <w:r>
        <w:rPr>
          <w:rFonts w:hint="eastAsia" w:ascii="宋体" w:hAnsi="宋体" w:eastAsia="宋体" w:cs="宋体"/>
          <w:b/>
          <w:bCs/>
          <w:color w:val="000000" w:themeColor="text1"/>
          <w:sz w:val="32"/>
          <w:szCs w:val="32"/>
          <w:highlight w:val="none"/>
          <w:lang w:eastAsia="zh-CN"/>
          <w14:textFill>
            <w14:solidFill>
              <w14:schemeClr w14:val="tx1"/>
            </w14:solidFill>
          </w14:textFill>
        </w:rPr>
        <w:t>ZJXG2023026</w:t>
      </w:r>
    </w:p>
    <w:p>
      <w:pPr>
        <w:jc w:val="center"/>
        <w:rPr>
          <w:rFonts w:ascii="宋体" w:hAnsi="宋体" w:eastAsia="宋体" w:cs="宋体"/>
          <w:color w:val="000000" w:themeColor="text1"/>
          <w:sz w:val="44"/>
          <w:szCs w:val="44"/>
          <w:highlight w:val="none"/>
          <w14:textFill>
            <w14:solidFill>
              <w14:schemeClr w14:val="tx1"/>
            </w14:solidFill>
          </w14:textFill>
        </w:rPr>
      </w:pPr>
    </w:p>
    <w:p>
      <w:pPr>
        <w:jc w:val="both"/>
        <w:rPr>
          <w:rFonts w:ascii="宋体" w:hAnsi="宋体" w:eastAsia="宋体" w:cs="宋体"/>
          <w:color w:val="000000" w:themeColor="text1"/>
          <w:sz w:val="56"/>
          <w:szCs w:val="56"/>
          <w:highlight w:val="none"/>
          <w14:textFill>
            <w14:solidFill>
              <w14:schemeClr w14:val="tx1"/>
            </w14:solidFill>
          </w14:textFill>
        </w:rPr>
      </w:pPr>
    </w:p>
    <w:p>
      <w:pPr>
        <w:spacing w:line="360" w:lineRule="auto"/>
        <w:jc w:val="center"/>
        <w:rPr>
          <w:rFonts w:hint="eastAsia" w:ascii="宋体" w:hAnsi="宋体" w:eastAsia="宋体" w:cs="宋体"/>
          <w:b/>
          <w:bCs/>
          <w:color w:val="000000" w:themeColor="text1"/>
          <w:sz w:val="52"/>
          <w:szCs w:val="52"/>
          <w:highlight w:val="none"/>
          <w:lang w:eastAsia="zh-CN"/>
          <w14:textFill>
            <w14:solidFill>
              <w14:schemeClr w14:val="tx1"/>
            </w14:solidFill>
          </w14:textFill>
        </w:rPr>
      </w:pPr>
      <w:r>
        <w:rPr>
          <w:rFonts w:hint="eastAsia" w:ascii="宋体" w:hAnsi="宋体" w:eastAsia="宋体" w:cs="宋体"/>
          <w:b/>
          <w:bCs/>
          <w:color w:val="000000" w:themeColor="text1"/>
          <w:sz w:val="52"/>
          <w:szCs w:val="52"/>
          <w:highlight w:val="none"/>
          <w:lang w:eastAsia="zh-CN"/>
          <w14:textFill>
            <w14:solidFill>
              <w14:schemeClr w14:val="tx1"/>
            </w14:solidFill>
          </w14:textFill>
        </w:rPr>
        <w:t>未央宫街道遗址区“六村三校”农村饮水安全巩固提升工程材料购置</w:t>
      </w:r>
    </w:p>
    <w:p>
      <w:pPr>
        <w:jc w:val="center"/>
        <w:rPr>
          <w:rFonts w:ascii="宋体" w:hAnsi="宋体" w:eastAsia="宋体" w:cs="宋体"/>
          <w:b/>
          <w:bCs/>
          <w:color w:val="000000" w:themeColor="text1"/>
          <w:sz w:val="96"/>
          <w:szCs w:val="96"/>
          <w:highlight w:val="none"/>
          <w14:textFill>
            <w14:solidFill>
              <w14:schemeClr w14:val="tx1"/>
            </w14:solidFill>
          </w14:textFill>
        </w:rPr>
      </w:pPr>
    </w:p>
    <w:p>
      <w:pPr>
        <w:jc w:val="center"/>
        <w:rPr>
          <w:rFonts w:ascii="宋体" w:hAnsi="宋体" w:eastAsia="宋体" w:cs="宋体"/>
          <w:b/>
          <w:bCs/>
          <w:color w:val="000000" w:themeColor="text1"/>
          <w:sz w:val="144"/>
          <w:szCs w:val="144"/>
          <w:highlight w:val="none"/>
          <w14:textFill>
            <w14:solidFill>
              <w14:schemeClr w14:val="tx1"/>
            </w14:solidFill>
          </w14:textFill>
        </w:rPr>
      </w:pPr>
      <w:r>
        <w:rPr>
          <w:rFonts w:hint="eastAsia" w:ascii="宋体" w:hAnsi="宋体" w:eastAsia="宋体" w:cs="宋体"/>
          <w:b/>
          <w:bCs/>
          <w:color w:val="000000" w:themeColor="text1"/>
          <w:sz w:val="96"/>
          <w:szCs w:val="96"/>
          <w:highlight w:val="none"/>
          <w14:textFill>
            <w14:solidFill>
              <w14:schemeClr w14:val="tx1"/>
            </w14:solidFill>
          </w14:textFill>
        </w:rPr>
        <w:t>招标文件</w:t>
      </w:r>
    </w:p>
    <w:p>
      <w:pPr>
        <w:spacing w:line="560" w:lineRule="exact"/>
        <w:ind w:firstLine="803" w:firstLineChars="200"/>
        <w:jc w:val="both"/>
        <w:rPr>
          <w:rFonts w:ascii="宋体" w:hAnsi="宋体" w:eastAsia="宋体" w:cs="宋体"/>
          <w:b/>
          <w:bCs/>
          <w:color w:val="000000" w:themeColor="text1"/>
          <w:sz w:val="40"/>
          <w:szCs w:val="40"/>
          <w:highlight w:val="none"/>
          <w14:textFill>
            <w14:solidFill>
              <w14:schemeClr w14:val="tx1"/>
            </w14:solidFill>
          </w14:textFill>
        </w:rPr>
      </w:pPr>
    </w:p>
    <w:p>
      <w:pPr>
        <w:spacing w:line="560" w:lineRule="exact"/>
        <w:ind w:firstLine="803" w:firstLineChars="200"/>
        <w:jc w:val="both"/>
        <w:rPr>
          <w:rFonts w:ascii="宋体" w:hAnsi="宋体" w:eastAsia="宋体" w:cs="宋体"/>
          <w:b/>
          <w:bCs/>
          <w:color w:val="000000" w:themeColor="text1"/>
          <w:sz w:val="40"/>
          <w:szCs w:val="40"/>
          <w:highlight w:val="none"/>
          <w14:textFill>
            <w14:solidFill>
              <w14:schemeClr w14:val="tx1"/>
            </w14:solidFill>
          </w14:textFill>
        </w:rPr>
      </w:pPr>
    </w:p>
    <w:p>
      <w:pPr>
        <w:spacing w:line="560" w:lineRule="exact"/>
        <w:ind w:firstLine="803" w:firstLineChars="200"/>
        <w:jc w:val="both"/>
        <w:rPr>
          <w:rFonts w:ascii="宋体" w:hAnsi="宋体" w:eastAsia="宋体" w:cs="宋体"/>
          <w:b/>
          <w:bCs/>
          <w:color w:val="000000" w:themeColor="text1"/>
          <w:sz w:val="40"/>
          <w:szCs w:val="40"/>
          <w:highlight w:val="none"/>
          <w14:textFill>
            <w14:solidFill>
              <w14:schemeClr w14:val="tx1"/>
            </w14:solidFill>
          </w14:textFill>
        </w:rPr>
      </w:pPr>
    </w:p>
    <w:p>
      <w:pPr>
        <w:spacing w:line="560" w:lineRule="exact"/>
        <w:jc w:val="both"/>
        <w:rPr>
          <w:rFonts w:ascii="宋体" w:hAnsi="宋体" w:eastAsia="宋体" w:cs="宋体"/>
          <w:b/>
          <w:bCs/>
          <w:color w:val="000000" w:themeColor="text1"/>
          <w:sz w:val="40"/>
          <w:szCs w:val="40"/>
          <w:highlight w:val="none"/>
          <w14:textFill>
            <w14:solidFill>
              <w14:schemeClr w14:val="tx1"/>
            </w14:solidFill>
          </w14:textFill>
        </w:rPr>
      </w:pPr>
    </w:p>
    <w:p>
      <w:pPr>
        <w:spacing w:line="560" w:lineRule="exact"/>
        <w:jc w:val="both"/>
        <w:rPr>
          <w:rFonts w:ascii="宋体" w:hAnsi="宋体" w:eastAsia="宋体" w:cs="宋体"/>
          <w:color w:val="000000" w:themeColor="text1"/>
          <w:sz w:val="32"/>
          <w:szCs w:val="32"/>
          <w:highlight w:val="none"/>
          <w14:textFill>
            <w14:solidFill>
              <w14:schemeClr w14:val="tx1"/>
            </w14:solidFill>
          </w14:textFill>
        </w:rPr>
      </w:pPr>
    </w:p>
    <w:p>
      <w:pPr>
        <w:spacing w:line="560" w:lineRule="exact"/>
        <w:ind w:firstLine="640" w:firstLineChars="200"/>
        <w:jc w:val="center"/>
        <w:rPr>
          <w:rFonts w:ascii="宋体" w:hAnsi="宋体" w:eastAsia="宋体" w:cs="宋体"/>
          <w:color w:val="000000" w:themeColor="text1"/>
          <w:sz w:val="32"/>
          <w:szCs w:val="32"/>
          <w:highlight w:val="none"/>
          <w14:textFill>
            <w14:solidFill>
              <w14:schemeClr w14:val="tx1"/>
            </w14:solidFill>
          </w14:textFill>
        </w:rPr>
      </w:pPr>
    </w:p>
    <w:p>
      <w:pPr>
        <w:spacing w:line="560" w:lineRule="exact"/>
        <w:jc w:val="center"/>
        <w:rPr>
          <w:rFonts w:hint="eastAsia" w:ascii="宋体" w:hAnsi="宋体" w:eastAsia="宋体" w:cs="宋体"/>
          <w:color w:val="000000" w:themeColor="text1"/>
          <w:sz w:val="36"/>
          <w:szCs w:val="36"/>
          <w:highlight w:val="none"/>
          <w:lang w:eastAsia="zh-CN"/>
          <w14:textFill>
            <w14:solidFill>
              <w14:schemeClr w14:val="tx1"/>
            </w14:solidFill>
          </w14:textFill>
        </w:rPr>
      </w:pPr>
      <w:bookmarkStart w:id="0" w:name="_Toc100219612"/>
      <w:r>
        <w:rPr>
          <w:rFonts w:hint="eastAsia" w:ascii="宋体" w:hAnsi="宋体" w:eastAsia="宋体" w:cs="宋体"/>
          <w:color w:val="000000" w:themeColor="text1"/>
          <w:sz w:val="36"/>
          <w:szCs w:val="36"/>
          <w:highlight w:val="none"/>
          <w:lang w:eastAsia="zh-CN"/>
          <w14:textFill>
            <w14:solidFill>
              <w14:schemeClr w14:val="tx1"/>
            </w14:solidFill>
          </w14:textFill>
        </w:rPr>
        <w:t>陕西中鉴项目管理有限公司</w:t>
      </w:r>
    </w:p>
    <w:p>
      <w:pPr>
        <w:spacing w:line="560" w:lineRule="exact"/>
        <w:jc w:val="center"/>
        <w:rPr>
          <w:rFonts w:ascii="宋体" w:hAnsi="宋体" w:eastAsia="宋体" w:cs="宋体"/>
          <w:color w:val="000000" w:themeColor="text1"/>
          <w:sz w:val="36"/>
          <w:szCs w:val="36"/>
          <w:highlight w:val="none"/>
          <w14:textFill>
            <w14:solidFill>
              <w14:schemeClr w14:val="tx1"/>
            </w14:solidFill>
          </w14:textFill>
        </w:rPr>
      </w:pPr>
      <w:r>
        <w:rPr>
          <w:rFonts w:hint="eastAsia" w:ascii="宋体" w:hAnsi="宋体" w:eastAsia="宋体" w:cs="宋体"/>
          <w:color w:val="000000" w:themeColor="text1"/>
          <w:sz w:val="36"/>
          <w:szCs w:val="36"/>
          <w:highlight w:val="none"/>
          <w14:textFill>
            <w14:solidFill>
              <w14:schemeClr w14:val="tx1"/>
            </w14:solidFill>
          </w14:textFill>
        </w:rPr>
        <w:t>二零二</w:t>
      </w:r>
      <w:r>
        <w:rPr>
          <w:rFonts w:hint="eastAsia" w:ascii="宋体" w:hAnsi="宋体" w:eastAsia="宋体" w:cs="宋体"/>
          <w:color w:val="000000" w:themeColor="text1"/>
          <w:sz w:val="36"/>
          <w:szCs w:val="36"/>
          <w:highlight w:val="none"/>
          <w:lang w:val="en-US" w:eastAsia="zh-CN"/>
          <w14:textFill>
            <w14:solidFill>
              <w14:schemeClr w14:val="tx1"/>
            </w14:solidFill>
          </w14:textFill>
        </w:rPr>
        <w:t>三</w:t>
      </w:r>
      <w:r>
        <w:rPr>
          <w:rFonts w:hint="eastAsia" w:ascii="宋体" w:hAnsi="宋体" w:eastAsia="宋体" w:cs="宋体"/>
          <w:color w:val="000000" w:themeColor="text1"/>
          <w:sz w:val="36"/>
          <w:szCs w:val="36"/>
          <w:highlight w:val="none"/>
          <w14:textFill>
            <w14:solidFill>
              <w14:schemeClr w14:val="tx1"/>
            </w14:solidFill>
          </w14:textFill>
        </w:rPr>
        <w:t>年</w:t>
      </w:r>
      <w:r>
        <w:rPr>
          <w:rFonts w:hint="eastAsia" w:ascii="宋体" w:hAnsi="宋体" w:eastAsia="宋体" w:cs="宋体"/>
          <w:color w:val="000000" w:themeColor="text1"/>
          <w:sz w:val="36"/>
          <w:szCs w:val="36"/>
          <w:highlight w:val="none"/>
          <w:lang w:val="en-US" w:eastAsia="zh-CN"/>
          <w14:textFill>
            <w14:solidFill>
              <w14:schemeClr w14:val="tx1"/>
            </w14:solidFill>
          </w14:textFill>
        </w:rPr>
        <w:t>三</w:t>
      </w:r>
      <w:r>
        <w:rPr>
          <w:rFonts w:hint="eastAsia" w:ascii="宋体" w:hAnsi="宋体" w:eastAsia="宋体" w:cs="宋体"/>
          <w:color w:val="000000" w:themeColor="text1"/>
          <w:sz w:val="36"/>
          <w:szCs w:val="36"/>
          <w:highlight w:val="none"/>
          <w14:textFill>
            <w14:solidFill>
              <w14:schemeClr w14:val="tx1"/>
            </w14:solidFill>
          </w14:textFill>
        </w:rPr>
        <w:t>月</w:t>
      </w:r>
    </w:p>
    <w:p>
      <w:pPr>
        <w:pStyle w:val="26"/>
        <w:spacing w:before="312" w:after="312"/>
        <w:rPr>
          <w:rFonts w:ascii="宋体" w:hAnsi="宋体" w:cs="宋体"/>
          <w:color w:val="000000" w:themeColor="text1"/>
          <w:highlight w:val="none"/>
          <w14:textFill>
            <w14:solidFill>
              <w14:schemeClr w14:val="tx1"/>
            </w14:solidFill>
          </w14:textFill>
        </w:rPr>
        <w:sectPr>
          <w:headerReference r:id="rId3" w:type="default"/>
          <w:pgSz w:w="11906" w:h="16838"/>
          <w:pgMar w:top="1440" w:right="1080" w:bottom="1440" w:left="1080" w:header="851" w:footer="992" w:gutter="0"/>
          <w:pgNumType w:start="1"/>
          <w:cols w:space="720" w:num="1"/>
          <w:docGrid w:type="lines" w:linePitch="312" w:charSpace="0"/>
        </w:sectPr>
      </w:pPr>
    </w:p>
    <w:sdt>
      <w:sdtPr>
        <w:rPr>
          <w:rFonts w:hint="eastAsia" w:ascii="宋体" w:hAnsi="宋体" w:eastAsia="宋体" w:cs="宋体"/>
          <w:b/>
          <w:bCs/>
          <w:color w:val="000000" w:themeColor="text1"/>
          <w:sz w:val="28"/>
          <w:szCs w:val="36"/>
          <w:highlight w:val="none"/>
          <w14:textFill>
            <w14:solidFill>
              <w14:schemeClr w14:val="tx1"/>
            </w14:solidFill>
          </w14:textFill>
        </w:rPr>
        <w:id w:val="147483405"/>
        <w:docPartObj>
          <w:docPartGallery w:val="Table of Contents"/>
          <w:docPartUnique/>
        </w:docPartObj>
      </w:sdtPr>
      <w:sdtEndPr>
        <w:rPr>
          <w:rFonts w:hint="eastAsia" w:ascii="宋体" w:hAnsi="宋体" w:eastAsia="宋体" w:cs="宋体"/>
          <w:b/>
          <w:bCs/>
          <w:color w:val="000000" w:themeColor="text1"/>
          <w:sz w:val="21"/>
          <w:szCs w:val="24"/>
          <w:highlight w:val="none"/>
          <w14:textFill>
            <w14:solidFill>
              <w14:schemeClr w14:val="tx1"/>
            </w14:solidFill>
          </w14:textFill>
        </w:rPr>
      </w:sdtEndPr>
      <w:sdtContent>
        <w:p>
          <w:pPr>
            <w:jc w:val="center"/>
            <w:rPr>
              <w:rFonts w:ascii="宋体" w:hAnsi="宋体" w:eastAsia="宋体" w:cs="宋体"/>
              <w:b/>
              <w:bCs/>
              <w:color w:val="000000" w:themeColor="text1"/>
              <w:highlight w:val="none"/>
              <w14:textFill>
                <w14:solidFill>
                  <w14:schemeClr w14:val="tx1"/>
                </w14:solidFill>
              </w14:textFill>
            </w:rPr>
          </w:pPr>
          <w:bookmarkStart w:id="1" w:name="_Toc23953"/>
          <w:bookmarkStart w:id="2" w:name="_Toc22212"/>
          <w:r>
            <w:rPr>
              <w:rFonts w:hint="eastAsia" w:ascii="宋体" w:hAnsi="宋体" w:eastAsia="宋体" w:cs="宋体"/>
              <w:b/>
              <w:bCs/>
              <w:color w:val="000000" w:themeColor="text1"/>
              <w:highlight w:val="none"/>
              <w14:textFill>
                <w14:solidFill>
                  <w14:schemeClr w14:val="tx1"/>
                </w14:solidFill>
              </w14:textFill>
            </w:rPr>
            <w:t>目录</w:t>
          </w:r>
        </w:p>
        <w:p>
          <w:pPr>
            <w:pStyle w:val="26"/>
            <w:tabs>
              <w:tab w:val="right" w:leader="dot" w:pos="9451"/>
            </w:tabs>
            <w:spacing w:before="240" w:after="240"/>
            <w:rPr>
              <w:sz w:val="24"/>
              <w:highlight w:val="none"/>
            </w:rPr>
          </w:pPr>
          <w:r>
            <w:rPr>
              <w:rFonts w:hint="eastAsia" w:ascii="宋体" w:hAnsi="宋体" w:cs="宋体"/>
              <w:color w:val="000000" w:themeColor="text1"/>
              <w:sz w:val="24"/>
              <w:highlight w:val="none"/>
              <w14:textFill>
                <w14:solidFill>
                  <w14:schemeClr w14:val="tx1"/>
                </w14:solidFill>
              </w14:textFill>
            </w:rPr>
            <w:fldChar w:fldCharType="begin"/>
          </w:r>
          <w:r>
            <w:rPr>
              <w:rFonts w:hint="eastAsia" w:ascii="宋体" w:hAnsi="宋体" w:cs="宋体"/>
              <w:color w:val="000000" w:themeColor="text1"/>
              <w:sz w:val="24"/>
              <w:highlight w:val="none"/>
              <w14:textFill>
                <w14:solidFill>
                  <w14:schemeClr w14:val="tx1"/>
                </w14:solidFill>
              </w14:textFill>
            </w:rPr>
            <w:instrText xml:space="preserve">TOC \o "1-2" \h \u </w:instrText>
          </w:r>
          <w:r>
            <w:rPr>
              <w:rFonts w:hint="eastAsia" w:ascii="宋体" w:hAnsi="宋体" w:cs="宋体"/>
              <w:color w:val="000000" w:themeColor="text1"/>
              <w:sz w:val="24"/>
              <w:highlight w:val="none"/>
              <w14:textFill>
                <w14:solidFill>
                  <w14:schemeClr w14:val="tx1"/>
                </w14:solidFill>
              </w14:textFill>
            </w:rPr>
            <w:fldChar w:fldCharType="separate"/>
          </w:r>
          <w:r>
            <w:rPr>
              <w:highlight w:val="none"/>
            </w:rPr>
            <w:fldChar w:fldCharType="begin"/>
          </w:r>
          <w:r>
            <w:rPr>
              <w:highlight w:val="none"/>
            </w:rPr>
            <w:instrText xml:space="preserve"> HYPERLINK \l "_Toc23953" </w:instrText>
          </w:r>
          <w:r>
            <w:rPr>
              <w:highlight w:val="none"/>
            </w:rPr>
            <w:fldChar w:fldCharType="separate"/>
          </w:r>
          <w:r>
            <w:rPr>
              <w:rFonts w:hint="eastAsia" w:ascii="宋体" w:hAnsi="宋体" w:cs="宋体"/>
              <w:sz w:val="24"/>
              <w:highlight w:val="none"/>
            </w:rPr>
            <w:t xml:space="preserve">第一章  </w:t>
          </w:r>
          <w:r>
            <w:rPr>
              <w:rFonts w:hint="eastAsia" w:ascii="宋体" w:hAnsi="宋体" w:cs="宋体"/>
              <w:sz w:val="24"/>
              <w:highlight w:val="none"/>
              <w:lang w:val="en-US" w:eastAsia="zh-CN"/>
            </w:rPr>
            <w:t>招标公告</w:t>
          </w:r>
          <w:r>
            <w:rPr>
              <w:sz w:val="24"/>
              <w:highlight w:val="none"/>
            </w:rPr>
            <w:tab/>
          </w:r>
          <w:r>
            <w:rPr>
              <w:sz w:val="24"/>
              <w:highlight w:val="none"/>
            </w:rPr>
            <w:fldChar w:fldCharType="begin"/>
          </w:r>
          <w:r>
            <w:rPr>
              <w:sz w:val="24"/>
              <w:highlight w:val="none"/>
            </w:rPr>
            <w:instrText xml:space="preserve"> PAGEREF _Toc23953 \h </w:instrText>
          </w:r>
          <w:r>
            <w:rPr>
              <w:sz w:val="24"/>
              <w:highlight w:val="none"/>
            </w:rPr>
            <w:fldChar w:fldCharType="separate"/>
          </w:r>
          <w:r>
            <w:rPr>
              <w:sz w:val="24"/>
              <w:highlight w:val="none"/>
            </w:rPr>
            <w:t>- 1 -</w:t>
          </w:r>
          <w:r>
            <w:rPr>
              <w:sz w:val="24"/>
              <w:highlight w:val="none"/>
            </w:rPr>
            <w:fldChar w:fldCharType="end"/>
          </w:r>
          <w:r>
            <w:rPr>
              <w:sz w:val="24"/>
              <w:highlight w:val="none"/>
            </w:rPr>
            <w:fldChar w:fldCharType="end"/>
          </w:r>
        </w:p>
        <w:p>
          <w:pPr>
            <w:pStyle w:val="26"/>
            <w:tabs>
              <w:tab w:val="right" w:leader="dot" w:pos="9451"/>
            </w:tabs>
            <w:spacing w:before="240" w:after="240"/>
            <w:rPr>
              <w:highlight w:val="none"/>
            </w:rPr>
          </w:pPr>
          <w:r>
            <w:rPr>
              <w:highlight w:val="none"/>
            </w:rPr>
            <w:fldChar w:fldCharType="begin"/>
          </w:r>
          <w:r>
            <w:rPr>
              <w:highlight w:val="none"/>
            </w:rPr>
            <w:instrText xml:space="preserve"> HYPERLINK \l "_Toc19037" </w:instrText>
          </w:r>
          <w:r>
            <w:rPr>
              <w:highlight w:val="none"/>
            </w:rPr>
            <w:fldChar w:fldCharType="separate"/>
          </w:r>
          <w:r>
            <w:rPr>
              <w:rFonts w:hint="eastAsia" w:ascii="宋体" w:hAnsi="宋体" w:cs="宋体"/>
              <w:sz w:val="24"/>
              <w:highlight w:val="none"/>
            </w:rPr>
            <w:t>第二章  供应商须知</w:t>
          </w:r>
          <w:r>
            <w:rPr>
              <w:sz w:val="24"/>
              <w:highlight w:val="none"/>
            </w:rPr>
            <w:tab/>
          </w:r>
          <w:r>
            <w:rPr>
              <w:sz w:val="24"/>
              <w:highlight w:val="none"/>
            </w:rPr>
            <w:fldChar w:fldCharType="begin"/>
          </w:r>
          <w:r>
            <w:rPr>
              <w:sz w:val="24"/>
              <w:highlight w:val="none"/>
            </w:rPr>
            <w:instrText xml:space="preserve"> PAGEREF _Toc19037 \h </w:instrText>
          </w:r>
          <w:r>
            <w:rPr>
              <w:sz w:val="24"/>
              <w:highlight w:val="none"/>
            </w:rPr>
            <w:fldChar w:fldCharType="separate"/>
          </w:r>
          <w:r>
            <w:rPr>
              <w:sz w:val="24"/>
              <w:highlight w:val="none"/>
            </w:rPr>
            <w:t>- 6 -</w:t>
          </w:r>
          <w:r>
            <w:rPr>
              <w:sz w:val="24"/>
              <w:highlight w:val="none"/>
            </w:rPr>
            <w:fldChar w:fldCharType="end"/>
          </w:r>
          <w:r>
            <w:rPr>
              <w:sz w:val="24"/>
              <w:highlight w:val="none"/>
            </w:rPr>
            <w:fldChar w:fldCharType="end"/>
          </w:r>
        </w:p>
        <w:p>
          <w:pPr>
            <w:pStyle w:val="26"/>
            <w:tabs>
              <w:tab w:val="right" w:leader="dot" w:pos="9451"/>
            </w:tabs>
            <w:spacing w:before="240" w:after="240"/>
            <w:rPr>
              <w:sz w:val="24"/>
              <w:highlight w:val="none"/>
            </w:rPr>
          </w:pPr>
          <w:r>
            <w:rPr>
              <w:highlight w:val="none"/>
            </w:rPr>
            <w:fldChar w:fldCharType="begin"/>
          </w:r>
          <w:r>
            <w:rPr>
              <w:highlight w:val="none"/>
            </w:rPr>
            <w:instrText xml:space="preserve"> HYPERLINK \l "_Toc15617" </w:instrText>
          </w:r>
          <w:r>
            <w:rPr>
              <w:highlight w:val="none"/>
            </w:rPr>
            <w:fldChar w:fldCharType="separate"/>
          </w:r>
          <w:r>
            <w:rPr>
              <w:rFonts w:hint="eastAsia" w:ascii="宋体" w:hAnsi="宋体" w:cs="宋体"/>
              <w:sz w:val="24"/>
              <w:highlight w:val="none"/>
            </w:rPr>
            <w:t>第三章  招标内容及要求</w:t>
          </w:r>
          <w:r>
            <w:rPr>
              <w:sz w:val="24"/>
              <w:highlight w:val="none"/>
            </w:rPr>
            <w:tab/>
          </w:r>
          <w:r>
            <w:rPr>
              <w:sz w:val="24"/>
              <w:highlight w:val="none"/>
            </w:rPr>
            <w:fldChar w:fldCharType="begin"/>
          </w:r>
          <w:r>
            <w:rPr>
              <w:sz w:val="24"/>
              <w:highlight w:val="none"/>
            </w:rPr>
            <w:instrText xml:space="preserve"> PAGEREF _Toc15617 \h </w:instrText>
          </w:r>
          <w:r>
            <w:rPr>
              <w:sz w:val="24"/>
              <w:highlight w:val="none"/>
            </w:rPr>
            <w:fldChar w:fldCharType="separate"/>
          </w:r>
          <w:r>
            <w:rPr>
              <w:sz w:val="24"/>
              <w:highlight w:val="none"/>
            </w:rPr>
            <w:t>- 38 -</w:t>
          </w:r>
          <w:r>
            <w:rPr>
              <w:sz w:val="24"/>
              <w:highlight w:val="none"/>
            </w:rPr>
            <w:fldChar w:fldCharType="end"/>
          </w:r>
          <w:r>
            <w:rPr>
              <w:sz w:val="24"/>
              <w:highlight w:val="none"/>
            </w:rPr>
            <w:fldChar w:fldCharType="end"/>
          </w:r>
        </w:p>
        <w:p>
          <w:pPr>
            <w:pStyle w:val="26"/>
            <w:tabs>
              <w:tab w:val="right" w:leader="dot" w:pos="9451"/>
            </w:tabs>
            <w:spacing w:before="240" w:after="240"/>
            <w:rPr>
              <w:sz w:val="24"/>
              <w:highlight w:val="none"/>
            </w:rPr>
          </w:pPr>
          <w:r>
            <w:rPr>
              <w:highlight w:val="none"/>
            </w:rPr>
            <w:fldChar w:fldCharType="begin"/>
          </w:r>
          <w:r>
            <w:rPr>
              <w:highlight w:val="none"/>
            </w:rPr>
            <w:instrText xml:space="preserve"> HYPERLINK \l "_Toc19583" </w:instrText>
          </w:r>
          <w:r>
            <w:rPr>
              <w:highlight w:val="none"/>
            </w:rPr>
            <w:fldChar w:fldCharType="separate"/>
          </w:r>
          <w:r>
            <w:rPr>
              <w:rFonts w:hint="eastAsia" w:ascii="宋体" w:hAnsi="宋体" w:cs="宋体"/>
              <w:sz w:val="24"/>
              <w:highlight w:val="none"/>
            </w:rPr>
            <w:t>第四章  合同文本</w:t>
          </w:r>
          <w:r>
            <w:rPr>
              <w:sz w:val="24"/>
              <w:highlight w:val="none"/>
            </w:rPr>
            <w:tab/>
          </w:r>
          <w:r>
            <w:rPr>
              <w:sz w:val="24"/>
              <w:highlight w:val="none"/>
            </w:rPr>
            <w:fldChar w:fldCharType="begin"/>
          </w:r>
          <w:r>
            <w:rPr>
              <w:sz w:val="24"/>
              <w:highlight w:val="none"/>
            </w:rPr>
            <w:instrText xml:space="preserve"> PAGEREF _Toc19583 \h </w:instrText>
          </w:r>
          <w:r>
            <w:rPr>
              <w:sz w:val="24"/>
              <w:highlight w:val="none"/>
            </w:rPr>
            <w:fldChar w:fldCharType="separate"/>
          </w:r>
          <w:r>
            <w:rPr>
              <w:sz w:val="24"/>
              <w:highlight w:val="none"/>
            </w:rPr>
            <w:t>- 4</w:t>
          </w:r>
          <w:r>
            <w:rPr>
              <w:rFonts w:hint="eastAsia"/>
              <w:sz w:val="24"/>
              <w:highlight w:val="none"/>
              <w:lang w:val="en-US" w:eastAsia="zh-CN"/>
            </w:rPr>
            <w:t>4</w:t>
          </w:r>
          <w:r>
            <w:rPr>
              <w:sz w:val="24"/>
              <w:highlight w:val="none"/>
            </w:rPr>
            <w:t xml:space="preserve"> -</w:t>
          </w:r>
          <w:r>
            <w:rPr>
              <w:sz w:val="24"/>
              <w:highlight w:val="none"/>
            </w:rPr>
            <w:fldChar w:fldCharType="end"/>
          </w:r>
          <w:r>
            <w:rPr>
              <w:sz w:val="24"/>
              <w:highlight w:val="none"/>
            </w:rPr>
            <w:fldChar w:fldCharType="end"/>
          </w:r>
        </w:p>
        <w:p>
          <w:pPr>
            <w:pStyle w:val="26"/>
            <w:tabs>
              <w:tab w:val="right" w:leader="dot" w:pos="9451"/>
            </w:tabs>
            <w:spacing w:before="240" w:after="240"/>
            <w:rPr>
              <w:sz w:val="24"/>
              <w:highlight w:val="none"/>
            </w:rPr>
          </w:pPr>
          <w:r>
            <w:rPr>
              <w:highlight w:val="none"/>
            </w:rPr>
            <w:fldChar w:fldCharType="begin"/>
          </w:r>
          <w:r>
            <w:rPr>
              <w:highlight w:val="none"/>
            </w:rPr>
            <w:instrText xml:space="preserve"> HYPERLINK \l "_Toc27364" </w:instrText>
          </w:r>
          <w:r>
            <w:rPr>
              <w:highlight w:val="none"/>
            </w:rPr>
            <w:fldChar w:fldCharType="separate"/>
          </w:r>
          <w:r>
            <w:rPr>
              <w:rFonts w:hint="eastAsia" w:ascii="宋体" w:hAnsi="宋体" w:cs="宋体"/>
              <w:sz w:val="24"/>
              <w:highlight w:val="none"/>
            </w:rPr>
            <w:t>第五章  投标文件构成及格式</w:t>
          </w:r>
          <w:r>
            <w:rPr>
              <w:sz w:val="24"/>
              <w:highlight w:val="none"/>
            </w:rPr>
            <w:tab/>
          </w:r>
          <w:r>
            <w:rPr>
              <w:sz w:val="24"/>
              <w:highlight w:val="none"/>
            </w:rPr>
            <w:fldChar w:fldCharType="begin"/>
          </w:r>
          <w:r>
            <w:rPr>
              <w:sz w:val="24"/>
              <w:highlight w:val="none"/>
            </w:rPr>
            <w:instrText xml:space="preserve"> PAGEREF _Toc27364 \h </w:instrText>
          </w:r>
          <w:r>
            <w:rPr>
              <w:sz w:val="24"/>
              <w:highlight w:val="none"/>
            </w:rPr>
            <w:fldChar w:fldCharType="separate"/>
          </w:r>
          <w:r>
            <w:rPr>
              <w:sz w:val="24"/>
              <w:highlight w:val="none"/>
            </w:rPr>
            <w:t>- 58 -</w:t>
          </w:r>
          <w:r>
            <w:rPr>
              <w:sz w:val="24"/>
              <w:highlight w:val="none"/>
            </w:rPr>
            <w:fldChar w:fldCharType="end"/>
          </w:r>
          <w:r>
            <w:rPr>
              <w:sz w:val="24"/>
              <w:highlight w:val="none"/>
            </w:rPr>
            <w:fldChar w:fldCharType="end"/>
          </w:r>
        </w:p>
        <w:p>
          <w:pPr>
            <w:pStyle w:val="29"/>
            <w:tabs>
              <w:tab w:val="right" w:leader="dot" w:pos="9451"/>
            </w:tabs>
            <w:ind w:left="480"/>
            <w:rPr>
              <w:highlight w:val="none"/>
            </w:rPr>
          </w:pPr>
        </w:p>
        <w:p>
          <w:pPr>
            <w:pStyle w:val="7"/>
            <w:rPr>
              <w:rFonts w:hint="eastAsia" w:ascii="宋体" w:hAnsi="宋体" w:eastAsia="宋体" w:cs="宋体"/>
              <w:b/>
              <w:bCs/>
              <w:color w:val="000000" w:themeColor="text1"/>
              <w:sz w:val="21"/>
              <w:szCs w:val="24"/>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end"/>
          </w:r>
        </w:p>
      </w:sdtContent>
    </w:sdt>
    <w:p>
      <w:pPr>
        <w:pStyle w:val="7"/>
        <w:rPr>
          <w:rFonts w:hint="eastAsia" w:ascii="宋体" w:hAnsi="宋体" w:eastAsia="宋体" w:cs="宋体"/>
          <w:color w:val="000000" w:themeColor="text1"/>
          <w:highlight w:val="none"/>
          <w14:textFill>
            <w14:solidFill>
              <w14:schemeClr w14:val="tx1"/>
            </w14:solidFill>
          </w14:textFill>
        </w:rPr>
        <w:sectPr>
          <w:headerReference r:id="rId4" w:type="default"/>
          <w:footerReference r:id="rId5" w:type="default"/>
          <w:pgSz w:w="11906" w:h="16838"/>
          <w:pgMar w:top="1418" w:right="1133" w:bottom="1418" w:left="755" w:header="907" w:footer="1021" w:gutter="567"/>
          <w:pgNumType w:fmt="numberInDash" w:start="1"/>
          <w:cols w:space="720" w:num="1"/>
          <w:docGrid w:linePitch="312" w:charSpace="0"/>
        </w:sectPr>
      </w:pPr>
    </w:p>
    <w:bookmarkEnd w:id="0"/>
    <w:bookmarkEnd w:id="1"/>
    <w:bookmarkEnd w:id="2"/>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left="0" w:firstLine="0"/>
        <w:jc w:val="center"/>
        <w:rPr>
          <w:rFonts w:hint="eastAsia" w:ascii="宋体" w:hAnsi="宋体" w:eastAsia="宋体" w:cs="宋体"/>
          <w:b/>
          <w:bCs/>
          <w:i w:val="0"/>
          <w:iCs w:val="0"/>
          <w:caps w:val="0"/>
          <w:color w:val="auto"/>
          <w:spacing w:val="0"/>
          <w:sz w:val="48"/>
          <w:szCs w:val="48"/>
        </w:rPr>
      </w:pPr>
      <w:r>
        <w:rPr>
          <w:rFonts w:hint="eastAsia" w:ascii="宋体" w:hAnsi="宋体" w:eastAsia="宋体" w:cs="宋体"/>
          <w:b w:val="0"/>
          <w:bCs w:val="0"/>
          <w:i w:val="0"/>
          <w:iCs w:val="0"/>
          <w:caps w:val="0"/>
          <w:color w:val="auto"/>
          <w:spacing w:val="0"/>
          <w:kern w:val="0"/>
          <w:sz w:val="44"/>
          <w:szCs w:val="44"/>
          <w:shd w:val="clear" w:fill="FFFFFF"/>
          <w:lang w:val="en-US" w:eastAsia="zh-CN" w:bidi="ar"/>
        </w:rPr>
        <w:t>第一章 招标公告</w:t>
      </w:r>
    </w:p>
    <w:p>
      <w:pPr>
        <w:pStyle w:val="12"/>
        <w:keepNext w:val="0"/>
        <w:keepLines w:val="0"/>
        <w:widowControl/>
        <w:numPr>
          <w:ilvl w:val="5"/>
          <w:numId w:val="0"/>
        </w:numPr>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right="0" w:rightChars="0"/>
        <w:jc w:val="left"/>
        <w:rPr>
          <w:rFonts w:hint="eastAsia" w:ascii="宋体" w:hAnsi="宋体" w:eastAsia="宋体" w:cs="宋体"/>
          <w:b w:val="0"/>
          <w:bCs w:val="0"/>
          <w:color w:val="auto"/>
          <w:sz w:val="24"/>
          <w:szCs w:val="24"/>
        </w:rPr>
      </w:pPr>
      <w:r>
        <w:rPr>
          <w:rStyle w:val="37"/>
          <w:rFonts w:hint="eastAsia" w:ascii="宋体" w:hAnsi="宋体" w:eastAsia="宋体" w:cs="宋体"/>
          <w:b/>
          <w:bCs/>
          <w:i w:val="0"/>
          <w:iCs w:val="0"/>
          <w:caps w:val="0"/>
          <w:color w:val="auto"/>
          <w:spacing w:val="0"/>
          <w:sz w:val="24"/>
          <w:szCs w:val="24"/>
          <w:shd w:val="clear" w:fill="FFFFFF"/>
        </w:rPr>
        <w:t>项目概况</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eastAsia="zh-CN"/>
        </w:rPr>
        <w:t>未央宫街道遗址区“六村三校”农村饮水安全巩固提升工程材料购置</w:t>
      </w:r>
      <w:r>
        <w:rPr>
          <w:rFonts w:hint="eastAsia" w:ascii="宋体" w:hAnsi="宋体" w:eastAsia="宋体" w:cs="宋体"/>
          <w:i w:val="0"/>
          <w:iCs w:val="0"/>
          <w:caps w:val="0"/>
          <w:color w:val="auto"/>
          <w:spacing w:val="0"/>
          <w:sz w:val="24"/>
          <w:szCs w:val="24"/>
          <w:shd w:val="clear" w:fill="FFFFFF"/>
        </w:rPr>
        <w:t>招标项目的潜在投标人应在全国公共资源交易平台（陕西省·西安市）（以下简称西安市公共资源交易平台，官网地址：http://sxggzyjy.xa.gov.cn/）获取招标文件，并于</w:t>
      </w:r>
      <w:r>
        <w:rPr>
          <w:rFonts w:hint="eastAsia" w:eastAsia="宋体" w:cs="宋体"/>
          <w:i w:val="0"/>
          <w:iCs w:val="0"/>
          <w:caps w:val="0"/>
          <w:color w:val="auto"/>
          <w:spacing w:val="0"/>
          <w:sz w:val="24"/>
          <w:szCs w:val="24"/>
          <w:shd w:val="clear" w:fill="FFFFFF"/>
          <w:lang w:val="en-US" w:eastAsia="zh-CN"/>
        </w:rPr>
        <w:t>2023年03月30日09时00分</w:t>
      </w:r>
      <w:r>
        <w:rPr>
          <w:rFonts w:hint="eastAsia" w:ascii="宋体" w:hAnsi="宋体" w:eastAsia="宋体" w:cs="宋体"/>
          <w:i w:val="0"/>
          <w:iCs w:val="0"/>
          <w:caps w:val="0"/>
          <w:color w:val="auto"/>
          <w:spacing w:val="0"/>
          <w:sz w:val="24"/>
          <w:szCs w:val="24"/>
          <w:shd w:val="clear" w:fill="FFFFFF"/>
        </w:rPr>
        <w:t>（北京时间）前递交投标文件。</w:t>
      </w:r>
    </w:p>
    <w:p>
      <w:pPr>
        <w:pStyle w:val="10"/>
        <w:keepNext w:val="0"/>
        <w:keepLines w:val="0"/>
        <w:widowControl/>
        <w:numPr>
          <w:ilvl w:val="3"/>
          <w:numId w:val="0"/>
        </w:numPr>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right="0" w:rightChars="0"/>
        <w:jc w:val="left"/>
        <w:rPr>
          <w:rFonts w:hint="eastAsia" w:ascii="宋体" w:hAnsi="宋体" w:eastAsia="宋体" w:cs="宋体"/>
          <w:b w:val="0"/>
          <w:bCs w:val="0"/>
          <w:color w:val="auto"/>
          <w:sz w:val="24"/>
          <w:szCs w:val="24"/>
        </w:rPr>
      </w:pPr>
      <w:r>
        <w:rPr>
          <w:rStyle w:val="37"/>
          <w:rFonts w:hint="eastAsia" w:ascii="宋体" w:hAnsi="宋体" w:eastAsia="宋体" w:cs="宋体"/>
          <w:b/>
          <w:bCs/>
          <w:i w:val="0"/>
          <w:iCs w:val="0"/>
          <w:caps w:val="0"/>
          <w:color w:val="auto"/>
          <w:spacing w:val="0"/>
          <w:sz w:val="24"/>
          <w:szCs w:val="24"/>
          <w:shd w:val="clear" w:fill="FFFFFF"/>
        </w:rPr>
        <w:t>一、项目基本情况</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fill="FFFFFF"/>
        </w:rPr>
        <w:t>项目编号：</w:t>
      </w:r>
      <w:r>
        <w:rPr>
          <w:rFonts w:hint="eastAsia" w:ascii="宋体" w:hAnsi="宋体" w:eastAsia="宋体" w:cs="宋体"/>
          <w:i w:val="0"/>
          <w:iCs w:val="0"/>
          <w:caps w:val="0"/>
          <w:color w:val="auto"/>
          <w:spacing w:val="0"/>
          <w:sz w:val="24"/>
          <w:szCs w:val="24"/>
          <w:shd w:val="clear" w:fill="FFFFFF"/>
          <w:lang w:eastAsia="zh-CN"/>
        </w:rPr>
        <w:t>ZJXG2023026</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fill="FFFFFF"/>
        </w:rPr>
        <w:t>项目名称：</w:t>
      </w:r>
      <w:r>
        <w:rPr>
          <w:rFonts w:hint="eastAsia" w:ascii="宋体" w:hAnsi="宋体" w:eastAsia="宋体" w:cs="宋体"/>
          <w:i w:val="0"/>
          <w:iCs w:val="0"/>
          <w:caps w:val="0"/>
          <w:color w:val="auto"/>
          <w:spacing w:val="0"/>
          <w:sz w:val="24"/>
          <w:szCs w:val="24"/>
          <w:shd w:val="clear" w:fill="FFFFFF"/>
          <w:lang w:eastAsia="zh-CN"/>
        </w:rPr>
        <w:t>未央宫街道遗址区“六村三校”农村饮水安全巩固提升工程材料购置</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采购方式：公开招标</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预算金额：</w:t>
      </w:r>
      <w:r>
        <w:rPr>
          <w:rFonts w:hint="eastAsia" w:ascii="宋体" w:hAnsi="宋体" w:eastAsia="宋体" w:cs="宋体"/>
          <w:i w:val="0"/>
          <w:iCs w:val="0"/>
          <w:caps w:val="0"/>
          <w:color w:val="auto"/>
          <w:spacing w:val="0"/>
          <w:sz w:val="24"/>
          <w:szCs w:val="24"/>
          <w:shd w:val="clear" w:fill="FFFFFF"/>
          <w:lang w:eastAsia="zh-CN"/>
        </w:rPr>
        <w:t>15,610,700</w:t>
      </w:r>
      <w:r>
        <w:rPr>
          <w:rFonts w:hint="eastAsia" w:ascii="宋体" w:hAnsi="宋体" w:eastAsia="宋体" w:cs="宋体"/>
          <w:i w:val="0"/>
          <w:iCs w:val="0"/>
          <w:caps w:val="0"/>
          <w:color w:val="auto"/>
          <w:spacing w:val="0"/>
          <w:sz w:val="24"/>
          <w:szCs w:val="24"/>
          <w:shd w:val="clear" w:fill="FFFFFF"/>
        </w:rPr>
        <w:t>元</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采购需求：</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w:t>
      </w:r>
      <w:r>
        <w:rPr>
          <w:rFonts w:hint="eastAsia" w:ascii="宋体" w:hAnsi="宋体" w:eastAsia="宋体" w:cs="宋体"/>
          <w:i w:val="0"/>
          <w:iCs w:val="0"/>
          <w:caps w:val="0"/>
          <w:color w:val="auto"/>
          <w:spacing w:val="0"/>
          <w:sz w:val="24"/>
          <w:szCs w:val="24"/>
          <w:shd w:val="clear" w:fill="FFFFFF"/>
          <w:lang w:eastAsia="zh-CN"/>
        </w:rPr>
        <w:t>未央宫街道遗址区“六村三校”农村饮水安全巩固提升工程材料购置</w:t>
      </w:r>
      <w:r>
        <w:rPr>
          <w:rFonts w:hint="eastAsia" w:ascii="宋体" w:hAnsi="宋体" w:eastAsia="宋体" w:cs="宋体"/>
          <w:i w:val="0"/>
          <w:iCs w:val="0"/>
          <w:caps w:val="0"/>
          <w:color w:val="auto"/>
          <w:spacing w:val="0"/>
          <w:sz w:val="24"/>
          <w:szCs w:val="24"/>
          <w:shd w:val="clear" w:fill="FFFFFF"/>
        </w:rPr>
        <w:t>):</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w:t>
      </w:r>
      <w:r>
        <w:rPr>
          <w:rFonts w:hint="eastAsia" w:ascii="宋体" w:hAnsi="宋体" w:eastAsia="宋体" w:cs="宋体"/>
          <w:i w:val="0"/>
          <w:iCs w:val="0"/>
          <w:caps w:val="0"/>
          <w:color w:val="auto"/>
          <w:spacing w:val="0"/>
          <w:sz w:val="24"/>
          <w:szCs w:val="24"/>
          <w:shd w:val="clear" w:fill="FFFFFF"/>
          <w:lang w:eastAsia="zh-CN"/>
        </w:rPr>
        <w:t>15,610,700</w:t>
      </w:r>
      <w:r>
        <w:rPr>
          <w:rFonts w:hint="eastAsia" w:ascii="宋体" w:hAnsi="宋体" w:eastAsia="宋体" w:cs="宋体"/>
          <w:i w:val="0"/>
          <w:iCs w:val="0"/>
          <w:caps w:val="0"/>
          <w:color w:val="auto"/>
          <w:spacing w:val="0"/>
          <w:sz w:val="24"/>
          <w:szCs w:val="24"/>
          <w:shd w:val="clear" w:fill="FFFFFF"/>
        </w:rPr>
        <w:t>元</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w:t>
      </w:r>
      <w:r>
        <w:rPr>
          <w:rFonts w:hint="eastAsia" w:ascii="宋体" w:hAnsi="宋体" w:eastAsia="宋体" w:cs="宋体"/>
          <w:i w:val="0"/>
          <w:iCs w:val="0"/>
          <w:caps w:val="0"/>
          <w:color w:val="auto"/>
          <w:spacing w:val="0"/>
          <w:sz w:val="24"/>
          <w:szCs w:val="24"/>
          <w:shd w:val="clear" w:fill="FFFFFF"/>
          <w:lang w:eastAsia="zh-CN"/>
        </w:rPr>
        <w:t>15,610,700</w:t>
      </w:r>
      <w:r>
        <w:rPr>
          <w:rFonts w:hint="eastAsia" w:ascii="宋体" w:hAnsi="宋体" w:eastAsia="宋体" w:cs="宋体"/>
          <w:i w:val="0"/>
          <w:iCs w:val="0"/>
          <w:caps w:val="0"/>
          <w:color w:val="auto"/>
          <w:spacing w:val="0"/>
          <w:sz w:val="24"/>
          <w:szCs w:val="24"/>
          <w:shd w:val="clear" w:fill="FFFFFF"/>
        </w:rPr>
        <w:t>元</w:t>
      </w:r>
    </w:p>
    <w:tbl>
      <w:tblPr>
        <w:tblStyle w:val="34"/>
        <w:tblW w:w="4991"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13"/>
        <w:gridCol w:w="1551"/>
        <w:gridCol w:w="1677"/>
        <w:gridCol w:w="1481"/>
        <w:gridCol w:w="1247"/>
        <w:gridCol w:w="1638"/>
        <w:gridCol w:w="14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3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80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品目名称</w:t>
            </w:r>
          </w:p>
        </w:tc>
        <w:tc>
          <w:tcPr>
            <w:tcW w:w="86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采购标的</w:t>
            </w:r>
          </w:p>
        </w:tc>
        <w:tc>
          <w:tcPr>
            <w:tcW w:w="76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64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84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75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3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80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其他建筑建材</w:t>
            </w:r>
          </w:p>
        </w:tc>
        <w:tc>
          <w:tcPr>
            <w:tcW w:w="86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材料购置</w:t>
            </w:r>
          </w:p>
        </w:tc>
        <w:tc>
          <w:tcPr>
            <w:tcW w:w="76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1(批)</w:t>
            </w:r>
          </w:p>
        </w:tc>
        <w:tc>
          <w:tcPr>
            <w:tcW w:w="64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84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15,610,700</w:t>
            </w:r>
          </w:p>
        </w:tc>
        <w:tc>
          <w:tcPr>
            <w:tcW w:w="75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15,610,700</w:t>
            </w:r>
          </w:p>
        </w:tc>
      </w:tr>
    </w:tbl>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合同履行期限：详见采购文件</w:t>
      </w:r>
    </w:p>
    <w:p>
      <w:pPr>
        <w:pStyle w:val="10"/>
        <w:keepNext w:val="0"/>
        <w:keepLines w:val="0"/>
        <w:widowControl/>
        <w:numPr>
          <w:ilvl w:val="3"/>
          <w:numId w:val="0"/>
        </w:numPr>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right="0" w:rightChars="0"/>
        <w:jc w:val="left"/>
        <w:rPr>
          <w:rFonts w:hint="eastAsia" w:ascii="宋体" w:hAnsi="宋体" w:eastAsia="宋体" w:cs="宋体"/>
          <w:b w:val="0"/>
          <w:bCs w:val="0"/>
          <w:color w:val="auto"/>
          <w:sz w:val="24"/>
          <w:szCs w:val="24"/>
        </w:rPr>
      </w:pPr>
      <w:r>
        <w:rPr>
          <w:rStyle w:val="37"/>
          <w:rFonts w:hint="eastAsia" w:ascii="宋体" w:hAnsi="宋体" w:eastAsia="宋体" w:cs="宋体"/>
          <w:b/>
          <w:bCs/>
          <w:i w:val="0"/>
          <w:iCs w:val="0"/>
          <w:caps w:val="0"/>
          <w:color w:val="auto"/>
          <w:spacing w:val="0"/>
          <w:sz w:val="24"/>
          <w:szCs w:val="24"/>
          <w:shd w:val="clear" w:fill="FFFFFF"/>
        </w:rPr>
        <w:t>二、申请人的资格要求：</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spacing w:line="360" w:lineRule="auto"/>
        <w:ind w:firstLine="480" w:firstLineChars="200"/>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合同包1(未央宫街道遗址区“六村三校”农村饮水安全巩固提升工程材料购置)落实政府采购政策需满足的资格要求如下:</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sz w:val="24"/>
          <w:szCs w:val="24"/>
          <w:highlight w:val="none"/>
        </w:rPr>
        <w:t>本项目专门面向</w:t>
      </w:r>
      <w:r>
        <w:rPr>
          <w:rFonts w:hint="eastAsia" w:ascii="宋体" w:hAnsi="宋体" w:eastAsia="宋体" w:cs="宋体"/>
          <w:sz w:val="24"/>
          <w:szCs w:val="24"/>
          <w:highlight w:val="none"/>
          <w:lang w:val="en-US" w:eastAsia="zh-CN"/>
        </w:rPr>
        <w:t>中小</w:t>
      </w:r>
      <w:r>
        <w:rPr>
          <w:rFonts w:hint="eastAsia" w:ascii="宋体" w:hAnsi="宋体" w:eastAsia="宋体" w:cs="宋体"/>
          <w:sz w:val="24"/>
          <w:szCs w:val="24"/>
          <w:highlight w:val="none"/>
        </w:rPr>
        <w:t>企业采购（残疾人福利性单位及监狱企业视同小型、微型企业）。</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w:t>
      </w:r>
      <w:r>
        <w:rPr>
          <w:rFonts w:hint="eastAsia" w:ascii="宋体" w:hAnsi="宋体" w:eastAsia="宋体" w:cs="宋体"/>
          <w:i w:val="0"/>
          <w:iCs w:val="0"/>
          <w:caps w:val="0"/>
          <w:color w:val="auto"/>
          <w:spacing w:val="0"/>
          <w:sz w:val="24"/>
          <w:szCs w:val="24"/>
          <w:shd w:val="clear" w:fill="FFFFFF"/>
          <w:lang w:eastAsia="zh-CN"/>
        </w:rPr>
        <w:t>未央宫街道遗址区“六村三校”农村饮水安全巩固提升工程材料购置</w:t>
      </w:r>
      <w:r>
        <w:rPr>
          <w:rFonts w:hint="eastAsia" w:ascii="宋体" w:hAnsi="宋体" w:eastAsia="宋体" w:cs="宋体"/>
          <w:i w:val="0"/>
          <w:iCs w:val="0"/>
          <w:caps w:val="0"/>
          <w:color w:val="auto"/>
          <w:spacing w:val="0"/>
          <w:sz w:val="24"/>
          <w:szCs w:val="24"/>
          <w:shd w:val="clear" w:fill="FFFFFF"/>
        </w:rPr>
        <w:t>)特定资格要求如下:</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1）具有独立承担民事责任能力的法人、其他组织或自然人并出具合法有效的营业执照或事业单位法人证书等国家规定的相关证明，自然人参与的提供其身份证明；</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财务状况报告：提供2021或2022年的财务审计报告（成立时间至提交响应文件截止时间不足一年的可提供成立后任意时段的资产负债表）或其基本存款账户开户银行出具的资信证明及基本存款账户开户许可证（基本账户存款信息）；</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3）税收缴纳证明：提供2022年至今已缴纳的6个月的纳税证明或完税证明，依法免税的单位应提供相关证明材料；</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4）社会保障资金缴纳证明：提供2022年至今已缴纳的6个月的社会保障资金缴存单据或社保机构开具的社会保险参保缴费情况证明，依法不需要缴纳社会保障资金的单位应提供相关证明材料；</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5）提供具有履行合同所必需的设备和专业技术能力的承诺；</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6）参加政府采购活动前三年内，在经营活动中没有重大违法记录的书面声明；</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7）法定代表人授权书及被授权人身份证（法定代表人直接参加投标的须提供其法人身份证），非法人单位参照执行；</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8）供应商不得为“信用中国(www.creditchina.gov.cn)”中列入失信被执行人和重大税收违法案件当事人名单的供应商，不得为“中国政府采购网(www.ccgp.gov.cn)” 政府采购严重违法失信行为记录名单中被财政部门禁止参加政府采购活动的供应商（采购代理机构自行查询，采购代理机构查询时限为投标文件递交截止之日）；</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color w:val="auto"/>
          <w:kern w:val="2"/>
          <w:sz w:val="24"/>
          <w:szCs w:val="24"/>
          <w:highlight w:val="none"/>
          <w:lang w:val="en-US" w:eastAsia="zh-CN" w:bidi="ar-SA"/>
        </w:rPr>
        <w:t>9）本项目为专门面向中小企业采购（提供中小企业声明函或监狱企业的证明文件或残疾人福利性单位声明函）。</w:t>
      </w:r>
    </w:p>
    <w:p>
      <w:pPr>
        <w:pStyle w:val="10"/>
        <w:keepNext w:val="0"/>
        <w:keepLines w:val="0"/>
        <w:widowControl/>
        <w:numPr>
          <w:ilvl w:val="3"/>
          <w:numId w:val="0"/>
        </w:numPr>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right="0" w:rightChars="0"/>
        <w:jc w:val="left"/>
        <w:rPr>
          <w:rFonts w:hint="eastAsia" w:ascii="宋体" w:hAnsi="宋体" w:eastAsia="宋体" w:cs="宋体"/>
          <w:b w:val="0"/>
          <w:bCs w:val="0"/>
          <w:color w:val="auto"/>
          <w:sz w:val="24"/>
          <w:szCs w:val="24"/>
        </w:rPr>
      </w:pPr>
      <w:r>
        <w:rPr>
          <w:rStyle w:val="37"/>
          <w:rFonts w:hint="eastAsia" w:ascii="宋体" w:hAnsi="宋体" w:eastAsia="宋体" w:cs="宋体"/>
          <w:b/>
          <w:bCs/>
          <w:i w:val="0"/>
          <w:iCs w:val="0"/>
          <w:caps w:val="0"/>
          <w:color w:val="auto"/>
          <w:spacing w:val="0"/>
          <w:sz w:val="24"/>
          <w:szCs w:val="24"/>
          <w:shd w:val="clear" w:fill="FFFFFF"/>
        </w:rPr>
        <w:t>三、获取招标文件</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时间：202</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shd w:val="clear" w:fill="FFFFFF"/>
          <w:lang w:val="en-US" w:eastAsia="zh-CN"/>
        </w:rPr>
        <w:t>03</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shd w:val="clear" w:fill="FFFFFF"/>
          <w:lang w:val="en-US" w:eastAsia="zh-CN"/>
        </w:rPr>
        <w:t>10</w:t>
      </w:r>
      <w:r>
        <w:rPr>
          <w:rFonts w:hint="eastAsia" w:ascii="宋体" w:hAnsi="宋体" w:eastAsia="宋体" w:cs="宋体"/>
          <w:i w:val="0"/>
          <w:iCs w:val="0"/>
          <w:caps w:val="0"/>
          <w:color w:val="auto"/>
          <w:spacing w:val="0"/>
          <w:sz w:val="24"/>
          <w:szCs w:val="24"/>
          <w:shd w:val="clear" w:fill="FFFFFF"/>
        </w:rPr>
        <w:t>日至202</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shd w:val="clear" w:fill="FFFFFF"/>
          <w:lang w:val="en-US" w:eastAsia="zh-CN"/>
        </w:rPr>
        <w:t>03</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shd w:val="clear" w:fill="FFFFFF"/>
          <w:lang w:val="en-US" w:eastAsia="zh-CN"/>
        </w:rPr>
        <w:t>16</w:t>
      </w:r>
      <w:r>
        <w:rPr>
          <w:rFonts w:hint="eastAsia" w:ascii="宋体" w:hAnsi="宋体" w:eastAsia="宋体" w:cs="宋体"/>
          <w:i w:val="0"/>
          <w:iCs w:val="0"/>
          <w:caps w:val="0"/>
          <w:color w:val="auto"/>
          <w:spacing w:val="0"/>
          <w:sz w:val="24"/>
          <w:szCs w:val="24"/>
          <w:shd w:val="clear" w:fill="FFFFFF"/>
        </w:rPr>
        <w:t>日，每天上午00:00:00至12:00:00，下午12:00:00至23:59:59（北京时间）</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途径：全国公共资源交易平台（陕西省·西安市）（以下简称西安市公共资源交易平台，官网地址：http://sxggzyjy.xa.gov.cn/）</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方式：在线获取</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售价：0元</w:t>
      </w:r>
    </w:p>
    <w:p>
      <w:pPr>
        <w:pStyle w:val="10"/>
        <w:keepNext w:val="0"/>
        <w:keepLines w:val="0"/>
        <w:widowControl/>
        <w:numPr>
          <w:ilvl w:val="3"/>
          <w:numId w:val="0"/>
        </w:numPr>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right="0" w:rightChars="0"/>
        <w:jc w:val="left"/>
        <w:rPr>
          <w:rFonts w:hint="eastAsia" w:ascii="宋体" w:hAnsi="宋体" w:eastAsia="宋体" w:cs="宋体"/>
          <w:b w:val="0"/>
          <w:bCs w:val="0"/>
          <w:color w:val="auto"/>
          <w:sz w:val="24"/>
          <w:szCs w:val="24"/>
        </w:rPr>
      </w:pPr>
      <w:r>
        <w:rPr>
          <w:rStyle w:val="37"/>
          <w:rFonts w:hint="eastAsia" w:ascii="宋体" w:hAnsi="宋体" w:eastAsia="宋体" w:cs="宋体"/>
          <w:b/>
          <w:bCs/>
          <w:i w:val="0"/>
          <w:iCs w:val="0"/>
          <w:caps w:val="0"/>
          <w:color w:val="auto"/>
          <w:spacing w:val="0"/>
          <w:sz w:val="24"/>
          <w:szCs w:val="24"/>
          <w:shd w:val="clear" w:fill="FFFFFF"/>
        </w:rPr>
        <w:t>四、提交投标文件截止时间、开标时间和地点</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时间：202</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shd w:val="clear" w:fill="FFFFFF"/>
          <w:lang w:val="en-US" w:eastAsia="zh-CN"/>
        </w:rPr>
        <w:t>03</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shd w:val="clear" w:fill="FFFFFF"/>
          <w:lang w:val="en-US" w:eastAsia="zh-CN"/>
        </w:rPr>
        <w:t>30</w:t>
      </w:r>
      <w:r>
        <w:rPr>
          <w:rFonts w:hint="eastAsia" w:ascii="宋体" w:hAnsi="宋体" w:eastAsia="宋体" w:cs="宋体"/>
          <w:i w:val="0"/>
          <w:iCs w:val="0"/>
          <w:caps w:val="0"/>
          <w:color w:val="auto"/>
          <w:spacing w:val="0"/>
          <w:sz w:val="24"/>
          <w:szCs w:val="24"/>
          <w:shd w:val="clear" w:fill="FFFFFF"/>
        </w:rPr>
        <w:t>日 09时</w:t>
      </w:r>
      <w:r>
        <w:rPr>
          <w:rFonts w:hint="eastAsia" w:eastAsia="宋体" w:cs="宋体"/>
          <w:i w:val="0"/>
          <w:iCs w:val="0"/>
          <w:caps w:val="0"/>
          <w:color w:val="auto"/>
          <w:spacing w:val="0"/>
          <w:sz w:val="24"/>
          <w:szCs w:val="24"/>
          <w:shd w:val="clear" w:fill="FFFFFF"/>
          <w:lang w:val="en-US" w:eastAsia="zh-CN"/>
        </w:rPr>
        <w:t>0</w:t>
      </w:r>
      <w:r>
        <w:rPr>
          <w:rFonts w:hint="eastAsia" w:ascii="宋体" w:hAnsi="宋体" w:eastAsia="宋体" w:cs="宋体"/>
          <w:i w:val="0"/>
          <w:iCs w:val="0"/>
          <w:caps w:val="0"/>
          <w:color w:val="auto"/>
          <w:spacing w:val="0"/>
          <w:sz w:val="24"/>
          <w:szCs w:val="24"/>
          <w:shd w:val="clear" w:fill="FFFFFF"/>
        </w:rPr>
        <w:t>0分00秒（北京时间）</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提交投标文件地点：全国公共资源交易平台（陕西省·西安市）网站〖首页〉电子交易平台〉陕西政府采购交易系统〉企业端〗</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开标地点：全国公共资源交易平台（陕西省·西安市）不见面开标大厅</w:t>
      </w:r>
    </w:p>
    <w:p>
      <w:pPr>
        <w:pStyle w:val="10"/>
        <w:keepNext w:val="0"/>
        <w:keepLines w:val="0"/>
        <w:widowControl/>
        <w:numPr>
          <w:ilvl w:val="3"/>
          <w:numId w:val="0"/>
        </w:numPr>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right="0" w:rightChars="0"/>
        <w:jc w:val="left"/>
        <w:rPr>
          <w:rFonts w:hint="eastAsia" w:ascii="宋体" w:hAnsi="宋体" w:eastAsia="宋体" w:cs="宋体"/>
          <w:b w:val="0"/>
          <w:bCs w:val="0"/>
          <w:color w:val="auto"/>
          <w:sz w:val="24"/>
          <w:szCs w:val="24"/>
        </w:rPr>
      </w:pPr>
      <w:r>
        <w:rPr>
          <w:rStyle w:val="37"/>
          <w:rFonts w:hint="eastAsia" w:ascii="宋体" w:hAnsi="宋体" w:eastAsia="宋体" w:cs="宋体"/>
          <w:b/>
          <w:bCs/>
          <w:i w:val="0"/>
          <w:iCs w:val="0"/>
          <w:caps w:val="0"/>
          <w:color w:val="auto"/>
          <w:spacing w:val="0"/>
          <w:sz w:val="24"/>
          <w:szCs w:val="24"/>
          <w:shd w:val="clear" w:fill="FFFFFF"/>
        </w:rPr>
        <w:t>五、公告期限</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自本公告发布之日起5个工作日。</w:t>
      </w:r>
    </w:p>
    <w:p>
      <w:pPr>
        <w:pStyle w:val="10"/>
        <w:keepNext w:val="0"/>
        <w:keepLines w:val="0"/>
        <w:widowControl/>
        <w:numPr>
          <w:ilvl w:val="3"/>
          <w:numId w:val="0"/>
        </w:numPr>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right="0" w:rightChars="0"/>
        <w:jc w:val="left"/>
        <w:rPr>
          <w:rFonts w:hint="eastAsia" w:ascii="宋体" w:hAnsi="宋体" w:eastAsia="宋体" w:cs="宋体"/>
          <w:b w:val="0"/>
          <w:bCs w:val="0"/>
          <w:color w:val="auto"/>
          <w:sz w:val="24"/>
          <w:szCs w:val="24"/>
        </w:rPr>
      </w:pPr>
      <w:r>
        <w:rPr>
          <w:rStyle w:val="37"/>
          <w:rFonts w:hint="eastAsia" w:ascii="宋体" w:hAnsi="宋体" w:eastAsia="宋体" w:cs="宋体"/>
          <w:b/>
          <w:bCs/>
          <w:i w:val="0"/>
          <w:iCs w:val="0"/>
          <w:caps w:val="0"/>
          <w:color w:val="auto"/>
          <w:spacing w:val="0"/>
          <w:sz w:val="24"/>
          <w:szCs w:val="24"/>
          <w:shd w:val="clear" w:fill="FFFFFF"/>
        </w:rPr>
        <w:t>六、其他补充事宜</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(一)招标文件获取方式详情：</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 获取方式 ：打开【全国公共资源交易平台 (陕西省·西安市）)http://sxggzyjy.xa.gov.cn/】网站，从〖首页〉电子交易平台〉陕西政府采购交易系统〉企业端〗登录后，首先在〖招标公告/出让公告〗模块中预览本项目，然后选择有意向的项目点击〖我要投标〗，成功后切换到〖我的项目〗模块，依次点选〖项目流程〉项目管理〉交易文件下载〗免费获取本项目电子招标文件(*.SXSZF)。</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友情提示：(1)本项目为电子化政府采购项目，投标人初次登录西安市公共资源交易平台前应先完成诚信入库登记、CA认证和企业信息绑定。办理CA认证:电子交易平台现已接入陕西CA、深圳CA、西部CA、北京CA四家数字证书公司,各投标人在交易过程中登录系统、加密/解密投标文件、文件签章等均可使用上述四家CA公司签发的数字证书。办理须知及所需资料详见:http://www.sxggzyjy.cn/fwzn/004003/20220701/6972fe02-f996-4928-951e-545dab02e53c.html。”</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 制作电子投标文件(*.SXSTF) 需要使用专用制作工具。软件下载及操作说明 详见西安市公共资源交易平台〖首页〉服务指南〉下载专区〗中的《政府采购项目投标文件制作软件及操作手册》。</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(3)提交投标文件截止时间前，投标人应随时留意【陕西省政府采购网】、【全国公共资源交易平台(陕西省·西安市)】上可能发布的变更公告。若变更公告中明确注明本项目提供有变更文件的，投标人应登录企业端后，从〖项目流程〉项目管理〉答疑文件下载〗获取更新后的电子招标文件(*.SXSCF) ，使用旧版电子招标文件制作的电子投标文件(*.SXSTF)，系统将拒绝接收。</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(二)提交投标文件方式详情：</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1．提交投标文件的方式：从西安市公共资源交易平台〖首页〉电子交易平台〉陕西政府采购交易系统〉企业端〗登录，登录后切换到〖我的项目〗模块，依次点选 〖项目流程〉项目管理〉上传响应文件〗上传加密后的电子投标文件(*.SXSTF)。</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2．开标形式：本项目将采用“不见面开标”形式。操作说明详见平台〖首页〉服务指南〉下载专区〗中的《西安公共资源交易不见面开标大厅投标人操作手册》。</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(三) 执行的其他政府采购政策：</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政府采购促进中小企业发展管理办法》（财库〔2020〕46号）、《财政部关于进一步加大政府采购支持中小企业力度》的通知（财库〔2022〕19号）、《陕西省财政厅关于进一步加大政府采购支持中小企业力度的通知》（陕财办采〔2022〕5号）、《陕西省财政厅关于落实政府采购支持中小企业政策有关事项的通知》（陕财办采函[2022] 10号）；</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2)《财政部司法部关于政府采购支持监狱企业发展有关问题的通知》（财库〔2014〕68号）；</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3)《财政部民政部中国残疾人联合会关于促进残疾人就业政府采购政策的通知》（财库〔2017〕141号）；</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4)《财政部国家发展改革委关于印发(节能产品政府采购实施意见)的通知》(财库〔2004〕185号)；</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5)《国务院办公厅关于建立政府强制采购节能产品制度的通知》(国办发〔2007〕51号)；</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6)《财政部环保总局关于环境标志产品政府采购实施的意见》(财库〔2006〕90号)；</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7)《财政部 发展改革委 生态环境部 市场监管总局关于调整优化节能产品、环境标志产品政府采购执行机制的通知》（财库〔2019〕9号）；</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8)《关于印发环境标志产品政府采购品目清单的通知》（财库〔2019〕18号）；</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9)《关于印发节能产品政府采购品目清单的通知》（财库〔2019〕19号）；</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10)《财政部、农业农村部、国家乡村振兴局关于运用政府采购政策支持乡村产业振兴的通知》（财库〔2021〕19号）；</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11)《陕西省财政厅关于印发陕西省中小企业政府采购信用融资办法》（陕财办采〔2018〕23号）；</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12)《陕西省财政厅关于加快推进我省中小企业政府采购信用融资工作的通知》（陕财办采〔2020〕15号）；</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13）《关于政府采购支持绿色建材促进建筑品质提升试点工作的通知》（财库〔2020〕31 号）</w:t>
      </w:r>
      <w:r>
        <w:rPr>
          <w:rFonts w:hint="eastAsia" w:ascii="宋体" w:hAnsi="宋体" w:eastAsia="宋体" w:cs="宋体"/>
          <w:color w:val="auto"/>
          <w:sz w:val="24"/>
          <w:szCs w:val="24"/>
          <w:lang w:eastAsia="zh-CN"/>
        </w:rPr>
        <w:t>；</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14）其他需要落实的政府采购政策。</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(四) 按照陕西省财政厅《关于政府采购投标人注册登记有关事项的通知》中的要求，投标人应通过陕西省政府采购网( http://www.ccgp-shaanxi.gov.cn/) 注册登记，加入陕西省政府采购投标人库。</w:t>
      </w:r>
    </w:p>
    <w:p>
      <w:pPr>
        <w:pStyle w:val="10"/>
        <w:keepNext w:val="0"/>
        <w:keepLines w:val="0"/>
        <w:widowControl/>
        <w:numPr>
          <w:ilvl w:val="3"/>
          <w:numId w:val="0"/>
        </w:numPr>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right="0" w:rightChars="0"/>
        <w:jc w:val="left"/>
        <w:rPr>
          <w:rFonts w:hint="eastAsia" w:ascii="宋体" w:hAnsi="宋体" w:eastAsia="宋体" w:cs="宋体"/>
          <w:b w:val="0"/>
          <w:bCs w:val="0"/>
          <w:color w:val="auto"/>
          <w:sz w:val="24"/>
          <w:szCs w:val="24"/>
        </w:rPr>
      </w:pPr>
      <w:r>
        <w:rPr>
          <w:rStyle w:val="37"/>
          <w:rFonts w:hint="eastAsia" w:ascii="宋体" w:hAnsi="宋体" w:eastAsia="宋体" w:cs="宋体"/>
          <w:b/>
          <w:bCs/>
          <w:i w:val="0"/>
          <w:iCs w:val="0"/>
          <w:caps w:val="0"/>
          <w:color w:val="auto"/>
          <w:spacing w:val="0"/>
          <w:sz w:val="24"/>
          <w:szCs w:val="24"/>
          <w:shd w:val="clear" w:fill="FFFFFF"/>
        </w:rPr>
        <w:t>七、对本次招标提出询问，请按以下方式联系。</w:t>
      </w:r>
    </w:p>
    <w:p>
      <w:pPr>
        <w:pStyle w:val="12"/>
        <w:keepNext w:val="0"/>
        <w:keepLines w:val="0"/>
        <w:widowControl/>
        <w:numPr>
          <w:ilvl w:val="5"/>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lang w:val="en-US" w:eastAsia="zh-CN"/>
        </w:rPr>
        <w:t>1.</w:t>
      </w:r>
      <w:r>
        <w:rPr>
          <w:rFonts w:hint="eastAsia" w:ascii="宋体" w:hAnsi="宋体" w:eastAsia="宋体" w:cs="宋体"/>
          <w:b w:val="0"/>
          <w:bCs w:val="0"/>
          <w:i w:val="0"/>
          <w:iCs w:val="0"/>
          <w:caps w:val="0"/>
          <w:color w:val="auto"/>
          <w:spacing w:val="0"/>
          <w:sz w:val="24"/>
          <w:szCs w:val="24"/>
          <w:shd w:val="clear" w:fill="FFFFFF"/>
        </w:rPr>
        <w:t>采购人信息</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名称：西安市未央区未央宫街道办事处</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地址：北二环西段</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联系方式：029-86312874</w:t>
      </w:r>
    </w:p>
    <w:p>
      <w:pPr>
        <w:pStyle w:val="12"/>
        <w:keepNext w:val="0"/>
        <w:keepLines w:val="0"/>
        <w:widowControl/>
        <w:numPr>
          <w:ilvl w:val="5"/>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lang w:val="en-US" w:eastAsia="zh-CN"/>
        </w:rPr>
        <w:t>2.</w:t>
      </w:r>
      <w:r>
        <w:rPr>
          <w:rFonts w:hint="eastAsia" w:ascii="宋体" w:hAnsi="宋体" w:eastAsia="宋体" w:cs="宋体"/>
          <w:b w:val="0"/>
          <w:bCs w:val="0"/>
          <w:i w:val="0"/>
          <w:iCs w:val="0"/>
          <w:caps w:val="0"/>
          <w:color w:val="auto"/>
          <w:spacing w:val="0"/>
          <w:sz w:val="24"/>
          <w:szCs w:val="24"/>
          <w:shd w:val="clear" w:fill="FFFFFF"/>
        </w:rPr>
        <w:t>采购代理机构信息</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名称：陕西中鉴项目管理有限公司</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地址：陕西省西安市高新区丈八街办高新三路8号913室</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联系方式：029-88229191</w:t>
      </w:r>
    </w:p>
    <w:p>
      <w:pPr>
        <w:pStyle w:val="12"/>
        <w:keepNext w:val="0"/>
        <w:keepLines w:val="0"/>
        <w:widowControl/>
        <w:numPr>
          <w:ilvl w:val="5"/>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项目联系人：董清漩</w:t>
      </w:r>
    </w:p>
    <w:p>
      <w:pPr>
        <w:pStyle w:val="3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电话：029-88229191</w:t>
      </w:r>
    </w:p>
    <w:p>
      <w:pPr>
        <w:spacing w:line="560" w:lineRule="exact"/>
        <w:ind w:firstLine="480" w:firstLineChars="200"/>
        <w:jc w:val="right"/>
        <w:rPr>
          <w:rFonts w:hint="eastAsia" w:ascii="宋体" w:hAnsi="宋体" w:eastAsia="宋体" w:cs="宋体"/>
          <w:i w:val="0"/>
          <w:iCs w:val="0"/>
          <w:caps w:val="0"/>
          <w:color w:val="auto"/>
          <w:spacing w:val="0"/>
          <w:sz w:val="24"/>
          <w:szCs w:val="24"/>
          <w:shd w:val="clear" w:fill="FFFFFF"/>
        </w:rPr>
      </w:pPr>
    </w:p>
    <w:p>
      <w:pPr>
        <w:spacing w:line="560" w:lineRule="exact"/>
        <w:ind w:firstLine="480" w:firstLineChars="200"/>
        <w:jc w:val="right"/>
        <w:rPr>
          <w:rFonts w:hint="eastAsia" w:ascii="宋体" w:hAnsi="宋体" w:eastAsia="宋体" w:cs="宋体"/>
          <w:i w:val="0"/>
          <w:iCs w:val="0"/>
          <w:caps w:val="0"/>
          <w:color w:val="auto"/>
          <w:spacing w:val="0"/>
          <w:sz w:val="24"/>
          <w:szCs w:val="24"/>
          <w:shd w:val="clear" w:fill="FFFFFF"/>
        </w:rPr>
      </w:pPr>
    </w:p>
    <w:p>
      <w:pPr>
        <w:spacing w:line="560" w:lineRule="exact"/>
        <w:ind w:firstLine="640" w:firstLineChars="200"/>
        <w:jc w:val="both"/>
        <w:rPr>
          <w:rFonts w:ascii="宋体" w:hAnsi="宋体" w:eastAsia="宋体" w:cs="宋体"/>
          <w:color w:val="000000" w:themeColor="text1"/>
          <w:sz w:val="32"/>
          <w:szCs w:val="32"/>
          <w:highlight w:val="none"/>
          <w14:textFill>
            <w14:solidFill>
              <w14:schemeClr w14:val="tx1"/>
            </w14:solidFill>
          </w14:textFill>
        </w:rPr>
      </w:pPr>
      <w:bookmarkStart w:id="3" w:name="_Toc97563329"/>
      <w:bookmarkStart w:id="4" w:name="_Toc533363262"/>
      <w:bookmarkStart w:id="5" w:name="_Toc534656409"/>
      <w:bookmarkStart w:id="6" w:name="_Toc534656414"/>
      <w:bookmarkStart w:id="7" w:name="_Toc100219613"/>
      <w:bookmarkStart w:id="8" w:name="_Toc445407251"/>
      <w:bookmarkStart w:id="9" w:name="_Toc498349068"/>
      <w:bookmarkStart w:id="10" w:name="_Toc533363235"/>
      <w:r>
        <w:rPr>
          <w:rFonts w:hint="eastAsia" w:ascii="宋体" w:hAnsi="宋体" w:eastAsia="宋体" w:cs="宋体"/>
          <w:color w:val="000000" w:themeColor="text1"/>
          <w:sz w:val="32"/>
          <w:szCs w:val="32"/>
          <w:highlight w:val="none"/>
          <w14:textFill>
            <w14:solidFill>
              <w14:schemeClr w14:val="tx1"/>
            </w14:solidFill>
          </w14:textFill>
        </w:rPr>
        <w:br w:type="page"/>
      </w:r>
    </w:p>
    <w:p>
      <w:pPr>
        <w:pStyle w:val="7"/>
        <w:spacing w:line="240" w:lineRule="auto"/>
        <w:rPr>
          <w:rFonts w:ascii="宋体" w:hAnsi="宋体" w:eastAsia="宋体" w:cs="宋体"/>
          <w:color w:val="000000" w:themeColor="text1"/>
          <w:highlight w:val="none"/>
          <w14:textFill>
            <w14:solidFill>
              <w14:schemeClr w14:val="tx1"/>
            </w14:solidFill>
          </w14:textFill>
        </w:rPr>
      </w:pPr>
      <w:bookmarkStart w:id="11" w:name="_Toc29757"/>
      <w:bookmarkStart w:id="12" w:name="_Toc19037"/>
      <w:r>
        <w:rPr>
          <w:rFonts w:hint="eastAsia" w:ascii="宋体" w:hAnsi="宋体" w:eastAsia="宋体" w:cs="宋体"/>
          <w:color w:val="000000" w:themeColor="text1"/>
          <w:highlight w:val="none"/>
          <w14:textFill>
            <w14:solidFill>
              <w14:schemeClr w14:val="tx1"/>
            </w14:solidFill>
          </w14:textFill>
        </w:rPr>
        <w:t>第二章  供应商须知</w:t>
      </w:r>
      <w:bookmarkEnd w:id="3"/>
      <w:bookmarkEnd w:id="4"/>
      <w:bookmarkEnd w:id="5"/>
      <w:bookmarkEnd w:id="6"/>
      <w:bookmarkEnd w:id="7"/>
      <w:bookmarkEnd w:id="8"/>
      <w:bookmarkEnd w:id="9"/>
      <w:bookmarkEnd w:id="10"/>
      <w:bookmarkEnd w:id="11"/>
      <w:bookmarkEnd w:id="12"/>
    </w:p>
    <w:p>
      <w:pPr>
        <w:pStyle w:val="8"/>
        <w:spacing w:line="240" w:lineRule="auto"/>
        <w:ind w:firstLine="560"/>
        <w:jc w:val="left"/>
        <w:rPr>
          <w:rFonts w:ascii="宋体" w:hAnsi="宋体" w:eastAsia="宋体" w:cs="宋体"/>
          <w:color w:val="000000" w:themeColor="text1"/>
          <w:sz w:val="28"/>
          <w:szCs w:val="28"/>
          <w:highlight w:val="none"/>
          <w14:textFill>
            <w14:solidFill>
              <w14:schemeClr w14:val="tx1"/>
            </w14:solidFill>
          </w14:textFill>
        </w:rPr>
      </w:pPr>
      <w:bookmarkStart w:id="13" w:name="_Toc30178"/>
      <w:bookmarkStart w:id="14" w:name="_Toc22770"/>
      <w:r>
        <w:rPr>
          <w:rFonts w:hint="eastAsia" w:ascii="宋体" w:hAnsi="宋体" w:eastAsia="宋体" w:cs="宋体"/>
          <w:color w:val="000000" w:themeColor="text1"/>
          <w:sz w:val="28"/>
          <w:szCs w:val="28"/>
          <w:highlight w:val="none"/>
          <w14:textFill>
            <w14:solidFill>
              <w14:schemeClr w14:val="tx1"/>
            </w14:solidFill>
          </w14:textFill>
        </w:rPr>
        <w:t>〖前附表〗</w:t>
      </w:r>
      <w:bookmarkEnd w:id="13"/>
      <w:bookmarkEnd w:id="14"/>
    </w:p>
    <w:tbl>
      <w:tblPr>
        <w:tblStyle w:val="35"/>
        <w:tblW w:w="887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2994"/>
        <w:gridCol w:w="489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序号</w:t>
            </w:r>
          </w:p>
        </w:tc>
        <w:tc>
          <w:tcPr>
            <w:tcW w:w="2994"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内容</w:t>
            </w:r>
          </w:p>
        </w:tc>
        <w:tc>
          <w:tcPr>
            <w:tcW w:w="4898"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说明和要求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tcBorders>
              <w:top w:val="single" w:color="auto" w:sz="2" w:space="0"/>
            </w:tcBorders>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p>
        </w:tc>
        <w:tc>
          <w:tcPr>
            <w:tcW w:w="2994" w:type="dxa"/>
            <w:tcBorders>
              <w:top w:val="single" w:color="auto" w:sz="2" w:space="0"/>
            </w:tcBorders>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项目名称</w:t>
            </w:r>
          </w:p>
        </w:tc>
        <w:tc>
          <w:tcPr>
            <w:tcW w:w="4898" w:type="dxa"/>
            <w:tcBorders>
              <w:top w:val="single" w:color="auto" w:sz="2" w:space="0"/>
            </w:tcBorders>
            <w:shd w:val="clear" w:color="auto" w:fill="auto"/>
            <w:vAlign w:val="center"/>
          </w:tcPr>
          <w:p>
            <w:pPr>
              <w:jc w:val="center"/>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未央宫街道遗址区“六村三校”农村饮水安全巩固提升工程材料购置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项目编号</w:t>
            </w:r>
          </w:p>
        </w:tc>
        <w:tc>
          <w:tcPr>
            <w:tcW w:w="4898" w:type="dxa"/>
            <w:shd w:val="clear" w:color="auto" w:fill="auto"/>
            <w:vAlign w:val="center"/>
          </w:tcPr>
          <w:p>
            <w:pPr>
              <w:jc w:val="center"/>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ZJXG2023026</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预算执行书编号</w:t>
            </w:r>
          </w:p>
        </w:tc>
        <w:tc>
          <w:tcPr>
            <w:tcW w:w="489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YS-未央区-2023-00009</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是否预留份额</w:t>
            </w:r>
          </w:p>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专门面向中小企业采购</w:t>
            </w:r>
          </w:p>
        </w:tc>
        <w:tc>
          <w:tcPr>
            <w:tcW w:w="489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sdt>
              <w:sdtPr>
                <w:rPr>
                  <w:rFonts w:hint="eastAsia" w:ascii="宋体" w:hAnsi="宋体" w:eastAsia="宋体" w:cs="宋体"/>
                  <w:color w:val="000000" w:themeColor="text1"/>
                  <w:sz w:val="21"/>
                  <w:szCs w:val="21"/>
                  <w:highlight w:val="none"/>
                  <w14:textFill>
                    <w14:solidFill>
                      <w14:schemeClr w14:val="tx1"/>
                    </w14:solidFill>
                  </w14:textFill>
                </w:rPr>
                <w:id w:val="-2072024220"/>
              </w:sdtPr>
              <w:sdtEndPr>
                <w:rPr>
                  <w:rFonts w:hint="eastAsia" w:ascii="宋体" w:hAnsi="宋体" w:eastAsia="宋体" w:cs="宋体"/>
                  <w:color w:val="000000" w:themeColor="text1"/>
                  <w:sz w:val="21"/>
                  <w:szCs w:val="21"/>
                  <w:highlight w:val="none"/>
                  <w14:textFill>
                    <w14:solidFill>
                      <w14:schemeClr w14:val="tx1"/>
                    </w14:solidFill>
                  </w14:textFill>
                </w:rPr>
              </w:sdtEndPr>
              <w:sdtContent>
                <w:r>
                  <w:rPr>
                    <w:rFonts w:hint="eastAsia" w:ascii="宋体" w:hAnsi="宋体" w:eastAsia="宋体" w:cs="宋体"/>
                    <w:color w:val="000000" w:themeColor="text1"/>
                    <w:sz w:val="21"/>
                    <w:szCs w:val="21"/>
                    <w:highlight w:val="none"/>
                    <w:lang w:eastAsia="zh-CN"/>
                    <w14:textFill>
                      <w14:solidFill>
                        <w14:schemeClr w14:val="tx1"/>
                      </w14:solidFill>
                    </w14:textFill>
                  </w:rPr>
                  <w:t>☑</w:t>
                </w:r>
              </w:sdtContent>
            </w:sdt>
            <w:sdt>
              <w:sdtPr>
                <w:rPr>
                  <w:rFonts w:hint="eastAsia" w:ascii="宋体" w:hAnsi="宋体" w:eastAsia="宋体" w:cs="宋体"/>
                  <w:color w:val="000000" w:themeColor="text1"/>
                  <w:sz w:val="21"/>
                  <w:szCs w:val="21"/>
                  <w:highlight w:val="none"/>
                  <w14:textFill>
                    <w14:solidFill>
                      <w14:schemeClr w14:val="tx1"/>
                    </w14:solidFill>
                  </w14:textFill>
                </w:rPr>
                <w:id w:val="2139916130"/>
              </w:sdtPr>
              <w:sdtEndPr>
                <w:rPr>
                  <w:rFonts w:hint="eastAsia" w:ascii="宋体" w:hAnsi="宋体" w:eastAsia="宋体" w:cs="宋体"/>
                  <w:color w:val="000000" w:themeColor="text1"/>
                  <w:sz w:val="21"/>
                  <w:szCs w:val="21"/>
                  <w:highlight w:val="none"/>
                  <w14:textFill>
                    <w14:solidFill>
                      <w14:schemeClr w14:val="tx1"/>
                    </w14:solidFill>
                  </w14:textFill>
                </w:rPr>
              </w:sdtEndPr>
              <w:sdtContent/>
            </w:sdt>
            <w:r>
              <w:rPr>
                <w:rFonts w:hint="eastAsia" w:ascii="宋体" w:hAnsi="宋体" w:eastAsia="宋体" w:cs="宋体"/>
                <w:color w:val="000000" w:themeColor="text1"/>
                <w:sz w:val="21"/>
                <w:szCs w:val="21"/>
                <w:highlight w:val="none"/>
                <w14:textFill>
                  <w14:solidFill>
                    <w14:schemeClr w14:val="tx1"/>
                  </w14:solidFill>
                </w14:textFill>
              </w:rPr>
              <w:t xml:space="preserve">是  </w:t>
            </w:r>
            <w:sdt>
              <w:sdtPr>
                <w:rPr>
                  <w:rFonts w:hint="eastAsia" w:ascii="宋体" w:hAnsi="宋体" w:eastAsia="宋体" w:cs="宋体"/>
                  <w:color w:val="000000" w:themeColor="text1"/>
                  <w:sz w:val="21"/>
                  <w:szCs w:val="21"/>
                  <w:highlight w:val="none"/>
                  <w14:textFill>
                    <w14:solidFill>
                      <w14:schemeClr w14:val="tx1"/>
                    </w14:solidFill>
                  </w14:textFill>
                </w:rPr>
                <w:id w:val="-2072024220"/>
              </w:sdtPr>
              <w:sdtEndPr>
                <w:rPr>
                  <w:rFonts w:hint="eastAsia" w:ascii="宋体" w:hAnsi="宋体" w:eastAsia="宋体" w:cs="宋体"/>
                  <w:color w:val="000000" w:themeColor="text1"/>
                  <w:sz w:val="21"/>
                  <w:szCs w:val="21"/>
                  <w:highlight w:val="none"/>
                  <w14:textFill>
                    <w14:solidFill>
                      <w14:schemeClr w14:val="tx1"/>
                    </w14:solidFill>
                  </w14:textFill>
                </w:rPr>
              </w:sdtEndPr>
              <w:sdtContent>
                <w:r>
                  <w:rPr>
                    <w:rFonts w:hint="eastAsia" w:ascii="宋体" w:hAnsi="宋体" w:eastAsia="宋体" w:cs="宋体"/>
                    <w:color w:val="000000" w:themeColor="text1"/>
                    <w:sz w:val="21"/>
                    <w:szCs w:val="21"/>
                    <w:highlight w:val="none"/>
                    <w:lang w:eastAsia="zh-CN"/>
                    <w14:textFill>
                      <w14:solidFill>
                        <w14:schemeClr w14:val="tx1"/>
                      </w14:solidFill>
                    </w14:textFill>
                  </w:rPr>
                  <w:t>□</w:t>
                </w:r>
              </w:sdtContent>
            </w:sdt>
            <w:r>
              <w:rPr>
                <w:rFonts w:hint="eastAsia" w:ascii="宋体" w:hAnsi="宋体" w:eastAsia="宋体" w:cs="宋体"/>
                <w:color w:val="000000" w:themeColor="text1"/>
                <w:sz w:val="21"/>
                <w:szCs w:val="21"/>
                <w:highlight w:val="none"/>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00" w:hRule="atLeast"/>
          <w:jc w:val="center"/>
        </w:trPr>
        <w:tc>
          <w:tcPr>
            <w:tcW w:w="978" w:type="dxa"/>
            <w:vMerge w:val="restart"/>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预算金额</w:t>
            </w:r>
          </w:p>
        </w:tc>
        <w:tc>
          <w:tcPr>
            <w:tcW w:w="489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15,610,700.00元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vMerge w:val="continue"/>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最高限价</w:t>
            </w:r>
          </w:p>
        </w:tc>
        <w:tc>
          <w:tcPr>
            <w:tcW w:w="489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15,610,700.00元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是否接受联合体</w:t>
            </w:r>
          </w:p>
        </w:tc>
        <w:tc>
          <w:tcPr>
            <w:tcW w:w="489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sdt>
              <w:sdtPr>
                <w:rPr>
                  <w:rFonts w:hint="eastAsia" w:ascii="宋体" w:hAnsi="宋体" w:eastAsia="宋体" w:cs="宋体"/>
                  <w:color w:val="000000" w:themeColor="text1"/>
                  <w:sz w:val="21"/>
                  <w:szCs w:val="21"/>
                  <w:highlight w:val="none"/>
                  <w14:textFill>
                    <w14:solidFill>
                      <w14:schemeClr w14:val="tx1"/>
                    </w14:solidFill>
                  </w14:textFill>
                </w:rPr>
                <w:id w:val="148570254"/>
              </w:sdtPr>
              <w:sdtEndPr>
                <w:rPr>
                  <w:rFonts w:hint="eastAsia" w:ascii="宋体" w:hAnsi="宋体" w:eastAsia="宋体" w:cs="宋体"/>
                  <w:color w:val="000000" w:themeColor="text1"/>
                  <w:sz w:val="21"/>
                  <w:szCs w:val="21"/>
                  <w:highlight w:val="none"/>
                  <w14:textFill>
                    <w14:solidFill>
                      <w14:schemeClr w14:val="tx1"/>
                    </w14:solidFill>
                  </w14:textFill>
                </w:rPr>
              </w:sdtEndPr>
              <w:sdtContent>
                <w:r>
                  <w:rPr>
                    <w:rFonts w:hint="eastAsia" w:ascii="宋体" w:hAnsi="宋体" w:eastAsia="宋体" w:cs="宋体"/>
                    <w:color w:val="000000" w:themeColor="text1"/>
                    <w:sz w:val="21"/>
                    <w:szCs w:val="21"/>
                    <w:highlight w:val="none"/>
                    <w14:textFill>
                      <w14:solidFill>
                        <w14:schemeClr w14:val="tx1"/>
                      </w14:solidFill>
                    </w14:textFill>
                  </w:rPr>
                  <w:t>☐</w:t>
                </w:r>
              </w:sdtContent>
            </w:sdt>
            <w:r>
              <w:rPr>
                <w:rFonts w:hint="eastAsia" w:ascii="宋体" w:hAnsi="宋体" w:eastAsia="宋体" w:cs="宋体"/>
                <w:color w:val="000000" w:themeColor="text1"/>
                <w:sz w:val="21"/>
                <w:szCs w:val="21"/>
                <w:highlight w:val="none"/>
                <w14:textFill>
                  <w14:solidFill>
                    <w14:schemeClr w14:val="tx1"/>
                  </w14:solidFill>
                </w14:textFill>
              </w:rPr>
              <w:t xml:space="preserve">是  </w:t>
            </w:r>
            <w:sdt>
              <w:sdtPr>
                <w:rPr>
                  <w:rFonts w:hint="eastAsia" w:ascii="宋体" w:hAnsi="宋体" w:eastAsia="宋体" w:cs="宋体"/>
                  <w:color w:val="000000" w:themeColor="text1"/>
                  <w:sz w:val="21"/>
                  <w:szCs w:val="21"/>
                  <w:highlight w:val="none"/>
                  <w14:textFill>
                    <w14:solidFill>
                      <w14:schemeClr w14:val="tx1"/>
                    </w14:solidFill>
                  </w14:textFill>
                </w:rPr>
                <w:id w:val="-1689594843"/>
              </w:sdtPr>
              <w:sdtEndPr>
                <w:rPr>
                  <w:rFonts w:hint="eastAsia" w:ascii="宋体" w:hAnsi="宋体" w:eastAsia="宋体" w:cs="宋体"/>
                  <w:color w:val="000000" w:themeColor="text1"/>
                  <w:sz w:val="21"/>
                  <w:szCs w:val="21"/>
                  <w:highlight w:val="none"/>
                  <w14:textFill>
                    <w14:solidFill>
                      <w14:schemeClr w14:val="tx1"/>
                    </w14:solidFill>
                  </w14:textFill>
                </w:rPr>
              </w:sdtEndPr>
              <w:sdtContent>
                <w:r>
                  <w:rPr>
                    <w:rFonts w:hint="eastAsia" w:ascii="宋体" w:hAnsi="宋体" w:eastAsia="宋体" w:cs="宋体"/>
                    <w:color w:val="000000" w:themeColor="text1"/>
                    <w:sz w:val="21"/>
                    <w:szCs w:val="21"/>
                    <w:highlight w:val="none"/>
                    <w14:textFill>
                      <w14:solidFill>
                        <w14:schemeClr w14:val="tx1"/>
                      </w14:solidFill>
                    </w14:textFill>
                  </w:rPr>
                  <w:t>☑</w:t>
                </w:r>
              </w:sdtContent>
            </w:sdt>
            <w:r>
              <w:rPr>
                <w:rFonts w:hint="eastAsia" w:ascii="宋体" w:hAnsi="宋体" w:eastAsia="宋体" w:cs="宋体"/>
                <w:color w:val="000000" w:themeColor="text1"/>
                <w:sz w:val="21"/>
                <w:szCs w:val="21"/>
                <w:highlight w:val="none"/>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7</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是否允许进口产品</w:t>
            </w:r>
          </w:p>
        </w:tc>
        <w:tc>
          <w:tcPr>
            <w:tcW w:w="489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sdt>
              <w:sdtPr>
                <w:rPr>
                  <w:rFonts w:hint="eastAsia" w:ascii="宋体" w:hAnsi="宋体" w:eastAsia="宋体" w:cs="宋体"/>
                  <w:color w:val="000000" w:themeColor="text1"/>
                  <w:sz w:val="21"/>
                  <w:szCs w:val="21"/>
                  <w:highlight w:val="none"/>
                  <w14:textFill>
                    <w14:solidFill>
                      <w14:schemeClr w14:val="tx1"/>
                    </w14:solidFill>
                  </w14:textFill>
                </w:rPr>
                <w:id w:val="124048724"/>
              </w:sdtPr>
              <w:sdtEndPr>
                <w:rPr>
                  <w:rFonts w:hint="eastAsia" w:ascii="宋体" w:hAnsi="宋体" w:eastAsia="宋体" w:cs="宋体"/>
                  <w:color w:val="000000" w:themeColor="text1"/>
                  <w:sz w:val="21"/>
                  <w:szCs w:val="21"/>
                  <w:highlight w:val="none"/>
                  <w14:textFill>
                    <w14:solidFill>
                      <w14:schemeClr w14:val="tx1"/>
                    </w14:solidFill>
                  </w14:textFill>
                </w:rPr>
              </w:sdtEndPr>
              <w:sdtContent>
                <w:r>
                  <w:rPr>
                    <w:rFonts w:hint="eastAsia" w:ascii="宋体" w:hAnsi="宋体" w:eastAsia="宋体" w:cs="宋体"/>
                    <w:color w:val="000000" w:themeColor="text1"/>
                    <w:sz w:val="21"/>
                    <w:szCs w:val="21"/>
                    <w:highlight w:val="none"/>
                    <w14:textFill>
                      <w14:solidFill>
                        <w14:schemeClr w14:val="tx1"/>
                      </w14:solidFill>
                    </w14:textFill>
                  </w:rPr>
                  <w:t>☐</w:t>
                </w:r>
              </w:sdtContent>
            </w:sdt>
            <w:r>
              <w:rPr>
                <w:rFonts w:hint="eastAsia" w:ascii="宋体" w:hAnsi="宋体" w:eastAsia="宋体" w:cs="宋体"/>
                <w:color w:val="000000" w:themeColor="text1"/>
                <w:sz w:val="21"/>
                <w:szCs w:val="21"/>
                <w:highlight w:val="none"/>
                <w14:textFill>
                  <w14:solidFill>
                    <w14:schemeClr w14:val="tx1"/>
                  </w14:solidFill>
                </w14:textFill>
              </w:rPr>
              <w:t xml:space="preserve">是  </w:t>
            </w:r>
            <w:sdt>
              <w:sdtPr>
                <w:rPr>
                  <w:rFonts w:hint="eastAsia" w:ascii="宋体" w:hAnsi="宋体" w:eastAsia="宋体" w:cs="宋体"/>
                  <w:color w:val="000000" w:themeColor="text1"/>
                  <w:sz w:val="21"/>
                  <w:szCs w:val="21"/>
                  <w:highlight w:val="none"/>
                  <w14:textFill>
                    <w14:solidFill>
                      <w14:schemeClr w14:val="tx1"/>
                    </w14:solidFill>
                  </w14:textFill>
                </w:rPr>
                <w:id w:val="1526827503"/>
              </w:sdtPr>
              <w:sdtEndPr>
                <w:rPr>
                  <w:rFonts w:hint="eastAsia" w:ascii="宋体" w:hAnsi="宋体" w:eastAsia="宋体" w:cs="宋体"/>
                  <w:color w:val="000000" w:themeColor="text1"/>
                  <w:sz w:val="21"/>
                  <w:szCs w:val="21"/>
                  <w:highlight w:val="none"/>
                  <w14:textFill>
                    <w14:solidFill>
                      <w14:schemeClr w14:val="tx1"/>
                    </w14:solidFill>
                  </w14:textFill>
                </w:rPr>
              </w:sdtEndPr>
              <w:sdtContent>
                <w:r>
                  <w:rPr>
                    <w:rFonts w:hint="eastAsia" w:ascii="宋体" w:hAnsi="宋体" w:eastAsia="宋体" w:cs="宋体"/>
                    <w:color w:val="000000" w:themeColor="text1"/>
                    <w:sz w:val="21"/>
                    <w:szCs w:val="21"/>
                    <w:highlight w:val="none"/>
                    <w14:textFill>
                      <w14:solidFill>
                        <w14:schemeClr w14:val="tx1"/>
                      </w14:solidFill>
                    </w14:textFill>
                  </w:rPr>
                  <w:t>☑</w:t>
                </w:r>
              </w:sdtContent>
            </w:sdt>
            <w:r>
              <w:rPr>
                <w:rFonts w:hint="eastAsia" w:ascii="宋体" w:hAnsi="宋体" w:eastAsia="宋体" w:cs="宋体"/>
                <w:color w:val="000000" w:themeColor="text1"/>
                <w:sz w:val="21"/>
                <w:szCs w:val="21"/>
                <w:highlight w:val="none"/>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8</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投标保证金</w:t>
            </w:r>
          </w:p>
        </w:tc>
        <w:tc>
          <w:tcPr>
            <w:tcW w:w="489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4"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9</w:t>
            </w:r>
          </w:p>
        </w:tc>
        <w:tc>
          <w:tcPr>
            <w:tcW w:w="2994" w:type="dxa"/>
            <w:shd w:val="clear" w:color="auto" w:fill="auto"/>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履约保证金</w:t>
            </w:r>
          </w:p>
        </w:tc>
        <w:tc>
          <w:tcPr>
            <w:tcW w:w="4898" w:type="dxa"/>
            <w:shd w:val="clear" w:color="auto" w:fill="auto"/>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10</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纸质版投标文件份数</w:t>
            </w:r>
          </w:p>
        </w:tc>
        <w:tc>
          <w:tcPr>
            <w:tcW w:w="4898" w:type="dxa"/>
            <w:shd w:val="clear" w:color="auto" w:fill="auto"/>
            <w:vAlign w:val="center"/>
          </w:tcPr>
          <w:p>
            <w:pPr>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投标供应商无需提供；</w:t>
            </w:r>
          </w:p>
          <w:p>
            <w:pPr>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中标供应商在领取中标通知书时提供一正两副。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11</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现场踏勘和集中答疑</w:t>
            </w:r>
          </w:p>
        </w:tc>
        <w:tc>
          <w:tcPr>
            <w:tcW w:w="4898" w:type="dxa"/>
            <w:shd w:val="clear" w:color="auto" w:fill="auto"/>
            <w:vAlign w:val="center"/>
          </w:tcPr>
          <w:p>
            <w:pPr>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不组织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12</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政府采购信息发布媒体</w:t>
            </w:r>
          </w:p>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（采购公告、采购结果公告、变更公告）</w:t>
            </w:r>
          </w:p>
        </w:tc>
        <w:tc>
          <w:tcPr>
            <w:tcW w:w="4898" w:type="dxa"/>
            <w:shd w:val="clear" w:color="auto" w:fill="auto"/>
            <w:vAlign w:val="center"/>
          </w:tcPr>
          <w:p>
            <w:pP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1．陕西省政府采购网：仅提供项目公告，官网地址：http://ccgp-shaanxi.gov.cn/。</w:t>
            </w:r>
          </w:p>
          <w:p>
            <w:pP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2．全国公共资源交易平台（陕西省·西安市）：即西安市公共资源交易平台，提供项目公告和采购文件下载。官网地址：http://sxggzyjy.xa.gov.cn/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13</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询问和质疑</w:t>
            </w:r>
          </w:p>
        </w:tc>
        <w:tc>
          <w:tcPr>
            <w:tcW w:w="4898" w:type="dxa"/>
            <w:shd w:val="clear" w:color="auto" w:fill="auto"/>
            <w:vAlign w:val="center"/>
          </w:tcPr>
          <w:p>
            <w:pPr>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见</w:t>
            </w:r>
            <w:r>
              <w:rPr>
                <w:rFonts w:hint="eastAsia" w:ascii="宋体" w:hAnsi="宋体" w:eastAsia="宋体" w:cs="宋体"/>
                <w:color w:val="000000" w:themeColor="text1"/>
                <w:sz w:val="21"/>
                <w:szCs w:val="21"/>
                <w:highlight w:val="none"/>
                <w:lang w:val="en-US" w:eastAsia="zh-CN"/>
                <w14:textFill>
                  <w14:solidFill>
                    <w14:schemeClr w14:val="tx1"/>
                  </w14:solidFill>
                </w14:textFill>
              </w:rPr>
              <w:t>招标公告</w:t>
            </w:r>
            <w:r>
              <w:rPr>
                <w:rFonts w:hint="eastAsia" w:ascii="宋体" w:hAnsi="宋体" w:eastAsia="宋体" w:cs="宋体"/>
                <w:color w:val="000000" w:themeColor="text1"/>
                <w:sz w:val="21"/>
                <w:szCs w:val="21"/>
                <w:highlight w:val="none"/>
                <w14:textFill>
                  <w14:solidFill>
                    <w14:schemeClr w14:val="tx1"/>
                  </w14:solidFill>
                </w14:textFill>
              </w:rPr>
              <w:t>中的“联系方式”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14</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投诉受理</w:t>
            </w:r>
          </w:p>
        </w:tc>
        <w:tc>
          <w:tcPr>
            <w:tcW w:w="4898" w:type="dxa"/>
            <w:shd w:val="clear" w:color="auto" w:fill="auto"/>
            <w:vAlign w:val="center"/>
          </w:tcPr>
          <w:p>
            <w:pPr>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1．受理单位：西安市</w:t>
            </w:r>
            <w:r>
              <w:rPr>
                <w:rFonts w:hint="eastAsia" w:ascii="宋体" w:hAnsi="宋体" w:eastAsia="宋体" w:cs="宋体"/>
                <w:color w:val="000000" w:themeColor="text1"/>
                <w:sz w:val="21"/>
                <w:szCs w:val="21"/>
                <w:highlight w:val="none"/>
                <w:lang w:val="en-US" w:eastAsia="zh-CN"/>
                <w14:textFill>
                  <w14:solidFill>
                    <w14:schemeClr w14:val="tx1"/>
                  </w14:solidFill>
                </w14:textFill>
              </w:rPr>
              <w:t>未央区</w:t>
            </w:r>
            <w:r>
              <w:rPr>
                <w:rFonts w:hint="eastAsia" w:ascii="宋体" w:hAnsi="宋体" w:eastAsia="宋体" w:cs="宋体"/>
                <w:color w:val="000000" w:themeColor="text1"/>
                <w:sz w:val="21"/>
                <w:szCs w:val="21"/>
                <w:highlight w:val="none"/>
                <w14:textFill>
                  <w14:solidFill>
                    <w14:schemeClr w14:val="tx1"/>
                  </w14:solidFill>
                </w14:textFill>
              </w:rPr>
              <w:t>财政局</w:t>
            </w:r>
          </w:p>
          <w:p>
            <w:pPr>
              <w:jc w:val="both"/>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2．联系电话：029-</w:t>
            </w:r>
            <w:r>
              <w:rPr>
                <w:rFonts w:hint="eastAsia" w:ascii="宋体" w:hAnsi="宋体" w:eastAsia="宋体" w:cs="宋体"/>
                <w:color w:val="000000" w:themeColor="text1"/>
                <w:sz w:val="21"/>
                <w:szCs w:val="21"/>
                <w:highlight w:val="none"/>
                <w:lang w:val="en-US" w:eastAsia="zh-CN"/>
                <w14:textFill>
                  <w14:solidFill>
                    <w14:schemeClr w14:val="tx1"/>
                  </w14:solidFill>
                </w14:textFill>
              </w:rPr>
              <w:t>86236610</w:t>
            </w:r>
          </w:p>
          <w:p>
            <w:pPr>
              <w:jc w:val="both"/>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3．地址：西安市未央区</w:t>
            </w:r>
            <w:r>
              <w:rPr>
                <w:rFonts w:hint="eastAsia" w:ascii="宋体" w:hAnsi="宋体" w:eastAsia="宋体" w:cs="宋体"/>
                <w:color w:val="000000" w:themeColor="text1"/>
                <w:sz w:val="21"/>
                <w:szCs w:val="21"/>
                <w:highlight w:val="none"/>
                <w:lang w:val="en-US" w:eastAsia="zh-CN"/>
                <w14:textFill>
                  <w14:solidFill>
                    <w14:schemeClr w14:val="tx1"/>
                  </w14:solidFill>
                </w14:textFill>
              </w:rPr>
              <w:t>广安路19号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15</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信用信息查询截至时点</w:t>
            </w:r>
          </w:p>
        </w:tc>
        <w:tc>
          <w:tcPr>
            <w:tcW w:w="4898" w:type="dxa"/>
            <w:shd w:val="clear" w:color="auto" w:fill="auto"/>
            <w:vAlign w:val="center"/>
          </w:tcPr>
          <w:p>
            <w:pPr>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投标文件递交截止之日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16</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开标形式</w:t>
            </w:r>
          </w:p>
        </w:tc>
        <w:tc>
          <w:tcPr>
            <w:tcW w:w="4898" w:type="dxa"/>
            <w:shd w:val="clear" w:color="auto" w:fill="auto"/>
            <w:vAlign w:val="center"/>
          </w:tcPr>
          <w:p>
            <w:pPr>
              <w:jc w:val="both"/>
              <w:rPr>
                <w:rFonts w:ascii="宋体" w:hAnsi="宋体" w:eastAsia="宋体" w:cs="宋体"/>
                <w:color w:val="000000" w:themeColor="text1"/>
                <w:sz w:val="21"/>
                <w:szCs w:val="21"/>
                <w:highlight w:val="none"/>
                <w14:textFill>
                  <w14:solidFill>
                    <w14:schemeClr w14:val="tx1"/>
                  </w14:solidFill>
                </w14:textFill>
              </w:rPr>
            </w:pPr>
            <w:sdt>
              <w:sdtPr>
                <w:rPr>
                  <w:rFonts w:hint="eastAsia" w:ascii="宋体" w:hAnsi="宋体" w:eastAsia="宋体" w:cs="宋体"/>
                  <w:color w:val="000000" w:themeColor="text1"/>
                  <w:sz w:val="21"/>
                  <w:szCs w:val="21"/>
                  <w:highlight w:val="none"/>
                  <w14:textFill>
                    <w14:solidFill>
                      <w14:schemeClr w14:val="tx1"/>
                    </w14:solidFill>
                  </w14:textFill>
                </w:rPr>
                <w:id w:val="1077786224"/>
              </w:sdtPr>
              <w:sdtEndPr>
                <w:rPr>
                  <w:rFonts w:hint="eastAsia" w:ascii="宋体" w:hAnsi="宋体" w:eastAsia="宋体" w:cs="宋体"/>
                  <w:color w:val="000000" w:themeColor="text1"/>
                  <w:sz w:val="21"/>
                  <w:szCs w:val="21"/>
                  <w:highlight w:val="none"/>
                  <w14:textFill>
                    <w14:solidFill>
                      <w14:schemeClr w14:val="tx1"/>
                    </w14:solidFill>
                  </w14:textFill>
                </w:rPr>
              </w:sdtEndPr>
              <w:sdtContent>
                <w:r>
                  <w:rPr>
                    <w:rFonts w:hint="eastAsia" w:ascii="宋体" w:hAnsi="宋体" w:eastAsia="宋体" w:cs="宋体"/>
                    <w:color w:val="000000" w:themeColor="text1"/>
                    <w:sz w:val="21"/>
                    <w:szCs w:val="21"/>
                    <w:highlight w:val="none"/>
                    <w14:textFill>
                      <w14:solidFill>
                        <w14:schemeClr w14:val="tx1"/>
                      </w14:solidFill>
                    </w14:textFill>
                  </w:rPr>
                  <w:t>☑</w:t>
                </w:r>
              </w:sdtContent>
            </w:sdt>
            <w:r>
              <w:rPr>
                <w:rFonts w:hint="eastAsia" w:ascii="宋体" w:hAnsi="宋体" w:eastAsia="宋体" w:cs="宋体"/>
                <w:color w:val="000000" w:themeColor="text1"/>
                <w:sz w:val="21"/>
                <w:szCs w:val="21"/>
                <w:highlight w:val="none"/>
                <w14:textFill>
                  <w14:solidFill>
                    <w14:schemeClr w14:val="tx1"/>
                  </w14:solidFill>
                </w14:textFill>
              </w:rPr>
              <w:t xml:space="preserve">不见面开标  </w:t>
            </w:r>
            <w:sdt>
              <w:sdtPr>
                <w:rPr>
                  <w:rFonts w:hint="eastAsia" w:ascii="宋体" w:hAnsi="宋体" w:eastAsia="宋体" w:cs="宋体"/>
                  <w:color w:val="000000" w:themeColor="text1"/>
                  <w:sz w:val="21"/>
                  <w:szCs w:val="21"/>
                  <w:highlight w:val="none"/>
                  <w14:textFill>
                    <w14:solidFill>
                      <w14:schemeClr w14:val="tx1"/>
                    </w14:solidFill>
                  </w14:textFill>
                </w:rPr>
                <w:id w:val="1553575034"/>
              </w:sdtPr>
              <w:sdtEndPr>
                <w:rPr>
                  <w:rFonts w:hint="eastAsia" w:ascii="宋体" w:hAnsi="宋体" w:eastAsia="宋体" w:cs="宋体"/>
                  <w:color w:val="000000" w:themeColor="text1"/>
                  <w:sz w:val="21"/>
                  <w:szCs w:val="21"/>
                  <w:highlight w:val="none"/>
                  <w14:textFill>
                    <w14:solidFill>
                      <w14:schemeClr w14:val="tx1"/>
                    </w14:solidFill>
                  </w14:textFill>
                </w:rPr>
              </w:sdtEndPr>
              <w:sdtContent>
                <w:r>
                  <w:rPr>
                    <w:rFonts w:hint="eastAsia" w:ascii="宋体" w:hAnsi="宋体" w:eastAsia="宋体" w:cs="宋体"/>
                    <w:color w:val="000000" w:themeColor="text1"/>
                    <w:sz w:val="21"/>
                    <w:szCs w:val="21"/>
                    <w:highlight w:val="none"/>
                    <w14:textFill>
                      <w14:solidFill>
                        <w14:schemeClr w14:val="tx1"/>
                      </w14:solidFill>
                    </w14:textFill>
                  </w:rPr>
                  <w:t>☐</w:t>
                </w:r>
              </w:sdtContent>
            </w:sdt>
            <w:r>
              <w:rPr>
                <w:rFonts w:hint="eastAsia" w:ascii="宋体" w:hAnsi="宋体" w:eastAsia="宋体" w:cs="宋体"/>
                <w:color w:val="000000" w:themeColor="text1"/>
                <w:sz w:val="21"/>
                <w:szCs w:val="21"/>
                <w:highlight w:val="none"/>
                <w14:textFill>
                  <w14:solidFill>
                    <w14:schemeClr w14:val="tx1"/>
                  </w14:solidFill>
                </w14:textFill>
              </w:rPr>
              <w:t>见面开标</w:t>
            </w:r>
          </w:p>
          <w:p>
            <w:pPr>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详见本章“开标程序”有关内容。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17</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是否允许递交多个备选投标方案</w:t>
            </w:r>
          </w:p>
        </w:tc>
        <w:tc>
          <w:tcPr>
            <w:tcW w:w="4898" w:type="dxa"/>
            <w:shd w:val="clear" w:color="auto" w:fill="auto"/>
            <w:vAlign w:val="center"/>
          </w:tcPr>
          <w:p>
            <w:pPr>
              <w:jc w:val="both"/>
              <w:rPr>
                <w:rFonts w:ascii="宋体" w:hAnsi="宋体" w:eastAsia="宋体" w:cs="宋体"/>
                <w:color w:val="000000" w:themeColor="text1"/>
                <w:sz w:val="21"/>
                <w:szCs w:val="21"/>
                <w:highlight w:val="none"/>
                <w14:textFill>
                  <w14:solidFill>
                    <w14:schemeClr w14:val="tx1"/>
                  </w14:solidFill>
                </w14:textFill>
              </w:rPr>
            </w:pPr>
            <w:sdt>
              <w:sdtPr>
                <w:rPr>
                  <w:rFonts w:hint="eastAsia" w:ascii="宋体" w:hAnsi="宋体" w:eastAsia="宋体" w:cs="宋体"/>
                  <w:color w:val="000000" w:themeColor="text1"/>
                  <w:sz w:val="21"/>
                  <w:szCs w:val="21"/>
                  <w:highlight w:val="none"/>
                  <w14:textFill>
                    <w14:solidFill>
                      <w14:schemeClr w14:val="tx1"/>
                    </w14:solidFill>
                  </w14:textFill>
                </w:rPr>
                <w:id w:val="1608857843"/>
              </w:sdtPr>
              <w:sdtEndPr>
                <w:rPr>
                  <w:rFonts w:hint="eastAsia" w:ascii="宋体" w:hAnsi="宋体" w:eastAsia="宋体" w:cs="宋体"/>
                  <w:color w:val="000000" w:themeColor="text1"/>
                  <w:sz w:val="21"/>
                  <w:szCs w:val="21"/>
                  <w:highlight w:val="none"/>
                  <w14:textFill>
                    <w14:solidFill>
                      <w14:schemeClr w14:val="tx1"/>
                    </w14:solidFill>
                  </w14:textFill>
                </w:rPr>
              </w:sdtEndPr>
              <w:sdtContent>
                <w:r>
                  <w:rPr>
                    <w:rFonts w:hint="eastAsia" w:ascii="宋体" w:hAnsi="宋体" w:eastAsia="宋体" w:cs="宋体"/>
                    <w:color w:val="000000" w:themeColor="text1"/>
                    <w:sz w:val="21"/>
                    <w:szCs w:val="21"/>
                    <w:highlight w:val="none"/>
                    <w14:textFill>
                      <w14:solidFill>
                        <w14:schemeClr w14:val="tx1"/>
                      </w14:solidFill>
                    </w14:textFill>
                  </w:rPr>
                  <w:t>☐</w:t>
                </w:r>
              </w:sdtContent>
            </w:sdt>
            <w:r>
              <w:rPr>
                <w:rFonts w:hint="eastAsia" w:ascii="宋体" w:hAnsi="宋体" w:eastAsia="宋体" w:cs="宋体"/>
                <w:color w:val="000000" w:themeColor="text1"/>
                <w:sz w:val="21"/>
                <w:szCs w:val="21"/>
                <w:highlight w:val="none"/>
                <w14:textFill>
                  <w14:solidFill>
                    <w14:schemeClr w14:val="tx1"/>
                  </w14:solidFill>
                </w14:textFill>
              </w:rPr>
              <w:t xml:space="preserve">是  </w:t>
            </w:r>
            <w:sdt>
              <w:sdtPr>
                <w:rPr>
                  <w:rFonts w:hint="eastAsia" w:ascii="宋体" w:hAnsi="宋体" w:eastAsia="宋体" w:cs="宋体"/>
                  <w:color w:val="000000" w:themeColor="text1"/>
                  <w:sz w:val="21"/>
                  <w:szCs w:val="21"/>
                  <w:highlight w:val="none"/>
                  <w14:textFill>
                    <w14:solidFill>
                      <w14:schemeClr w14:val="tx1"/>
                    </w14:solidFill>
                  </w14:textFill>
                </w:rPr>
                <w:id w:val="618331253"/>
              </w:sdtPr>
              <w:sdtEndPr>
                <w:rPr>
                  <w:rFonts w:hint="eastAsia" w:ascii="宋体" w:hAnsi="宋体" w:eastAsia="宋体" w:cs="宋体"/>
                  <w:color w:val="000000" w:themeColor="text1"/>
                  <w:sz w:val="21"/>
                  <w:szCs w:val="21"/>
                  <w:highlight w:val="none"/>
                  <w14:textFill>
                    <w14:solidFill>
                      <w14:schemeClr w14:val="tx1"/>
                    </w14:solidFill>
                  </w14:textFill>
                </w:rPr>
              </w:sdtEndPr>
              <w:sdtContent>
                <w:r>
                  <w:rPr>
                    <w:rFonts w:hint="eastAsia" w:ascii="宋体" w:hAnsi="宋体" w:eastAsia="宋体" w:cs="宋体"/>
                    <w:color w:val="000000" w:themeColor="text1"/>
                    <w:sz w:val="21"/>
                    <w:szCs w:val="21"/>
                    <w:highlight w:val="none"/>
                    <w14:textFill>
                      <w14:solidFill>
                        <w14:schemeClr w14:val="tx1"/>
                      </w14:solidFill>
                    </w14:textFill>
                  </w:rPr>
                  <w:t>☑</w:t>
                </w:r>
              </w:sdtContent>
            </w:sdt>
            <w:r>
              <w:rPr>
                <w:rFonts w:hint="eastAsia" w:ascii="宋体" w:hAnsi="宋体" w:eastAsia="宋体" w:cs="宋体"/>
                <w:color w:val="000000" w:themeColor="text1"/>
                <w:sz w:val="21"/>
                <w:szCs w:val="21"/>
                <w:highlight w:val="none"/>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18</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中标通知书</w:t>
            </w:r>
          </w:p>
        </w:tc>
        <w:tc>
          <w:tcPr>
            <w:tcW w:w="4898" w:type="dxa"/>
            <w:shd w:val="clear" w:color="auto" w:fill="auto"/>
            <w:vAlign w:val="center"/>
          </w:tcPr>
          <w:p>
            <w:pPr>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在公告中标（成交）结果的同时，代理机构在线向中标（成交）供应商发出中标（成交）通知书，中标供应商可登录【全国公共资源交易平台（陕西省•西安市）】网站〖首页〉电子交易平台〉企业端〗后，在〖我的项目/项目流程〗模块中点击下载“中标（成交）通知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19</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西安市公共资源交易中心电子化政府采购系统技术支持（软件开发商）</w:t>
            </w:r>
          </w:p>
        </w:tc>
        <w:tc>
          <w:tcPr>
            <w:tcW w:w="4898" w:type="dxa"/>
            <w:shd w:val="clear" w:color="auto" w:fill="auto"/>
            <w:vAlign w:val="center"/>
          </w:tcPr>
          <w:p>
            <w:pPr>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国泰新点软件股份有限公司</w:t>
            </w:r>
          </w:p>
          <w:p>
            <w:pP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1．技术支持热线：400-998-0000/400-928-0095</w:t>
            </w:r>
          </w:p>
          <w:p>
            <w:pP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2．驻场技术人员：029-86510166/86510167转80310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20</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CA业务网点</w:t>
            </w:r>
          </w:p>
        </w:tc>
        <w:tc>
          <w:tcPr>
            <w:tcW w:w="4898" w:type="dxa"/>
            <w:shd w:val="clear" w:color="auto" w:fill="auto"/>
            <w:vAlign w:val="center"/>
          </w:tcPr>
          <w:p>
            <w:pPr>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陕西省数字证书认证中心股份有限公司</w:t>
            </w:r>
          </w:p>
          <w:p>
            <w:pPr>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网点1：西安市高新三路信息港大厦1楼客服中心</w:t>
            </w:r>
          </w:p>
          <w:p>
            <w:pPr>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客服电话：4006-369-888</w:t>
            </w:r>
          </w:p>
          <w:p>
            <w:pPr>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网点2：西安市长安北路14号省体育公寓B座一楼</w:t>
            </w:r>
          </w:p>
          <w:p>
            <w:pPr>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咨询电话：029-88661241</w:t>
            </w:r>
          </w:p>
          <w:p>
            <w:pPr>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网点3：西安市文景北路16号白桦林国际B座2楼11#窗口</w:t>
            </w:r>
          </w:p>
          <w:p>
            <w:pPr>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咨询电话：029-86510073转80211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21</w:t>
            </w:r>
          </w:p>
        </w:tc>
        <w:tc>
          <w:tcPr>
            <w:tcW w:w="2994" w:type="dxa"/>
            <w:shd w:val="clear" w:color="auto" w:fill="auto"/>
            <w:vAlign w:val="center"/>
          </w:tcPr>
          <w:p>
            <w:pPr>
              <w:jc w:val="center"/>
              <w:rPr>
                <w:rFonts w:ascii="宋体" w:hAnsi="宋体" w:eastAsia="宋体" w:cs="宋体"/>
                <w:color w:val="000000" w:themeColor="text1"/>
                <w:sz w:val="21"/>
                <w:szCs w:val="21"/>
                <w:highlight w:val="yellow"/>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本项目所属行业</w:t>
            </w:r>
          </w:p>
        </w:tc>
        <w:tc>
          <w:tcPr>
            <w:tcW w:w="4898" w:type="dxa"/>
            <w:shd w:val="clear" w:color="auto" w:fill="auto"/>
            <w:vAlign w:val="center"/>
          </w:tcPr>
          <w:p>
            <w:pPr>
              <w:jc w:val="both"/>
              <w:rPr>
                <w:rFonts w:hint="eastAsia" w:ascii="宋体" w:hAnsi="宋体" w:eastAsia="宋体" w:cs="宋体"/>
                <w:color w:val="000000" w:themeColor="text1"/>
                <w:sz w:val="21"/>
                <w:szCs w:val="21"/>
                <w:highlight w:val="yellow"/>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工业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22</w:t>
            </w:r>
          </w:p>
        </w:tc>
        <w:tc>
          <w:tcPr>
            <w:tcW w:w="2994" w:type="dxa"/>
            <w:shd w:val="clear" w:color="auto" w:fill="auto"/>
            <w:vAlign w:val="center"/>
          </w:tcPr>
          <w:p>
            <w:pPr>
              <w:jc w:val="center"/>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弃标须知</w:t>
            </w:r>
          </w:p>
        </w:tc>
        <w:tc>
          <w:tcPr>
            <w:tcW w:w="4898" w:type="dxa"/>
            <w:shd w:val="clear" w:color="auto" w:fill="auto"/>
            <w:vAlign w:val="center"/>
          </w:tcPr>
          <w:p>
            <w:pPr>
              <w:jc w:val="both"/>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根据市财函【2021】431号文第16条规定：供应商登记免费领取采购文件的，如不参与项目投标，应在递交投标（或相应）文件截止时间前一日以书面形式告知采购代理机构。否则，采购代理机构可以向财政部门反应情况并提供佐证。供应商一年内累计出现三次该情形，将被监管部门记录为失信行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ind w:firstLine="210" w:firstLineChars="100"/>
              <w:jc w:val="both"/>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p>
        </w:tc>
        <w:tc>
          <w:tcPr>
            <w:tcW w:w="2994" w:type="dxa"/>
            <w:shd w:val="clear" w:color="auto" w:fill="auto"/>
            <w:vAlign w:val="center"/>
          </w:tcPr>
          <w:p>
            <w:pPr>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代理服务费</w:t>
            </w:r>
          </w:p>
        </w:tc>
        <w:tc>
          <w:tcPr>
            <w:tcW w:w="4898" w:type="dxa"/>
            <w:shd w:val="clear" w:color="auto" w:fill="auto"/>
            <w:vAlign w:val="center"/>
          </w:tcPr>
          <w:p>
            <w:pPr>
              <w:spacing w:line="360" w:lineRule="auto"/>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代理服务费参照国家计委关于印发《招标代理服务收费管理暂行办法的通知》（计价格[2002]1980 号）的规定收取。由中标人在领取中标通知书时向代理机构缴纳代理服务费，代理服务费金额详见结果公告</w:t>
            </w:r>
          </w:p>
          <w:p>
            <w:pPr>
              <w:spacing w:line="360" w:lineRule="auto"/>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代理服务收费标准及金额：</w:t>
            </w:r>
          </w:p>
          <w:p>
            <w:pPr>
              <w:spacing w:line="360" w:lineRule="auto"/>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代理服务费账户信息：</w:t>
            </w:r>
          </w:p>
          <w:p>
            <w:pPr>
              <w:spacing w:line="360" w:lineRule="auto"/>
              <w:jc w:val="both"/>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户名：</w:t>
            </w:r>
            <w:r>
              <w:rPr>
                <w:rFonts w:hint="eastAsia" w:ascii="宋体" w:hAnsi="宋体" w:eastAsia="宋体" w:cs="宋体"/>
                <w:color w:val="000000" w:themeColor="text1"/>
                <w:sz w:val="21"/>
                <w:szCs w:val="21"/>
                <w:highlight w:val="none"/>
                <w:lang w:eastAsia="zh-CN"/>
                <w14:textFill>
                  <w14:solidFill>
                    <w14:schemeClr w14:val="tx1"/>
                  </w14:solidFill>
                </w14:textFill>
              </w:rPr>
              <w:t>陕西中鉴项目管理有限公司</w:t>
            </w:r>
          </w:p>
          <w:p>
            <w:pPr>
              <w:spacing w:line="360" w:lineRule="auto"/>
              <w:jc w:val="both"/>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开户行名称：</w:t>
            </w:r>
            <w:r>
              <w:rPr>
                <w:rFonts w:hint="eastAsia" w:ascii="宋体" w:hAnsi="宋体" w:eastAsia="宋体" w:cs="宋体"/>
                <w:color w:val="000000" w:themeColor="text1"/>
                <w:sz w:val="21"/>
                <w:szCs w:val="21"/>
                <w:highlight w:val="none"/>
                <w:lang w:eastAsia="zh-CN"/>
                <w14:textFill>
                  <w14:solidFill>
                    <w14:schemeClr w14:val="tx1"/>
                  </w14:solidFill>
                </w14:textFill>
              </w:rPr>
              <w:t>招商银行股份有限公司西安分行营业部</w:t>
            </w:r>
          </w:p>
          <w:p>
            <w:pPr>
              <w:spacing w:line="360" w:lineRule="auto"/>
              <w:jc w:val="both"/>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账号：</w:t>
            </w:r>
            <w:r>
              <w:rPr>
                <w:rFonts w:hint="eastAsia" w:ascii="宋体" w:hAnsi="宋体" w:eastAsia="宋体" w:cs="宋体"/>
                <w:color w:val="000000" w:themeColor="text1"/>
                <w:sz w:val="21"/>
                <w:szCs w:val="21"/>
                <w:highlight w:val="none"/>
                <w:lang w:eastAsia="zh-CN"/>
                <w14:textFill>
                  <w14:solidFill>
                    <w14:schemeClr w14:val="tx1"/>
                  </w14:solidFill>
                </w14:textFill>
              </w:rPr>
              <w:t>129911072510777</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92" w:hRule="atLeast"/>
          <w:jc w:val="center"/>
        </w:trPr>
        <w:tc>
          <w:tcPr>
            <w:tcW w:w="978" w:type="dxa"/>
            <w:shd w:val="clear" w:color="auto" w:fill="auto"/>
            <w:vAlign w:val="center"/>
          </w:tcPr>
          <w:p>
            <w:pPr>
              <w:ind w:firstLine="210" w:firstLineChars="100"/>
              <w:jc w:val="both"/>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24</w:t>
            </w:r>
          </w:p>
        </w:tc>
        <w:tc>
          <w:tcPr>
            <w:tcW w:w="2994" w:type="dxa"/>
            <w:shd w:val="clear" w:color="auto" w:fill="auto"/>
            <w:vAlign w:val="center"/>
          </w:tcPr>
          <w:p>
            <w:pPr>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核心产品</w:t>
            </w:r>
          </w:p>
        </w:tc>
        <w:tc>
          <w:tcPr>
            <w:tcW w:w="4898" w:type="dxa"/>
            <w:shd w:val="clear" w:color="auto" w:fill="auto"/>
            <w:vAlign w:val="center"/>
          </w:tcPr>
          <w:p>
            <w:pPr>
              <w:spacing w:line="360" w:lineRule="auto"/>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本项目核心产品为：聚乙烯给水管</w:t>
            </w:r>
          </w:p>
        </w:tc>
      </w:tr>
    </w:tbl>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br w:type="page"/>
      </w:r>
    </w:p>
    <w:p>
      <w:pPr>
        <w:pStyle w:val="9"/>
        <w:jc w:val="center"/>
        <w:rPr>
          <w:rFonts w:ascii="宋体" w:hAnsi="宋体" w:eastAsia="宋体" w:cs="宋体"/>
          <w:color w:val="000000" w:themeColor="text1"/>
          <w:sz w:val="28"/>
          <w:szCs w:val="28"/>
          <w:highlight w:val="none"/>
          <w14:textFill>
            <w14:solidFill>
              <w14:schemeClr w14:val="tx1"/>
            </w14:solidFill>
          </w14:textFill>
        </w:rPr>
      </w:pPr>
      <w:bookmarkStart w:id="15" w:name="_Toc6200"/>
      <w:r>
        <w:rPr>
          <w:rFonts w:hint="eastAsia" w:ascii="宋体" w:hAnsi="宋体" w:eastAsia="宋体" w:cs="宋体"/>
          <w:color w:val="000000" w:themeColor="text1"/>
          <w:sz w:val="28"/>
          <w:szCs w:val="28"/>
          <w:highlight w:val="none"/>
          <w14:textFill>
            <w14:solidFill>
              <w14:schemeClr w14:val="tx1"/>
            </w14:solidFill>
          </w14:textFill>
        </w:rPr>
        <w:t>一、有关定义</w:t>
      </w:r>
      <w:bookmarkEnd w:id="15"/>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1．采购人：依法进行政府采购的西安市市级机关、事业单位或团体组织。</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2．供应商：指向采购人提供货物、工程或者服务的法人、其他组织或者自然人。</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3．同级政府采购监管部门：</w:t>
      </w:r>
      <w:r>
        <w:rPr>
          <w:rFonts w:hint="eastAsia" w:ascii="宋体" w:hAnsi="宋体" w:eastAsia="宋体" w:cs="宋体"/>
          <w:color w:val="000000" w:themeColor="text1"/>
          <w:sz w:val="28"/>
          <w:szCs w:val="28"/>
          <w:highlight w:val="none"/>
          <w:lang w:eastAsia="zh-CN"/>
          <w14:textFill>
            <w14:solidFill>
              <w14:schemeClr w14:val="tx1"/>
            </w14:solidFill>
          </w14:textFill>
        </w:rPr>
        <w:t>西安市未央区财政局</w:t>
      </w:r>
      <w:r>
        <w:rPr>
          <w:rFonts w:hint="eastAsia" w:ascii="宋体" w:hAnsi="宋体" w:eastAsia="宋体" w:cs="宋体"/>
          <w:color w:val="000000" w:themeColor="text1"/>
          <w:sz w:val="28"/>
          <w:szCs w:val="28"/>
          <w:highlight w:val="none"/>
          <w14:textFill>
            <w14:solidFill>
              <w14:schemeClr w14:val="tx1"/>
            </w14:solidFill>
          </w14:textFill>
        </w:rPr>
        <w:t>。</w:t>
      </w:r>
    </w:p>
    <w:p>
      <w:pPr>
        <w:spacing w:line="560" w:lineRule="exact"/>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4．西安市公共资源交易平台：即【全国公共资源交易平台（陕西省·西安市）】的简称，官网地址</w:t>
      </w:r>
      <w:r>
        <w:rPr>
          <w:highlight w:val="none"/>
        </w:rPr>
        <w:fldChar w:fldCharType="begin"/>
      </w:r>
      <w:r>
        <w:rPr>
          <w:highlight w:val="none"/>
        </w:rPr>
        <w:instrText xml:space="preserve"> HYPERLINK "http://sxggzyjy.xa.gov.cn/" </w:instrText>
      </w:r>
      <w:r>
        <w:rPr>
          <w:highlight w:val="none"/>
        </w:rPr>
        <w:fldChar w:fldCharType="separate"/>
      </w:r>
      <w:r>
        <w:rPr>
          <w:rStyle w:val="41"/>
          <w:rFonts w:hint="eastAsia" w:ascii="宋体" w:hAnsi="宋体" w:eastAsia="宋体" w:cs="宋体"/>
          <w:color w:val="000000" w:themeColor="text1"/>
          <w:sz w:val="28"/>
          <w:szCs w:val="28"/>
          <w:highlight w:val="none"/>
          <w:u w:val="none"/>
          <w14:textFill>
            <w14:solidFill>
              <w14:schemeClr w14:val="tx1"/>
            </w14:solidFill>
          </w14:textFill>
        </w:rPr>
        <w:t>http://sxggzyjy.xa.gov.cn/</w:t>
      </w:r>
      <w:r>
        <w:rPr>
          <w:rStyle w:val="41"/>
          <w:rFonts w:hint="eastAsia" w:ascii="宋体" w:hAnsi="宋体" w:eastAsia="宋体" w:cs="宋体"/>
          <w:color w:val="000000" w:themeColor="text1"/>
          <w:sz w:val="28"/>
          <w:szCs w:val="28"/>
          <w:highlight w:val="none"/>
          <w:u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t>。</w:t>
      </w:r>
    </w:p>
    <w:p>
      <w:pPr>
        <w:spacing w:line="560" w:lineRule="exact"/>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5．企业端：指西安市公共资源交易平台〖首页·〉电子交易平台·〉陕西政府采购交易系统·〉企业端〗，快捷登录网址</w:t>
      </w:r>
      <w:r>
        <w:rPr>
          <w:highlight w:val="none"/>
        </w:rPr>
        <w:fldChar w:fldCharType="begin"/>
      </w:r>
      <w:r>
        <w:rPr>
          <w:highlight w:val="none"/>
        </w:rPr>
        <w:instrText xml:space="preserve"> HYPERLINK "http://www.sxggzyjy.cn:9002/TPBidder/memberLogin" </w:instrText>
      </w:r>
      <w:r>
        <w:rPr>
          <w:highlight w:val="none"/>
        </w:rPr>
        <w:fldChar w:fldCharType="separate"/>
      </w:r>
      <w:r>
        <w:rPr>
          <w:rStyle w:val="41"/>
          <w:rFonts w:hint="eastAsia" w:ascii="宋体" w:hAnsi="宋体" w:eastAsia="宋体" w:cs="宋体"/>
          <w:color w:val="000000" w:themeColor="text1"/>
          <w:sz w:val="28"/>
          <w:szCs w:val="28"/>
          <w:highlight w:val="none"/>
          <w:u w:val="none"/>
          <w14:textFill>
            <w14:solidFill>
              <w14:schemeClr w14:val="tx1"/>
            </w14:solidFill>
          </w14:textFill>
        </w:rPr>
        <w:t>http://www.sxggzyjy.cn:9002/TPBidder/memberLogin</w:t>
      </w:r>
      <w:r>
        <w:rPr>
          <w:rStyle w:val="41"/>
          <w:rFonts w:hint="eastAsia" w:ascii="宋体" w:hAnsi="宋体" w:eastAsia="宋体" w:cs="宋体"/>
          <w:color w:val="000000" w:themeColor="text1"/>
          <w:sz w:val="28"/>
          <w:szCs w:val="28"/>
          <w:highlight w:val="none"/>
          <w:u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t>。</w:t>
      </w:r>
    </w:p>
    <w:p>
      <w:pPr>
        <w:pStyle w:val="9"/>
        <w:jc w:val="center"/>
        <w:rPr>
          <w:rFonts w:ascii="宋体" w:hAnsi="宋体" w:eastAsia="宋体" w:cs="宋体"/>
          <w:color w:val="000000" w:themeColor="text1"/>
          <w:sz w:val="28"/>
          <w:szCs w:val="28"/>
          <w:highlight w:val="none"/>
          <w14:textFill>
            <w14:solidFill>
              <w14:schemeClr w14:val="tx1"/>
            </w14:solidFill>
          </w14:textFill>
        </w:rPr>
      </w:pPr>
      <w:bookmarkStart w:id="16" w:name="_Toc23322"/>
      <w:r>
        <w:rPr>
          <w:rFonts w:hint="eastAsia" w:ascii="宋体" w:hAnsi="宋体" w:eastAsia="宋体" w:cs="宋体"/>
          <w:color w:val="000000" w:themeColor="text1"/>
          <w:sz w:val="28"/>
          <w:szCs w:val="28"/>
          <w:highlight w:val="none"/>
          <w14:textFill>
            <w14:solidFill>
              <w14:schemeClr w14:val="tx1"/>
            </w14:solidFill>
          </w14:textFill>
        </w:rPr>
        <w:t>二、供应商注意事项</w:t>
      </w:r>
      <w:bookmarkEnd w:id="16"/>
    </w:p>
    <w:p>
      <w:pPr>
        <w:pStyle w:val="105"/>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7" w:name="_Toc14756"/>
      <w:bookmarkStart w:id="18" w:name="_Toc8868"/>
      <w:bookmarkStart w:id="19" w:name="_Toc30137"/>
      <w:bookmarkStart w:id="20" w:name="_Toc20407"/>
      <w:r>
        <w:rPr>
          <w:rFonts w:hint="eastAsia" w:ascii="宋体" w:hAnsi="宋体" w:eastAsia="宋体" w:cs="宋体"/>
          <w:color w:val="000000" w:themeColor="text1"/>
          <w:sz w:val="28"/>
          <w:szCs w:val="28"/>
          <w:highlight w:val="none"/>
          <w14:textFill>
            <w14:solidFill>
              <w14:schemeClr w14:val="tx1"/>
            </w14:solidFill>
          </w14:textFill>
        </w:rPr>
        <w:t>（一）供应商投标流程</w:t>
      </w:r>
      <w:bookmarkEnd w:id="17"/>
      <w:bookmarkEnd w:id="18"/>
      <w:bookmarkEnd w:id="19"/>
      <w:bookmarkEnd w:id="20"/>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使用电子交易系统的采购项目（即线上项目），将同时提供WORD\PDF格式（仅用于预览）和SXSZF格式（用于制作电子投标文件）两个版本，文件内容一致。</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1．预览采购文件：打开西安市公共资源交易平台〖首页·〉交易大厅·〉政府采购〗栏目，下载和阅读本项目采购文件的预览版本（WORD\PDF格式）。</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2．办理注册登记（针对初次使用电子交易系统的用户）：</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（1）办理诚信入库注册：在决定参加本项目采购活动后，供应商应先在西安市公共资源交易平台上完成“诚信入库登记”。</w:t>
      </w:r>
    </w:p>
    <w:p>
      <w:pPr>
        <w:widowControl w:val="0"/>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办理数字认证（CA锁）：办理数字认证（CA锁）：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02-f996-4928-951e-545dab02e53c.html</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（3）绑定和激活CA：将数字证书与诚信库中的供应商账户进行绑定。</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下载电子招标文件：供应商应登录西安市公共资源交易平台〖首页·〉电子交易平台·〉陕西政府采购交易系统·〉企业端〗，在〖招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无法再下载！</w:t>
      </w:r>
    </w:p>
    <w:p>
      <w:pPr>
        <w:spacing w:line="560" w:lineRule="exact"/>
        <w:ind w:firstLine="560" w:firstLineChars="200"/>
        <w:jc w:val="both"/>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4．制作电子投标文件：需要使用专用制作软件“新点投标文件制作软件（陕西公共资源）”进行编制，编制完成后使用CA锁对电子投标文件进行签章、加密。详见本章中的“投标文件”相关内容。</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5．提交电子投标文件：在提交投标文件截止时间前及时提交加密后电子投标文件，逾期提交的，系统将会拒收。</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在线参加开标大会：开标当日，供应商法定代表人或其授权代表需提前登录“不见面开标”系统，收到主持人“开始解密”指令后，使用CA锁（必须与加密文件时的CA锁为同一把锁）在线对电子投标文件进行解密。采用“不见面开标”系统后，供应商无需到达开标现场，即可在线参与整个开标过程。相关技术问题，请咨询软件开发商。</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7．等待专家评审：评审期间，可能需要对评审专家提出的问题进行澄清或答复。在主持人宣布评审结束前，供应商请勿擅自离席，否则由此造成的不利后果，由供应商自行承担。</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8．中标供应商注册：按照陕西省政府采购监管部门的要求，采购代理机构在发布中标公告前，应由中标供应商在陕西省政府采购网上完成注册。</w:t>
      </w:r>
    </w:p>
    <w:p>
      <w:pPr>
        <w:pStyle w:val="105"/>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21" w:name="_Toc6459"/>
      <w:bookmarkStart w:id="22" w:name="_Toc5831"/>
      <w:bookmarkStart w:id="23" w:name="_Toc2759"/>
      <w:bookmarkStart w:id="24" w:name="_Toc24461"/>
      <w:r>
        <w:rPr>
          <w:rFonts w:hint="eastAsia" w:ascii="宋体" w:hAnsi="宋体" w:eastAsia="宋体" w:cs="宋体"/>
          <w:color w:val="000000" w:themeColor="text1"/>
          <w:sz w:val="28"/>
          <w:szCs w:val="28"/>
          <w:highlight w:val="none"/>
          <w14:textFill>
            <w14:solidFill>
              <w14:schemeClr w14:val="tx1"/>
            </w14:solidFill>
          </w14:textFill>
        </w:rPr>
        <w:t>（二）关于询问、质疑和投诉</w:t>
      </w:r>
      <w:bookmarkEnd w:id="21"/>
      <w:bookmarkEnd w:id="22"/>
      <w:bookmarkEnd w:id="23"/>
      <w:bookmarkEnd w:id="24"/>
    </w:p>
    <w:p>
      <w:pPr>
        <w:pStyle w:val="104"/>
        <w:outlineLvl w:val="9"/>
        <w:rPr>
          <w:rFonts w:ascii="宋体" w:hAnsi="宋体" w:eastAsia="宋体" w:cs="宋体"/>
          <w:color w:val="000000" w:themeColor="text1"/>
          <w:sz w:val="28"/>
          <w:szCs w:val="28"/>
          <w:highlight w:val="none"/>
          <w14:textFill>
            <w14:solidFill>
              <w14:schemeClr w14:val="tx1"/>
            </w14:solidFill>
          </w14:textFill>
        </w:rPr>
      </w:pPr>
      <w:bookmarkStart w:id="25" w:name="_Toc15516"/>
      <w:bookmarkStart w:id="26" w:name="_Toc15623"/>
      <w:bookmarkStart w:id="27" w:name="_Toc4510"/>
      <w:r>
        <w:rPr>
          <w:rFonts w:hint="eastAsia" w:ascii="宋体" w:hAnsi="宋体" w:eastAsia="宋体" w:cs="宋体"/>
          <w:color w:val="000000" w:themeColor="text1"/>
          <w:sz w:val="28"/>
          <w:szCs w:val="28"/>
          <w:highlight w:val="none"/>
          <w14:textFill>
            <w14:solidFill>
              <w14:schemeClr w14:val="tx1"/>
            </w14:solidFill>
          </w14:textFill>
        </w:rPr>
        <w:t>1．询问</w:t>
      </w:r>
      <w:bookmarkEnd w:id="25"/>
      <w:bookmarkEnd w:id="26"/>
      <w:bookmarkEnd w:id="27"/>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供应商对政府采购活动事项有疑问的，可以向采购人或采购代理机构提出询问。采购人或采购代理机构将在3个工作日内对供应商依法提出的询问作出答复。</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根据采购人和采购代理机构签订的《政府采购委托代理协议》，针对采购需求（包括采购内容、技术或服务要求、商务要求、合同条款、供应商资格条件、评审要素及分值一览表）的询问请向采购人提出。</w:t>
      </w:r>
    </w:p>
    <w:p>
      <w:pPr>
        <w:pStyle w:val="104"/>
        <w:outlineLvl w:val="9"/>
        <w:rPr>
          <w:rFonts w:ascii="宋体" w:hAnsi="宋体" w:eastAsia="宋体" w:cs="宋体"/>
          <w:color w:val="000000" w:themeColor="text1"/>
          <w:sz w:val="28"/>
          <w:szCs w:val="28"/>
          <w:highlight w:val="none"/>
          <w14:textFill>
            <w14:solidFill>
              <w14:schemeClr w14:val="tx1"/>
            </w14:solidFill>
          </w14:textFill>
        </w:rPr>
      </w:pPr>
      <w:bookmarkStart w:id="28" w:name="_Toc31375"/>
      <w:bookmarkStart w:id="29" w:name="_Toc11622"/>
      <w:bookmarkStart w:id="30" w:name="_Toc11611"/>
      <w:r>
        <w:rPr>
          <w:rFonts w:hint="eastAsia" w:ascii="宋体" w:hAnsi="宋体" w:eastAsia="宋体" w:cs="宋体"/>
          <w:color w:val="000000" w:themeColor="text1"/>
          <w:sz w:val="28"/>
          <w:szCs w:val="28"/>
          <w:highlight w:val="none"/>
          <w14:textFill>
            <w14:solidFill>
              <w14:schemeClr w14:val="tx1"/>
            </w14:solidFill>
          </w14:textFill>
        </w:rPr>
        <w:t>2．质疑</w:t>
      </w:r>
      <w:bookmarkEnd w:id="28"/>
      <w:bookmarkEnd w:id="29"/>
      <w:bookmarkEnd w:id="30"/>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（1）供应商认为采购文件、采购过程、成交结果使自己的权益受到损害的，可以在知道或应知其权益受到损害之日起7个工作日内以书面形式向采购人、采购代理机构提出。</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（2）质疑方式：</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① 在线质疑：</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登录西安市公共资源交易平台〖首页·〉电子交易平台·〉企业端〗，在〖我的项目〗中点击“项目流程·〉提出质疑”，填写表单并提交质疑。</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② 书面质疑：</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书面质疑函应按照财政部国库司制定的《政府采购供应商质疑函范本》（见下方链接）进行填写，签字、盖章后提交至采购人、采购代理机构。</w:t>
      </w:r>
    </w:p>
    <w:p>
      <w:pPr>
        <w:spacing w:line="560" w:lineRule="exact"/>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质疑函范本地址：</w:t>
      </w:r>
      <w:r>
        <w:rPr>
          <w:highlight w:val="none"/>
        </w:rPr>
        <w:fldChar w:fldCharType="begin"/>
      </w:r>
      <w:r>
        <w:rPr>
          <w:highlight w:val="none"/>
        </w:rPr>
        <w:instrText xml:space="preserve"> HYPERLINK "http://download.ccgp.gov.cn/2018/zhiyihanfanben.zip" </w:instrText>
      </w:r>
      <w:r>
        <w:rPr>
          <w:highlight w:val="none"/>
        </w:rPr>
        <w:fldChar w:fldCharType="separate"/>
      </w:r>
      <w:r>
        <w:rPr>
          <w:rStyle w:val="41"/>
          <w:rFonts w:hint="eastAsia" w:ascii="宋体" w:hAnsi="宋体" w:eastAsia="宋体" w:cs="宋体"/>
          <w:color w:val="000000" w:themeColor="text1"/>
          <w:sz w:val="28"/>
          <w:szCs w:val="28"/>
          <w:highlight w:val="none"/>
          <w:u w:val="none"/>
          <w14:textFill>
            <w14:solidFill>
              <w14:schemeClr w14:val="tx1"/>
            </w14:solidFill>
          </w14:textFill>
        </w:rPr>
        <w:t>http://download.ccgp.gov.cn/2018/zhiyihanfanben.zip</w:t>
      </w:r>
      <w:r>
        <w:rPr>
          <w:rStyle w:val="41"/>
          <w:rFonts w:hint="eastAsia" w:ascii="宋体" w:hAnsi="宋体" w:eastAsia="宋体" w:cs="宋体"/>
          <w:color w:val="000000" w:themeColor="text1"/>
          <w:sz w:val="28"/>
          <w:szCs w:val="28"/>
          <w:highlight w:val="none"/>
          <w:u w:val="none"/>
          <w14:textFill>
            <w14:solidFill>
              <w14:schemeClr w14:val="tx1"/>
            </w14:solidFill>
          </w14:textFill>
        </w:rPr>
        <w:fldChar w:fldCharType="end"/>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（4）在法定质疑期内，针对同一采购程序环节的质疑应当一次性提出。采购人、采购代理机构将在收到书面质疑后7个工作日内做出答复，并以书面形式通知质疑人和其他有关供应商。</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（5）有下列情形之一的，属于无效质疑：</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① 对采购文件提出质疑的质疑人不是依法获取采购文件的潜在供应商。对采购过程、中标结果提出质疑的质疑人不是参与本次政府采购项目的供应商。</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② 超过法定期限或未以书面形式提出的。</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③ 缺乏必要的证明材料，或捏造事实、提供虚假材料，或以非法手段取得证明材料的。</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④ 质疑函没有合法有效的签字、盖章或委托授权书的（代理人提出质疑和投诉，应当提交供应商签署的授权委托书）。</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⑤ 针对同一采购程序环节又提出其他质疑事项的，或质疑答复后就同一事项再次提出质疑的。</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⑥ 不符合法律、法规、规章和政府采购监管机构规定的其他条件的。</w:t>
      </w:r>
    </w:p>
    <w:p>
      <w:pPr>
        <w:pStyle w:val="104"/>
        <w:outlineLvl w:val="9"/>
        <w:rPr>
          <w:rFonts w:ascii="宋体" w:hAnsi="宋体" w:eastAsia="宋体" w:cs="宋体"/>
          <w:color w:val="000000" w:themeColor="text1"/>
          <w:sz w:val="28"/>
          <w:szCs w:val="28"/>
          <w:highlight w:val="none"/>
          <w14:textFill>
            <w14:solidFill>
              <w14:schemeClr w14:val="tx1"/>
            </w14:solidFill>
          </w14:textFill>
        </w:rPr>
      </w:pPr>
      <w:bookmarkStart w:id="31" w:name="_Toc19223"/>
      <w:bookmarkStart w:id="32" w:name="_Toc20429"/>
      <w:bookmarkStart w:id="33" w:name="_Toc29985"/>
      <w:r>
        <w:rPr>
          <w:rFonts w:hint="eastAsia" w:ascii="宋体" w:hAnsi="宋体" w:eastAsia="宋体" w:cs="宋体"/>
          <w:color w:val="000000" w:themeColor="text1"/>
          <w:sz w:val="28"/>
          <w:szCs w:val="28"/>
          <w:highlight w:val="none"/>
          <w14:textFill>
            <w14:solidFill>
              <w14:schemeClr w14:val="tx1"/>
            </w14:solidFill>
          </w14:textFill>
        </w:rPr>
        <w:t>3．投诉</w:t>
      </w:r>
      <w:bookmarkEnd w:id="31"/>
      <w:bookmarkEnd w:id="32"/>
      <w:bookmarkEnd w:id="33"/>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（1）质疑供应商对采购人、采购代理机构的答复不满意，或者采购人、采购代理机构未在规定的时间内做出答复的，可以在答复期满后15个工作日内按照《政府采购质疑和投诉办法》（财政部94号令）相关规定向</w:t>
      </w:r>
      <w:r>
        <w:rPr>
          <w:rFonts w:hint="eastAsia" w:ascii="宋体" w:hAnsi="宋体" w:eastAsia="宋体" w:cs="宋体"/>
          <w:color w:val="000000" w:themeColor="text1"/>
          <w:sz w:val="28"/>
          <w:szCs w:val="28"/>
          <w:highlight w:val="none"/>
          <w:lang w:eastAsia="zh-CN"/>
          <w14:textFill>
            <w14:solidFill>
              <w14:schemeClr w14:val="tx1"/>
            </w14:solidFill>
          </w14:textFill>
        </w:rPr>
        <w:t>西安市未央区财政局</w:t>
      </w:r>
      <w:r>
        <w:rPr>
          <w:rFonts w:hint="eastAsia" w:ascii="宋体" w:hAnsi="宋体" w:eastAsia="宋体" w:cs="宋体"/>
          <w:color w:val="000000" w:themeColor="text1"/>
          <w:sz w:val="28"/>
          <w:szCs w:val="28"/>
          <w:highlight w:val="none"/>
          <w14:textFill>
            <w14:solidFill>
              <w14:schemeClr w14:val="tx1"/>
            </w14:solidFill>
          </w14:textFill>
        </w:rPr>
        <w:t>提出投诉。</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（2）供应商投诉的事项不得超出已质疑事项的范围。供应商提出投诉时，应当提交投诉书和必要的证明材料，并按财政部《投诉书范本》给定的格式进行填写。</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投诉书范本地址：</w:t>
      </w:r>
    </w:p>
    <w:p>
      <w:pPr>
        <w:spacing w:line="560" w:lineRule="exact"/>
        <w:ind w:firstLine="480" w:firstLineChars="200"/>
        <w:jc w:val="both"/>
        <w:rPr>
          <w:rFonts w:ascii="宋体" w:hAnsi="宋体" w:eastAsia="宋体" w:cs="宋体"/>
          <w:color w:val="000000" w:themeColor="text1"/>
          <w:sz w:val="28"/>
          <w:szCs w:val="28"/>
          <w:highlight w:val="none"/>
          <w14:textFill>
            <w14:solidFill>
              <w14:schemeClr w14:val="tx1"/>
            </w14:solidFill>
          </w14:textFill>
        </w:rPr>
      </w:pPr>
      <w:r>
        <w:rPr>
          <w:highlight w:val="none"/>
        </w:rPr>
        <w:fldChar w:fldCharType="begin"/>
      </w:r>
      <w:r>
        <w:rPr>
          <w:highlight w:val="none"/>
        </w:rPr>
        <w:instrText xml:space="preserve"> HYPERLINK "http://download.ccgp.gov.cn/2018/tousushufanben.zip" </w:instrText>
      </w:r>
      <w:r>
        <w:rPr>
          <w:highlight w:val="none"/>
        </w:rPr>
        <w:fldChar w:fldCharType="separate"/>
      </w:r>
      <w:r>
        <w:rPr>
          <w:rStyle w:val="41"/>
          <w:rFonts w:hint="eastAsia" w:ascii="宋体" w:hAnsi="宋体" w:eastAsia="宋体" w:cs="宋体"/>
          <w:color w:val="000000" w:themeColor="text1"/>
          <w:sz w:val="28"/>
          <w:szCs w:val="28"/>
          <w:highlight w:val="none"/>
          <w14:textFill>
            <w14:solidFill>
              <w14:schemeClr w14:val="tx1"/>
            </w14:solidFill>
          </w14:textFill>
        </w:rPr>
        <w:t>http://download.ccgp.gov.cn/2018/tousushufanben.zip</w:t>
      </w:r>
      <w:r>
        <w:rPr>
          <w:rStyle w:val="41"/>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4"/>
        <w:outlineLvl w:val="9"/>
        <w:rPr>
          <w:rFonts w:ascii="宋体" w:hAnsi="宋体" w:eastAsia="宋体" w:cs="宋体"/>
          <w:color w:val="000000" w:themeColor="text1"/>
          <w:sz w:val="28"/>
          <w:szCs w:val="28"/>
          <w:highlight w:val="none"/>
          <w14:textFill>
            <w14:solidFill>
              <w14:schemeClr w14:val="tx1"/>
            </w14:solidFill>
          </w14:textFill>
        </w:rPr>
      </w:pPr>
      <w:bookmarkStart w:id="34" w:name="_Toc4027"/>
      <w:bookmarkStart w:id="35" w:name="_Toc18052"/>
      <w:bookmarkStart w:id="36" w:name="_Toc7447"/>
      <w:r>
        <w:rPr>
          <w:rFonts w:hint="eastAsia" w:ascii="宋体" w:hAnsi="宋体" w:eastAsia="宋体" w:cs="宋体"/>
          <w:color w:val="000000" w:themeColor="text1"/>
          <w:sz w:val="28"/>
          <w:szCs w:val="28"/>
          <w:highlight w:val="none"/>
          <w14:textFill>
            <w14:solidFill>
              <w14:schemeClr w14:val="tx1"/>
            </w14:solidFill>
          </w14:textFill>
        </w:rPr>
        <w:t>4．恶意质疑、投诉的法律后果</w:t>
      </w:r>
      <w:bookmarkEnd w:id="34"/>
      <w:bookmarkEnd w:id="35"/>
      <w:bookmarkEnd w:id="36"/>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（1）对捏造事实、提供虚假材料进行质疑、投诉的行为予以严肃处理：</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（2）对捏造事实诬告陷害他人、诽谤他人的法律适用：</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《中华人民共和国刑法》第243条【诬告陷害罪】捏造事实诬告陷害他人，意图使他人受刑事追究，情节严重的，处三年以下有期徒刑、拘役或者管制。造成严重后果的，处三年以上十年以下有期徒刑。</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《中华人民共和国刑法》第246条【侮辱罪、诽谤罪】以暴力或者其他方法公然侮辱他人或者捏造事实诽谤他人，情节严重的，处三年以下有期徒刑、拘役、管制或者剥夺政治权利。</w:t>
      </w:r>
    </w:p>
    <w:p>
      <w:pPr>
        <w:pStyle w:val="105"/>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37" w:name="_Toc136"/>
      <w:bookmarkStart w:id="38" w:name="_Toc30104"/>
      <w:bookmarkStart w:id="39" w:name="_Toc27472"/>
      <w:bookmarkStart w:id="40" w:name="_Toc21499"/>
      <w:r>
        <w:rPr>
          <w:rFonts w:hint="eastAsia" w:ascii="宋体" w:hAnsi="宋体" w:eastAsia="宋体" w:cs="宋体"/>
          <w:color w:val="000000" w:themeColor="text1"/>
          <w:sz w:val="28"/>
          <w:szCs w:val="28"/>
          <w:highlight w:val="none"/>
          <w14:textFill>
            <w14:solidFill>
              <w14:schemeClr w14:val="tx1"/>
            </w14:solidFill>
          </w14:textFill>
        </w:rPr>
        <w:t>（三）关于保证金</w:t>
      </w:r>
      <w:bookmarkEnd w:id="37"/>
      <w:bookmarkEnd w:id="38"/>
      <w:bookmarkEnd w:id="39"/>
      <w:bookmarkEnd w:id="40"/>
    </w:p>
    <w:p>
      <w:pPr>
        <w:pStyle w:val="104"/>
        <w:outlineLvl w:val="9"/>
        <w:rPr>
          <w:rFonts w:ascii="宋体" w:hAnsi="宋体" w:eastAsia="宋体" w:cs="宋体"/>
          <w:color w:val="000000" w:themeColor="text1"/>
          <w:sz w:val="28"/>
          <w:szCs w:val="28"/>
          <w:highlight w:val="none"/>
          <w14:textFill>
            <w14:solidFill>
              <w14:schemeClr w14:val="tx1"/>
            </w14:solidFill>
          </w14:textFill>
        </w:rPr>
      </w:pPr>
      <w:bookmarkStart w:id="41" w:name="_Toc9131"/>
      <w:bookmarkStart w:id="42" w:name="_Toc16559"/>
      <w:bookmarkStart w:id="43" w:name="_Toc6123"/>
      <w:r>
        <w:rPr>
          <w:rFonts w:hint="eastAsia" w:ascii="宋体" w:hAnsi="宋体" w:eastAsia="宋体" w:cs="宋体"/>
          <w:color w:val="000000" w:themeColor="text1"/>
          <w:sz w:val="28"/>
          <w:szCs w:val="28"/>
          <w:highlight w:val="none"/>
          <w14:textFill>
            <w14:solidFill>
              <w14:schemeClr w14:val="tx1"/>
            </w14:solidFill>
          </w14:textFill>
        </w:rPr>
        <w:t>1．西安市政府采购信用担保及信用融资政策</w:t>
      </w:r>
      <w:bookmarkEnd w:id="41"/>
      <w:bookmarkEnd w:id="42"/>
      <w:bookmarkEnd w:id="43"/>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为发挥政府采购促进中小企业发展的政策功能，西安市财政局制定了《西安市政府采购信用担保及信用融资工作实施方案（试行）》（市财发〔2014〕167号，以下简称《实施方案》），为参与西安市市级政府采购项目的供应商提供政府采购信用担保和融资服务。供应商在交纳投标保证金、履约保证金时可自愿选择通过担保函的形式交纳，供应商违约，开具担保函单位承担连带责任。</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为发挥政府采购促进中小企业发展的政策功能，进一步做好政府采购信用担保及信用融资相关工作，2015年西安市财政局先后发布了《关于贯彻落实〈西安市政府采购信用担保及信用融资工作实施方案（试行）〉有关事宜的通知》和《关于进一步做好政府采购信用担保及信用融资工作有关事宜的通知》。2017年西安市财政局对合作机构名单进行了调整，详见《2017年西安市政府采购信用担保及信用融资合作机构联系名单》（以下简称合作机构名单）。</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《实施方案》链接地址：</w:t>
      </w:r>
    </w:p>
    <w:p>
      <w:pPr>
        <w:spacing w:line="560" w:lineRule="exact"/>
        <w:ind w:firstLine="480" w:firstLineChars="200"/>
        <w:jc w:val="both"/>
        <w:rPr>
          <w:rFonts w:ascii="宋体" w:hAnsi="宋体" w:eastAsia="宋体" w:cs="宋体"/>
          <w:color w:val="000000" w:themeColor="text1"/>
          <w:sz w:val="28"/>
          <w:szCs w:val="28"/>
          <w:highlight w:val="none"/>
          <w14:textFill>
            <w14:solidFill>
              <w14:schemeClr w14:val="tx1"/>
            </w14:solidFill>
          </w14:textFill>
        </w:rPr>
      </w:pPr>
      <w:r>
        <w:rPr>
          <w:highlight w:val="none"/>
        </w:rPr>
        <w:fldChar w:fldCharType="begin"/>
      </w:r>
      <w:r>
        <w:rPr>
          <w:highlight w:val="none"/>
        </w:rPr>
        <w:instrText xml:space="preserve"> HYPERLINK "http://xaczj.xa.gov.cn/zfcg/cgfg/5db90552fd850863a9e4594d.html" </w:instrText>
      </w:r>
      <w:r>
        <w:rPr>
          <w:highlight w:val="none"/>
        </w:rPr>
        <w:fldChar w:fldCharType="separate"/>
      </w:r>
      <w:r>
        <w:rPr>
          <w:rStyle w:val="41"/>
          <w:rFonts w:hint="eastAsia" w:ascii="宋体" w:hAnsi="宋体" w:eastAsia="宋体" w:cs="宋体"/>
          <w:color w:val="000000" w:themeColor="text1"/>
          <w:sz w:val="28"/>
          <w:szCs w:val="28"/>
          <w:highlight w:val="none"/>
          <w:u w:val="none"/>
          <w14:textFill>
            <w14:solidFill>
              <w14:schemeClr w14:val="tx1"/>
            </w14:solidFill>
          </w14:textFill>
        </w:rPr>
        <w:t>http://xaczj.xa.gov.cn/zfcg/cgfg/5db90552fd850863a9e4594d.html</w:t>
      </w:r>
      <w:r>
        <w:rPr>
          <w:rStyle w:val="41"/>
          <w:rFonts w:hint="eastAsia" w:ascii="宋体" w:hAnsi="宋体" w:eastAsia="宋体" w:cs="宋体"/>
          <w:color w:val="000000" w:themeColor="text1"/>
          <w:sz w:val="28"/>
          <w:szCs w:val="28"/>
          <w:highlight w:val="none"/>
          <w:u w:val="none"/>
          <w14:textFill>
            <w14:solidFill>
              <w14:schemeClr w14:val="tx1"/>
            </w14:solidFill>
          </w14:textFill>
        </w:rPr>
        <w:fldChar w:fldCharType="end"/>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《合作机构名单》链接地址：</w:t>
      </w:r>
    </w:p>
    <w:p>
      <w:pPr>
        <w:spacing w:line="560" w:lineRule="exact"/>
        <w:ind w:firstLine="480" w:firstLineChars="200"/>
        <w:jc w:val="both"/>
        <w:rPr>
          <w:rFonts w:ascii="宋体" w:hAnsi="宋体" w:eastAsia="宋体" w:cs="宋体"/>
          <w:color w:val="000000" w:themeColor="text1"/>
          <w:sz w:val="28"/>
          <w:szCs w:val="28"/>
          <w:highlight w:val="none"/>
          <w14:textFill>
            <w14:solidFill>
              <w14:schemeClr w14:val="tx1"/>
            </w14:solidFill>
          </w14:textFill>
        </w:rPr>
      </w:pPr>
      <w:r>
        <w:rPr>
          <w:highlight w:val="none"/>
        </w:rPr>
        <w:fldChar w:fldCharType="begin"/>
      </w:r>
      <w:r>
        <w:rPr>
          <w:highlight w:val="none"/>
        </w:rPr>
        <w:instrText xml:space="preserve"> HYPERLINK "http://xaczj.xa.gov.cn/zfcg/cgfg/5db9054565cbd804f69e97e0.html" </w:instrText>
      </w:r>
      <w:r>
        <w:rPr>
          <w:highlight w:val="none"/>
        </w:rPr>
        <w:fldChar w:fldCharType="separate"/>
      </w:r>
      <w:r>
        <w:rPr>
          <w:rStyle w:val="41"/>
          <w:rFonts w:hint="eastAsia" w:ascii="宋体" w:hAnsi="宋体" w:eastAsia="宋体" w:cs="宋体"/>
          <w:color w:val="000000" w:themeColor="text1"/>
          <w:sz w:val="28"/>
          <w:szCs w:val="28"/>
          <w:highlight w:val="none"/>
          <w:u w:val="none"/>
          <w14:textFill>
            <w14:solidFill>
              <w14:schemeClr w14:val="tx1"/>
            </w14:solidFill>
          </w14:textFill>
        </w:rPr>
        <w:t>http://xaczj.xa.gov.cn/zfcg/cgfg/5db9054565cbd804f69e97e0.html</w:t>
      </w:r>
      <w:r>
        <w:rPr>
          <w:rStyle w:val="41"/>
          <w:rFonts w:hint="eastAsia" w:ascii="宋体" w:hAnsi="宋体" w:eastAsia="宋体" w:cs="宋体"/>
          <w:color w:val="000000" w:themeColor="text1"/>
          <w:sz w:val="28"/>
          <w:szCs w:val="28"/>
          <w:highlight w:val="none"/>
          <w:u w:val="none"/>
          <w14:textFill>
            <w14:solidFill>
              <w14:schemeClr w14:val="tx1"/>
            </w14:solidFill>
          </w14:textFill>
        </w:rPr>
        <w:fldChar w:fldCharType="end"/>
      </w:r>
    </w:p>
    <w:p>
      <w:pPr>
        <w:pStyle w:val="104"/>
        <w:outlineLvl w:val="9"/>
        <w:rPr>
          <w:rFonts w:ascii="宋体" w:hAnsi="宋体" w:eastAsia="宋体" w:cs="宋体"/>
          <w:color w:val="000000" w:themeColor="text1"/>
          <w:sz w:val="28"/>
          <w:szCs w:val="28"/>
          <w:highlight w:val="none"/>
          <w14:textFill>
            <w14:solidFill>
              <w14:schemeClr w14:val="tx1"/>
            </w14:solidFill>
          </w14:textFill>
        </w:rPr>
      </w:pPr>
      <w:bookmarkStart w:id="44" w:name="_Toc20565"/>
      <w:bookmarkStart w:id="45" w:name="_Toc629"/>
      <w:bookmarkStart w:id="46" w:name="_Toc911"/>
      <w:r>
        <w:rPr>
          <w:rFonts w:hint="eastAsia" w:ascii="宋体" w:hAnsi="宋体" w:eastAsia="宋体" w:cs="宋体"/>
          <w:color w:val="000000" w:themeColor="text1"/>
          <w:sz w:val="28"/>
          <w:szCs w:val="28"/>
          <w:highlight w:val="none"/>
          <w14:textFill>
            <w14:solidFill>
              <w14:schemeClr w14:val="tx1"/>
            </w14:solidFill>
          </w14:textFill>
        </w:rPr>
        <w:t>2．投标保证金</w:t>
      </w:r>
      <w:bookmarkEnd w:id="44"/>
      <w:bookmarkEnd w:id="45"/>
      <w:bookmarkEnd w:id="46"/>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按照西安市财政局《关于促进政府采购公平竞争优化营商环境的通知》第三条规定，供应商参与西安市政府采购活动时，免交投标保证金。</w:t>
      </w:r>
    </w:p>
    <w:p>
      <w:pPr>
        <w:pStyle w:val="104"/>
        <w:outlineLvl w:val="9"/>
        <w:rPr>
          <w:rFonts w:ascii="宋体" w:hAnsi="宋体" w:eastAsia="宋体" w:cs="宋体"/>
          <w:color w:val="000000" w:themeColor="text1"/>
          <w:sz w:val="28"/>
          <w:szCs w:val="28"/>
          <w:highlight w:val="none"/>
          <w14:textFill>
            <w14:solidFill>
              <w14:schemeClr w14:val="tx1"/>
            </w14:solidFill>
          </w14:textFill>
        </w:rPr>
      </w:pPr>
      <w:bookmarkStart w:id="47" w:name="_Toc25849"/>
      <w:bookmarkStart w:id="48" w:name="_Toc15288"/>
      <w:bookmarkStart w:id="49" w:name="_Toc22998"/>
      <w:r>
        <w:rPr>
          <w:rFonts w:hint="eastAsia" w:ascii="宋体" w:hAnsi="宋体" w:eastAsia="宋体" w:cs="宋体"/>
          <w:color w:val="000000" w:themeColor="text1"/>
          <w:sz w:val="28"/>
          <w:szCs w:val="28"/>
          <w:highlight w:val="none"/>
          <w14:textFill>
            <w14:solidFill>
              <w14:schemeClr w14:val="tx1"/>
            </w14:solidFill>
          </w14:textFill>
        </w:rPr>
        <w:t>3．履约保证金</w:t>
      </w:r>
      <w:bookmarkEnd w:id="47"/>
      <w:bookmarkEnd w:id="48"/>
      <w:bookmarkEnd w:id="49"/>
    </w:p>
    <w:p>
      <w:pPr>
        <w:spacing w:line="560" w:lineRule="exact"/>
        <w:ind w:firstLine="560" w:firstLineChars="200"/>
        <w:jc w:val="both"/>
        <w:rPr>
          <w:rFonts w:hint="eastAsia" w:ascii="宋体" w:hAnsi="宋体" w:eastAsia="宋体" w:cs="宋体"/>
          <w:color w:val="000000" w:themeColor="text1"/>
          <w:sz w:val="28"/>
          <w:szCs w:val="28"/>
          <w:highlight w:val="none"/>
          <w:lang w:eastAsia="zh-CN"/>
          <w14:textFill>
            <w14:solidFill>
              <w14:schemeClr w14:val="tx1"/>
            </w14:solidFill>
          </w14:textFill>
        </w:rPr>
      </w:pPr>
      <w:bookmarkStart w:id="50" w:name="_Toc12900"/>
      <w:bookmarkStart w:id="51" w:name="_Toc1911"/>
      <w:bookmarkStart w:id="52" w:name="_Toc25938"/>
      <w:bookmarkStart w:id="53" w:name="_Toc13221"/>
      <w:r>
        <w:rPr>
          <w:rFonts w:hint="eastAsia" w:ascii="宋体" w:hAnsi="宋体" w:eastAsia="宋体" w:cs="宋体"/>
          <w:color w:val="000000" w:themeColor="text1"/>
          <w:sz w:val="28"/>
          <w:szCs w:val="28"/>
          <w:highlight w:val="none"/>
          <w:lang w:val="en-US" w:eastAsia="zh-CN"/>
          <w14:textFill>
            <w14:solidFill>
              <w14:schemeClr w14:val="tx1"/>
            </w14:solidFill>
          </w14:textFill>
        </w:rPr>
        <w:t>不收取</w:t>
      </w:r>
    </w:p>
    <w:p>
      <w:pPr>
        <w:spacing w:line="560" w:lineRule="exact"/>
        <w:ind w:firstLine="562" w:firstLineChars="200"/>
        <w:jc w:val="both"/>
        <w:rPr>
          <w:rFonts w:hint="eastAsia" w:ascii="宋体" w:hAnsi="宋体" w:eastAsia="宋体" w:cs="宋体"/>
          <w:b/>
          <w:bCs/>
          <w:color w:val="000000" w:themeColor="text1"/>
          <w:sz w:val="28"/>
          <w:szCs w:val="28"/>
          <w:highlight w:val="none"/>
          <w:lang w:eastAsia="zh-CN"/>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（四）关于联合体</w:t>
      </w:r>
      <w:bookmarkEnd w:id="50"/>
      <w:bookmarkEnd w:id="51"/>
      <w:bookmarkEnd w:id="52"/>
      <w:bookmarkEnd w:id="53"/>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财政部关于进一步加大政府采购支持中小企业力度的通知》（财库〔2022〕19号）大中型企业与小微企业组成联合体或者大中型企业向小微企业分包的，评审优惠幅度由2%-3%提高至4%-6%，用扣除后的价格参加评审。</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w:t>
      </w:r>
      <w:r>
        <w:rPr>
          <w:rFonts w:hint="eastAsia" w:ascii="宋体" w:hAnsi="宋体" w:eastAsia="宋体" w:cs="宋体"/>
          <w:color w:val="000000" w:themeColor="text1"/>
          <w:sz w:val="28"/>
          <w:szCs w:val="28"/>
          <w:highlight w:val="none"/>
          <w:lang w:val="en-US" w:eastAsia="zh-CN"/>
          <w14:textFill>
            <w14:solidFill>
              <w14:schemeClr w14:val="tx1"/>
            </w14:solidFill>
          </w14:textFill>
        </w:rPr>
        <w:t>招标公告</w:t>
      </w:r>
      <w:r>
        <w:rPr>
          <w:rFonts w:hint="eastAsia" w:ascii="宋体" w:hAnsi="宋体" w:eastAsia="宋体" w:cs="宋体"/>
          <w:color w:val="000000" w:themeColor="text1"/>
          <w:sz w:val="28"/>
          <w:szCs w:val="28"/>
          <w:highlight w:val="none"/>
          <w14:textFill>
            <w14:solidFill>
              <w14:schemeClr w14:val="tx1"/>
            </w14:solidFill>
          </w14:textFill>
        </w:rPr>
        <w:t>中载明“接受联合体”时，两个以上供应商可以组成一个联合体，以一个供应商的身份参与投标。</w:t>
      </w:r>
      <w:r>
        <w:rPr>
          <w:rFonts w:hint="eastAsia" w:ascii="宋体" w:hAnsi="宋体" w:eastAsia="宋体" w:cs="宋体"/>
          <w:color w:val="000000" w:themeColor="text1"/>
          <w:sz w:val="28"/>
          <w:szCs w:val="28"/>
          <w:highlight w:val="none"/>
          <w:lang w:val="en-US" w:eastAsia="zh-CN"/>
          <w14:textFill>
            <w14:solidFill>
              <w14:schemeClr w14:val="tx1"/>
            </w14:solidFill>
          </w14:textFill>
        </w:rPr>
        <w:t>招标公告</w:t>
      </w:r>
      <w:r>
        <w:rPr>
          <w:rFonts w:hint="eastAsia" w:ascii="宋体" w:hAnsi="宋体" w:eastAsia="宋体" w:cs="宋体"/>
          <w:color w:val="000000" w:themeColor="text1"/>
          <w:sz w:val="28"/>
          <w:szCs w:val="28"/>
          <w:highlight w:val="none"/>
          <w14:textFill>
            <w14:solidFill>
              <w14:schemeClr w14:val="tx1"/>
            </w14:solidFill>
          </w14:textFill>
        </w:rPr>
        <w:t>未明确载明“不接受联合体”时，视同接受联合体。采购项目接受联合体时，组成联合体的大中型企业和其他自然人、法人或者其他组织，与小型、微型企业之间不得存在投资关系的。</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联合体各方之间应当签订《联合体协议书》，明确约定联合体各方承担的工作和相应的责任。联合体协议签订后，联合体各方不得再单独参加或者与其他供应商另外组成联合体参加同一合同项下的政府采购活动。</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4．供应商以联合体形式参加政府采购活动时，遵循以下规则：</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① 联合体各方均应当具备</w:t>
      </w:r>
      <w:r>
        <w:rPr>
          <w:rFonts w:hint="eastAsia" w:ascii="宋体" w:hAnsi="宋体" w:eastAsia="宋体" w:cs="宋体"/>
          <w:color w:val="000000" w:themeColor="text1"/>
          <w:sz w:val="28"/>
          <w:szCs w:val="28"/>
          <w:highlight w:val="none"/>
          <w:lang w:val="en-US" w:eastAsia="zh-CN"/>
          <w14:textFill>
            <w14:solidFill>
              <w14:schemeClr w14:val="tx1"/>
            </w14:solidFill>
          </w14:textFill>
        </w:rPr>
        <w:t>招标公告</w:t>
      </w:r>
      <w:r>
        <w:rPr>
          <w:rFonts w:hint="eastAsia" w:ascii="宋体" w:hAnsi="宋体" w:eastAsia="宋体" w:cs="宋体"/>
          <w:color w:val="000000" w:themeColor="text1"/>
          <w:sz w:val="28"/>
          <w:szCs w:val="28"/>
          <w:highlight w:val="none"/>
          <w14:textFill>
            <w14:solidFill>
              <w14:schemeClr w14:val="tx1"/>
            </w14:solidFill>
          </w14:textFill>
        </w:rPr>
        <w:t>中基本资格要求。《法定代表人委托授权书》由联合体牵头人的法定代表人（法人单位）或负责人（非法人单位）代表联合体各方进行签字、盖章，并对联合体各方负责。</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② 采购人根据采购项目的特殊要求规定供应商特定条件的，联合体各方中至少应当有一方符合采购人规定的特定条件。联合体中有同类资质的供应商按照联合体分工承担相同工作的，应当按照资质等级较低的供应商确定资质等级。</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③ 采用资格前审的项目，联合体应当在提交资格前审申请文件前组成。资格前审后联合体不得增减、更换成员。</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④ 资格审查阶段，采购人将对所有联合体成员进行信用记录查询，联合体成员存在不良信用记录的，视同联合体存在不良信用记录。</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⑤ 招标文件要求供应商交纳保证金的，可以由联合体中的一方或者多方共同交纳保证金，其交纳的保证金对联合体各方均具有约束力。</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⑥ 招标文件要求供应商提供履约人员和设备情况的，联合体各方均应提供，以说明其作为独立供应商所具有的能有效执行合同的能力和资源。</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⑦ 招标文件要求供应商提供同类或类似项目业绩的，联合体各方符合招标文件要求的同类或类似业绩可以累计，但联合体一方或多方共同参与的同一业绩不重复计算。</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⑧ 投标文件中需要供应商盖章之处，联合体牵头人加盖公章即可。除联合体协议必须由各方共同签署外，投标文件中要求由法定代表人签字、盖章之处，由联合体牵头人的法定代表人（法人单位）或负责人（非法人单位）代表联合体各方进行签字、盖章，并对联合体各方负责。</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⑨ 对采购项目提出投诉时，应当由组成联合体的所有供应商共同提出。</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（5）联合体出现下列情形之一的，联合体投标无效：</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① 没有提交有效的联合体协议的。</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② 组成联合体的大中型企业和其他自然人、法人或者其他组织，与小型、微型企业之间存在投资关系的。</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③ 联合体协议签订后，联合体成员单独参加或者与其他供应商另外组成联合体参加同一合同项下的政府采购活动的。</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④ 资格前审后联合体增减、更换成员的。</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⑤ 联合体成员因存在不良信用记录，被拒绝其参与政府采购活动的。</w:t>
      </w:r>
    </w:p>
    <w:p>
      <w:pPr>
        <w:pStyle w:val="105"/>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54" w:name="_Toc5209"/>
      <w:bookmarkStart w:id="55" w:name="_Toc3859"/>
      <w:bookmarkStart w:id="56" w:name="_Toc11831"/>
      <w:bookmarkStart w:id="57" w:name="_Toc29747"/>
      <w:r>
        <w:rPr>
          <w:rFonts w:hint="eastAsia" w:ascii="宋体" w:hAnsi="宋体" w:eastAsia="宋体" w:cs="宋体"/>
          <w:color w:val="000000" w:themeColor="text1"/>
          <w:sz w:val="28"/>
          <w:szCs w:val="28"/>
          <w:highlight w:val="none"/>
          <w14:textFill>
            <w14:solidFill>
              <w14:schemeClr w14:val="tx1"/>
            </w14:solidFill>
          </w14:textFill>
        </w:rPr>
        <w:t>（五）关于进口产品</w:t>
      </w:r>
      <w:bookmarkEnd w:id="54"/>
      <w:bookmarkEnd w:id="55"/>
      <w:bookmarkEnd w:id="56"/>
      <w:bookmarkEnd w:id="57"/>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根据《政府采购进口产品管理办法》（财库〔2007〕119号）规定，政府采购应当采购本国产品，确需采购进口产品的，应当在采购活动开始前向财政部门提出申请并获得财政部门审核同意后，依法开展政府采购活动。采购人采购进口产品时，优先采购向我国企业转让技术、与我国企业签订消化吸收再创新方案的供应商的进口产品。</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2．根据《关于政府采购进口产品管理有关问题的通知》（财办库〔2008〕248号）有关规定，财政部门审核同意购买进口产品的，</w:t>
      </w:r>
      <w:r>
        <w:rPr>
          <w:rFonts w:hint="eastAsia" w:ascii="宋体" w:hAnsi="宋体" w:eastAsia="宋体" w:cs="宋体"/>
          <w:color w:val="000000" w:themeColor="text1"/>
          <w:sz w:val="28"/>
          <w:szCs w:val="28"/>
          <w:highlight w:val="none"/>
          <w:lang w:val="en-US" w:eastAsia="zh-CN"/>
          <w14:textFill>
            <w14:solidFill>
              <w14:schemeClr w14:val="tx1"/>
            </w14:solidFill>
          </w14:textFill>
        </w:rPr>
        <w:t>招标公告</w:t>
      </w:r>
      <w:r>
        <w:rPr>
          <w:rFonts w:hint="eastAsia" w:ascii="宋体" w:hAnsi="宋体" w:eastAsia="宋体" w:cs="宋体"/>
          <w:color w:val="000000" w:themeColor="text1"/>
          <w:sz w:val="28"/>
          <w:szCs w:val="28"/>
          <w:highlight w:val="none"/>
          <w14:textFill>
            <w14:solidFill>
              <w14:schemeClr w14:val="tx1"/>
            </w14:solidFill>
          </w14:textFill>
        </w:rPr>
        <w:t>将明确载明“允许进口产品参与”，此时满足招标文件要求的国产产品仍然可以参与竞争。否则，视为拒绝进口产品参与，供应商以进口产品参与投标时，将作无效投标处理。</w:t>
      </w:r>
    </w:p>
    <w:p>
      <w:pPr>
        <w:pStyle w:val="105"/>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58" w:name="_Toc22855"/>
      <w:bookmarkStart w:id="59" w:name="_Toc15417"/>
      <w:bookmarkStart w:id="60" w:name="_Toc4734"/>
      <w:bookmarkStart w:id="61" w:name="_Toc1509"/>
      <w:r>
        <w:rPr>
          <w:rFonts w:hint="eastAsia" w:ascii="宋体" w:hAnsi="宋体" w:eastAsia="宋体" w:cs="宋体"/>
          <w:color w:val="000000" w:themeColor="text1"/>
          <w:sz w:val="28"/>
          <w:szCs w:val="28"/>
          <w:highlight w:val="none"/>
          <w14:textFill>
            <w14:solidFill>
              <w14:schemeClr w14:val="tx1"/>
            </w14:solidFill>
          </w14:textFill>
        </w:rPr>
        <w:t>（六）关于政府采购政策</w:t>
      </w:r>
      <w:bookmarkEnd w:id="58"/>
      <w:bookmarkEnd w:id="59"/>
      <w:bookmarkEnd w:id="60"/>
      <w:bookmarkEnd w:id="61"/>
    </w:p>
    <w:p>
      <w:pPr>
        <w:pStyle w:val="104"/>
        <w:outlineLvl w:val="9"/>
        <w:rPr>
          <w:rFonts w:ascii="宋体" w:hAnsi="宋体" w:eastAsia="宋体" w:cs="宋体"/>
          <w:color w:val="000000" w:themeColor="text1"/>
          <w:sz w:val="28"/>
          <w:szCs w:val="28"/>
          <w:highlight w:val="none"/>
          <w14:textFill>
            <w14:solidFill>
              <w14:schemeClr w14:val="tx1"/>
            </w14:solidFill>
          </w14:textFill>
        </w:rPr>
      </w:pPr>
      <w:bookmarkStart w:id="62" w:name="_Toc6126"/>
      <w:bookmarkStart w:id="63" w:name="_Toc10187"/>
      <w:bookmarkStart w:id="64" w:name="_Toc21485"/>
      <w:r>
        <w:rPr>
          <w:rFonts w:hint="eastAsia" w:ascii="宋体" w:hAnsi="宋体" w:eastAsia="宋体" w:cs="宋体"/>
          <w:color w:val="000000" w:themeColor="text1"/>
          <w:sz w:val="28"/>
          <w:szCs w:val="28"/>
          <w:highlight w:val="none"/>
          <w14:textFill>
            <w14:solidFill>
              <w14:schemeClr w14:val="tx1"/>
            </w14:solidFill>
          </w14:textFill>
        </w:rPr>
        <w:t>1．对中小企业、监狱企业、残疾人福利性单位的优惠政策</w:t>
      </w:r>
      <w:bookmarkEnd w:id="62"/>
      <w:bookmarkEnd w:id="63"/>
      <w:bookmarkEnd w:id="64"/>
    </w:p>
    <w:p>
      <w:pPr>
        <w:pStyle w:val="104"/>
        <w:outlineLvl w:val="9"/>
        <w:rPr>
          <w:rFonts w:hint="eastAsia" w:ascii="宋体" w:hAnsi="宋体" w:eastAsia="宋体" w:cs="宋体"/>
          <w:color w:val="000000" w:themeColor="text1"/>
          <w:sz w:val="28"/>
          <w:szCs w:val="28"/>
          <w:highlight w:val="none"/>
          <w14:textFill>
            <w14:solidFill>
              <w14:schemeClr w14:val="tx1"/>
            </w14:solidFill>
          </w14:textFill>
        </w:rPr>
      </w:pPr>
      <w:bookmarkStart w:id="65" w:name="_Toc5394"/>
      <w:bookmarkStart w:id="66" w:name="_Toc8987"/>
      <w:bookmarkStart w:id="67" w:name="_Toc2556"/>
      <w:r>
        <w:rPr>
          <w:rFonts w:hint="eastAsia" w:ascii="宋体" w:hAnsi="宋体" w:eastAsia="宋体" w:cs="宋体"/>
          <w:color w:val="000000" w:themeColor="text1"/>
          <w:sz w:val="28"/>
          <w:szCs w:val="28"/>
          <w:highlight w:val="none"/>
          <w14:textFill>
            <w14:solidFill>
              <w14:schemeClr w14:val="tx1"/>
            </w14:solidFill>
          </w14:textFill>
        </w:rPr>
        <w:t>（1）根据《政府采购促进中小企业发展管理办法》（财库〔2020〕46号）、《财政部关于进一步加大政府采购支持中小企业力度》的通知--财库〔2022〕19号的有关规定，提供小微企业制造的货物、承建的工程或者承接的服务（不包括使用大型、中型企业商号或者注册商标的货物）参与政府采购活动时对小型和微型企业产品的报价给予10%（工程项目3%）的扣除，用扣除后的价格参加评审。同时，依据该办法第四条第二款规定在货物采购项目中，供应商提供的货物既有中小企业制造货物，也有大型企业制造货物的，不享受中小企业扶持政策。</w:t>
      </w:r>
    </w:p>
    <w:p>
      <w:pPr>
        <w:pStyle w:val="104"/>
        <w:outlineLvl w:val="9"/>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（2）根据财政部、司法部联合下发的《关于政府采购支持监狱企业发展有关问题的通知》（财库〔2014〕68号）的规定，监狱企业视同小型、微型企业。</w:t>
      </w:r>
    </w:p>
    <w:p>
      <w:pPr>
        <w:pStyle w:val="104"/>
        <w:outlineLvl w:val="9"/>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pStyle w:val="104"/>
        <w:outlineLvl w:val="9"/>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投标文件的有效性。</w:t>
      </w:r>
    </w:p>
    <w:p>
      <w:pPr>
        <w:pStyle w:val="104"/>
        <w:outlineLvl w:val="9"/>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2．节能、环保产品采购政策</w:t>
      </w:r>
      <w:bookmarkEnd w:id="65"/>
      <w:bookmarkEnd w:id="66"/>
      <w:bookmarkEnd w:id="67"/>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（3）《节能产品政府采购品目清单》见财政部、发展改革委《关于印发节能产品政府采购品目清单的通知》（财库〔2019〕19号）附件。</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（4）《环境标志产品政府采购品目清单》见财政部、生态环境部《关于印发环境标志产品政府采购品目清单的通知》（财库〔2019〕18号）附件。</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（5）“国家确定的认证机构”名单见市场监管总局《关于发布参与实施政府采购节能产品、环境标志产品认证机构名录的公告》（2019年第16号）。</w:t>
      </w:r>
    </w:p>
    <w:p>
      <w:pPr>
        <w:pStyle w:val="104"/>
        <w:outlineLvl w:val="9"/>
        <w:rPr>
          <w:rFonts w:ascii="宋体" w:hAnsi="宋体" w:eastAsia="宋体" w:cs="宋体"/>
          <w:color w:val="000000" w:themeColor="text1"/>
          <w:sz w:val="28"/>
          <w:szCs w:val="28"/>
          <w:highlight w:val="none"/>
          <w14:textFill>
            <w14:solidFill>
              <w14:schemeClr w14:val="tx1"/>
            </w14:solidFill>
          </w14:textFill>
        </w:rPr>
      </w:pPr>
      <w:bookmarkStart w:id="68" w:name="_Toc15090"/>
      <w:bookmarkStart w:id="69" w:name="_Toc26083"/>
      <w:bookmarkStart w:id="70" w:name="_Toc18572"/>
      <w:r>
        <w:rPr>
          <w:rFonts w:hint="eastAsia" w:ascii="宋体" w:hAnsi="宋体" w:eastAsia="宋体" w:cs="宋体"/>
          <w:color w:val="000000" w:themeColor="text1"/>
          <w:sz w:val="28"/>
          <w:szCs w:val="28"/>
          <w:highlight w:val="none"/>
          <w14:textFill>
            <w14:solidFill>
              <w14:schemeClr w14:val="tx1"/>
            </w14:solidFill>
          </w14:textFill>
        </w:rPr>
        <w:t>3．陕西省中小企业政府采购信用融资办法</w:t>
      </w:r>
      <w:bookmarkEnd w:id="68"/>
      <w:bookmarkEnd w:id="69"/>
      <w:bookmarkEnd w:id="70"/>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spacing w:line="560" w:lineRule="exact"/>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链接地址：</w:t>
      </w:r>
      <w:r>
        <w:rPr>
          <w:highlight w:val="none"/>
        </w:rPr>
        <w:fldChar w:fldCharType="begin"/>
      </w:r>
      <w:r>
        <w:rPr>
          <w:highlight w:val="none"/>
        </w:rPr>
        <w:instrText xml:space="preserve"> HYPERLINK "http://www.ccgp-shaanxi.gov.cn/zcdservice/zcd/shanxi/article/zcdt/1390497710741917696" </w:instrText>
      </w:r>
      <w:r>
        <w:rPr>
          <w:highlight w:val="none"/>
        </w:rPr>
        <w:fldChar w:fldCharType="separate"/>
      </w:r>
      <w:r>
        <w:rPr>
          <w:rStyle w:val="41"/>
          <w:rFonts w:hint="eastAsia" w:ascii="宋体" w:hAnsi="宋体" w:eastAsia="宋体" w:cs="宋体"/>
          <w:color w:val="000000" w:themeColor="text1"/>
          <w:sz w:val="28"/>
          <w:szCs w:val="28"/>
          <w:highlight w:val="none"/>
          <w:u w:val="none"/>
          <w14:textFill>
            <w14:solidFill>
              <w14:schemeClr w14:val="tx1"/>
            </w14:solidFill>
          </w14:textFill>
        </w:rPr>
        <w:t>http://www.ccgp-shaanxi.gov.cn/zcdservice/zcd/shanxi/article/zcdt/1390497710741917696</w:t>
      </w:r>
      <w:r>
        <w:rPr>
          <w:rStyle w:val="41"/>
          <w:rFonts w:hint="eastAsia" w:ascii="宋体" w:hAnsi="宋体" w:eastAsia="宋体" w:cs="宋体"/>
          <w:color w:val="000000" w:themeColor="text1"/>
          <w:sz w:val="28"/>
          <w:szCs w:val="28"/>
          <w:highlight w:val="none"/>
          <w:u w:val="none"/>
          <w14:textFill>
            <w14:solidFill>
              <w14:schemeClr w14:val="tx1"/>
            </w14:solidFill>
          </w14:textFill>
        </w:rPr>
        <w:fldChar w:fldCharType="end"/>
      </w:r>
    </w:p>
    <w:p>
      <w:pPr>
        <w:pStyle w:val="105"/>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71" w:name="_Toc3783"/>
      <w:bookmarkStart w:id="72" w:name="_Toc903"/>
      <w:bookmarkStart w:id="73" w:name="_Toc21474"/>
      <w:bookmarkStart w:id="74" w:name="_Toc23131"/>
      <w:r>
        <w:rPr>
          <w:rFonts w:hint="eastAsia" w:ascii="宋体" w:hAnsi="宋体" w:eastAsia="宋体" w:cs="宋体"/>
          <w:color w:val="000000" w:themeColor="text1"/>
          <w:sz w:val="28"/>
          <w:szCs w:val="28"/>
          <w:highlight w:val="none"/>
          <w14:textFill>
            <w14:solidFill>
              <w14:schemeClr w14:val="tx1"/>
            </w14:solidFill>
          </w14:textFill>
        </w:rPr>
        <w:t>（七）关于现场踏勘和集中答疑</w:t>
      </w:r>
      <w:bookmarkEnd w:id="71"/>
      <w:bookmarkEnd w:id="72"/>
      <w:bookmarkEnd w:id="73"/>
      <w:bookmarkEnd w:id="74"/>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采购人可以根据项目实际情况决定是否组织现场踏勘\标前集中答疑。</w:t>
      </w:r>
      <w:r>
        <w:rPr>
          <w:rFonts w:hint="eastAsia" w:ascii="宋体" w:hAnsi="宋体" w:eastAsia="宋体" w:cs="宋体"/>
          <w:color w:val="000000" w:themeColor="text1"/>
          <w:sz w:val="28"/>
          <w:szCs w:val="28"/>
          <w:highlight w:val="none"/>
          <w:lang w:val="en-US" w:eastAsia="zh-CN"/>
          <w14:textFill>
            <w14:solidFill>
              <w14:schemeClr w14:val="tx1"/>
            </w14:solidFill>
          </w14:textFill>
        </w:rPr>
        <w:t>招标公告</w:t>
      </w:r>
      <w:r>
        <w:rPr>
          <w:rFonts w:hint="eastAsia" w:ascii="宋体" w:hAnsi="宋体" w:eastAsia="宋体" w:cs="宋体"/>
          <w:color w:val="000000" w:themeColor="text1"/>
          <w:sz w:val="28"/>
          <w:szCs w:val="28"/>
          <w:highlight w:val="none"/>
          <w14:textFill>
            <w14:solidFill>
              <w14:schemeClr w14:val="tx1"/>
            </w14:solidFill>
          </w14:textFill>
        </w:rPr>
        <w:t>中明确载明安排上述活动的，各供应商应派出技术、预算等相关人员，在招标文件约定的时间、地点参加现场踏勘\标前集中答疑。</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供应商代表可在采购人指引下就采购内容相关数据进行实地测量，需要采购人或采购代理机构解答的问题可以以口头或书面形式做出。口头问题，口头答复。书面问题，将由采购人和采购代理机构整理后，在“政府采购信息发布媒体”上发布《答疑纪要》。答疑纪要是招标文件的组成部分，与招标文件中表述不一致的内容，以答疑纪要为准。</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凡未参加现场踏勘和集中答疑的供应商，由此带来的不利后果由该供应商自行承担。</w:t>
      </w:r>
    </w:p>
    <w:p>
      <w:pPr>
        <w:pStyle w:val="105"/>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75" w:name="_Toc22889"/>
      <w:bookmarkStart w:id="76" w:name="_Toc11425"/>
      <w:bookmarkStart w:id="77" w:name="_Toc11850"/>
      <w:bookmarkStart w:id="78" w:name="_Toc21460"/>
      <w:r>
        <w:rPr>
          <w:rFonts w:hint="eastAsia" w:ascii="宋体" w:hAnsi="宋体" w:eastAsia="宋体" w:cs="宋体"/>
          <w:color w:val="000000" w:themeColor="text1"/>
          <w:sz w:val="28"/>
          <w:szCs w:val="28"/>
          <w:highlight w:val="none"/>
          <w14:textFill>
            <w14:solidFill>
              <w14:schemeClr w14:val="tx1"/>
            </w14:solidFill>
          </w14:textFill>
        </w:rPr>
        <w:t>（八）关于同一品牌产品的处理</w:t>
      </w:r>
      <w:bookmarkEnd w:id="75"/>
      <w:bookmarkEnd w:id="76"/>
      <w:bookmarkEnd w:id="77"/>
      <w:bookmarkEnd w:id="78"/>
    </w:p>
    <w:p>
      <w:pPr>
        <w:spacing w:line="560" w:lineRule="exact"/>
        <w:ind w:firstLine="560" w:firstLineChars="200"/>
        <w:jc w:val="both"/>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采用最低评标价法的采购项目，提供相同品牌产品的不同供应商参加同一合同项下投标的，以其中通过资格审查、符合性审查且报价最低的参加评标；报价相同的，由采购人或者采购人委托评审委员会按照采购文件规定的方式确定一个参加评标的供应商，采购文件未规定的采取随机抽取方式确定，其他投标无效。</w:t>
      </w:r>
    </w:p>
    <w:p>
      <w:pPr>
        <w:spacing w:line="560" w:lineRule="exact"/>
        <w:ind w:firstLine="560" w:firstLineChars="200"/>
        <w:jc w:val="both"/>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使用综合评分法的采购项目，提供相同品牌产品且通过资格审查、符合性审查的不同供应商参加同一合同项下投标的，按一家供应商计算，评审后得分最高的同品牌供应商获得中标供应商推荐资格；评审得分相同的，由采购人或者采购人委托评审委员会按照采购文件规定的方式确定一个供应商获得中标供应商推荐资格，采购文件未规定的采取随机抽取方式确定，其他同品牌供应商不作为中标候选人。</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非单一产品采购项目，采购人将根据采购项目技术构成、产品价格比重等因素确定核心产品（可能不止一种），并在采购文件中载明。多家供应商提供的核心产品有部分采用或全部采用相同品牌的，按一家供应商计算。</w:t>
      </w:r>
    </w:p>
    <w:p>
      <w:pPr>
        <w:pStyle w:val="105"/>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79" w:name="_Toc30039"/>
      <w:bookmarkStart w:id="80" w:name="_Toc21312"/>
      <w:bookmarkStart w:id="81" w:name="_Toc5554"/>
      <w:bookmarkStart w:id="82" w:name="_Toc4702"/>
      <w:r>
        <w:rPr>
          <w:rFonts w:hint="eastAsia" w:ascii="宋体" w:hAnsi="宋体" w:eastAsia="宋体" w:cs="宋体"/>
          <w:color w:val="000000" w:themeColor="text1"/>
          <w:sz w:val="28"/>
          <w:szCs w:val="28"/>
          <w:highlight w:val="none"/>
          <w14:textFill>
            <w14:solidFill>
              <w14:schemeClr w14:val="tx1"/>
            </w14:solidFill>
          </w14:textFill>
        </w:rPr>
        <w:t>（九）关于知识产权和保密事项</w:t>
      </w:r>
      <w:bookmarkEnd w:id="79"/>
      <w:bookmarkEnd w:id="80"/>
      <w:bookmarkEnd w:id="81"/>
      <w:bookmarkEnd w:id="82"/>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1．所有涉及知识产权的产品及设计，供应商必须确保委托人、采购人拥有其合法的、不受限制的无偿使用权，并免受任何侵权诉讼或索偿。否则，由此产生的一切经济损失和法律责任由供应商承担。</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2．由采购人向供应商提供的用户需求书、图纸、样品、模型、模件和所有资料，供应商获得后，应对其保密。除非采购人同意，供应商不得向第三方透露或将其用于本次投 标以外的任何用途。开标后，若采购人有要求，供应商人须归还采购人认为需保密的文件和资料，并销毁所有相应的备份文件及资料。</w:t>
      </w:r>
    </w:p>
    <w:p>
      <w:pPr>
        <w:pStyle w:val="105"/>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83" w:name="_Toc27768"/>
      <w:bookmarkStart w:id="84" w:name="_Toc2960"/>
      <w:bookmarkStart w:id="85" w:name="_Toc31993"/>
      <w:bookmarkStart w:id="86" w:name="_Toc873"/>
      <w:r>
        <w:rPr>
          <w:rFonts w:hint="eastAsia" w:ascii="宋体" w:hAnsi="宋体" w:eastAsia="宋体" w:cs="宋体"/>
          <w:color w:val="000000" w:themeColor="text1"/>
          <w:sz w:val="28"/>
          <w:szCs w:val="28"/>
          <w:highlight w:val="none"/>
          <w14:textFill>
            <w14:solidFill>
              <w14:schemeClr w14:val="tx1"/>
            </w14:solidFill>
          </w14:textFill>
        </w:rPr>
        <w:t>（十）关于信用记录的查询和使用</w:t>
      </w:r>
      <w:bookmarkEnd w:id="83"/>
      <w:bookmarkEnd w:id="84"/>
      <w:bookmarkEnd w:id="85"/>
      <w:bookmarkEnd w:id="86"/>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1．根据财政部《关于在政府采购活动中查询及使用信用记录有关问题的通知》（财库〔2016〕125号）第二条有关要求，采购人将在资格审查阶段通过【信用中国】（</w:t>
      </w:r>
      <w:r>
        <w:rPr>
          <w:highlight w:val="none"/>
        </w:rPr>
        <w:fldChar w:fldCharType="begin"/>
      </w:r>
      <w:r>
        <w:rPr>
          <w:highlight w:val="none"/>
        </w:rPr>
        <w:instrText xml:space="preserve"> HYPERLINK "https://www.creditchina.gov.cn" </w:instrText>
      </w:r>
      <w:r>
        <w:rPr>
          <w:highlight w:val="none"/>
        </w:rPr>
        <w:fldChar w:fldCharType="separate"/>
      </w:r>
      <w:r>
        <w:rPr>
          <w:rStyle w:val="41"/>
          <w:rFonts w:hint="eastAsia" w:ascii="宋体" w:hAnsi="宋体" w:eastAsia="宋体" w:cs="宋体"/>
          <w:color w:val="000000" w:themeColor="text1"/>
          <w:sz w:val="28"/>
          <w:szCs w:val="28"/>
          <w:highlight w:val="none"/>
          <w:u w:val="none"/>
          <w14:textFill>
            <w14:solidFill>
              <w14:schemeClr w14:val="tx1"/>
            </w14:solidFill>
          </w14:textFill>
        </w:rPr>
        <w:t>https://www.creditchina.gov.cn</w:t>
      </w:r>
      <w:r>
        <w:rPr>
          <w:rStyle w:val="41"/>
          <w:rFonts w:hint="eastAsia" w:ascii="宋体" w:hAnsi="宋体" w:eastAsia="宋体" w:cs="宋体"/>
          <w:color w:val="000000" w:themeColor="text1"/>
          <w:sz w:val="28"/>
          <w:szCs w:val="28"/>
          <w:highlight w:val="none"/>
          <w:u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t>/）和【中国政府采购网】（</w:t>
      </w:r>
      <w:r>
        <w:rPr>
          <w:highlight w:val="none"/>
        </w:rPr>
        <w:fldChar w:fldCharType="begin"/>
      </w:r>
      <w:r>
        <w:rPr>
          <w:highlight w:val="none"/>
        </w:rPr>
        <w:instrText xml:space="preserve"> HYPERLINK "http://www.ccgp.gov.cn/" </w:instrText>
      </w:r>
      <w:r>
        <w:rPr>
          <w:highlight w:val="none"/>
        </w:rPr>
        <w:fldChar w:fldCharType="separate"/>
      </w:r>
      <w:r>
        <w:rPr>
          <w:rStyle w:val="41"/>
          <w:rFonts w:hint="eastAsia" w:ascii="宋体" w:hAnsi="宋体" w:eastAsia="宋体" w:cs="宋体"/>
          <w:color w:val="000000" w:themeColor="text1"/>
          <w:sz w:val="28"/>
          <w:szCs w:val="28"/>
          <w:highlight w:val="none"/>
          <w:u w:val="none"/>
          <w14:textFill>
            <w14:solidFill>
              <w14:schemeClr w14:val="tx1"/>
            </w14:solidFill>
          </w14:textFill>
        </w:rPr>
        <w:t>http://www.ccgp.gov.cn/）</w:t>
      </w:r>
      <w:r>
        <w:rPr>
          <w:rStyle w:val="41"/>
          <w:rFonts w:hint="eastAsia" w:ascii="宋体" w:hAnsi="宋体" w:eastAsia="宋体" w:cs="宋体"/>
          <w:color w:val="000000" w:themeColor="text1"/>
          <w:sz w:val="28"/>
          <w:szCs w:val="28"/>
          <w:highlight w:val="none"/>
          <w:u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t>对供应商的信用情况进行甄别。</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2．对列入失信被执行人、重大税收违法案件当事人名单、政府采购严重违法失信行为记录名单及其他不符合《中华人民共和国政府采购法》第二十二条规定条件的供应商，将拒绝其参与政府采购活动。</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3．供应商在参加政府采购活动前3年内因违法经营被禁止在一定期限内参加政府采购活动，期限届满的，可以参加政府采购活动的，但供应商应提供相关证明材料。</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4．信用记录查询结果打印后，将与其他采购文件一并保存。</w:t>
      </w:r>
    </w:p>
    <w:p>
      <w:pPr>
        <w:pStyle w:val="105"/>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87" w:name="_Toc13558"/>
      <w:bookmarkStart w:id="88" w:name="_Toc31802"/>
      <w:bookmarkStart w:id="89" w:name="_Toc20950"/>
      <w:bookmarkStart w:id="90" w:name="_Toc7336"/>
      <w:r>
        <w:rPr>
          <w:rFonts w:hint="eastAsia" w:ascii="宋体" w:hAnsi="宋体" w:eastAsia="宋体" w:cs="宋体"/>
          <w:color w:val="000000" w:themeColor="text1"/>
          <w:sz w:val="28"/>
          <w:szCs w:val="28"/>
          <w:highlight w:val="none"/>
          <w14:textFill>
            <w14:solidFill>
              <w14:schemeClr w14:val="tx1"/>
            </w14:solidFill>
          </w14:textFill>
        </w:rPr>
        <w:t>（十一）其他重要事项</w:t>
      </w:r>
      <w:bookmarkEnd w:id="87"/>
      <w:bookmarkEnd w:id="88"/>
      <w:bookmarkEnd w:id="89"/>
      <w:bookmarkEnd w:id="90"/>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1．招标文件内所附网络链接仅供参考，不保证其长期有效性。</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2．供应商的投标费用自理。</w:t>
      </w:r>
    </w:p>
    <w:p>
      <w:pPr>
        <w:pStyle w:val="9"/>
        <w:rPr>
          <w:rFonts w:ascii="宋体" w:hAnsi="宋体" w:eastAsia="宋体" w:cs="宋体"/>
          <w:color w:val="000000" w:themeColor="text1"/>
          <w:sz w:val="28"/>
          <w:szCs w:val="28"/>
          <w:highlight w:val="none"/>
          <w14:textFill>
            <w14:solidFill>
              <w14:schemeClr w14:val="tx1"/>
            </w14:solidFill>
          </w14:textFill>
        </w:rPr>
      </w:pPr>
      <w:bookmarkStart w:id="91" w:name="_Toc25094"/>
      <w:r>
        <w:rPr>
          <w:rFonts w:hint="eastAsia" w:ascii="宋体" w:hAnsi="宋体" w:eastAsia="宋体" w:cs="宋体"/>
          <w:color w:val="000000" w:themeColor="text1"/>
          <w:sz w:val="28"/>
          <w:szCs w:val="28"/>
          <w:highlight w:val="none"/>
          <w14:textFill>
            <w14:solidFill>
              <w14:schemeClr w14:val="tx1"/>
            </w14:solidFill>
          </w14:textFill>
        </w:rPr>
        <w:t>三、招标文件</w:t>
      </w:r>
      <w:bookmarkEnd w:id="91"/>
    </w:p>
    <w:p>
      <w:pPr>
        <w:pStyle w:val="105"/>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92" w:name="_Toc13951"/>
      <w:bookmarkStart w:id="93" w:name="_Toc17994"/>
      <w:bookmarkStart w:id="94" w:name="_Toc22177"/>
      <w:bookmarkStart w:id="95" w:name="_Toc25768"/>
      <w:r>
        <w:rPr>
          <w:rFonts w:hint="eastAsia" w:ascii="宋体" w:hAnsi="宋体" w:eastAsia="宋体" w:cs="宋体"/>
          <w:color w:val="000000" w:themeColor="text1"/>
          <w:sz w:val="28"/>
          <w:szCs w:val="28"/>
          <w:highlight w:val="none"/>
          <w14:textFill>
            <w14:solidFill>
              <w14:schemeClr w14:val="tx1"/>
            </w14:solidFill>
          </w14:textFill>
        </w:rPr>
        <w:t>（一）招标文件的解释权</w:t>
      </w:r>
      <w:bookmarkEnd w:id="92"/>
      <w:bookmarkEnd w:id="93"/>
      <w:bookmarkEnd w:id="94"/>
      <w:bookmarkEnd w:id="95"/>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本项目招标文件的解释权归采购代理机构，评标委员会成员应根据政府采购法律法规和招标文件所载明的评审方法、标准进行评审。</w:t>
      </w:r>
    </w:p>
    <w:p>
      <w:pPr>
        <w:pStyle w:val="105"/>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96" w:name="_Toc932"/>
      <w:bookmarkStart w:id="97" w:name="_Toc29738"/>
      <w:bookmarkStart w:id="98" w:name="_Toc27003"/>
      <w:bookmarkStart w:id="99" w:name="_Toc31173"/>
      <w:r>
        <w:rPr>
          <w:rFonts w:hint="eastAsia" w:ascii="宋体" w:hAnsi="宋体" w:eastAsia="宋体" w:cs="宋体"/>
          <w:color w:val="000000" w:themeColor="text1"/>
          <w:sz w:val="28"/>
          <w:szCs w:val="28"/>
          <w:highlight w:val="none"/>
          <w14:textFill>
            <w14:solidFill>
              <w14:schemeClr w14:val="tx1"/>
            </w14:solidFill>
          </w14:textFill>
        </w:rPr>
        <w:t>（二）招标文件主要内容</w:t>
      </w:r>
      <w:bookmarkEnd w:id="96"/>
      <w:bookmarkEnd w:id="97"/>
      <w:bookmarkEnd w:id="98"/>
      <w:bookmarkEnd w:id="99"/>
    </w:p>
    <w:p>
      <w:pPr>
        <w:spacing w:line="560" w:lineRule="exact"/>
        <w:ind w:firstLine="560" w:firstLineChars="200"/>
        <w:jc w:val="both"/>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第1章  </w:t>
      </w:r>
      <w:r>
        <w:rPr>
          <w:rFonts w:hint="eastAsia" w:ascii="宋体" w:hAnsi="宋体" w:eastAsia="宋体" w:cs="宋体"/>
          <w:color w:val="000000" w:themeColor="text1"/>
          <w:sz w:val="28"/>
          <w:szCs w:val="28"/>
          <w:highlight w:val="none"/>
          <w:lang w:val="en-US" w:eastAsia="zh-CN"/>
          <w14:textFill>
            <w14:solidFill>
              <w14:schemeClr w14:val="tx1"/>
            </w14:solidFill>
          </w14:textFill>
        </w:rPr>
        <w:t>招标公告</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第2章  供应商须知</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第3章  招标内容及要求</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第4章  合同文本</w:t>
      </w:r>
    </w:p>
    <w:p>
      <w:pPr>
        <w:spacing w:line="560" w:lineRule="exact"/>
        <w:ind w:firstLine="560" w:firstLineChars="200"/>
        <w:jc w:val="both"/>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第5章  投标文件构成及格式</w:t>
      </w:r>
    </w:p>
    <w:p>
      <w:pPr>
        <w:pStyle w:val="105"/>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00" w:name="_Toc28534"/>
      <w:bookmarkStart w:id="101" w:name="_Toc29373"/>
      <w:bookmarkStart w:id="102" w:name="_Toc9476"/>
      <w:bookmarkStart w:id="103" w:name="_Toc12003"/>
      <w:r>
        <w:rPr>
          <w:rFonts w:hint="eastAsia" w:ascii="宋体" w:hAnsi="宋体" w:eastAsia="宋体" w:cs="宋体"/>
          <w:color w:val="000000" w:themeColor="text1"/>
          <w:sz w:val="28"/>
          <w:szCs w:val="28"/>
          <w:highlight w:val="none"/>
          <w14:textFill>
            <w14:solidFill>
              <w14:schemeClr w14:val="tx1"/>
            </w14:solidFill>
          </w14:textFill>
        </w:rPr>
        <w:t>（三）招标文件的检查及阅读</w:t>
      </w:r>
      <w:bookmarkEnd w:id="100"/>
      <w:bookmarkEnd w:id="101"/>
      <w:bookmarkEnd w:id="102"/>
      <w:bookmarkEnd w:id="103"/>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供应商应认真阅读和充分理解招标文件中所有的事项、格式条款和规范要求，在投标文件中对招标文件做出全面响应，并按招标文件的要求提交全部资料。</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项目废标后重新组织招标的，采购代理机构将重新编制、发布新版招标文件，供应商应按新版招标文件重新编制投标文件。原招标文件及投标文件失效。</w:t>
      </w:r>
    </w:p>
    <w:p>
      <w:pPr>
        <w:pStyle w:val="105"/>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04" w:name="_Toc22897"/>
      <w:bookmarkStart w:id="105" w:name="_Toc15105"/>
      <w:bookmarkStart w:id="106" w:name="_Toc16075"/>
      <w:bookmarkStart w:id="107" w:name="_Toc6838"/>
      <w:r>
        <w:rPr>
          <w:rFonts w:hint="eastAsia" w:ascii="宋体" w:hAnsi="宋体" w:eastAsia="宋体" w:cs="宋体"/>
          <w:color w:val="000000" w:themeColor="text1"/>
          <w:sz w:val="28"/>
          <w:szCs w:val="28"/>
          <w:highlight w:val="none"/>
          <w14:textFill>
            <w14:solidFill>
              <w14:schemeClr w14:val="tx1"/>
            </w14:solidFill>
          </w14:textFill>
        </w:rPr>
        <w:t>（四）招标文件的修改、澄清</w:t>
      </w:r>
      <w:bookmarkEnd w:id="104"/>
      <w:bookmarkEnd w:id="105"/>
      <w:bookmarkEnd w:id="106"/>
      <w:bookmarkEnd w:id="107"/>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1．提交投标文件截止之日前，采购人或采购代理机构可能对已发出的招标文件进行澄清或者修改，澄清或者修改的内容为招标文件的组成部分。</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2．当需要澄清或修改时，采购代理机构将在提交投标文件截止之日15日前，在财政部门指定的“政府采购信息发布媒体”上发布变更公告。不足15日的，将顺延提交投标文件截止时间。</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澄清或修改的内容可能影响投标文件编制时，采购代理机构将在发布变更公告的同时，提醒供应商下载答疑文件（*.SXSCF，即更新后的电子招标文件）。供应商应及时从西安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4．请各供应商在提交投标文件截止时间之前，务必随时关注“政府采购信息发布媒体”上发布的变更公告，采购代理机构不再另行通知，因供应商未及时关注所造成的一切后果由供应商自行承担：</w:t>
      </w:r>
    </w:p>
    <w:p>
      <w:pPr>
        <w:spacing w:line="560" w:lineRule="exact"/>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r>
        <w:rPr>
          <w:highlight w:val="none"/>
        </w:rPr>
        <w:fldChar w:fldCharType="begin"/>
      </w:r>
      <w:r>
        <w:rPr>
          <w:highlight w:val="none"/>
        </w:rPr>
        <w:instrText xml:space="preserve"> HYPERLINK "http://www.ccgp-shaanxi.gov.cn" </w:instrText>
      </w:r>
      <w:r>
        <w:rPr>
          <w:highlight w:val="none"/>
        </w:rPr>
        <w:fldChar w:fldCharType="separate"/>
      </w:r>
      <w:r>
        <w:rPr>
          <w:rStyle w:val="41"/>
          <w:rFonts w:hint="eastAsia" w:ascii="宋体" w:hAnsi="宋体" w:eastAsia="宋体" w:cs="宋体"/>
          <w:color w:val="000000" w:themeColor="text1"/>
          <w:sz w:val="28"/>
          <w:szCs w:val="28"/>
          <w:highlight w:val="none"/>
          <w:u w:val="none"/>
          <w14:textFill>
            <w14:solidFill>
              <w14:schemeClr w14:val="tx1"/>
            </w14:solidFill>
          </w14:textFill>
        </w:rPr>
        <w:t>陕西省政府采购网</w:t>
      </w:r>
      <w:r>
        <w:rPr>
          <w:rStyle w:val="41"/>
          <w:rFonts w:hint="eastAsia" w:ascii="宋体" w:hAnsi="宋体" w:eastAsia="宋体" w:cs="宋体"/>
          <w:color w:val="000000" w:themeColor="text1"/>
          <w:sz w:val="28"/>
          <w:szCs w:val="28"/>
          <w:highlight w:val="none"/>
          <w:u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t>】（</w:t>
      </w:r>
      <w:r>
        <w:rPr>
          <w:highlight w:val="none"/>
        </w:rPr>
        <w:fldChar w:fldCharType="begin"/>
      </w:r>
      <w:r>
        <w:rPr>
          <w:highlight w:val="none"/>
        </w:rPr>
        <w:instrText xml:space="preserve"> HYPERLINK "http://www.ccgp-shaanxi.gov.cn/" </w:instrText>
      </w:r>
      <w:r>
        <w:rPr>
          <w:highlight w:val="none"/>
        </w:rPr>
        <w:fldChar w:fldCharType="separate"/>
      </w:r>
      <w:r>
        <w:rPr>
          <w:rStyle w:val="41"/>
          <w:rFonts w:hint="eastAsia" w:ascii="宋体" w:hAnsi="宋体" w:eastAsia="宋体" w:cs="宋体"/>
          <w:color w:val="000000" w:themeColor="text1"/>
          <w:sz w:val="28"/>
          <w:szCs w:val="28"/>
          <w:highlight w:val="none"/>
          <w:u w:val="none"/>
          <w14:textFill>
            <w14:solidFill>
              <w14:schemeClr w14:val="tx1"/>
            </w14:solidFill>
          </w14:textFill>
        </w:rPr>
        <w:t>http://www.ccgp-shaanxi.gov.cn/</w:t>
      </w:r>
      <w:r>
        <w:rPr>
          <w:rStyle w:val="41"/>
          <w:rFonts w:hint="eastAsia" w:ascii="宋体" w:hAnsi="宋体" w:eastAsia="宋体" w:cs="宋体"/>
          <w:color w:val="000000" w:themeColor="text1"/>
          <w:sz w:val="28"/>
          <w:szCs w:val="28"/>
          <w:highlight w:val="none"/>
          <w:u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t>）中的〖首页·〉信息公告·〉市级·〉西安市〗。</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w:t>
      </w:r>
      <w:r>
        <w:rPr>
          <w:highlight w:val="none"/>
        </w:rPr>
        <w:fldChar w:fldCharType="begin"/>
      </w:r>
      <w:r>
        <w:rPr>
          <w:highlight w:val="none"/>
        </w:rPr>
        <w:instrText xml:space="preserve"> HYPERLINK "http://xa.sxggzyjy.cn/" </w:instrText>
      </w:r>
      <w:r>
        <w:rPr>
          <w:highlight w:val="none"/>
        </w:rPr>
        <w:fldChar w:fldCharType="separate"/>
      </w:r>
      <w:r>
        <w:rPr>
          <w:rStyle w:val="41"/>
          <w:rFonts w:hint="eastAsia" w:ascii="宋体" w:hAnsi="宋体" w:eastAsia="宋体" w:cs="宋体"/>
          <w:color w:val="000000" w:themeColor="text1"/>
          <w:sz w:val="28"/>
          <w:szCs w:val="28"/>
          <w:highlight w:val="none"/>
          <w:u w:val="none"/>
          <w14:textFill>
            <w14:solidFill>
              <w14:schemeClr w14:val="tx1"/>
            </w14:solidFill>
          </w14:textFill>
        </w:rPr>
        <w:t>全国公共资源交易网（陕西省·西安市）</w:t>
      </w:r>
      <w:r>
        <w:rPr>
          <w:rStyle w:val="41"/>
          <w:rFonts w:hint="eastAsia" w:ascii="宋体" w:hAnsi="宋体" w:eastAsia="宋体" w:cs="宋体"/>
          <w:color w:val="000000" w:themeColor="text1"/>
          <w:sz w:val="28"/>
          <w:szCs w:val="28"/>
          <w:highlight w:val="none"/>
          <w:u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t>】（</w:t>
      </w:r>
      <w:r>
        <w:rPr>
          <w:highlight w:val="none"/>
        </w:rPr>
        <w:fldChar w:fldCharType="begin"/>
      </w:r>
      <w:r>
        <w:rPr>
          <w:highlight w:val="none"/>
        </w:rPr>
        <w:instrText xml:space="preserve"> HYPERLINK "http://sxggzyjy.xa.gov.cn/" </w:instrText>
      </w:r>
      <w:r>
        <w:rPr>
          <w:highlight w:val="none"/>
        </w:rPr>
        <w:fldChar w:fldCharType="separate"/>
      </w:r>
      <w:r>
        <w:rPr>
          <w:rStyle w:val="41"/>
          <w:rFonts w:hint="eastAsia" w:ascii="宋体" w:hAnsi="宋体" w:eastAsia="宋体" w:cs="宋体"/>
          <w:color w:val="000000" w:themeColor="text1"/>
          <w:sz w:val="28"/>
          <w:szCs w:val="28"/>
          <w:highlight w:val="none"/>
          <w:u w:val="none"/>
          <w14:textFill>
            <w14:solidFill>
              <w14:schemeClr w14:val="tx1"/>
            </w14:solidFill>
          </w14:textFill>
        </w:rPr>
        <w:t>http://sxggzyjy.xa.gov.cn/</w:t>
      </w:r>
      <w:r>
        <w:rPr>
          <w:rStyle w:val="41"/>
          <w:rFonts w:hint="eastAsia" w:ascii="宋体" w:hAnsi="宋体" w:eastAsia="宋体" w:cs="宋体"/>
          <w:color w:val="000000" w:themeColor="text1"/>
          <w:sz w:val="28"/>
          <w:szCs w:val="28"/>
          <w:highlight w:val="none"/>
          <w:u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t>）中的〖首页·〉交易大厅·〉政府采购〗。</w:t>
      </w:r>
    </w:p>
    <w:p>
      <w:pPr>
        <w:pStyle w:val="9"/>
        <w:rPr>
          <w:rFonts w:ascii="宋体" w:hAnsi="宋体" w:eastAsia="宋体" w:cs="宋体"/>
          <w:color w:val="000000" w:themeColor="text1"/>
          <w:sz w:val="28"/>
          <w:szCs w:val="28"/>
          <w:highlight w:val="none"/>
          <w14:textFill>
            <w14:solidFill>
              <w14:schemeClr w14:val="tx1"/>
            </w14:solidFill>
          </w14:textFill>
        </w:rPr>
      </w:pPr>
      <w:bookmarkStart w:id="108" w:name="_Toc23967"/>
      <w:r>
        <w:rPr>
          <w:rFonts w:hint="eastAsia" w:ascii="宋体" w:hAnsi="宋体" w:eastAsia="宋体" w:cs="宋体"/>
          <w:color w:val="000000" w:themeColor="text1"/>
          <w:sz w:val="28"/>
          <w:szCs w:val="28"/>
          <w:highlight w:val="none"/>
          <w14:textFill>
            <w14:solidFill>
              <w14:schemeClr w14:val="tx1"/>
            </w14:solidFill>
          </w14:textFill>
        </w:rPr>
        <w:t>四、投标文件</w:t>
      </w:r>
      <w:bookmarkEnd w:id="108"/>
    </w:p>
    <w:p>
      <w:pPr>
        <w:pStyle w:val="105"/>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09" w:name="_Toc27491"/>
      <w:bookmarkStart w:id="110" w:name="_Toc26487"/>
      <w:bookmarkStart w:id="111" w:name="_Toc7988"/>
      <w:bookmarkStart w:id="112" w:name="_Toc32648"/>
      <w:r>
        <w:rPr>
          <w:rFonts w:hint="eastAsia" w:ascii="宋体" w:hAnsi="宋体" w:eastAsia="宋体" w:cs="宋体"/>
          <w:color w:val="000000" w:themeColor="text1"/>
          <w:sz w:val="28"/>
          <w:szCs w:val="28"/>
          <w:highlight w:val="none"/>
          <w14:textFill>
            <w14:solidFill>
              <w14:schemeClr w14:val="tx1"/>
            </w14:solidFill>
          </w14:textFill>
        </w:rPr>
        <w:t>（一）投标文件的式样</w:t>
      </w:r>
      <w:bookmarkEnd w:id="109"/>
      <w:bookmarkEnd w:id="110"/>
      <w:bookmarkEnd w:id="111"/>
      <w:bookmarkEnd w:id="112"/>
    </w:p>
    <w:p>
      <w:pPr>
        <w:pStyle w:val="104"/>
        <w:outlineLvl w:val="9"/>
        <w:rPr>
          <w:rFonts w:ascii="宋体" w:hAnsi="宋体" w:eastAsia="宋体" w:cs="宋体"/>
          <w:color w:val="000000" w:themeColor="text1"/>
          <w:sz w:val="28"/>
          <w:szCs w:val="28"/>
          <w:highlight w:val="none"/>
          <w14:textFill>
            <w14:solidFill>
              <w14:schemeClr w14:val="tx1"/>
            </w14:solidFill>
          </w14:textFill>
        </w:rPr>
      </w:pPr>
      <w:bookmarkStart w:id="113" w:name="_Toc4380"/>
      <w:bookmarkStart w:id="114" w:name="_Toc10324"/>
      <w:bookmarkStart w:id="115" w:name="_Toc7870"/>
      <w:r>
        <w:rPr>
          <w:rFonts w:hint="eastAsia" w:ascii="宋体" w:hAnsi="宋体" w:eastAsia="宋体" w:cs="宋体"/>
          <w:color w:val="000000" w:themeColor="text1"/>
          <w:sz w:val="28"/>
          <w:szCs w:val="28"/>
          <w:highlight w:val="none"/>
          <w14:textFill>
            <w14:solidFill>
              <w14:schemeClr w14:val="tx1"/>
            </w14:solidFill>
          </w14:textFill>
        </w:rPr>
        <w:t>1．组成及格式</w:t>
      </w:r>
      <w:bookmarkEnd w:id="113"/>
      <w:bookmarkEnd w:id="114"/>
      <w:bookmarkEnd w:id="115"/>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供应商依照招标文件第五章《投标文件构成及格式》给定形式进行编制投标文件。</w:t>
      </w:r>
    </w:p>
    <w:p>
      <w:pPr>
        <w:pStyle w:val="104"/>
        <w:outlineLvl w:val="9"/>
        <w:rPr>
          <w:rFonts w:ascii="宋体" w:hAnsi="宋体" w:eastAsia="宋体" w:cs="宋体"/>
          <w:color w:val="000000" w:themeColor="text1"/>
          <w:sz w:val="28"/>
          <w:szCs w:val="28"/>
          <w:highlight w:val="none"/>
          <w14:textFill>
            <w14:solidFill>
              <w14:schemeClr w14:val="tx1"/>
            </w14:solidFill>
          </w14:textFill>
        </w:rPr>
      </w:pPr>
      <w:bookmarkStart w:id="116" w:name="_Toc6421"/>
      <w:bookmarkStart w:id="117" w:name="_Toc7406"/>
      <w:bookmarkStart w:id="118" w:name="_Toc2969"/>
      <w:r>
        <w:rPr>
          <w:rFonts w:hint="eastAsia" w:ascii="宋体" w:hAnsi="宋体" w:eastAsia="宋体" w:cs="宋体"/>
          <w:color w:val="000000" w:themeColor="text1"/>
          <w:sz w:val="28"/>
          <w:szCs w:val="28"/>
          <w:highlight w:val="none"/>
          <w14:textFill>
            <w14:solidFill>
              <w14:schemeClr w14:val="tx1"/>
            </w14:solidFill>
          </w14:textFill>
        </w:rPr>
        <w:t>2．语言</w:t>
      </w:r>
      <w:bookmarkEnd w:id="116"/>
      <w:bookmarkEnd w:id="117"/>
      <w:bookmarkEnd w:id="118"/>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招标活动的所有文件、资料、函电文字均使用简体中文，确需提交用其他语言形成的资料，必须翻译成简体中文，如有差异，以简体中文为准。</w:t>
      </w:r>
    </w:p>
    <w:p>
      <w:pPr>
        <w:pStyle w:val="104"/>
        <w:outlineLvl w:val="9"/>
        <w:rPr>
          <w:rFonts w:ascii="宋体" w:hAnsi="宋体" w:eastAsia="宋体" w:cs="宋体"/>
          <w:color w:val="000000" w:themeColor="text1"/>
          <w:sz w:val="28"/>
          <w:szCs w:val="28"/>
          <w:highlight w:val="none"/>
          <w14:textFill>
            <w14:solidFill>
              <w14:schemeClr w14:val="tx1"/>
            </w14:solidFill>
          </w14:textFill>
        </w:rPr>
      </w:pPr>
      <w:bookmarkStart w:id="119" w:name="_Toc5789"/>
      <w:bookmarkStart w:id="120" w:name="_Toc3202"/>
      <w:bookmarkStart w:id="121" w:name="_Toc9006"/>
      <w:r>
        <w:rPr>
          <w:rFonts w:hint="eastAsia" w:ascii="宋体" w:hAnsi="宋体" w:eastAsia="宋体" w:cs="宋体"/>
          <w:color w:val="000000" w:themeColor="text1"/>
          <w:sz w:val="28"/>
          <w:szCs w:val="28"/>
          <w:highlight w:val="none"/>
          <w14:textFill>
            <w14:solidFill>
              <w14:schemeClr w14:val="tx1"/>
            </w14:solidFill>
          </w14:textFill>
        </w:rPr>
        <w:t>3．计量单位</w:t>
      </w:r>
      <w:bookmarkEnd w:id="119"/>
      <w:bookmarkEnd w:id="120"/>
      <w:bookmarkEnd w:id="121"/>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投标文件的计量单位应使用中华人民共和国法定计量单位，但招标文件另有规定的除外。</w:t>
      </w:r>
    </w:p>
    <w:p>
      <w:pPr>
        <w:pStyle w:val="105"/>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22" w:name="_Toc32395"/>
      <w:bookmarkStart w:id="123" w:name="_Toc13964"/>
      <w:bookmarkStart w:id="124" w:name="_Toc19653"/>
      <w:bookmarkStart w:id="125" w:name="_Toc29110"/>
      <w:r>
        <w:rPr>
          <w:rFonts w:hint="eastAsia" w:ascii="宋体" w:hAnsi="宋体" w:eastAsia="宋体" w:cs="宋体"/>
          <w:color w:val="000000" w:themeColor="text1"/>
          <w:sz w:val="28"/>
          <w:szCs w:val="28"/>
          <w:highlight w:val="none"/>
          <w14:textFill>
            <w14:solidFill>
              <w14:schemeClr w14:val="tx1"/>
            </w14:solidFill>
          </w14:textFill>
        </w:rPr>
        <w:t>（二）投标文件的有效期</w:t>
      </w:r>
      <w:bookmarkEnd w:id="122"/>
      <w:bookmarkEnd w:id="123"/>
      <w:bookmarkEnd w:id="124"/>
      <w:bookmarkEnd w:id="125"/>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投标文件有效期为自开标之日起不少于90个日历日。如中标，延长至合同执行完毕时止。</w:t>
      </w:r>
    </w:p>
    <w:p>
      <w:pPr>
        <w:pStyle w:val="105"/>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26" w:name="_Toc24036"/>
      <w:bookmarkStart w:id="127" w:name="_Toc10386"/>
      <w:bookmarkStart w:id="128" w:name="_Toc931"/>
      <w:bookmarkStart w:id="129" w:name="_Toc24676"/>
      <w:r>
        <w:rPr>
          <w:rFonts w:hint="eastAsia" w:ascii="宋体" w:hAnsi="宋体" w:eastAsia="宋体" w:cs="宋体"/>
          <w:color w:val="000000" w:themeColor="text1"/>
          <w:sz w:val="28"/>
          <w:szCs w:val="28"/>
          <w:highlight w:val="none"/>
          <w14:textFill>
            <w14:solidFill>
              <w14:schemeClr w14:val="tx1"/>
            </w14:solidFill>
          </w14:textFill>
        </w:rPr>
        <w:t>（三）投标报价</w:t>
      </w:r>
      <w:bookmarkEnd w:id="126"/>
      <w:bookmarkEnd w:id="127"/>
      <w:bookmarkEnd w:id="128"/>
      <w:bookmarkEnd w:id="129"/>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投标报价是供应商响应采购项目要求的全部工作内容的价格体现，包括完成采购内容所需的运输费、人工费、材料费、机械费、利润、税金及评审过程中其它相关的一切费用。</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1．供应商在报价时应充分考虑所有可能发生的费用，招标文件未列明，而供应商认为应当计取的费用均应列入报价中。报价时不论是否计取，采购人均按已计取对待。</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2．供应商应严格按照《投标文件构成及格式》第二部分《开标一览表》中的相关要求填写分类报价及其他需要响应的内容。投标报价只能提交唯一报价，任何有选择的报价将不予接受，按无效投标处理。</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3．投标报价货币：人民币。单位：元。</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4．投标文件报价出现前后不一致的，除招标文件另有规定外，按照下列规则修正：</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（1）投标文件中开标一览表内容与投标文件中其他位置相应内容表述不一致的，以开标一览表为准。</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（2）大写金额和小写金额不一致的，以大写金额为准。</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（3）单价金额小数点或者百分比有明显错位的，以开标一览表的总价为准，并修改单价。</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（4）总价金额与按单价汇总金额不一致的，以单价金额计算结果为准。</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同时出现两种以上不一致的，按照前款规定的顺序修正。修正后的报价经供应商确认后产生约束力，供应商不确认的，其投标无效。</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5．因供应商对招标文件理解不透、误解、疏漏或对市场行情了解不清造成的后果和风险，均由供应商自己负责。</w:t>
      </w:r>
    </w:p>
    <w:p>
      <w:pPr>
        <w:pStyle w:val="105"/>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30" w:name="_Toc19004"/>
      <w:bookmarkStart w:id="131" w:name="_Toc20169"/>
      <w:bookmarkStart w:id="132" w:name="_Toc29068"/>
      <w:bookmarkStart w:id="133" w:name="_Toc3121"/>
      <w:r>
        <w:rPr>
          <w:rFonts w:hint="eastAsia" w:ascii="宋体" w:hAnsi="宋体" w:eastAsia="宋体" w:cs="宋体"/>
          <w:color w:val="000000" w:themeColor="text1"/>
          <w:sz w:val="28"/>
          <w:szCs w:val="28"/>
          <w:highlight w:val="none"/>
          <w14:textFill>
            <w14:solidFill>
              <w14:schemeClr w14:val="tx1"/>
            </w14:solidFill>
          </w14:textFill>
        </w:rPr>
        <w:t>（四）投标文件的制作和签章</w:t>
      </w:r>
      <w:bookmarkEnd w:id="130"/>
      <w:bookmarkEnd w:id="131"/>
      <w:bookmarkEnd w:id="132"/>
      <w:bookmarkEnd w:id="133"/>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链接地址：</w:t>
      </w:r>
    </w:p>
    <w:p>
      <w:pPr>
        <w:spacing w:line="560" w:lineRule="exact"/>
        <w:ind w:firstLine="480" w:firstLineChars="200"/>
        <w:jc w:val="both"/>
        <w:rPr>
          <w:rFonts w:ascii="宋体" w:hAnsi="宋体" w:eastAsia="宋体" w:cs="宋体"/>
          <w:color w:val="000000" w:themeColor="text1"/>
          <w:sz w:val="28"/>
          <w:szCs w:val="28"/>
          <w:highlight w:val="none"/>
          <w14:textFill>
            <w14:solidFill>
              <w14:schemeClr w14:val="tx1"/>
            </w14:solidFill>
          </w14:textFill>
        </w:rPr>
      </w:pPr>
      <w:r>
        <w:rPr>
          <w:highlight w:val="none"/>
        </w:rPr>
        <w:fldChar w:fldCharType="begin"/>
      </w:r>
      <w:r>
        <w:rPr>
          <w:highlight w:val="none"/>
        </w:rPr>
        <w:instrText xml:space="preserve"> HYPERLINK "http://sxggzyjy.xa.gov.cn/fwzn/004003/20181115/4d59c184-e8f6-4d5a-a416-c2f6b0601e66.html" </w:instrText>
      </w:r>
      <w:r>
        <w:rPr>
          <w:highlight w:val="none"/>
        </w:rPr>
        <w:fldChar w:fldCharType="separate"/>
      </w:r>
      <w:r>
        <w:rPr>
          <w:rStyle w:val="41"/>
          <w:rFonts w:hint="eastAsia" w:ascii="宋体" w:hAnsi="宋体" w:eastAsia="宋体" w:cs="宋体"/>
          <w:color w:val="000000" w:themeColor="text1"/>
          <w:sz w:val="28"/>
          <w:szCs w:val="28"/>
          <w:highlight w:val="none"/>
          <w14:textFill>
            <w14:solidFill>
              <w14:schemeClr w14:val="tx1"/>
            </w14:solidFill>
          </w14:textFill>
        </w:rPr>
        <w:t>http://sxggzyjy.xa.gov.cn/fwzn/004003/20181115/4d59c184-e8f6-4d5a-a416-c2f6b0601e66.html</w:t>
      </w:r>
      <w:r>
        <w:rPr>
          <w:rStyle w:val="41"/>
          <w:rFonts w:hint="eastAsia" w:ascii="宋体" w:hAnsi="宋体" w:eastAsia="宋体" w:cs="宋体"/>
          <w:color w:val="000000" w:themeColor="text1"/>
          <w:sz w:val="28"/>
          <w:szCs w:val="28"/>
          <w:highlight w:val="none"/>
          <w14:textFill>
            <w14:solidFill>
              <w14:schemeClr w14:val="tx1"/>
            </w14:solidFill>
          </w14:textFill>
        </w:rPr>
        <w:fldChar w:fldCharType="end"/>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再次提醒：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版电子招标文件制作的电子投标文件（*.SXSTF），系统将拒绝接收。</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3．电子投标文件制作过程中，需要法定代表人签字或盖章的地方，请使用“法人CA锁”进行签章。需要加盖供应商公章的地方，请使用“企业CA锁”进行签章。</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若导出的PDF文件里看不到签章，请尝试使用专用制作软件中的“查看投标文件工具”打开未加密的电子投标文件重新导出。在制作过程中，如有其他技术性问题，请先翻阅操作手册，或致电软件开发商。</w:t>
      </w:r>
    </w:p>
    <w:p>
      <w:pPr>
        <w:pStyle w:val="105"/>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34" w:name="_Toc16688"/>
      <w:bookmarkStart w:id="135" w:name="_Toc809"/>
      <w:bookmarkStart w:id="136" w:name="_Toc19771"/>
      <w:bookmarkStart w:id="137" w:name="_Toc3908"/>
      <w:r>
        <w:rPr>
          <w:rFonts w:hint="eastAsia" w:ascii="宋体" w:hAnsi="宋体" w:eastAsia="宋体" w:cs="宋体"/>
          <w:color w:val="000000" w:themeColor="text1"/>
          <w:sz w:val="28"/>
          <w:szCs w:val="28"/>
          <w:highlight w:val="none"/>
          <w14:textFill>
            <w14:solidFill>
              <w14:schemeClr w14:val="tx1"/>
            </w14:solidFill>
          </w14:textFill>
        </w:rPr>
        <w:t>（五）投标文件的加密和提交</w:t>
      </w:r>
      <w:bookmarkEnd w:id="134"/>
      <w:bookmarkEnd w:id="135"/>
      <w:bookmarkEnd w:id="136"/>
      <w:bookmarkEnd w:id="137"/>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1．在生成电子投标文件时，需要使用CA锁对投标文件进行加密。</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注意：加密投标文件和开标时解密投标文件应当使用同一CA，否则将会导致解密失败。</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电子投标文件可于提交投标文件截止时间前任意时段，登录西安市公共资源交易平台〖首页·〉电子交易平台·〉企业端〗，登录后切换到〖我的项目〗模块下，依次点选〖项目流程·〉项目管理·〉上传响应文件〗，上传加密后的电子投标文件（*.SXSTF）。上传成功后，西安市公共资源交易平台政府采购系统将予以记录。</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3．上传文件有误或需要重新提交的，可先撤销已经上传的文件，然后重新上传新文件。</w:t>
      </w:r>
    </w:p>
    <w:p>
      <w:pPr>
        <w:pStyle w:val="105"/>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38" w:name="_Toc9823"/>
      <w:bookmarkStart w:id="139" w:name="_Toc15229"/>
      <w:bookmarkStart w:id="140" w:name="_Toc1286"/>
      <w:bookmarkStart w:id="141" w:name="_Toc10498"/>
      <w:r>
        <w:rPr>
          <w:rFonts w:hint="eastAsia" w:ascii="宋体" w:hAnsi="宋体" w:eastAsia="宋体" w:cs="宋体"/>
          <w:color w:val="000000" w:themeColor="text1"/>
          <w:sz w:val="28"/>
          <w:szCs w:val="28"/>
          <w:highlight w:val="none"/>
          <w14:textFill>
            <w14:solidFill>
              <w14:schemeClr w14:val="tx1"/>
            </w14:solidFill>
          </w14:textFill>
        </w:rPr>
        <w:t>（六）投标文件的补充、修改和撤回</w:t>
      </w:r>
      <w:bookmarkEnd w:id="138"/>
      <w:bookmarkEnd w:id="139"/>
      <w:bookmarkEnd w:id="140"/>
      <w:bookmarkEnd w:id="141"/>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2．供应商在提交投标文件截止时间后，撤回投标文件的，投标保证金不予退还。</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对已提交的电子投标文件进行补充、修改的，应先从电子交易平台上撤回旧文件，再重新提交新文件。中标后提交的纸质文件（备案用）应从专用制作软件中直接打印，与电子投标文件保持一致，不允许补充和修改。</w:t>
      </w:r>
    </w:p>
    <w:p>
      <w:pPr>
        <w:pStyle w:val="105"/>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42" w:name="_Toc18903"/>
      <w:bookmarkStart w:id="143" w:name="_Toc23655"/>
      <w:bookmarkStart w:id="144" w:name="_Toc9753"/>
      <w:bookmarkStart w:id="145" w:name="_Toc8326"/>
      <w:r>
        <w:rPr>
          <w:rFonts w:hint="eastAsia" w:ascii="宋体" w:hAnsi="宋体" w:eastAsia="宋体" w:cs="宋体"/>
          <w:color w:val="000000" w:themeColor="text1"/>
          <w:sz w:val="28"/>
          <w:szCs w:val="28"/>
          <w:highlight w:val="none"/>
          <w14:textFill>
            <w14:solidFill>
              <w14:schemeClr w14:val="tx1"/>
            </w14:solidFill>
          </w14:textFill>
        </w:rPr>
        <w:t>（七）关于投标文件的雷同性分析</w:t>
      </w:r>
      <w:bookmarkEnd w:id="142"/>
      <w:bookmarkEnd w:id="143"/>
      <w:bookmarkEnd w:id="144"/>
      <w:bookmarkEnd w:id="145"/>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根据陕西省公共资源交易中心2021年7月22日印发的《关于在政府采购交易系统中开通标书雷同性分析功能的通知》，在符合性审查环节，将由评标委员会在评标系统中对供应商的电子投标文件进行雷同性分析。</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若“文件创建标识码”一致，则表示不同投标供应商使用投标文件制作软件时，使用同一源工程文件，该情形建议由评标委员会结合项目情况综合判定。</w:t>
      </w:r>
    </w:p>
    <w:p>
      <w:pPr>
        <w:pStyle w:val="105"/>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46" w:name="_Toc9954"/>
      <w:bookmarkStart w:id="147" w:name="_Toc22062"/>
      <w:bookmarkStart w:id="148" w:name="_Toc32375"/>
      <w:bookmarkStart w:id="149" w:name="_Toc26136"/>
      <w:r>
        <w:rPr>
          <w:rFonts w:hint="eastAsia" w:ascii="宋体" w:hAnsi="宋体" w:eastAsia="宋体" w:cs="宋体"/>
          <w:color w:val="000000" w:themeColor="text1"/>
          <w:sz w:val="28"/>
          <w:szCs w:val="28"/>
          <w:highlight w:val="none"/>
          <w14:textFill>
            <w14:solidFill>
              <w14:schemeClr w14:val="tx1"/>
            </w14:solidFill>
          </w14:textFill>
        </w:rPr>
        <w:t>（八）投标文件被拒绝接收的情形</w:t>
      </w:r>
      <w:bookmarkEnd w:id="146"/>
      <w:bookmarkEnd w:id="147"/>
      <w:bookmarkEnd w:id="148"/>
      <w:bookmarkEnd w:id="149"/>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1．误投的或采用旧版电子招标文件制作的。</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2．逾期提交电子投标文件的。</w:t>
      </w:r>
    </w:p>
    <w:p>
      <w:pPr>
        <w:pStyle w:val="9"/>
        <w:rPr>
          <w:rFonts w:ascii="宋体" w:hAnsi="宋体" w:eastAsia="宋体" w:cs="宋体"/>
          <w:color w:val="000000" w:themeColor="text1"/>
          <w:sz w:val="28"/>
          <w:szCs w:val="28"/>
          <w:highlight w:val="none"/>
          <w14:textFill>
            <w14:solidFill>
              <w14:schemeClr w14:val="tx1"/>
            </w14:solidFill>
          </w14:textFill>
        </w:rPr>
      </w:pPr>
      <w:bookmarkStart w:id="150" w:name="_Toc27231"/>
      <w:r>
        <w:rPr>
          <w:rFonts w:hint="eastAsia" w:ascii="宋体" w:hAnsi="宋体" w:eastAsia="宋体" w:cs="宋体"/>
          <w:color w:val="000000" w:themeColor="text1"/>
          <w:sz w:val="28"/>
          <w:szCs w:val="28"/>
          <w:highlight w:val="none"/>
          <w14:textFill>
            <w14:solidFill>
              <w14:schemeClr w14:val="tx1"/>
            </w14:solidFill>
          </w14:textFill>
        </w:rPr>
        <w:t>五、开标程序</w:t>
      </w:r>
      <w:bookmarkEnd w:id="150"/>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开标工作由采购代理机构组织实施，整个过程受同级政府采购监管机构的监督、管理。</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“不见面开标”是依托政府采购云平台实现的供应商在线参与开标的一种组织形式。供应商无需抵达开标现场，即可在线实现开标、解密、澄清等操作。</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1．供应商登录：开标前，请各供应商至少提前半小时登录西安市公共资源交易平台〖首页·〉不见面开标〗系统。</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2．主持人宣布开标：提交投标文件截止时间过后，系统将不再接收任何投标文件。</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解密投标文件：供应商在收到主持人“开始解密”指令后，应使用“加密该投标文件的CA锁（必须是同一把锁）”在线完成投标文件解密。除因【西安市公共资源交易中心】断电、断网、系统故障及其他不可抗力等因素，导致“不见面开标”系统无法正常运行外，供应商应在规定的解密时间内完成解密。</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4．唱标：对于公开招标项目，“不见面开标”系统将自动展示供应商名单及其投标报价。</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5．开标结束：进入评审环节。供应商请保持在线，评审期间评标委员会可能会要求供应商做相应的澄清。因供应商擅自离席造成的不利后果，由供应商自行承担。</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“不见面开标”系统操作说明：详见西安市公共资源交易平台〖首页·〉服务指南·〉下载专区〗中的《西安公共资源交易不见面开标大厅供应商操作手册》。</w:t>
      </w:r>
    </w:p>
    <w:p>
      <w:pPr>
        <w:spacing w:line="560" w:lineRule="exact"/>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链接地址：</w:t>
      </w:r>
      <w:r>
        <w:rPr>
          <w:highlight w:val="none"/>
        </w:rPr>
        <w:fldChar w:fldCharType="begin"/>
      </w:r>
      <w:r>
        <w:rPr>
          <w:highlight w:val="none"/>
        </w:rPr>
        <w:instrText xml:space="preserve"> HYPERLINK "http://sxggzyjy.xa.gov.cn/fwzn/004003/20200426/bc8b2c1e-abe2-4168-913c-68ff93345faf.html" </w:instrText>
      </w:r>
      <w:r>
        <w:rPr>
          <w:highlight w:val="none"/>
        </w:rPr>
        <w:fldChar w:fldCharType="separate"/>
      </w:r>
      <w:r>
        <w:rPr>
          <w:rStyle w:val="41"/>
          <w:rFonts w:hint="eastAsia" w:ascii="宋体" w:hAnsi="宋体" w:eastAsia="宋体" w:cs="宋体"/>
          <w:color w:val="000000" w:themeColor="text1"/>
          <w:sz w:val="28"/>
          <w:szCs w:val="28"/>
          <w:highlight w:val="none"/>
          <w:u w:val="none"/>
          <w14:textFill>
            <w14:solidFill>
              <w14:schemeClr w14:val="tx1"/>
            </w14:solidFill>
          </w14:textFill>
        </w:rPr>
        <w:t>http://sxggzyjy.xa.gov.cn/fwzn/004003/20200426/bc8b2c1e-abe2-4168-913c-68ff93345faf.html</w:t>
      </w:r>
      <w:r>
        <w:rPr>
          <w:rStyle w:val="41"/>
          <w:rFonts w:hint="eastAsia" w:ascii="宋体" w:hAnsi="宋体" w:eastAsia="宋体" w:cs="宋体"/>
          <w:color w:val="000000" w:themeColor="text1"/>
          <w:sz w:val="28"/>
          <w:szCs w:val="28"/>
          <w:highlight w:val="none"/>
          <w:u w:val="none"/>
          <w14:textFill>
            <w14:solidFill>
              <w14:schemeClr w14:val="tx1"/>
            </w14:solidFill>
          </w14:textFill>
        </w:rPr>
        <w:fldChar w:fldCharType="end"/>
      </w:r>
    </w:p>
    <w:p>
      <w:pPr>
        <w:pStyle w:val="105"/>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51" w:name="_Toc7605"/>
      <w:bookmarkStart w:id="152" w:name="_Toc9214"/>
      <w:bookmarkStart w:id="153" w:name="_Toc10446"/>
      <w:bookmarkStart w:id="154" w:name="_Toc12424"/>
      <w:r>
        <w:rPr>
          <w:rFonts w:hint="eastAsia" w:ascii="宋体" w:hAnsi="宋体" w:eastAsia="宋体" w:cs="宋体"/>
          <w:color w:val="000000" w:themeColor="text1"/>
          <w:sz w:val="28"/>
          <w:szCs w:val="28"/>
          <w:highlight w:val="none"/>
          <w14:textFill>
            <w14:solidFill>
              <w14:schemeClr w14:val="tx1"/>
            </w14:solidFill>
          </w14:textFill>
        </w:rPr>
        <w:t>（一）开标环节投标文件视为无效的情形</w:t>
      </w:r>
      <w:bookmarkEnd w:id="151"/>
      <w:bookmarkEnd w:id="152"/>
      <w:bookmarkEnd w:id="153"/>
      <w:bookmarkEnd w:id="154"/>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1．供应商放弃或拒绝对电子投标文件进行解密的。</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2．因供应商自身原因，导致未在规定的解密时限内完整解密的，如忘带CA锁、或携带的CA锁与加密文件的CA锁不同、或使用旧版招标文件编制投标文件等情形。</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3．上传的电子投标文件无法正常打开的。</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4．政府采购法律法规规定的其他无效情形。</w:t>
      </w:r>
    </w:p>
    <w:p>
      <w:pPr>
        <w:pStyle w:val="105"/>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55" w:name="_Toc10968"/>
      <w:bookmarkStart w:id="156" w:name="_Toc25819"/>
      <w:bookmarkStart w:id="157" w:name="_Toc21249"/>
      <w:bookmarkStart w:id="158" w:name="_Toc4986"/>
      <w:r>
        <w:rPr>
          <w:rFonts w:hint="eastAsia" w:ascii="宋体" w:hAnsi="宋体" w:eastAsia="宋体" w:cs="宋体"/>
          <w:color w:val="000000" w:themeColor="text1"/>
          <w:sz w:val="28"/>
          <w:szCs w:val="28"/>
          <w:highlight w:val="none"/>
          <w14:textFill>
            <w14:solidFill>
              <w14:schemeClr w14:val="tx1"/>
            </w14:solidFill>
          </w14:textFill>
        </w:rPr>
        <w:t>（二）突发状况的应急处置</w:t>
      </w:r>
      <w:bookmarkEnd w:id="155"/>
      <w:bookmarkEnd w:id="156"/>
      <w:bookmarkEnd w:id="157"/>
      <w:bookmarkEnd w:id="158"/>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在开评标过程中，如因停电、断网、电子化系统故障等特殊原因导致电子化开、评标工作无法正常进行时，采购代理机构将及时汇报政府采购监管部门，并等待或中止后续活动。</w:t>
      </w:r>
    </w:p>
    <w:p>
      <w:pPr>
        <w:pStyle w:val="9"/>
        <w:rPr>
          <w:rFonts w:ascii="宋体" w:hAnsi="宋体" w:eastAsia="宋体" w:cs="宋体"/>
          <w:color w:val="000000" w:themeColor="text1"/>
          <w:sz w:val="28"/>
          <w:szCs w:val="28"/>
          <w:highlight w:val="none"/>
          <w14:textFill>
            <w14:solidFill>
              <w14:schemeClr w14:val="tx1"/>
            </w14:solidFill>
          </w14:textFill>
        </w:rPr>
      </w:pPr>
      <w:bookmarkStart w:id="159" w:name="_Toc13104"/>
      <w:r>
        <w:rPr>
          <w:rFonts w:hint="eastAsia" w:ascii="宋体" w:hAnsi="宋体" w:eastAsia="宋体" w:cs="宋体"/>
          <w:color w:val="000000" w:themeColor="text1"/>
          <w:sz w:val="28"/>
          <w:szCs w:val="28"/>
          <w:highlight w:val="none"/>
          <w14:textFill>
            <w14:solidFill>
              <w14:schemeClr w14:val="tx1"/>
            </w14:solidFill>
          </w14:textFill>
        </w:rPr>
        <w:t>六、资格审查</w:t>
      </w:r>
      <w:bookmarkEnd w:id="159"/>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开标结束后，依据法律法规和招标文件的规定，对投标文件中的资格证明文件等进行审查，以确保供应商是否具备相应资格。</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供应商提供的资格证明文件缺少任何一项或有任何一项不满足，都将被视为无效投标。供应商所提供的资格证明文件应图文清晰、易于辨识，否则由此带来的不利后果由供应商自行承担。</w:t>
      </w:r>
    </w:p>
    <w:p>
      <w:pPr>
        <w:spacing w:line="560" w:lineRule="exact"/>
        <w:ind w:firstLine="560" w:firstLineChars="200"/>
        <w:jc w:val="both"/>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合格供应商不足3家的，不得评标。</w:t>
      </w:r>
    </w:p>
    <w:p>
      <w:pPr>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br w:type="page"/>
      </w:r>
    </w:p>
    <w:p>
      <w:pPr>
        <w:spacing w:line="560" w:lineRule="exact"/>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〖资格性审查表〗</w:t>
      </w:r>
    </w:p>
    <w:tbl>
      <w:tblPr>
        <w:tblStyle w:val="34"/>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36"/>
        <w:gridCol w:w="1940"/>
        <w:gridCol w:w="609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98" w:hRule="atLeast"/>
          <w:jc w:val="center"/>
        </w:trPr>
        <w:tc>
          <w:tcPr>
            <w:tcW w:w="836"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序号</w:t>
            </w:r>
          </w:p>
        </w:tc>
        <w:tc>
          <w:tcPr>
            <w:tcW w:w="1940"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资格项</w:t>
            </w:r>
          </w:p>
        </w:tc>
        <w:tc>
          <w:tcPr>
            <w:tcW w:w="6092"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42" w:hRule="atLeast"/>
          <w:jc w:val="center"/>
        </w:trPr>
        <w:tc>
          <w:tcPr>
            <w:tcW w:w="836" w:type="dxa"/>
            <w:tcBorders>
              <w:top w:val="single" w:color="auto" w:sz="2" w:space="0"/>
            </w:tcBorders>
            <w:shd w:val="clear" w:color="auto" w:fill="auto"/>
            <w:vAlign w:val="center"/>
          </w:tcPr>
          <w:p>
            <w:pPr>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一</w:t>
            </w:r>
          </w:p>
        </w:tc>
        <w:tc>
          <w:tcPr>
            <w:tcW w:w="8032" w:type="dxa"/>
            <w:gridSpan w:val="2"/>
            <w:tcBorders>
              <w:top w:val="single" w:color="auto" w:sz="2" w:space="0"/>
            </w:tcBorders>
            <w:shd w:val="clear" w:color="auto" w:fill="auto"/>
            <w:vAlign w:val="center"/>
          </w:tcPr>
          <w:p>
            <w:pPr>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基本资格条件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597" w:hRule="atLeast"/>
          <w:jc w:val="center"/>
        </w:trPr>
        <w:tc>
          <w:tcPr>
            <w:tcW w:w="836" w:type="dxa"/>
            <w:vAlign w:val="center"/>
          </w:tcPr>
          <w:p>
            <w:pPr>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1940" w:type="dxa"/>
            <w:vAlign w:val="center"/>
          </w:tcPr>
          <w:p>
            <w:pPr>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有效的主体资格证明</w:t>
            </w:r>
          </w:p>
        </w:tc>
        <w:tc>
          <w:tcPr>
            <w:tcW w:w="6092" w:type="dxa"/>
            <w:vAlign w:val="center"/>
          </w:tcPr>
          <w:p>
            <w:pPr>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具有独立承担民事责任能力的法人、其他组织或自然人并出具合法有效的营业执照或事业单位法人证书等国家规定的相关证明，自然人参与的提供其身份证明；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054" w:hRule="atLeast"/>
          <w:jc w:val="center"/>
        </w:trPr>
        <w:tc>
          <w:tcPr>
            <w:tcW w:w="836" w:type="dxa"/>
            <w:vAlign w:val="center"/>
          </w:tcPr>
          <w:p>
            <w:pPr>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w:t>
            </w:r>
          </w:p>
        </w:tc>
        <w:tc>
          <w:tcPr>
            <w:tcW w:w="1940" w:type="dxa"/>
            <w:vAlign w:val="center"/>
          </w:tcPr>
          <w:p>
            <w:pPr>
              <w:jc w:val="center"/>
              <w:rPr>
                <w:rFonts w:hint="default" w:ascii="宋体" w:hAnsi="宋体" w:eastAsia="宋体" w:cs="宋体"/>
                <w:color w:val="000000" w:themeColor="text1"/>
                <w:sz w:val="28"/>
                <w:szCs w:val="28"/>
                <w:highlight w:val="none"/>
                <w:lang w:val="en-US" w:eastAsia="zh-CN" w:bidi="ar-SA"/>
                <w14:textFill>
                  <w14:solidFill>
                    <w14:schemeClr w14:val="tx1"/>
                  </w14:solidFill>
                </w14:textFill>
              </w:rPr>
            </w:pPr>
            <w:r>
              <w:rPr>
                <w:rFonts w:hint="default" w:ascii="宋体" w:hAnsi="宋体" w:eastAsia="宋体" w:cs="宋体"/>
                <w:color w:val="000000" w:themeColor="text1"/>
                <w:sz w:val="28"/>
                <w:szCs w:val="28"/>
                <w:highlight w:val="none"/>
                <w:lang w:val="en-US" w:eastAsia="zh-CN" w:bidi="ar-SA"/>
                <w14:textFill>
                  <w14:solidFill>
                    <w14:schemeClr w14:val="tx1"/>
                  </w14:solidFill>
                </w14:textFill>
              </w:rPr>
              <w:t>财务状况报告</w:t>
            </w:r>
          </w:p>
        </w:tc>
        <w:tc>
          <w:tcPr>
            <w:tcW w:w="6092" w:type="dxa"/>
            <w:vAlign w:val="center"/>
          </w:tcPr>
          <w:p>
            <w:pPr>
              <w:jc w:val="both"/>
              <w:rPr>
                <w:rFonts w:hint="eastAsia" w:ascii="宋体" w:hAnsi="宋体" w:eastAsia="宋体" w:cs="宋体"/>
                <w:color w:val="000000" w:themeColor="text1"/>
                <w:sz w:val="28"/>
                <w:szCs w:val="28"/>
                <w:highlight w:val="none"/>
                <w:lang w:val="en-US" w:eastAsia="zh-CN" w:bidi="ar-SA"/>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提供202</w:t>
            </w:r>
            <w:r>
              <w:rPr>
                <w:rFonts w:hint="eastAsia" w:ascii="宋体" w:hAnsi="宋体" w:eastAsia="宋体" w:cs="宋体"/>
                <w:color w:val="000000" w:themeColor="text1"/>
                <w:sz w:val="28"/>
                <w:szCs w:val="28"/>
                <w:highlight w:val="none"/>
                <w:lang w:val="en-US" w:eastAsia="zh-CN"/>
                <w14:textFill>
                  <w14:solidFill>
                    <w14:schemeClr w14:val="tx1"/>
                  </w14:solidFill>
                </w14:textFill>
              </w:rPr>
              <w:t>1</w:t>
            </w:r>
            <w:r>
              <w:rPr>
                <w:rFonts w:hint="eastAsia" w:ascii="宋体" w:hAnsi="宋体" w:eastAsia="宋体" w:cs="宋体"/>
                <w:color w:val="000000" w:themeColor="text1"/>
                <w:sz w:val="28"/>
                <w:szCs w:val="28"/>
                <w:highlight w:val="none"/>
                <w14:textFill>
                  <w14:solidFill>
                    <w14:schemeClr w14:val="tx1"/>
                  </w14:solidFill>
                </w14:textFill>
              </w:rPr>
              <w:t>或2022年的财务审计报告（成立时间至提交响应文件截止时间不足一年的可提供成立后任意时段的资产负债表）或其基本存款账户开户银行出具的资信证明及基本存款账户开户许可证（基本账户存款信息）；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90" w:hRule="atLeast"/>
          <w:jc w:val="center"/>
        </w:trPr>
        <w:tc>
          <w:tcPr>
            <w:tcW w:w="836" w:type="dxa"/>
            <w:vAlign w:val="center"/>
          </w:tcPr>
          <w:p>
            <w:pPr>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w:t>
            </w:r>
          </w:p>
        </w:tc>
        <w:tc>
          <w:tcPr>
            <w:tcW w:w="1940" w:type="dxa"/>
            <w:vAlign w:val="center"/>
          </w:tcPr>
          <w:p>
            <w:pPr>
              <w:jc w:val="center"/>
              <w:rPr>
                <w:rFonts w:ascii="宋体" w:hAnsi="宋体" w:eastAsia="宋体" w:cs="宋体"/>
                <w:color w:val="000000" w:themeColor="text1"/>
                <w:sz w:val="28"/>
                <w:szCs w:val="28"/>
                <w:highlight w:val="none"/>
                <w:lang w:val="en-US" w:eastAsia="zh-CN" w:bidi="ar-SA"/>
                <w14:textFill>
                  <w14:solidFill>
                    <w14:schemeClr w14:val="tx1"/>
                  </w14:solidFill>
                </w14:textFill>
              </w:rPr>
            </w:pPr>
            <w:r>
              <w:rPr>
                <w:rFonts w:hint="eastAsia" w:ascii="宋体" w:hAnsi="宋体" w:eastAsia="宋体" w:cs="宋体"/>
                <w:color w:val="000000" w:themeColor="text1"/>
                <w:sz w:val="28"/>
                <w:szCs w:val="28"/>
                <w:highlight w:val="none"/>
                <w:lang w:val="en-US" w:eastAsia="zh-CN" w:bidi="ar-SA"/>
                <w14:textFill>
                  <w14:solidFill>
                    <w14:schemeClr w14:val="tx1"/>
                  </w14:solidFill>
                </w14:textFill>
              </w:rPr>
              <w:t>税收缴纳证明</w:t>
            </w:r>
          </w:p>
        </w:tc>
        <w:tc>
          <w:tcPr>
            <w:tcW w:w="6092" w:type="dxa"/>
            <w:vAlign w:val="center"/>
          </w:tcPr>
          <w:p>
            <w:pPr>
              <w:jc w:val="both"/>
              <w:rPr>
                <w:rFonts w:ascii="宋体" w:hAnsi="宋体" w:eastAsia="宋体" w:cs="宋体"/>
                <w:color w:val="000000" w:themeColor="text1"/>
                <w:sz w:val="28"/>
                <w:szCs w:val="28"/>
                <w:highlight w:val="none"/>
                <w:lang w:val="en-US" w:eastAsia="zh-CN" w:bidi="ar-SA"/>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提供2022年至今已缴纳的6个月的纳税证明或完税证明，依法免税的单位应提供相关证明材料；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560" w:hRule="atLeast"/>
          <w:jc w:val="center"/>
        </w:trPr>
        <w:tc>
          <w:tcPr>
            <w:tcW w:w="836" w:type="dxa"/>
            <w:vAlign w:val="center"/>
          </w:tcPr>
          <w:p>
            <w:pPr>
              <w:jc w:val="center"/>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4</w:t>
            </w:r>
          </w:p>
        </w:tc>
        <w:tc>
          <w:tcPr>
            <w:tcW w:w="1940" w:type="dxa"/>
            <w:vAlign w:val="center"/>
          </w:tcPr>
          <w:p>
            <w:pPr>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社会保障资金缴纳证明</w:t>
            </w:r>
          </w:p>
        </w:tc>
        <w:tc>
          <w:tcPr>
            <w:tcW w:w="6092" w:type="dxa"/>
            <w:vAlign w:val="center"/>
          </w:tcPr>
          <w:p>
            <w:pPr>
              <w:jc w:val="both"/>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eastAsia="zh-CN"/>
                <w14:textFill>
                  <w14:solidFill>
                    <w14:schemeClr w14:val="tx1"/>
                  </w14:solidFill>
                </w14:textFill>
              </w:rPr>
              <w:t>提供2022年至今已缴纳的6个月的社会保障资金缴存单据或社保机构开具的社会保险参保缴费情况证明，依法不需要缴纳社会保障资金的单位应提供相关证明材料；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09" w:hRule="atLeast"/>
          <w:jc w:val="center"/>
        </w:trPr>
        <w:tc>
          <w:tcPr>
            <w:tcW w:w="836" w:type="dxa"/>
            <w:vAlign w:val="center"/>
          </w:tcPr>
          <w:p>
            <w:pPr>
              <w:jc w:val="center"/>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5</w:t>
            </w:r>
          </w:p>
        </w:tc>
        <w:tc>
          <w:tcPr>
            <w:tcW w:w="1940" w:type="dxa"/>
            <w:vAlign w:val="center"/>
          </w:tcPr>
          <w:p>
            <w:pPr>
              <w:jc w:val="center"/>
              <w:rPr>
                <w:rFonts w:ascii="宋体" w:hAnsi="宋体" w:eastAsia="宋体" w:cs="宋体"/>
                <w:color w:val="000000" w:themeColor="text1"/>
                <w:sz w:val="28"/>
                <w:szCs w:val="28"/>
                <w:highlight w:val="none"/>
                <w:lang w:val="en-US" w:eastAsia="zh-CN" w:bidi="ar-SA"/>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履行合同所必需的设备和专业技术能力</w:t>
            </w:r>
          </w:p>
        </w:tc>
        <w:tc>
          <w:tcPr>
            <w:tcW w:w="6092" w:type="dxa"/>
            <w:vAlign w:val="center"/>
          </w:tcPr>
          <w:p>
            <w:pPr>
              <w:jc w:val="both"/>
              <w:rPr>
                <w:rFonts w:hint="eastAsia" w:ascii="宋体" w:hAnsi="宋体" w:eastAsia="宋体" w:cs="宋体"/>
                <w:color w:val="000000" w:themeColor="text1"/>
                <w:sz w:val="28"/>
                <w:szCs w:val="28"/>
                <w:highlight w:val="none"/>
                <w:lang w:val="en-US" w:eastAsia="zh-CN" w:bidi="ar-SA"/>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提供具有履行合同所必需的设备和专业技术能力的承诺；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35" w:hRule="atLeast"/>
          <w:jc w:val="center"/>
        </w:trPr>
        <w:tc>
          <w:tcPr>
            <w:tcW w:w="836" w:type="dxa"/>
            <w:vAlign w:val="center"/>
          </w:tcPr>
          <w:p>
            <w:pPr>
              <w:jc w:val="center"/>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6</w:t>
            </w:r>
          </w:p>
        </w:tc>
        <w:tc>
          <w:tcPr>
            <w:tcW w:w="1940" w:type="dxa"/>
            <w:vAlign w:val="center"/>
          </w:tcPr>
          <w:p>
            <w:pPr>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前三年</w:t>
            </w:r>
            <w:r>
              <w:rPr>
                <w:rFonts w:hint="eastAsia" w:ascii="宋体" w:hAnsi="宋体" w:eastAsia="宋体" w:cs="宋体"/>
                <w:color w:val="000000" w:themeColor="text1"/>
                <w:sz w:val="28"/>
                <w:szCs w:val="28"/>
                <w:highlight w:val="none"/>
                <w14:textFill>
                  <w14:solidFill>
                    <w14:schemeClr w14:val="tx1"/>
                  </w14:solidFill>
                </w14:textFill>
              </w:rPr>
              <w:t>无重大违法记录声明</w:t>
            </w:r>
          </w:p>
        </w:tc>
        <w:tc>
          <w:tcPr>
            <w:tcW w:w="6092" w:type="dxa"/>
            <w:vAlign w:val="center"/>
          </w:tcPr>
          <w:p>
            <w:pPr>
              <w:jc w:val="both"/>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参加政府采购活动前三年内，在经营活动中没有重大违法记录的书面声明；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09" w:hRule="atLeast"/>
          <w:jc w:val="center"/>
        </w:trPr>
        <w:tc>
          <w:tcPr>
            <w:tcW w:w="836" w:type="dxa"/>
            <w:vAlign w:val="center"/>
          </w:tcPr>
          <w:p>
            <w:pPr>
              <w:jc w:val="center"/>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7</w:t>
            </w:r>
          </w:p>
        </w:tc>
        <w:tc>
          <w:tcPr>
            <w:tcW w:w="1940" w:type="dxa"/>
            <w:vAlign w:val="center"/>
          </w:tcPr>
          <w:p>
            <w:pPr>
              <w:jc w:val="center"/>
              <w:rPr>
                <w:rFonts w:hint="default" w:ascii="宋体" w:hAnsi="宋体" w:eastAsia="宋体" w:cs="宋体"/>
                <w:color w:val="000000" w:themeColor="text1"/>
                <w:sz w:val="28"/>
                <w:szCs w:val="28"/>
                <w:highlight w:val="none"/>
                <w:lang w:val="en-US" w:eastAsia="zh-CN" w:bidi="ar-SA"/>
                <w14:textFill>
                  <w14:solidFill>
                    <w14:schemeClr w14:val="tx1"/>
                  </w14:solidFill>
                </w14:textFill>
              </w:rPr>
            </w:pPr>
            <w:r>
              <w:rPr>
                <w:rFonts w:hint="eastAsia" w:ascii="宋体" w:hAnsi="宋体" w:eastAsia="宋体" w:cs="宋体"/>
                <w:color w:val="000000" w:themeColor="text1"/>
                <w:sz w:val="28"/>
                <w:szCs w:val="28"/>
                <w:highlight w:val="none"/>
                <w:lang w:eastAsia="zh-CN"/>
                <w14:textFill>
                  <w14:solidFill>
                    <w14:schemeClr w14:val="tx1"/>
                  </w14:solidFill>
                </w14:textFill>
              </w:rPr>
              <w:t>授权书被授权人身份证</w:t>
            </w:r>
          </w:p>
        </w:tc>
        <w:tc>
          <w:tcPr>
            <w:tcW w:w="6092" w:type="dxa"/>
            <w:vAlign w:val="center"/>
          </w:tcPr>
          <w:p>
            <w:pPr>
              <w:jc w:val="both"/>
              <w:rPr>
                <w:rFonts w:hint="eastAsia" w:ascii="宋体" w:hAnsi="宋体" w:eastAsia="宋体" w:cs="宋体"/>
                <w:color w:val="000000" w:themeColor="text1"/>
                <w:sz w:val="28"/>
                <w:szCs w:val="28"/>
                <w:highlight w:val="none"/>
                <w:lang w:val="en-US" w:eastAsia="zh-CN" w:bidi="ar-SA"/>
                <w14:textFill>
                  <w14:solidFill>
                    <w14:schemeClr w14:val="tx1"/>
                  </w14:solidFill>
                </w14:textFill>
              </w:rPr>
            </w:pPr>
            <w:r>
              <w:rPr>
                <w:rFonts w:hint="eastAsia" w:ascii="宋体" w:hAnsi="宋体" w:eastAsia="宋体" w:cs="宋体"/>
                <w:color w:val="000000" w:themeColor="text1"/>
                <w:sz w:val="28"/>
                <w:szCs w:val="28"/>
                <w:highlight w:val="none"/>
                <w:lang w:eastAsia="zh-CN"/>
                <w14:textFill>
                  <w14:solidFill>
                    <w14:schemeClr w14:val="tx1"/>
                  </w14:solidFill>
                </w14:textFill>
              </w:rPr>
              <w:t>法定代表人授权书及被授权人身份证（法定代表人直接参加</w:t>
            </w:r>
            <w:r>
              <w:rPr>
                <w:rFonts w:hint="eastAsia" w:ascii="宋体" w:hAnsi="宋体" w:eastAsia="宋体" w:cs="宋体"/>
                <w:color w:val="000000" w:themeColor="text1"/>
                <w:sz w:val="28"/>
                <w:szCs w:val="28"/>
                <w:highlight w:val="none"/>
                <w:lang w:val="en-US" w:eastAsia="zh-CN"/>
                <w14:textFill>
                  <w14:solidFill>
                    <w14:schemeClr w14:val="tx1"/>
                  </w14:solidFill>
                </w14:textFill>
              </w:rPr>
              <w:t>投标</w:t>
            </w:r>
            <w:r>
              <w:rPr>
                <w:rFonts w:hint="eastAsia" w:ascii="宋体" w:hAnsi="宋体" w:eastAsia="宋体" w:cs="宋体"/>
                <w:color w:val="000000" w:themeColor="text1"/>
                <w:sz w:val="28"/>
                <w:szCs w:val="28"/>
                <w:highlight w:val="none"/>
                <w:lang w:eastAsia="zh-CN"/>
                <w14:textFill>
                  <w14:solidFill>
                    <w14:schemeClr w14:val="tx1"/>
                  </w14:solidFill>
                </w14:textFill>
              </w:rPr>
              <w:t>的须提供其法人身份证），非法人单位参照执行；</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15" w:hRule="atLeast"/>
          <w:jc w:val="center"/>
        </w:trPr>
        <w:tc>
          <w:tcPr>
            <w:tcW w:w="836" w:type="dxa"/>
            <w:vAlign w:val="center"/>
          </w:tcPr>
          <w:p>
            <w:pPr>
              <w:jc w:val="center"/>
              <w:rPr>
                <w:rFonts w:hint="default"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8</w:t>
            </w:r>
          </w:p>
        </w:tc>
        <w:tc>
          <w:tcPr>
            <w:tcW w:w="1940" w:type="dxa"/>
            <w:vAlign w:val="center"/>
          </w:tcPr>
          <w:p>
            <w:pPr>
              <w:jc w:val="center"/>
              <w:rPr>
                <w:rFonts w:hint="default" w:ascii="宋体" w:hAnsi="宋体" w:eastAsia="宋体" w:cs="宋体"/>
                <w:color w:val="000000" w:themeColor="text1"/>
                <w:sz w:val="28"/>
                <w:szCs w:val="28"/>
                <w:highlight w:val="none"/>
                <w:lang w:val="en-US" w:eastAsia="zh-CN" w:bidi="ar-SA"/>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信用查询</w:t>
            </w:r>
          </w:p>
        </w:tc>
        <w:tc>
          <w:tcPr>
            <w:tcW w:w="6092" w:type="dxa"/>
            <w:vAlign w:val="center"/>
          </w:tcPr>
          <w:p>
            <w:pPr>
              <w:jc w:val="both"/>
              <w:rPr>
                <w:rFonts w:hint="eastAsia" w:ascii="宋体" w:hAnsi="宋体" w:eastAsia="宋体" w:cs="宋体"/>
                <w:color w:val="000000" w:themeColor="text1"/>
                <w:sz w:val="28"/>
                <w:szCs w:val="28"/>
                <w:highlight w:val="none"/>
                <w:lang w:val="en-US" w:eastAsia="zh-CN" w:bidi="ar-SA"/>
                <w14:textFill>
                  <w14:solidFill>
                    <w14:schemeClr w14:val="tx1"/>
                  </w14:solidFill>
                </w14:textFill>
              </w:rPr>
            </w:pPr>
            <w:r>
              <w:rPr>
                <w:rFonts w:hint="eastAsia" w:ascii="宋体" w:hAnsi="宋体" w:eastAsia="宋体" w:cs="宋体"/>
                <w:color w:val="000000" w:themeColor="text1"/>
                <w:sz w:val="28"/>
                <w:szCs w:val="28"/>
                <w:highlight w:val="none"/>
                <w:lang w:val="zh-CN" w:eastAsia="zh-CN"/>
                <w14:textFill>
                  <w14:solidFill>
                    <w14:schemeClr w14:val="tx1"/>
                  </w14:solidFill>
                </w14:textFill>
              </w:rPr>
              <w:t>供应商不得为“信用中国(www.creditchina.gov.cn)”中列入失信被执行人和重大税收违法案件当事人名单的供应商，不得为“中国政府采购网(www.ccgp.gov.cn)” 政府采购严重违法失信行为记录名单中被财政部门禁止参加政府采购活动的供应商（采购代理机构自行查询，采购代理机构查询时限为投标文件递交截止之日）；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553" w:hRule="atLeast"/>
          <w:jc w:val="center"/>
        </w:trPr>
        <w:tc>
          <w:tcPr>
            <w:tcW w:w="836" w:type="dxa"/>
            <w:vAlign w:val="center"/>
          </w:tcPr>
          <w:p>
            <w:pPr>
              <w:jc w:val="center"/>
              <w:rPr>
                <w:rFonts w:hint="default"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9</w:t>
            </w:r>
          </w:p>
        </w:tc>
        <w:tc>
          <w:tcPr>
            <w:tcW w:w="1940" w:type="dxa"/>
            <w:vAlign w:val="center"/>
          </w:tcPr>
          <w:p>
            <w:pPr>
              <w:jc w:val="center"/>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中小企业</w:t>
            </w:r>
          </w:p>
        </w:tc>
        <w:tc>
          <w:tcPr>
            <w:tcW w:w="6092" w:type="dxa"/>
            <w:vAlign w:val="center"/>
          </w:tcPr>
          <w:p>
            <w:pPr>
              <w:jc w:val="both"/>
              <w:rPr>
                <w:rFonts w:hint="eastAsia" w:ascii="宋体" w:hAnsi="宋体" w:eastAsia="宋体" w:cs="宋体"/>
                <w:color w:val="000000" w:themeColor="text1"/>
                <w:sz w:val="28"/>
                <w:szCs w:val="28"/>
                <w:highlight w:val="none"/>
                <w:lang w:val="zh-CN"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本项目为专门面向中小企业采购（提供中小企业声明函或监狱企业的证明文件或残疾人福利性单位声明函）。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218" w:hRule="atLeast"/>
          <w:jc w:val="center"/>
        </w:trPr>
        <w:tc>
          <w:tcPr>
            <w:tcW w:w="8868" w:type="dxa"/>
            <w:gridSpan w:val="3"/>
            <w:vAlign w:val="center"/>
          </w:tcPr>
          <w:p>
            <w:pPr>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注意事项：</w:t>
            </w:r>
          </w:p>
          <w:p>
            <w:pPr>
              <w:jc w:val="both"/>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除银行、保险、石油石化、电力、电信行业外，其他行业分支机构在参与投标时，须同时提供分支机构主体资格证明文件和总公司（总所）出具的授权书，总公司（总所）只能授权一家分支机构。经总公司（总所）授权后，总公司（总所）取得的相关资质证书对分支机构有效（法律法规或行业另有规定的除外）。</w:t>
            </w:r>
          </w:p>
          <w:p>
            <w:pPr>
              <w:jc w:val="both"/>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事业单位参与投标时，可不提供财务状况报告、社会保障资金和税收缴纳证明；依法免税或不需要缴纳社会保障资金的供应商，应提供相应证明文件，证明其依法免税或不需要缴纳社会保障资金；自然人（仅限中国公民）参与投标时，只须提供身份证复印件。</w:t>
            </w:r>
          </w:p>
          <w:p>
            <w:pPr>
              <w:jc w:val="both"/>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3．以联合体形式参与投标时，应提供有效的《联合体协议书》，并遵循招标文件第二章中“关于联合体”的相关规定。</w:t>
            </w:r>
          </w:p>
          <w:p>
            <w:pPr>
              <w:jc w:val="both"/>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基本存款账户信息》、《无重大违法记录声明》、《法定代表人委托授权书》、《法定代表人身份证明书》、《联合体协议书》应按第五章《投标文件构成及格式》中给定的格式填写，并按要求签字、盖章。</w:t>
            </w:r>
          </w:p>
          <w:p>
            <w:pPr>
              <w:jc w:val="both"/>
              <w:rPr>
                <w:rFonts w:hint="eastAsia" w:ascii="宋体" w:hAnsi="宋体" w:eastAsia="宋体" w:cs="宋体"/>
                <w:sz w:val="24"/>
                <w:lang w:val="en-US" w:eastAsia="zh-CN"/>
              </w:rPr>
            </w:pPr>
            <w:r>
              <w:rPr>
                <w:rFonts w:hint="eastAsia" w:ascii="宋体" w:hAnsi="宋体" w:eastAsia="宋体" w:cs="宋体"/>
                <w:color w:val="000000" w:themeColor="text1"/>
                <w:sz w:val="28"/>
                <w:szCs w:val="28"/>
                <w:highlight w:val="none"/>
                <w14:textFill>
                  <w14:solidFill>
                    <w14:schemeClr w14:val="tx1"/>
                  </w14:solidFill>
                </w14:textFill>
              </w:rPr>
              <w:t>5．按照财政部《关于在政府采购活动中查询及使用信用记录有关问题的通知》（财库〔2016〕125号）要求，在资格审查阶段，采购人将对投标供应商的信用记录进行核查，出现招标文件第二章中“关于信用记录的查询和使用”所列失信行为的，将拒绝其参与政府采购活动。</w:t>
            </w:r>
          </w:p>
        </w:tc>
      </w:tr>
    </w:tbl>
    <w:p>
      <w:pPr>
        <w:rPr>
          <w:rFonts w:ascii="宋体" w:hAnsi="宋体" w:eastAsia="宋体" w:cs="宋体"/>
          <w:color w:val="000000" w:themeColor="text1"/>
          <w:sz w:val="28"/>
          <w:szCs w:val="28"/>
          <w:highlight w:val="none"/>
          <w14:textFill>
            <w14:solidFill>
              <w14:schemeClr w14:val="tx1"/>
            </w14:solidFill>
          </w14:textFill>
        </w:rPr>
      </w:pPr>
    </w:p>
    <w:p>
      <w:pPr>
        <w:pStyle w:val="9"/>
        <w:rPr>
          <w:rFonts w:ascii="宋体" w:hAnsi="宋体" w:eastAsia="宋体" w:cs="宋体"/>
          <w:color w:val="000000" w:themeColor="text1"/>
          <w:sz w:val="28"/>
          <w:szCs w:val="28"/>
          <w:highlight w:val="none"/>
          <w14:textFill>
            <w14:solidFill>
              <w14:schemeClr w14:val="tx1"/>
            </w14:solidFill>
          </w14:textFill>
        </w:rPr>
      </w:pPr>
      <w:bookmarkStart w:id="160" w:name="_Toc32767"/>
      <w:r>
        <w:rPr>
          <w:rFonts w:hint="eastAsia" w:ascii="宋体" w:hAnsi="宋体" w:eastAsia="宋体" w:cs="宋体"/>
          <w:color w:val="000000" w:themeColor="text1"/>
          <w:sz w:val="28"/>
          <w:szCs w:val="28"/>
          <w:highlight w:val="none"/>
          <w14:textFill>
            <w14:solidFill>
              <w14:schemeClr w14:val="tx1"/>
            </w14:solidFill>
          </w14:textFill>
        </w:rPr>
        <w:t>七、评审方法和程序</w:t>
      </w:r>
      <w:bookmarkEnd w:id="160"/>
    </w:p>
    <w:p>
      <w:pPr>
        <w:pStyle w:val="105"/>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61" w:name="_Toc3761"/>
      <w:bookmarkStart w:id="162" w:name="_Toc14101"/>
      <w:bookmarkStart w:id="163" w:name="_Toc17161"/>
      <w:bookmarkStart w:id="164" w:name="_Toc29299"/>
      <w:r>
        <w:rPr>
          <w:rFonts w:hint="eastAsia" w:ascii="宋体" w:hAnsi="宋体" w:eastAsia="宋体" w:cs="宋体"/>
          <w:color w:val="000000" w:themeColor="text1"/>
          <w:sz w:val="28"/>
          <w:szCs w:val="28"/>
          <w:highlight w:val="none"/>
          <w14:textFill>
            <w14:solidFill>
              <w14:schemeClr w14:val="tx1"/>
            </w14:solidFill>
          </w14:textFill>
        </w:rPr>
        <w:t>（一）评标方法</w:t>
      </w:r>
      <w:bookmarkEnd w:id="161"/>
      <w:bookmarkEnd w:id="162"/>
      <w:bookmarkEnd w:id="163"/>
      <w:bookmarkEnd w:id="164"/>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本项目采用综合评分法，即投标文件满足招标文件全部实质性要求，且按照评审因素的量化指标评审得分最高的供应商为中标候选人。</w:t>
      </w:r>
    </w:p>
    <w:p>
      <w:pPr>
        <w:pStyle w:val="105"/>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65" w:name="_Toc26336"/>
      <w:bookmarkStart w:id="166" w:name="_Toc20873"/>
      <w:bookmarkStart w:id="167" w:name="_Toc14944"/>
      <w:bookmarkStart w:id="168" w:name="_Toc27527"/>
      <w:r>
        <w:rPr>
          <w:rFonts w:hint="eastAsia" w:ascii="宋体" w:hAnsi="宋体" w:eastAsia="宋体" w:cs="宋体"/>
          <w:color w:val="000000" w:themeColor="text1"/>
          <w:sz w:val="28"/>
          <w:szCs w:val="28"/>
          <w:highlight w:val="none"/>
          <w14:textFill>
            <w14:solidFill>
              <w14:schemeClr w14:val="tx1"/>
            </w14:solidFill>
          </w14:textFill>
        </w:rPr>
        <w:t>（二）评标程序</w:t>
      </w:r>
      <w:bookmarkEnd w:id="165"/>
      <w:bookmarkEnd w:id="166"/>
      <w:bookmarkEnd w:id="167"/>
      <w:bookmarkEnd w:id="168"/>
    </w:p>
    <w:p>
      <w:pPr>
        <w:pStyle w:val="104"/>
        <w:outlineLvl w:val="9"/>
        <w:rPr>
          <w:rFonts w:ascii="宋体" w:hAnsi="宋体" w:eastAsia="宋体" w:cs="宋体"/>
          <w:color w:val="000000" w:themeColor="text1"/>
          <w:sz w:val="28"/>
          <w:szCs w:val="28"/>
          <w:highlight w:val="none"/>
          <w14:textFill>
            <w14:solidFill>
              <w14:schemeClr w14:val="tx1"/>
            </w14:solidFill>
          </w14:textFill>
        </w:rPr>
      </w:pPr>
      <w:bookmarkStart w:id="169" w:name="_Toc18155"/>
      <w:bookmarkStart w:id="170" w:name="_Toc32585"/>
      <w:bookmarkStart w:id="171" w:name="_Toc5086"/>
      <w:r>
        <w:rPr>
          <w:rFonts w:hint="eastAsia" w:ascii="宋体" w:hAnsi="宋体" w:eastAsia="宋体" w:cs="宋体"/>
          <w:color w:val="000000" w:themeColor="text1"/>
          <w:sz w:val="28"/>
          <w:szCs w:val="28"/>
          <w:highlight w:val="none"/>
          <w14:textFill>
            <w14:solidFill>
              <w14:schemeClr w14:val="tx1"/>
            </w14:solidFill>
          </w14:textFill>
        </w:rPr>
        <w:t>1．组建评标委员会</w:t>
      </w:r>
      <w:bookmarkEnd w:id="169"/>
      <w:bookmarkEnd w:id="170"/>
      <w:bookmarkEnd w:id="171"/>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为了确保评标工作的公平、公正，依据政府采购法和政府采购相关法规、规章，成立评标委员会，评标委员会由采购人代表和有关技术、经济等方面的专家组成，成员人数为5人及以上单数（采购预算金额在1000万元以上、技术复杂、社会影响较大的采购项目评标委员会成员人数应当为7人以上单数）。其中，技术、经济等方面的专家不少于成员总数的三分之二。评标专家从政府采购评审专家库内相关专业的专家名单中随机抽取。</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由采购代理机构组织评标委员会推选评标组长，采购人代表不得担任组长。</w:t>
      </w:r>
    </w:p>
    <w:p>
      <w:pPr>
        <w:pStyle w:val="104"/>
        <w:outlineLvl w:val="9"/>
        <w:rPr>
          <w:rFonts w:ascii="宋体" w:hAnsi="宋体" w:eastAsia="宋体" w:cs="宋体"/>
          <w:color w:val="000000" w:themeColor="text1"/>
          <w:sz w:val="28"/>
          <w:szCs w:val="28"/>
          <w:highlight w:val="none"/>
          <w14:textFill>
            <w14:solidFill>
              <w14:schemeClr w14:val="tx1"/>
            </w14:solidFill>
          </w14:textFill>
        </w:rPr>
      </w:pPr>
      <w:bookmarkStart w:id="172" w:name="_Toc1702"/>
      <w:bookmarkStart w:id="173" w:name="_Toc28107"/>
      <w:bookmarkStart w:id="174" w:name="_Toc19123"/>
      <w:r>
        <w:rPr>
          <w:rFonts w:hint="eastAsia" w:ascii="宋体" w:hAnsi="宋体" w:eastAsia="宋体" w:cs="宋体"/>
          <w:color w:val="000000" w:themeColor="text1"/>
          <w:sz w:val="28"/>
          <w:szCs w:val="28"/>
          <w:highlight w:val="none"/>
          <w14:textFill>
            <w14:solidFill>
              <w14:schemeClr w14:val="tx1"/>
            </w14:solidFill>
          </w14:textFill>
        </w:rPr>
        <w:t>2．投标文件的符合性审查</w:t>
      </w:r>
      <w:bookmarkEnd w:id="172"/>
      <w:bookmarkEnd w:id="173"/>
      <w:bookmarkEnd w:id="174"/>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供应商资格性审查通过后，评标委员会对符合资格的投标人的投标文件进行符合性审查，以确定其是否满足招标文件的实质性要求。</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对于投标文件中含义不明确、同类问题表述不一致或者有明显文字和计算错误的内容，评标委员会应当以书面形式要求投标人作出必要的澄清、说明或者补正。</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投标人的澄清、说明或者补正应当采用书面形式，并加盖公章，或者由法定代表人或其授权的代表签字。投标人的澄清、说明或者补正不得超出投标文件的范围或者改变投标文件的实质性内容。</w:t>
      </w:r>
    </w:p>
    <w:p>
      <w:pPr>
        <w:spacing w:line="560" w:lineRule="exact"/>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〖符合性审查表〗</w:t>
      </w:r>
    </w:p>
    <w:tbl>
      <w:tblPr>
        <w:tblStyle w:val="34"/>
        <w:tblW w:w="944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64"/>
        <w:gridCol w:w="2586"/>
        <w:gridCol w:w="589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794" w:hRule="atLeast"/>
          <w:jc w:val="center"/>
        </w:trPr>
        <w:tc>
          <w:tcPr>
            <w:tcW w:w="964"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序号</w:t>
            </w:r>
          </w:p>
        </w:tc>
        <w:tc>
          <w:tcPr>
            <w:tcW w:w="2586"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符合性审查项</w:t>
            </w:r>
          </w:p>
        </w:tc>
        <w:tc>
          <w:tcPr>
            <w:tcW w:w="5890"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通过条件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64" w:type="dxa"/>
            <w:tcBorders>
              <w:top w:val="single" w:color="auto" w:sz="2" w:space="0"/>
            </w:tcBorders>
            <w:vAlign w:val="center"/>
          </w:tcPr>
          <w:p>
            <w:pPr>
              <w:spacing w:line="560" w:lineRule="exact"/>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w:t>
            </w:r>
          </w:p>
        </w:tc>
        <w:tc>
          <w:tcPr>
            <w:tcW w:w="2586" w:type="dxa"/>
            <w:tcBorders>
              <w:top w:val="single" w:color="auto" w:sz="2" w:space="0"/>
            </w:tcBorders>
            <w:vAlign w:val="center"/>
          </w:tcPr>
          <w:p>
            <w:pPr>
              <w:spacing w:line="560" w:lineRule="exact"/>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投标报价是否超过预算或最高限价</w:t>
            </w:r>
          </w:p>
        </w:tc>
        <w:tc>
          <w:tcPr>
            <w:tcW w:w="5890" w:type="dxa"/>
            <w:tcBorders>
              <w:top w:val="single" w:color="auto" w:sz="2" w:space="0"/>
            </w:tcBorders>
            <w:vAlign w:val="center"/>
          </w:tcPr>
          <w:p>
            <w:pPr>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投标报价未超过预算及最高限价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64" w:type="dxa"/>
            <w:vAlign w:val="center"/>
          </w:tcPr>
          <w:p>
            <w:pPr>
              <w:spacing w:line="560" w:lineRule="exact"/>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w:t>
            </w:r>
          </w:p>
        </w:tc>
        <w:tc>
          <w:tcPr>
            <w:tcW w:w="2586" w:type="dxa"/>
            <w:vAlign w:val="center"/>
          </w:tcPr>
          <w:p>
            <w:pPr>
              <w:spacing w:line="560" w:lineRule="exact"/>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交货期是否满足招标文件要求</w:t>
            </w:r>
          </w:p>
        </w:tc>
        <w:tc>
          <w:tcPr>
            <w:tcW w:w="5890" w:type="dxa"/>
            <w:vAlign w:val="center"/>
          </w:tcPr>
          <w:p>
            <w:pPr>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交货期满足招标文件要求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794" w:hRule="atLeast"/>
          <w:jc w:val="center"/>
        </w:trPr>
        <w:tc>
          <w:tcPr>
            <w:tcW w:w="964" w:type="dxa"/>
            <w:vAlign w:val="center"/>
          </w:tcPr>
          <w:p>
            <w:pPr>
              <w:spacing w:line="560" w:lineRule="exact"/>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w:t>
            </w:r>
          </w:p>
        </w:tc>
        <w:tc>
          <w:tcPr>
            <w:tcW w:w="2586" w:type="dxa"/>
            <w:vAlign w:val="center"/>
          </w:tcPr>
          <w:p>
            <w:pPr>
              <w:spacing w:line="560" w:lineRule="exact"/>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质保期是否满足招标文件要求</w:t>
            </w:r>
          </w:p>
        </w:tc>
        <w:tc>
          <w:tcPr>
            <w:tcW w:w="5890" w:type="dxa"/>
            <w:vAlign w:val="center"/>
          </w:tcPr>
          <w:p>
            <w:pPr>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质保期满足招标文件要求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94" w:hRule="atLeast"/>
          <w:jc w:val="center"/>
        </w:trPr>
        <w:tc>
          <w:tcPr>
            <w:tcW w:w="964" w:type="dxa"/>
            <w:vAlign w:val="center"/>
          </w:tcPr>
          <w:p>
            <w:pPr>
              <w:spacing w:line="560" w:lineRule="exact"/>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w:t>
            </w:r>
          </w:p>
        </w:tc>
        <w:tc>
          <w:tcPr>
            <w:tcW w:w="2586" w:type="dxa"/>
            <w:vAlign w:val="center"/>
          </w:tcPr>
          <w:p>
            <w:pPr>
              <w:spacing w:line="560" w:lineRule="exact"/>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签章</w:t>
            </w:r>
          </w:p>
        </w:tc>
        <w:tc>
          <w:tcPr>
            <w:tcW w:w="5890" w:type="dxa"/>
            <w:vAlign w:val="center"/>
          </w:tcPr>
          <w:p>
            <w:pPr>
              <w:jc w:val="left"/>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签章均符合招标文件要求，且无遗漏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9" w:hRule="atLeast"/>
          <w:jc w:val="center"/>
        </w:trPr>
        <w:tc>
          <w:tcPr>
            <w:tcW w:w="964" w:type="dxa"/>
            <w:vAlign w:val="center"/>
          </w:tcPr>
          <w:p>
            <w:pPr>
              <w:spacing w:line="560" w:lineRule="exact"/>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w:t>
            </w:r>
          </w:p>
        </w:tc>
        <w:tc>
          <w:tcPr>
            <w:tcW w:w="2586" w:type="dxa"/>
            <w:vAlign w:val="center"/>
          </w:tcPr>
          <w:p>
            <w:pPr>
              <w:spacing w:line="560" w:lineRule="exact"/>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投标文件有效期</w:t>
            </w:r>
          </w:p>
        </w:tc>
        <w:tc>
          <w:tcPr>
            <w:tcW w:w="5890" w:type="dxa"/>
            <w:vAlign w:val="center"/>
          </w:tcPr>
          <w:p>
            <w:pPr>
              <w:jc w:val="left"/>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64" w:type="dxa"/>
            <w:vAlign w:val="center"/>
          </w:tcPr>
          <w:p>
            <w:pPr>
              <w:spacing w:line="560" w:lineRule="exact"/>
              <w:jc w:val="center"/>
              <w:rPr>
                <w:rFonts w:hint="eastAsia" w:ascii="宋体" w:hAnsi="宋体" w:eastAsia="宋体" w:cs="宋体"/>
                <w:color w:val="000000" w:themeColor="text1"/>
                <w:sz w:val="28"/>
                <w:szCs w:val="28"/>
                <w:highlight w:val="none"/>
                <w:lang w:val="en-US" w:eastAsia="zh-CN"/>
                <w14:textFill>
                  <w14:solidFill>
                    <w14:schemeClr w14:val="tx1"/>
                  </w14:solidFill>
                </w14:textFill>
              </w:rPr>
            </w:pPr>
            <w:bookmarkStart w:id="175" w:name="_Toc26455"/>
            <w:bookmarkStart w:id="176" w:name="_Toc9318"/>
            <w:bookmarkStart w:id="177" w:name="_Toc21491"/>
            <w:r>
              <w:rPr>
                <w:rFonts w:hint="eastAsia" w:ascii="宋体" w:hAnsi="宋体" w:eastAsia="宋体" w:cs="宋体"/>
                <w:color w:val="000000" w:themeColor="text1"/>
                <w:sz w:val="28"/>
                <w:szCs w:val="28"/>
                <w:highlight w:val="none"/>
                <w:lang w:val="en-US" w:eastAsia="zh-CN"/>
                <w14:textFill>
                  <w14:solidFill>
                    <w14:schemeClr w14:val="tx1"/>
                  </w14:solidFill>
                </w14:textFill>
              </w:rPr>
              <w:t>6</w:t>
            </w:r>
          </w:p>
        </w:tc>
        <w:tc>
          <w:tcPr>
            <w:tcW w:w="2586" w:type="dxa"/>
            <w:vAlign w:val="center"/>
          </w:tcPr>
          <w:p>
            <w:pPr>
              <w:spacing w:line="560" w:lineRule="exact"/>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商务要求</w:t>
            </w:r>
            <w:r>
              <w:rPr>
                <w:rFonts w:hint="eastAsia" w:ascii="宋体" w:hAnsi="宋体" w:eastAsia="宋体" w:cs="宋体"/>
                <w:color w:val="000000" w:themeColor="text1"/>
                <w:sz w:val="28"/>
                <w:szCs w:val="28"/>
                <w:highlight w:val="none"/>
                <w14:textFill>
                  <w14:solidFill>
                    <w14:schemeClr w14:val="tx1"/>
                  </w14:solidFill>
                </w14:textFill>
              </w:rPr>
              <w:t>响应</w:t>
            </w:r>
          </w:p>
        </w:tc>
        <w:tc>
          <w:tcPr>
            <w:tcW w:w="5890" w:type="dxa"/>
            <w:vAlign w:val="center"/>
          </w:tcPr>
          <w:p>
            <w:pPr>
              <w:spacing w:line="560" w:lineRule="exact"/>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完全响应招标文件商务</w:t>
            </w:r>
            <w:r>
              <w:rPr>
                <w:rFonts w:hint="eastAsia" w:ascii="宋体" w:hAnsi="宋体" w:eastAsia="宋体" w:cs="宋体"/>
                <w:color w:val="000000" w:themeColor="text1"/>
                <w:sz w:val="28"/>
                <w:szCs w:val="28"/>
                <w:highlight w:val="none"/>
                <w:lang w:val="en-US" w:eastAsia="zh-CN"/>
                <w14:textFill>
                  <w14:solidFill>
                    <w14:schemeClr w14:val="tx1"/>
                  </w14:solidFill>
                </w14:textFill>
              </w:rPr>
              <w:t>要求，不得出现负偏离</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64" w:type="dxa"/>
            <w:vAlign w:val="center"/>
          </w:tcPr>
          <w:p>
            <w:pPr>
              <w:spacing w:line="560" w:lineRule="exact"/>
              <w:jc w:val="center"/>
              <w:rPr>
                <w:rFonts w:hint="default"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7</w:t>
            </w:r>
          </w:p>
        </w:tc>
        <w:tc>
          <w:tcPr>
            <w:tcW w:w="2586" w:type="dxa"/>
            <w:vAlign w:val="center"/>
          </w:tcPr>
          <w:p>
            <w:pPr>
              <w:spacing w:line="560" w:lineRule="exact"/>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实质性条款响应</w:t>
            </w:r>
          </w:p>
        </w:tc>
        <w:tc>
          <w:tcPr>
            <w:tcW w:w="5890" w:type="dxa"/>
            <w:vAlign w:val="center"/>
          </w:tcPr>
          <w:p>
            <w:pPr>
              <w:spacing w:line="560" w:lineRule="exact"/>
              <w:jc w:val="lef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符合招标文件的要求</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未含有采购人不能接受的附加条件的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64" w:type="dxa"/>
            <w:vAlign w:val="center"/>
          </w:tcPr>
          <w:p>
            <w:pPr>
              <w:spacing w:line="560" w:lineRule="exact"/>
              <w:jc w:val="center"/>
              <w:rPr>
                <w:rFonts w:hint="default"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8</w:t>
            </w:r>
          </w:p>
        </w:tc>
        <w:tc>
          <w:tcPr>
            <w:tcW w:w="2586" w:type="dxa"/>
            <w:vAlign w:val="center"/>
          </w:tcPr>
          <w:p>
            <w:pPr>
              <w:spacing w:line="560" w:lineRule="exact"/>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电子投标文件雷同性分析</w:t>
            </w:r>
          </w:p>
        </w:tc>
        <w:tc>
          <w:tcPr>
            <w:tcW w:w="5890" w:type="dxa"/>
            <w:vAlign w:val="center"/>
          </w:tcPr>
          <w:p>
            <w:pPr>
              <w:spacing w:line="560" w:lineRule="exact"/>
              <w:jc w:val="lef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电子投标文件的“文件制作机器码”和“文件创建标识码”通过评标系统的雷同性分析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64" w:type="dxa"/>
            <w:vAlign w:val="center"/>
          </w:tcPr>
          <w:p>
            <w:pPr>
              <w:spacing w:line="560" w:lineRule="exact"/>
              <w:jc w:val="center"/>
              <w:rPr>
                <w:rFonts w:hint="default"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9</w:t>
            </w:r>
          </w:p>
        </w:tc>
        <w:tc>
          <w:tcPr>
            <w:tcW w:w="2586" w:type="dxa"/>
            <w:vAlign w:val="center"/>
          </w:tcPr>
          <w:p>
            <w:pPr>
              <w:spacing w:line="560" w:lineRule="exact"/>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其他</w:t>
            </w:r>
          </w:p>
        </w:tc>
        <w:tc>
          <w:tcPr>
            <w:tcW w:w="5890" w:type="dxa"/>
            <w:vAlign w:val="center"/>
          </w:tcPr>
          <w:p>
            <w:pPr>
              <w:spacing w:line="560" w:lineRule="exact"/>
              <w:jc w:val="lef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完全理解并接受法律法规和招标文件对供应商合法经营的各类规约和责任义务要求，没有出现法律法规或招标文件规定的其他无效情形</w:t>
            </w:r>
          </w:p>
        </w:tc>
      </w:tr>
    </w:tbl>
    <w:p>
      <w:pPr>
        <w:pStyle w:val="104"/>
        <w:outlineLvl w:val="9"/>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3．综合比较与评价</w:t>
      </w:r>
      <w:bookmarkEnd w:id="175"/>
      <w:bookmarkEnd w:id="176"/>
      <w:bookmarkEnd w:id="177"/>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评标委员会按《评审要素及分值一览表》中规定的评标方法和标准，对通过符合性审查的投标文件进行商务和技术评估，综合比较与评价。</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出现下列情形的，供应商投标无效：</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（1）投标文件报价出现本章第五小节“投标报价”所列需要修正情形，但供应商对修正后的报价不予确认的。</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评标委员会认为供应商的报价明显低于其他通过符合性审查供应商的报价，有可能影响产品质量或者不能诚信履约的，要求供应商在评标现场合理的时间内提供书面说明（必要时提交相关证明材料），供应商不能证明其报价合理性的。</w:t>
      </w:r>
    </w:p>
    <w:p>
      <w:pP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br w:type="page"/>
      </w:r>
    </w:p>
    <w:p>
      <w:pPr>
        <w:spacing w:line="560" w:lineRule="exact"/>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〖评审要素及分值一览表〗</w:t>
      </w:r>
    </w:p>
    <w:tbl>
      <w:tblPr>
        <w:tblStyle w:val="34"/>
        <w:tblW w:w="9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1459"/>
        <w:gridCol w:w="7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74" w:type="dxa"/>
            <w:noWrap/>
            <w:vAlign w:val="center"/>
          </w:tcPr>
          <w:p>
            <w:pPr>
              <w:jc w:val="center"/>
              <w:rPr>
                <w:rFonts w:ascii="宋体" w:hAnsi="宋体" w:eastAsia="宋体" w:cs="宋体"/>
                <w:color w:val="000000" w:themeColor="text1"/>
                <w:highlight w:val="none"/>
                <w14:textFill>
                  <w14:solidFill>
                    <w14:schemeClr w14:val="tx1"/>
                  </w14:solidFill>
                </w14:textFill>
              </w:rPr>
            </w:pPr>
            <w:bookmarkStart w:id="178" w:name="_Toc14692"/>
            <w:bookmarkStart w:id="179" w:name="_Toc16015"/>
            <w:bookmarkStart w:id="180" w:name="_Toc29982"/>
            <w:r>
              <w:rPr>
                <w:rFonts w:hint="eastAsia" w:ascii="宋体" w:hAnsi="宋体" w:eastAsia="宋体" w:cs="宋体"/>
                <w:color w:val="000000" w:themeColor="text1"/>
                <w:highlight w:val="none"/>
                <w14:textFill>
                  <w14:solidFill>
                    <w14:schemeClr w14:val="tx1"/>
                  </w14:solidFill>
                </w14:textFill>
              </w:rPr>
              <w:t>评审项</w:t>
            </w:r>
          </w:p>
        </w:tc>
        <w:tc>
          <w:tcPr>
            <w:tcW w:w="1459" w:type="dxa"/>
            <w:noWrap/>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分值100分</w:t>
            </w:r>
          </w:p>
        </w:tc>
        <w:tc>
          <w:tcPr>
            <w:tcW w:w="7389" w:type="dxa"/>
            <w:noWrap/>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jc w:val="center"/>
        </w:trPr>
        <w:tc>
          <w:tcPr>
            <w:tcW w:w="874" w:type="dxa"/>
            <w:noWrap/>
            <w:vAlign w:val="center"/>
          </w:tcPr>
          <w:p>
            <w:pPr>
              <w:spacing w:line="360" w:lineRule="auto"/>
              <w:jc w:val="center"/>
              <w:rPr>
                <w:rFonts w:ascii="宋体" w:hAnsi="宋体" w:eastAsia="宋体" w:cs="宋体"/>
                <w:color w:val="auto"/>
                <w:highlight w:val="none"/>
              </w:rPr>
            </w:pPr>
            <w:r>
              <w:rPr>
                <w:rFonts w:hint="eastAsia" w:ascii="宋体" w:hAnsi="宋体" w:eastAsia="宋体" w:cs="宋体"/>
                <w:color w:val="auto"/>
                <w:highlight w:val="none"/>
              </w:rPr>
              <w:t>报价</w:t>
            </w:r>
          </w:p>
        </w:tc>
        <w:tc>
          <w:tcPr>
            <w:tcW w:w="1459" w:type="dxa"/>
            <w:noWrap/>
            <w:vAlign w:val="center"/>
          </w:tcPr>
          <w:p>
            <w:pPr>
              <w:spacing w:line="360" w:lineRule="auto"/>
              <w:jc w:val="center"/>
              <w:rPr>
                <w:rFonts w:ascii="宋体" w:hAnsi="宋体" w:eastAsia="宋体" w:cs="宋体"/>
                <w:color w:val="auto"/>
                <w:highlight w:val="none"/>
              </w:rPr>
            </w:pPr>
            <w:r>
              <w:rPr>
                <w:rFonts w:hint="eastAsia" w:ascii="宋体" w:hAnsi="宋体" w:eastAsia="宋体" w:cs="宋体"/>
                <w:color w:val="auto"/>
                <w:highlight w:val="none"/>
              </w:rPr>
              <w:t>30</w:t>
            </w:r>
            <w:r>
              <w:rPr>
                <w:rFonts w:hint="eastAsia" w:ascii="宋体" w:hAnsi="宋体" w:eastAsia="宋体" w:cs="宋体"/>
                <w:color w:val="auto"/>
                <w:highlight w:val="none"/>
                <w:lang w:val="en-US" w:eastAsia="zh-CN"/>
              </w:rPr>
              <w:t>.0</w:t>
            </w:r>
            <w:r>
              <w:rPr>
                <w:rFonts w:hint="eastAsia" w:ascii="宋体" w:hAnsi="宋体" w:eastAsia="宋体" w:cs="宋体"/>
                <w:color w:val="auto"/>
                <w:highlight w:val="none"/>
              </w:rPr>
              <w:t>分</w:t>
            </w:r>
          </w:p>
        </w:tc>
        <w:tc>
          <w:tcPr>
            <w:tcW w:w="7389" w:type="dxa"/>
            <w:noWrap/>
            <w:vAlign w:val="center"/>
          </w:tcPr>
          <w:p>
            <w:pPr>
              <w:spacing w:line="360" w:lineRule="auto"/>
              <w:rPr>
                <w:rFonts w:ascii="宋体" w:hAnsi="宋体" w:eastAsia="宋体" w:cs="宋体"/>
                <w:color w:val="auto"/>
                <w:highlight w:val="none"/>
              </w:rPr>
            </w:pPr>
            <w:r>
              <w:rPr>
                <w:rFonts w:hint="eastAsia" w:ascii="宋体" w:hAnsi="宋体" w:eastAsia="宋体" w:cs="宋体"/>
                <w:color w:val="auto"/>
                <w:highlight w:val="none"/>
              </w:rPr>
              <w:t>经</w:t>
            </w:r>
            <w:r>
              <w:rPr>
                <w:rFonts w:hint="eastAsia" w:ascii="宋体" w:hAnsi="宋体" w:eastAsia="宋体" w:cs="宋体"/>
                <w:color w:val="auto"/>
                <w:highlight w:val="none"/>
                <w:lang w:val="en-US" w:eastAsia="zh-CN"/>
              </w:rPr>
              <w:t>资格性及符合性审查</w:t>
            </w:r>
            <w:r>
              <w:rPr>
                <w:rFonts w:hint="eastAsia" w:ascii="宋体" w:hAnsi="宋体" w:eastAsia="宋体" w:cs="宋体"/>
                <w:color w:val="auto"/>
                <w:highlight w:val="none"/>
              </w:rPr>
              <w:t>合格的供应商，其投标报价为有效报价。</w:t>
            </w:r>
          </w:p>
          <w:p>
            <w:pPr>
              <w:spacing w:line="360" w:lineRule="auto"/>
              <w:rPr>
                <w:rFonts w:ascii="宋体" w:hAnsi="宋体" w:eastAsia="宋体" w:cs="宋体"/>
                <w:color w:val="auto"/>
                <w:highlight w:val="none"/>
              </w:rPr>
            </w:pPr>
            <w:r>
              <w:rPr>
                <w:rFonts w:hint="eastAsia" w:ascii="宋体" w:hAnsi="宋体" w:eastAsia="宋体" w:cs="宋体"/>
                <w:color w:val="auto"/>
                <w:highlight w:val="none"/>
              </w:rPr>
              <w:t>评标基准价：即满足采购文件要求且报价最低的为评标基准价。</w:t>
            </w:r>
          </w:p>
          <w:p>
            <w:pPr>
              <w:spacing w:line="360" w:lineRule="auto"/>
              <w:rPr>
                <w:rFonts w:ascii="宋体" w:hAnsi="宋体" w:eastAsia="宋体" w:cs="宋体"/>
                <w:color w:val="auto"/>
                <w:highlight w:val="none"/>
              </w:rPr>
            </w:pPr>
            <w:r>
              <w:rPr>
                <w:rFonts w:hint="eastAsia" w:ascii="宋体" w:hAnsi="宋体" w:eastAsia="宋体" w:cs="宋体"/>
                <w:color w:val="auto"/>
                <w:highlight w:val="none"/>
              </w:rPr>
              <w:t>其他供应商的价格分统一按照下列公式计算。</w:t>
            </w:r>
          </w:p>
          <w:p>
            <w:pPr>
              <w:spacing w:line="360" w:lineRule="auto"/>
              <w:rPr>
                <w:rFonts w:ascii="宋体" w:hAnsi="宋体" w:eastAsia="宋体" w:cs="宋体"/>
                <w:color w:val="auto"/>
                <w:highlight w:val="none"/>
              </w:rPr>
            </w:pPr>
            <w:r>
              <w:rPr>
                <w:rFonts w:hint="eastAsia" w:ascii="宋体" w:hAnsi="宋体" w:eastAsia="宋体" w:cs="宋体"/>
                <w:color w:val="auto"/>
                <w:highlight w:val="none"/>
              </w:rPr>
              <w:t>报价得分=(评标基准价/投标报价)×30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3" w:hRule="atLeast"/>
          <w:jc w:val="center"/>
        </w:trPr>
        <w:tc>
          <w:tcPr>
            <w:tcW w:w="874" w:type="dxa"/>
            <w:noWrap/>
            <w:vAlign w:val="center"/>
          </w:tcPr>
          <w:p>
            <w:pPr>
              <w:spacing w:line="360" w:lineRule="auto"/>
              <w:jc w:val="center"/>
              <w:rPr>
                <w:rFonts w:ascii="宋体" w:hAnsi="宋体" w:eastAsia="宋体" w:cs="宋体"/>
                <w:color w:val="auto"/>
                <w:highlight w:val="none"/>
              </w:rPr>
            </w:pPr>
            <w:r>
              <w:rPr>
                <w:rFonts w:hint="eastAsia" w:ascii="宋体" w:hAnsi="宋体" w:eastAsia="宋体" w:cs="宋体"/>
                <w:color w:val="auto"/>
                <w:highlight w:val="none"/>
                <w:lang w:val="en-US" w:eastAsia="zh-CN"/>
              </w:rPr>
              <w:t>产品采购</w:t>
            </w:r>
            <w:r>
              <w:rPr>
                <w:rFonts w:hint="eastAsia" w:ascii="宋体" w:hAnsi="宋体" w:eastAsia="宋体" w:cs="宋体"/>
                <w:color w:val="auto"/>
                <w:highlight w:val="none"/>
              </w:rPr>
              <w:t>方案</w:t>
            </w:r>
          </w:p>
        </w:tc>
        <w:tc>
          <w:tcPr>
            <w:tcW w:w="1459" w:type="dxa"/>
            <w:noWrap/>
            <w:vAlign w:val="center"/>
          </w:tcPr>
          <w:p>
            <w:pPr>
              <w:spacing w:line="360" w:lineRule="auto"/>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15.0分</w:t>
            </w:r>
          </w:p>
        </w:tc>
        <w:tc>
          <w:tcPr>
            <w:tcW w:w="7389" w:type="dxa"/>
            <w:noWrap/>
            <w:vAlign w:val="center"/>
          </w:tcPr>
          <w:p>
            <w:pPr>
              <w:keepNext/>
              <w:keepLines/>
              <w:spacing w:line="360" w:lineRule="auto"/>
              <w:outlineLvl w:val="3"/>
              <w:rPr>
                <w:rFonts w:hint="eastAsia" w:ascii="宋体" w:hAnsi="宋体" w:eastAsia="宋体" w:cs="宋体"/>
                <w:color w:val="auto"/>
                <w:highlight w:val="none"/>
                <w:lang w:eastAsia="zh-CN"/>
              </w:rPr>
            </w:pPr>
            <w:r>
              <w:rPr>
                <w:rFonts w:hint="eastAsia" w:ascii="宋体" w:hAnsi="宋体" w:eastAsia="宋体" w:cs="宋体"/>
                <w:color w:val="auto"/>
                <w:highlight w:val="none"/>
              </w:rPr>
              <w:t>供应商对本项目的</w:t>
            </w:r>
            <w:r>
              <w:rPr>
                <w:rFonts w:hint="eastAsia" w:ascii="宋体" w:hAnsi="宋体" w:eastAsia="宋体" w:cs="宋体"/>
                <w:color w:val="auto"/>
                <w:highlight w:val="none"/>
                <w:lang w:val="en-US" w:eastAsia="zh-CN"/>
              </w:rPr>
              <w:t>产品采购</w:t>
            </w:r>
            <w:r>
              <w:rPr>
                <w:rFonts w:hint="eastAsia" w:ascii="宋体" w:hAnsi="宋体" w:eastAsia="宋体" w:cs="宋体"/>
                <w:color w:val="auto"/>
                <w:highlight w:val="none"/>
              </w:rPr>
              <w:t>制定具体的</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方案</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包括但不限于产品采购流程、采购渠道选择、采购过程中的质量把控、产品的入库验收等</w:t>
            </w:r>
            <w:r>
              <w:rPr>
                <w:rFonts w:hint="eastAsia" w:ascii="宋体" w:hAnsi="宋体" w:eastAsia="宋体" w:cs="宋体"/>
                <w:color w:val="auto"/>
                <w:highlight w:val="none"/>
                <w:lang w:eastAsia="zh-CN"/>
              </w:rPr>
              <w:t>）：</w:t>
            </w:r>
          </w:p>
          <w:p>
            <w:pPr>
              <w:keepNext/>
              <w:keepLines/>
              <w:spacing w:line="360" w:lineRule="auto"/>
              <w:outlineLvl w:val="3"/>
              <w:rPr>
                <w:rFonts w:hint="eastAsia" w:ascii="宋体" w:hAnsi="宋体" w:eastAsia="宋体" w:cs="宋体"/>
                <w:color w:val="auto"/>
                <w:highlight w:val="none"/>
              </w:rPr>
            </w:pPr>
            <w:r>
              <w:rPr>
                <w:rFonts w:hint="eastAsia" w:ascii="宋体" w:hAnsi="宋体" w:eastAsia="宋体" w:cs="宋体"/>
                <w:color w:val="auto"/>
                <w:highlight w:val="none"/>
              </w:rPr>
              <w:t>方案完整、科学合理、操作性强，计</w:t>
            </w: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0</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15.0</w:t>
            </w:r>
            <w:r>
              <w:rPr>
                <w:rFonts w:hint="eastAsia" w:ascii="宋体" w:hAnsi="宋体" w:eastAsia="宋体" w:cs="宋体"/>
                <w:color w:val="auto"/>
                <w:highlight w:val="none"/>
              </w:rPr>
              <w:t>分；</w:t>
            </w:r>
          </w:p>
          <w:p>
            <w:pPr>
              <w:keepNext/>
              <w:keepLines/>
              <w:spacing w:line="360" w:lineRule="auto"/>
              <w:outlineLvl w:val="3"/>
              <w:rPr>
                <w:rFonts w:hint="eastAsia" w:ascii="宋体" w:hAnsi="宋体" w:eastAsia="宋体" w:cs="宋体"/>
                <w:color w:val="auto"/>
                <w:highlight w:val="none"/>
              </w:rPr>
            </w:pPr>
            <w:r>
              <w:rPr>
                <w:rFonts w:hint="eastAsia" w:ascii="宋体" w:hAnsi="宋体" w:eastAsia="宋体" w:cs="宋体"/>
                <w:color w:val="auto"/>
                <w:highlight w:val="none"/>
              </w:rPr>
              <w:t>方案较完整，工作目标</w:t>
            </w:r>
            <w:r>
              <w:rPr>
                <w:rFonts w:hint="eastAsia" w:ascii="宋体" w:hAnsi="宋体" w:eastAsia="宋体" w:cs="宋体"/>
                <w:color w:val="auto"/>
                <w:highlight w:val="none"/>
                <w:lang w:val="en-US" w:eastAsia="zh-CN"/>
              </w:rPr>
              <w:t>较</w:t>
            </w:r>
            <w:r>
              <w:rPr>
                <w:rFonts w:hint="eastAsia" w:ascii="宋体" w:hAnsi="宋体" w:eastAsia="宋体" w:cs="宋体"/>
                <w:color w:val="auto"/>
                <w:highlight w:val="none"/>
              </w:rPr>
              <w:t>明确、工作保障措施</w:t>
            </w:r>
            <w:r>
              <w:rPr>
                <w:rFonts w:hint="eastAsia" w:ascii="宋体" w:hAnsi="宋体" w:eastAsia="宋体" w:cs="宋体"/>
                <w:color w:val="auto"/>
                <w:highlight w:val="none"/>
                <w:lang w:val="en-US" w:eastAsia="zh-CN"/>
              </w:rPr>
              <w:t>基本</w:t>
            </w:r>
            <w:r>
              <w:rPr>
                <w:rFonts w:hint="eastAsia" w:ascii="宋体" w:hAnsi="宋体" w:eastAsia="宋体" w:cs="宋体"/>
                <w:color w:val="auto"/>
                <w:highlight w:val="none"/>
              </w:rPr>
              <w:t>到位，计</w:t>
            </w:r>
            <w:r>
              <w:rPr>
                <w:rFonts w:hint="eastAsia" w:ascii="宋体" w:hAnsi="宋体" w:eastAsia="宋体" w:cs="宋体"/>
                <w:color w:val="auto"/>
                <w:highlight w:val="none"/>
                <w:lang w:val="en-US" w:eastAsia="zh-CN"/>
              </w:rPr>
              <w:t>5.0</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9.9</w:t>
            </w:r>
            <w:r>
              <w:rPr>
                <w:rFonts w:hint="eastAsia" w:ascii="宋体" w:hAnsi="宋体" w:eastAsia="宋体" w:cs="宋体"/>
                <w:color w:val="auto"/>
                <w:highlight w:val="none"/>
              </w:rPr>
              <w:t>分；</w:t>
            </w:r>
          </w:p>
          <w:p>
            <w:pPr>
              <w:keepNext/>
              <w:keepLines/>
              <w:spacing w:line="360" w:lineRule="auto"/>
              <w:outlineLvl w:val="3"/>
              <w:rPr>
                <w:rFonts w:hint="eastAsia" w:ascii="宋体" w:hAnsi="宋体" w:eastAsia="宋体" w:cs="宋体"/>
                <w:color w:val="auto"/>
                <w:highlight w:val="none"/>
                <w:lang w:eastAsia="zh-CN"/>
              </w:rPr>
            </w:pPr>
            <w:r>
              <w:rPr>
                <w:rFonts w:hint="eastAsia" w:ascii="宋体" w:hAnsi="宋体" w:eastAsia="宋体" w:cs="宋体"/>
                <w:color w:val="auto"/>
                <w:highlight w:val="none"/>
              </w:rPr>
              <w:t>方案可执行性</w:t>
            </w:r>
            <w:r>
              <w:rPr>
                <w:rFonts w:hint="eastAsia" w:ascii="宋体" w:hAnsi="宋体" w:eastAsia="宋体" w:cs="宋体"/>
                <w:color w:val="auto"/>
                <w:highlight w:val="none"/>
                <w:lang w:val="en-US" w:eastAsia="zh-CN"/>
              </w:rPr>
              <w:t>一般</w:t>
            </w:r>
            <w:r>
              <w:rPr>
                <w:rFonts w:hint="eastAsia" w:ascii="宋体" w:hAnsi="宋体" w:eastAsia="宋体" w:cs="宋体"/>
                <w:color w:val="auto"/>
                <w:highlight w:val="none"/>
              </w:rPr>
              <w:t>，计</w:t>
            </w: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4.9</w:t>
            </w:r>
            <w:r>
              <w:rPr>
                <w:rFonts w:hint="eastAsia" w:ascii="宋体" w:hAnsi="宋体" w:eastAsia="宋体" w:cs="宋体"/>
                <w:color w:val="auto"/>
                <w:highlight w:val="none"/>
              </w:rPr>
              <w:t>分</w:t>
            </w:r>
            <w:r>
              <w:rPr>
                <w:rFonts w:hint="eastAsia" w:ascii="宋体" w:hAnsi="宋体" w:eastAsia="宋体" w:cs="宋体"/>
                <w:color w:val="auto"/>
                <w:highlight w:val="none"/>
                <w:lang w:eastAsia="zh-CN"/>
              </w:rPr>
              <w:t>；</w:t>
            </w:r>
          </w:p>
          <w:p>
            <w:pPr>
              <w:keepNext/>
              <w:keepLines/>
              <w:spacing w:line="360" w:lineRule="auto"/>
              <w:outlineLvl w:val="3"/>
              <w:rPr>
                <w:rFonts w:ascii="宋体" w:hAnsi="宋体" w:eastAsia="宋体" w:cs="宋体"/>
                <w:color w:val="auto"/>
                <w:highlight w:val="none"/>
              </w:rPr>
            </w:pPr>
            <w:r>
              <w:rPr>
                <w:rFonts w:hint="eastAsia" w:ascii="宋体" w:hAnsi="宋体" w:eastAsia="宋体" w:cs="宋体"/>
                <w:color w:val="auto"/>
                <w:highlight w:val="none"/>
              </w:rPr>
              <w:t>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6" w:hRule="atLeast"/>
          <w:jc w:val="center"/>
        </w:trPr>
        <w:tc>
          <w:tcPr>
            <w:tcW w:w="874" w:type="dxa"/>
            <w:noWrap/>
            <w:vAlign w:val="center"/>
          </w:tcPr>
          <w:p>
            <w:pPr>
              <w:spacing w:line="360" w:lineRule="auto"/>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产品配送方案</w:t>
            </w:r>
          </w:p>
        </w:tc>
        <w:tc>
          <w:tcPr>
            <w:tcW w:w="1459" w:type="dxa"/>
            <w:noWrap/>
            <w:vAlign w:val="center"/>
          </w:tcPr>
          <w:p>
            <w:pPr>
              <w:spacing w:line="360" w:lineRule="auto"/>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15.0分</w:t>
            </w:r>
          </w:p>
        </w:tc>
        <w:tc>
          <w:tcPr>
            <w:tcW w:w="7389" w:type="dxa"/>
            <w:noWrap/>
            <w:vAlign w:val="center"/>
          </w:tcPr>
          <w:p>
            <w:pPr>
              <w:keepNext/>
              <w:keepLines/>
              <w:spacing w:line="360" w:lineRule="auto"/>
              <w:outlineLvl w:val="3"/>
              <w:rPr>
                <w:rFonts w:hint="eastAsia" w:ascii="宋体" w:hAnsi="宋体" w:eastAsia="宋体" w:cs="宋体"/>
                <w:color w:val="auto"/>
                <w:highlight w:val="none"/>
                <w:lang w:eastAsia="zh-CN"/>
              </w:rPr>
            </w:pPr>
            <w:r>
              <w:rPr>
                <w:rFonts w:hint="eastAsia" w:ascii="宋体" w:hAnsi="宋体" w:eastAsia="宋体" w:cs="宋体"/>
                <w:color w:val="auto"/>
                <w:highlight w:val="none"/>
              </w:rPr>
              <w:t>供应商对本项目的</w:t>
            </w:r>
            <w:r>
              <w:rPr>
                <w:rFonts w:hint="eastAsia" w:ascii="宋体" w:hAnsi="宋体" w:eastAsia="宋体" w:cs="宋体"/>
                <w:color w:val="auto"/>
                <w:highlight w:val="none"/>
                <w:lang w:val="en-US" w:eastAsia="zh-CN"/>
              </w:rPr>
              <w:t>产品配送</w:t>
            </w:r>
            <w:r>
              <w:rPr>
                <w:rFonts w:hint="eastAsia" w:ascii="宋体" w:hAnsi="宋体" w:eastAsia="宋体" w:cs="宋体"/>
                <w:color w:val="auto"/>
                <w:highlight w:val="none"/>
              </w:rPr>
              <w:t>制定具体的</w:t>
            </w:r>
            <w:r>
              <w:rPr>
                <w:rFonts w:hint="eastAsia" w:ascii="宋体" w:hAnsi="宋体" w:eastAsia="宋体" w:cs="宋体"/>
                <w:color w:val="auto"/>
                <w:highlight w:val="none"/>
                <w:lang w:val="en-US" w:eastAsia="zh-CN"/>
              </w:rPr>
              <w:t>配送</w:t>
            </w:r>
            <w:r>
              <w:rPr>
                <w:rFonts w:hint="eastAsia" w:ascii="宋体" w:hAnsi="宋体" w:eastAsia="宋体" w:cs="宋体"/>
                <w:color w:val="auto"/>
                <w:highlight w:val="none"/>
              </w:rPr>
              <w:t>方案</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包括但不限于时限保证、物流安全、包装方式、运输方式、配送团队、产品交付等</w:t>
            </w:r>
            <w:r>
              <w:rPr>
                <w:rFonts w:hint="eastAsia" w:ascii="宋体" w:hAnsi="宋体" w:eastAsia="宋体" w:cs="宋体"/>
                <w:color w:val="auto"/>
                <w:highlight w:val="none"/>
                <w:lang w:eastAsia="zh-CN"/>
              </w:rPr>
              <w:t>）：</w:t>
            </w:r>
          </w:p>
          <w:p>
            <w:pPr>
              <w:keepNext/>
              <w:keepLines/>
              <w:spacing w:line="360" w:lineRule="auto"/>
              <w:outlineLvl w:val="3"/>
              <w:rPr>
                <w:rFonts w:hint="eastAsia" w:ascii="宋体" w:hAnsi="宋体" w:eastAsia="宋体" w:cs="宋体"/>
                <w:color w:val="auto"/>
                <w:highlight w:val="none"/>
              </w:rPr>
            </w:pPr>
            <w:r>
              <w:rPr>
                <w:rFonts w:hint="eastAsia" w:ascii="宋体" w:hAnsi="宋体" w:eastAsia="宋体" w:cs="宋体"/>
                <w:color w:val="auto"/>
                <w:highlight w:val="none"/>
              </w:rPr>
              <w:t>方案完整、科学合理、操作性强，计</w:t>
            </w: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0</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15.0</w:t>
            </w:r>
            <w:r>
              <w:rPr>
                <w:rFonts w:hint="eastAsia" w:ascii="宋体" w:hAnsi="宋体" w:eastAsia="宋体" w:cs="宋体"/>
                <w:color w:val="auto"/>
                <w:highlight w:val="none"/>
              </w:rPr>
              <w:t>分；</w:t>
            </w:r>
          </w:p>
          <w:p>
            <w:pPr>
              <w:keepNext/>
              <w:keepLines/>
              <w:spacing w:line="360" w:lineRule="auto"/>
              <w:outlineLvl w:val="3"/>
              <w:rPr>
                <w:rFonts w:hint="eastAsia" w:ascii="宋体" w:hAnsi="宋体" w:eastAsia="宋体" w:cs="宋体"/>
                <w:color w:val="auto"/>
                <w:highlight w:val="none"/>
              </w:rPr>
            </w:pPr>
            <w:r>
              <w:rPr>
                <w:rFonts w:hint="eastAsia" w:ascii="宋体" w:hAnsi="宋体" w:eastAsia="宋体" w:cs="宋体"/>
                <w:color w:val="auto"/>
                <w:highlight w:val="none"/>
              </w:rPr>
              <w:t>方案较完整，工作目标</w:t>
            </w:r>
            <w:r>
              <w:rPr>
                <w:rFonts w:hint="eastAsia" w:ascii="宋体" w:hAnsi="宋体" w:eastAsia="宋体" w:cs="宋体"/>
                <w:color w:val="auto"/>
                <w:highlight w:val="none"/>
                <w:lang w:val="en-US" w:eastAsia="zh-CN"/>
              </w:rPr>
              <w:t>较</w:t>
            </w:r>
            <w:r>
              <w:rPr>
                <w:rFonts w:hint="eastAsia" w:ascii="宋体" w:hAnsi="宋体" w:eastAsia="宋体" w:cs="宋体"/>
                <w:color w:val="auto"/>
                <w:highlight w:val="none"/>
              </w:rPr>
              <w:t>明确、工作保障措施</w:t>
            </w:r>
            <w:r>
              <w:rPr>
                <w:rFonts w:hint="eastAsia" w:ascii="宋体" w:hAnsi="宋体" w:eastAsia="宋体" w:cs="宋体"/>
                <w:color w:val="auto"/>
                <w:highlight w:val="none"/>
                <w:lang w:val="en-US" w:eastAsia="zh-CN"/>
              </w:rPr>
              <w:t>基本</w:t>
            </w:r>
            <w:r>
              <w:rPr>
                <w:rFonts w:hint="eastAsia" w:ascii="宋体" w:hAnsi="宋体" w:eastAsia="宋体" w:cs="宋体"/>
                <w:color w:val="auto"/>
                <w:highlight w:val="none"/>
              </w:rPr>
              <w:t>到位，计</w:t>
            </w:r>
            <w:r>
              <w:rPr>
                <w:rFonts w:hint="eastAsia" w:ascii="宋体" w:hAnsi="宋体" w:eastAsia="宋体" w:cs="宋体"/>
                <w:color w:val="auto"/>
                <w:highlight w:val="none"/>
                <w:lang w:val="en-US" w:eastAsia="zh-CN"/>
              </w:rPr>
              <w:t>5.0</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9.9</w:t>
            </w:r>
            <w:r>
              <w:rPr>
                <w:rFonts w:hint="eastAsia" w:ascii="宋体" w:hAnsi="宋体" w:eastAsia="宋体" w:cs="宋体"/>
                <w:color w:val="auto"/>
                <w:highlight w:val="none"/>
              </w:rPr>
              <w:t>分；</w:t>
            </w:r>
          </w:p>
          <w:p>
            <w:pPr>
              <w:keepNext/>
              <w:keepLines/>
              <w:spacing w:line="360" w:lineRule="auto"/>
              <w:outlineLvl w:val="3"/>
              <w:rPr>
                <w:rFonts w:hint="eastAsia" w:ascii="宋体" w:hAnsi="宋体" w:eastAsia="宋体" w:cs="宋体"/>
                <w:color w:val="auto"/>
                <w:highlight w:val="none"/>
                <w:lang w:eastAsia="zh-CN"/>
              </w:rPr>
            </w:pPr>
            <w:r>
              <w:rPr>
                <w:rFonts w:hint="eastAsia" w:ascii="宋体" w:hAnsi="宋体" w:eastAsia="宋体" w:cs="宋体"/>
                <w:color w:val="auto"/>
                <w:highlight w:val="none"/>
              </w:rPr>
              <w:t>方案可执行性</w:t>
            </w:r>
            <w:r>
              <w:rPr>
                <w:rFonts w:hint="eastAsia" w:ascii="宋体" w:hAnsi="宋体" w:eastAsia="宋体" w:cs="宋体"/>
                <w:color w:val="auto"/>
                <w:highlight w:val="none"/>
                <w:lang w:val="en-US" w:eastAsia="zh-CN"/>
              </w:rPr>
              <w:t>一般</w:t>
            </w:r>
            <w:r>
              <w:rPr>
                <w:rFonts w:hint="eastAsia" w:ascii="宋体" w:hAnsi="宋体" w:eastAsia="宋体" w:cs="宋体"/>
                <w:color w:val="auto"/>
                <w:highlight w:val="none"/>
              </w:rPr>
              <w:t>，计</w:t>
            </w: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4.9</w:t>
            </w:r>
            <w:r>
              <w:rPr>
                <w:rFonts w:hint="eastAsia" w:ascii="宋体" w:hAnsi="宋体" w:eastAsia="宋体" w:cs="宋体"/>
                <w:color w:val="auto"/>
                <w:highlight w:val="none"/>
              </w:rPr>
              <w:t>分</w:t>
            </w:r>
            <w:r>
              <w:rPr>
                <w:rFonts w:hint="eastAsia" w:ascii="宋体" w:hAnsi="宋体" w:eastAsia="宋体" w:cs="宋体"/>
                <w:color w:val="auto"/>
                <w:highlight w:val="none"/>
                <w:lang w:eastAsia="zh-CN"/>
              </w:rPr>
              <w:t>；</w:t>
            </w:r>
          </w:p>
          <w:p>
            <w:pPr>
              <w:keepNext/>
              <w:keepLines/>
              <w:spacing w:line="360" w:lineRule="auto"/>
              <w:outlineLvl w:val="3"/>
              <w:rPr>
                <w:rFonts w:ascii="宋体" w:hAnsi="宋体" w:eastAsia="宋体" w:cs="宋体"/>
                <w:color w:val="auto"/>
                <w:highlight w:val="none"/>
              </w:rPr>
            </w:pPr>
            <w:r>
              <w:rPr>
                <w:rFonts w:hint="eastAsia" w:ascii="宋体" w:hAnsi="宋体" w:eastAsia="宋体" w:cs="宋体"/>
                <w:color w:val="auto"/>
                <w:highlight w:val="none"/>
              </w:rPr>
              <w:t>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1" w:hRule="atLeast"/>
          <w:jc w:val="center"/>
        </w:trPr>
        <w:tc>
          <w:tcPr>
            <w:tcW w:w="874" w:type="dxa"/>
            <w:noWrap/>
            <w:vAlign w:val="center"/>
          </w:tcPr>
          <w:p>
            <w:pPr>
              <w:spacing w:line="360"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人员组织方案</w:t>
            </w:r>
          </w:p>
        </w:tc>
        <w:tc>
          <w:tcPr>
            <w:tcW w:w="1459" w:type="dxa"/>
            <w:noWrap/>
            <w:vAlign w:val="center"/>
          </w:tcPr>
          <w:p>
            <w:pPr>
              <w:spacing w:line="360" w:lineRule="auto"/>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15.0分</w:t>
            </w:r>
          </w:p>
        </w:tc>
        <w:tc>
          <w:tcPr>
            <w:tcW w:w="7389" w:type="dxa"/>
            <w:noWrap/>
            <w:vAlign w:val="center"/>
          </w:tcPr>
          <w:p>
            <w:pPr>
              <w:keepNext/>
              <w:keepLines/>
              <w:spacing w:line="360" w:lineRule="auto"/>
              <w:outlineLvl w:val="3"/>
              <w:rPr>
                <w:rFonts w:hint="eastAsia" w:ascii="宋体" w:hAnsi="宋体" w:eastAsia="宋体" w:cs="宋体"/>
                <w:color w:val="auto"/>
                <w:highlight w:val="none"/>
                <w:lang w:eastAsia="zh-CN"/>
              </w:rPr>
            </w:pPr>
            <w:r>
              <w:rPr>
                <w:rFonts w:hint="eastAsia" w:ascii="宋体" w:hAnsi="宋体" w:eastAsia="宋体" w:cs="宋体"/>
                <w:color w:val="auto"/>
                <w:highlight w:val="none"/>
              </w:rPr>
              <w:t>供应商对本项目的</w:t>
            </w:r>
            <w:r>
              <w:rPr>
                <w:rFonts w:hint="eastAsia" w:ascii="宋体" w:hAnsi="宋体" w:eastAsia="宋体" w:cs="宋体"/>
                <w:color w:val="auto"/>
                <w:highlight w:val="none"/>
                <w:lang w:val="en-US" w:eastAsia="zh-CN"/>
              </w:rPr>
              <w:t>人员组织</w:t>
            </w:r>
            <w:r>
              <w:rPr>
                <w:rFonts w:hint="eastAsia" w:ascii="宋体" w:hAnsi="宋体" w:eastAsia="宋体" w:cs="宋体"/>
                <w:color w:val="auto"/>
                <w:highlight w:val="none"/>
              </w:rPr>
              <w:t>制定具体的方案</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包括但不限于人员岗位职责、人员组成、人员管理制度、相关奖惩措施等</w:t>
            </w:r>
            <w:r>
              <w:rPr>
                <w:rFonts w:hint="eastAsia" w:ascii="宋体" w:hAnsi="宋体" w:eastAsia="宋体" w:cs="宋体"/>
                <w:color w:val="auto"/>
                <w:highlight w:val="none"/>
                <w:lang w:eastAsia="zh-CN"/>
              </w:rPr>
              <w:t>）：</w:t>
            </w:r>
          </w:p>
          <w:p>
            <w:pPr>
              <w:keepNext/>
              <w:keepLines/>
              <w:spacing w:line="360" w:lineRule="auto"/>
              <w:outlineLvl w:val="3"/>
              <w:rPr>
                <w:rFonts w:hint="eastAsia" w:ascii="宋体" w:hAnsi="宋体" w:eastAsia="宋体" w:cs="宋体"/>
                <w:color w:val="auto"/>
                <w:highlight w:val="none"/>
              </w:rPr>
            </w:pPr>
            <w:r>
              <w:rPr>
                <w:rFonts w:hint="eastAsia" w:ascii="宋体" w:hAnsi="宋体" w:eastAsia="宋体" w:cs="宋体"/>
                <w:color w:val="auto"/>
                <w:highlight w:val="none"/>
              </w:rPr>
              <w:t>方案完整、科学合理、操作性强，计</w:t>
            </w: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0</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15.0</w:t>
            </w:r>
            <w:r>
              <w:rPr>
                <w:rFonts w:hint="eastAsia" w:ascii="宋体" w:hAnsi="宋体" w:eastAsia="宋体" w:cs="宋体"/>
                <w:color w:val="auto"/>
                <w:highlight w:val="none"/>
              </w:rPr>
              <w:t>分；</w:t>
            </w:r>
          </w:p>
          <w:p>
            <w:pPr>
              <w:keepNext/>
              <w:keepLines/>
              <w:spacing w:line="360" w:lineRule="auto"/>
              <w:outlineLvl w:val="3"/>
              <w:rPr>
                <w:rFonts w:hint="eastAsia" w:ascii="宋体" w:hAnsi="宋体" w:eastAsia="宋体" w:cs="宋体"/>
                <w:color w:val="auto"/>
                <w:highlight w:val="none"/>
              </w:rPr>
            </w:pPr>
            <w:r>
              <w:rPr>
                <w:rFonts w:hint="eastAsia" w:ascii="宋体" w:hAnsi="宋体" w:eastAsia="宋体" w:cs="宋体"/>
                <w:color w:val="auto"/>
                <w:highlight w:val="none"/>
              </w:rPr>
              <w:t>方案较完整，工作目标</w:t>
            </w:r>
            <w:r>
              <w:rPr>
                <w:rFonts w:hint="eastAsia" w:ascii="宋体" w:hAnsi="宋体" w:eastAsia="宋体" w:cs="宋体"/>
                <w:color w:val="auto"/>
                <w:highlight w:val="none"/>
                <w:lang w:val="en-US" w:eastAsia="zh-CN"/>
              </w:rPr>
              <w:t>较</w:t>
            </w:r>
            <w:r>
              <w:rPr>
                <w:rFonts w:hint="eastAsia" w:ascii="宋体" w:hAnsi="宋体" w:eastAsia="宋体" w:cs="宋体"/>
                <w:color w:val="auto"/>
                <w:highlight w:val="none"/>
              </w:rPr>
              <w:t>明确、工作保障措施</w:t>
            </w:r>
            <w:r>
              <w:rPr>
                <w:rFonts w:hint="eastAsia" w:ascii="宋体" w:hAnsi="宋体" w:eastAsia="宋体" w:cs="宋体"/>
                <w:color w:val="auto"/>
                <w:highlight w:val="none"/>
                <w:lang w:val="en-US" w:eastAsia="zh-CN"/>
              </w:rPr>
              <w:t>基本</w:t>
            </w:r>
            <w:r>
              <w:rPr>
                <w:rFonts w:hint="eastAsia" w:ascii="宋体" w:hAnsi="宋体" w:eastAsia="宋体" w:cs="宋体"/>
                <w:color w:val="auto"/>
                <w:highlight w:val="none"/>
              </w:rPr>
              <w:t>到位，计</w:t>
            </w:r>
            <w:r>
              <w:rPr>
                <w:rFonts w:hint="eastAsia" w:ascii="宋体" w:hAnsi="宋体" w:eastAsia="宋体" w:cs="宋体"/>
                <w:color w:val="auto"/>
                <w:highlight w:val="none"/>
                <w:lang w:val="en-US" w:eastAsia="zh-CN"/>
              </w:rPr>
              <w:t>5.0</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9.9</w:t>
            </w:r>
            <w:r>
              <w:rPr>
                <w:rFonts w:hint="eastAsia" w:ascii="宋体" w:hAnsi="宋体" w:eastAsia="宋体" w:cs="宋体"/>
                <w:color w:val="auto"/>
                <w:highlight w:val="none"/>
              </w:rPr>
              <w:t>分；</w:t>
            </w:r>
          </w:p>
          <w:p>
            <w:pPr>
              <w:keepNext/>
              <w:keepLines/>
              <w:spacing w:line="360" w:lineRule="auto"/>
              <w:outlineLvl w:val="3"/>
              <w:rPr>
                <w:rFonts w:hint="eastAsia" w:ascii="宋体" w:hAnsi="宋体" w:eastAsia="宋体" w:cs="宋体"/>
                <w:color w:val="auto"/>
                <w:highlight w:val="none"/>
                <w:lang w:eastAsia="zh-CN"/>
              </w:rPr>
            </w:pPr>
            <w:r>
              <w:rPr>
                <w:rFonts w:hint="eastAsia" w:ascii="宋体" w:hAnsi="宋体" w:eastAsia="宋体" w:cs="宋体"/>
                <w:color w:val="auto"/>
                <w:highlight w:val="none"/>
              </w:rPr>
              <w:t>方案可执行性</w:t>
            </w:r>
            <w:r>
              <w:rPr>
                <w:rFonts w:hint="eastAsia" w:ascii="宋体" w:hAnsi="宋体" w:eastAsia="宋体" w:cs="宋体"/>
                <w:color w:val="auto"/>
                <w:highlight w:val="none"/>
                <w:lang w:val="en-US" w:eastAsia="zh-CN"/>
              </w:rPr>
              <w:t>一般</w:t>
            </w:r>
            <w:r>
              <w:rPr>
                <w:rFonts w:hint="eastAsia" w:ascii="宋体" w:hAnsi="宋体" w:eastAsia="宋体" w:cs="宋体"/>
                <w:color w:val="auto"/>
                <w:highlight w:val="none"/>
              </w:rPr>
              <w:t>，计</w:t>
            </w: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4.9</w:t>
            </w:r>
            <w:r>
              <w:rPr>
                <w:rFonts w:hint="eastAsia" w:ascii="宋体" w:hAnsi="宋体" w:eastAsia="宋体" w:cs="宋体"/>
                <w:color w:val="auto"/>
                <w:highlight w:val="none"/>
              </w:rPr>
              <w:t>分</w:t>
            </w:r>
            <w:r>
              <w:rPr>
                <w:rFonts w:hint="eastAsia" w:ascii="宋体" w:hAnsi="宋体" w:eastAsia="宋体" w:cs="宋体"/>
                <w:color w:val="auto"/>
                <w:highlight w:val="none"/>
                <w:lang w:eastAsia="zh-CN"/>
              </w:rPr>
              <w:t>；</w:t>
            </w:r>
          </w:p>
          <w:p>
            <w:pPr>
              <w:keepNext/>
              <w:keepLines/>
              <w:spacing w:line="360" w:lineRule="auto"/>
              <w:outlineLvl w:val="3"/>
              <w:rPr>
                <w:rFonts w:ascii="宋体" w:hAnsi="宋体" w:eastAsia="宋体" w:cs="宋体"/>
                <w:color w:val="auto"/>
                <w:highlight w:val="none"/>
              </w:rPr>
            </w:pPr>
            <w:r>
              <w:rPr>
                <w:rFonts w:hint="eastAsia" w:ascii="宋体" w:hAnsi="宋体" w:eastAsia="宋体" w:cs="宋体"/>
                <w:color w:val="auto"/>
                <w:highlight w:val="none"/>
              </w:rPr>
              <w:t>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4" w:hRule="atLeast"/>
          <w:jc w:val="center"/>
        </w:trPr>
        <w:tc>
          <w:tcPr>
            <w:tcW w:w="874" w:type="dxa"/>
            <w:noWrap/>
            <w:vAlign w:val="center"/>
          </w:tcPr>
          <w:p>
            <w:pPr>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质量保证方案</w:t>
            </w:r>
          </w:p>
        </w:tc>
        <w:tc>
          <w:tcPr>
            <w:tcW w:w="1459" w:type="dxa"/>
            <w:noWrap/>
            <w:vAlign w:val="center"/>
          </w:tcPr>
          <w:p>
            <w:pPr>
              <w:spacing w:line="360" w:lineRule="auto"/>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15.0分</w:t>
            </w:r>
          </w:p>
        </w:tc>
        <w:tc>
          <w:tcPr>
            <w:tcW w:w="7389" w:type="dxa"/>
            <w:noWrap/>
            <w:vAlign w:val="center"/>
          </w:tcPr>
          <w:p>
            <w:pPr>
              <w:keepNext/>
              <w:keepLines/>
              <w:spacing w:line="360" w:lineRule="auto"/>
              <w:outlineLvl w:val="3"/>
              <w:rPr>
                <w:rFonts w:hint="eastAsia" w:ascii="宋体" w:hAnsi="宋体" w:eastAsia="宋体" w:cs="宋体"/>
                <w:color w:val="auto"/>
                <w:highlight w:val="none"/>
                <w:lang w:eastAsia="zh-CN"/>
              </w:rPr>
            </w:pPr>
            <w:r>
              <w:rPr>
                <w:rFonts w:hint="eastAsia" w:ascii="宋体" w:hAnsi="宋体" w:eastAsia="宋体" w:cs="宋体"/>
                <w:color w:val="auto"/>
                <w:highlight w:val="none"/>
              </w:rPr>
              <w:t>供应商对本项目的</w:t>
            </w:r>
            <w:r>
              <w:rPr>
                <w:rFonts w:hint="eastAsia" w:ascii="宋体" w:hAnsi="宋体" w:eastAsia="宋体" w:cs="宋体"/>
                <w:color w:val="auto"/>
                <w:highlight w:val="none"/>
                <w:lang w:val="en-US" w:eastAsia="zh-CN"/>
              </w:rPr>
              <w:t>产品质量保证</w:t>
            </w:r>
            <w:r>
              <w:rPr>
                <w:rFonts w:hint="eastAsia" w:ascii="宋体" w:hAnsi="宋体" w:eastAsia="宋体" w:cs="宋体"/>
                <w:color w:val="auto"/>
                <w:highlight w:val="none"/>
              </w:rPr>
              <w:t>制定具体的方案</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包括但不限于</w:t>
            </w:r>
            <w:r>
              <w:rPr>
                <w:rFonts w:hint="eastAsia" w:ascii="宋体" w:hAnsi="宋体" w:cs="宋体"/>
                <w:color w:val="auto"/>
                <w:sz w:val="24"/>
                <w:szCs w:val="24"/>
              </w:rPr>
              <w:t>产品的</w:t>
            </w:r>
            <w:r>
              <w:rPr>
                <w:rFonts w:hint="eastAsia" w:ascii="宋体" w:hAnsi="宋体" w:cs="宋体"/>
                <w:color w:val="auto"/>
                <w:sz w:val="24"/>
                <w:szCs w:val="24"/>
                <w:lang w:val="en-US" w:eastAsia="zh-CN"/>
              </w:rPr>
              <w:t>质量检验检测设备</w:t>
            </w:r>
            <w:r>
              <w:rPr>
                <w:rFonts w:hint="eastAsia" w:ascii="宋体" w:hAnsi="宋体" w:cs="宋体"/>
                <w:color w:val="auto"/>
                <w:sz w:val="24"/>
                <w:szCs w:val="24"/>
                <w:lang w:eastAsia="zh-CN"/>
              </w:rPr>
              <w:t>、</w:t>
            </w:r>
            <w:r>
              <w:rPr>
                <w:rFonts w:hint="eastAsia" w:ascii="宋体" w:hAnsi="宋体" w:cs="宋体"/>
                <w:color w:val="auto"/>
                <w:sz w:val="24"/>
                <w:szCs w:val="24"/>
              </w:rPr>
              <w:t>生产厂家实力</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初步验收方案等</w:t>
            </w:r>
            <w:r>
              <w:rPr>
                <w:rFonts w:hint="eastAsia" w:ascii="宋体" w:hAnsi="宋体" w:eastAsia="宋体" w:cs="宋体"/>
                <w:color w:val="auto"/>
                <w:highlight w:val="none"/>
                <w:lang w:eastAsia="zh-CN"/>
              </w:rPr>
              <w:t>）：</w:t>
            </w:r>
          </w:p>
          <w:p>
            <w:pPr>
              <w:keepNext/>
              <w:keepLines/>
              <w:spacing w:line="360" w:lineRule="auto"/>
              <w:outlineLvl w:val="3"/>
              <w:rPr>
                <w:rFonts w:hint="eastAsia" w:ascii="宋体" w:hAnsi="宋体" w:eastAsia="宋体" w:cs="宋体"/>
                <w:color w:val="auto"/>
                <w:highlight w:val="none"/>
              </w:rPr>
            </w:pPr>
            <w:r>
              <w:rPr>
                <w:rFonts w:hint="eastAsia" w:ascii="宋体" w:hAnsi="宋体" w:eastAsia="宋体" w:cs="宋体"/>
                <w:color w:val="auto"/>
                <w:highlight w:val="none"/>
              </w:rPr>
              <w:t>方案完整、科学合理、操作性强，计</w:t>
            </w: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0</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15.0</w:t>
            </w:r>
            <w:r>
              <w:rPr>
                <w:rFonts w:hint="eastAsia" w:ascii="宋体" w:hAnsi="宋体" w:eastAsia="宋体" w:cs="宋体"/>
                <w:color w:val="auto"/>
                <w:highlight w:val="none"/>
              </w:rPr>
              <w:t>分；</w:t>
            </w:r>
          </w:p>
          <w:p>
            <w:pPr>
              <w:keepNext/>
              <w:keepLines/>
              <w:spacing w:line="360" w:lineRule="auto"/>
              <w:outlineLvl w:val="3"/>
              <w:rPr>
                <w:rFonts w:hint="eastAsia" w:ascii="宋体" w:hAnsi="宋体" w:eastAsia="宋体" w:cs="宋体"/>
                <w:color w:val="auto"/>
                <w:highlight w:val="none"/>
              </w:rPr>
            </w:pPr>
            <w:r>
              <w:rPr>
                <w:rFonts w:hint="eastAsia" w:ascii="宋体" w:hAnsi="宋体" w:eastAsia="宋体" w:cs="宋体"/>
                <w:color w:val="auto"/>
                <w:highlight w:val="none"/>
              </w:rPr>
              <w:t>方案较完整，工作目标</w:t>
            </w:r>
            <w:r>
              <w:rPr>
                <w:rFonts w:hint="eastAsia" w:ascii="宋体" w:hAnsi="宋体" w:eastAsia="宋体" w:cs="宋体"/>
                <w:color w:val="auto"/>
                <w:highlight w:val="none"/>
                <w:lang w:val="en-US" w:eastAsia="zh-CN"/>
              </w:rPr>
              <w:t>较</w:t>
            </w:r>
            <w:r>
              <w:rPr>
                <w:rFonts w:hint="eastAsia" w:ascii="宋体" w:hAnsi="宋体" w:eastAsia="宋体" w:cs="宋体"/>
                <w:color w:val="auto"/>
                <w:highlight w:val="none"/>
              </w:rPr>
              <w:t>明确、工作保障措施</w:t>
            </w:r>
            <w:r>
              <w:rPr>
                <w:rFonts w:hint="eastAsia" w:ascii="宋体" w:hAnsi="宋体" w:eastAsia="宋体" w:cs="宋体"/>
                <w:color w:val="auto"/>
                <w:highlight w:val="none"/>
                <w:lang w:val="en-US" w:eastAsia="zh-CN"/>
              </w:rPr>
              <w:t>基本</w:t>
            </w:r>
            <w:r>
              <w:rPr>
                <w:rFonts w:hint="eastAsia" w:ascii="宋体" w:hAnsi="宋体" w:eastAsia="宋体" w:cs="宋体"/>
                <w:color w:val="auto"/>
                <w:highlight w:val="none"/>
              </w:rPr>
              <w:t>到位，计</w:t>
            </w:r>
            <w:r>
              <w:rPr>
                <w:rFonts w:hint="eastAsia" w:ascii="宋体" w:hAnsi="宋体" w:eastAsia="宋体" w:cs="宋体"/>
                <w:color w:val="auto"/>
                <w:highlight w:val="none"/>
                <w:lang w:val="en-US" w:eastAsia="zh-CN"/>
              </w:rPr>
              <w:t>5.0</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9.9</w:t>
            </w:r>
            <w:r>
              <w:rPr>
                <w:rFonts w:hint="eastAsia" w:ascii="宋体" w:hAnsi="宋体" w:eastAsia="宋体" w:cs="宋体"/>
                <w:color w:val="auto"/>
                <w:highlight w:val="none"/>
              </w:rPr>
              <w:t>分；</w:t>
            </w:r>
          </w:p>
          <w:p>
            <w:pPr>
              <w:keepNext/>
              <w:keepLines/>
              <w:spacing w:line="360" w:lineRule="auto"/>
              <w:outlineLvl w:val="3"/>
              <w:rPr>
                <w:rFonts w:hint="eastAsia" w:ascii="宋体" w:hAnsi="宋体" w:eastAsia="宋体" w:cs="宋体"/>
                <w:color w:val="auto"/>
                <w:highlight w:val="none"/>
                <w:lang w:eastAsia="zh-CN"/>
              </w:rPr>
            </w:pPr>
            <w:r>
              <w:rPr>
                <w:rFonts w:hint="eastAsia" w:ascii="宋体" w:hAnsi="宋体" w:eastAsia="宋体" w:cs="宋体"/>
                <w:color w:val="auto"/>
                <w:highlight w:val="none"/>
              </w:rPr>
              <w:t>方案可执行性</w:t>
            </w:r>
            <w:r>
              <w:rPr>
                <w:rFonts w:hint="eastAsia" w:ascii="宋体" w:hAnsi="宋体" w:eastAsia="宋体" w:cs="宋体"/>
                <w:color w:val="auto"/>
                <w:highlight w:val="none"/>
                <w:lang w:val="en-US" w:eastAsia="zh-CN"/>
              </w:rPr>
              <w:t>一般</w:t>
            </w:r>
            <w:r>
              <w:rPr>
                <w:rFonts w:hint="eastAsia" w:ascii="宋体" w:hAnsi="宋体" w:eastAsia="宋体" w:cs="宋体"/>
                <w:color w:val="auto"/>
                <w:highlight w:val="none"/>
              </w:rPr>
              <w:t>，计</w:t>
            </w: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4.9</w:t>
            </w:r>
            <w:r>
              <w:rPr>
                <w:rFonts w:hint="eastAsia" w:ascii="宋体" w:hAnsi="宋体" w:eastAsia="宋体" w:cs="宋体"/>
                <w:color w:val="auto"/>
                <w:highlight w:val="none"/>
              </w:rPr>
              <w:t>分</w:t>
            </w:r>
            <w:r>
              <w:rPr>
                <w:rFonts w:hint="eastAsia" w:ascii="宋体" w:hAnsi="宋体" w:eastAsia="宋体" w:cs="宋体"/>
                <w:color w:val="auto"/>
                <w:highlight w:val="none"/>
                <w:lang w:eastAsia="zh-CN"/>
              </w:rPr>
              <w:t>；</w:t>
            </w:r>
          </w:p>
          <w:p>
            <w:pPr>
              <w:keepNext/>
              <w:keepLines/>
              <w:spacing w:line="360" w:lineRule="auto"/>
              <w:outlineLvl w:val="3"/>
              <w:rPr>
                <w:rFonts w:ascii="宋体" w:hAnsi="宋体" w:eastAsia="宋体" w:cs="宋体"/>
                <w:color w:val="auto"/>
                <w:highlight w:val="none"/>
              </w:rPr>
            </w:pPr>
            <w:r>
              <w:rPr>
                <w:rFonts w:hint="eastAsia" w:ascii="宋体" w:hAnsi="宋体" w:eastAsia="宋体" w:cs="宋体"/>
                <w:color w:val="auto"/>
                <w:highlight w:val="none"/>
              </w:rPr>
              <w:t>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atLeast"/>
          <w:jc w:val="center"/>
        </w:trPr>
        <w:tc>
          <w:tcPr>
            <w:tcW w:w="874" w:type="dxa"/>
            <w:noWrap/>
            <w:vAlign w:val="center"/>
          </w:tcPr>
          <w:p>
            <w:pPr>
              <w:spacing w:line="360" w:lineRule="auto"/>
              <w:jc w:val="center"/>
              <w:rPr>
                <w:rFonts w:ascii="宋体" w:hAnsi="宋体" w:eastAsia="宋体" w:cs="宋体"/>
                <w:color w:val="auto"/>
                <w:highlight w:val="none"/>
              </w:rPr>
            </w:pPr>
            <w:r>
              <w:rPr>
                <w:rFonts w:hint="eastAsia" w:ascii="宋体" w:hAnsi="宋体" w:eastAsia="宋体" w:cs="宋体"/>
                <w:color w:val="auto"/>
                <w:highlight w:val="none"/>
              </w:rPr>
              <w:t>售后服务方案</w:t>
            </w:r>
          </w:p>
        </w:tc>
        <w:tc>
          <w:tcPr>
            <w:tcW w:w="1459" w:type="dxa"/>
            <w:noWrap/>
            <w:vAlign w:val="center"/>
          </w:tcPr>
          <w:p>
            <w:pPr>
              <w:spacing w:line="360" w:lineRule="auto"/>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9.0分</w:t>
            </w:r>
          </w:p>
        </w:tc>
        <w:tc>
          <w:tcPr>
            <w:tcW w:w="7389" w:type="dxa"/>
            <w:noWrap/>
            <w:vAlign w:val="center"/>
          </w:tcPr>
          <w:p>
            <w:pPr>
              <w:keepNext/>
              <w:keepLines/>
              <w:spacing w:line="360" w:lineRule="auto"/>
              <w:outlineLvl w:val="3"/>
              <w:rPr>
                <w:rFonts w:hint="eastAsia" w:ascii="宋体" w:hAnsi="宋体" w:eastAsia="宋体" w:cs="宋体"/>
                <w:color w:val="auto"/>
                <w:highlight w:val="none"/>
                <w:lang w:eastAsia="zh-CN"/>
              </w:rPr>
            </w:pPr>
            <w:r>
              <w:rPr>
                <w:rFonts w:hint="eastAsia" w:ascii="宋体" w:hAnsi="宋体" w:eastAsia="宋体" w:cs="宋体"/>
                <w:color w:val="auto"/>
                <w:highlight w:val="none"/>
              </w:rPr>
              <w:t>供应商对本项目的</w:t>
            </w:r>
            <w:r>
              <w:rPr>
                <w:rFonts w:hint="eastAsia" w:ascii="宋体" w:hAnsi="宋体" w:eastAsia="宋体" w:cs="宋体"/>
                <w:color w:val="auto"/>
                <w:highlight w:val="none"/>
                <w:lang w:val="en-US" w:eastAsia="zh-CN"/>
              </w:rPr>
              <w:t>产品质量保证</w:t>
            </w:r>
            <w:r>
              <w:rPr>
                <w:rFonts w:hint="eastAsia" w:ascii="宋体" w:hAnsi="宋体" w:eastAsia="宋体" w:cs="宋体"/>
                <w:color w:val="auto"/>
                <w:highlight w:val="none"/>
              </w:rPr>
              <w:t>制定具体的方案</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包括但不限于</w:t>
            </w:r>
            <w:r>
              <w:rPr>
                <w:rFonts w:hint="eastAsia" w:ascii="宋体" w:hAnsi="宋体" w:eastAsia="宋体" w:cs="宋体"/>
                <w:color w:val="auto"/>
                <w:highlight w:val="none"/>
              </w:rPr>
              <w:t>交付用户后出现问题响应时间、针对突发事件的应急措施和解决方案等</w:t>
            </w:r>
            <w:r>
              <w:rPr>
                <w:rFonts w:hint="eastAsia" w:ascii="宋体" w:hAnsi="宋体" w:eastAsia="宋体" w:cs="宋体"/>
                <w:color w:val="auto"/>
                <w:highlight w:val="none"/>
                <w:lang w:eastAsia="zh-CN"/>
              </w:rPr>
              <w:t>）：</w:t>
            </w:r>
          </w:p>
          <w:p>
            <w:pPr>
              <w:keepNext/>
              <w:keepLines/>
              <w:spacing w:line="360" w:lineRule="auto"/>
              <w:outlineLvl w:val="3"/>
              <w:rPr>
                <w:rFonts w:hint="eastAsia" w:ascii="宋体" w:hAnsi="宋体" w:eastAsia="宋体" w:cs="宋体"/>
                <w:color w:val="auto"/>
                <w:highlight w:val="none"/>
              </w:rPr>
            </w:pPr>
            <w:r>
              <w:rPr>
                <w:rFonts w:hint="eastAsia" w:ascii="宋体" w:hAnsi="宋体" w:eastAsia="宋体" w:cs="宋体"/>
                <w:color w:val="auto"/>
                <w:highlight w:val="none"/>
              </w:rPr>
              <w:t>方案完整、科学合理、操作性强，计</w:t>
            </w:r>
            <w:r>
              <w:rPr>
                <w:rFonts w:hint="eastAsia" w:ascii="宋体" w:hAnsi="宋体" w:eastAsia="宋体" w:cs="宋体"/>
                <w:color w:val="auto"/>
                <w:highlight w:val="none"/>
                <w:lang w:val="en-US" w:eastAsia="zh-CN"/>
              </w:rPr>
              <w:t>5.5</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0</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9.0</w:t>
            </w:r>
            <w:r>
              <w:rPr>
                <w:rFonts w:hint="eastAsia" w:ascii="宋体" w:hAnsi="宋体" w:eastAsia="宋体" w:cs="宋体"/>
                <w:color w:val="auto"/>
                <w:highlight w:val="none"/>
              </w:rPr>
              <w:t>分；</w:t>
            </w:r>
          </w:p>
          <w:p>
            <w:pPr>
              <w:keepNext/>
              <w:keepLines/>
              <w:spacing w:line="360" w:lineRule="auto"/>
              <w:outlineLvl w:val="3"/>
              <w:rPr>
                <w:rFonts w:hint="eastAsia" w:ascii="宋体" w:hAnsi="宋体" w:eastAsia="宋体" w:cs="宋体"/>
                <w:color w:val="auto"/>
                <w:highlight w:val="none"/>
              </w:rPr>
            </w:pPr>
            <w:r>
              <w:rPr>
                <w:rFonts w:hint="eastAsia" w:ascii="宋体" w:hAnsi="宋体" w:eastAsia="宋体" w:cs="宋体"/>
                <w:color w:val="auto"/>
                <w:highlight w:val="none"/>
              </w:rPr>
              <w:t>方案较完整，工作目标</w:t>
            </w:r>
            <w:r>
              <w:rPr>
                <w:rFonts w:hint="eastAsia" w:ascii="宋体" w:hAnsi="宋体" w:eastAsia="宋体" w:cs="宋体"/>
                <w:color w:val="auto"/>
                <w:highlight w:val="none"/>
                <w:lang w:val="en-US" w:eastAsia="zh-CN"/>
              </w:rPr>
              <w:t>较</w:t>
            </w:r>
            <w:r>
              <w:rPr>
                <w:rFonts w:hint="eastAsia" w:ascii="宋体" w:hAnsi="宋体" w:eastAsia="宋体" w:cs="宋体"/>
                <w:color w:val="auto"/>
                <w:highlight w:val="none"/>
              </w:rPr>
              <w:t>明确、工作保障措施</w:t>
            </w:r>
            <w:r>
              <w:rPr>
                <w:rFonts w:hint="eastAsia" w:ascii="宋体" w:hAnsi="宋体" w:eastAsia="宋体" w:cs="宋体"/>
                <w:color w:val="auto"/>
                <w:highlight w:val="none"/>
                <w:lang w:val="en-US" w:eastAsia="zh-CN"/>
              </w:rPr>
              <w:t>基本</w:t>
            </w:r>
            <w:r>
              <w:rPr>
                <w:rFonts w:hint="eastAsia" w:ascii="宋体" w:hAnsi="宋体" w:eastAsia="宋体" w:cs="宋体"/>
                <w:color w:val="auto"/>
                <w:highlight w:val="none"/>
              </w:rPr>
              <w:t>到位，计</w:t>
            </w:r>
            <w:r>
              <w:rPr>
                <w:rFonts w:hint="eastAsia" w:ascii="宋体" w:hAnsi="宋体" w:eastAsia="宋体" w:cs="宋体"/>
                <w:color w:val="auto"/>
                <w:highlight w:val="none"/>
                <w:lang w:val="en-US" w:eastAsia="zh-CN"/>
              </w:rPr>
              <w:t>2.5</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5.4</w:t>
            </w:r>
            <w:r>
              <w:rPr>
                <w:rFonts w:hint="eastAsia" w:ascii="宋体" w:hAnsi="宋体" w:eastAsia="宋体" w:cs="宋体"/>
                <w:color w:val="auto"/>
                <w:highlight w:val="none"/>
              </w:rPr>
              <w:t>分；</w:t>
            </w:r>
          </w:p>
          <w:p>
            <w:pPr>
              <w:keepNext/>
              <w:keepLines/>
              <w:spacing w:line="360" w:lineRule="auto"/>
              <w:outlineLvl w:val="3"/>
              <w:rPr>
                <w:rFonts w:hint="eastAsia" w:ascii="宋体" w:hAnsi="宋体" w:eastAsia="宋体" w:cs="宋体"/>
                <w:color w:val="auto"/>
                <w:highlight w:val="none"/>
                <w:lang w:eastAsia="zh-CN"/>
              </w:rPr>
            </w:pPr>
            <w:r>
              <w:rPr>
                <w:rFonts w:hint="eastAsia" w:ascii="宋体" w:hAnsi="宋体" w:eastAsia="宋体" w:cs="宋体"/>
                <w:color w:val="auto"/>
                <w:highlight w:val="none"/>
              </w:rPr>
              <w:t>方案可执行性</w:t>
            </w:r>
            <w:r>
              <w:rPr>
                <w:rFonts w:hint="eastAsia" w:ascii="宋体" w:hAnsi="宋体" w:eastAsia="宋体" w:cs="宋体"/>
                <w:color w:val="auto"/>
                <w:highlight w:val="none"/>
                <w:lang w:val="en-US" w:eastAsia="zh-CN"/>
              </w:rPr>
              <w:t>一般</w:t>
            </w:r>
            <w:r>
              <w:rPr>
                <w:rFonts w:hint="eastAsia" w:ascii="宋体" w:hAnsi="宋体" w:eastAsia="宋体" w:cs="宋体"/>
                <w:color w:val="auto"/>
                <w:highlight w:val="none"/>
              </w:rPr>
              <w:t>，计</w:t>
            </w: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2.4</w:t>
            </w:r>
            <w:r>
              <w:rPr>
                <w:rFonts w:hint="eastAsia" w:ascii="宋体" w:hAnsi="宋体" w:eastAsia="宋体" w:cs="宋体"/>
                <w:color w:val="auto"/>
                <w:highlight w:val="none"/>
              </w:rPr>
              <w:t>分</w:t>
            </w:r>
            <w:r>
              <w:rPr>
                <w:rFonts w:hint="eastAsia" w:ascii="宋体" w:hAnsi="宋体" w:eastAsia="宋体" w:cs="宋体"/>
                <w:color w:val="auto"/>
                <w:highlight w:val="none"/>
                <w:lang w:eastAsia="zh-CN"/>
              </w:rPr>
              <w:t>；</w:t>
            </w:r>
          </w:p>
          <w:p>
            <w:pPr>
              <w:spacing w:line="360" w:lineRule="auto"/>
              <w:rPr>
                <w:rFonts w:ascii="宋体" w:hAnsi="宋体" w:eastAsia="宋体" w:cs="宋体"/>
                <w:color w:val="auto"/>
                <w:highlight w:val="none"/>
              </w:rPr>
            </w:pPr>
            <w:r>
              <w:rPr>
                <w:rFonts w:hint="eastAsia" w:ascii="宋体" w:hAnsi="宋体" w:eastAsia="宋体" w:cs="宋体"/>
                <w:color w:val="auto"/>
                <w:highlight w:val="none"/>
              </w:rPr>
              <w:t>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874" w:type="dxa"/>
            <w:noWrap/>
            <w:vAlign w:val="center"/>
          </w:tcPr>
          <w:p>
            <w:pPr>
              <w:spacing w:line="360" w:lineRule="auto"/>
              <w:jc w:val="center"/>
              <w:rPr>
                <w:rFonts w:ascii="宋体" w:hAnsi="宋体" w:eastAsia="宋体" w:cs="宋体"/>
                <w:color w:val="auto"/>
                <w:highlight w:val="none"/>
              </w:rPr>
            </w:pPr>
            <w:r>
              <w:rPr>
                <w:rFonts w:hint="eastAsia" w:ascii="宋体" w:hAnsi="宋体" w:eastAsia="宋体" w:cs="宋体"/>
                <w:color w:val="auto"/>
                <w:highlight w:val="none"/>
              </w:rPr>
              <w:t>节能</w:t>
            </w:r>
          </w:p>
          <w:p>
            <w:pPr>
              <w:spacing w:line="360" w:lineRule="auto"/>
              <w:jc w:val="center"/>
              <w:rPr>
                <w:rFonts w:ascii="宋体" w:hAnsi="宋体" w:eastAsia="宋体" w:cs="宋体"/>
                <w:color w:val="auto"/>
                <w:highlight w:val="none"/>
              </w:rPr>
            </w:pPr>
            <w:r>
              <w:rPr>
                <w:rFonts w:hint="eastAsia" w:ascii="宋体" w:hAnsi="宋体" w:eastAsia="宋体" w:cs="宋体"/>
                <w:color w:val="auto"/>
                <w:highlight w:val="none"/>
              </w:rPr>
              <w:t>环保</w:t>
            </w:r>
          </w:p>
        </w:tc>
        <w:tc>
          <w:tcPr>
            <w:tcW w:w="1459" w:type="dxa"/>
            <w:noWrap/>
            <w:vAlign w:val="center"/>
          </w:tcPr>
          <w:p>
            <w:pPr>
              <w:spacing w:line="360" w:lineRule="auto"/>
              <w:jc w:val="center"/>
              <w:rPr>
                <w:rFonts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.0</w:t>
            </w:r>
            <w:r>
              <w:rPr>
                <w:rFonts w:hint="eastAsia" w:ascii="宋体" w:hAnsi="宋体" w:eastAsia="宋体" w:cs="宋体"/>
                <w:color w:val="auto"/>
                <w:highlight w:val="none"/>
              </w:rPr>
              <w:t>分</w:t>
            </w:r>
          </w:p>
        </w:tc>
        <w:tc>
          <w:tcPr>
            <w:tcW w:w="7389" w:type="dxa"/>
            <w:noWrap/>
            <w:vAlign w:val="center"/>
          </w:tcPr>
          <w:p>
            <w:pPr>
              <w:spacing w:line="360" w:lineRule="auto"/>
              <w:rPr>
                <w:rFonts w:ascii="宋体" w:hAnsi="宋体" w:eastAsia="宋体" w:cs="宋体"/>
                <w:color w:val="auto"/>
                <w:highlight w:val="none"/>
              </w:rPr>
            </w:pPr>
            <w:r>
              <w:rPr>
                <w:rFonts w:hint="eastAsia" w:ascii="宋体" w:hAnsi="宋体" w:eastAsia="宋体" w:cs="宋体"/>
                <w:color w:val="000000" w:themeColor="text1"/>
                <w:szCs w:val="21"/>
                <w:highlight w:val="none"/>
                <w14:textFill>
                  <w14:solidFill>
                    <w14:schemeClr w14:val="tx1"/>
                  </w14:solidFill>
                </w14:textFill>
              </w:rPr>
              <w:t>供应商响应产品中每有一项为节能产品的得0.5分，每有一项为环境标志产品的得0.5分，供应商所投产品中每有一项产品同时为节能产品和环境标志产品的得1</w:t>
            </w:r>
            <w:r>
              <w:rPr>
                <w:rFonts w:hint="eastAsia" w:ascii="宋体" w:hAnsi="宋体" w:eastAsia="宋体" w:cs="宋体"/>
                <w:color w:val="000000" w:themeColor="text1"/>
                <w:szCs w:val="21"/>
                <w:highlight w:val="none"/>
                <w:lang w:val="en-US" w:eastAsia="zh-CN"/>
                <w14:textFill>
                  <w14:solidFill>
                    <w14:schemeClr w14:val="tx1"/>
                  </w14:solidFill>
                </w14:textFill>
              </w:rPr>
              <w:t>.0</w:t>
            </w:r>
            <w:r>
              <w:rPr>
                <w:rFonts w:hint="eastAsia" w:ascii="宋体" w:hAnsi="宋体" w:eastAsia="宋体" w:cs="宋体"/>
                <w:color w:val="000000" w:themeColor="text1"/>
                <w:szCs w:val="21"/>
                <w:highlight w:val="none"/>
                <w14:textFill>
                  <w14:solidFill>
                    <w14:schemeClr w14:val="tx1"/>
                  </w14:solidFill>
                </w14:textFill>
              </w:rPr>
              <w:t>分，最多得1</w:t>
            </w:r>
            <w:r>
              <w:rPr>
                <w:rFonts w:hint="eastAsia" w:ascii="宋体" w:hAnsi="宋体" w:eastAsia="宋体" w:cs="宋体"/>
                <w:color w:val="000000" w:themeColor="text1"/>
                <w:szCs w:val="21"/>
                <w:highlight w:val="none"/>
                <w:lang w:val="en-US" w:eastAsia="zh-CN"/>
                <w14:textFill>
                  <w14:solidFill>
                    <w14:schemeClr w14:val="tx1"/>
                  </w14:solidFill>
                </w14:textFill>
              </w:rPr>
              <w:t>.0</w:t>
            </w:r>
            <w:r>
              <w:rPr>
                <w:rFonts w:hint="eastAsia" w:ascii="宋体" w:hAnsi="宋体" w:eastAsia="宋体" w:cs="宋体"/>
                <w:color w:val="000000" w:themeColor="text1"/>
                <w:szCs w:val="21"/>
                <w:highlight w:val="none"/>
                <w14:textFill>
                  <w14:solidFill>
                    <w14:schemeClr w14:val="tx1"/>
                  </w14:solidFill>
                </w14:textFill>
              </w:rPr>
              <w:t>分。（须提供相应产品的国家确定的认证机构出具的、处于有效期内的节能产品、环境标志产品认证证书）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874" w:type="dxa"/>
            <w:noWrap/>
            <w:vAlign w:val="center"/>
          </w:tcPr>
          <w:p>
            <w:pPr>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说明</w:t>
            </w:r>
          </w:p>
        </w:tc>
        <w:tc>
          <w:tcPr>
            <w:tcW w:w="8848" w:type="dxa"/>
            <w:gridSpan w:val="2"/>
            <w:noWrap/>
            <w:vAlign w:val="center"/>
          </w:tcPr>
          <w:p>
            <w:pPr>
              <w:pStyle w:val="113"/>
              <w:pBdr>
                <w:between w:val="single" w:color="auto" w:sz="4" w:space="1"/>
              </w:pBd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1、评标委员会成员必须按照本评审要素据实打分，各类数字计算均按“四舍五入”保留小数点后两位</w:t>
            </w:r>
            <w:r>
              <w:rPr>
                <w:rFonts w:hint="eastAsia" w:ascii="宋体" w:hAnsi="宋体" w:eastAsia="宋体" w:cs="宋体"/>
                <w:color w:val="000000" w:themeColor="text1"/>
                <w:highlight w:val="none"/>
                <w:lang w:eastAsia="zh-CN"/>
                <w14:textFill>
                  <w14:solidFill>
                    <w14:schemeClr w14:val="tx1"/>
                  </w14:solidFill>
                </w14:textFill>
              </w:rPr>
              <w:t>。</w:t>
            </w:r>
          </w:p>
        </w:tc>
      </w:tr>
    </w:tbl>
    <w:p>
      <w:pPr>
        <w:pStyle w:val="104"/>
        <w:outlineLvl w:val="9"/>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4．推荐中标候选人</w:t>
      </w:r>
      <w:bookmarkEnd w:id="178"/>
      <w:bookmarkEnd w:id="179"/>
      <w:bookmarkEnd w:id="180"/>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pStyle w:val="104"/>
        <w:outlineLvl w:val="9"/>
        <w:rPr>
          <w:rFonts w:ascii="宋体" w:hAnsi="宋体" w:eastAsia="宋体" w:cs="宋体"/>
          <w:color w:val="000000" w:themeColor="text1"/>
          <w:sz w:val="28"/>
          <w:szCs w:val="28"/>
          <w:highlight w:val="none"/>
          <w14:textFill>
            <w14:solidFill>
              <w14:schemeClr w14:val="tx1"/>
            </w14:solidFill>
          </w14:textFill>
        </w:rPr>
      </w:pPr>
      <w:bookmarkStart w:id="181" w:name="_Toc9776"/>
      <w:bookmarkStart w:id="182" w:name="_Toc10501"/>
      <w:bookmarkStart w:id="183" w:name="_Toc19896"/>
      <w:r>
        <w:rPr>
          <w:rFonts w:hint="eastAsia" w:ascii="宋体" w:hAnsi="宋体" w:eastAsia="宋体" w:cs="宋体"/>
          <w:color w:val="000000" w:themeColor="text1"/>
          <w:sz w:val="28"/>
          <w:szCs w:val="28"/>
          <w:highlight w:val="none"/>
          <w14:textFill>
            <w14:solidFill>
              <w14:schemeClr w14:val="tx1"/>
            </w14:solidFill>
          </w14:textFill>
        </w:rPr>
        <w:t>5．编写评审报告</w:t>
      </w:r>
      <w:bookmarkEnd w:id="181"/>
      <w:bookmarkEnd w:id="182"/>
      <w:bookmarkEnd w:id="183"/>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评审报告是评标委员会根据全体评标成员签字的原始评标记录和评标结果编写的报告，其主要内容包括：</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（1）招标公告刊登的媒体名称、开标日期和地点。</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（2）投标供应商名单和评标委员会成员名单。</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（3）评标方法。</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（4）开标记录和评标情况及说明，包括投标无效供应商名单及原因。</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（5）评标结果，确定的中标候选人名单或者经采购人委托直接确定的中标供应商。</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（6）其他需要说明的情况，包括评标过程中投标供应商根据评标委员会要求进行的澄清、说明或者补正，评标委员会成员的更换等。</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105"/>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84" w:name="_Toc19320"/>
      <w:bookmarkStart w:id="185" w:name="_Toc26208"/>
      <w:bookmarkStart w:id="186" w:name="_Toc17734"/>
      <w:bookmarkStart w:id="187" w:name="_Toc10890"/>
      <w:r>
        <w:rPr>
          <w:rFonts w:hint="eastAsia" w:ascii="宋体" w:hAnsi="宋体" w:eastAsia="宋体" w:cs="宋体"/>
          <w:color w:val="000000" w:themeColor="text1"/>
          <w:sz w:val="28"/>
          <w:szCs w:val="28"/>
          <w:highlight w:val="none"/>
          <w14:textFill>
            <w14:solidFill>
              <w14:schemeClr w14:val="tx1"/>
            </w14:solidFill>
          </w14:textFill>
        </w:rPr>
        <w:t>（三）评标争议处理规则</w:t>
      </w:r>
      <w:bookmarkEnd w:id="184"/>
      <w:bookmarkEnd w:id="185"/>
      <w:bookmarkEnd w:id="186"/>
      <w:bookmarkEnd w:id="187"/>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pPr>
        <w:pStyle w:val="105"/>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88" w:name="_Toc14406"/>
      <w:bookmarkStart w:id="189" w:name="_Toc5591"/>
      <w:bookmarkStart w:id="190" w:name="_Toc2631"/>
      <w:bookmarkStart w:id="191" w:name="_Toc23269"/>
      <w:r>
        <w:rPr>
          <w:rFonts w:hint="eastAsia" w:ascii="宋体" w:hAnsi="宋体" w:eastAsia="宋体" w:cs="宋体"/>
          <w:color w:val="000000" w:themeColor="text1"/>
          <w:sz w:val="28"/>
          <w:szCs w:val="28"/>
          <w:highlight w:val="none"/>
          <w14:textFill>
            <w14:solidFill>
              <w14:schemeClr w14:val="tx1"/>
            </w14:solidFill>
          </w14:textFill>
        </w:rPr>
        <w:t>（四）评审现场人员的保密责任</w:t>
      </w:r>
      <w:bookmarkEnd w:id="188"/>
      <w:bookmarkEnd w:id="189"/>
      <w:bookmarkEnd w:id="190"/>
      <w:bookmarkEnd w:id="191"/>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pPr>
        <w:pStyle w:val="105"/>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92" w:name="_Toc21723"/>
      <w:bookmarkStart w:id="193" w:name="_Toc22694"/>
      <w:bookmarkStart w:id="194" w:name="_Toc10213"/>
      <w:bookmarkStart w:id="195" w:name="_Toc17739"/>
      <w:r>
        <w:rPr>
          <w:rFonts w:hint="eastAsia" w:ascii="宋体" w:hAnsi="宋体" w:eastAsia="宋体" w:cs="宋体"/>
          <w:color w:val="000000" w:themeColor="text1"/>
          <w:sz w:val="28"/>
          <w:szCs w:val="28"/>
          <w:highlight w:val="none"/>
          <w14:textFill>
            <w14:solidFill>
              <w14:schemeClr w14:val="tx1"/>
            </w14:solidFill>
          </w14:textFill>
        </w:rPr>
        <w:t>（五）视同供应商串通投标的情形，其投标无效：</w:t>
      </w:r>
      <w:bookmarkEnd w:id="192"/>
      <w:bookmarkEnd w:id="193"/>
      <w:bookmarkEnd w:id="194"/>
      <w:bookmarkEnd w:id="195"/>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1．不同供应商的投标文件由同一单位或者个人编制。</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2．不同供应商委托同一单位或者个人办理投标事宜。</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3．不同供应商的投标文件载明的项目管理成员或者联系人员为同一人。</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4．不同供应商的投标文件异常一致或者投标报价呈规律性差异。</w:t>
      </w:r>
    </w:p>
    <w:p>
      <w:pPr>
        <w:pStyle w:val="9"/>
        <w:keepNext w:val="0"/>
        <w:keepLines w:val="0"/>
        <w:pageBreakBefore w:val="0"/>
        <w:widowControl/>
        <w:kinsoku/>
        <w:wordWrap/>
        <w:overflowPunct/>
        <w:topLinePunct w:val="0"/>
        <w:autoSpaceDE/>
        <w:autoSpaceDN/>
        <w:bidi w:val="0"/>
        <w:adjustRightInd/>
        <w:snapToGrid/>
        <w:textAlignment w:val="auto"/>
        <w:rPr>
          <w:rFonts w:ascii="宋体" w:hAnsi="宋体" w:eastAsia="宋体" w:cs="宋体"/>
          <w:color w:val="000000" w:themeColor="text1"/>
          <w:sz w:val="28"/>
          <w:szCs w:val="28"/>
          <w:highlight w:val="none"/>
          <w14:textFill>
            <w14:solidFill>
              <w14:schemeClr w14:val="tx1"/>
            </w14:solidFill>
          </w14:textFill>
        </w:rPr>
      </w:pPr>
      <w:bookmarkStart w:id="196" w:name="_Toc25575"/>
      <w:r>
        <w:rPr>
          <w:rFonts w:hint="eastAsia" w:ascii="宋体" w:hAnsi="宋体" w:eastAsia="宋体" w:cs="宋体"/>
          <w:color w:val="000000" w:themeColor="text1"/>
          <w:sz w:val="28"/>
          <w:szCs w:val="28"/>
          <w:highlight w:val="none"/>
          <w14:textFill>
            <w14:solidFill>
              <w14:schemeClr w14:val="tx1"/>
            </w14:solidFill>
          </w14:textFill>
        </w:rPr>
        <w:t>八、中标</w:t>
      </w:r>
      <w:bookmarkEnd w:id="196"/>
    </w:p>
    <w:p>
      <w:pPr>
        <w:spacing w:line="560" w:lineRule="exact"/>
        <w:ind w:firstLine="560" w:firstLineChars="200"/>
        <w:jc w:val="both"/>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1．代理机构在评标结束后</w:t>
      </w:r>
      <w:r>
        <w:rPr>
          <w:rFonts w:hint="eastAsia" w:ascii="宋体" w:hAnsi="宋体" w:eastAsia="宋体" w:cs="宋体"/>
          <w:color w:val="000000" w:themeColor="text1"/>
          <w:sz w:val="28"/>
          <w:szCs w:val="28"/>
          <w:highlight w:val="none"/>
          <w:lang w:val="en-US" w:eastAsia="zh-CN"/>
          <w14:textFill>
            <w14:solidFill>
              <w14:schemeClr w14:val="tx1"/>
            </w14:solidFill>
          </w14:textFill>
        </w:rPr>
        <w:t>2</w:t>
      </w:r>
      <w:r>
        <w:rPr>
          <w:rFonts w:hint="eastAsia" w:ascii="宋体" w:hAnsi="宋体" w:eastAsia="宋体" w:cs="宋体"/>
          <w:color w:val="000000" w:themeColor="text1"/>
          <w:sz w:val="28"/>
          <w:szCs w:val="28"/>
          <w:highlight w:val="none"/>
          <w14:textFill>
            <w14:solidFill>
              <w14:schemeClr w14:val="tx1"/>
            </w14:solidFill>
          </w14:textFill>
        </w:rPr>
        <w:t>个工作日内将评标报告送达采购单位，采购单位在收到评标报告后</w:t>
      </w:r>
      <w:r>
        <w:rPr>
          <w:rFonts w:hint="eastAsia" w:ascii="宋体" w:hAnsi="宋体" w:eastAsia="宋体" w:cs="宋体"/>
          <w:color w:val="000000" w:themeColor="text1"/>
          <w:sz w:val="28"/>
          <w:szCs w:val="28"/>
          <w:highlight w:val="none"/>
          <w:lang w:val="en-US" w:eastAsia="zh-CN"/>
          <w14:textFill>
            <w14:solidFill>
              <w14:schemeClr w14:val="tx1"/>
            </w14:solidFill>
          </w14:textFill>
        </w:rPr>
        <w:t>5</w:t>
      </w:r>
      <w:r>
        <w:rPr>
          <w:rFonts w:hint="eastAsia" w:ascii="宋体" w:hAnsi="宋体" w:eastAsia="宋体" w:cs="宋体"/>
          <w:color w:val="000000" w:themeColor="text1"/>
          <w:sz w:val="28"/>
          <w:szCs w:val="28"/>
          <w:highlight w:val="none"/>
          <w14:textFill>
            <w14:solidFill>
              <w14:schemeClr w14:val="tx1"/>
            </w14:solidFill>
          </w14:textFill>
        </w:rPr>
        <w:t>个工作日内，按照评标报告中推荐的中标候选人顺序确认第一中标候选人为中标单位，同时书面复函代理机构。</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2．采购代理机构将在中标供应商确定之日起</w:t>
      </w:r>
      <w:r>
        <w:rPr>
          <w:rFonts w:hint="eastAsia" w:ascii="宋体" w:hAnsi="宋体" w:eastAsia="宋体" w:cs="宋体"/>
          <w:color w:val="000000" w:themeColor="text1"/>
          <w:sz w:val="28"/>
          <w:szCs w:val="28"/>
          <w:highlight w:val="none"/>
          <w:lang w:val="en-US" w:eastAsia="zh-CN"/>
          <w14:textFill>
            <w14:solidFill>
              <w14:schemeClr w14:val="tx1"/>
            </w14:solidFill>
          </w14:textFill>
        </w:rPr>
        <w:t>2</w:t>
      </w:r>
      <w:r>
        <w:rPr>
          <w:rFonts w:hint="eastAsia" w:ascii="宋体" w:hAnsi="宋体" w:eastAsia="宋体" w:cs="宋体"/>
          <w:color w:val="000000" w:themeColor="text1"/>
          <w:sz w:val="28"/>
          <w:szCs w:val="28"/>
          <w:highlight w:val="none"/>
          <w14:textFill>
            <w14:solidFill>
              <w14:schemeClr w14:val="tx1"/>
            </w14:solidFill>
          </w14:textFill>
        </w:rPr>
        <w:t>个工作日内，在【</w:t>
      </w:r>
      <w:r>
        <w:rPr>
          <w:highlight w:val="none"/>
        </w:rPr>
        <w:fldChar w:fldCharType="begin"/>
      </w:r>
      <w:r>
        <w:rPr>
          <w:highlight w:val="none"/>
        </w:rPr>
        <w:instrText xml:space="preserve"> HYPERLINK "http://www.ccgp-shaanxi.gov.cn" </w:instrText>
      </w:r>
      <w:r>
        <w:rPr>
          <w:highlight w:val="none"/>
        </w:rPr>
        <w:fldChar w:fldCharType="separate"/>
      </w:r>
      <w:r>
        <w:rPr>
          <w:rStyle w:val="41"/>
          <w:rFonts w:hint="eastAsia" w:ascii="宋体" w:hAnsi="宋体" w:eastAsia="宋体" w:cs="宋体"/>
          <w:color w:val="000000" w:themeColor="text1"/>
          <w:sz w:val="28"/>
          <w:szCs w:val="28"/>
          <w:highlight w:val="none"/>
          <w:u w:val="none"/>
          <w14:textFill>
            <w14:solidFill>
              <w14:schemeClr w14:val="tx1"/>
            </w14:solidFill>
          </w14:textFill>
        </w:rPr>
        <w:t>陕西省政府采购网</w:t>
      </w:r>
      <w:r>
        <w:rPr>
          <w:rStyle w:val="41"/>
          <w:rFonts w:hint="eastAsia" w:ascii="宋体" w:hAnsi="宋体" w:eastAsia="宋体" w:cs="宋体"/>
          <w:color w:val="000000" w:themeColor="text1"/>
          <w:sz w:val="28"/>
          <w:szCs w:val="28"/>
          <w:highlight w:val="none"/>
          <w:u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t>】（</w:t>
      </w:r>
      <w:r>
        <w:rPr>
          <w:highlight w:val="none"/>
        </w:rPr>
        <w:fldChar w:fldCharType="begin"/>
      </w:r>
      <w:r>
        <w:rPr>
          <w:highlight w:val="none"/>
        </w:rPr>
        <w:instrText xml:space="preserve"> HYPERLINK "http://www.ccgp-shaanxi.gov.cn/" </w:instrText>
      </w:r>
      <w:r>
        <w:rPr>
          <w:highlight w:val="none"/>
        </w:rPr>
        <w:fldChar w:fldCharType="separate"/>
      </w:r>
      <w:r>
        <w:rPr>
          <w:rStyle w:val="41"/>
          <w:rFonts w:hint="eastAsia" w:ascii="宋体" w:hAnsi="宋体" w:eastAsia="宋体" w:cs="宋体"/>
          <w:color w:val="000000" w:themeColor="text1"/>
          <w:sz w:val="28"/>
          <w:szCs w:val="28"/>
          <w:highlight w:val="none"/>
          <w:u w:val="none"/>
          <w14:textFill>
            <w14:solidFill>
              <w14:schemeClr w14:val="tx1"/>
            </w14:solidFill>
          </w14:textFill>
        </w:rPr>
        <w:t>http://www.ccgp-shaanxi.gov.cn/</w:t>
      </w:r>
      <w:r>
        <w:rPr>
          <w:rStyle w:val="41"/>
          <w:rFonts w:hint="eastAsia" w:ascii="宋体" w:hAnsi="宋体" w:eastAsia="宋体" w:cs="宋体"/>
          <w:color w:val="000000" w:themeColor="text1"/>
          <w:sz w:val="28"/>
          <w:szCs w:val="28"/>
          <w:highlight w:val="none"/>
          <w:u w:val="none"/>
          <w14:textFill>
            <w14:solidFill>
              <w14:schemeClr w14:val="tx1"/>
            </w14:solidFill>
          </w14:textFill>
        </w:rPr>
        <w:fldChar w:fldCharType="end"/>
      </w:r>
      <w:r>
        <w:rPr>
          <w:rFonts w:hint="eastAsia" w:ascii="宋体" w:hAnsi="宋体" w:eastAsia="宋体" w:cs="宋体"/>
          <w:color w:val="000000" w:themeColor="text1"/>
          <w:sz w:val="28"/>
          <w:szCs w:val="28"/>
          <w:highlight w:val="none"/>
          <w14:textFill>
            <w14:solidFill>
              <w14:schemeClr w14:val="tx1"/>
            </w14:solidFill>
          </w14:textFill>
        </w:rPr>
        <w:t>）上公布中标结果。中标公告期限为1个工作日</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采用综合评分法评审的，供应商可登录【全国公共资源交易中心（陕西省·西安市）】网站〖首页·〉电子交易平台·〉企业端〗，登录后切换到〖我的项目〗模块，依次点选〖项目流程·〉项目管理·〉评标结果查看〗，查看本单位的最终得分与排序。</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4．采购代理机构按照相关规定将评审报告送监管机构备案。</w:t>
      </w:r>
    </w:p>
    <w:p>
      <w:pPr>
        <w:pStyle w:val="9"/>
        <w:rPr>
          <w:rFonts w:ascii="宋体" w:hAnsi="宋体" w:eastAsia="宋体" w:cs="宋体"/>
          <w:color w:val="000000" w:themeColor="text1"/>
          <w:sz w:val="28"/>
          <w:szCs w:val="28"/>
          <w:highlight w:val="none"/>
          <w14:textFill>
            <w14:solidFill>
              <w14:schemeClr w14:val="tx1"/>
            </w14:solidFill>
          </w14:textFill>
        </w:rPr>
      </w:pPr>
      <w:bookmarkStart w:id="197" w:name="_Toc15898"/>
      <w:r>
        <w:rPr>
          <w:rFonts w:hint="eastAsia" w:ascii="宋体" w:hAnsi="宋体" w:eastAsia="宋体" w:cs="宋体"/>
          <w:color w:val="000000" w:themeColor="text1"/>
          <w:sz w:val="28"/>
          <w:szCs w:val="28"/>
          <w:highlight w:val="none"/>
          <w14:textFill>
            <w14:solidFill>
              <w14:schemeClr w14:val="tx1"/>
            </w14:solidFill>
          </w14:textFill>
        </w:rPr>
        <w:t>九、合同签订、履行及验收</w:t>
      </w:r>
      <w:bookmarkEnd w:id="197"/>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招标文件、投标文件、澄清、补充合同等为政府采购合同的组成部分，具有同等法律效力。</w:t>
      </w:r>
    </w:p>
    <w:p>
      <w:pPr>
        <w:pStyle w:val="105"/>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198" w:name="_Toc24344"/>
      <w:bookmarkStart w:id="199" w:name="_Toc444"/>
      <w:bookmarkStart w:id="200" w:name="_Toc26458"/>
      <w:bookmarkStart w:id="201" w:name="_Toc15766"/>
      <w:r>
        <w:rPr>
          <w:rFonts w:hint="eastAsia" w:ascii="宋体" w:hAnsi="宋体" w:eastAsia="宋体" w:cs="宋体"/>
          <w:color w:val="000000" w:themeColor="text1"/>
          <w:sz w:val="28"/>
          <w:szCs w:val="28"/>
          <w:highlight w:val="none"/>
          <w14:textFill>
            <w14:solidFill>
              <w14:schemeClr w14:val="tx1"/>
            </w14:solidFill>
          </w14:textFill>
        </w:rPr>
        <w:t>（一）签订政府采购合同</w:t>
      </w:r>
      <w:bookmarkEnd w:id="198"/>
      <w:bookmarkEnd w:id="199"/>
      <w:bookmarkEnd w:id="200"/>
      <w:bookmarkEnd w:id="201"/>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1．自中标通知书发出之日起30日内，采购人与中标供应商应按招标文件和中标供应商投标文件的约定，签订书面合同。</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2．中标供应商拒绝与采购人签订合同的，采购人可以按照《政府采购法实施条例》第四十九条规定，确定下一候选人为中标供应商，也可以重新开展政府采购活动。</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3．采购人不得向中标供应商提出任何不合理的要求，作为签订合同的条件，不得与中标供应商私下订立背离合同实质性内容的任何协议，所签订的合同不得对招标文件和中标供应商投标文件作实质性修改。</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4．质疑或者投诉事项可能影响中标、成交结果的，采购人应当暂停签订合同，已经签订合同的，应当中止履行合同。</w:t>
      </w:r>
    </w:p>
    <w:p>
      <w:pPr>
        <w:pStyle w:val="105"/>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202" w:name="_Toc26383"/>
      <w:bookmarkStart w:id="203" w:name="_Toc13157"/>
      <w:bookmarkStart w:id="204" w:name="_Toc14412"/>
      <w:bookmarkStart w:id="205" w:name="_Toc876"/>
      <w:r>
        <w:rPr>
          <w:rFonts w:hint="eastAsia" w:ascii="宋体" w:hAnsi="宋体" w:eastAsia="宋体" w:cs="宋体"/>
          <w:color w:val="000000" w:themeColor="text1"/>
          <w:sz w:val="28"/>
          <w:szCs w:val="28"/>
          <w:highlight w:val="none"/>
          <w14:textFill>
            <w14:solidFill>
              <w14:schemeClr w14:val="tx1"/>
            </w14:solidFill>
          </w14:textFill>
        </w:rPr>
        <w:t>（二）合同公告及备案</w:t>
      </w:r>
      <w:bookmarkEnd w:id="202"/>
      <w:bookmarkEnd w:id="203"/>
      <w:bookmarkEnd w:id="204"/>
      <w:bookmarkEnd w:id="205"/>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1．采购人应当自政府采购合同签订之日起2个工作日内，在陕西省政府采购网对合同进行公示，但政府采购合同中涉及国家秘密、商业秘密的内容除外。</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2．采购人应自合同签订之日起7个工作日内将政府采购合同报送监管机构备案。</w:t>
      </w:r>
    </w:p>
    <w:p>
      <w:pPr>
        <w:pStyle w:val="105"/>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206" w:name="_Toc25755"/>
      <w:bookmarkStart w:id="207" w:name="_Toc5592"/>
      <w:bookmarkStart w:id="208" w:name="_Toc11766"/>
      <w:bookmarkStart w:id="209" w:name="_Toc22359"/>
      <w:r>
        <w:rPr>
          <w:rFonts w:hint="eastAsia" w:ascii="宋体" w:hAnsi="宋体" w:eastAsia="宋体" w:cs="宋体"/>
          <w:color w:val="000000" w:themeColor="text1"/>
          <w:sz w:val="28"/>
          <w:szCs w:val="28"/>
          <w:highlight w:val="none"/>
          <w14:textFill>
            <w14:solidFill>
              <w14:schemeClr w14:val="tx1"/>
            </w14:solidFill>
          </w14:textFill>
        </w:rPr>
        <w:t>（三）履行合同</w:t>
      </w:r>
      <w:bookmarkEnd w:id="206"/>
      <w:bookmarkEnd w:id="207"/>
      <w:bookmarkEnd w:id="208"/>
      <w:bookmarkEnd w:id="209"/>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1．合同一经签订，双方应严格履行合同规定的义务。</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2．在合同履行过程中，如发生合同纠纷，合同双方应按照《中华人民共和国民法典》及合同条款的有关规定进行处理。</w:t>
      </w:r>
    </w:p>
    <w:p>
      <w:pPr>
        <w:pStyle w:val="105"/>
        <w:spacing w:before="120" w:after="120"/>
        <w:ind w:firstLine="562"/>
        <w:outlineLvl w:val="3"/>
        <w:rPr>
          <w:rFonts w:ascii="宋体" w:hAnsi="宋体" w:eastAsia="宋体" w:cs="宋体"/>
          <w:color w:val="000000" w:themeColor="text1"/>
          <w:sz w:val="28"/>
          <w:szCs w:val="28"/>
          <w:highlight w:val="none"/>
          <w14:textFill>
            <w14:solidFill>
              <w14:schemeClr w14:val="tx1"/>
            </w14:solidFill>
          </w14:textFill>
        </w:rPr>
      </w:pPr>
      <w:bookmarkStart w:id="210" w:name="_Toc1104"/>
      <w:bookmarkStart w:id="211" w:name="_Toc1478"/>
      <w:bookmarkStart w:id="212" w:name="_Toc602"/>
      <w:bookmarkStart w:id="213" w:name="_Toc7346"/>
      <w:r>
        <w:rPr>
          <w:rFonts w:hint="eastAsia" w:ascii="宋体" w:hAnsi="宋体" w:eastAsia="宋体" w:cs="宋体"/>
          <w:color w:val="000000" w:themeColor="text1"/>
          <w:sz w:val="28"/>
          <w:szCs w:val="28"/>
          <w:highlight w:val="none"/>
          <w14:textFill>
            <w14:solidFill>
              <w14:schemeClr w14:val="tx1"/>
            </w14:solidFill>
          </w14:textFill>
        </w:rPr>
        <w:t>（四）验收或考核</w:t>
      </w:r>
      <w:bookmarkEnd w:id="210"/>
      <w:bookmarkEnd w:id="211"/>
      <w:bookmarkEnd w:id="212"/>
      <w:bookmarkEnd w:id="213"/>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1．采购人严格按照国家相关法律法规的要求及招标文件的要求组织验收或考核。</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2．采购人按《关于促进政府采购公平竞争优化营商环境的通知》（财库〔2019〕38号）、《保障中小企业款项支付条例》（国务院令第728号）等规定及采购合同的约定进行支付合同款项。</w:t>
      </w:r>
    </w:p>
    <w:p>
      <w:pPr>
        <w:pStyle w:val="9"/>
        <w:rPr>
          <w:rFonts w:ascii="宋体" w:hAnsi="宋体" w:eastAsia="宋体" w:cs="宋体"/>
          <w:color w:val="000000" w:themeColor="text1"/>
          <w:sz w:val="28"/>
          <w:szCs w:val="28"/>
          <w:highlight w:val="none"/>
          <w14:textFill>
            <w14:solidFill>
              <w14:schemeClr w14:val="tx1"/>
            </w14:solidFill>
          </w14:textFill>
        </w:rPr>
      </w:pPr>
      <w:bookmarkStart w:id="214" w:name="_Toc15830"/>
      <w:r>
        <w:rPr>
          <w:rFonts w:hint="eastAsia" w:ascii="宋体" w:hAnsi="宋体" w:eastAsia="宋体" w:cs="宋体"/>
          <w:color w:val="000000" w:themeColor="text1"/>
          <w:sz w:val="28"/>
          <w:szCs w:val="28"/>
          <w:highlight w:val="none"/>
          <w14:textFill>
            <w14:solidFill>
              <w14:schemeClr w14:val="tx1"/>
            </w14:solidFill>
          </w14:textFill>
        </w:rPr>
        <w:t>十、废标及重新招标</w:t>
      </w:r>
      <w:bookmarkEnd w:id="214"/>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2．根据《政府采购法》第三十六条规定，在招标采购中，出现下列情形之一的，本项目按废标处理：</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（1）出现影响采购公正的违法、违规行为的。</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（2）供应商的报价均超过了采购预算，采购人不能支付的。</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（3）因重大变故，采购任务取消的。</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废标后，除采购任务取消外，本项目将重新组织招标。</w:t>
      </w:r>
    </w:p>
    <w:p>
      <w:pPr>
        <w:spacing w:line="560" w:lineRule="exact"/>
        <w:ind w:firstLine="560"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在递交投标文件阶段、密封性等形式检查阶段、资格审查阶段或评标委员会评标阶段，当出现有效投标供应商不足3家时，本项目将依据西安市财政局《关于进一步规范市级预算单位变更政府采购方式审批管理的通知》（市财发〔2017〕186号）的有关规定，按政府采购监管部门事前批准的采购方式继续进行。</w:t>
      </w:r>
    </w:p>
    <w:p>
      <w:pPr>
        <w:spacing w:line="560" w:lineRule="exact"/>
        <w:ind w:firstLine="560" w:firstLineChars="200"/>
        <w:jc w:val="both"/>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4．招标文件未明确的其他事项，按《政府采购法》及其相关法律法规执行。</w:t>
      </w:r>
    </w:p>
    <w:p>
      <w:pPr>
        <w:rPr>
          <w:rFonts w:ascii="宋体" w:hAnsi="宋体" w:eastAsia="宋体" w:cs="宋体"/>
          <w:color w:val="000000" w:themeColor="text1"/>
          <w:sz w:val="32"/>
          <w:szCs w:val="32"/>
          <w:highlight w:val="none"/>
          <w14:textFill>
            <w14:solidFill>
              <w14:schemeClr w14:val="tx1"/>
            </w14:solidFill>
          </w14:textFill>
        </w:rPr>
      </w:pPr>
      <w:bookmarkStart w:id="215" w:name="_Toc100219614"/>
      <w:r>
        <w:rPr>
          <w:rFonts w:hint="eastAsia" w:ascii="宋体" w:hAnsi="宋体" w:eastAsia="宋体" w:cs="宋体"/>
          <w:color w:val="000000" w:themeColor="text1"/>
          <w:sz w:val="32"/>
          <w:szCs w:val="32"/>
          <w:highlight w:val="none"/>
          <w14:textFill>
            <w14:solidFill>
              <w14:schemeClr w14:val="tx1"/>
            </w14:solidFill>
          </w14:textFill>
        </w:rPr>
        <w:br w:type="page"/>
      </w:r>
    </w:p>
    <w:p>
      <w:pPr>
        <w:rPr>
          <w:rFonts w:ascii="宋体" w:hAnsi="宋体" w:eastAsia="宋体" w:cs="宋体"/>
          <w:color w:val="000000" w:themeColor="text1"/>
          <w:highlight w:val="none"/>
          <w14:textFill>
            <w14:solidFill>
              <w14:schemeClr w14:val="tx1"/>
            </w14:solidFill>
          </w14:textFill>
        </w:rPr>
      </w:pPr>
    </w:p>
    <w:p>
      <w:pPr>
        <w:pStyle w:val="7"/>
        <w:rPr>
          <w:rFonts w:ascii="宋体" w:hAnsi="宋体" w:eastAsia="宋体" w:cs="宋体"/>
          <w:color w:val="000000" w:themeColor="text1"/>
          <w:highlight w:val="none"/>
          <w14:textFill>
            <w14:solidFill>
              <w14:schemeClr w14:val="tx1"/>
            </w14:solidFill>
          </w14:textFill>
        </w:rPr>
      </w:pPr>
      <w:bookmarkStart w:id="216" w:name="_Toc15548"/>
      <w:bookmarkStart w:id="217" w:name="_Toc15617"/>
      <w:r>
        <w:rPr>
          <w:rFonts w:hint="eastAsia" w:ascii="宋体" w:hAnsi="宋体" w:eastAsia="宋体" w:cs="宋体"/>
          <w:color w:val="000000" w:themeColor="text1"/>
          <w:highlight w:val="none"/>
          <w14:textFill>
            <w14:solidFill>
              <w14:schemeClr w14:val="tx1"/>
            </w14:solidFill>
          </w14:textFill>
        </w:rPr>
        <w:t>第三章  招标内容及要求</w:t>
      </w:r>
      <w:bookmarkEnd w:id="215"/>
      <w:bookmarkEnd w:id="216"/>
      <w:bookmarkEnd w:id="217"/>
    </w:p>
    <w:p>
      <w:pPr>
        <w:widowControl w:val="0"/>
        <w:spacing w:line="360" w:lineRule="auto"/>
        <w:ind w:firstLine="562" w:firstLineChars="200"/>
        <w:jc w:val="both"/>
        <w:outlineLvl w:val="2"/>
        <w:rPr>
          <w:rFonts w:hint="eastAsia" w:ascii="宋体" w:hAnsi="宋体" w:eastAsia="宋体" w:cs="宋体"/>
          <w:color w:val="000000" w:themeColor="text1"/>
          <w:kern w:val="2"/>
          <w:sz w:val="28"/>
          <w:szCs w:val="28"/>
          <w:highlight w:val="none"/>
          <w:lang w:eastAsia="zh-CN"/>
          <w14:textFill>
            <w14:solidFill>
              <w14:schemeClr w14:val="tx1"/>
            </w14:solidFill>
          </w14:textFill>
        </w:rPr>
      </w:pPr>
      <w:bookmarkStart w:id="218" w:name="_Toc14149"/>
      <w:r>
        <w:rPr>
          <w:rFonts w:hint="eastAsia" w:ascii="宋体" w:hAnsi="宋体" w:eastAsia="宋体" w:cs="宋体"/>
          <w:b/>
          <w:bCs/>
          <w:color w:val="000000" w:themeColor="text1"/>
          <w:kern w:val="2"/>
          <w:sz w:val="28"/>
          <w:szCs w:val="28"/>
          <w:highlight w:val="none"/>
          <w14:textFill>
            <w14:solidFill>
              <w14:schemeClr w14:val="tx1"/>
            </w14:solidFill>
          </w14:textFill>
        </w:rPr>
        <w:t>一、商务</w:t>
      </w:r>
      <w:bookmarkEnd w:id="218"/>
      <w:r>
        <w:rPr>
          <w:rFonts w:hint="eastAsia" w:ascii="宋体" w:hAnsi="宋体" w:eastAsia="宋体" w:cs="宋体"/>
          <w:b/>
          <w:bCs/>
          <w:color w:val="000000" w:themeColor="text1"/>
          <w:kern w:val="2"/>
          <w:sz w:val="28"/>
          <w:szCs w:val="28"/>
          <w:highlight w:val="none"/>
          <w:lang w:val="en-US" w:eastAsia="zh-CN"/>
          <w14:textFill>
            <w14:solidFill>
              <w14:schemeClr w14:val="tx1"/>
            </w14:solidFill>
          </w14:textFill>
        </w:rPr>
        <w:t>要求</w:t>
      </w:r>
    </w:p>
    <w:p>
      <w:pPr>
        <w:spacing w:line="360" w:lineRule="auto"/>
        <w:ind w:firstLine="562"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（一）交货期：</w:t>
      </w:r>
      <w:r>
        <w:rPr>
          <w:rFonts w:hint="eastAsia" w:ascii="宋体" w:hAnsi="宋体" w:eastAsia="宋体" w:cs="宋体"/>
          <w:color w:val="000000" w:themeColor="text1"/>
          <w:sz w:val="28"/>
          <w:szCs w:val="28"/>
          <w:highlight w:val="none"/>
          <w14:textFill>
            <w14:solidFill>
              <w14:schemeClr w14:val="tx1"/>
            </w14:solidFill>
          </w14:textFill>
        </w:rPr>
        <w:t>合同签订后</w:t>
      </w:r>
      <w:r>
        <w:rPr>
          <w:rFonts w:hint="eastAsia" w:ascii="宋体" w:hAnsi="宋体" w:eastAsia="宋体" w:cs="宋体"/>
          <w:color w:val="000000" w:themeColor="text1"/>
          <w:sz w:val="28"/>
          <w:szCs w:val="28"/>
          <w:highlight w:val="none"/>
          <w:u w:val="single"/>
          <w14:textFill>
            <w14:solidFill>
              <w14:schemeClr w14:val="tx1"/>
            </w14:solidFill>
          </w14:textFill>
        </w:rPr>
        <w:t>30</w:t>
      </w:r>
      <w:r>
        <w:rPr>
          <w:rFonts w:hint="eastAsia" w:ascii="宋体" w:hAnsi="宋体" w:eastAsia="宋体" w:cs="宋体"/>
          <w:color w:val="000000" w:themeColor="text1"/>
          <w:sz w:val="28"/>
          <w:szCs w:val="28"/>
          <w:highlight w:val="none"/>
          <w14:textFill>
            <w14:solidFill>
              <w14:schemeClr w14:val="tx1"/>
            </w14:solidFill>
          </w14:textFill>
        </w:rPr>
        <w:t>个日历日。</w:t>
      </w:r>
    </w:p>
    <w:p>
      <w:pPr>
        <w:spacing w:line="360" w:lineRule="auto"/>
        <w:ind w:firstLine="562"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（二）质保期：</w:t>
      </w:r>
      <w:r>
        <w:rPr>
          <w:rFonts w:hint="eastAsia" w:ascii="宋体" w:hAnsi="宋体" w:eastAsia="宋体" w:cs="宋体"/>
          <w:color w:val="000000" w:themeColor="text1"/>
          <w:sz w:val="28"/>
          <w:szCs w:val="28"/>
          <w:highlight w:val="none"/>
          <w14:textFill>
            <w14:solidFill>
              <w14:schemeClr w14:val="tx1"/>
            </w14:solidFill>
          </w14:textFill>
        </w:rPr>
        <w:t>验收合格后</w:t>
      </w:r>
      <w:r>
        <w:rPr>
          <w:rFonts w:hint="eastAsia" w:ascii="宋体" w:hAnsi="宋体" w:eastAsia="宋体" w:cs="宋体"/>
          <w:color w:val="000000" w:themeColor="text1"/>
          <w:sz w:val="28"/>
          <w:szCs w:val="28"/>
          <w:highlight w:val="none"/>
          <w:lang w:val="en-US" w:eastAsia="zh-CN"/>
          <w14:textFill>
            <w14:solidFill>
              <w14:schemeClr w14:val="tx1"/>
            </w14:solidFill>
          </w14:textFill>
        </w:rPr>
        <w:t>3</w:t>
      </w:r>
      <w:r>
        <w:rPr>
          <w:rFonts w:hint="eastAsia" w:ascii="宋体" w:hAnsi="宋体" w:eastAsia="宋体" w:cs="宋体"/>
          <w:color w:val="000000" w:themeColor="text1"/>
          <w:sz w:val="28"/>
          <w:szCs w:val="28"/>
          <w:highlight w:val="none"/>
          <w14:textFill>
            <w14:solidFill>
              <w14:schemeClr w14:val="tx1"/>
            </w14:solidFill>
          </w14:textFill>
        </w:rPr>
        <w:t>年。</w:t>
      </w:r>
    </w:p>
    <w:p>
      <w:pPr>
        <w:spacing w:line="360" w:lineRule="auto"/>
        <w:ind w:firstLine="562" w:firstLineChars="200"/>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（三）交货地点：</w:t>
      </w:r>
      <w:r>
        <w:rPr>
          <w:rFonts w:hint="eastAsia" w:ascii="宋体" w:hAnsi="宋体" w:eastAsia="宋体" w:cs="宋体"/>
          <w:color w:val="000000" w:themeColor="text1"/>
          <w:sz w:val="28"/>
          <w:szCs w:val="28"/>
          <w:highlight w:val="none"/>
          <w14:textFill>
            <w14:solidFill>
              <w14:schemeClr w14:val="tx1"/>
            </w14:solidFill>
          </w14:textFill>
        </w:rPr>
        <w:t>西安市未央区未央宫街道办事处</w:t>
      </w:r>
      <w:r>
        <w:rPr>
          <w:rFonts w:hint="eastAsia" w:ascii="宋体" w:hAnsi="宋体" w:eastAsia="宋体" w:cs="宋体"/>
          <w:color w:val="000000" w:themeColor="text1"/>
          <w:sz w:val="28"/>
          <w:szCs w:val="28"/>
          <w:highlight w:val="none"/>
          <w:lang w:val="en-US" w:eastAsia="zh-CN"/>
          <w14:textFill>
            <w14:solidFill>
              <w14:schemeClr w14:val="tx1"/>
            </w14:solidFill>
          </w14:textFill>
        </w:rPr>
        <w:t>辖区内</w:t>
      </w:r>
      <w:r>
        <w:rPr>
          <w:rFonts w:hint="eastAsia" w:ascii="宋体" w:hAnsi="宋体" w:eastAsia="宋体" w:cs="宋体"/>
          <w:color w:val="000000" w:themeColor="text1"/>
          <w:sz w:val="28"/>
          <w:szCs w:val="28"/>
          <w:highlight w:val="none"/>
          <w:lang w:eastAsia="zh-CN"/>
          <w14:textFill>
            <w14:solidFill>
              <w14:schemeClr w14:val="tx1"/>
            </w14:solidFill>
          </w14:textFill>
        </w:rPr>
        <w:t>。</w:t>
      </w:r>
    </w:p>
    <w:p>
      <w:pPr>
        <w:spacing w:line="360" w:lineRule="auto"/>
        <w:ind w:firstLine="562"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（四）付款方式：</w:t>
      </w:r>
      <w:r>
        <w:rPr>
          <w:rFonts w:hint="eastAsia" w:ascii="宋体" w:hAnsi="宋体" w:eastAsia="宋体" w:cs="宋体"/>
          <w:color w:val="000000" w:themeColor="text1"/>
          <w:sz w:val="28"/>
          <w:szCs w:val="28"/>
          <w:highlight w:val="none"/>
          <w14:textFill>
            <w14:solidFill>
              <w14:schemeClr w14:val="tx1"/>
            </w14:solidFill>
          </w14:textFill>
        </w:rPr>
        <w:t>合同签订后，供应商持合同复印件、预付款发票，至采购</w:t>
      </w:r>
      <w:r>
        <w:rPr>
          <w:rFonts w:hint="eastAsia" w:ascii="宋体" w:hAnsi="宋体" w:eastAsia="宋体" w:cs="宋体"/>
          <w:color w:val="000000" w:themeColor="text1"/>
          <w:sz w:val="28"/>
          <w:szCs w:val="28"/>
          <w:highlight w:val="none"/>
          <w:lang w:val="en-US" w:eastAsia="zh-CN"/>
          <w14:textFill>
            <w14:solidFill>
              <w14:schemeClr w14:val="tx1"/>
            </w14:solidFill>
          </w14:textFill>
        </w:rPr>
        <w:t>人</w:t>
      </w:r>
      <w:r>
        <w:rPr>
          <w:rFonts w:hint="eastAsia" w:ascii="宋体" w:hAnsi="宋体" w:eastAsia="宋体" w:cs="宋体"/>
          <w:color w:val="000000" w:themeColor="text1"/>
          <w:sz w:val="28"/>
          <w:szCs w:val="28"/>
          <w:highlight w:val="none"/>
          <w14:textFill>
            <w14:solidFill>
              <w14:schemeClr w14:val="tx1"/>
            </w14:solidFill>
          </w14:textFill>
        </w:rPr>
        <w:t>处</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lang w:val="en-US" w:eastAsia="zh-CN"/>
          <w14:textFill>
            <w14:solidFill>
              <w14:schemeClr w14:val="tx1"/>
            </w14:solidFill>
          </w14:textFill>
        </w:rPr>
        <w:t>由采购人办理完相关财政支付手续后支付</w:t>
      </w:r>
      <w:r>
        <w:rPr>
          <w:rFonts w:hint="eastAsia" w:ascii="宋体" w:hAnsi="宋体" w:eastAsia="宋体" w:cs="宋体"/>
          <w:color w:val="000000" w:themeColor="text1"/>
          <w:sz w:val="28"/>
          <w:szCs w:val="28"/>
          <w:highlight w:val="none"/>
          <w14:textFill>
            <w14:solidFill>
              <w14:schemeClr w14:val="tx1"/>
            </w14:solidFill>
          </w14:textFill>
        </w:rPr>
        <w:t>合同总价款</w:t>
      </w:r>
      <w:r>
        <w:rPr>
          <w:rFonts w:hint="eastAsia" w:ascii="宋体" w:hAnsi="宋体" w:eastAsia="宋体" w:cs="宋体"/>
          <w:color w:val="000000" w:themeColor="text1"/>
          <w:sz w:val="28"/>
          <w:szCs w:val="28"/>
          <w:highlight w:val="none"/>
          <w:lang w:val="en-US" w:eastAsia="zh-CN"/>
          <w14:textFill>
            <w14:solidFill>
              <w14:schemeClr w14:val="tx1"/>
            </w14:solidFill>
          </w14:textFill>
        </w:rPr>
        <w:t>4</w:t>
      </w:r>
      <w:r>
        <w:rPr>
          <w:rFonts w:hint="eastAsia" w:ascii="宋体" w:hAnsi="宋体" w:eastAsia="宋体" w:cs="宋体"/>
          <w:color w:val="000000" w:themeColor="text1"/>
          <w:sz w:val="28"/>
          <w:szCs w:val="28"/>
          <w:highlight w:val="none"/>
          <w14:textFill>
            <w14:solidFill>
              <w14:schemeClr w14:val="tx1"/>
            </w14:solidFill>
          </w14:textFill>
        </w:rPr>
        <w:t>0%</w:t>
      </w:r>
      <w:r>
        <w:rPr>
          <w:rFonts w:hint="eastAsia" w:ascii="宋体" w:hAnsi="宋体" w:eastAsia="宋体" w:cs="宋体"/>
          <w:color w:val="000000" w:themeColor="text1"/>
          <w:sz w:val="28"/>
          <w:szCs w:val="28"/>
          <w:highlight w:val="none"/>
          <w:lang w:val="en-US" w:eastAsia="zh-CN"/>
          <w14:textFill>
            <w14:solidFill>
              <w14:schemeClr w14:val="tx1"/>
            </w14:solidFill>
          </w14:textFill>
        </w:rPr>
        <w:t>的</w:t>
      </w:r>
      <w:r>
        <w:rPr>
          <w:rFonts w:hint="eastAsia" w:ascii="宋体" w:hAnsi="宋体" w:eastAsia="宋体" w:cs="宋体"/>
          <w:color w:val="000000" w:themeColor="text1"/>
          <w:sz w:val="28"/>
          <w:szCs w:val="28"/>
          <w:highlight w:val="none"/>
          <w14:textFill>
            <w14:solidFill>
              <w14:schemeClr w14:val="tx1"/>
            </w14:solidFill>
          </w14:textFill>
        </w:rPr>
        <w:t>预付款项。验收合格（</w:t>
      </w:r>
      <w:r>
        <w:rPr>
          <w:rFonts w:hint="eastAsia" w:ascii="宋体" w:hAnsi="宋体" w:eastAsia="宋体" w:cs="宋体"/>
          <w:color w:val="000000" w:themeColor="text1"/>
          <w:sz w:val="28"/>
          <w:szCs w:val="28"/>
          <w:highlight w:val="none"/>
          <w:lang w:val="en-US" w:eastAsia="zh-CN"/>
          <w14:textFill>
            <w14:solidFill>
              <w14:schemeClr w14:val="tx1"/>
            </w14:solidFill>
          </w14:textFill>
        </w:rPr>
        <w:t>满足</w:t>
      </w:r>
      <w:r>
        <w:rPr>
          <w:rFonts w:hint="eastAsia" w:ascii="宋体" w:hAnsi="宋体" w:eastAsia="宋体" w:cs="宋体"/>
          <w:color w:val="000000" w:themeColor="text1"/>
          <w:sz w:val="28"/>
          <w:szCs w:val="28"/>
          <w:highlight w:val="none"/>
          <w14:textFill>
            <w14:solidFill>
              <w14:schemeClr w14:val="tx1"/>
            </w14:solidFill>
          </w14:textFill>
        </w:rPr>
        <w:t>使用标准）后，供应商持</w:t>
      </w:r>
      <w:r>
        <w:rPr>
          <w:rFonts w:hint="eastAsia" w:ascii="宋体" w:hAnsi="宋体" w:eastAsia="宋体" w:cs="宋体"/>
          <w:color w:val="000000" w:themeColor="text1"/>
          <w:sz w:val="28"/>
          <w:szCs w:val="28"/>
          <w:highlight w:val="none"/>
          <w:lang w:val="en-US" w:eastAsia="zh-CN"/>
          <w14:textFill>
            <w14:solidFill>
              <w14:schemeClr w14:val="tx1"/>
            </w14:solidFill>
          </w14:textFill>
        </w:rPr>
        <w:t>相对应金额的</w:t>
      </w:r>
      <w:r>
        <w:rPr>
          <w:rFonts w:hint="eastAsia" w:ascii="宋体" w:hAnsi="宋体" w:eastAsia="宋体" w:cs="宋体"/>
          <w:color w:val="000000" w:themeColor="text1"/>
          <w:sz w:val="28"/>
          <w:szCs w:val="28"/>
          <w:highlight w:val="none"/>
          <w14:textFill>
            <w14:solidFill>
              <w14:schemeClr w14:val="tx1"/>
            </w14:solidFill>
          </w14:textFill>
        </w:rPr>
        <w:t>发票</w:t>
      </w:r>
      <w:r>
        <w:rPr>
          <w:rFonts w:hint="eastAsia" w:ascii="宋体" w:hAnsi="宋体" w:eastAsia="宋体" w:cs="宋体"/>
          <w:color w:val="000000" w:themeColor="text1"/>
          <w:sz w:val="28"/>
          <w:szCs w:val="28"/>
          <w:highlight w:val="none"/>
          <w:lang w:val="en-US" w:eastAsia="zh-CN"/>
          <w14:textFill>
            <w14:solidFill>
              <w14:schemeClr w14:val="tx1"/>
            </w14:solidFill>
          </w14:textFill>
        </w:rPr>
        <w:t>至</w:t>
      </w:r>
      <w:r>
        <w:rPr>
          <w:rFonts w:hint="eastAsia" w:ascii="宋体" w:hAnsi="宋体" w:eastAsia="宋体" w:cs="宋体"/>
          <w:color w:val="000000" w:themeColor="text1"/>
          <w:sz w:val="28"/>
          <w:szCs w:val="28"/>
          <w:highlight w:val="none"/>
          <w14:textFill>
            <w14:solidFill>
              <w14:schemeClr w14:val="tx1"/>
            </w14:solidFill>
          </w14:textFill>
        </w:rPr>
        <w:t>采购</w:t>
      </w:r>
      <w:r>
        <w:rPr>
          <w:rFonts w:hint="eastAsia" w:ascii="宋体" w:hAnsi="宋体" w:eastAsia="宋体" w:cs="宋体"/>
          <w:color w:val="000000" w:themeColor="text1"/>
          <w:sz w:val="28"/>
          <w:szCs w:val="28"/>
          <w:highlight w:val="none"/>
          <w:lang w:val="en-US" w:eastAsia="zh-CN"/>
          <w14:textFill>
            <w14:solidFill>
              <w14:schemeClr w14:val="tx1"/>
            </w14:solidFill>
          </w14:textFill>
        </w:rPr>
        <w:t>人处</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lang w:val="en-US" w:eastAsia="zh-CN"/>
          <w14:textFill>
            <w14:solidFill>
              <w14:schemeClr w14:val="tx1"/>
            </w14:solidFill>
          </w14:textFill>
        </w:rPr>
        <w:t>由采购人办理完相关财政支付手续后支付</w:t>
      </w:r>
      <w:r>
        <w:rPr>
          <w:rFonts w:hint="eastAsia" w:ascii="宋体" w:hAnsi="宋体" w:eastAsia="宋体" w:cs="宋体"/>
          <w:color w:val="000000" w:themeColor="text1"/>
          <w:sz w:val="28"/>
          <w:szCs w:val="28"/>
          <w:highlight w:val="none"/>
          <w14:textFill>
            <w14:solidFill>
              <w14:schemeClr w14:val="tx1"/>
            </w14:solidFill>
          </w14:textFill>
        </w:rPr>
        <w:t>剩余款项。</w:t>
      </w:r>
    </w:p>
    <w:p>
      <w:pPr>
        <w:pStyle w:val="3"/>
        <w:spacing w:line="360" w:lineRule="auto"/>
        <w:ind w:firstLine="562" w:firstLineChars="200"/>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w:t>
      </w: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五</w:t>
      </w:r>
      <w:r>
        <w:rPr>
          <w:rFonts w:hint="eastAsia" w:ascii="宋体" w:hAnsi="宋体" w:eastAsia="宋体" w:cs="宋体"/>
          <w:b/>
          <w:bCs/>
          <w:color w:val="000000" w:themeColor="text1"/>
          <w:sz w:val="28"/>
          <w:szCs w:val="28"/>
          <w:highlight w:val="none"/>
          <w14:textFill>
            <w14:solidFill>
              <w14:schemeClr w14:val="tx1"/>
            </w14:solidFill>
          </w14:textFill>
        </w:rPr>
        <w:t>）验收</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1、所有</w:t>
      </w:r>
      <w:r>
        <w:rPr>
          <w:rFonts w:hint="eastAsia" w:ascii="宋体" w:hAnsi="宋体" w:eastAsia="宋体" w:cs="宋体"/>
          <w:color w:val="000000" w:themeColor="text1"/>
          <w:sz w:val="28"/>
          <w:szCs w:val="28"/>
          <w:highlight w:val="none"/>
          <w:lang w:val="en-US" w:eastAsia="zh-CN"/>
          <w14:textFill>
            <w14:solidFill>
              <w14:schemeClr w14:val="tx1"/>
            </w14:solidFill>
          </w14:textFill>
        </w:rPr>
        <w:t>产品交付</w:t>
      </w:r>
      <w:r>
        <w:rPr>
          <w:rFonts w:hint="eastAsia" w:ascii="宋体" w:hAnsi="宋体" w:eastAsia="宋体" w:cs="宋体"/>
          <w:color w:val="000000" w:themeColor="text1"/>
          <w:sz w:val="28"/>
          <w:szCs w:val="28"/>
          <w:highlight w:val="none"/>
          <w14:textFill>
            <w14:solidFill>
              <w14:schemeClr w14:val="tx1"/>
            </w14:solidFill>
          </w14:textFill>
        </w:rPr>
        <w:t>完毕，由采购人</w:t>
      </w:r>
      <w:r>
        <w:rPr>
          <w:rFonts w:hint="eastAsia" w:ascii="宋体" w:hAnsi="宋体" w:eastAsia="宋体" w:cs="宋体"/>
          <w:color w:val="000000" w:themeColor="text1"/>
          <w:sz w:val="28"/>
          <w:szCs w:val="28"/>
          <w:highlight w:val="none"/>
          <w:lang w:val="en-US" w:eastAsia="zh-CN"/>
          <w14:textFill>
            <w14:solidFill>
              <w14:schemeClr w14:val="tx1"/>
            </w14:solidFill>
          </w14:textFill>
        </w:rPr>
        <w:t>组织</w:t>
      </w:r>
      <w:r>
        <w:rPr>
          <w:rFonts w:hint="eastAsia" w:ascii="宋体" w:hAnsi="宋体" w:eastAsia="宋体" w:cs="宋体"/>
          <w:color w:val="000000" w:themeColor="text1"/>
          <w:sz w:val="28"/>
          <w:szCs w:val="28"/>
          <w:highlight w:val="none"/>
          <w14:textFill>
            <w14:solidFill>
              <w14:schemeClr w14:val="tx1"/>
            </w14:solidFill>
          </w14:textFill>
        </w:rPr>
        <w:t>进行验收，合格后签发《验收合格单》。</w:t>
      </w:r>
      <w:r>
        <w:rPr>
          <w:rFonts w:hint="eastAsia" w:ascii="宋体" w:hAnsi="宋体" w:eastAsia="宋体" w:cs="宋体"/>
          <w:color w:val="000000" w:themeColor="text1"/>
          <w:sz w:val="28"/>
          <w:szCs w:val="28"/>
          <w:highlight w:val="none"/>
          <w14:textFill>
            <w14:solidFill>
              <w14:schemeClr w14:val="tx1"/>
            </w14:solidFill>
          </w14:textFill>
        </w:rPr>
        <w:cr/>
      </w:r>
      <w:r>
        <w:rPr>
          <w:rFonts w:hint="eastAsia" w:ascii="宋体" w:hAnsi="宋体" w:eastAsia="宋体" w:cs="宋体"/>
          <w:color w:val="000000" w:themeColor="text1"/>
          <w:sz w:val="28"/>
          <w:szCs w:val="28"/>
          <w:highlight w:val="none"/>
          <w14:textFill>
            <w14:solidFill>
              <w14:schemeClr w14:val="tx1"/>
            </w14:solidFill>
          </w14:textFill>
        </w:rPr>
        <w:t xml:space="preserve">    </w:t>
      </w:r>
      <w:r>
        <w:rPr>
          <w:rFonts w:hint="eastAsia" w:ascii="宋体" w:hAnsi="宋体" w:eastAsia="宋体" w:cs="宋体"/>
          <w:color w:val="000000" w:themeColor="text1"/>
          <w:sz w:val="28"/>
          <w:szCs w:val="28"/>
          <w:highlight w:val="none"/>
          <w:lang w:val="en-US" w:eastAsia="zh-CN"/>
          <w14:textFill>
            <w14:solidFill>
              <w14:schemeClr w14:val="tx1"/>
            </w14:solidFill>
          </w14:textFill>
        </w:rPr>
        <w:t>2</w:t>
      </w:r>
      <w:r>
        <w:rPr>
          <w:rFonts w:hint="eastAsia" w:ascii="宋体" w:hAnsi="宋体" w:eastAsia="宋体" w:cs="宋体"/>
          <w:color w:val="000000" w:themeColor="text1"/>
          <w:sz w:val="28"/>
          <w:szCs w:val="28"/>
          <w:highlight w:val="none"/>
          <w14:textFill>
            <w14:solidFill>
              <w14:schemeClr w14:val="tx1"/>
            </w14:solidFill>
          </w14:textFill>
        </w:rPr>
        <w:t>、验收不合格的</w:t>
      </w:r>
      <w:r>
        <w:rPr>
          <w:rFonts w:hint="eastAsia" w:ascii="宋体" w:hAnsi="宋体" w:eastAsia="宋体" w:cs="宋体"/>
          <w:color w:val="000000" w:themeColor="text1"/>
          <w:sz w:val="28"/>
          <w:szCs w:val="28"/>
          <w:highlight w:val="none"/>
          <w:lang w:val="en-US" w:eastAsia="zh-CN"/>
          <w14:textFill>
            <w14:solidFill>
              <w14:schemeClr w14:val="tx1"/>
            </w14:solidFill>
          </w14:textFill>
        </w:rPr>
        <w:t>产品</w:t>
      </w:r>
      <w:r>
        <w:rPr>
          <w:rFonts w:hint="eastAsia" w:ascii="宋体" w:hAnsi="宋体" w:eastAsia="宋体" w:cs="宋体"/>
          <w:color w:val="000000" w:themeColor="text1"/>
          <w:sz w:val="28"/>
          <w:szCs w:val="28"/>
          <w:highlight w:val="none"/>
          <w14:textFill>
            <w14:solidFill>
              <w14:schemeClr w14:val="tx1"/>
            </w14:solidFill>
          </w14:textFill>
        </w:rPr>
        <w:t>，必须在接到通知后7个日历日内确保</w:t>
      </w:r>
      <w:r>
        <w:rPr>
          <w:rFonts w:hint="eastAsia" w:ascii="宋体" w:hAnsi="宋体" w:eastAsia="宋体" w:cs="宋体"/>
          <w:color w:val="000000" w:themeColor="text1"/>
          <w:sz w:val="28"/>
          <w:szCs w:val="28"/>
          <w:highlight w:val="none"/>
          <w:lang w:val="en-US" w:eastAsia="zh-CN"/>
          <w14:textFill>
            <w14:solidFill>
              <w14:schemeClr w14:val="tx1"/>
            </w14:solidFill>
          </w14:textFill>
        </w:rPr>
        <w:t>产品</w:t>
      </w:r>
      <w:r>
        <w:rPr>
          <w:rFonts w:hint="eastAsia" w:ascii="宋体" w:hAnsi="宋体" w:eastAsia="宋体" w:cs="宋体"/>
          <w:color w:val="000000" w:themeColor="text1"/>
          <w:sz w:val="28"/>
          <w:szCs w:val="28"/>
          <w:highlight w:val="none"/>
          <w14:textFill>
            <w14:solidFill>
              <w14:schemeClr w14:val="tx1"/>
            </w14:solidFill>
          </w14:textFill>
        </w:rPr>
        <w:t>通过验收。如接到通知后7个日历日内验收仍不合格，采购人可提出索赔或取消其供货合同</w:t>
      </w:r>
      <w:r>
        <w:rPr>
          <w:rFonts w:hint="eastAsia" w:ascii="宋体" w:hAnsi="宋体" w:eastAsia="宋体" w:cs="宋体"/>
          <w:color w:val="000000" w:themeColor="text1"/>
          <w:sz w:val="28"/>
          <w:szCs w:val="28"/>
          <w:highlight w:val="none"/>
          <w:lang w:val="en-US" w:eastAsia="zh-CN"/>
          <w14:textFill>
            <w14:solidFill>
              <w14:schemeClr w14:val="tx1"/>
            </w14:solidFill>
          </w14:textFill>
        </w:rPr>
        <w:t>且不承担任何责任</w:t>
      </w:r>
      <w:r>
        <w:rPr>
          <w:rFonts w:hint="eastAsia" w:ascii="宋体" w:hAnsi="宋体" w:eastAsia="宋体" w:cs="宋体"/>
          <w:color w:val="000000" w:themeColor="text1"/>
          <w:sz w:val="28"/>
          <w:szCs w:val="28"/>
          <w:highlight w:val="none"/>
          <w14:textFill>
            <w14:solidFill>
              <w14:schemeClr w14:val="tx1"/>
            </w14:solidFill>
          </w14:textFill>
        </w:rPr>
        <w:t>。</w:t>
      </w:r>
    </w:p>
    <w:p>
      <w:pPr>
        <w:spacing w:line="360" w:lineRule="auto"/>
        <w:ind w:firstLine="560"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3</w:t>
      </w:r>
      <w:r>
        <w:rPr>
          <w:rFonts w:hint="eastAsia" w:ascii="宋体" w:hAnsi="宋体" w:eastAsia="宋体" w:cs="宋体"/>
          <w:color w:val="000000" w:themeColor="text1"/>
          <w:sz w:val="28"/>
          <w:szCs w:val="28"/>
          <w:highlight w:val="none"/>
          <w14:textFill>
            <w14:solidFill>
              <w14:schemeClr w14:val="tx1"/>
            </w14:solidFill>
          </w14:textFill>
        </w:rPr>
        <w:t>、验收依据</w:t>
      </w:r>
    </w:p>
    <w:p>
      <w:pPr>
        <w:pStyle w:val="3"/>
        <w:spacing w:line="360" w:lineRule="auto"/>
        <w:ind w:firstLine="4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（1）合同文本及合同补充文件（条款）</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xml:space="preserve"> </w:t>
      </w:r>
    </w:p>
    <w:p>
      <w:pPr>
        <w:pStyle w:val="3"/>
        <w:spacing w:line="360" w:lineRule="auto"/>
        <w:ind w:firstLine="400"/>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（2）产品的合法来源渠道证明文件</w:t>
      </w:r>
      <w:r>
        <w:rPr>
          <w:rFonts w:hint="eastAsia" w:ascii="宋体" w:hAnsi="宋体" w:eastAsia="宋体" w:cs="宋体"/>
          <w:color w:val="000000" w:themeColor="text1"/>
          <w:sz w:val="28"/>
          <w:szCs w:val="28"/>
          <w:highlight w:val="none"/>
          <w:lang w:eastAsia="zh-CN"/>
          <w14:textFill>
            <w14:solidFill>
              <w14:schemeClr w14:val="tx1"/>
            </w14:solidFill>
          </w14:textFill>
        </w:rPr>
        <w:t>；</w:t>
      </w:r>
    </w:p>
    <w:p>
      <w:pPr>
        <w:pStyle w:val="3"/>
        <w:spacing w:line="360" w:lineRule="auto"/>
        <w:ind w:firstLine="400"/>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（3）招标文件</w:t>
      </w:r>
      <w:r>
        <w:rPr>
          <w:rFonts w:hint="eastAsia" w:ascii="宋体" w:hAnsi="宋体" w:eastAsia="宋体" w:cs="宋体"/>
          <w:color w:val="000000" w:themeColor="text1"/>
          <w:sz w:val="28"/>
          <w:szCs w:val="28"/>
          <w:highlight w:val="none"/>
          <w:lang w:eastAsia="zh-CN"/>
          <w14:textFill>
            <w14:solidFill>
              <w14:schemeClr w14:val="tx1"/>
            </w14:solidFill>
          </w14:textFill>
        </w:rPr>
        <w:t>；</w:t>
      </w:r>
    </w:p>
    <w:p>
      <w:pPr>
        <w:pStyle w:val="3"/>
        <w:spacing w:line="360" w:lineRule="auto"/>
        <w:ind w:firstLine="400"/>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（4）中标供应商的投标文件</w:t>
      </w:r>
      <w:r>
        <w:rPr>
          <w:rFonts w:hint="eastAsia" w:ascii="宋体" w:hAnsi="宋体" w:eastAsia="宋体" w:cs="宋体"/>
          <w:color w:val="000000" w:themeColor="text1"/>
          <w:sz w:val="28"/>
          <w:szCs w:val="28"/>
          <w:highlight w:val="none"/>
          <w:lang w:eastAsia="zh-CN"/>
          <w14:textFill>
            <w14:solidFill>
              <w14:schemeClr w14:val="tx1"/>
            </w14:solidFill>
          </w14:textFill>
        </w:rPr>
        <w:t>；</w:t>
      </w:r>
    </w:p>
    <w:p>
      <w:pPr>
        <w:pStyle w:val="3"/>
        <w:spacing w:line="360" w:lineRule="auto"/>
        <w:ind w:firstLine="400"/>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（5）合同货物清单</w:t>
      </w:r>
      <w:r>
        <w:rPr>
          <w:rFonts w:hint="eastAsia" w:ascii="宋体" w:hAnsi="宋体" w:eastAsia="宋体" w:cs="宋体"/>
          <w:color w:val="000000" w:themeColor="text1"/>
          <w:sz w:val="28"/>
          <w:szCs w:val="28"/>
          <w:highlight w:val="none"/>
          <w:lang w:eastAsia="zh-CN"/>
          <w14:textFill>
            <w14:solidFill>
              <w14:schemeClr w14:val="tx1"/>
            </w14:solidFill>
          </w14:textFill>
        </w:rPr>
        <w:t>；</w:t>
      </w:r>
    </w:p>
    <w:p>
      <w:pPr>
        <w:pStyle w:val="3"/>
        <w:spacing w:line="360" w:lineRule="auto"/>
        <w:ind w:firstLine="4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（6）货物的执行标准。</w:t>
      </w:r>
      <w:bookmarkStart w:id="219" w:name="_Toc18283"/>
    </w:p>
    <w:p>
      <w:pPr>
        <w:spacing w:line="360" w:lineRule="auto"/>
        <w:ind w:firstLine="562" w:firstLineChars="200"/>
        <w:outlineLvl w:val="2"/>
        <w:rPr>
          <w:rFonts w:hint="default" w:ascii="宋体" w:hAnsi="宋体" w:eastAsia="宋体" w:cs="宋体"/>
          <w:b/>
          <w:bCs/>
          <w:color w:val="000000" w:themeColor="text1"/>
          <w:kern w:val="2"/>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kern w:val="2"/>
          <w:sz w:val="28"/>
          <w:szCs w:val="28"/>
          <w:highlight w:val="none"/>
          <w14:textFill>
            <w14:solidFill>
              <w14:schemeClr w14:val="tx1"/>
            </w14:solidFill>
          </w14:textFill>
        </w:rPr>
        <w:t>二、</w:t>
      </w:r>
      <w:bookmarkEnd w:id="219"/>
      <w:r>
        <w:rPr>
          <w:rFonts w:hint="eastAsia" w:ascii="宋体" w:hAnsi="宋体" w:eastAsia="宋体" w:cs="宋体"/>
          <w:b/>
          <w:bCs/>
          <w:color w:val="000000" w:themeColor="text1"/>
          <w:kern w:val="2"/>
          <w:sz w:val="28"/>
          <w:szCs w:val="28"/>
          <w:highlight w:val="none"/>
          <w:lang w:val="en-US" w:eastAsia="zh-CN"/>
          <w14:textFill>
            <w14:solidFill>
              <w14:schemeClr w14:val="tx1"/>
            </w14:solidFill>
          </w14:textFill>
        </w:rPr>
        <w:t>采购内容及技术要求（本项目专门面向中小企业采购，以下产品的生产制造厂家必须全部符合中型、小型、微型企业）</w:t>
      </w:r>
    </w:p>
    <w:tbl>
      <w:tblPr>
        <w:tblStyle w:val="34"/>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5"/>
        <w:gridCol w:w="1609"/>
        <w:gridCol w:w="2036"/>
        <w:gridCol w:w="916"/>
        <w:gridCol w:w="665"/>
        <w:gridCol w:w="36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bookmarkStart w:id="220" w:name="_Toc100219615"/>
            <w:r>
              <w:rPr>
                <w:rFonts w:hint="eastAsia" w:ascii="宋体" w:hAnsi="宋体" w:eastAsia="宋体" w:cs="宋体"/>
                <w:b/>
                <w:bCs/>
                <w:i w:val="0"/>
                <w:iCs w:val="0"/>
                <w:color w:val="000000"/>
                <w:kern w:val="0"/>
                <w:sz w:val="28"/>
                <w:szCs w:val="28"/>
                <w:u w:val="none"/>
                <w:lang w:val="en-US" w:eastAsia="zh-CN" w:bidi="ar"/>
              </w:rPr>
              <w:t>管材管件类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规格</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衬塑复合钢管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DN300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过桥段挂管敷设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聚乙烯给水管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dn315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5370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含管件长度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聚乙烯给水管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dn160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3563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含管件长度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聚乙烯给水管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dn110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14804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含管件长度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聚乙烯给水管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dn63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含管件长度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聚乙烯给水管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dn32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8715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含管件长度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PE三通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dn315×315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PE三通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dn300×200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PE三通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dn315×160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PE三通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dn315×110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PE三通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dn300×110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PE三通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dn315×75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PE三通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dn160×160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PE三通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dn160×110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PE三通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dn160×75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PE三通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dn160×63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PE三通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dn110×110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PE三通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dn110×75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PE三通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dn110×63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1462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PE三通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dn63×63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PE三通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dn63×32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PE渐缩管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dn315×160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PE渐缩管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dn200×110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PE渐缩管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dn160×110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PE渐缩管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dn110×63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PE渐缩管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dn63×40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PE渐缩管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dn63×32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1477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PE渐缩管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dn63×25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90°弯头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dn315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90°弯头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dn160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90°弯头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dn110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90°弯头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dn63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90°弯头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dn63*32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90°弯头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dn32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5985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45°弯头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dn315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45°弯头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dn160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45°弯头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dn110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45°弯头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dn63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30°弯头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dn110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35°弯头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dn160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25°弯头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dn315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PE法兰端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DN300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PE法兰端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DN160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PE法兰端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555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PE法兰端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dn63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排气阀处使用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PE法兰端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DN50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PE法兰端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DN50×25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带DN25补芯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PE法兰端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排气阀处使用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PE法兰盘</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dn110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闸阀与管道连接处使用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PE外丝直接</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dn63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PE外丝直接</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dn50×40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PE外丝直接</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dn32×25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1501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PE外丝直接</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dn25×20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PE短管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dn110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248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含活接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PE短管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dn63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不锈钢分水器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DN50×20×2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SUS304不锈钢，壁厚δ=1.5mm ，1.0MPa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不锈钢分水器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DN50×25×2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SUS304不锈钢，壁厚δ=1.5mm 1.0MPa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PE双盘异径管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DN50×25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排气阀处使用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转换头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不锈钢与PE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伸缩接头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DN40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伸缩接头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外螺接由任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DN40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外螺接由任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阀门类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规格</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闸阀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DN300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SZ45X-10Q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闸阀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DN150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SZ45X-10Q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闸阀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SZ45X-10Q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闸阀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DN50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SZ45X-10Q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闸阀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DN40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Z15X-10Q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闸阀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1502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SZ45X-10Q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闸阀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Z15X-10Q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止回阀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DN50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止回阀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DN40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止回阀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止回阀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排气阀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DN50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排气阀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排泥阀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DN75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锁闭阀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DN40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锁闭阀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锁闭阀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水表及表箱类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规格</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水表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水表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DN50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保温水表箱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450×750×220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1494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1表箱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保温水表箱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750×750×220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3表箱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IC卡水表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DN40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IC卡水表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含水表连接件、防干扰阀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IC卡水表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DN20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井盖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规格</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井座及井盖</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Calibri" w:hAnsi="Calibri" w:eastAsia="等线" w:cs="Calibri"/>
                <w:i w:val="0"/>
                <w:iCs w:val="0"/>
                <w:color w:val="000000"/>
                <w:sz w:val="28"/>
                <w:szCs w:val="28"/>
                <w:u w:val="none"/>
              </w:rPr>
            </w:pPr>
            <w:r>
              <w:rPr>
                <w:rStyle w:val="120"/>
                <w:rFonts w:eastAsia="等线"/>
                <w:sz w:val="28"/>
                <w:szCs w:val="28"/>
                <w:lang w:val="en-US" w:eastAsia="zh-CN" w:bidi="ar"/>
              </w:rPr>
              <w:t>φ</w:t>
            </w:r>
            <w:r>
              <w:rPr>
                <w:rStyle w:val="121"/>
                <w:rFonts w:eastAsia="等线"/>
                <w:sz w:val="28"/>
                <w:szCs w:val="28"/>
                <w:lang w:val="en-US" w:eastAsia="zh-CN" w:bidi="ar"/>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球墨铸铁、重型可调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消火栓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规格</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室外地上消火栓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SS100/65-1.0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bl>
    <w:p>
      <w:pPr>
        <w:outlineLvl w:val="2"/>
        <w:rPr>
          <w:rFonts w:hint="eastAsia" w:ascii="宋体" w:hAnsi="宋体" w:eastAsia="宋体" w:cs="宋体"/>
          <w:color w:val="000000" w:themeColor="text1"/>
          <w:sz w:val="28"/>
          <w:szCs w:val="28"/>
          <w:highlight w:val="none"/>
          <w14:textFill>
            <w14:solidFill>
              <w14:schemeClr w14:val="tx1"/>
            </w14:solidFill>
          </w14:textFill>
        </w:rPr>
      </w:pPr>
    </w:p>
    <w:p>
      <w:pPr>
        <w:spacing w:line="360" w:lineRule="auto"/>
        <w:ind w:firstLine="562" w:firstLineChars="200"/>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bookmarkStart w:id="221" w:name="_Toc26386"/>
      <w:bookmarkStart w:id="222" w:name="_Toc19583"/>
      <w:r>
        <w:rPr>
          <w:rFonts w:hint="eastAsia" w:ascii="宋体" w:hAnsi="宋体" w:eastAsia="宋体" w:cs="宋体"/>
          <w:b/>
          <w:bCs/>
          <w:color w:val="000000" w:themeColor="text1"/>
          <w:sz w:val="28"/>
          <w:szCs w:val="28"/>
          <w:highlight w:val="none"/>
          <w:lang w:val="en-US" w:eastAsia="zh-CN"/>
          <w14:textFill>
            <w14:solidFill>
              <w14:schemeClr w14:val="tx1"/>
            </w14:solidFill>
          </w14:textFill>
        </w:rPr>
        <w:t>产品技术要求：</w:t>
      </w:r>
    </w:p>
    <w:p>
      <w:pPr>
        <w:spacing w:line="360" w:lineRule="auto"/>
        <w:ind w:firstLine="560" w:firstLineChars="200"/>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1、管材要求:户外埋地:主管道采用聚乙烯(混配料生产的)PE100级给水管材。接口形式为: (1)热熔对接。(2)法兰连接,开挖部分耐压等级为1.6MPa(SDR17),管件亦选用PE100级，耐压等级为1.6MPa(SDR13.6)配套管件，背压法兰采用过塑钢法兰。立管安装裸露在外墙管道采取PVC-U阻燃保温管保温，且采用配套管道卡箍固定。</w:t>
      </w:r>
    </w:p>
    <w:p>
      <w:pPr>
        <w:spacing w:line="360" w:lineRule="auto"/>
        <w:ind w:firstLine="560" w:firstLineChars="200"/>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2、闸阀:管径&gt;DN50闸阀采用法兰连接，管径≤DN50闸阀采用丝口连接。</w:t>
      </w:r>
    </w:p>
    <w:p>
      <w:pPr>
        <w:spacing w:line="360" w:lineRule="auto"/>
        <w:ind w:firstLine="56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3、水表:管径≥DN50水表采用法兰连接，管径&lt;DN50水表采用丝口连接。</w:t>
      </w:r>
      <w:r>
        <w:rPr>
          <w:rFonts w:hint="eastAsia" w:ascii="宋体" w:hAnsi="宋体" w:eastAsia="宋体" w:cs="宋体"/>
          <w:color w:val="000000" w:themeColor="text1"/>
          <w:highlight w:val="none"/>
          <w14:textFill>
            <w14:solidFill>
              <w14:schemeClr w14:val="tx1"/>
            </w14:solidFill>
          </w14:textFill>
        </w:rPr>
        <w:br w:type="page"/>
      </w:r>
    </w:p>
    <w:p>
      <w:pPr>
        <w:pStyle w:val="7"/>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第四章  合同文本</w:t>
      </w:r>
      <w:bookmarkEnd w:id="220"/>
      <w:bookmarkEnd w:id="221"/>
      <w:bookmarkEnd w:id="222"/>
    </w:p>
    <w:p>
      <w:pPr>
        <w:jc w:val="right"/>
        <w:rPr>
          <w:rFonts w:ascii="宋体" w:hAnsi="宋体" w:eastAsia="宋体" w:cs="宋体"/>
          <w:b/>
          <w:color w:val="000000" w:themeColor="text1"/>
          <w:sz w:val="32"/>
          <w:szCs w:val="32"/>
          <w:highlight w:val="none"/>
          <w:bdr w:val="single" w:color="auto" w:sz="4" w:space="0"/>
          <w:shd w:val="pct10" w:color="auto" w:fill="FFFFFF"/>
          <w14:textFill>
            <w14:solidFill>
              <w14:schemeClr w14:val="tx1"/>
            </w14:solidFill>
          </w14:textFill>
        </w:rPr>
      </w:pPr>
      <w:bookmarkStart w:id="223" w:name="_Toc100219616"/>
      <w:r>
        <w:rPr>
          <w:rFonts w:hint="eastAsia" w:ascii="宋体" w:hAnsi="宋体" w:eastAsia="宋体" w:cs="宋体"/>
          <w:b/>
          <w:color w:val="000000" w:themeColor="text1"/>
          <w:sz w:val="32"/>
          <w:szCs w:val="32"/>
          <w:highlight w:val="none"/>
          <w:bdr w:val="single" w:color="auto" w:sz="4" w:space="0"/>
          <w:shd w:val="pct10" w:color="auto" w:fill="FFFFFF"/>
          <w14:textFill>
            <w14:solidFill>
              <w14:schemeClr w14:val="tx1"/>
            </w14:solidFill>
          </w14:textFill>
        </w:rPr>
        <w:t>政府采购项目</w:t>
      </w:r>
    </w:p>
    <w:p>
      <w:pPr>
        <w:spacing w:line="480" w:lineRule="auto"/>
        <w:jc w:val="center"/>
        <w:rPr>
          <w:rFonts w:ascii="宋体" w:hAnsi="宋体" w:eastAsia="宋体" w:cs="宋体"/>
          <w:b/>
          <w:bCs/>
          <w:color w:val="000000" w:themeColor="text1"/>
          <w:sz w:val="44"/>
          <w:szCs w:val="44"/>
          <w:highlight w:val="none"/>
          <w14:textFill>
            <w14:solidFill>
              <w14:schemeClr w14:val="tx1"/>
            </w14:solidFill>
          </w14:textFill>
        </w:rPr>
      </w:pPr>
    </w:p>
    <w:p>
      <w:pPr>
        <w:spacing w:line="480" w:lineRule="auto"/>
        <w:jc w:val="center"/>
        <w:rPr>
          <w:rFonts w:ascii="宋体" w:hAnsi="宋体" w:eastAsia="宋体" w:cs="宋体"/>
          <w:b/>
          <w:bCs/>
          <w:color w:val="000000" w:themeColor="text1"/>
          <w:sz w:val="44"/>
          <w:szCs w:val="44"/>
          <w:highlight w:val="none"/>
          <w14:textFill>
            <w14:solidFill>
              <w14:schemeClr w14:val="tx1"/>
            </w14:solidFill>
          </w14:textFill>
        </w:rPr>
      </w:pPr>
    </w:p>
    <w:p>
      <w:pPr>
        <w:jc w:val="center"/>
        <w:rPr>
          <w:rFonts w:hint="default" w:ascii="宋体" w:hAnsi="宋体" w:eastAsia="宋体" w:cs="宋体"/>
          <w:b/>
          <w:color w:val="000000" w:themeColor="text1"/>
          <w:sz w:val="56"/>
          <w:szCs w:val="56"/>
          <w:highlight w:val="none"/>
          <w:lang w:val="en-US" w:eastAsia="zh-CN"/>
          <w14:textFill>
            <w14:solidFill>
              <w14:schemeClr w14:val="tx1"/>
            </w14:solidFill>
          </w14:textFill>
        </w:rPr>
      </w:pPr>
      <w:r>
        <w:rPr>
          <w:rFonts w:hint="eastAsia" w:ascii="宋体" w:hAnsi="宋体" w:eastAsia="宋体" w:cs="宋体"/>
          <w:b/>
          <w:color w:val="000000" w:themeColor="text1"/>
          <w:sz w:val="56"/>
          <w:szCs w:val="56"/>
          <w:highlight w:val="none"/>
          <w:lang w:val="en-US" w:eastAsia="zh-CN"/>
          <w14:textFill>
            <w14:solidFill>
              <w14:schemeClr w14:val="tx1"/>
            </w14:solidFill>
          </w14:textFill>
        </w:rPr>
        <w:t>未央宫街道遗址区“六村三校”农村饮水安全巩固提升工程材料购置</w:t>
      </w:r>
    </w:p>
    <w:p>
      <w:pPr>
        <w:pStyle w:val="3"/>
        <w:rPr>
          <w:rFonts w:ascii="宋体" w:hAnsi="宋体" w:eastAsia="宋体" w:cs="宋体"/>
          <w:color w:val="000000" w:themeColor="text1"/>
          <w:highlight w:val="none"/>
          <w14:textFill>
            <w14:solidFill>
              <w14:schemeClr w14:val="tx1"/>
            </w14:solidFill>
          </w14:textFill>
        </w:rPr>
      </w:pPr>
    </w:p>
    <w:p>
      <w:pPr>
        <w:tabs>
          <w:tab w:val="left" w:pos="7815"/>
        </w:tabs>
        <w:spacing w:line="1100" w:lineRule="exact"/>
        <w:rPr>
          <w:rFonts w:ascii="宋体" w:hAnsi="宋体" w:eastAsia="宋体" w:cs="宋体"/>
          <w:b/>
          <w:color w:val="000000" w:themeColor="text1"/>
          <w:sz w:val="52"/>
          <w:szCs w:val="52"/>
          <w:highlight w:val="none"/>
          <w14:textFill>
            <w14:solidFill>
              <w14:schemeClr w14:val="tx1"/>
            </w14:solidFill>
          </w14:textFill>
        </w:rPr>
      </w:pPr>
    </w:p>
    <w:p>
      <w:pPr>
        <w:spacing w:line="360" w:lineRule="auto"/>
        <w:ind w:firstLine="2125" w:firstLineChars="294"/>
        <w:rPr>
          <w:rFonts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72"/>
          <w:szCs w:val="72"/>
          <w:highlight w:val="none"/>
          <w14:textFill>
            <w14:solidFill>
              <w14:schemeClr w14:val="tx1"/>
            </w14:solidFill>
          </w14:textFill>
        </w:rPr>
        <w:t xml:space="preserve">  </w:t>
      </w:r>
      <w:bookmarkStart w:id="224" w:name="_Hlk71972824"/>
      <w:r>
        <w:rPr>
          <w:rFonts w:hint="eastAsia" w:ascii="宋体" w:hAnsi="宋体" w:eastAsia="宋体" w:cs="宋体"/>
          <w:b/>
          <w:color w:val="000000" w:themeColor="text1"/>
          <w:sz w:val="72"/>
          <w:szCs w:val="72"/>
          <w:highlight w:val="none"/>
          <w14:textFill>
            <w14:solidFill>
              <w14:schemeClr w14:val="tx1"/>
            </w14:solidFill>
          </w14:textFill>
        </w:rPr>
        <w:t>供货合同</w:t>
      </w:r>
    </w:p>
    <w:p>
      <w:pPr>
        <w:spacing w:line="360" w:lineRule="auto"/>
        <w:rPr>
          <w:rFonts w:ascii="宋体" w:hAnsi="宋体" w:eastAsia="宋体" w:cs="宋体"/>
          <w:b/>
          <w:color w:val="000000" w:themeColor="text1"/>
          <w:sz w:val="32"/>
          <w:szCs w:val="32"/>
          <w:highlight w:val="none"/>
          <w14:textFill>
            <w14:solidFill>
              <w14:schemeClr w14:val="tx1"/>
            </w14:solidFill>
          </w14:textFill>
        </w:rPr>
      </w:pPr>
    </w:p>
    <w:p>
      <w:pPr>
        <w:pStyle w:val="113"/>
        <w:rPr>
          <w:rFonts w:ascii="宋体" w:hAnsi="宋体" w:eastAsia="宋体" w:cs="宋体"/>
          <w:b/>
          <w:color w:val="000000" w:themeColor="text1"/>
          <w:sz w:val="32"/>
          <w:szCs w:val="32"/>
          <w:highlight w:val="none"/>
          <w14:textFill>
            <w14:solidFill>
              <w14:schemeClr w14:val="tx1"/>
            </w14:solidFill>
          </w14:textFill>
        </w:rPr>
      </w:pPr>
    </w:p>
    <w:p>
      <w:pPr>
        <w:pStyle w:val="113"/>
        <w:rPr>
          <w:rFonts w:ascii="宋体" w:hAnsi="宋体" w:eastAsia="宋体" w:cs="宋体"/>
          <w:b/>
          <w:color w:val="000000" w:themeColor="text1"/>
          <w:sz w:val="32"/>
          <w:szCs w:val="32"/>
          <w:highlight w:val="none"/>
          <w14:textFill>
            <w14:solidFill>
              <w14:schemeClr w14:val="tx1"/>
            </w14:solidFill>
          </w14:textFill>
        </w:rPr>
      </w:pPr>
    </w:p>
    <w:p>
      <w:pPr>
        <w:pStyle w:val="113"/>
      </w:pPr>
    </w:p>
    <w:p>
      <w:pPr>
        <w:spacing w:line="360" w:lineRule="auto"/>
        <w:ind w:firstLine="1928" w:firstLineChars="600"/>
        <w:rPr>
          <w:rFonts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合同编号：</w:t>
      </w:r>
      <w:r>
        <w:rPr>
          <w:rFonts w:hint="eastAsia" w:ascii="宋体" w:hAnsi="宋体" w:eastAsia="宋体" w:cs="宋体"/>
          <w:b/>
          <w:color w:val="000000" w:themeColor="text1"/>
          <w:sz w:val="32"/>
          <w:szCs w:val="32"/>
          <w:highlight w:val="none"/>
          <w:u w:val="single"/>
          <w:lang w:val="en-US" w:eastAsia="zh-CN"/>
          <w14:textFill>
            <w14:solidFill>
              <w14:schemeClr w14:val="tx1"/>
            </w14:solidFill>
          </w14:textFill>
        </w:rPr>
        <w:t xml:space="preserve">           </w:t>
      </w:r>
      <w:r>
        <w:rPr>
          <w:rFonts w:hint="eastAsia" w:ascii="宋体" w:hAnsi="宋体" w:eastAsia="宋体" w:cs="宋体"/>
          <w:b/>
          <w:color w:val="000000" w:themeColor="text1"/>
          <w:sz w:val="32"/>
          <w:szCs w:val="32"/>
          <w:highlight w:val="none"/>
          <w:u w:val="single"/>
          <w14:textFill>
            <w14:solidFill>
              <w14:schemeClr w14:val="tx1"/>
            </w14:solidFill>
          </w14:textFill>
        </w:rPr>
        <w:t xml:space="preserve">  </w:t>
      </w:r>
      <w:r>
        <w:rPr>
          <w:rFonts w:hint="eastAsia" w:ascii="宋体" w:hAnsi="宋体" w:eastAsia="宋体" w:cs="宋体"/>
          <w:b/>
          <w:color w:val="000000" w:themeColor="text1"/>
          <w:sz w:val="32"/>
          <w:szCs w:val="32"/>
          <w:highlight w:val="none"/>
          <w:u w:val="single"/>
          <w:lang w:val="en-US" w:eastAsia="zh-CN"/>
          <w14:textFill>
            <w14:solidFill>
              <w14:schemeClr w14:val="tx1"/>
            </w14:solidFill>
          </w14:textFill>
        </w:rPr>
        <w:t xml:space="preserve">               </w:t>
      </w:r>
      <w:r>
        <w:rPr>
          <w:rFonts w:hint="eastAsia" w:ascii="宋体" w:hAnsi="宋体" w:eastAsia="宋体" w:cs="宋体"/>
          <w:b/>
          <w:color w:val="000000" w:themeColor="text1"/>
          <w:sz w:val="32"/>
          <w:szCs w:val="32"/>
          <w:highlight w:val="none"/>
          <w:u w:val="single"/>
          <w14:textFill>
            <w14:solidFill>
              <w14:schemeClr w14:val="tx1"/>
            </w14:solidFill>
          </w14:textFill>
        </w:rPr>
        <w:t xml:space="preserve">  </w:t>
      </w:r>
      <w:r>
        <w:rPr>
          <w:rFonts w:hint="eastAsia" w:ascii="宋体" w:hAnsi="宋体" w:eastAsia="宋体" w:cs="宋体"/>
          <w:b/>
          <w:color w:val="000000" w:themeColor="text1"/>
          <w:sz w:val="32"/>
          <w:szCs w:val="32"/>
          <w:highlight w:val="none"/>
          <w14:textFill>
            <w14:solidFill>
              <w14:schemeClr w14:val="tx1"/>
            </w14:solidFill>
          </w14:textFill>
        </w:rPr>
        <w:t xml:space="preserve">  </w:t>
      </w:r>
    </w:p>
    <w:p>
      <w:pPr>
        <w:spacing w:line="360" w:lineRule="auto"/>
        <w:ind w:firstLine="1928" w:firstLineChars="600"/>
        <w:rPr>
          <w:rFonts w:ascii="宋体" w:hAnsi="宋体" w:eastAsia="宋体" w:cs="宋体"/>
          <w:b/>
          <w:color w:val="000000" w:themeColor="text1"/>
          <w:sz w:val="32"/>
          <w:szCs w:val="32"/>
          <w:highlight w:val="none"/>
          <w:u w:val="single"/>
          <w14:textFill>
            <w14:solidFill>
              <w14:schemeClr w14:val="tx1"/>
            </w14:solidFill>
          </w14:textFill>
        </w:rPr>
      </w:pPr>
      <w:r>
        <w:rPr>
          <w:rFonts w:hint="eastAsia" w:ascii="宋体" w:hAnsi="宋体" w:eastAsia="宋体" w:cs="宋体"/>
          <w:b/>
          <w:color w:val="000000" w:themeColor="text1"/>
          <w:sz w:val="32"/>
          <w:szCs w:val="32"/>
          <w:highlight w:val="none"/>
          <w:lang w:val="en-US" w:eastAsia="zh-CN"/>
          <w14:textFill>
            <w14:solidFill>
              <w14:schemeClr w14:val="tx1"/>
            </w14:solidFill>
          </w14:textFill>
        </w:rPr>
        <w:t>甲</w:t>
      </w:r>
      <w:r>
        <w:rPr>
          <w:rFonts w:hint="eastAsia" w:ascii="宋体" w:hAnsi="宋体" w:eastAsia="宋体" w:cs="宋体"/>
          <w:b/>
          <w:color w:val="000000" w:themeColor="text1"/>
          <w:sz w:val="32"/>
          <w:szCs w:val="32"/>
          <w:highlight w:val="none"/>
          <w14:textFill>
            <w14:solidFill>
              <w14:schemeClr w14:val="tx1"/>
            </w14:solidFill>
          </w14:textFill>
        </w:rPr>
        <w:t xml:space="preserve">    方：</w:t>
      </w:r>
      <w:r>
        <w:rPr>
          <w:rFonts w:hint="eastAsia" w:ascii="宋体" w:hAnsi="宋体" w:eastAsia="宋体" w:cs="宋体"/>
          <w:b/>
          <w:color w:val="000000" w:themeColor="text1"/>
          <w:sz w:val="32"/>
          <w:szCs w:val="32"/>
          <w:highlight w:val="none"/>
          <w:u w:val="single"/>
          <w:lang w:eastAsia="zh-CN"/>
          <w14:textFill>
            <w14:solidFill>
              <w14:schemeClr w14:val="tx1"/>
            </w14:solidFill>
          </w14:textFill>
        </w:rPr>
        <w:t>西安市未央区未央宫街道办事处</w:t>
      </w:r>
      <w:r>
        <w:rPr>
          <w:rFonts w:hint="eastAsia" w:ascii="宋体" w:hAnsi="宋体" w:eastAsia="宋体" w:cs="宋体"/>
          <w:b/>
          <w:color w:val="000000" w:themeColor="text1"/>
          <w:sz w:val="32"/>
          <w:szCs w:val="32"/>
          <w:highlight w:val="none"/>
          <w:u w:val="single"/>
          <w14:textFill>
            <w14:solidFill>
              <w14:schemeClr w14:val="tx1"/>
            </w14:solidFill>
          </w14:textFill>
        </w:rPr>
        <w:t xml:space="preserve">  </w:t>
      </w:r>
    </w:p>
    <w:p>
      <w:pPr>
        <w:spacing w:line="360" w:lineRule="auto"/>
        <w:ind w:firstLine="1928" w:firstLineChars="600"/>
        <w:rPr>
          <w:rFonts w:ascii="宋体" w:hAnsi="宋体" w:eastAsia="宋体" w:cs="宋体"/>
          <w:b/>
          <w:color w:val="000000" w:themeColor="text1"/>
          <w:sz w:val="32"/>
          <w:szCs w:val="32"/>
          <w:highlight w:val="none"/>
          <w:u w:val="single"/>
          <w14:textFill>
            <w14:solidFill>
              <w14:schemeClr w14:val="tx1"/>
            </w14:solidFill>
          </w14:textFill>
        </w:rPr>
      </w:pPr>
      <w:r>
        <w:rPr>
          <w:rFonts w:hint="eastAsia" w:ascii="宋体" w:hAnsi="宋体" w:eastAsia="宋体" w:cs="宋体"/>
          <w:b/>
          <w:color w:val="000000" w:themeColor="text1"/>
          <w:sz w:val="32"/>
          <w:szCs w:val="32"/>
          <w:highlight w:val="none"/>
          <w:lang w:val="en-US" w:eastAsia="zh-CN"/>
          <w14:textFill>
            <w14:solidFill>
              <w14:schemeClr w14:val="tx1"/>
            </w14:solidFill>
          </w14:textFill>
        </w:rPr>
        <w:t xml:space="preserve">乙 </w:t>
      </w:r>
      <w:r>
        <w:rPr>
          <w:rFonts w:hint="eastAsia" w:ascii="宋体" w:hAnsi="宋体" w:eastAsia="宋体" w:cs="宋体"/>
          <w:b/>
          <w:color w:val="000000" w:themeColor="text1"/>
          <w:sz w:val="32"/>
          <w:szCs w:val="32"/>
          <w:highlight w:val="none"/>
          <w14:textFill>
            <w14:solidFill>
              <w14:schemeClr w14:val="tx1"/>
            </w14:solidFill>
          </w14:textFill>
        </w:rPr>
        <w:t xml:space="preserve">   方：</w:t>
      </w:r>
      <w:r>
        <w:rPr>
          <w:rFonts w:hint="eastAsia" w:ascii="宋体" w:hAnsi="宋体" w:eastAsia="宋体" w:cs="宋体"/>
          <w:b/>
          <w:color w:val="000000" w:themeColor="text1"/>
          <w:sz w:val="32"/>
          <w:szCs w:val="32"/>
          <w:highlight w:val="none"/>
          <w:u w:val="single"/>
          <w14:textFill>
            <w14:solidFill>
              <w14:schemeClr w14:val="tx1"/>
            </w14:solidFill>
          </w14:textFill>
        </w:rPr>
        <w:t xml:space="preserve">                   </w:t>
      </w:r>
      <w:r>
        <w:rPr>
          <w:rFonts w:hint="eastAsia" w:ascii="宋体" w:hAnsi="宋体" w:eastAsia="宋体" w:cs="宋体"/>
          <w:b/>
          <w:color w:val="000000" w:themeColor="text1"/>
          <w:sz w:val="32"/>
          <w:szCs w:val="32"/>
          <w:highlight w:val="none"/>
          <w:u w:val="single"/>
          <w:lang w:val="en-US" w:eastAsia="zh-CN"/>
          <w14:textFill>
            <w14:solidFill>
              <w14:schemeClr w14:val="tx1"/>
            </w14:solidFill>
          </w14:textFill>
        </w:rPr>
        <w:t xml:space="preserve">        </w:t>
      </w:r>
      <w:r>
        <w:rPr>
          <w:rFonts w:hint="eastAsia" w:ascii="宋体" w:hAnsi="宋体" w:eastAsia="宋体" w:cs="宋体"/>
          <w:b/>
          <w:color w:val="000000" w:themeColor="text1"/>
          <w:sz w:val="32"/>
          <w:szCs w:val="32"/>
          <w:highlight w:val="none"/>
          <w:u w:val="single"/>
          <w14:textFill>
            <w14:solidFill>
              <w14:schemeClr w14:val="tx1"/>
            </w14:solidFill>
          </w14:textFill>
        </w:rPr>
        <w:t xml:space="preserve">   </w:t>
      </w:r>
    </w:p>
    <w:p>
      <w:pPr>
        <w:spacing w:line="360" w:lineRule="auto"/>
        <w:ind w:left="3832" w:leftChars="1463" w:hanging="321" w:hangingChars="100"/>
        <w:jc w:val="both"/>
        <w:rPr>
          <w:rFonts w:hint="eastAsia" w:ascii="宋体" w:hAnsi="宋体" w:eastAsia="宋体" w:cs="宋体"/>
          <w:b/>
          <w:color w:val="000000" w:themeColor="text1"/>
          <w:sz w:val="32"/>
          <w:szCs w:val="32"/>
          <w:highlight w:val="none"/>
          <w14:textFill>
            <w14:solidFill>
              <w14:schemeClr w14:val="tx1"/>
            </w14:solidFill>
          </w14:textFill>
        </w:rPr>
      </w:pPr>
    </w:p>
    <w:p>
      <w:pPr>
        <w:spacing w:line="360" w:lineRule="auto"/>
        <w:ind w:left="3832" w:leftChars="1463" w:hanging="321" w:hangingChars="100"/>
        <w:jc w:val="both"/>
        <w:rPr>
          <w:rFonts w:ascii="宋体" w:hAnsi="宋体" w:eastAsia="宋体" w:cs="宋体"/>
          <w:b/>
          <w:color w:val="000000" w:themeColor="text1"/>
          <w:sz w:val="32"/>
          <w:szCs w:val="32"/>
          <w:highlight w:val="none"/>
          <w14:textFill>
            <w14:solidFill>
              <w14:schemeClr w14:val="tx1"/>
            </w14:solidFill>
          </w14:textFill>
        </w:rPr>
        <w:sectPr>
          <w:footerReference r:id="rId6" w:type="default"/>
          <w:pgSz w:w="11906" w:h="16838"/>
          <w:pgMar w:top="1418" w:right="1133" w:bottom="1418" w:left="755" w:header="907" w:footer="1021" w:gutter="567"/>
          <w:pgNumType w:fmt="numberInDash" w:start="1"/>
          <w:cols w:space="720" w:num="1"/>
          <w:docGrid w:linePitch="312" w:charSpace="0"/>
        </w:sectPr>
      </w:pPr>
      <w:r>
        <w:rPr>
          <w:rFonts w:hint="eastAsia" w:ascii="宋体" w:hAnsi="宋体" w:eastAsia="宋体" w:cs="宋体"/>
          <w:b/>
          <w:color w:val="000000" w:themeColor="text1"/>
          <w:sz w:val="32"/>
          <w:szCs w:val="32"/>
          <w:highlight w:val="none"/>
          <w14:textFill>
            <w14:solidFill>
              <w14:schemeClr w14:val="tx1"/>
            </w14:solidFill>
          </w14:textFill>
        </w:rPr>
        <w:t>二零二</w:t>
      </w:r>
      <w:r>
        <w:rPr>
          <w:rFonts w:hint="eastAsia" w:ascii="宋体" w:hAnsi="宋体" w:eastAsia="宋体" w:cs="宋体"/>
          <w:b/>
          <w:color w:val="000000" w:themeColor="text1"/>
          <w:sz w:val="32"/>
          <w:szCs w:val="32"/>
          <w:highlight w:val="none"/>
          <w:lang w:val="en-US" w:eastAsia="zh-CN"/>
          <w14:textFill>
            <w14:solidFill>
              <w14:schemeClr w14:val="tx1"/>
            </w14:solidFill>
          </w14:textFill>
        </w:rPr>
        <w:t>三</w:t>
      </w:r>
      <w:r>
        <w:rPr>
          <w:rFonts w:hint="eastAsia" w:ascii="宋体" w:hAnsi="宋体" w:eastAsia="宋体" w:cs="宋体"/>
          <w:b/>
          <w:color w:val="000000" w:themeColor="text1"/>
          <w:sz w:val="32"/>
          <w:szCs w:val="32"/>
          <w:highlight w:val="none"/>
          <w14:textFill>
            <w14:solidFill>
              <w14:schemeClr w14:val="tx1"/>
            </w14:solidFill>
          </w14:textFill>
        </w:rPr>
        <w:t>年   月</w:t>
      </w:r>
    </w:p>
    <w:bookmarkEnd w:id="224"/>
    <w:p>
      <w:pPr>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根据《中华人民共和国政府采购法》、《中华人民共和国民法典》等有关法律法规规定，</w:t>
      </w:r>
      <w:r>
        <w:rPr>
          <w:rFonts w:hint="eastAsia" w:ascii="宋体" w:hAnsi="宋体" w:eastAsia="宋体" w:cs="宋体"/>
          <w:sz w:val="24"/>
          <w:szCs w:val="24"/>
          <w:u w:val="single"/>
        </w:rPr>
        <w:t>西安市未央区未央宫街道办事处</w:t>
      </w:r>
      <w:r>
        <w:rPr>
          <w:rFonts w:hint="eastAsia" w:ascii="宋体" w:hAnsi="宋体" w:eastAsia="宋体" w:cs="宋体"/>
          <w:sz w:val="24"/>
          <w:szCs w:val="24"/>
        </w:rPr>
        <w:t>(采购人名称)(以下简称：“甲方”)通过</w:t>
      </w:r>
      <w:r>
        <w:rPr>
          <w:rFonts w:hint="eastAsia" w:ascii="宋体" w:hAnsi="宋体" w:eastAsia="宋体" w:cs="宋体"/>
          <w:sz w:val="24"/>
          <w:szCs w:val="24"/>
          <w:u w:val="single"/>
          <w:lang w:val="en-US" w:eastAsia="zh-CN"/>
        </w:rPr>
        <w:t>公开招标</w:t>
      </w:r>
      <w:r>
        <w:rPr>
          <w:rFonts w:hint="eastAsia" w:ascii="宋体" w:hAnsi="宋体" w:eastAsia="宋体" w:cs="宋体"/>
          <w:sz w:val="24"/>
          <w:szCs w:val="24"/>
        </w:rPr>
        <w:t>采购(采购方式)确定</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(中标人名称)(以下简称：“乙方”)为</w:t>
      </w:r>
      <w:r>
        <w:rPr>
          <w:rFonts w:hint="eastAsia" w:ascii="宋体" w:hAnsi="宋体" w:eastAsia="宋体" w:cs="宋体"/>
          <w:sz w:val="24"/>
          <w:szCs w:val="24"/>
          <w:u w:val="single"/>
        </w:rPr>
        <w:t>未央宫街道遗址区“六村三校”农村饮水安全巩固提升工程材料购置</w:t>
      </w:r>
      <w:r>
        <w:rPr>
          <w:rFonts w:hint="eastAsia" w:ascii="宋体" w:hAnsi="宋体" w:eastAsia="宋体" w:cs="宋体"/>
          <w:sz w:val="24"/>
          <w:szCs w:val="24"/>
        </w:rPr>
        <w:t>项目(项目名称)的</w:t>
      </w:r>
      <w:r>
        <w:rPr>
          <w:rFonts w:hint="eastAsia" w:ascii="宋体" w:hAnsi="宋体" w:eastAsia="宋体" w:cs="宋体"/>
          <w:sz w:val="24"/>
          <w:szCs w:val="24"/>
          <w:lang w:val="en-US" w:eastAsia="zh-CN"/>
        </w:rPr>
        <w:t>中标人</w:t>
      </w:r>
      <w:r>
        <w:rPr>
          <w:rFonts w:hint="eastAsia" w:ascii="宋体" w:hAnsi="宋体" w:eastAsia="宋体" w:cs="宋体"/>
          <w:sz w:val="24"/>
          <w:szCs w:val="24"/>
        </w:rPr>
        <w:t>。甲乙双方同意签署《</w:t>
      </w:r>
      <w:r>
        <w:rPr>
          <w:rFonts w:hint="eastAsia" w:ascii="宋体" w:hAnsi="宋体" w:eastAsia="宋体" w:cs="宋体"/>
          <w:sz w:val="24"/>
          <w:szCs w:val="24"/>
          <w:u w:val="single"/>
        </w:rPr>
        <w:t>未央宫街道遗址区“六村三校”农村饮水安全巩固提升工程材料购置</w:t>
      </w:r>
      <w:r>
        <w:rPr>
          <w:rFonts w:hint="eastAsia" w:ascii="宋体" w:hAnsi="宋体" w:eastAsia="宋体" w:cs="宋体"/>
          <w:sz w:val="24"/>
          <w:szCs w:val="24"/>
        </w:rPr>
        <w:t>项目(项目名称)合同》(合同编号：</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，以下简称：“合同”)。</w:t>
      </w:r>
    </w:p>
    <w:p>
      <w:pPr>
        <w:spacing w:line="360" w:lineRule="auto"/>
        <w:rPr>
          <w:rFonts w:hint="eastAsia" w:ascii="宋体" w:hAnsi="宋体" w:eastAsia="宋体" w:cs="宋体"/>
          <w:sz w:val="24"/>
          <w:szCs w:val="24"/>
        </w:rPr>
      </w:pPr>
      <w:r>
        <w:rPr>
          <w:rFonts w:hint="eastAsia" w:ascii="宋体" w:hAnsi="宋体" w:eastAsia="宋体" w:cs="宋体"/>
          <w:sz w:val="24"/>
          <w:szCs w:val="24"/>
        </w:rPr>
        <w:t>1.合同文件</w:t>
      </w:r>
    </w:p>
    <w:p>
      <w:pPr>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下列文件是构成本合同不可分割的部分：</w:t>
      </w:r>
    </w:p>
    <w:p>
      <w:pPr>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 合同条款；</w:t>
      </w:r>
    </w:p>
    <w:p>
      <w:pPr>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(2) 中标通知书；</w:t>
      </w:r>
    </w:p>
    <w:p>
      <w:pPr>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(3) 招标文件；</w:t>
      </w:r>
    </w:p>
    <w:p>
      <w:pPr>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(4) 投标文件；</w:t>
      </w:r>
    </w:p>
    <w:p>
      <w:pPr>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(5) 其他(根据实际情况需要增加的内容)。</w:t>
      </w:r>
    </w:p>
    <w:p>
      <w:pPr>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组成合同的各项文件应互相解释，互为说明。合同文件的解释优先顺序以上述文件先后顺序为准。</w:t>
      </w:r>
    </w:p>
    <w:p>
      <w:pPr>
        <w:spacing w:line="360" w:lineRule="auto"/>
        <w:rPr>
          <w:rFonts w:hint="eastAsia" w:ascii="宋体" w:hAnsi="宋体" w:eastAsia="宋体" w:cs="宋体"/>
          <w:sz w:val="24"/>
          <w:szCs w:val="24"/>
        </w:rPr>
      </w:pPr>
      <w:r>
        <w:rPr>
          <w:rFonts w:hint="eastAsia" w:ascii="宋体" w:hAnsi="宋体" w:eastAsia="宋体" w:cs="宋体"/>
          <w:sz w:val="24"/>
          <w:szCs w:val="24"/>
        </w:rPr>
        <w:t>2.合同主要标的及数量</w:t>
      </w:r>
    </w:p>
    <w:p>
      <w:pPr>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乙方应按照合同的规定，提供本项目《招标(采购)文件》中有关要求的产品及服务，包括但不限于以下内容：</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1656"/>
        <w:gridCol w:w="996"/>
        <w:gridCol w:w="1656"/>
        <w:gridCol w:w="996"/>
        <w:gridCol w:w="996"/>
        <w:gridCol w:w="995"/>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序号</w:t>
            </w:r>
          </w:p>
        </w:tc>
        <w:tc>
          <w:tcPr>
            <w:tcW w:w="1656"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货物名称</w:t>
            </w:r>
          </w:p>
        </w:tc>
        <w:tc>
          <w:tcPr>
            <w:tcW w:w="996"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品牌</w:t>
            </w:r>
          </w:p>
        </w:tc>
        <w:tc>
          <w:tcPr>
            <w:tcW w:w="1656"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型号规格</w:t>
            </w:r>
          </w:p>
        </w:tc>
        <w:tc>
          <w:tcPr>
            <w:tcW w:w="996"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单价</w:t>
            </w:r>
          </w:p>
        </w:tc>
        <w:tc>
          <w:tcPr>
            <w:tcW w:w="996"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数量</w:t>
            </w:r>
          </w:p>
        </w:tc>
        <w:tc>
          <w:tcPr>
            <w:tcW w:w="995"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小计</w:t>
            </w:r>
          </w:p>
        </w:tc>
        <w:tc>
          <w:tcPr>
            <w:tcW w:w="995"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noWrap w:val="0"/>
            <w:vAlign w:val="center"/>
          </w:tcPr>
          <w:p>
            <w:pPr>
              <w:spacing w:line="360" w:lineRule="auto"/>
              <w:rPr>
                <w:rFonts w:hint="eastAsia" w:ascii="宋体" w:hAnsi="宋体" w:eastAsia="宋体" w:cs="宋体"/>
                <w:sz w:val="24"/>
                <w:szCs w:val="24"/>
              </w:rPr>
            </w:pPr>
          </w:p>
        </w:tc>
        <w:tc>
          <w:tcPr>
            <w:tcW w:w="1656" w:type="dxa"/>
            <w:noWrap w:val="0"/>
            <w:vAlign w:val="center"/>
          </w:tcPr>
          <w:p>
            <w:pPr>
              <w:spacing w:line="360" w:lineRule="auto"/>
              <w:rPr>
                <w:rFonts w:hint="eastAsia" w:ascii="宋体" w:hAnsi="宋体" w:eastAsia="宋体" w:cs="宋体"/>
                <w:sz w:val="24"/>
                <w:szCs w:val="24"/>
              </w:rPr>
            </w:pPr>
          </w:p>
        </w:tc>
        <w:tc>
          <w:tcPr>
            <w:tcW w:w="996" w:type="dxa"/>
            <w:noWrap w:val="0"/>
            <w:vAlign w:val="center"/>
          </w:tcPr>
          <w:p>
            <w:pPr>
              <w:spacing w:line="360" w:lineRule="auto"/>
              <w:rPr>
                <w:rFonts w:hint="eastAsia" w:ascii="宋体" w:hAnsi="宋体" w:eastAsia="宋体" w:cs="宋体"/>
                <w:sz w:val="24"/>
                <w:szCs w:val="24"/>
              </w:rPr>
            </w:pPr>
          </w:p>
        </w:tc>
        <w:tc>
          <w:tcPr>
            <w:tcW w:w="1656" w:type="dxa"/>
            <w:noWrap w:val="0"/>
            <w:vAlign w:val="center"/>
          </w:tcPr>
          <w:p>
            <w:pPr>
              <w:spacing w:line="360" w:lineRule="auto"/>
              <w:rPr>
                <w:rFonts w:hint="eastAsia" w:ascii="宋体" w:hAnsi="宋体" w:eastAsia="宋体" w:cs="宋体"/>
                <w:sz w:val="24"/>
                <w:szCs w:val="24"/>
              </w:rPr>
            </w:pPr>
          </w:p>
        </w:tc>
        <w:tc>
          <w:tcPr>
            <w:tcW w:w="996" w:type="dxa"/>
            <w:noWrap w:val="0"/>
            <w:vAlign w:val="center"/>
          </w:tcPr>
          <w:p>
            <w:pPr>
              <w:spacing w:line="360" w:lineRule="auto"/>
              <w:rPr>
                <w:rFonts w:hint="eastAsia" w:ascii="宋体" w:hAnsi="宋体" w:eastAsia="宋体" w:cs="宋体"/>
                <w:sz w:val="24"/>
                <w:szCs w:val="24"/>
              </w:rPr>
            </w:pPr>
          </w:p>
        </w:tc>
        <w:tc>
          <w:tcPr>
            <w:tcW w:w="996" w:type="dxa"/>
            <w:noWrap w:val="0"/>
            <w:vAlign w:val="center"/>
          </w:tcPr>
          <w:p>
            <w:pPr>
              <w:spacing w:line="360" w:lineRule="auto"/>
              <w:rPr>
                <w:rFonts w:hint="eastAsia" w:ascii="宋体" w:hAnsi="宋体" w:eastAsia="宋体" w:cs="宋体"/>
                <w:sz w:val="24"/>
                <w:szCs w:val="24"/>
              </w:rPr>
            </w:pPr>
          </w:p>
        </w:tc>
        <w:tc>
          <w:tcPr>
            <w:tcW w:w="995" w:type="dxa"/>
            <w:noWrap w:val="0"/>
            <w:vAlign w:val="center"/>
          </w:tcPr>
          <w:p>
            <w:pPr>
              <w:spacing w:line="360" w:lineRule="auto"/>
              <w:rPr>
                <w:rFonts w:hint="eastAsia" w:ascii="宋体" w:hAnsi="宋体" w:eastAsia="宋体" w:cs="宋体"/>
                <w:sz w:val="24"/>
                <w:szCs w:val="24"/>
              </w:rPr>
            </w:pPr>
          </w:p>
        </w:tc>
        <w:tc>
          <w:tcPr>
            <w:tcW w:w="995" w:type="dxa"/>
            <w:noWrap w:val="0"/>
            <w:vAlign w:val="center"/>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noWrap w:val="0"/>
            <w:vAlign w:val="center"/>
          </w:tcPr>
          <w:p>
            <w:pPr>
              <w:spacing w:line="360" w:lineRule="auto"/>
              <w:rPr>
                <w:rFonts w:hint="eastAsia" w:ascii="宋体" w:hAnsi="宋体" w:eastAsia="宋体" w:cs="宋体"/>
                <w:sz w:val="24"/>
                <w:szCs w:val="24"/>
              </w:rPr>
            </w:pPr>
          </w:p>
        </w:tc>
        <w:tc>
          <w:tcPr>
            <w:tcW w:w="1656" w:type="dxa"/>
            <w:noWrap w:val="0"/>
            <w:vAlign w:val="center"/>
          </w:tcPr>
          <w:p>
            <w:pPr>
              <w:spacing w:line="360" w:lineRule="auto"/>
              <w:rPr>
                <w:rFonts w:hint="eastAsia" w:ascii="宋体" w:hAnsi="宋体" w:eastAsia="宋体" w:cs="宋体"/>
                <w:sz w:val="24"/>
                <w:szCs w:val="24"/>
              </w:rPr>
            </w:pPr>
          </w:p>
        </w:tc>
        <w:tc>
          <w:tcPr>
            <w:tcW w:w="996" w:type="dxa"/>
            <w:noWrap w:val="0"/>
            <w:vAlign w:val="center"/>
          </w:tcPr>
          <w:p>
            <w:pPr>
              <w:spacing w:line="360" w:lineRule="auto"/>
              <w:rPr>
                <w:rFonts w:hint="eastAsia" w:ascii="宋体" w:hAnsi="宋体" w:eastAsia="宋体" w:cs="宋体"/>
                <w:sz w:val="24"/>
                <w:szCs w:val="24"/>
              </w:rPr>
            </w:pPr>
          </w:p>
        </w:tc>
        <w:tc>
          <w:tcPr>
            <w:tcW w:w="1656" w:type="dxa"/>
            <w:noWrap w:val="0"/>
            <w:vAlign w:val="center"/>
          </w:tcPr>
          <w:p>
            <w:pPr>
              <w:spacing w:line="360" w:lineRule="auto"/>
              <w:rPr>
                <w:rFonts w:hint="eastAsia" w:ascii="宋体" w:hAnsi="宋体" w:eastAsia="宋体" w:cs="宋体"/>
                <w:sz w:val="24"/>
                <w:szCs w:val="24"/>
              </w:rPr>
            </w:pPr>
          </w:p>
        </w:tc>
        <w:tc>
          <w:tcPr>
            <w:tcW w:w="996" w:type="dxa"/>
            <w:noWrap w:val="0"/>
            <w:vAlign w:val="center"/>
          </w:tcPr>
          <w:p>
            <w:pPr>
              <w:spacing w:line="360" w:lineRule="auto"/>
              <w:rPr>
                <w:rFonts w:hint="eastAsia" w:ascii="宋体" w:hAnsi="宋体" w:eastAsia="宋体" w:cs="宋体"/>
                <w:sz w:val="24"/>
                <w:szCs w:val="24"/>
              </w:rPr>
            </w:pPr>
          </w:p>
        </w:tc>
        <w:tc>
          <w:tcPr>
            <w:tcW w:w="996" w:type="dxa"/>
            <w:noWrap w:val="0"/>
            <w:vAlign w:val="center"/>
          </w:tcPr>
          <w:p>
            <w:pPr>
              <w:spacing w:line="360" w:lineRule="auto"/>
              <w:rPr>
                <w:rFonts w:hint="eastAsia" w:ascii="宋体" w:hAnsi="宋体" w:eastAsia="宋体" w:cs="宋体"/>
                <w:sz w:val="24"/>
                <w:szCs w:val="24"/>
              </w:rPr>
            </w:pPr>
          </w:p>
        </w:tc>
        <w:tc>
          <w:tcPr>
            <w:tcW w:w="995" w:type="dxa"/>
            <w:noWrap w:val="0"/>
            <w:vAlign w:val="center"/>
          </w:tcPr>
          <w:p>
            <w:pPr>
              <w:spacing w:line="360" w:lineRule="auto"/>
              <w:rPr>
                <w:rFonts w:hint="eastAsia" w:ascii="宋体" w:hAnsi="宋体" w:eastAsia="宋体" w:cs="宋体"/>
                <w:sz w:val="24"/>
                <w:szCs w:val="24"/>
              </w:rPr>
            </w:pPr>
          </w:p>
        </w:tc>
        <w:tc>
          <w:tcPr>
            <w:tcW w:w="995" w:type="dxa"/>
            <w:noWrap w:val="0"/>
            <w:vAlign w:val="center"/>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noWrap w:val="0"/>
            <w:vAlign w:val="center"/>
          </w:tcPr>
          <w:p>
            <w:pPr>
              <w:spacing w:line="360" w:lineRule="auto"/>
              <w:rPr>
                <w:rFonts w:hint="eastAsia" w:ascii="宋体" w:hAnsi="宋体" w:eastAsia="宋体" w:cs="宋体"/>
                <w:sz w:val="24"/>
                <w:szCs w:val="24"/>
              </w:rPr>
            </w:pPr>
          </w:p>
        </w:tc>
        <w:tc>
          <w:tcPr>
            <w:tcW w:w="1656" w:type="dxa"/>
            <w:noWrap w:val="0"/>
            <w:vAlign w:val="center"/>
          </w:tcPr>
          <w:p>
            <w:pPr>
              <w:spacing w:line="360" w:lineRule="auto"/>
              <w:rPr>
                <w:rFonts w:hint="eastAsia" w:ascii="宋体" w:hAnsi="宋体" w:eastAsia="宋体" w:cs="宋体"/>
                <w:sz w:val="24"/>
                <w:szCs w:val="24"/>
              </w:rPr>
            </w:pPr>
          </w:p>
        </w:tc>
        <w:tc>
          <w:tcPr>
            <w:tcW w:w="996" w:type="dxa"/>
            <w:noWrap w:val="0"/>
            <w:vAlign w:val="center"/>
          </w:tcPr>
          <w:p>
            <w:pPr>
              <w:spacing w:line="360" w:lineRule="auto"/>
              <w:rPr>
                <w:rFonts w:hint="eastAsia" w:ascii="宋体" w:hAnsi="宋体" w:eastAsia="宋体" w:cs="宋体"/>
                <w:sz w:val="24"/>
                <w:szCs w:val="24"/>
              </w:rPr>
            </w:pPr>
          </w:p>
        </w:tc>
        <w:tc>
          <w:tcPr>
            <w:tcW w:w="1656" w:type="dxa"/>
            <w:noWrap w:val="0"/>
            <w:vAlign w:val="center"/>
          </w:tcPr>
          <w:p>
            <w:pPr>
              <w:spacing w:line="360" w:lineRule="auto"/>
              <w:rPr>
                <w:rFonts w:hint="eastAsia" w:ascii="宋体" w:hAnsi="宋体" w:eastAsia="宋体" w:cs="宋体"/>
                <w:sz w:val="24"/>
                <w:szCs w:val="24"/>
              </w:rPr>
            </w:pPr>
          </w:p>
        </w:tc>
        <w:tc>
          <w:tcPr>
            <w:tcW w:w="996" w:type="dxa"/>
            <w:noWrap w:val="0"/>
            <w:vAlign w:val="center"/>
          </w:tcPr>
          <w:p>
            <w:pPr>
              <w:spacing w:line="360" w:lineRule="auto"/>
              <w:rPr>
                <w:rFonts w:hint="eastAsia" w:ascii="宋体" w:hAnsi="宋体" w:eastAsia="宋体" w:cs="宋体"/>
                <w:sz w:val="24"/>
                <w:szCs w:val="24"/>
              </w:rPr>
            </w:pPr>
          </w:p>
        </w:tc>
        <w:tc>
          <w:tcPr>
            <w:tcW w:w="996" w:type="dxa"/>
            <w:noWrap w:val="0"/>
            <w:vAlign w:val="center"/>
          </w:tcPr>
          <w:p>
            <w:pPr>
              <w:spacing w:line="360" w:lineRule="auto"/>
              <w:rPr>
                <w:rFonts w:hint="eastAsia" w:ascii="宋体" w:hAnsi="宋体" w:eastAsia="宋体" w:cs="宋体"/>
                <w:sz w:val="24"/>
                <w:szCs w:val="24"/>
              </w:rPr>
            </w:pPr>
          </w:p>
        </w:tc>
        <w:tc>
          <w:tcPr>
            <w:tcW w:w="995" w:type="dxa"/>
            <w:noWrap w:val="0"/>
            <w:vAlign w:val="center"/>
          </w:tcPr>
          <w:p>
            <w:pPr>
              <w:spacing w:line="360" w:lineRule="auto"/>
              <w:rPr>
                <w:rFonts w:hint="eastAsia" w:ascii="宋体" w:hAnsi="宋体" w:eastAsia="宋体" w:cs="宋体"/>
                <w:sz w:val="24"/>
                <w:szCs w:val="24"/>
              </w:rPr>
            </w:pPr>
          </w:p>
        </w:tc>
        <w:tc>
          <w:tcPr>
            <w:tcW w:w="995" w:type="dxa"/>
            <w:noWrap w:val="0"/>
            <w:vAlign w:val="center"/>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noWrap w:val="0"/>
            <w:vAlign w:val="center"/>
          </w:tcPr>
          <w:p>
            <w:pPr>
              <w:spacing w:line="360" w:lineRule="auto"/>
              <w:rPr>
                <w:rFonts w:hint="eastAsia" w:ascii="宋体" w:hAnsi="宋体" w:eastAsia="宋体" w:cs="宋体"/>
                <w:sz w:val="24"/>
                <w:szCs w:val="24"/>
              </w:rPr>
            </w:pPr>
          </w:p>
        </w:tc>
        <w:tc>
          <w:tcPr>
            <w:tcW w:w="1656" w:type="dxa"/>
            <w:noWrap w:val="0"/>
            <w:vAlign w:val="center"/>
          </w:tcPr>
          <w:p>
            <w:pPr>
              <w:spacing w:line="360" w:lineRule="auto"/>
              <w:rPr>
                <w:rFonts w:hint="eastAsia" w:ascii="宋体" w:hAnsi="宋体" w:eastAsia="宋体" w:cs="宋体"/>
                <w:sz w:val="24"/>
                <w:szCs w:val="24"/>
              </w:rPr>
            </w:pPr>
          </w:p>
        </w:tc>
        <w:tc>
          <w:tcPr>
            <w:tcW w:w="996" w:type="dxa"/>
            <w:noWrap w:val="0"/>
            <w:vAlign w:val="center"/>
          </w:tcPr>
          <w:p>
            <w:pPr>
              <w:spacing w:line="360" w:lineRule="auto"/>
              <w:rPr>
                <w:rFonts w:hint="eastAsia" w:ascii="宋体" w:hAnsi="宋体" w:eastAsia="宋体" w:cs="宋体"/>
                <w:sz w:val="24"/>
                <w:szCs w:val="24"/>
              </w:rPr>
            </w:pPr>
          </w:p>
        </w:tc>
        <w:tc>
          <w:tcPr>
            <w:tcW w:w="1656" w:type="dxa"/>
            <w:noWrap w:val="0"/>
            <w:vAlign w:val="center"/>
          </w:tcPr>
          <w:p>
            <w:pPr>
              <w:spacing w:line="360" w:lineRule="auto"/>
              <w:rPr>
                <w:rFonts w:hint="eastAsia" w:ascii="宋体" w:hAnsi="宋体" w:eastAsia="宋体" w:cs="宋体"/>
                <w:sz w:val="24"/>
                <w:szCs w:val="24"/>
              </w:rPr>
            </w:pPr>
          </w:p>
        </w:tc>
        <w:tc>
          <w:tcPr>
            <w:tcW w:w="996" w:type="dxa"/>
            <w:noWrap w:val="0"/>
            <w:vAlign w:val="center"/>
          </w:tcPr>
          <w:p>
            <w:pPr>
              <w:spacing w:line="360" w:lineRule="auto"/>
              <w:rPr>
                <w:rFonts w:hint="eastAsia" w:ascii="宋体" w:hAnsi="宋体" w:eastAsia="宋体" w:cs="宋体"/>
                <w:sz w:val="24"/>
                <w:szCs w:val="24"/>
              </w:rPr>
            </w:pPr>
          </w:p>
        </w:tc>
        <w:tc>
          <w:tcPr>
            <w:tcW w:w="996" w:type="dxa"/>
            <w:noWrap w:val="0"/>
            <w:vAlign w:val="center"/>
          </w:tcPr>
          <w:p>
            <w:pPr>
              <w:spacing w:line="360" w:lineRule="auto"/>
              <w:rPr>
                <w:rFonts w:hint="eastAsia" w:ascii="宋体" w:hAnsi="宋体" w:eastAsia="宋体" w:cs="宋体"/>
                <w:sz w:val="24"/>
                <w:szCs w:val="24"/>
              </w:rPr>
            </w:pPr>
          </w:p>
        </w:tc>
        <w:tc>
          <w:tcPr>
            <w:tcW w:w="995" w:type="dxa"/>
            <w:noWrap w:val="0"/>
            <w:vAlign w:val="center"/>
          </w:tcPr>
          <w:p>
            <w:pPr>
              <w:spacing w:line="360" w:lineRule="auto"/>
              <w:rPr>
                <w:rFonts w:hint="eastAsia" w:ascii="宋体" w:hAnsi="宋体" w:eastAsia="宋体" w:cs="宋体"/>
                <w:sz w:val="24"/>
                <w:szCs w:val="24"/>
              </w:rPr>
            </w:pPr>
          </w:p>
        </w:tc>
        <w:tc>
          <w:tcPr>
            <w:tcW w:w="995" w:type="dxa"/>
            <w:noWrap w:val="0"/>
            <w:vAlign w:val="center"/>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noWrap w:val="0"/>
            <w:vAlign w:val="center"/>
          </w:tcPr>
          <w:p>
            <w:pPr>
              <w:spacing w:line="360" w:lineRule="auto"/>
              <w:rPr>
                <w:rFonts w:hint="eastAsia" w:ascii="宋体" w:hAnsi="宋体" w:eastAsia="宋体" w:cs="宋体"/>
                <w:sz w:val="24"/>
                <w:szCs w:val="24"/>
              </w:rPr>
            </w:pPr>
          </w:p>
        </w:tc>
        <w:tc>
          <w:tcPr>
            <w:tcW w:w="1656" w:type="dxa"/>
            <w:noWrap w:val="0"/>
            <w:vAlign w:val="center"/>
          </w:tcPr>
          <w:p>
            <w:pPr>
              <w:spacing w:line="360" w:lineRule="auto"/>
              <w:rPr>
                <w:rFonts w:hint="eastAsia" w:ascii="宋体" w:hAnsi="宋体" w:eastAsia="宋体" w:cs="宋体"/>
                <w:sz w:val="24"/>
                <w:szCs w:val="24"/>
              </w:rPr>
            </w:pPr>
          </w:p>
        </w:tc>
        <w:tc>
          <w:tcPr>
            <w:tcW w:w="996" w:type="dxa"/>
            <w:noWrap w:val="0"/>
            <w:vAlign w:val="center"/>
          </w:tcPr>
          <w:p>
            <w:pPr>
              <w:spacing w:line="360" w:lineRule="auto"/>
              <w:rPr>
                <w:rFonts w:hint="eastAsia" w:ascii="宋体" w:hAnsi="宋体" w:eastAsia="宋体" w:cs="宋体"/>
                <w:sz w:val="24"/>
                <w:szCs w:val="24"/>
              </w:rPr>
            </w:pPr>
          </w:p>
        </w:tc>
        <w:tc>
          <w:tcPr>
            <w:tcW w:w="1656" w:type="dxa"/>
            <w:noWrap w:val="0"/>
            <w:vAlign w:val="center"/>
          </w:tcPr>
          <w:p>
            <w:pPr>
              <w:spacing w:line="360" w:lineRule="auto"/>
              <w:rPr>
                <w:rFonts w:hint="eastAsia" w:ascii="宋体" w:hAnsi="宋体" w:eastAsia="宋体" w:cs="宋体"/>
                <w:sz w:val="24"/>
                <w:szCs w:val="24"/>
              </w:rPr>
            </w:pPr>
          </w:p>
        </w:tc>
        <w:tc>
          <w:tcPr>
            <w:tcW w:w="996" w:type="dxa"/>
            <w:noWrap w:val="0"/>
            <w:vAlign w:val="center"/>
          </w:tcPr>
          <w:p>
            <w:pPr>
              <w:spacing w:line="360" w:lineRule="auto"/>
              <w:rPr>
                <w:rFonts w:hint="eastAsia" w:ascii="宋体" w:hAnsi="宋体" w:eastAsia="宋体" w:cs="宋体"/>
                <w:sz w:val="24"/>
                <w:szCs w:val="24"/>
              </w:rPr>
            </w:pPr>
          </w:p>
        </w:tc>
        <w:tc>
          <w:tcPr>
            <w:tcW w:w="996" w:type="dxa"/>
            <w:noWrap w:val="0"/>
            <w:vAlign w:val="center"/>
          </w:tcPr>
          <w:p>
            <w:pPr>
              <w:spacing w:line="360" w:lineRule="auto"/>
              <w:rPr>
                <w:rFonts w:hint="eastAsia" w:ascii="宋体" w:hAnsi="宋体" w:eastAsia="宋体" w:cs="宋体"/>
                <w:sz w:val="24"/>
                <w:szCs w:val="24"/>
              </w:rPr>
            </w:pPr>
          </w:p>
        </w:tc>
        <w:tc>
          <w:tcPr>
            <w:tcW w:w="995" w:type="dxa"/>
            <w:noWrap w:val="0"/>
            <w:vAlign w:val="center"/>
          </w:tcPr>
          <w:p>
            <w:pPr>
              <w:spacing w:line="360" w:lineRule="auto"/>
              <w:rPr>
                <w:rFonts w:hint="eastAsia" w:ascii="宋体" w:hAnsi="宋体" w:eastAsia="宋体" w:cs="宋体"/>
                <w:sz w:val="24"/>
                <w:szCs w:val="24"/>
              </w:rPr>
            </w:pPr>
          </w:p>
        </w:tc>
        <w:tc>
          <w:tcPr>
            <w:tcW w:w="995" w:type="dxa"/>
            <w:noWrap w:val="0"/>
            <w:vAlign w:val="center"/>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noWrap w:val="0"/>
            <w:vAlign w:val="center"/>
          </w:tcPr>
          <w:p>
            <w:pPr>
              <w:spacing w:line="360" w:lineRule="auto"/>
              <w:rPr>
                <w:rFonts w:hint="eastAsia" w:ascii="宋体" w:hAnsi="宋体" w:eastAsia="宋体" w:cs="宋体"/>
                <w:sz w:val="24"/>
                <w:szCs w:val="24"/>
              </w:rPr>
            </w:pPr>
          </w:p>
        </w:tc>
        <w:tc>
          <w:tcPr>
            <w:tcW w:w="1656" w:type="dxa"/>
            <w:noWrap w:val="0"/>
            <w:vAlign w:val="center"/>
          </w:tcPr>
          <w:p>
            <w:pPr>
              <w:spacing w:line="360" w:lineRule="auto"/>
              <w:rPr>
                <w:rFonts w:hint="eastAsia" w:ascii="宋体" w:hAnsi="宋体" w:eastAsia="宋体" w:cs="宋体"/>
                <w:sz w:val="24"/>
                <w:szCs w:val="24"/>
              </w:rPr>
            </w:pPr>
          </w:p>
        </w:tc>
        <w:tc>
          <w:tcPr>
            <w:tcW w:w="996" w:type="dxa"/>
            <w:noWrap w:val="0"/>
            <w:vAlign w:val="center"/>
          </w:tcPr>
          <w:p>
            <w:pPr>
              <w:spacing w:line="360" w:lineRule="auto"/>
              <w:rPr>
                <w:rFonts w:hint="eastAsia" w:ascii="宋体" w:hAnsi="宋体" w:eastAsia="宋体" w:cs="宋体"/>
                <w:sz w:val="24"/>
                <w:szCs w:val="24"/>
              </w:rPr>
            </w:pPr>
          </w:p>
        </w:tc>
        <w:tc>
          <w:tcPr>
            <w:tcW w:w="1656" w:type="dxa"/>
            <w:noWrap w:val="0"/>
            <w:vAlign w:val="center"/>
          </w:tcPr>
          <w:p>
            <w:pPr>
              <w:spacing w:line="360" w:lineRule="auto"/>
              <w:rPr>
                <w:rFonts w:hint="eastAsia" w:ascii="宋体" w:hAnsi="宋体" w:eastAsia="宋体" w:cs="宋体"/>
                <w:sz w:val="24"/>
                <w:szCs w:val="24"/>
              </w:rPr>
            </w:pPr>
          </w:p>
        </w:tc>
        <w:tc>
          <w:tcPr>
            <w:tcW w:w="996" w:type="dxa"/>
            <w:noWrap w:val="0"/>
            <w:vAlign w:val="center"/>
          </w:tcPr>
          <w:p>
            <w:pPr>
              <w:spacing w:line="360" w:lineRule="auto"/>
              <w:rPr>
                <w:rFonts w:hint="eastAsia" w:ascii="宋体" w:hAnsi="宋体" w:eastAsia="宋体" w:cs="宋体"/>
                <w:sz w:val="24"/>
                <w:szCs w:val="24"/>
              </w:rPr>
            </w:pPr>
          </w:p>
        </w:tc>
        <w:tc>
          <w:tcPr>
            <w:tcW w:w="996" w:type="dxa"/>
            <w:noWrap w:val="0"/>
            <w:vAlign w:val="center"/>
          </w:tcPr>
          <w:p>
            <w:pPr>
              <w:spacing w:line="360" w:lineRule="auto"/>
              <w:rPr>
                <w:rFonts w:hint="eastAsia" w:ascii="宋体" w:hAnsi="宋体" w:eastAsia="宋体" w:cs="宋体"/>
                <w:sz w:val="24"/>
                <w:szCs w:val="24"/>
              </w:rPr>
            </w:pPr>
          </w:p>
        </w:tc>
        <w:tc>
          <w:tcPr>
            <w:tcW w:w="995" w:type="dxa"/>
            <w:noWrap w:val="0"/>
            <w:vAlign w:val="center"/>
          </w:tcPr>
          <w:p>
            <w:pPr>
              <w:spacing w:line="360" w:lineRule="auto"/>
              <w:rPr>
                <w:rFonts w:hint="eastAsia" w:ascii="宋体" w:hAnsi="宋体" w:eastAsia="宋体" w:cs="宋体"/>
                <w:sz w:val="24"/>
                <w:szCs w:val="24"/>
              </w:rPr>
            </w:pPr>
          </w:p>
        </w:tc>
        <w:tc>
          <w:tcPr>
            <w:tcW w:w="995" w:type="dxa"/>
            <w:noWrap w:val="0"/>
            <w:vAlign w:val="center"/>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04" w:type="dxa"/>
            <w:gridSpan w:val="4"/>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合计</w:t>
            </w:r>
          </w:p>
        </w:tc>
        <w:tc>
          <w:tcPr>
            <w:tcW w:w="996" w:type="dxa"/>
            <w:noWrap w:val="0"/>
            <w:vAlign w:val="center"/>
          </w:tcPr>
          <w:p>
            <w:pPr>
              <w:spacing w:line="360" w:lineRule="auto"/>
              <w:rPr>
                <w:rFonts w:hint="eastAsia" w:ascii="宋体" w:hAnsi="宋体" w:eastAsia="宋体" w:cs="宋体"/>
                <w:sz w:val="24"/>
                <w:szCs w:val="24"/>
              </w:rPr>
            </w:pPr>
          </w:p>
        </w:tc>
        <w:tc>
          <w:tcPr>
            <w:tcW w:w="996" w:type="dxa"/>
            <w:noWrap w:val="0"/>
            <w:vAlign w:val="center"/>
          </w:tcPr>
          <w:p>
            <w:pPr>
              <w:spacing w:line="360" w:lineRule="auto"/>
              <w:rPr>
                <w:rFonts w:hint="eastAsia" w:ascii="宋体" w:hAnsi="宋体" w:eastAsia="宋体" w:cs="宋体"/>
                <w:sz w:val="24"/>
                <w:szCs w:val="24"/>
              </w:rPr>
            </w:pPr>
          </w:p>
        </w:tc>
        <w:tc>
          <w:tcPr>
            <w:tcW w:w="995" w:type="dxa"/>
            <w:noWrap w:val="0"/>
            <w:vAlign w:val="center"/>
          </w:tcPr>
          <w:p>
            <w:pPr>
              <w:spacing w:line="360" w:lineRule="auto"/>
              <w:rPr>
                <w:rFonts w:hint="eastAsia" w:ascii="宋体" w:hAnsi="宋体" w:eastAsia="宋体" w:cs="宋体"/>
                <w:sz w:val="24"/>
                <w:szCs w:val="24"/>
              </w:rPr>
            </w:pPr>
          </w:p>
        </w:tc>
        <w:tc>
          <w:tcPr>
            <w:tcW w:w="995" w:type="dxa"/>
            <w:noWrap w:val="0"/>
            <w:vAlign w:val="center"/>
          </w:tcPr>
          <w:p>
            <w:pPr>
              <w:spacing w:line="360" w:lineRule="auto"/>
              <w:rPr>
                <w:rFonts w:hint="eastAsia" w:ascii="宋体" w:hAnsi="宋体" w:eastAsia="宋体" w:cs="宋体"/>
                <w:sz w:val="24"/>
                <w:szCs w:val="24"/>
              </w:rPr>
            </w:pPr>
          </w:p>
        </w:tc>
      </w:tr>
    </w:tbl>
    <w:p>
      <w:pPr>
        <w:spacing w:line="360" w:lineRule="auto"/>
        <w:rPr>
          <w:rFonts w:hint="eastAsia" w:ascii="宋体" w:hAnsi="宋体" w:eastAsia="宋体" w:cs="宋体"/>
          <w:sz w:val="24"/>
          <w:szCs w:val="24"/>
        </w:rPr>
      </w:pPr>
      <w:r>
        <w:rPr>
          <w:rFonts w:hint="eastAsia" w:ascii="宋体" w:hAnsi="宋体" w:eastAsia="宋体" w:cs="宋体"/>
          <w:sz w:val="24"/>
          <w:szCs w:val="24"/>
        </w:rPr>
        <w:t>3.合同总金额及付款方式</w:t>
      </w:r>
    </w:p>
    <w:p>
      <w:pPr>
        <w:spacing w:line="360" w:lineRule="auto"/>
        <w:ind w:firstLine="496" w:firstLineChars="200"/>
        <w:rPr>
          <w:rFonts w:hint="eastAsia" w:ascii="宋体" w:hAnsi="宋体" w:eastAsia="宋体" w:cs="宋体"/>
          <w:color w:val="000000"/>
          <w:sz w:val="24"/>
          <w:szCs w:val="24"/>
        </w:rPr>
      </w:pPr>
      <w:r>
        <w:rPr>
          <w:rFonts w:hint="eastAsia" w:ascii="宋体" w:hAnsi="宋体" w:eastAsia="宋体" w:cs="宋体"/>
          <w:sz w:val="24"/>
          <w:szCs w:val="24"/>
        </w:rPr>
        <w:t>3.1合同总金额</w:t>
      </w:r>
      <w:r>
        <w:rPr>
          <w:rFonts w:hint="eastAsia" w:ascii="宋体" w:hAnsi="宋体" w:eastAsia="宋体" w:cs="宋体"/>
          <w:sz w:val="24"/>
          <w:szCs w:val="24"/>
          <w:lang w:eastAsia="zh-CN"/>
        </w:rPr>
        <w:t>：</w:t>
      </w:r>
      <w:r>
        <w:rPr>
          <w:rFonts w:hint="eastAsia" w:ascii="宋体" w:hAnsi="宋体" w:eastAsia="宋体" w:cs="宋体"/>
          <w:sz w:val="24"/>
          <w:szCs w:val="24"/>
        </w:rPr>
        <w:t>本合同总金额为</w:t>
      </w:r>
      <w:r>
        <w:rPr>
          <w:rFonts w:hint="eastAsia" w:ascii="宋体" w:hAnsi="宋体" w:eastAsia="宋体" w:cs="宋体"/>
          <w:color w:val="000000"/>
          <w:sz w:val="24"/>
          <w:szCs w:val="24"/>
        </w:rPr>
        <w:t>人民币</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元(¥</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)。本项目包括但不限于运输费、人工费、材料费、机械费、利润、税金</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技术支持、质量保障、售后服务、培训和评审过程中其它相关的一切费用</w:t>
      </w:r>
      <w:r>
        <w:rPr>
          <w:rFonts w:hint="eastAsia" w:ascii="宋体" w:hAnsi="宋体" w:eastAsia="宋体" w:cs="宋体"/>
          <w:color w:val="000000"/>
          <w:sz w:val="24"/>
          <w:szCs w:val="24"/>
          <w:lang w:val="en-US" w:eastAsia="zh-CN"/>
        </w:rPr>
        <w:t>及</w:t>
      </w:r>
      <w:r>
        <w:rPr>
          <w:rFonts w:hint="eastAsia" w:ascii="宋体" w:hAnsi="宋体" w:eastAsia="宋体" w:cs="宋体"/>
          <w:color w:val="000000"/>
          <w:sz w:val="24"/>
          <w:szCs w:val="24"/>
        </w:rPr>
        <w:t>合同中规定乙方应承担的其他义务的费用已由乙方计入本合同总金额中。</w:t>
      </w:r>
    </w:p>
    <w:p>
      <w:pPr>
        <w:spacing w:line="360" w:lineRule="auto"/>
        <w:ind w:firstLine="496"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3.2付款方式</w:t>
      </w:r>
      <w:r>
        <w:rPr>
          <w:rFonts w:hint="eastAsia" w:ascii="宋体" w:hAnsi="宋体" w:eastAsia="宋体" w:cs="宋体"/>
          <w:color w:val="000000"/>
          <w:sz w:val="24"/>
          <w:szCs w:val="24"/>
          <w:lang w:eastAsia="zh-CN"/>
        </w:rPr>
        <w:t>：合同签订后，供应商持合同复印件、预付款发票，至采购人处办理合同总价款40%的预付款项。验收合格（满足使用标准）后，供应商持相对应金额的发票至采购人办理支付剩余款项。</w:t>
      </w:r>
    </w:p>
    <w:p>
      <w:pPr>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rPr>
        <w:t>4.合同签订地：</w:t>
      </w:r>
      <w:r>
        <w:rPr>
          <w:rFonts w:hint="eastAsia" w:ascii="宋体" w:hAnsi="宋体" w:eastAsia="宋体" w:cs="宋体"/>
          <w:sz w:val="24"/>
          <w:szCs w:val="24"/>
          <w:u w:val="single"/>
          <w:lang w:val="en-US" w:eastAsia="zh-CN"/>
        </w:rPr>
        <w:t xml:space="preserve"> 西安市未央区  </w:t>
      </w:r>
    </w:p>
    <w:p>
      <w:pPr>
        <w:spacing w:line="360" w:lineRule="auto"/>
        <w:rPr>
          <w:rFonts w:hint="eastAsia" w:ascii="宋体" w:hAnsi="宋体" w:eastAsia="宋体" w:cs="宋体"/>
          <w:sz w:val="24"/>
          <w:szCs w:val="24"/>
        </w:rPr>
      </w:pPr>
      <w:r>
        <w:rPr>
          <w:rFonts w:hint="eastAsia" w:ascii="宋体" w:hAnsi="宋体" w:eastAsia="宋体" w:cs="宋体"/>
          <w:sz w:val="24"/>
          <w:szCs w:val="24"/>
        </w:rPr>
        <w:t>5.合同生效</w:t>
      </w:r>
    </w:p>
    <w:p>
      <w:pPr>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本合同一式肆份，甲方执贰份、乙方执壹份、采购代理机构（见证方）执壹份。在甲、乙及见证方签字盖章，并甲方收到乙方提交的履约保证金后生效。</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br w:type="page"/>
      </w:r>
    </w:p>
    <w:tbl>
      <w:tblPr>
        <w:tblStyle w:val="34"/>
        <w:tblW w:w="0" w:type="auto"/>
        <w:tblInd w:w="93" w:type="dxa"/>
        <w:tblLayout w:type="fixed"/>
        <w:tblCellMar>
          <w:top w:w="0" w:type="dxa"/>
          <w:left w:w="108" w:type="dxa"/>
          <w:bottom w:w="0" w:type="dxa"/>
          <w:right w:w="108" w:type="dxa"/>
        </w:tblCellMar>
      </w:tblPr>
      <w:tblGrid>
        <w:gridCol w:w="4551"/>
        <w:gridCol w:w="4253"/>
      </w:tblGrid>
      <w:tr>
        <w:tblPrEx>
          <w:tblCellMar>
            <w:top w:w="0" w:type="dxa"/>
            <w:left w:w="108" w:type="dxa"/>
            <w:bottom w:w="0" w:type="dxa"/>
            <w:right w:w="108" w:type="dxa"/>
          </w:tblCellMar>
        </w:tblPrEx>
        <w:trPr>
          <w:trHeight w:val="390" w:hRule="atLeast"/>
        </w:trPr>
        <w:tc>
          <w:tcPr>
            <w:tcW w:w="4551"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甲  方</w:t>
            </w:r>
          </w:p>
        </w:tc>
        <w:tc>
          <w:tcPr>
            <w:tcW w:w="4253" w:type="dxa"/>
            <w:tcBorders>
              <w:top w:val="single" w:color="auto" w:sz="8" w:space="0"/>
              <w:left w:val="nil"/>
              <w:bottom w:val="single" w:color="auto" w:sz="8" w:space="0"/>
              <w:right w:val="single" w:color="auto" w:sz="8" w:space="0"/>
            </w:tcBorders>
            <w:noWrap w:val="0"/>
            <w:vAlign w:val="cente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乙  方</w:t>
            </w:r>
          </w:p>
        </w:tc>
      </w:tr>
      <w:tr>
        <w:tblPrEx>
          <w:tblCellMar>
            <w:top w:w="0" w:type="dxa"/>
            <w:left w:w="108" w:type="dxa"/>
            <w:bottom w:w="0" w:type="dxa"/>
            <w:right w:w="108" w:type="dxa"/>
          </w:tblCellMar>
        </w:tblPrEx>
        <w:trPr>
          <w:trHeight w:val="735" w:hRule="atLeast"/>
        </w:trPr>
        <w:tc>
          <w:tcPr>
            <w:tcW w:w="4551" w:type="dxa"/>
            <w:vMerge w:val="restart"/>
            <w:tcBorders>
              <w:top w:val="nil"/>
              <w:left w:val="single" w:color="auto" w:sz="8" w:space="0"/>
              <w:bottom w:val="single" w:color="000000" w:sz="8" w:space="0"/>
              <w:right w:val="single" w:color="auto" w:sz="8" w:space="0"/>
            </w:tcBorders>
            <w:noWrap w:val="0"/>
            <w:vAlign w:val="cente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（盖章）</w:t>
            </w:r>
          </w:p>
        </w:tc>
        <w:tc>
          <w:tcPr>
            <w:tcW w:w="4253" w:type="dxa"/>
            <w:tcBorders>
              <w:top w:val="nil"/>
              <w:left w:val="nil"/>
              <w:bottom w:val="nil"/>
              <w:right w:val="single" w:color="auto" w:sz="8" w:space="0"/>
            </w:tcBorders>
            <w:noWrap w:val="0"/>
            <w:vAlign w:val="cente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（盖章）</w:t>
            </w:r>
          </w:p>
        </w:tc>
      </w:tr>
      <w:tr>
        <w:tblPrEx>
          <w:tblCellMar>
            <w:top w:w="0" w:type="dxa"/>
            <w:left w:w="108" w:type="dxa"/>
            <w:bottom w:w="0" w:type="dxa"/>
            <w:right w:w="108" w:type="dxa"/>
          </w:tblCellMar>
        </w:tblPrEx>
        <w:trPr>
          <w:trHeight w:val="235" w:hRule="atLeast"/>
        </w:trPr>
        <w:tc>
          <w:tcPr>
            <w:tcW w:w="4551" w:type="dxa"/>
            <w:vMerge w:val="continue"/>
            <w:tcBorders>
              <w:top w:val="nil"/>
              <w:left w:val="single" w:color="auto" w:sz="8" w:space="0"/>
              <w:bottom w:val="single" w:color="000000" w:sz="8" w:space="0"/>
              <w:right w:val="single" w:color="auto" w:sz="8" w:space="0"/>
            </w:tcBorders>
            <w:noWrap w:val="0"/>
            <w:vAlign w:val="center"/>
          </w:tcPr>
          <w:p>
            <w:pPr>
              <w:spacing w:line="360" w:lineRule="auto"/>
              <w:rPr>
                <w:rFonts w:hint="eastAsia" w:ascii="宋体" w:hAnsi="宋体" w:eastAsia="宋体" w:cs="宋体"/>
                <w:kern w:val="0"/>
                <w:sz w:val="24"/>
                <w:szCs w:val="24"/>
              </w:rPr>
            </w:pPr>
          </w:p>
        </w:tc>
        <w:tc>
          <w:tcPr>
            <w:tcW w:w="4253" w:type="dxa"/>
            <w:tcBorders>
              <w:top w:val="nil"/>
              <w:left w:val="nil"/>
              <w:bottom w:val="single" w:color="auto" w:sz="8" w:space="0"/>
              <w:right w:val="single" w:color="auto" w:sz="8" w:space="0"/>
            </w:tcBorders>
            <w:noWrap w:val="0"/>
            <w:vAlign w:val="center"/>
          </w:tcPr>
          <w:p>
            <w:pPr>
              <w:spacing w:line="360" w:lineRule="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390" w:hRule="atLeast"/>
        </w:trPr>
        <w:tc>
          <w:tcPr>
            <w:tcW w:w="4551" w:type="dxa"/>
            <w:tcBorders>
              <w:top w:val="nil"/>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地址：</w:t>
            </w:r>
          </w:p>
        </w:tc>
        <w:tc>
          <w:tcPr>
            <w:tcW w:w="4253" w:type="dxa"/>
            <w:tcBorders>
              <w:top w:val="nil"/>
              <w:left w:val="nil"/>
              <w:bottom w:val="single" w:color="auto" w:sz="8" w:space="0"/>
              <w:right w:val="single" w:color="auto" w:sz="8" w:space="0"/>
            </w:tcBorders>
            <w:noWrap w:val="0"/>
            <w:vAlign w:val="cente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地址：</w:t>
            </w:r>
          </w:p>
        </w:tc>
      </w:tr>
      <w:tr>
        <w:tblPrEx>
          <w:tblCellMar>
            <w:top w:w="0" w:type="dxa"/>
            <w:left w:w="108" w:type="dxa"/>
            <w:bottom w:w="0" w:type="dxa"/>
            <w:right w:w="108" w:type="dxa"/>
          </w:tblCellMar>
        </w:tblPrEx>
        <w:trPr>
          <w:trHeight w:val="390" w:hRule="atLeast"/>
        </w:trPr>
        <w:tc>
          <w:tcPr>
            <w:tcW w:w="4551" w:type="dxa"/>
            <w:tcBorders>
              <w:top w:val="nil"/>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邮编：</w:t>
            </w:r>
          </w:p>
        </w:tc>
        <w:tc>
          <w:tcPr>
            <w:tcW w:w="4253" w:type="dxa"/>
            <w:tcBorders>
              <w:top w:val="nil"/>
              <w:left w:val="nil"/>
              <w:bottom w:val="single" w:color="auto" w:sz="8" w:space="0"/>
              <w:right w:val="single" w:color="auto" w:sz="8" w:space="0"/>
            </w:tcBorders>
            <w:noWrap w:val="0"/>
            <w:vAlign w:val="cente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邮编：</w:t>
            </w:r>
          </w:p>
        </w:tc>
      </w:tr>
      <w:tr>
        <w:tblPrEx>
          <w:tblCellMar>
            <w:top w:w="0" w:type="dxa"/>
            <w:left w:w="108" w:type="dxa"/>
            <w:bottom w:w="0" w:type="dxa"/>
            <w:right w:w="108" w:type="dxa"/>
          </w:tblCellMar>
        </w:tblPrEx>
        <w:trPr>
          <w:trHeight w:val="576" w:hRule="atLeast"/>
        </w:trPr>
        <w:tc>
          <w:tcPr>
            <w:tcW w:w="4551" w:type="dxa"/>
            <w:vMerge w:val="restart"/>
            <w:tcBorders>
              <w:top w:val="nil"/>
              <w:left w:val="single" w:color="auto" w:sz="8" w:space="0"/>
              <w:bottom w:val="single" w:color="000000" w:sz="8" w:space="0"/>
              <w:right w:val="single" w:color="auto" w:sz="8" w:space="0"/>
            </w:tcBorders>
            <w:noWrap w:val="0"/>
            <w:vAlign w:val="cente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全权代表：（签字）</w:t>
            </w:r>
          </w:p>
        </w:tc>
        <w:tc>
          <w:tcPr>
            <w:tcW w:w="4253" w:type="dxa"/>
            <w:tcBorders>
              <w:top w:val="nil"/>
              <w:left w:val="nil"/>
              <w:bottom w:val="single" w:color="auto" w:sz="8" w:space="0"/>
              <w:right w:val="single" w:color="auto" w:sz="8" w:space="0"/>
            </w:tcBorders>
            <w:noWrap w:val="0"/>
            <w:vAlign w:val="cente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法定代表人：</w:t>
            </w:r>
          </w:p>
        </w:tc>
      </w:tr>
      <w:tr>
        <w:tblPrEx>
          <w:tblCellMar>
            <w:top w:w="0" w:type="dxa"/>
            <w:left w:w="108" w:type="dxa"/>
            <w:bottom w:w="0" w:type="dxa"/>
            <w:right w:w="108" w:type="dxa"/>
          </w:tblCellMar>
        </w:tblPrEx>
        <w:trPr>
          <w:trHeight w:val="502" w:hRule="atLeast"/>
        </w:trPr>
        <w:tc>
          <w:tcPr>
            <w:tcW w:w="4551" w:type="dxa"/>
            <w:vMerge w:val="continue"/>
            <w:tcBorders>
              <w:top w:val="nil"/>
              <w:left w:val="single" w:color="auto" w:sz="8" w:space="0"/>
              <w:bottom w:val="single" w:color="000000" w:sz="8" w:space="0"/>
              <w:right w:val="single" w:color="auto" w:sz="8" w:space="0"/>
            </w:tcBorders>
            <w:noWrap w:val="0"/>
            <w:vAlign w:val="center"/>
          </w:tcPr>
          <w:p>
            <w:pPr>
              <w:spacing w:line="360" w:lineRule="auto"/>
              <w:rPr>
                <w:rFonts w:hint="eastAsia" w:ascii="宋体" w:hAnsi="宋体" w:eastAsia="宋体" w:cs="宋体"/>
                <w:kern w:val="0"/>
                <w:sz w:val="24"/>
                <w:szCs w:val="24"/>
              </w:rPr>
            </w:pPr>
          </w:p>
        </w:tc>
        <w:tc>
          <w:tcPr>
            <w:tcW w:w="4253" w:type="dxa"/>
            <w:tcBorders>
              <w:top w:val="nil"/>
              <w:left w:val="nil"/>
              <w:bottom w:val="single" w:color="auto" w:sz="8" w:space="0"/>
              <w:right w:val="single" w:color="auto" w:sz="8" w:space="0"/>
            </w:tcBorders>
            <w:noWrap w:val="0"/>
            <w:vAlign w:val="cente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被授权代表：（签字）</w:t>
            </w:r>
          </w:p>
        </w:tc>
      </w:tr>
      <w:tr>
        <w:tblPrEx>
          <w:tblCellMar>
            <w:top w:w="0" w:type="dxa"/>
            <w:left w:w="108" w:type="dxa"/>
            <w:bottom w:w="0" w:type="dxa"/>
            <w:right w:w="108" w:type="dxa"/>
          </w:tblCellMar>
        </w:tblPrEx>
        <w:trPr>
          <w:trHeight w:val="390" w:hRule="atLeast"/>
        </w:trPr>
        <w:tc>
          <w:tcPr>
            <w:tcW w:w="4551" w:type="dxa"/>
            <w:tcBorders>
              <w:top w:val="nil"/>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电话：</w:t>
            </w:r>
          </w:p>
        </w:tc>
        <w:tc>
          <w:tcPr>
            <w:tcW w:w="4253" w:type="dxa"/>
            <w:tcBorders>
              <w:top w:val="nil"/>
              <w:left w:val="nil"/>
              <w:bottom w:val="single" w:color="auto" w:sz="8" w:space="0"/>
              <w:right w:val="single" w:color="auto" w:sz="8" w:space="0"/>
            </w:tcBorders>
            <w:noWrap w:val="0"/>
            <w:vAlign w:val="cente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电话：</w:t>
            </w:r>
          </w:p>
        </w:tc>
      </w:tr>
      <w:tr>
        <w:tblPrEx>
          <w:tblCellMar>
            <w:top w:w="0" w:type="dxa"/>
            <w:left w:w="108" w:type="dxa"/>
            <w:bottom w:w="0" w:type="dxa"/>
            <w:right w:w="108" w:type="dxa"/>
          </w:tblCellMar>
        </w:tblPrEx>
        <w:trPr>
          <w:trHeight w:val="390" w:hRule="atLeast"/>
        </w:trPr>
        <w:tc>
          <w:tcPr>
            <w:tcW w:w="4551" w:type="dxa"/>
            <w:vMerge w:val="restart"/>
            <w:tcBorders>
              <w:top w:val="nil"/>
              <w:left w:val="single" w:color="auto" w:sz="8" w:space="0"/>
              <w:bottom w:val="single" w:color="000000" w:sz="8" w:space="0"/>
              <w:right w:val="single" w:color="auto" w:sz="8" w:space="0"/>
            </w:tcBorders>
            <w:noWrap w:val="0"/>
            <w:vAlign w:val="cente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传真：</w:t>
            </w:r>
          </w:p>
        </w:tc>
        <w:tc>
          <w:tcPr>
            <w:tcW w:w="4253" w:type="dxa"/>
            <w:tcBorders>
              <w:top w:val="nil"/>
              <w:left w:val="nil"/>
              <w:bottom w:val="single" w:color="auto" w:sz="8" w:space="0"/>
              <w:right w:val="single" w:color="auto" w:sz="8" w:space="0"/>
            </w:tcBorders>
            <w:noWrap w:val="0"/>
            <w:vAlign w:val="cente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传真：</w:t>
            </w:r>
          </w:p>
        </w:tc>
      </w:tr>
      <w:tr>
        <w:tblPrEx>
          <w:tblCellMar>
            <w:top w:w="0" w:type="dxa"/>
            <w:left w:w="108" w:type="dxa"/>
            <w:bottom w:w="0" w:type="dxa"/>
            <w:right w:w="108" w:type="dxa"/>
          </w:tblCellMar>
        </w:tblPrEx>
        <w:trPr>
          <w:trHeight w:val="390" w:hRule="atLeast"/>
        </w:trPr>
        <w:tc>
          <w:tcPr>
            <w:tcW w:w="4551" w:type="dxa"/>
            <w:vMerge w:val="continue"/>
            <w:tcBorders>
              <w:top w:val="nil"/>
              <w:left w:val="single" w:color="auto" w:sz="8" w:space="0"/>
              <w:bottom w:val="single" w:color="000000" w:sz="8" w:space="0"/>
              <w:right w:val="single" w:color="auto" w:sz="8" w:space="0"/>
            </w:tcBorders>
            <w:noWrap w:val="0"/>
            <w:vAlign w:val="center"/>
          </w:tcPr>
          <w:p>
            <w:pPr>
              <w:spacing w:line="360" w:lineRule="auto"/>
              <w:rPr>
                <w:rFonts w:hint="eastAsia" w:ascii="宋体" w:hAnsi="宋体" w:eastAsia="宋体" w:cs="宋体"/>
                <w:kern w:val="0"/>
                <w:sz w:val="24"/>
                <w:szCs w:val="24"/>
              </w:rPr>
            </w:pPr>
          </w:p>
        </w:tc>
        <w:tc>
          <w:tcPr>
            <w:tcW w:w="4253" w:type="dxa"/>
            <w:tcBorders>
              <w:top w:val="nil"/>
              <w:left w:val="nil"/>
              <w:bottom w:val="single" w:color="auto" w:sz="8" w:space="0"/>
              <w:right w:val="single" w:color="auto" w:sz="8" w:space="0"/>
            </w:tcBorders>
            <w:noWrap w:val="0"/>
            <w:vAlign w:val="cente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开户银行：</w:t>
            </w:r>
          </w:p>
        </w:tc>
      </w:tr>
      <w:tr>
        <w:tblPrEx>
          <w:tblCellMar>
            <w:top w:w="0" w:type="dxa"/>
            <w:left w:w="108" w:type="dxa"/>
            <w:bottom w:w="0" w:type="dxa"/>
            <w:right w:w="108" w:type="dxa"/>
          </w:tblCellMar>
        </w:tblPrEx>
        <w:trPr>
          <w:trHeight w:val="390" w:hRule="atLeast"/>
        </w:trPr>
        <w:tc>
          <w:tcPr>
            <w:tcW w:w="4551" w:type="dxa"/>
            <w:vMerge w:val="continue"/>
            <w:tcBorders>
              <w:top w:val="nil"/>
              <w:left w:val="single" w:color="auto" w:sz="8" w:space="0"/>
              <w:bottom w:val="single" w:color="000000" w:sz="8" w:space="0"/>
              <w:right w:val="single" w:color="auto" w:sz="8" w:space="0"/>
            </w:tcBorders>
            <w:noWrap w:val="0"/>
            <w:vAlign w:val="center"/>
          </w:tcPr>
          <w:p>
            <w:pPr>
              <w:spacing w:line="360" w:lineRule="auto"/>
              <w:rPr>
                <w:rFonts w:hint="eastAsia" w:ascii="宋体" w:hAnsi="宋体" w:eastAsia="宋体" w:cs="宋体"/>
                <w:kern w:val="0"/>
                <w:sz w:val="24"/>
                <w:szCs w:val="24"/>
              </w:rPr>
            </w:pPr>
          </w:p>
        </w:tc>
        <w:tc>
          <w:tcPr>
            <w:tcW w:w="4253" w:type="dxa"/>
            <w:tcBorders>
              <w:top w:val="nil"/>
              <w:left w:val="nil"/>
              <w:bottom w:val="single" w:color="auto" w:sz="8" w:space="0"/>
              <w:right w:val="single" w:color="auto" w:sz="8" w:space="0"/>
            </w:tcBorders>
            <w:noWrap w:val="0"/>
            <w:vAlign w:val="cente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账号:</w:t>
            </w:r>
          </w:p>
        </w:tc>
      </w:tr>
      <w:tr>
        <w:tblPrEx>
          <w:tblCellMar>
            <w:top w:w="0" w:type="dxa"/>
            <w:left w:w="108" w:type="dxa"/>
            <w:bottom w:w="0" w:type="dxa"/>
            <w:right w:w="108" w:type="dxa"/>
          </w:tblCellMar>
        </w:tblPrEx>
        <w:trPr>
          <w:trHeight w:val="390" w:hRule="atLeast"/>
        </w:trPr>
        <w:tc>
          <w:tcPr>
            <w:tcW w:w="4551" w:type="dxa"/>
            <w:tcBorders>
              <w:top w:val="nil"/>
              <w:left w:val="single" w:color="auto" w:sz="8" w:space="0"/>
              <w:bottom w:val="single" w:color="auto" w:sz="8" w:space="0"/>
              <w:right w:val="single" w:color="auto" w:sz="8" w:space="0"/>
            </w:tcBorders>
            <w:noWrap w:val="0"/>
            <w:vAlign w:val="cente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日期：     年   月   日</w:t>
            </w:r>
          </w:p>
        </w:tc>
        <w:tc>
          <w:tcPr>
            <w:tcW w:w="4253" w:type="dxa"/>
            <w:tcBorders>
              <w:top w:val="nil"/>
              <w:left w:val="nil"/>
              <w:bottom w:val="single" w:color="auto" w:sz="8" w:space="0"/>
              <w:right w:val="single" w:color="auto" w:sz="8" w:space="0"/>
            </w:tcBorders>
            <w:noWrap w:val="0"/>
            <w:vAlign w:val="cente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日期：     年   月   日</w:t>
            </w:r>
          </w:p>
        </w:tc>
      </w:tr>
    </w:tbl>
    <w:p>
      <w:pPr>
        <w:spacing w:line="360" w:lineRule="auto"/>
        <w:rPr>
          <w:rFonts w:hint="eastAsia" w:ascii="宋体" w:hAnsi="宋体" w:eastAsia="宋体" w:cs="宋体"/>
          <w:sz w:val="24"/>
          <w:szCs w:val="24"/>
        </w:rPr>
      </w:pPr>
      <w:r>
        <w:rPr>
          <w:rFonts w:hint="eastAsia" w:ascii="宋体" w:hAnsi="宋体" w:eastAsia="宋体" w:cs="宋体"/>
          <w:sz w:val="24"/>
          <w:szCs w:val="24"/>
        </w:rPr>
        <w:t>　　</w:t>
      </w:r>
    </w:p>
    <w:p>
      <w:pPr>
        <w:spacing w:line="360" w:lineRule="auto"/>
        <w:rPr>
          <w:rFonts w:hint="eastAsia"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一、合同条款</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合同条款前附表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8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noWrap w:val="0"/>
            <w:vAlign w:val="center"/>
          </w:tcPr>
          <w:p>
            <w:pPr>
              <w:pStyle w:val="2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8558" w:type="dxa"/>
            <w:noWrap w:val="0"/>
            <w:vAlign w:val="center"/>
          </w:tcPr>
          <w:p>
            <w:pPr>
              <w:pStyle w:val="2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28" w:type="dxa"/>
            <w:noWrap w:val="0"/>
            <w:vAlign w:val="center"/>
          </w:tcPr>
          <w:p>
            <w:pPr>
              <w:pStyle w:val="2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8558" w:type="dxa"/>
            <w:noWrap w:val="0"/>
            <w:vAlign w:val="center"/>
          </w:tcPr>
          <w:p>
            <w:pPr>
              <w:pStyle w:val="2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合同名称：</w:t>
            </w:r>
          </w:p>
          <w:p>
            <w:pPr>
              <w:pStyle w:val="2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Merge w:val="restart"/>
            <w:noWrap w:val="0"/>
            <w:vAlign w:val="center"/>
          </w:tcPr>
          <w:p>
            <w:pPr>
              <w:pStyle w:val="2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8558" w:type="dxa"/>
            <w:noWrap w:val="0"/>
            <w:vAlign w:val="center"/>
          </w:tcPr>
          <w:p>
            <w:pPr>
              <w:pStyle w:val="2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甲方名称：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Merge w:val="continue"/>
            <w:noWrap w:val="0"/>
            <w:vAlign w:val="center"/>
          </w:tcPr>
          <w:p>
            <w:pPr>
              <w:pStyle w:val="20"/>
              <w:spacing w:line="360" w:lineRule="auto"/>
              <w:jc w:val="center"/>
              <w:rPr>
                <w:rFonts w:hint="eastAsia" w:ascii="宋体" w:hAnsi="宋体" w:eastAsia="宋体" w:cs="宋体"/>
                <w:sz w:val="24"/>
                <w:szCs w:val="24"/>
                <w:lang w:val="en-US" w:eastAsia="zh-CN"/>
              </w:rPr>
            </w:pPr>
          </w:p>
        </w:tc>
        <w:tc>
          <w:tcPr>
            <w:tcW w:w="8558" w:type="dxa"/>
            <w:noWrap w:val="0"/>
            <w:vAlign w:val="center"/>
          </w:tcPr>
          <w:p>
            <w:pPr>
              <w:pStyle w:val="2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甲方地址：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Merge w:val="continue"/>
            <w:noWrap w:val="0"/>
            <w:vAlign w:val="center"/>
          </w:tcPr>
          <w:p>
            <w:pPr>
              <w:pStyle w:val="20"/>
              <w:spacing w:line="360" w:lineRule="auto"/>
              <w:jc w:val="center"/>
              <w:rPr>
                <w:rFonts w:hint="eastAsia" w:ascii="宋体" w:hAnsi="宋体" w:eastAsia="宋体" w:cs="宋体"/>
                <w:sz w:val="24"/>
                <w:szCs w:val="24"/>
                <w:lang w:val="en-US" w:eastAsia="zh-CN"/>
              </w:rPr>
            </w:pPr>
          </w:p>
        </w:tc>
        <w:tc>
          <w:tcPr>
            <w:tcW w:w="8558" w:type="dxa"/>
            <w:noWrap w:val="0"/>
            <w:vAlign w:val="center"/>
          </w:tcPr>
          <w:p>
            <w:pPr>
              <w:pStyle w:val="2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甲方联系人：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Merge w:val="restart"/>
            <w:noWrap w:val="0"/>
            <w:vAlign w:val="center"/>
          </w:tcPr>
          <w:p>
            <w:pPr>
              <w:pStyle w:val="2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8558" w:type="dxa"/>
            <w:noWrap w:val="0"/>
            <w:vAlign w:val="center"/>
          </w:tcPr>
          <w:p>
            <w:pPr>
              <w:pStyle w:val="2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乙方名称：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Merge w:val="continue"/>
            <w:noWrap w:val="0"/>
            <w:vAlign w:val="center"/>
          </w:tcPr>
          <w:p>
            <w:pPr>
              <w:pStyle w:val="20"/>
              <w:spacing w:line="360" w:lineRule="auto"/>
              <w:jc w:val="center"/>
              <w:rPr>
                <w:rFonts w:hint="eastAsia" w:ascii="宋体" w:hAnsi="宋体" w:eastAsia="宋体" w:cs="宋体"/>
                <w:sz w:val="24"/>
                <w:szCs w:val="24"/>
                <w:lang w:val="en-US" w:eastAsia="zh-CN"/>
              </w:rPr>
            </w:pPr>
          </w:p>
        </w:tc>
        <w:tc>
          <w:tcPr>
            <w:tcW w:w="8558" w:type="dxa"/>
            <w:noWrap w:val="0"/>
            <w:vAlign w:val="center"/>
          </w:tcPr>
          <w:p>
            <w:pPr>
              <w:pStyle w:val="2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乙方地址：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Merge w:val="continue"/>
            <w:noWrap w:val="0"/>
            <w:vAlign w:val="center"/>
          </w:tcPr>
          <w:p>
            <w:pPr>
              <w:pStyle w:val="20"/>
              <w:spacing w:line="360" w:lineRule="auto"/>
              <w:jc w:val="center"/>
              <w:rPr>
                <w:rFonts w:hint="eastAsia" w:ascii="宋体" w:hAnsi="宋体" w:eastAsia="宋体" w:cs="宋体"/>
                <w:sz w:val="24"/>
                <w:szCs w:val="24"/>
                <w:lang w:val="en-US" w:eastAsia="zh-CN"/>
              </w:rPr>
            </w:pPr>
          </w:p>
        </w:tc>
        <w:tc>
          <w:tcPr>
            <w:tcW w:w="8558" w:type="dxa"/>
            <w:noWrap w:val="0"/>
            <w:vAlign w:val="center"/>
          </w:tcPr>
          <w:p>
            <w:pPr>
              <w:pStyle w:val="2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乙方联系人：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Merge w:val="continue"/>
            <w:noWrap w:val="0"/>
            <w:vAlign w:val="center"/>
          </w:tcPr>
          <w:p>
            <w:pPr>
              <w:pStyle w:val="20"/>
              <w:spacing w:line="360" w:lineRule="auto"/>
              <w:jc w:val="center"/>
              <w:rPr>
                <w:rFonts w:hint="eastAsia" w:ascii="宋体" w:hAnsi="宋体" w:eastAsia="宋体" w:cs="宋体"/>
                <w:color w:val="000000"/>
                <w:sz w:val="24"/>
                <w:szCs w:val="24"/>
                <w:lang w:val="en-US" w:eastAsia="zh-CN"/>
              </w:rPr>
            </w:pPr>
          </w:p>
        </w:tc>
        <w:tc>
          <w:tcPr>
            <w:tcW w:w="8558" w:type="dxa"/>
            <w:noWrap w:val="0"/>
            <w:vAlign w:val="center"/>
          </w:tcPr>
          <w:p>
            <w:pPr>
              <w:pStyle w:val="20"/>
              <w:spacing w:line="360" w:lineRule="auto"/>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乙方开户银行名称：</w:t>
            </w:r>
          </w:p>
          <w:p>
            <w:pPr>
              <w:pStyle w:val="20"/>
              <w:spacing w:line="360" w:lineRule="auto"/>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noWrap w:val="0"/>
            <w:vAlign w:val="center"/>
          </w:tcPr>
          <w:p>
            <w:pPr>
              <w:pStyle w:val="20"/>
              <w:spacing w:line="360" w:lineRule="auto"/>
              <w:jc w:val="center"/>
              <w:rPr>
                <w:rFonts w:hint="eastAsia" w:ascii="宋体" w:hAnsi="宋体" w:eastAsia="宋体" w:cs="宋体"/>
                <w:color w:val="000000"/>
                <w:sz w:val="24"/>
                <w:szCs w:val="24"/>
                <w:lang w:val="en-US" w:eastAsia="zh-CN"/>
              </w:rPr>
            </w:pPr>
            <w:r>
              <w:rPr>
                <w:rFonts w:hint="eastAsia" w:hAnsi="宋体" w:eastAsia="宋体" w:cs="宋体"/>
                <w:color w:val="000000"/>
                <w:sz w:val="24"/>
                <w:szCs w:val="24"/>
                <w:lang w:val="en-US" w:eastAsia="zh-CN"/>
              </w:rPr>
              <w:t>4</w:t>
            </w:r>
          </w:p>
        </w:tc>
        <w:tc>
          <w:tcPr>
            <w:tcW w:w="8558" w:type="dxa"/>
            <w:noWrap w:val="0"/>
            <w:vAlign w:val="center"/>
          </w:tcPr>
          <w:p>
            <w:pPr>
              <w:pStyle w:val="20"/>
              <w:spacing w:line="360" w:lineRule="auto"/>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noWrap w:val="0"/>
            <w:vAlign w:val="center"/>
          </w:tcPr>
          <w:p>
            <w:pPr>
              <w:pStyle w:val="20"/>
              <w:spacing w:line="36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w:t>
            </w:r>
          </w:p>
        </w:tc>
        <w:tc>
          <w:tcPr>
            <w:tcW w:w="8558" w:type="dxa"/>
            <w:noWrap w:val="0"/>
            <w:vAlign w:val="center"/>
          </w:tcPr>
          <w:p>
            <w:pPr>
              <w:pStyle w:val="20"/>
              <w:spacing w:line="360" w:lineRule="auto"/>
              <w:jc w:val="left"/>
              <w:rPr>
                <w:rFonts w:hint="eastAsia" w:ascii="宋体" w:hAnsi="宋体" w:eastAsia="宋体" w:cs="宋体"/>
                <w:color w:val="000000"/>
                <w:sz w:val="24"/>
                <w:szCs w:val="24"/>
                <w:lang w:val="en-US" w:eastAsia="zh-CN"/>
              </w:rPr>
            </w:pPr>
            <w:r>
              <w:rPr>
                <w:rFonts w:hint="eastAsia" w:hAnsi="宋体" w:eastAsia="宋体" w:cs="宋体"/>
                <w:color w:val="000000"/>
                <w:sz w:val="24"/>
                <w:szCs w:val="24"/>
                <w:lang w:val="en-US" w:eastAsia="zh-CN"/>
              </w:rPr>
              <w:t>交货期</w:t>
            </w:r>
            <w:r>
              <w:rPr>
                <w:rFonts w:hint="eastAsia" w:ascii="宋体" w:hAnsi="宋体" w:eastAsia="宋体" w:cs="宋体"/>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noWrap w:val="0"/>
            <w:vAlign w:val="center"/>
          </w:tcPr>
          <w:p>
            <w:pPr>
              <w:pStyle w:val="20"/>
              <w:spacing w:line="36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8</w:t>
            </w:r>
          </w:p>
        </w:tc>
        <w:tc>
          <w:tcPr>
            <w:tcW w:w="8558" w:type="dxa"/>
            <w:noWrap w:val="0"/>
            <w:vAlign w:val="center"/>
          </w:tcPr>
          <w:p>
            <w:pPr>
              <w:pStyle w:val="20"/>
              <w:spacing w:line="360" w:lineRule="auto"/>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noWrap w:val="0"/>
            <w:vAlign w:val="center"/>
          </w:tcPr>
          <w:p>
            <w:pPr>
              <w:pStyle w:val="20"/>
              <w:spacing w:line="36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w:t>
            </w:r>
          </w:p>
        </w:tc>
        <w:tc>
          <w:tcPr>
            <w:tcW w:w="8558" w:type="dxa"/>
            <w:noWrap w:val="0"/>
            <w:vAlign w:val="center"/>
          </w:tcPr>
          <w:p>
            <w:pPr>
              <w:pStyle w:val="20"/>
              <w:spacing w:line="360" w:lineRule="auto"/>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noWrap w:val="0"/>
            <w:vAlign w:val="center"/>
          </w:tcPr>
          <w:p>
            <w:pPr>
              <w:pStyle w:val="20"/>
              <w:spacing w:line="36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10</w:t>
            </w:r>
          </w:p>
        </w:tc>
        <w:tc>
          <w:tcPr>
            <w:tcW w:w="8558" w:type="dxa"/>
            <w:noWrap w:val="0"/>
            <w:vAlign w:val="center"/>
          </w:tcPr>
          <w:p>
            <w:pPr>
              <w:pStyle w:val="20"/>
              <w:spacing w:line="360" w:lineRule="auto"/>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noWrap w:val="0"/>
            <w:vAlign w:val="center"/>
          </w:tcPr>
          <w:p>
            <w:pPr>
              <w:pStyle w:val="20"/>
              <w:spacing w:line="36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11</w:t>
            </w:r>
          </w:p>
        </w:tc>
        <w:tc>
          <w:tcPr>
            <w:tcW w:w="8558" w:type="dxa"/>
            <w:noWrap w:val="0"/>
            <w:vAlign w:val="center"/>
          </w:tcPr>
          <w:p>
            <w:pPr>
              <w:pStyle w:val="20"/>
              <w:spacing w:line="360" w:lineRule="auto"/>
              <w:jc w:val="left"/>
              <w:rPr>
                <w:rFonts w:hint="eastAsia" w:ascii="宋体" w:hAnsi="宋体" w:eastAsia="宋体" w:cs="宋体"/>
                <w:color w:val="000000"/>
                <w:sz w:val="24"/>
                <w:szCs w:val="24"/>
                <w:lang w:val="en-US" w:eastAsia="zh-CN"/>
              </w:rPr>
            </w:pPr>
            <w:r>
              <w:rPr>
                <w:rFonts w:hint="eastAsia" w:hAnsi="宋体" w:eastAsia="宋体" w:cs="宋体"/>
                <w:color w:val="000000"/>
                <w:sz w:val="24"/>
                <w:szCs w:val="24"/>
                <w:lang w:val="en-US" w:eastAsia="zh-CN"/>
              </w:rPr>
              <w:t>交货地点</w:t>
            </w:r>
            <w:r>
              <w:rPr>
                <w:rFonts w:hint="eastAsia" w:ascii="宋体" w:hAnsi="宋体" w:eastAsia="宋体" w:cs="宋体"/>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28" w:type="dxa"/>
            <w:noWrap w:val="0"/>
            <w:vAlign w:val="center"/>
          </w:tcPr>
          <w:p>
            <w:pPr>
              <w:pStyle w:val="20"/>
              <w:spacing w:line="36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12</w:t>
            </w:r>
          </w:p>
        </w:tc>
        <w:tc>
          <w:tcPr>
            <w:tcW w:w="8558" w:type="dxa"/>
            <w:noWrap w:val="0"/>
            <w:vAlign w:val="center"/>
          </w:tcPr>
          <w:p>
            <w:pPr>
              <w:pStyle w:val="20"/>
              <w:spacing w:line="360" w:lineRule="auto"/>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误期赔偿费约定：如果乙方没有按照合同规定的时间交货和提供服务，甲方有权从货款中扣除误期赔偿费而不影响合同项下的其他补救方法。赔偿费按每日加收合同金额的0.5%(各单位可根据实际情况重新设定)计收，直至交货或提供服务为止。但误期赔偿费的最高限额不超过合同价的15%(各单位可根据实际情况重新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noWrap w:val="0"/>
            <w:vAlign w:val="center"/>
          </w:tcPr>
          <w:p>
            <w:pPr>
              <w:pStyle w:val="20"/>
              <w:spacing w:line="36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13</w:t>
            </w:r>
          </w:p>
        </w:tc>
        <w:tc>
          <w:tcPr>
            <w:tcW w:w="8558" w:type="dxa"/>
            <w:noWrap w:val="0"/>
            <w:vAlign w:val="center"/>
          </w:tcPr>
          <w:p>
            <w:pPr>
              <w:pStyle w:val="20"/>
              <w:spacing w:line="360" w:lineRule="auto"/>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合同纠纷的解决方式：</w:t>
            </w:r>
          </w:p>
          <w:p>
            <w:pPr>
              <w:pStyle w:val="20"/>
              <w:spacing w:line="360" w:lineRule="auto"/>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首先通过双方协商解决，协商解决不成，则通过以下途径之一解决纠纷(请在方框内画“√”选择)：</w:t>
            </w:r>
          </w:p>
          <w:p>
            <w:pPr>
              <w:pStyle w:val="20"/>
              <w:spacing w:line="360" w:lineRule="auto"/>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□提请______仲裁委员会按照仲裁程序在______(仲裁地)仲裁</w:t>
            </w:r>
          </w:p>
          <w:p>
            <w:pPr>
              <w:pStyle w:val="20"/>
              <w:spacing w:line="360" w:lineRule="auto"/>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□向甲方所在地人民法院提起诉讼</w:t>
            </w:r>
          </w:p>
        </w:tc>
      </w:tr>
    </w:tbl>
    <w:p>
      <w:pPr>
        <w:pStyle w:val="20"/>
        <w:spacing w:line="360" w:lineRule="auto"/>
        <w:ind w:firstLine="496"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1.定义</w:t>
      </w:r>
    </w:p>
    <w:p>
      <w:pPr>
        <w:pStyle w:val="20"/>
        <w:spacing w:line="360" w:lineRule="auto"/>
        <w:ind w:firstLine="496"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本合同下列术语应解释为：</w:t>
      </w:r>
    </w:p>
    <w:p>
      <w:pPr>
        <w:pStyle w:val="20"/>
        <w:spacing w:line="360" w:lineRule="auto"/>
        <w:ind w:firstLine="496"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1.1　“甲方”是指采购人。</w:t>
      </w:r>
    </w:p>
    <w:p>
      <w:pPr>
        <w:pStyle w:val="20"/>
        <w:spacing w:line="360" w:lineRule="auto"/>
        <w:ind w:firstLine="496"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1.2　“乙方”是指中标人。</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color w:val="000000"/>
          <w:sz w:val="24"/>
          <w:szCs w:val="24"/>
        </w:rPr>
        <w:t>1.</w:t>
      </w:r>
      <w:r>
        <w:rPr>
          <w:rFonts w:hint="eastAsia" w:hAnsi="宋体" w:eastAsia="宋体" w:cs="宋体"/>
          <w:color w:val="000000"/>
          <w:sz w:val="24"/>
          <w:szCs w:val="24"/>
          <w:lang w:val="en-US" w:eastAsia="zh-CN"/>
        </w:rPr>
        <w:t>3</w:t>
      </w:r>
      <w:r>
        <w:rPr>
          <w:rFonts w:hint="eastAsia" w:ascii="宋体" w:hAnsi="宋体" w:eastAsia="宋体" w:cs="宋体"/>
          <w:color w:val="000000"/>
          <w:sz w:val="24"/>
          <w:szCs w:val="24"/>
        </w:rPr>
        <w:t>　“合同”系指甲乙双方签署的、合同中载明的甲乙双方所达成的协议，包括所有的附件、附录和上述文件所提到的构成合同的所有文件。</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hAnsi="宋体" w:eastAsia="宋体" w:cs="宋体"/>
          <w:sz w:val="24"/>
          <w:szCs w:val="24"/>
          <w:lang w:val="en-US" w:eastAsia="zh-CN"/>
        </w:rPr>
        <w:t>4</w:t>
      </w:r>
      <w:r>
        <w:rPr>
          <w:rFonts w:hint="eastAsia" w:ascii="宋体" w:hAnsi="宋体" w:eastAsia="宋体" w:cs="宋体"/>
          <w:sz w:val="24"/>
          <w:szCs w:val="24"/>
        </w:rPr>
        <w:t>　“货物”是指根据本合同规定，乙方按照招标(采购)、投标文件，向甲方提供符合要求的全部产品。</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hAnsi="宋体" w:eastAsia="宋体" w:cs="宋体"/>
          <w:sz w:val="24"/>
          <w:szCs w:val="24"/>
          <w:lang w:val="en-US" w:eastAsia="zh-CN"/>
        </w:rPr>
        <w:t>5</w:t>
      </w:r>
      <w:r>
        <w:rPr>
          <w:rFonts w:hint="eastAsia" w:ascii="宋体" w:hAnsi="宋体" w:eastAsia="宋体" w:cs="宋体"/>
          <w:sz w:val="24"/>
          <w:szCs w:val="24"/>
        </w:rPr>
        <w:t>　“服务”是指根据本合同规定，乙方承担与货物有关的相关服务，包括但不限于运输、保险、安装、调试、技术支持、质量保障、售后服务、培训和合同中规定乙方应承担的其他义务。</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hAnsi="宋体" w:eastAsia="宋体" w:cs="宋体"/>
          <w:sz w:val="24"/>
          <w:szCs w:val="24"/>
          <w:lang w:val="en-US" w:eastAsia="zh-CN"/>
        </w:rPr>
        <w:t>6</w:t>
      </w:r>
      <w:r>
        <w:rPr>
          <w:rFonts w:hint="eastAsia" w:ascii="宋体" w:hAnsi="宋体" w:eastAsia="宋体" w:cs="宋体"/>
          <w:sz w:val="24"/>
          <w:szCs w:val="24"/>
        </w:rPr>
        <w:t>　除非特别指出，“天”均为自然天。</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2.　合同标的标准</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2.1　乙方为甲方交付的货物及服务应符合招标文件所述的内容，如果没有提及适用标准，则应符合相应的国家标准。这些标准必须是有关机构发布的最新版本的标准。</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2.2　除非技术要求中另有规定，计量单位均采用中华人民共和国法定计量单位。</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2.3　货物还应符合国家有关安全、环保、卫生的相关规定。</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3.　质量保证</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3.1　乙方应保证所供货物是全新的、未使用过的，并完全符合或高于合同要求的质量、规格和技术性能的要求。</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3.2　乙方应保证其货物在正确安装、正常使用和保养条件下，在其使用寿命期内具有满意的性能，或者没有因乙方的行为或疏忽而产生的缺陷。在货物最终交付验收后不少于合同规定或乙方承诺(两者以较长的为准)的质量保证期内，本保证保持有效。</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3.3　如果服务和交付物与合同不符或不符合甲方要求，或证实交付物是有缺陷的，包括潜在的缺陷或使用不符合要求的材料等，由此引起的全部费用由乙方承担。若以上原因导致或引起甲方损失及导致或引起第三方受到损害的，全部赔偿责任均应由乙方承担。</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3.4　在质量保证期内所发现的缺陷，甲方应尽快以书面形式通知乙方。</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3.5　乙方收到通知后应在本合同规定的响应时间内以合理的速度免费维修或更换有缺陷的货物或部件。</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3.6　在质量保证期内，如果货物的质量或规格与合同不符，或证实货物是有缺陷的，包括潜在的缺陷或使用不符合要求的材料等，甲方可以根据本合同第10.1条规定以书面形式向乙方提出补救措施或索赔。</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3.7　乙方在约定的时间内未能弥补缺陷，甲方可采取必要的补救措施，但其风险和费用将由乙方承担，甲方根据合同规定对乙方行使的其他权利不受影响。</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3.8　本合同的质量保证期见合同条款前附表。</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4.包装要求</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4.1　除合同另有规定外，乙方提供的全部货物均应按标准保护措施进行包装，这类包装应适应于远距离运输、防潮、防震、防锈和防野蛮装卸，以确保货物安全无损运抵指定现场。</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4.2　乙方应承担由于其包装或防护措施不当而引起的货物损坏和丢失的任何损失责任和费用。</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4.3　每一个包装箱内应附一份详细装箱单和质量证书。</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5.知识产权</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5.1　乙方应保证所提供的货物及服务免受第三方提出侵犯其知识产权(专利权、商标权、版权等)的起诉。如果甲方在使用乙方货物或货物的任何一部分过程中，第三方提出货物侵犯其专利权、工业设计权、使用权等知识产权，乙方应当修正以避免侵权。</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5.2　如果甲方在使用乙方货物或货物的任何一部分过程中，第三方指控侵犯其专利权、工业设计权、使用权等知识产权，乙方将自费为甲方、各采购人答辩，并支付法院最终判决的甲方应支付第三方的一切费用。</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5.3　有关本项目的所有设计、施工文件的著作权属于甲方。乙方有保护甲方著作权的义务，并对在设计过程中所接触到的甲方的相关秘密有保密的义务。未经甲方书面同意，乙方不得将设计文件、成果另作其他商业用途或向任何第三方披露，不得将设计文件用于其他项目工程的建设，不得用于与本协议无关的工程。发生此类情况时，乙方应当赔偿甲方损失，甲方保留向乙方追偿的权利。</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6.权利瑕疵担保</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6.1　乙方保证对其出售的货物享有合法的权利。</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6.2　乙方保证在其出售的货物上不存在任何未曾向甲方透露的担保物权，如抵押权、质押权、留置权等。</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6.3　如甲方使用该货物构成上述侵权的，则由乙方承担全部责任。</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7.保密义务</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7.1　甲乙双方在采购和履行合同过程中所获悉的对方属于保密的内容，双方均有保密义务。</w:t>
      </w:r>
    </w:p>
    <w:p>
      <w:pPr>
        <w:pStyle w:val="20"/>
        <w:spacing w:line="360" w:lineRule="auto"/>
        <w:ind w:firstLine="496"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8.履约保证金</w:t>
      </w:r>
    </w:p>
    <w:p>
      <w:pPr>
        <w:pStyle w:val="20"/>
        <w:spacing w:line="360" w:lineRule="auto"/>
        <w:ind w:firstLine="496"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8.1　乙方应在签署合同前，以银行转账等非现金形式向甲方提供。乙方以银行、保险公司出具保函形式提交履约保证金的，甲方不得拒收。</w:t>
      </w:r>
    </w:p>
    <w:p>
      <w:pPr>
        <w:pStyle w:val="20"/>
        <w:spacing w:line="360" w:lineRule="auto"/>
        <w:ind w:firstLine="496"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8.2　履约保证金具体金额及返还要求见合同条款前附表。</w:t>
      </w:r>
    </w:p>
    <w:p>
      <w:pPr>
        <w:pStyle w:val="20"/>
        <w:spacing w:line="360" w:lineRule="auto"/>
        <w:ind w:firstLine="496"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8.3　如乙方未能履行合同规定的义务，甲方有权按照本合同的约定从履约保证金中进行相应扣除。乙方应在甲方扣除履约保证金后15天内，及时补充扣除部分金额。</w:t>
      </w:r>
    </w:p>
    <w:p>
      <w:pPr>
        <w:pStyle w:val="20"/>
        <w:spacing w:line="360" w:lineRule="auto"/>
        <w:ind w:firstLine="496"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8.4　乙方不履行合同，或者履行合同义务不符合约定使得合同目的不能实现，履约保证金不予退还，给甲方造成的损失超过履约保证金数额的，还应当对超过部分予以赔偿。</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9.交货与验收</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9.1　交货地点：合同条款前附表指定地点。</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9.2　交货时间：合同条款前附表指定时间。</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9.3　甲方在收到乙方交付的货物后应当及时组织验收。</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9.4　货物的包装：符合出厂规范及符合《商品包装政府采购需求标准（试行）《快递包装政府采购需求标准（试行）》，包装完整无破损，防雨、防潮等各种符号标识清楚，进口设备应具有原产国标识且标识清楚。货物的表面瑕疵，甲方应在验收时当面提出；对质量问题有异议的应在安装调试时进行记录。</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9.5　在验收过程中发现数量不足或有质量、技术等问题，乙方应按照合同要求采取补足、更换或退货等处理措施，并承担由此发生的一切费用和损失。</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9.6　甲方对货物进行检查验收合格后，应当及时履行验收手续。</w:t>
      </w:r>
    </w:p>
    <w:p>
      <w:pPr>
        <w:pStyle w:val="20"/>
        <w:spacing w:line="360" w:lineRule="auto"/>
        <w:ind w:firstLine="496" w:firstLineChars="200"/>
        <w:rPr>
          <w:rFonts w:hint="eastAsia" w:ascii="宋体" w:hAnsi="宋体" w:eastAsia="宋体" w:cs="宋体"/>
          <w:sz w:val="24"/>
          <w:szCs w:val="24"/>
          <w:lang w:eastAsia="zh-CN"/>
        </w:rPr>
      </w:pPr>
      <w:r>
        <w:rPr>
          <w:rFonts w:hint="eastAsia" w:ascii="宋体" w:hAnsi="宋体" w:eastAsia="宋体" w:cs="宋体"/>
          <w:sz w:val="24"/>
          <w:szCs w:val="24"/>
        </w:rPr>
        <w:t>9.7　大型或者复杂的货物采购项目，甲方可以邀请国家认可的质量检测机构参加验收工作，并由其出具验收报告。</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 xml:space="preserve">    9.8  在履约验收环节，乙方须按照《商品包装政府采购需求标准（试行）《快递包装政府采购需求标准（试行）》的环保要求出具检测报告。</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10.违约责任</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10.1　质量缺陷的补救措施和索赔</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如果乙方提供的产品不符合质量标准或存在产品质量缺陷，而甲方在合同条款规定的检验、安装、调试、验收和质量保证期内，根据法定质量检测部门出具的检验证书向乙方提出了索赔，乙方应按照甲方同意的下列一种或几种方式结合起来解决索赔事宜：</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①乙方同意退货并将货款退还给甲方，由此发生的一切费用和损失由乙方承担。如甲方以适当的条件和方法购买与未履约标的相类似的货物，乙方应负担新购买类似货物所超出的费用。</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②根据货物的质量状况以及甲方所遭受的损失，经过甲乙双方商定降低货物的价格。</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③乙方应在接到甲方通知后7日内负责采用符合合同规定的规格、质量和性能要求的新零件、部件和设备来更换有缺陷的部分或修补缺陷部分，其费用由乙方负担。同时，乙方应在约定的质量保证期基础上相应延长修补和更换件的质量保证期。</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(2)如果在甲方发出索赔通知后10日内乙方未作答复，上述索赔应视为已被乙方接受。如果乙方未能在甲方发出索赔通知后10日内或甲方同意延长的期限内，按照上述规定的任何一种方法采取补救措施，甲方有权从应付货款中扣除索赔金额或者没收履约保证金，如不足以弥补甲方损失的，甲方有权进一步要求乙方赔偿。</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10.2　迟延交货的违约责任</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(1)乙方应按照本合同规定的时间、地点交货和提供服务。</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(2)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(3)除甲乙双方另有约定外，如果乙方没有按照合同规定的时间交货和提供服务，甲方有权从货款、履约保证金中扣除或要求乙方另行支付误期赔偿费而不影响合同项下的其他补救方法。赔偿费每日按合同金额的0.5%(各单位可根据实际情况重新设定)计收，直至交货或提供服务为止。但误期赔偿费的最高限额不超过合同价的15%(各单位可根据实际情况重新设定)。</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(4)如果乙方迟延交货超过30日，甲方有权终止全部或部分合同，并依其认为适当的条件和方法购买与未交货物类似的货物，乙方应负担购买类似货物所超出的费用。但是，乙方应继续执行合同中未终止的部分。</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10.3　未履行合同义务的违约责任</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(1)守约方有权终止全部或部分合同。</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(2)乙方违约的，甲方有权没收全额履约保证金。</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(3)由违约一方支付违约金，违约金标准见合同条款前附表(各单位可根据实际情况自行约定)。</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(4)违约金不足以弥补守约方实际损失、可预见或者应当预见的损失，由违约方全额予以赔偿。</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11.不可抗力</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11.1　如果合同双方因不可抗力而导致合同实施延误或合同无法实施，不应该承担误期赔偿或不能履行合同义务的责任。</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11.2　本条所述的“不可抗力”系指那些双方不可预见、不可避免、不可克服的客观情况，但不包括双方的违约或疏忽。这些事件包括但不限于：战争、严重火灾、洪水、台风、地震等。</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11.3　在不可抗力事件发生后，当事方应及时将不可抗力情况通知合同对方，在不可抗力事件结束后3日内以书面形式将不可抗力的情况和原因通知合同对方，并提供相应的证明文件。合同各方应尽可能继续履行合同义务，并积极寻求采取合理的措施履行不受不可抗力影响的其他事项。合同各方应通过友好协商在合理的时间内达成进一步履行的协议。</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12.合同纠纷的解决方式</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12.1　合同各方应通过友好协商，解决在执行合同过程中所发生的或与合同有关的一切争端。如协商30日内(根据实际情况设定)不能解决，可以按合同规定的方式提起仲裁或诉讼。</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12.2　仲裁裁决应为最终裁决，对双方均具有约束力。</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12.3　仲裁费除仲裁机关另有裁决外应由败诉方负担。</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12.4　诉讼应由甲方住所地人民法院管辖。财产保全担保保险费、财产保全申请费、律师代理费、差旅费、评估费、鉴定费及诉讼费等与仲裁或诉讼活动相关费用应由败诉方负担。</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12.5　如仲裁或诉讼事项不影响合同其他部分的履行，则在仲裁或诉讼期间，除正在进行仲裁或诉讼的部分外，合同的其他部分应继续执行。</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13.合同修改或变更</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13.1　如无重大变故，甲方双方不得擅自变更合同。</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13.2　如确需变更合同，甲乙双方应签署书面变更协议。变更协议为本合同不可分割的一部分。</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13.3　在不改变合同其他条款的前提下，甲方有权在合同价款10%的范围内追加与合同标的相同的货物或服务，并就此与乙方签订补充合同，乙方不得拒绝。</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14.合同中止</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14.1　合同在履行过程中，因采购计划调整，甲方可以要求中止履行，待计划确定后继续履行；合同履行过程中因</w:t>
      </w:r>
      <w:r>
        <w:rPr>
          <w:rFonts w:hint="eastAsia" w:ascii="宋体" w:hAnsi="宋体" w:eastAsia="宋体" w:cs="宋体"/>
          <w:kern w:val="0"/>
          <w:sz w:val="24"/>
          <w:szCs w:val="24"/>
        </w:rPr>
        <w:t>投标人</w:t>
      </w:r>
      <w:r>
        <w:rPr>
          <w:rFonts w:hint="eastAsia" w:ascii="宋体" w:hAnsi="宋体" w:eastAsia="宋体" w:cs="宋体"/>
          <w:sz w:val="24"/>
          <w:szCs w:val="24"/>
        </w:rPr>
        <w:t>就采购过程或结果提起投诉的，甲方认为有必要或财政部门责令中止的，应当中止合同的履行。</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15.终止合同</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15.1　若出现如下情形，在甲方对乙方违约行为而采取的任何补救措施不受影响的情况下，甲方可向乙方发出书面通知书，提出终止部分或全部合同：</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(1)如果乙方未能在合同规定的期限或甲方同意延长的期限内提供货物或服务；</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(2)如果乙方未能履行合同规定的其他任何义务，出现两次服务达不到承诺标准情况，甲方有权终止合同；</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(3)如果甲方认为乙方在本合同的竞争或实施中有腐败和欺诈行为。</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15.2　如果甲方根据上述第15.1条的规定，终止了全部或部分合同，甲方可以适当的条件和方法购买乙方未能提供的货物或服务，乙方应对甲方购买类似货物或服务所超出的费用负责。同时，乙方应继续执行合同中未终止的部分。</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16.破产终止合同</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16.1　如果乙方破产或无清偿能力，甲方可在任何时候以书面形式通知乙方终止合同而不给乙方补偿。</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16.2　该终止行为将不损害或影响甲方已经采取或将要采取的任何行动或补救措施的权利。</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17.其他终止合同情况</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17.1　若合同继续履行将给甲方造成重大损失的，甲方可以终止合同而不给予乙方任何补偿。</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17.2　乙方在执行合同的过程中发生重大事故，对履行合同有直接影响的，甲方可以终止合同而不给予乙方任何补偿。</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17.3　甲方因重大变故取消或部分取消原来的采购任务，导致合同全部或部分内容无须继续履行的，可以终止合同而不给予乙方任何补偿。</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18.合同转让和分包</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18.1　乙方不得以任何形式将合同转包，或部分或全部转让其应履行的合同义务。</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18.2　除经甲方事先书面同意外，乙方不得以任何形式将合同分包。</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19.适用法律</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19.1　本合同适用中华人民共和国现行法律、行政法规和规章，如合同条款与法律、行政法规和规章不一致的，按照法律、行政法规和规章修改本合同。</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20.合同语言</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20.1　本合同语言为中文。</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20.2　双方交换的与合同有关的信件和其他文件应用合同语言书写。</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21.合同生效</w:t>
      </w:r>
    </w:p>
    <w:p>
      <w:pPr>
        <w:pStyle w:val="20"/>
        <w:spacing w:line="360" w:lineRule="auto"/>
        <w:ind w:firstLine="496" w:firstLineChars="200"/>
        <w:rPr>
          <w:rFonts w:hint="eastAsia" w:ascii="宋体" w:hAnsi="宋体" w:eastAsia="宋体" w:cs="宋体"/>
          <w:color w:val="000000"/>
          <w:sz w:val="24"/>
          <w:szCs w:val="24"/>
        </w:rPr>
      </w:pPr>
      <w:r>
        <w:rPr>
          <w:rFonts w:hint="eastAsia" w:ascii="宋体" w:hAnsi="宋体" w:eastAsia="宋体" w:cs="宋体"/>
          <w:sz w:val="24"/>
          <w:szCs w:val="24"/>
        </w:rPr>
        <w:t>21.1　本合同应在双方签字</w:t>
      </w:r>
      <w:r>
        <w:rPr>
          <w:rFonts w:hint="eastAsia" w:ascii="宋体" w:hAnsi="宋体" w:eastAsia="宋体" w:cs="宋体"/>
          <w:color w:val="000000"/>
          <w:sz w:val="24"/>
          <w:szCs w:val="24"/>
        </w:rPr>
        <w:t>盖章和甲方收到乙方提供的履约保证金后生效。</w:t>
      </w:r>
    </w:p>
    <w:p>
      <w:pPr>
        <w:pStyle w:val="20"/>
        <w:spacing w:line="360" w:lineRule="auto"/>
        <w:ind w:firstLine="496"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22.合同效力</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22.1　除本合同和甲乙双方书面签署的补充协议外，其他任何形式的双方约定和往来函件均不具有法律效力，对本项目无约束力。</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23.检查和审计</w:t>
      </w:r>
    </w:p>
    <w:p>
      <w:pPr>
        <w:pStyle w:val="20"/>
        <w:spacing w:line="360" w:lineRule="auto"/>
        <w:ind w:firstLine="496" w:firstLineChars="200"/>
        <w:rPr>
          <w:rFonts w:hint="eastAsia" w:ascii="宋体" w:hAnsi="宋体" w:eastAsia="宋体" w:cs="宋体"/>
          <w:sz w:val="24"/>
          <w:szCs w:val="24"/>
        </w:rPr>
      </w:pPr>
      <w:r>
        <w:rPr>
          <w:rFonts w:hint="eastAsia" w:ascii="宋体" w:hAnsi="宋体" w:eastAsia="宋体" w:cs="宋体"/>
          <w:sz w:val="24"/>
          <w:szCs w:val="24"/>
        </w:rPr>
        <w:t>23.1在本合同的履行过程中，甲方有权对乙方的合同履约情况进行阶段性检查，并对乙方投标时提供的相关资料进行复核。</w:t>
      </w:r>
    </w:p>
    <w:p>
      <w:pPr>
        <w:pStyle w:val="20"/>
        <w:spacing w:line="360" w:lineRule="auto"/>
        <w:ind w:firstLine="496" w:firstLineChars="200"/>
        <w:rPr>
          <w:rFonts w:hint="eastAsia" w:ascii="宋体" w:hAnsi="宋体" w:eastAsia="宋体" w:cs="宋体"/>
          <w:sz w:val="24"/>
          <w:szCs w:val="24"/>
          <w:lang w:eastAsia="zh-CN"/>
        </w:rPr>
      </w:pPr>
      <w:r>
        <w:rPr>
          <w:rFonts w:hint="eastAsia" w:ascii="宋体" w:hAnsi="宋体" w:eastAsia="宋体" w:cs="宋体"/>
          <w:sz w:val="24"/>
          <w:szCs w:val="24"/>
        </w:rPr>
        <w:t>23.2　在本合同的履行过程中，如果甲乙双方发生争议或者乙方没有按照合同约定履行义务，乙方应允许甲方检查乙方与实施本合同有关的账户和记录，并由甲方指定的审计人员对其进行审计</w:t>
      </w:r>
      <w:r>
        <w:rPr>
          <w:rFonts w:hint="eastAsia" w:ascii="宋体" w:hAnsi="宋体" w:eastAsia="宋体" w:cs="宋体"/>
          <w:sz w:val="24"/>
          <w:szCs w:val="24"/>
          <w:lang w:eastAsia="zh-CN"/>
        </w:rPr>
        <w:t>。</w:t>
      </w:r>
    </w:p>
    <w:p>
      <w:pPr>
        <w:spacing w:line="360" w:lineRule="auto"/>
        <w:rPr>
          <w:rFonts w:ascii="宋体" w:hAnsi="宋体" w:eastAsia="宋体" w:cs="宋体"/>
          <w:b/>
          <w:bCs/>
          <w:color w:val="000000" w:themeColor="text1"/>
          <w:highlight w:val="none"/>
          <w14:textFill>
            <w14:solidFill>
              <w14:schemeClr w14:val="tx1"/>
            </w14:solidFill>
          </w14:textFill>
        </w:rPr>
      </w:pPr>
    </w:p>
    <w:p>
      <w:pPr>
        <w:rPr>
          <w:rFonts w:ascii="宋体" w:hAnsi="宋体" w:eastAsia="宋体" w:cs="宋体"/>
          <w:color w:val="000000" w:themeColor="text1"/>
          <w:highlight w:val="none"/>
          <w14:textFill>
            <w14:solidFill>
              <w14:schemeClr w14:val="tx1"/>
            </w14:solidFill>
          </w14:textFill>
        </w:rPr>
      </w:pPr>
      <w:bookmarkStart w:id="225" w:name="_Toc5730"/>
      <w:r>
        <w:rPr>
          <w:rFonts w:hint="eastAsia" w:ascii="宋体" w:hAnsi="宋体" w:eastAsia="宋体" w:cs="宋体"/>
          <w:color w:val="000000" w:themeColor="text1"/>
          <w:highlight w:val="none"/>
          <w14:textFill>
            <w14:solidFill>
              <w14:schemeClr w14:val="tx1"/>
            </w14:solidFill>
          </w14:textFill>
        </w:rPr>
        <w:br w:type="page"/>
      </w:r>
    </w:p>
    <w:p>
      <w:pPr>
        <w:pStyle w:val="7"/>
        <w:rPr>
          <w:rFonts w:ascii="宋体" w:hAnsi="宋体" w:eastAsia="宋体" w:cs="宋体"/>
          <w:color w:val="000000" w:themeColor="text1"/>
          <w:highlight w:val="none"/>
          <w14:textFill>
            <w14:solidFill>
              <w14:schemeClr w14:val="tx1"/>
            </w14:solidFill>
          </w14:textFill>
        </w:rPr>
      </w:pPr>
      <w:bookmarkStart w:id="226" w:name="_Toc27364"/>
      <w:r>
        <w:rPr>
          <w:rFonts w:hint="eastAsia" w:ascii="宋体" w:hAnsi="宋体" w:eastAsia="宋体" w:cs="宋体"/>
          <w:color w:val="000000" w:themeColor="text1"/>
          <w:highlight w:val="none"/>
          <w14:textFill>
            <w14:solidFill>
              <w14:schemeClr w14:val="tx1"/>
            </w14:solidFill>
          </w14:textFill>
        </w:rPr>
        <w:t>第五章  投标文件构成及格式</w:t>
      </w:r>
      <w:bookmarkEnd w:id="223"/>
      <w:bookmarkEnd w:id="225"/>
      <w:bookmarkEnd w:id="226"/>
    </w:p>
    <w:p>
      <w:pPr>
        <w:spacing w:line="560" w:lineRule="exact"/>
        <w:ind w:firstLine="656" w:firstLineChars="200"/>
        <w:jc w:val="both"/>
        <w:rPr>
          <w:rFonts w:ascii="宋体" w:hAnsi="宋体" w:eastAsia="宋体" w:cs="宋体"/>
          <w:color w:val="000000" w:themeColor="text1"/>
          <w:sz w:val="32"/>
          <w:szCs w:val="32"/>
          <w:highlight w:val="none"/>
          <w14:textFill>
            <w14:solidFill>
              <w14:schemeClr w14:val="tx1"/>
            </w14:solidFill>
          </w14:textFill>
        </w:rPr>
      </w:pPr>
    </w:p>
    <w:p>
      <w:pPr>
        <w:spacing w:line="560" w:lineRule="exact"/>
        <w:ind w:firstLine="656" w:firstLineChars="200"/>
        <w:jc w:val="both"/>
        <w:rPr>
          <w:rFonts w:ascii="宋体" w:hAnsi="宋体" w:eastAsia="宋体" w:cs="宋体"/>
          <w:color w:val="000000" w:themeColor="text1"/>
          <w:sz w:val="32"/>
          <w:szCs w:val="32"/>
          <w:highlight w:val="none"/>
          <w14:textFill>
            <w14:solidFill>
              <w14:schemeClr w14:val="tx1"/>
            </w14:solidFill>
          </w14:textFill>
        </w:rPr>
      </w:pPr>
    </w:p>
    <w:p>
      <w:pPr>
        <w:spacing w:line="560" w:lineRule="exact"/>
        <w:jc w:val="both"/>
        <w:rPr>
          <w:rFonts w:ascii="宋体" w:hAnsi="宋体" w:eastAsia="宋体" w:cs="宋体"/>
          <w:color w:val="000000" w:themeColor="text1"/>
          <w:sz w:val="32"/>
          <w:szCs w:val="32"/>
          <w:highlight w:val="none"/>
          <w14:textFill>
            <w14:solidFill>
              <w14:schemeClr w14:val="tx1"/>
            </w14:solidFill>
          </w14:textFill>
        </w:rPr>
      </w:pPr>
    </w:p>
    <w:p>
      <w:pPr>
        <w:snapToGrid w:val="0"/>
        <w:jc w:val="center"/>
        <w:rPr>
          <w:rFonts w:hint="default" w:ascii="宋体" w:hAnsi="宋体" w:eastAsia="宋体" w:cs="宋体"/>
          <w:b/>
          <w:bCs/>
          <w:color w:val="000000" w:themeColor="text1"/>
          <w:sz w:val="56"/>
          <w:szCs w:val="56"/>
          <w:highlight w:val="none"/>
          <w:lang w:val="en-US" w:eastAsia="zh-CN"/>
          <w14:textFill>
            <w14:solidFill>
              <w14:schemeClr w14:val="tx1"/>
            </w14:solidFill>
          </w14:textFill>
        </w:rPr>
      </w:pPr>
      <w:bookmarkStart w:id="227" w:name="_Toc17434"/>
      <w:r>
        <w:rPr>
          <w:rFonts w:hint="eastAsia" w:ascii="宋体" w:hAnsi="宋体" w:eastAsia="宋体" w:cs="宋体"/>
          <w:b/>
          <w:bCs/>
          <w:color w:val="000000" w:themeColor="text1"/>
          <w:sz w:val="56"/>
          <w:szCs w:val="56"/>
          <w:highlight w:val="none"/>
          <w:lang w:val="en-US" w:eastAsia="zh-CN"/>
          <w14:textFill>
            <w14:solidFill>
              <w14:schemeClr w14:val="tx1"/>
            </w14:solidFill>
          </w14:textFill>
        </w:rPr>
        <w:t>未央宫街道遗址区“六村三校”农村饮水安全巩固提升工程材料购置</w:t>
      </w:r>
    </w:p>
    <w:p>
      <w:pPr>
        <w:snapToGrid w:val="0"/>
        <w:jc w:val="center"/>
        <w:rPr>
          <w:rFonts w:ascii="宋体" w:hAnsi="宋体" w:eastAsia="宋体" w:cs="宋体"/>
          <w:b/>
          <w:bCs/>
          <w:color w:val="000000" w:themeColor="text1"/>
          <w:sz w:val="56"/>
          <w:szCs w:val="56"/>
          <w:highlight w:val="none"/>
          <w14:textFill>
            <w14:solidFill>
              <w14:schemeClr w14:val="tx1"/>
            </w14:solidFill>
          </w14:textFill>
        </w:rPr>
      </w:pPr>
    </w:p>
    <w:p>
      <w:pPr>
        <w:pStyle w:val="43"/>
      </w:pPr>
    </w:p>
    <w:p>
      <w:pPr>
        <w:snapToGrid w:val="0"/>
        <w:jc w:val="center"/>
        <w:rPr>
          <w:rFonts w:ascii="宋体" w:hAnsi="宋体" w:eastAsia="宋体" w:cs="宋体"/>
          <w:b/>
          <w:bCs/>
          <w:color w:val="000000" w:themeColor="text1"/>
          <w:sz w:val="56"/>
          <w:szCs w:val="56"/>
          <w:highlight w:val="none"/>
          <w14:textFill>
            <w14:solidFill>
              <w14:schemeClr w14:val="tx1"/>
            </w14:solidFill>
          </w14:textFill>
        </w:rPr>
      </w:pPr>
      <w:r>
        <w:rPr>
          <w:rFonts w:hint="eastAsia" w:ascii="宋体" w:hAnsi="宋体" w:eastAsia="宋体" w:cs="宋体"/>
          <w:b/>
          <w:bCs/>
          <w:color w:val="000000" w:themeColor="text1"/>
          <w:sz w:val="56"/>
          <w:szCs w:val="56"/>
          <w:highlight w:val="none"/>
          <w14:textFill>
            <w14:solidFill>
              <w14:schemeClr w14:val="tx1"/>
            </w14:solidFill>
          </w14:textFill>
        </w:rPr>
        <w:t>投标文件</w:t>
      </w:r>
      <w:bookmarkEnd w:id="227"/>
    </w:p>
    <w:p>
      <w:pPr>
        <w:rPr>
          <w:rFonts w:ascii="宋体" w:hAnsi="宋体" w:eastAsia="宋体" w:cs="宋体"/>
          <w:color w:val="000000" w:themeColor="text1"/>
          <w:highlight w:val="none"/>
          <w14:textFill>
            <w14:solidFill>
              <w14:schemeClr w14:val="tx1"/>
            </w14:solidFill>
          </w14:textFill>
        </w:rPr>
      </w:pPr>
    </w:p>
    <w:p>
      <w:pPr>
        <w:rPr>
          <w:rFonts w:ascii="宋体" w:hAnsi="宋体" w:eastAsia="宋体" w:cs="宋体"/>
          <w:color w:val="000000" w:themeColor="text1"/>
          <w:highlight w:val="none"/>
          <w14:textFill>
            <w14:solidFill>
              <w14:schemeClr w14:val="tx1"/>
            </w14:solidFill>
          </w14:textFill>
        </w:rPr>
      </w:pPr>
    </w:p>
    <w:p>
      <w:pPr>
        <w:rPr>
          <w:rFonts w:ascii="宋体" w:hAnsi="宋体" w:eastAsia="宋体" w:cs="宋体"/>
          <w:color w:val="000000" w:themeColor="text1"/>
          <w:highlight w:val="none"/>
          <w14:textFill>
            <w14:solidFill>
              <w14:schemeClr w14:val="tx1"/>
            </w14:solidFill>
          </w14:textFill>
        </w:rPr>
      </w:pPr>
    </w:p>
    <w:p>
      <w:pPr>
        <w:rPr>
          <w:rFonts w:ascii="宋体" w:hAnsi="宋体" w:eastAsia="宋体" w:cs="宋体"/>
          <w:color w:val="000000" w:themeColor="text1"/>
          <w:highlight w:val="none"/>
          <w14:textFill>
            <w14:solidFill>
              <w14:schemeClr w14:val="tx1"/>
            </w14:solidFill>
          </w14:textFill>
        </w:rPr>
      </w:pPr>
    </w:p>
    <w:p>
      <w:pPr>
        <w:spacing w:line="560" w:lineRule="exact"/>
        <w:jc w:val="center"/>
        <w:rPr>
          <w:rFonts w:hint="eastAsia" w:ascii="宋体" w:hAnsi="宋体" w:eastAsia="宋体" w:cs="宋体"/>
          <w:color w:val="000000" w:themeColor="text1"/>
          <w:sz w:val="32"/>
          <w:szCs w:val="32"/>
          <w:highlight w:val="none"/>
          <w:lang w:eastAsia="zh-CN"/>
          <w14:textFill>
            <w14:solidFill>
              <w14:schemeClr w14:val="tx1"/>
            </w14:solidFill>
          </w14:textFill>
        </w:rPr>
      </w:pPr>
      <w:bookmarkStart w:id="228" w:name="_Toc31589"/>
      <w:r>
        <w:rPr>
          <w:rFonts w:hint="eastAsia" w:ascii="宋体" w:hAnsi="宋体" w:eastAsia="宋体" w:cs="宋体"/>
          <w:b/>
          <w:bCs/>
          <w:color w:val="000000" w:themeColor="text1"/>
          <w:sz w:val="32"/>
          <w:szCs w:val="32"/>
          <w:highlight w:val="none"/>
          <w14:textFill>
            <w14:solidFill>
              <w14:schemeClr w14:val="tx1"/>
            </w14:solidFill>
          </w14:textFill>
        </w:rPr>
        <w:t>项目编号：</w:t>
      </w:r>
      <w:bookmarkEnd w:id="228"/>
      <w:r>
        <w:rPr>
          <w:rFonts w:hint="eastAsia" w:ascii="宋体" w:hAnsi="宋体" w:eastAsia="宋体" w:cs="宋体"/>
          <w:b/>
          <w:bCs/>
          <w:color w:val="000000" w:themeColor="text1"/>
          <w:sz w:val="32"/>
          <w:szCs w:val="32"/>
          <w:highlight w:val="none"/>
          <w:lang w:eastAsia="zh-CN"/>
          <w14:textFill>
            <w14:solidFill>
              <w14:schemeClr w14:val="tx1"/>
            </w14:solidFill>
          </w14:textFill>
        </w:rPr>
        <w:t>ZJXG2023026</w:t>
      </w:r>
    </w:p>
    <w:p>
      <w:pPr>
        <w:spacing w:line="560" w:lineRule="exact"/>
        <w:ind w:firstLine="656" w:firstLineChars="200"/>
        <w:jc w:val="both"/>
        <w:rPr>
          <w:rFonts w:ascii="宋体" w:hAnsi="宋体" w:eastAsia="宋体" w:cs="宋体"/>
          <w:color w:val="000000" w:themeColor="text1"/>
          <w:sz w:val="32"/>
          <w:szCs w:val="32"/>
          <w:highlight w:val="none"/>
          <w14:textFill>
            <w14:solidFill>
              <w14:schemeClr w14:val="tx1"/>
            </w14:solidFill>
          </w14:textFill>
        </w:rPr>
      </w:pPr>
    </w:p>
    <w:p>
      <w:pPr>
        <w:spacing w:line="560" w:lineRule="exact"/>
        <w:jc w:val="both"/>
        <w:rPr>
          <w:rFonts w:ascii="宋体" w:hAnsi="宋体" w:eastAsia="宋体" w:cs="宋体"/>
          <w:color w:val="000000" w:themeColor="text1"/>
          <w:sz w:val="32"/>
          <w:szCs w:val="32"/>
          <w:highlight w:val="none"/>
          <w14:textFill>
            <w14:solidFill>
              <w14:schemeClr w14:val="tx1"/>
            </w14:solidFill>
          </w14:textFill>
        </w:rPr>
      </w:pPr>
    </w:p>
    <w:p>
      <w:pPr>
        <w:spacing w:line="560" w:lineRule="exact"/>
        <w:ind w:firstLine="656" w:firstLineChars="200"/>
        <w:jc w:val="both"/>
        <w:rPr>
          <w:rFonts w:ascii="宋体" w:hAnsi="宋体" w:eastAsia="宋体" w:cs="宋体"/>
          <w:color w:val="000000" w:themeColor="text1"/>
          <w:sz w:val="32"/>
          <w:szCs w:val="32"/>
          <w:highlight w:val="none"/>
          <w14:textFill>
            <w14:solidFill>
              <w14:schemeClr w14:val="tx1"/>
            </w14:solidFill>
          </w14:textFill>
        </w:rPr>
      </w:pPr>
    </w:p>
    <w:p>
      <w:pPr>
        <w:spacing w:line="560" w:lineRule="exact"/>
        <w:ind w:firstLine="656" w:firstLineChars="200"/>
        <w:jc w:val="both"/>
        <w:rPr>
          <w:rFonts w:ascii="宋体" w:hAnsi="宋体" w:eastAsia="宋体" w:cs="宋体"/>
          <w:color w:val="000000" w:themeColor="text1"/>
          <w:sz w:val="32"/>
          <w:szCs w:val="32"/>
          <w:highlight w:val="none"/>
          <w14:textFill>
            <w14:solidFill>
              <w14:schemeClr w14:val="tx1"/>
            </w14:solidFill>
          </w14:textFill>
        </w:rPr>
      </w:pPr>
    </w:p>
    <w:p>
      <w:pPr>
        <w:spacing w:line="560" w:lineRule="exact"/>
        <w:ind w:firstLine="656" w:firstLineChars="200"/>
        <w:jc w:val="both"/>
        <w:rPr>
          <w:rFonts w:ascii="宋体" w:hAnsi="宋体" w:eastAsia="宋体" w:cs="宋体"/>
          <w:color w:val="000000" w:themeColor="text1"/>
          <w:sz w:val="32"/>
          <w:szCs w:val="32"/>
          <w:highlight w:val="none"/>
          <w14:textFill>
            <w14:solidFill>
              <w14:schemeClr w14:val="tx1"/>
            </w14:solidFill>
          </w14:textFill>
        </w:rPr>
      </w:pPr>
    </w:p>
    <w:p>
      <w:pPr>
        <w:spacing w:line="560" w:lineRule="exact"/>
        <w:ind w:firstLine="656" w:firstLineChars="200"/>
        <w:jc w:val="both"/>
        <w:rPr>
          <w:rFonts w:ascii="宋体" w:hAnsi="宋体" w:eastAsia="宋体" w:cs="宋体"/>
          <w:color w:val="000000" w:themeColor="text1"/>
          <w:sz w:val="32"/>
          <w:szCs w:val="32"/>
          <w:highlight w:val="none"/>
          <w14:textFill>
            <w14:solidFill>
              <w14:schemeClr w14:val="tx1"/>
            </w14:solidFill>
          </w14:textFill>
        </w:rPr>
      </w:pPr>
    </w:p>
    <w:p>
      <w:pPr>
        <w:snapToGrid w:val="0"/>
        <w:spacing w:line="480" w:lineRule="auto"/>
        <w:ind w:firstLine="1152" w:firstLineChars="4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val="zh-CN"/>
          <w14:textFill>
            <w14:solidFill>
              <w14:schemeClr w14:val="tx1"/>
            </w14:solidFill>
          </w14:textFill>
        </w:rPr>
        <w:t>供应商（单位名称及公章）：</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snapToGrid w:val="0"/>
        <w:spacing w:line="480" w:lineRule="auto"/>
        <w:ind w:firstLine="1152" w:firstLineChars="400"/>
        <w:jc w:val="both"/>
        <w:rPr>
          <w:rFonts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法定代表人或被授权人（签字或盖章）：</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snapToGrid w:val="0"/>
        <w:spacing w:line="480" w:lineRule="auto"/>
        <w:ind w:firstLine="1152" w:firstLineChars="400"/>
        <w:rPr>
          <w:rFonts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日   期</w:t>
      </w:r>
      <w:r>
        <w:rPr>
          <w:rFonts w:hint="eastAsia" w:ascii="宋体" w:hAnsi="宋体" w:eastAsia="宋体" w:cs="宋体"/>
          <w:color w:val="000000" w:themeColor="text1"/>
          <w:sz w:val="28"/>
          <w:szCs w:val="28"/>
          <w:highlight w:val="none"/>
          <w:lang w:val="zh-CN"/>
          <w14:textFill>
            <w14:solidFill>
              <w14:schemeClr w14:val="tx1"/>
            </w14:solidFill>
          </w14:textFill>
        </w:rPr>
        <w:t>：</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spacing w:line="560" w:lineRule="exact"/>
        <w:ind w:firstLine="656" w:firstLineChars="200"/>
        <w:jc w:val="both"/>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br w:type="page"/>
      </w:r>
    </w:p>
    <w:p>
      <w:pPr>
        <w:spacing w:line="560" w:lineRule="exact"/>
        <w:ind w:firstLine="896" w:firstLineChars="200"/>
        <w:jc w:val="center"/>
        <w:rPr>
          <w:rFonts w:ascii="宋体" w:hAnsi="宋体" w:eastAsia="宋体" w:cs="宋体"/>
          <w:color w:val="000000" w:themeColor="text1"/>
          <w:sz w:val="44"/>
          <w:szCs w:val="44"/>
          <w:highlight w:val="none"/>
          <w14:textFill>
            <w14:solidFill>
              <w14:schemeClr w14:val="tx1"/>
            </w14:solidFill>
          </w14:textFill>
        </w:rPr>
      </w:pPr>
    </w:p>
    <w:p>
      <w:pPr>
        <w:spacing w:line="560" w:lineRule="exact"/>
        <w:ind w:firstLine="896" w:firstLineChars="200"/>
        <w:jc w:val="center"/>
        <w:rPr>
          <w:rFonts w:ascii="宋体" w:hAnsi="宋体" w:eastAsia="宋体" w:cs="宋体"/>
          <w:color w:val="000000" w:themeColor="text1"/>
          <w:sz w:val="44"/>
          <w:szCs w:val="44"/>
          <w:highlight w:val="none"/>
          <w14:textFill>
            <w14:solidFill>
              <w14:schemeClr w14:val="tx1"/>
            </w14:solidFill>
          </w14:textFill>
        </w:rPr>
      </w:pPr>
      <w:bookmarkStart w:id="229" w:name="_Toc28284"/>
      <w:r>
        <w:rPr>
          <w:rFonts w:hint="eastAsia" w:ascii="宋体" w:hAnsi="宋体" w:eastAsia="宋体" w:cs="宋体"/>
          <w:color w:val="000000" w:themeColor="text1"/>
          <w:sz w:val="44"/>
          <w:szCs w:val="44"/>
          <w:highlight w:val="none"/>
          <w14:textFill>
            <w14:solidFill>
              <w14:schemeClr w14:val="tx1"/>
            </w14:solidFill>
          </w14:textFill>
        </w:rPr>
        <w:t>目    录</w:t>
      </w:r>
      <w:bookmarkEnd w:id="229"/>
    </w:p>
    <w:p>
      <w:pPr>
        <w:spacing w:line="560" w:lineRule="exact"/>
        <w:ind w:firstLine="656" w:firstLineChars="200"/>
        <w:jc w:val="both"/>
        <w:rPr>
          <w:rFonts w:ascii="宋体" w:hAnsi="宋体" w:eastAsia="宋体" w:cs="宋体"/>
          <w:color w:val="000000" w:themeColor="text1"/>
          <w:sz w:val="32"/>
          <w:szCs w:val="32"/>
          <w:highlight w:val="none"/>
          <w14:textFill>
            <w14:solidFill>
              <w14:schemeClr w14:val="tx1"/>
            </w14:solidFill>
          </w14:textFill>
        </w:rPr>
      </w:pPr>
    </w:p>
    <w:p>
      <w:pPr>
        <w:pStyle w:val="20"/>
        <w:snapToGrid w:val="0"/>
        <w:spacing w:line="480" w:lineRule="auto"/>
        <w:ind w:firstLine="576" w:firstLineChars="200"/>
        <w:rPr>
          <w:rFonts w:hAnsi="宋体" w:eastAsia="宋体" w:cs="宋体"/>
          <w:b/>
          <w:bCs/>
          <w:color w:val="000000" w:themeColor="text1"/>
          <w:sz w:val="28"/>
          <w:szCs w:val="28"/>
          <w:highlight w:val="none"/>
          <w14:textFill>
            <w14:solidFill>
              <w14:schemeClr w14:val="tx1"/>
            </w14:solidFill>
          </w14:textFill>
        </w:rPr>
      </w:pPr>
      <w:r>
        <w:rPr>
          <w:rFonts w:hint="eastAsia" w:hAnsi="宋体" w:eastAsia="宋体" w:cs="宋体"/>
          <w:b/>
          <w:bCs/>
          <w:color w:val="000000" w:themeColor="text1"/>
          <w:sz w:val="28"/>
          <w:szCs w:val="28"/>
          <w:highlight w:val="none"/>
          <w14:textFill>
            <w14:solidFill>
              <w14:schemeClr w14:val="tx1"/>
            </w14:solidFill>
          </w14:textFill>
        </w:rPr>
        <w:t>第一部分   投标函</w:t>
      </w:r>
    </w:p>
    <w:p>
      <w:pPr>
        <w:snapToGrid w:val="0"/>
        <w:spacing w:line="480" w:lineRule="auto"/>
        <w:ind w:firstLine="576" w:firstLineChars="200"/>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第二</w:t>
      </w:r>
      <w:r>
        <w:rPr>
          <w:rFonts w:hint="eastAsia" w:ascii="宋体" w:hAnsi="宋体" w:eastAsia="宋体" w:cs="宋体"/>
          <w:b/>
          <w:bCs/>
          <w:color w:val="000000" w:themeColor="text1"/>
          <w:sz w:val="28"/>
          <w:szCs w:val="28"/>
          <w:highlight w:val="none"/>
          <w14:textFill>
            <w14:solidFill>
              <w14:schemeClr w14:val="tx1"/>
            </w14:solidFill>
          </w14:textFill>
        </w:rPr>
        <w:t>部分</w:t>
      </w:r>
      <w:r>
        <w:rPr>
          <w:rFonts w:hint="eastAsia" w:ascii="宋体" w:hAnsi="宋体" w:eastAsia="宋体" w:cs="宋体"/>
          <w:b/>
          <w:color w:val="000000" w:themeColor="text1"/>
          <w:sz w:val="28"/>
          <w:szCs w:val="28"/>
          <w:highlight w:val="none"/>
          <w14:textFill>
            <w14:solidFill>
              <w14:schemeClr w14:val="tx1"/>
            </w14:solidFill>
          </w14:textFill>
        </w:rPr>
        <w:t xml:space="preserve">   开标一览表 </w:t>
      </w:r>
    </w:p>
    <w:p>
      <w:pPr>
        <w:pStyle w:val="20"/>
        <w:snapToGrid w:val="0"/>
        <w:spacing w:line="480" w:lineRule="auto"/>
        <w:ind w:firstLine="576" w:firstLineChars="200"/>
        <w:rPr>
          <w:rFonts w:hAnsi="宋体" w:eastAsia="宋体" w:cs="宋体"/>
          <w:b/>
          <w:bCs/>
          <w:color w:val="000000" w:themeColor="text1"/>
          <w:sz w:val="28"/>
          <w:szCs w:val="28"/>
          <w:highlight w:val="none"/>
          <w14:textFill>
            <w14:solidFill>
              <w14:schemeClr w14:val="tx1"/>
            </w14:solidFill>
          </w14:textFill>
        </w:rPr>
      </w:pPr>
      <w:r>
        <w:rPr>
          <w:rFonts w:hint="eastAsia" w:hAnsi="宋体" w:eastAsia="宋体" w:cs="宋体"/>
          <w:b/>
          <w:bCs/>
          <w:color w:val="000000" w:themeColor="text1"/>
          <w:sz w:val="28"/>
          <w:szCs w:val="28"/>
          <w:highlight w:val="none"/>
          <w14:textFill>
            <w14:solidFill>
              <w14:schemeClr w14:val="tx1"/>
            </w14:solidFill>
          </w14:textFill>
        </w:rPr>
        <w:t xml:space="preserve">第三部分   </w:t>
      </w:r>
      <w:r>
        <w:rPr>
          <w:rFonts w:hint="eastAsia" w:hAnsi="宋体" w:eastAsia="宋体" w:cs="宋体"/>
          <w:b/>
          <w:color w:val="000000" w:themeColor="text1"/>
          <w:sz w:val="28"/>
          <w:szCs w:val="28"/>
          <w:highlight w:val="none"/>
          <w14:textFill>
            <w14:solidFill>
              <w14:schemeClr w14:val="tx1"/>
            </w14:solidFill>
          </w14:textFill>
        </w:rPr>
        <w:t>供应商资质证明资料</w:t>
      </w:r>
    </w:p>
    <w:p>
      <w:pPr>
        <w:pStyle w:val="20"/>
        <w:snapToGrid w:val="0"/>
        <w:spacing w:line="480" w:lineRule="auto"/>
        <w:ind w:firstLine="576" w:firstLineChars="200"/>
        <w:rPr>
          <w:rFonts w:hAnsi="宋体" w:eastAsia="宋体" w:cs="宋体"/>
          <w:b/>
          <w:bCs/>
          <w:color w:val="000000" w:themeColor="text1"/>
          <w:sz w:val="28"/>
          <w:szCs w:val="28"/>
          <w:highlight w:val="none"/>
          <w14:textFill>
            <w14:solidFill>
              <w14:schemeClr w14:val="tx1"/>
            </w14:solidFill>
          </w14:textFill>
        </w:rPr>
      </w:pPr>
      <w:r>
        <w:rPr>
          <w:rFonts w:hint="eastAsia" w:hAnsi="宋体" w:eastAsia="宋体" w:cs="宋体"/>
          <w:b/>
          <w:color w:val="000000" w:themeColor="text1"/>
          <w:sz w:val="28"/>
          <w:szCs w:val="28"/>
          <w:highlight w:val="none"/>
          <w14:textFill>
            <w14:solidFill>
              <w14:schemeClr w14:val="tx1"/>
            </w14:solidFill>
          </w14:textFill>
        </w:rPr>
        <w:t>第四</w:t>
      </w:r>
      <w:r>
        <w:rPr>
          <w:rFonts w:hint="eastAsia" w:hAnsi="宋体" w:eastAsia="宋体" w:cs="宋体"/>
          <w:b/>
          <w:bCs/>
          <w:color w:val="000000" w:themeColor="text1"/>
          <w:sz w:val="28"/>
          <w:szCs w:val="28"/>
          <w:highlight w:val="none"/>
          <w14:textFill>
            <w14:solidFill>
              <w14:schemeClr w14:val="tx1"/>
            </w14:solidFill>
          </w14:textFill>
        </w:rPr>
        <w:t>部分</w:t>
      </w:r>
      <w:r>
        <w:rPr>
          <w:rFonts w:hint="eastAsia" w:hAnsi="宋体" w:eastAsia="宋体" w:cs="宋体"/>
          <w:b/>
          <w:color w:val="000000" w:themeColor="text1"/>
          <w:sz w:val="28"/>
          <w:szCs w:val="28"/>
          <w:highlight w:val="none"/>
          <w14:textFill>
            <w14:solidFill>
              <w14:schemeClr w14:val="tx1"/>
            </w14:solidFill>
          </w14:textFill>
        </w:rPr>
        <w:t xml:space="preserve">   供应商概况</w:t>
      </w:r>
    </w:p>
    <w:p>
      <w:pPr>
        <w:pStyle w:val="20"/>
        <w:snapToGrid w:val="0"/>
        <w:spacing w:line="480" w:lineRule="auto"/>
        <w:ind w:firstLine="576" w:firstLineChars="200"/>
        <w:rPr>
          <w:rFonts w:hAnsi="宋体" w:eastAsia="宋体" w:cs="宋体"/>
          <w:b/>
          <w:color w:val="000000" w:themeColor="text1"/>
          <w:sz w:val="28"/>
          <w:szCs w:val="28"/>
          <w:highlight w:val="none"/>
          <w14:textFill>
            <w14:solidFill>
              <w14:schemeClr w14:val="tx1"/>
            </w14:solidFill>
          </w14:textFill>
        </w:rPr>
      </w:pPr>
      <w:r>
        <w:rPr>
          <w:rFonts w:hint="eastAsia" w:hAnsi="宋体" w:eastAsia="宋体" w:cs="宋体"/>
          <w:b/>
          <w:color w:val="000000" w:themeColor="text1"/>
          <w:sz w:val="28"/>
          <w:szCs w:val="28"/>
          <w:highlight w:val="none"/>
          <w14:textFill>
            <w14:solidFill>
              <w14:schemeClr w14:val="tx1"/>
            </w14:solidFill>
          </w14:textFill>
        </w:rPr>
        <w:t>第五</w:t>
      </w:r>
      <w:r>
        <w:rPr>
          <w:rFonts w:hint="eastAsia" w:hAnsi="宋体" w:eastAsia="宋体" w:cs="宋体"/>
          <w:b/>
          <w:bCs/>
          <w:color w:val="000000" w:themeColor="text1"/>
          <w:sz w:val="28"/>
          <w:szCs w:val="28"/>
          <w:highlight w:val="none"/>
          <w14:textFill>
            <w14:solidFill>
              <w14:schemeClr w14:val="tx1"/>
            </w14:solidFill>
          </w14:textFill>
        </w:rPr>
        <w:t>部分</w:t>
      </w:r>
      <w:r>
        <w:rPr>
          <w:rFonts w:hint="eastAsia" w:hAnsi="宋体" w:eastAsia="宋体" w:cs="宋体"/>
          <w:b/>
          <w:color w:val="000000" w:themeColor="text1"/>
          <w:sz w:val="28"/>
          <w:szCs w:val="28"/>
          <w:highlight w:val="none"/>
          <w14:textFill>
            <w14:solidFill>
              <w14:schemeClr w14:val="tx1"/>
            </w14:solidFill>
          </w14:textFill>
        </w:rPr>
        <w:t xml:space="preserve">   </w:t>
      </w:r>
      <w:r>
        <w:rPr>
          <w:rFonts w:hint="eastAsia" w:hAnsi="宋体" w:eastAsia="宋体" w:cs="宋体"/>
          <w:b/>
          <w:color w:val="000000" w:themeColor="text1"/>
          <w:sz w:val="28"/>
          <w:szCs w:val="28"/>
          <w:highlight w:val="none"/>
          <w:lang w:val="en-US" w:eastAsia="zh-CN"/>
          <w14:textFill>
            <w14:solidFill>
              <w14:schemeClr w14:val="tx1"/>
            </w14:solidFill>
          </w14:textFill>
        </w:rPr>
        <w:t>投标</w:t>
      </w:r>
      <w:r>
        <w:rPr>
          <w:rFonts w:hint="eastAsia" w:hAnsi="宋体" w:eastAsia="宋体" w:cs="宋体"/>
          <w:b/>
          <w:color w:val="000000" w:themeColor="text1"/>
          <w:sz w:val="28"/>
          <w:szCs w:val="28"/>
          <w:highlight w:val="none"/>
          <w14:textFill>
            <w14:solidFill>
              <w14:schemeClr w14:val="tx1"/>
            </w14:solidFill>
          </w14:textFill>
        </w:rPr>
        <w:t>方案</w:t>
      </w:r>
    </w:p>
    <w:p>
      <w:pPr>
        <w:pStyle w:val="20"/>
        <w:snapToGrid w:val="0"/>
        <w:spacing w:line="480" w:lineRule="auto"/>
        <w:ind w:firstLine="576" w:firstLineChars="200"/>
        <w:rPr>
          <w:rFonts w:hAnsi="宋体" w:eastAsia="宋体" w:cs="宋体"/>
          <w:b/>
          <w:color w:val="000000" w:themeColor="text1"/>
          <w:sz w:val="28"/>
          <w:szCs w:val="28"/>
          <w:highlight w:val="none"/>
          <w14:textFill>
            <w14:solidFill>
              <w14:schemeClr w14:val="tx1"/>
            </w14:solidFill>
          </w14:textFill>
        </w:rPr>
      </w:pPr>
      <w:r>
        <w:rPr>
          <w:rFonts w:hint="eastAsia" w:hAnsi="宋体" w:eastAsia="宋体" w:cs="宋体"/>
          <w:b/>
          <w:color w:val="000000" w:themeColor="text1"/>
          <w:sz w:val="28"/>
          <w:szCs w:val="28"/>
          <w:highlight w:val="none"/>
          <w14:textFill>
            <w14:solidFill>
              <w14:schemeClr w14:val="tx1"/>
            </w14:solidFill>
          </w14:textFill>
        </w:rPr>
        <w:t>第六</w:t>
      </w:r>
      <w:r>
        <w:rPr>
          <w:rFonts w:hint="eastAsia" w:hAnsi="宋体" w:eastAsia="宋体" w:cs="宋体"/>
          <w:b/>
          <w:bCs/>
          <w:color w:val="000000" w:themeColor="text1"/>
          <w:sz w:val="28"/>
          <w:szCs w:val="28"/>
          <w:highlight w:val="none"/>
          <w14:textFill>
            <w14:solidFill>
              <w14:schemeClr w14:val="tx1"/>
            </w14:solidFill>
          </w14:textFill>
        </w:rPr>
        <w:t>部分</w:t>
      </w:r>
      <w:r>
        <w:rPr>
          <w:rFonts w:hint="eastAsia" w:hAnsi="宋体" w:eastAsia="宋体" w:cs="宋体"/>
          <w:b/>
          <w:color w:val="000000" w:themeColor="text1"/>
          <w:sz w:val="28"/>
          <w:szCs w:val="28"/>
          <w:highlight w:val="none"/>
          <w14:textFill>
            <w14:solidFill>
              <w14:schemeClr w14:val="tx1"/>
            </w14:solidFill>
          </w14:textFill>
        </w:rPr>
        <w:t xml:space="preserve">   商务和技术响应偏离表</w:t>
      </w:r>
    </w:p>
    <w:p>
      <w:pPr>
        <w:pStyle w:val="20"/>
        <w:snapToGrid w:val="0"/>
        <w:spacing w:line="480" w:lineRule="auto"/>
        <w:ind w:firstLine="576" w:firstLineChars="200"/>
        <w:rPr>
          <w:rFonts w:hAnsi="宋体" w:eastAsia="宋体" w:cs="宋体"/>
          <w:b/>
          <w:color w:val="000000" w:themeColor="text1"/>
          <w:sz w:val="28"/>
          <w:szCs w:val="28"/>
          <w:highlight w:val="none"/>
          <w14:textFill>
            <w14:solidFill>
              <w14:schemeClr w14:val="tx1"/>
            </w14:solidFill>
          </w14:textFill>
        </w:rPr>
      </w:pPr>
      <w:r>
        <w:rPr>
          <w:rFonts w:hint="eastAsia" w:hAnsi="宋体" w:eastAsia="宋体" w:cs="宋体"/>
          <w:b/>
          <w:color w:val="000000" w:themeColor="text1"/>
          <w:sz w:val="28"/>
          <w:szCs w:val="28"/>
          <w:highlight w:val="none"/>
          <w14:textFill>
            <w14:solidFill>
              <w14:schemeClr w14:val="tx1"/>
            </w14:solidFill>
          </w14:textFill>
        </w:rPr>
        <w:t>第七部分   供应商认为有必要说明的其他问题</w:t>
      </w:r>
    </w:p>
    <w:p>
      <w:pPr>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p>
    <w:p>
      <w:pPr>
        <w:pStyle w:val="8"/>
        <w:ind w:firstLine="657"/>
        <w:jc w:val="center"/>
        <w:rPr>
          <w:rFonts w:ascii="宋体" w:hAnsi="宋体" w:eastAsia="宋体" w:cs="宋体"/>
          <w:color w:val="000000" w:themeColor="text1"/>
          <w:highlight w:val="none"/>
          <w14:textFill>
            <w14:solidFill>
              <w14:schemeClr w14:val="tx1"/>
            </w14:solidFill>
          </w14:textFill>
        </w:rPr>
      </w:pPr>
      <w:bookmarkStart w:id="230" w:name="_Toc9160"/>
      <w:bookmarkStart w:id="231" w:name="_Toc22015"/>
      <w:r>
        <w:rPr>
          <w:rFonts w:hint="eastAsia" w:ascii="宋体" w:hAnsi="宋体" w:eastAsia="宋体" w:cs="宋体"/>
          <w:color w:val="000000" w:themeColor="text1"/>
          <w:highlight w:val="none"/>
          <w14:textFill>
            <w14:solidFill>
              <w14:schemeClr w14:val="tx1"/>
            </w14:solidFill>
          </w14:textFill>
        </w:rPr>
        <w:t>第一部分  投标函</w:t>
      </w:r>
      <w:bookmarkEnd w:id="230"/>
      <w:bookmarkEnd w:id="231"/>
    </w:p>
    <w:p>
      <w:pPr>
        <w:spacing w:line="560" w:lineRule="exact"/>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eastAsia="zh-CN"/>
          <w14:textFill>
            <w14:solidFill>
              <w14:schemeClr w14:val="tx1"/>
            </w14:solidFill>
          </w14:textFill>
        </w:rPr>
        <w:t>陕西中鉴项目管理有限公司</w:t>
      </w:r>
      <w:r>
        <w:rPr>
          <w:rFonts w:hint="eastAsia" w:ascii="宋体" w:hAnsi="宋体" w:eastAsia="宋体" w:cs="宋体"/>
          <w:color w:val="000000" w:themeColor="text1"/>
          <w:sz w:val="28"/>
          <w:szCs w:val="28"/>
          <w:highlight w:val="none"/>
          <w14:textFill>
            <w14:solidFill>
              <w14:schemeClr w14:val="tx1"/>
            </w14:solidFill>
          </w14:textFill>
        </w:rPr>
        <w:t>：</w:t>
      </w:r>
    </w:p>
    <w:p>
      <w:pPr>
        <w:spacing w:line="560" w:lineRule="exact"/>
        <w:ind w:firstLine="576" w:firstLineChars="2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我单位收到项目名称为：</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（项目编号为</w:t>
      </w:r>
      <w:r>
        <w:rPr>
          <w:rFonts w:hint="eastAsia" w:ascii="宋体" w:hAnsi="宋体" w:eastAsia="宋体" w:cs="宋体"/>
          <w:color w:val="000000" w:themeColor="text1"/>
          <w:sz w:val="28"/>
          <w:szCs w:val="28"/>
          <w:highlight w:val="none"/>
          <w:u w:val="none"/>
          <w14:textFill>
            <w14:solidFill>
              <w14:schemeClr w14:val="tx1"/>
            </w14:solidFill>
          </w14:textFill>
        </w:rPr>
        <w:t>：</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 的招标文件，经详细研究，我公司决定参加本次招标活动。为此，我方郑重承诺以下诸点，并负法律责任。</w:t>
      </w:r>
    </w:p>
    <w:p>
      <w:pPr>
        <w:spacing w:line="560" w:lineRule="exact"/>
        <w:ind w:firstLine="576"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1．我方已详细阅读了招标文件，完全理解并同意招标文件的所有事项及内容。</w:t>
      </w:r>
    </w:p>
    <w:p>
      <w:pPr>
        <w:spacing w:line="560" w:lineRule="exact"/>
        <w:ind w:firstLine="576"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我方已悉知并及时关注了贵单位在陕西省政府采购网、全国公共资源交易平台（陕西省·西安市）上发布的关于本项目的有关变更公告（包括但不限于对招标文件做出的修改或澄清、答疑纪要，以及项目暂停、重启、延期、终止等）。</w:t>
      </w:r>
    </w:p>
    <w:p>
      <w:pPr>
        <w:spacing w:line="560" w:lineRule="exact"/>
        <w:ind w:firstLine="576"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3．我方同意向贵单位提供与本次招标有关的全部证明材料，并保证所提交的证明材料真实、合法、有效。</w:t>
      </w:r>
    </w:p>
    <w:p>
      <w:pPr>
        <w:spacing w:line="560" w:lineRule="exact"/>
        <w:ind w:firstLine="576"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4．我方理解最低价不是中标的唯一条件，并尊重评标委员会的评审结果。</w:t>
      </w:r>
    </w:p>
    <w:p>
      <w:pPr>
        <w:spacing w:line="560" w:lineRule="exact"/>
        <w:ind w:firstLine="576"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5．我方投标文件在开启之日起___个日历日（应不少于90个日历日）内有效。</w:t>
      </w:r>
    </w:p>
    <w:p>
      <w:pPr>
        <w:spacing w:line="560" w:lineRule="exact"/>
        <w:ind w:firstLine="576"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6．若我方中标，我方承诺：（1）将投标文件有效期延长至合同执行完毕。（2）遵照招标文件中的要求，完成本项目的合同责任和义务。</w:t>
      </w:r>
    </w:p>
    <w:p>
      <w:pPr>
        <w:spacing w:line="560" w:lineRule="exact"/>
        <w:ind w:firstLine="576"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7．所有关于此次招标活动的函电，请按下列方式联系：</w:t>
      </w:r>
    </w:p>
    <w:p>
      <w:pPr>
        <w:spacing w:line="560" w:lineRule="exact"/>
        <w:ind w:firstLine="576"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供应商：（供应商全称并加盖公章）</w:t>
      </w:r>
    </w:p>
    <w:p>
      <w:pPr>
        <w:spacing w:line="560" w:lineRule="exact"/>
        <w:ind w:firstLine="576"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法定代表人或委托代理人：（签字或盖章）</w:t>
      </w:r>
    </w:p>
    <w:p>
      <w:pPr>
        <w:spacing w:line="560" w:lineRule="exact"/>
        <w:ind w:firstLine="576"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联系电话：</w:t>
      </w:r>
    </w:p>
    <w:p>
      <w:pPr>
        <w:spacing w:line="560" w:lineRule="exact"/>
        <w:ind w:firstLine="576"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通讯地址：</w:t>
      </w:r>
    </w:p>
    <w:p>
      <w:pPr>
        <w:spacing w:line="560" w:lineRule="exact"/>
        <w:ind w:firstLine="576"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邮    编：</w:t>
      </w:r>
    </w:p>
    <w:p>
      <w:pPr>
        <w:spacing w:line="560" w:lineRule="exact"/>
        <w:ind w:firstLine="576"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电子邮箱：</w:t>
      </w:r>
    </w:p>
    <w:p>
      <w:pPr>
        <w:spacing w:line="560" w:lineRule="exact"/>
        <w:ind w:firstLine="576" w:firstLineChars="200"/>
        <w:jc w:val="both"/>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日    期：    年  </w:t>
      </w: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月</w:t>
      </w: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 xml:space="preserve">  日</w:t>
      </w:r>
    </w:p>
    <w:p>
      <w:pPr>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p>
    <w:p>
      <w:pPr>
        <w:pStyle w:val="8"/>
        <w:numPr>
          <w:ilvl w:val="0"/>
          <w:numId w:val="2"/>
        </w:numPr>
        <w:ind w:firstLine="657"/>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w:t>
      </w:r>
      <w:bookmarkStart w:id="232" w:name="_Toc9518"/>
      <w:bookmarkStart w:id="233" w:name="_Toc3282"/>
      <w:r>
        <w:rPr>
          <w:rFonts w:hint="eastAsia" w:ascii="宋体" w:hAnsi="宋体" w:eastAsia="宋体" w:cs="宋体"/>
          <w:color w:val="000000" w:themeColor="text1"/>
          <w:highlight w:val="none"/>
          <w14:textFill>
            <w14:solidFill>
              <w14:schemeClr w14:val="tx1"/>
            </w14:solidFill>
          </w14:textFill>
        </w:rPr>
        <w:t>开标一览表</w:t>
      </w:r>
      <w:bookmarkEnd w:id="232"/>
      <w:bookmarkEnd w:id="233"/>
    </w:p>
    <w:p>
      <w:pPr>
        <w:wordWrap w:val="0"/>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项目名称：</w:t>
      </w:r>
      <w:r>
        <w:rPr>
          <w:rFonts w:hint="eastAsia" w:ascii="宋体" w:hAnsi="宋体" w:eastAsia="宋体" w:cs="宋体"/>
          <w:kern w:val="0"/>
          <w:sz w:val="24"/>
          <w:szCs w:val="24"/>
          <w:lang w:eastAsia="zh-CN"/>
        </w:rPr>
        <w:t>未央宫街道遗址区“六村三校”农村饮水安全巩固提升工程材料购置</w:t>
      </w:r>
      <w:r>
        <w:rPr>
          <w:rFonts w:hint="eastAsia" w:ascii="宋体" w:hAnsi="宋体" w:eastAsia="宋体" w:cs="宋体"/>
          <w:color w:val="000000" w:themeColor="text1"/>
          <w:highlight w:val="none"/>
          <w14:textFill>
            <w14:solidFill>
              <w14:schemeClr w14:val="tx1"/>
            </w14:solidFill>
          </w14:textFill>
        </w:rPr>
        <w:t xml:space="preserve">   </w:t>
      </w:r>
    </w:p>
    <w:p>
      <w:pPr>
        <w:wordWrap w:val="0"/>
        <w:spacing w:line="360" w:lineRule="auto"/>
        <w:rPr>
          <w:rFonts w:hint="eastAsia" w:ascii="宋体" w:hAnsi="宋体" w:eastAsia="宋体" w:cs="宋体"/>
          <w:color w:val="000000" w:themeColor="text1"/>
          <w:highlight w:val="none"/>
          <w:u w:val="single"/>
          <w:lang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项目编号：</w:t>
      </w:r>
      <w:r>
        <w:rPr>
          <w:rFonts w:hint="eastAsia" w:ascii="宋体" w:hAnsi="宋体" w:eastAsia="宋体" w:cs="宋体"/>
          <w:color w:val="000000" w:themeColor="text1"/>
          <w:highlight w:val="none"/>
          <w:u w:val="single"/>
          <w:lang w:eastAsia="zh-CN"/>
          <w14:textFill>
            <w14:solidFill>
              <w14:schemeClr w14:val="tx1"/>
            </w14:solidFill>
          </w14:textFill>
        </w:rPr>
        <w:t>ZJXG2023026</w:t>
      </w:r>
    </w:p>
    <w:p>
      <w:pPr>
        <w:kinsoku w:val="0"/>
        <w:spacing w:line="360" w:lineRule="auto"/>
        <w:rPr>
          <w:rFonts w:ascii="宋体" w:hAnsi="宋体" w:eastAsia="宋体" w:cs="宋体"/>
          <w:b/>
          <w:bCs/>
          <w:color w:val="000000" w:themeColor="text1"/>
          <w:spacing w:val="20"/>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单    位：元</w:t>
      </w:r>
    </w:p>
    <w:tbl>
      <w:tblPr>
        <w:tblStyle w:val="34"/>
        <w:tblW w:w="10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485"/>
        <w:gridCol w:w="2875"/>
        <w:gridCol w:w="2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2259" w:type="dxa"/>
            <w:tcBorders>
              <w:tl2br w:val="single" w:color="auto" w:sz="4" w:space="0"/>
            </w:tcBorders>
          </w:tcPr>
          <w:p>
            <w:pPr>
              <w:kinsoku w:val="0"/>
              <w:spacing w:line="480" w:lineRule="auto"/>
              <w:ind w:firstLine="992" w:firstLineChars="40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报价内容</w:t>
            </w:r>
          </w:p>
          <w:p>
            <w:pPr>
              <w:kinsoku w:val="0"/>
              <w:spacing w:line="480" w:lineRule="auto"/>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投标内容</w:t>
            </w:r>
          </w:p>
        </w:tc>
        <w:tc>
          <w:tcPr>
            <w:tcW w:w="2485" w:type="dxa"/>
            <w:vAlign w:val="center"/>
          </w:tcPr>
          <w:p>
            <w:pPr>
              <w:kinsoku w:val="0"/>
              <w:spacing w:line="480" w:lineRule="auto"/>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投标总报价</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元</w:t>
            </w:r>
            <w:r>
              <w:rPr>
                <w:rFonts w:hint="eastAsia" w:ascii="宋体" w:hAnsi="宋体" w:eastAsia="宋体" w:cs="宋体"/>
                <w:color w:val="000000" w:themeColor="text1"/>
                <w:szCs w:val="21"/>
                <w:highlight w:val="none"/>
                <w:lang w:eastAsia="zh-CN"/>
                <w14:textFill>
                  <w14:solidFill>
                    <w14:schemeClr w14:val="tx1"/>
                  </w14:solidFill>
                </w14:textFill>
              </w:rPr>
              <w:t>）</w:t>
            </w:r>
          </w:p>
        </w:tc>
        <w:tc>
          <w:tcPr>
            <w:tcW w:w="2875" w:type="dxa"/>
            <w:vAlign w:val="center"/>
          </w:tcPr>
          <w:p>
            <w:pPr>
              <w:kinsoku w:val="0"/>
              <w:spacing w:line="480" w:lineRule="auto"/>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交货期</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日历日</w:t>
            </w:r>
            <w:r>
              <w:rPr>
                <w:rFonts w:hint="eastAsia" w:ascii="宋体" w:hAnsi="宋体" w:eastAsia="宋体" w:cs="宋体"/>
                <w:color w:val="000000" w:themeColor="text1"/>
                <w:szCs w:val="21"/>
                <w:highlight w:val="none"/>
                <w:lang w:eastAsia="zh-CN"/>
                <w14:textFill>
                  <w14:solidFill>
                    <w14:schemeClr w14:val="tx1"/>
                  </w14:solidFill>
                </w14:textFill>
              </w:rPr>
              <w:t>）</w:t>
            </w:r>
          </w:p>
        </w:tc>
        <w:tc>
          <w:tcPr>
            <w:tcW w:w="2799" w:type="dxa"/>
            <w:vAlign w:val="center"/>
          </w:tcPr>
          <w:p>
            <w:pPr>
              <w:kinsoku w:val="0"/>
              <w:spacing w:line="480" w:lineRule="auto"/>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质保期</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年</w:t>
            </w:r>
            <w:r>
              <w:rPr>
                <w:rFonts w:hint="eastAsia" w:ascii="宋体" w:hAnsi="宋体" w:eastAsia="宋体" w:cs="宋体"/>
                <w:color w:val="000000" w:themeColor="text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7" w:hRule="atLeast"/>
          <w:jc w:val="center"/>
        </w:trPr>
        <w:tc>
          <w:tcPr>
            <w:tcW w:w="2259" w:type="dxa"/>
            <w:vAlign w:val="center"/>
          </w:tcPr>
          <w:p>
            <w:pPr>
              <w:kinsoku w:val="0"/>
              <w:spacing w:line="480" w:lineRule="auto"/>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kern w:val="0"/>
                <w:sz w:val="24"/>
                <w:szCs w:val="24"/>
                <w:lang w:eastAsia="zh-CN"/>
              </w:rPr>
              <w:t>未央宫街道遗址区“六村三校”农村饮水安全巩固提升工程材料购置</w:t>
            </w:r>
          </w:p>
        </w:tc>
        <w:tc>
          <w:tcPr>
            <w:tcW w:w="2485" w:type="dxa"/>
            <w:vAlign w:val="center"/>
          </w:tcPr>
          <w:p>
            <w:pPr>
              <w:kinsoku w:val="0"/>
              <w:spacing w:line="480" w:lineRule="auto"/>
              <w:rPr>
                <w:rFonts w:ascii="宋体" w:hAnsi="宋体" w:eastAsia="宋体" w:cs="宋体"/>
                <w:color w:val="000000" w:themeColor="text1"/>
                <w:szCs w:val="21"/>
                <w:highlight w:val="none"/>
                <w14:textFill>
                  <w14:solidFill>
                    <w14:schemeClr w14:val="tx1"/>
                  </w14:solidFill>
                </w14:textFill>
              </w:rPr>
            </w:pPr>
          </w:p>
        </w:tc>
        <w:tc>
          <w:tcPr>
            <w:tcW w:w="2875" w:type="dxa"/>
            <w:vAlign w:val="center"/>
          </w:tcPr>
          <w:p>
            <w:pPr>
              <w:kinsoku w:val="0"/>
              <w:spacing w:line="480" w:lineRule="auto"/>
              <w:ind w:firstLine="496" w:firstLineChars="200"/>
              <w:rPr>
                <w:rFonts w:ascii="宋体" w:hAnsi="宋体" w:eastAsia="宋体" w:cs="宋体"/>
                <w:color w:val="000000" w:themeColor="text1"/>
                <w:szCs w:val="21"/>
                <w:highlight w:val="none"/>
                <w14:textFill>
                  <w14:solidFill>
                    <w14:schemeClr w14:val="tx1"/>
                  </w14:solidFill>
                </w14:textFill>
              </w:rPr>
            </w:pPr>
          </w:p>
        </w:tc>
        <w:tc>
          <w:tcPr>
            <w:tcW w:w="2799" w:type="dxa"/>
            <w:vAlign w:val="center"/>
          </w:tcPr>
          <w:p>
            <w:pPr>
              <w:kinsoku w:val="0"/>
              <w:spacing w:line="480" w:lineRule="auto"/>
              <w:ind w:firstLine="496" w:firstLineChars="200"/>
              <w:rPr>
                <w:rFonts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10418" w:type="dxa"/>
            <w:gridSpan w:val="4"/>
            <w:vAlign w:val="center"/>
          </w:tcPr>
          <w:p>
            <w:pPr>
              <w:kinsoku w:val="0"/>
              <w:spacing w:line="480" w:lineRule="auto"/>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投标总报价：人民币</w:t>
            </w:r>
            <w:r>
              <w:rPr>
                <w:rFonts w:hint="eastAsia" w:ascii="宋体" w:hAnsi="宋体" w:eastAsia="宋体" w:cs="宋体"/>
                <w:color w:val="000000" w:themeColor="text1"/>
                <w:szCs w:val="21"/>
                <w:highlight w:val="none"/>
                <w:u w:val="single"/>
                <w14:textFill>
                  <w14:solidFill>
                    <w14:schemeClr w14:val="tx1"/>
                  </w14:solidFill>
                </w14:textFill>
              </w:rPr>
              <w:t>（大写）                           （小写）￥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10418" w:type="dxa"/>
            <w:gridSpan w:val="4"/>
            <w:vAlign w:val="center"/>
          </w:tcPr>
          <w:p>
            <w:pPr>
              <w:kinsoku w:val="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备注：</w:t>
            </w:r>
          </w:p>
          <w:p>
            <w:pPr>
              <w:kinsoku w:val="0"/>
              <w:ind w:firstLine="496"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1、表内报价内容以元为单位，精确到小数点后两位。 </w:t>
            </w:r>
          </w:p>
          <w:p>
            <w:pPr>
              <w:ind w:firstLine="496"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2、交货期、质保期要求详见第三章招标内容及要求中一、商务条款。</w:t>
            </w:r>
          </w:p>
        </w:tc>
      </w:tr>
    </w:tbl>
    <w:p>
      <w:pPr>
        <w:tabs>
          <w:tab w:val="left" w:pos="4000"/>
        </w:tabs>
        <w:snapToGrid w:val="0"/>
        <w:spacing w:line="300" w:lineRule="auto"/>
        <w:rPr>
          <w:rFonts w:ascii="宋体" w:hAnsi="宋体" w:eastAsia="宋体" w:cs="宋体"/>
          <w:b/>
          <w:bCs/>
          <w:color w:val="000000" w:themeColor="text1"/>
          <w:spacing w:val="20"/>
          <w:sz w:val="28"/>
          <w:szCs w:val="28"/>
          <w:highlight w:val="none"/>
          <w14:textFill>
            <w14:solidFill>
              <w14:schemeClr w14:val="tx1"/>
            </w14:solidFill>
          </w14:textFill>
        </w:rPr>
      </w:pPr>
    </w:p>
    <w:p>
      <w:pPr>
        <w:adjustRightInd w:val="0"/>
        <w:snapToGrid w:val="0"/>
        <w:spacing w:line="480" w:lineRule="auto"/>
        <w:rPr>
          <w:rFonts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供应商（单位名称及公章）：</w:t>
      </w:r>
    </w:p>
    <w:p>
      <w:pPr>
        <w:adjustRightInd w:val="0"/>
        <w:snapToGrid w:val="0"/>
        <w:spacing w:line="480" w:lineRule="auto"/>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法定代表人或被授权人（签字或盖章）：</w:t>
      </w:r>
    </w:p>
    <w:p>
      <w:pPr>
        <w:adjustRightInd w:val="0"/>
        <w:snapToGrid w:val="0"/>
        <w:spacing w:line="480" w:lineRule="auto"/>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日    期：年  月  日</w:t>
      </w:r>
    </w:p>
    <w:p>
      <w:pPr>
        <w:spacing w:line="560" w:lineRule="exact"/>
        <w:ind w:firstLine="656" w:firstLineChars="200"/>
        <w:jc w:val="both"/>
        <w:rPr>
          <w:rFonts w:ascii="宋体" w:hAnsi="宋体" w:eastAsia="宋体" w:cs="宋体"/>
          <w:color w:val="000000" w:themeColor="text1"/>
          <w:sz w:val="32"/>
          <w:szCs w:val="32"/>
          <w:highlight w:val="none"/>
          <w14:textFill>
            <w14:solidFill>
              <w14:schemeClr w14:val="tx1"/>
            </w14:solidFill>
          </w14:textFill>
        </w:rPr>
      </w:pPr>
    </w:p>
    <w:p>
      <w:pPr>
        <w:spacing w:line="560" w:lineRule="exact"/>
        <w:ind w:firstLine="656" w:firstLineChars="200"/>
        <w:jc w:val="both"/>
        <w:rPr>
          <w:rFonts w:ascii="宋体" w:hAnsi="宋体" w:eastAsia="宋体" w:cs="宋体"/>
          <w:color w:val="000000" w:themeColor="text1"/>
          <w:sz w:val="32"/>
          <w:szCs w:val="32"/>
          <w:highlight w:val="none"/>
          <w14:textFill>
            <w14:solidFill>
              <w14:schemeClr w14:val="tx1"/>
            </w14:solidFill>
          </w14:textFill>
        </w:rPr>
      </w:pPr>
    </w:p>
    <w:p>
      <w:pPr>
        <w:spacing w:line="560" w:lineRule="exact"/>
        <w:ind w:firstLine="656" w:firstLineChars="200"/>
        <w:jc w:val="both"/>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br w:type="page"/>
      </w:r>
    </w:p>
    <w:p>
      <w:pPr>
        <w:jc w:val="center"/>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2.2分项报价表</w:t>
      </w:r>
    </w:p>
    <w:p>
      <w:pPr>
        <w:wordWrap w:val="0"/>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项目名称：</w:t>
      </w:r>
      <w:r>
        <w:rPr>
          <w:rFonts w:hint="eastAsia" w:ascii="宋体" w:hAnsi="宋体" w:eastAsia="宋体" w:cs="宋体"/>
          <w:kern w:val="0"/>
          <w:sz w:val="24"/>
          <w:szCs w:val="24"/>
          <w:lang w:eastAsia="zh-CN"/>
        </w:rPr>
        <w:t>未央宫街道遗址区“六村三校”农村饮水安全巩固提升工程材料购置</w:t>
      </w:r>
      <w:r>
        <w:rPr>
          <w:rFonts w:hint="eastAsia" w:ascii="宋体" w:hAnsi="宋体" w:eastAsia="宋体" w:cs="宋体"/>
          <w:color w:val="000000" w:themeColor="text1"/>
          <w:highlight w:val="none"/>
          <w14:textFill>
            <w14:solidFill>
              <w14:schemeClr w14:val="tx1"/>
            </w14:solidFill>
          </w14:textFill>
        </w:rPr>
        <w:t xml:space="preserve">   </w:t>
      </w:r>
    </w:p>
    <w:p>
      <w:pPr>
        <w:wordWrap w:val="0"/>
        <w:spacing w:line="360" w:lineRule="auto"/>
        <w:rPr>
          <w:rFonts w:ascii="宋体" w:hAnsi="宋体" w:eastAsia="宋体" w:cs="宋体"/>
          <w:b/>
          <w:color w:val="000000" w:themeColor="text1"/>
          <w:sz w:val="36"/>
          <w:szCs w:val="36"/>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项目编号：</w:t>
      </w:r>
      <w:r>
        <w:rPr>
          <w:rFonts w:hint="eastAsia" w:ascii="宋体" w:hAnsi="宋体" w:eastAsia="宋体" w:cs="宋体"/>
          <w:color w:val="000000" w:themeColor="text1"/>
          <w:highlight w:val="none"/>
          <w:u w:val="single"/>
          <w:lang w:eastAsia="zh-CN"/>
          <w14:textFill>
            <w14:solidFill>
              <w14:schemeClr w14:val="tx1"/>
            </w14:solidFill>
          </w14:textFill>
        </w:rPr>
        <w:t>ZJXG2023026</w:t>
      </w:r>
    </w:p>
    <w:p>
      <w:pPr>
        <w:spacing w:line="56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单位：元</w:t>
      </w:r>
    </w:p>
    <w:tbl>
      <w:tblPr>
        <w:tblStyle w:val="34"/>
        <w:tblW w:w="10399"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775"/>
        <w:gridCol w:w="1642"/>
        <w:gridCol w:w="1821"/>
        <w:gridCol w:w="1560"/>
        <w:gridCol w:w="1112"/>
        <w:gridCol w:w="16"/>
        <w:gridCol w:w="1097"/>
        <w:gridCol w:w="16"/>
        <w:gridCol w:w="1201"/>
        <w:gridCol w:w="16"/>
        <w:gridCol w:w="114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775" w:type="dxa"/>
            <w:shd w:val="clear" w:color="auto" w:fill="F1F1F1" w:themeFill="background1" w:themeFillShade="F2"/>
            <w:noWrap/>
            <w:tcMar>
              <w:top w:w="20" w:type="dxa"/>
              <w:left w:w="20" w:type="dxa"/>
              <w:bottom w:w="0" w:type="dxa"/>
              <w:right w:w="20" w:type="dxa"/>
            </w:tcMar>
            <w:vAlign w:val="center"/>
          </w:tcPr>
          <w:p>
            <w:pPr>
              <w:jc w:val="center"/>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一</w:t>
            </w:r>
          </w:p>
        </w:tc>
        <w:tc>
          <w:tcPr>
            <w:tcW w:w="9624" w:type="dxa"/>
            <w:gridSpan w:val="10"/>
            <w:shd w:val="clear" w:color="auto" w:fill="F1F1F1" w:themeFill="background1" w:themeFillShade="F2"/>
            <w:noWrap/>
            <w:tcMar>
              <w:top w:w="20" w:type="dxa"/>
              <w:left w:w="20" w:type="dxa"/>
              <w:bottom w:w="0" w:type="dxa"/>
              <w:right w:w="20" w:type="dxa"/>
            </w:tcMar>
            <w:vAlign w:val="center"/>
          </w:tcPr>
          <w:p>
            <w:pPr>
              <w:jc w:val="center"/>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产品购置费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1192" w:hRule="atLeast"/>
          <w:jc w:val="center"/>
        </w:trPr>
        <w:tc>
          <w:tcPr>
            <w:tcW w:w="775" w:type="dxa"/>
            <w:shd w:val="clear" w:color="auto" w:fill="auto"/>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序号</w:t>
            </w:r>
          </w:p>
        </w:tc>
        <w:tc>
          <w:tcPr>
            <w:tcW w:w="1642" w:type="dxa"/>
            <w:shd w:val="clear" w:color="auto" w:fill="auto"/>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产品名称</w:t>
            </w:r>
          </w:p>
        </w:tc>
        <w:tc>
          <w:tcPr>
            <w:tcW w:w="1821" w:type="dxa"/>
            <w:shd w:val="clear" w:color="auto" w:fill="auto"/>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品牌及</w:t>
            </w:r>
          </w:p>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规格型号</w:t>
            </w:r>
          </w:p>
        </w:tc>
        <w:tc>
          <w:tcPr>
            <w:tcW w:w="1560" w:type="dxa"/>
            <w:shd w:val="clear" w:color="auto" w:fill="auto"/>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生产厂家</w:t>
            </w:r>
          </w:p>
        </w:tc>
        <w:tc>
          <w:tcPr>
            <w:tcW w:w="1112" w:type="dxa"/>
            <w:shd w:val="clear" w:color="auto" w:fill="auto"/>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是否小微企业产品</w:t>
            </w:r>
          </w:p>
        </w:tc>
        <w:tc>
          <w:tcPr>
            <w:tcW w:w="1113" w:type="dxa"/>
            <w:gridSpan w:val="2"/>
            <w:shd w:val="clear" w:color="auto" w:fill="auto"/>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数量</w:t>
            </w:r>
          </w:p>
        </w:tc>
        <w:tc>
          <w:tcPr>
            <w:tcW w:w="1217" w:type="dxa"/>
            <w:gridSpan w:val="2"/>
            <w:shd w:val="clear" w:color="auto" w:fill="auto"/>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单价</w:t>
            </w:r>
          </w:p>
        </w:tc>
        <w:tc>
          <w:tcPr>
            <w:tcW w:w="1159" w:type="dxa"/>
            <w:gridSpan w:val="2"/>
            <w:shd w:val="clear" w:color="auto" w:fill="auto"/>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总价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65" w:hRule="atLeast"/>
          <w:jc w:val="center"/>
        </w:trPr>
        <w:tc>
          <w:tcPr>
            <w:tcW w:w="775"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p>
        </w:tc>
        <w:tc>
          <w:tcPr>
            <w:tcW w:w="1642"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821"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560"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12"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13"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217"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59" w:type="dxa"/>
            <w:gridSpan w:val="2"/>
            <w:vAlign w:val="center"/>
          </w:tcPr>
          <w:p>
            <w:pPr>
              <w:jc w:val="center"/>
              <w:rPr>
                <w:rFonts w:ascii="宋体" w:hAnsi="宋体" w:eastAsia="宋体" w:cs="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65" w:hRule="atLeast"/>
          <w:jc w:val="center"/>
        </w:trPr>
        <w:tc>
          <w:tcPr>
            <w:tcW w:w="775"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w:t>
            </w:r>
          </w:p>
        </w:tc>
        <w:tc>
          <w:tcPr>
            <w:tcW w:w="1642"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821"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560"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12"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13"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217"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59" w:type="dxa"/>
            <w:gridSpan w:val="2"/>
            <w:vAlign w:val="center"/>
          </w:tcPr>
          <w:p>
            <w:pPr>
              <w:jc w:val="center"/>
              <w:rPr>
                <w:rFonts w:ascii="宋体" w:hAnsi="宋体" w:eastAsia="宋体" w:cs="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65" w:hRule="atLeast"/>
          <w:jc w:val="center"/>
        </w:trPr>
        <w:tc>
          <w:tcPr>
            <w:tcW w:w="775"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w:t>
            </w:r>
          </w:p>
        </w:tc>
        <w:tc>
          <w:tcPr>
            <w:tcW w:w="1642"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821"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560"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12"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13"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217"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59" w:type="dxa"/>
            <w:gridSpan w:val="2"/>
            <w:vAlign w:val="center"/>
          </w:tcPr>
          <w:p>
            <w:pPr>
              <w:jc w:val="center"/>
              <w:rPr>
                <w:rFonts w:ascii="宋体" w:hAnsi="宋体" w:eastAsia="宋体" w:cs="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65" w:hRule="atLeast"/>
          <w:jc w:val="center"/>
        </w:trPr>
        <w:tc>
          <w:tcPr>
            <w:tcW w:w="775"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p>
        </w:tc>
        <w:tc>
          <w:tcPr>
            <w:tcW w:w="1642"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821"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560"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12"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13"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217"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59" w:type="dxa"/>
            <w:gridSpan w:val="2"/>
            <w:vAlign w:val="center"/>
          </w:tcPr>
          <w:p>
            <w:pPr>
              <w:jc w:val="center"/>
              <w:rPr>
                <w:rFonts w:ascii="宋体" w:hAnsi="宋体" w:eastAsia="宋体" w:cs="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65" w:hRule="atLeast"/>
          <w:jc w:val="center"/>
        </w:trPr>
        <w:tc>
          <w:tcPr>
            <w:tcW w:w="775" w:type="dxa"/>
            <w:shd w:val="clear" w:color="auto" w:fill="F1F1F1" w:themeFill="background1" w:themeFillShade="F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二</w:t>
            </w:r>
          </w:p>
        </w:tc>
        <w:tc>
          <w:tcPr>
            <w:tcW w:w="9624" w:type="dxa"/>
            <w:gridSpan w:val="10"/>
            <w:shd w:val="clear" w:color="auto" w:fill="F1F1F1" w:themeFill="background1" w:themeFillShade="F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其他费用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65" w:hRule="atLeast"/>
          <w:jc w:val="center"/>
        </w:trPr>
        <w:tc>
          <w:tcPr>
            <w:tcW w:w="775"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序号</w:t>
            </w:r>
          </w:p>
        </w:tc>
        <w:tc>
          <w:tcPr>
            <w:tcW w:w="1642"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费用名称</w:t>
            </w:r>
          </w:p>
        </w:tc>
        <w:tc>
          <w:tcPr>
            <w:tcW w:w="4509" w:type="dxa"/>
            <w:gridSpan w:val="4"/>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费用描述</w:t>
            </w:r>
          </w:p>
        </w:tc>
        <w:tc>
          <w:tcPr>
            <w:tcW w:w="1113"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数量</w:t>
            </w:r>
          </w:p>
        </w:tc>
        <w:tc>
          <w:tcPr>
            <w:tcW w:w="1217"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单价</w:t>
            </w:r>
          </w:p>
        </w:tc>
        <w:tc>
          <w:tcPr>
            <w:tcW w:w="1143" w:type="dxa"/>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总价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65" w:hRule="atLeast"/>
          <w:jc w:val="center"/>
        </w:trPr>
        <w:tc>
          <w:tcPr>
            <w:tcW w:w="775"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p>
        </w:tc>
        <w:tc>
          <w:tcPr>
            <w:tcW w:w="1642"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4509" w:type="dxa"/>
            <w:gridSpan w:val="4"/>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13"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217"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43" w:type="dxa"/>
            <w:vAlign w:val="center"/>
          </w:tcPr>
          <w:p>
            <w:pPr>
              <w:jc w:val="center"/>
              <w:rPr>
                <w:rFonts w:ascii="宋体" w:hAnsi="宋体" w:eastAsia="宋体" w:cs="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65" w:hRule="atLeast"/>
          <w:jc w:val="center"/>
        </w:trPr>
        <w:tc>
          <w:tcPr>
            <w:tcW w:w="775"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w:t>
            </w:r>
          </w:p>
        </w:tc>
        <w:tc>
          <w:tcPr>
            <w:tcW w:w="1642"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4509" w:type="dxa"/>
            <w:gridSpan w:val="4"/>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13"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217"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43" w:type="dxa"/>
            <w:vAlign w:val="center"/>
          </w:tcPr>
          <w:p>
            <w:pPr>
              <w:jc w:val="center"/>
              <w:rPr>
                <w:rFonts w:ascii="宋体" w:hAnsi="宋体" w:eastAsia="宋体" w:cs="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65" w:hRule="atLeast"/>
          <w:jc w:val="center"/>
        </w:trPr>
        <w:tc>
          <w:tcPr>
            <w:tcW w:w="775"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w:t>
            </w:r>
          </w:p>
        </w:tc>
        <w:tc>
          <w:tcPr>
            <w:tcW w:w="1642"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4509" w:type="dxa"/>
            <w:gridSpan w:val="4"/>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13"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217"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43" w:type="dxa"/>
            <w:vAlign w:val="center"/>
          </w:tcPr>
          <w:p>
            <w:pPr>
              <w:jc w:val="center"/>
              <w:rPr>
                <w:rFonts w:ascii="宋体" w:hAnsi="宋体" w:eastAsia="宋体" w:cs="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65" w:hRule="atLeast"/>
          <w:jc w:val="center"/>
        </w:trPr>
        <w:tc>
          <w:tcPr>
            <w:tcW w:w="775"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p>
        </w:tc>
        <w:tc>
          <w:tcPr>
            <w:tcW w:w="1642" w:type="dxa"/>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4509" w:type="dxa"/>
            <w:gridSpan w:val="4"/>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13"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217"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p>
        </w:tc>
        <w:tc>
          <w:tcPr>
            <w:tcW w:w="1143" w:type="dxa"/>
            <w:vAlign w:val="center"/>
          </w:tcPr>
          <w:p>
            <w:pPr>
              <w:jc w:val="center"/>
              <w:rPr>
                <w:rFonts w:ascii="宋体" w:hAnsi="宋体" w:eastAsia="宋体" w:cs="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65" w:hRule="atLeast"/>
          <w:jc w:val="center"/>
        </w:trPr>
        <w:tc>
          <w:tcPr>
            <w:tcW w:w="2417" w:type="dxa"/>
            <w:gridSpan w:val="2"/>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投标总报价</w:t>
            </w:r>
          </w:p>
        </w:tc>
        <w:tc>
          <w:tcPr>
            <w:tcW w:w="7982" w:type="dxa"/>
            <w:gridSpan w:val="9"/>
            <w:noWrap/>
            <w:tcMar>
              <w:top w:w="20" w:type="dxa"/>
              <w:left w:w="20" w:type="dxa"/>
              <w:bottom w:w="0" w:type="dxa"/>
              <w:right w:w="20"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大写：                       小写：元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782" w:hRule="atLeast"/>
          <w:jc w:val="center"/>
        </w:trPr>
        <w:tc>
          <w:tcPr>
            <w:tcW w:w="2417" w:type="dxa"/>
            <w:gridSpan w:val="2"/>
            <w:noWrap/>
            <w:tcMar>
              <w:top w:w="20" w:type="dxa"/>
              <w:left w:w="20" w:type="dxa"/>
              <w:bottom w:w="0" w:type="dxa"/>
              <w:right w:w="20" w:type="dxa"/>
            </w:tcMar>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ascii="宋体" w:hAnsi="宋体" w:eastAsia="宋体" w:cs="宋体"/>
                <w:color w:val="000000" w:themeColor="text1"/>
                <w:sz w:val="22"/>
                <w:highlight w:val="none"/>
                <w14:textFill>
                  <w14:solidFill>
                    <w14:schemeClr w14:val="tx1"/>
                  </w14:solidFill>
                </w14:textFill>
              </w:rPr>
              <w:t>备注</w:t>
            </w:r>
          </w:p>
        </w:tc>
        <w:tc>
          <w:tcPr>
            <w:tcW w:w="7982" w:type="dxa"/>
            <w:gridSpan w:val="9"/>
            <w:noWrap/>
            <w:tcMar>
              <w:top w:w="20" w:type="dxa"/>
              <w:left w:w="20" w:type="dxa"/>
              <w:bottom w:w="0" w:type="dxa"/>
              <w:right w:w="20" w:type="dxa"/>
            </w:tcMar>
            <w:vAlign w:val="center"/>
          </w:tcPr>
          <w:p>
            <w:pPr>
              <w:spacing w:beforeLines="50"/>
              <w:jc w:val="center"/>
              <w:rPr>
                <w:rFonts w:ascii="宋体" w:hAnsi="宋体" w:eastAsia="宋体" w:cs="宋体"/>
                <w:color w:val="000000" w:themeColor="text1"/>
                <w:sz w:val="22"/>
                <w:highlight w:val="none"/>
                <w14:textFill>
                  <w14:solidFill>
                    <w14:schemeClr w14:val="tx1"/>
                  </w14:solidFill>
                </w14:textFill>
              </w:rPr>
            </w:pPr>
            <w:r>
              <w:rPr>
                <w:rFonts w:hint="eastAsia" w:ascii="宋体" w:hAnsi="宋体" w:eastAsia="宋体" w:cs="宋体"/>
                <w:color w:val="000000" w:themeColor="text1"/>
                <w:sz w:val="22"/>
                <w:highlight w:val="none"/>
                <w14:textFill>
                  <w14:solidFill>
                    <w14:schemeClr w14:val="tx1"/>
                  </w14:solidFill>
                </w14:textFill>
              </w:rPr>
              <w:t>产品购置费</w:t>
            </w:r>
            <w:r>
              <w:rPr>
                <w:rFonts w:hint="eastAsia" w:ascii="宋体" w:hAnsi="宋体" w:eastAsia="宋体" w:cs="宋体"/>
                <w:color w:val="000000" w:themeColor="text1"/>
                <w:sz w:val="22"/>
                <w:highlight w:val="none"/>
                <w:lang w:val="en-US" w:eastAsia="zh-CN"/>
                <w14:textFill>
                  <w14:solidFill>
                    <w14:schemeClr w14:val="tx1"/>
                  </w14:solidFill>
                </w14:textFill>
              </w:rPr>
              <w:t>+</w:t>
            </w:r>
            <w:r>
              <w:rPr>
                <w:rFonts w:hint="eastAsia" w:ascii="宋体" w:hAnsi="宋体" w:eastAsia="宋体" w:cs="宋体"/>
                <w:color w:val="000000" w:themeColor="text1"/>
                <w:sz w:val="22"/>
                <w:highlight w:val="none"/>
                <w14:textFill>
                  <w14:solidFill>
                    <w14:schemeClr w14:val="tx1"/>
                  </w14:solidFill>
                </w14:textFill>
              </w:rPr>
              <w:t>其他费用</w:t>
            </w:r>
            <w:r>
              <w:rPr>
                <w:rFonts w:hint="eastAsia" w:ascii="宋体" w:hAnsi="宋体" w:eastAsia="宋体" w:cs="宋体"/>
                <w:color w:val="000000" w:themeColor="text1"/>
                <w:sz w:val="22"/>
                <w:highlight w:val="none"/>
                <w:lang w:val="en-US" w:eastAsia="zh-CN"/>
                <w14:textFill>
                  <w14:solidFill>
                    <w14:schemeClr w14:val="tx1"/>
                  </w14:solidFill>
                </w14:textFill>
              </w:rPr>
              <w:t>=</w:t>
            </w:r>
            <w:r>
              <w:rPr>
                <w:rFonts w:hint="eastAsia" w:ascii="宋体" w:hAnsi="宋体" w:eastAsia="宋体" w:cs="宋体"/>
                <w:color w:val="000000" w:themeColor="text1"/>
                <w:sz w:val="22"/>
                <w:highlight w:val="none"/>
                <w14:textFill>
                  <w14:solidFill>
                    <w14:schemeClr w14:val="tx1"/>
                  </w14:solidFill>
                </w14:textFill>
              </w:rPr>
              <w:t>投标总报价精确到小数点后两位</w:t>
            </w:r>
          </w:p>
        </w:tc>
      </w:tr>
    </w:tbl>
    <w:p>
      <w:pPr>
        <w:spacing w:line="560" w:lineRule="exac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说明：1.此表由供应商按项目情况自行列支，仅作参考。</w:t>
      </w:r>
    </w:p>
    <w:p>
      <w:pPr>
        <w:adjustRightInd w:val="0"/>
        <w:snapToGrid w:val="0"/>
        <w:spacing w:line="48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2.表格空间不足时，可自行扩展。</w:t>
      </w:r>
    </w:p>
    <w:p>
      <w:pPr>
        <w:adjustRightInd w:val="0"/>
        <w:snapToGrid w:val="0"/>
        <w:spacing w:line="480" w:lineRule="auto"/>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供应商（供应商名称及公章）：</w:t>
      </w:r>
    </w:p>
    <w:p>
      <w:pPr>
        <w:adjustRightInd w:val="0"/>
        <w:snapToGrid w:val="0"/>
        <w:spacing w:line="480" w:lineRule="auto"/>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法定代表人或被授权人（签字或盖章）：</w:t>
      </w:r>
    </w:p>
    <w:p>
      <w:pPr>
        <w:adjustRightInd w:val="0"/>
        <w:snapToGrid w:val="0"/>
        <w:spacing w:line="48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日      期：     年     月     日</w:t>
      </w:r>
    </w:p>
    <w:p>
      <w:pPr>
        <w:adjustRightInd w:val="0"/>
        <w:snapToGrid w:val="0"/>
        <w:spacing w:line="480" w:lineRule="auto"/>
        <w:rPr>
          <w:rFonts w:ascii="宋体" w:hAnsi="宋体" w:eastAsia="宋体" w:cs="宋体"/>
          <w:color w:val="000000" w:themeColor="text1"/>
          <w:sz w:val="36"/>
          <w:szCs w:val="36"/>
          <w:highlight w:val="none"/>
          <w14:textFill>
            <w14:solidFill>
              <w14:schemeClr w14:val="tx1"/>
            </w14:solidFill>
          </w14:textFill>
        </w:rPr>
        <w:sectPr>
          <w:headerReference r:id="rId8" w:type="first"/>
          <w:footerReference r:id="rId10" w:type="first"/>
          <w:headerReference r:id="rId7" w:type="default"/>
          <w:footerReference r:id="rId9" w:type="default"/>
          <w:pgSz w:w="11906" w:h="16838"/>
          <w:pgMar w:top="1440" w:right="1083" w:bottom="1440" w:left="1083" w:header="850" w:footer="992" w:gutter="0"/>
          <w:pgNumType w:fmt="numberInDash"/>
          <w:cols w:space="0" w:num="1"/>
          <w:titlePg/>
          <w:docGrid w:type="linesAndChars" w:linePitch="395" w:charSpace="1724"/>
        </w:sectPr>
      </w:pPr>
    </w:p>
    <w:p>
      <w:pPr>
        <w:pStyle w:val="8"/>
        <w:ind w:firstLine="657"/>
        <w:jc w:val="center"/>
        <w:rPr>
          <w:rFonts w:ascii="宋体" w:hAnsi="宋体" w:eastAsia="宋体" w:cs="宋体"/>
          <w:color w:val="000000" w:themeColor="text1"/>
          <w:highlight w:val="none"/>
          <w14:textFill>
            <w14:solidFill>
              <w14:schemeClr w14:val="tx1"/>
            </w14:solidFill>
          </w14:textFill>
        </w:rPr>
      </w:pPr>
      <w:bookmarkStart w:id="234" w:name="_Toc26305"/>
      <w:bookmarkStart w:id="235" w:name="_Toc27005"/>
      <w:r>
        <w:rPr>
          <w:rFonts w:hint="eastAsia" w:ascii="宋体" w:hAnsi="宋体" w:eastAsia="宋体" w:cs="宋体"/>
          <w:color w:val="000000" w:themeColor="text1"/>
          <w:highlight w:val="none"/>
          <w14:textFill>
            <w14:solidFill>
              <w14:schemeClr w14:val="tx1"/>
            </w14:solidFill>
          </w14:textFill>
        </w:rPr>
        <w:t xml:space="preserve">第三部分  </w:t>
      </w:r>
      <w:bookmarkEnd w:id="234"/>
      <w:bookmarkEnd w:id="235"/>
      <w:r>
        <w:rPr>
          <w:rFonts w:hint="eastAsia" w:ascii="宋体" w:hAnsi="宋体" w:eastAsia="宋体" w:cs="宋体"/>
          <w:color w:val="000000" w:themeColor="text1"/>
          <w:highlight w:val="none"/>
          <w14:textFill>
            <w14:solidFill>
              <w14:schemeClr w14:val="tx1"/>
            </w14:solidFill>
          </w14:textFill>
        </w:rPr>
        <w:t>供应商资质证明资料</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96" w:firstLineChars="200"/>
        <w:textAlignment w:val="auto"/>
        <w:rPr>
          <w:rFonts w:hint="eastAsia" w:ascii="宋体" w:hAnsi="宋体" w:eastAsia="宋体" w:cs="宋体"/>
          <w:color w:val="auto"/>
          <w:kern w:val="2"/>
          <w:sz w:val="24"/>
          <w:szCs w:val="24"/>
          <w:highlight w:val="none"/>
          <w:lang w:val="en-US" w:eastAsia="zh-CN" w:bidi="ar-SA"/>
        </w:rPr>
      </w:pPr>
      <w:bookmarkStart w:id="236" w:name="_Toc30568"/>
      <w:bookmarkStart w:id="237" w:name="_Toc28294"/>
      <w:bookmarkStart w:id="238" w:name="_Toc32575"/>
      <w:bookmarkStart w:id="239" w:name="_Toc9106"/>
      <w:bookmarkStart w:id="240" w:name="_Toc14575"/>
      <w:bookmarkStart w:id="241" w:name="_Toc18738"/>
      <w:bookmarkStart w:id="242" w:name="_Toc26570"/>
      <w:bookmarkStart w:id="243" w:name="_Toc29109"/>
      <w:r>
        <w:rPr>
          <w:rFonts w:hint="eastAsia" w:ascii="宋体" w:hAnsi="宋体" w:eastAsia="宋体" w:cs="宋体"/>
          <w:color w:val="auto"/>
          <w:kern w:val="2"/>
          <w:sz w:val="24"/>
          <w:szCs w:val="24"/>
          <w:highlight w:val="none"/>
          <w:lang w:val="en-US" w:eastAsia="zh-CN" w:bidi="ar-SA"/>
        </w:rPr>
        <w:t>1）具有独立承担民事责任能力的法人、其他组织或自然人并出具合法有效的营业执照或事业单位法人证书等国家规定的相关证明，自然人参与的提供其身份证明；</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96"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财务状况报告：提供2021或2022年的财务审计报告（成立时间至提交响应文件截止时间不足一年的可提供成立后任意时段的资产负债表）或其基本存款账户开户银行出具的资信证明及基本存款账户开户许可证（基本账户存款信息）；</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96"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3）税收缴纳证明：提供2022年至今已缴纳的6个月的纳税证明或完税证明，依法免税的单位应提供相关证明材料；</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96"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4）社会保障资金缴纳证明：提供2022年至今已缴纳的6个月的社会保障资金缴存单据或社保机构开具的社会保险参保缴费情况证明，依法不需要缴纳社会保障资金的单位应提供相关证明材料；</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96"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5）提供具有履行合同所必需的设备和专业技术能力的承诺；</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96"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6）参加政府采购活动前三年内，在经营活动中没有重大违法记录的书面声明；</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96"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7）法定代表人授权书及被授权人身份证（法定代表人直接参加磋商的须提供其法人身份证），非法人单位参照执行；</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96"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8）供应商不得为“信用中国(www.creditchina.gov.cn)”中列入失信被执行人和重大税收违法案件当事人名单的供应商，不得为“中国政府采购网(www.ccgp.gov.cn)” 政府采购严重违法失信行为记录名单中被财政部门禁止参加政府采购活动的供应商（采购代理机构自行查询，采购代理机构查询时限为投标文件递交截止之日）；</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96"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9）本项目为专门面向中小企业采购（提供中小企业声明函或监狱企业的证明文件或残疾人福利性单位声明函）。</w:t>
      </w:r>
    </w:p>
    <w:p>
      <w:pPr>
        <w:spacing w:line="360" w:lineRule="auto"/>
        <w:rPr>
          <w:rFonts w:hint="default" w:ascii="宋体" w:hAnsi="宋体" w:eastAsia="宋体" w:cs="宋体"/>
          <w:sz w:val="24"/>
          <w:szCs w:val="24"/>
          <w:lang w:val="en-US" w:eastAsia="zh-CN" w:bidi="ar-SA"/>
        </w:rPr>
      </w:pPr>
    </w:p>
    <w:p>
      <w:pPr>
        <w:pStyle w:val="3"/>
        <w:rPr>
          <w:rFonts w:hint="eastAsia"/>
        </w:rPr>
      </w:pP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p>
    <w:p>
      <w:pPr>
        <w:snapToGrid w:val="0"/>
        <w:spacing w:line="360" w:lineRule="auto"/>
        <w:rPr>
          <w:rFonts w:hint="eastAsia" w:ascii="宋体" w:hAnsi="宋体" w:cs="宋体"/>
          <w:b/>
          <w:bCs/>
          <w:sz w:val="28"/>
          <w:szCs w:val="28"/>
        </w:rPr>
      </w:pPr>
      <w:bookmarkStart w:id="244" w:name="_Toc27179"/>
      <w:bookmarkStart w:id="245" w:name="_Toc26943"/>
      <w:r>
        <w:rPr>
          <w:rFonts w:hint="eastAsia" w:ascii="宋体" w:hAnsi="宋体" w:cs="宋体"/>
          <w:b/>
          <w:bCs/>
          <w:sz w:val="28"/>
          <w:szCs w:val="28"/>
        </w:rPr>
        <w:t>附件1-</w:t>
      </w:r>
      <w:r>
        <w:rPr>
          <w:rFonts w:hint="eastAsia" w:ascii="宋体" w:hAnsi="宋体" w:cs="宋体"/>
          <w:b/>
          <w:bCs/>
          <w:sz w:val="28"/>
          <w:szCs w:val="28"/>
          <w:lang w:val="en-US" w:eastAsia="zh-CN"/>
        </w:rPr>
        <w:t>9</w:t>
      </w:r>
      <w:bookmarkStart w:id="262" w:name="_GoBack"/>
      <w:bookmarkEnd w:id="262"/>
      <w:r>
        <w:rPr>
          <w:rFonts w:hint="eastAsia" w:ascii="宋体" w:hAnsi="宋体" w:cs="宋体"/>
          <w:b/>
          <w:bCs/>
          <w:sz w:val="28"/>
          <w:szCs w:val="28"/>
        </w:rPr>
        <w:t>为给定格式，其余格式自拟</w:t>
      </w:r>
    </w:p>
    <w:p>
      <w:pPr>
        <w:adjustRightInd w:val="0"/>
        <w:snapToGrid w:val="0"/>
        <w:spacing w:line="360" w:lineRule="auto"/>
        <w:jc w:val="left"/>
        <w:rPr>
          <w:rFonts w:hint="eastAsia" w:ascii="宋体" w:hAnsi="宋体" w:cs="宋体"/>
          <w:b/>
          <w:bCs/>
          <w:sz w:val="24"/>
          <w:szCs w:val="24"/>
        </w:rPr>
      </w:pPr>
      <w:r>
        <w:rPr>
          <w:rFonts w:hint="eastAsia" w:ascii="宋体" w:hAnsi="宋体" w:cs="宋体"/>
          <w:b/>
          <w:sz w:val="24"/>
          <w:szCs w:val="24"/>
        </w:rPr>
        <w:t>附件</w:t>
      </w:r>
      <w:r>
        <w:rPr>
          <w:rFonts w:hint="eastAsia" w:ascii="宋体" w:hAnsi="宋体" w:cs="宋体"/>
          <w:b/>
          <w:bCs/>
          <w:sz w:val="24"/>
          <w:szCs w:val="24"/>
        </w:rPr>
        <w:t>1</w:t>
      </w:r>
    </w:p>
    <w:p>
      <w:pPr>
        <w:adjustRightInd w:val="0"/>
        <w:snapToGrid w:val="0"/>
        <w:spacing w:line="360" w:lineRule="auto"/>
        <w:jc w:val="center"/>
        <w:rPr>
          <w:rFonts w:hint="eastAsia" w:ascii="宋体" w:hAnsi="宋体" w:cs="宋体"/>
          <w:b/>
          <w:sz w:val="24"/>
          <w:szCs w:val="24"/>
        </w:rPr>
      </w:pPr>
      <w:r>
        <w:rPr>
          <w:rFonts w:hint="eastAsia" w:ascii="宋体" w:hAnsi="宋体" w:cs="宋体"/>
          <w:b/>
          <w:sz w:val="24"/>
          <w:szCs w:val="24"/>
        </w:rPr>
        <w:t>法定代表人身份证明</w:t>
      </w:r>
    </w:p>
    <w:p>
      <w:pPr>
        <w:autoSpaceDE w:val="0"/>
        <w:autoSpaceDN w:val="0"/>
        <w:adjustRightInd w:val="0"/>
        <w:snapToGrid w:val="0"/>
        <w:spacing w:before="120" w:beforeLines="50" w:line="360" w:lineRule="auto"/>
        <w:ind w:firstLine="496" w:firstLineChars="200"/>
        <w:jc w:val="left"/>
        <w:rPr>
          <w:rFonts w:hint="eastAsia" w:ascii="宋体" w:hAnsi="宋体" w:cs="宋体"/>
          <w:kern w:val="0"/>
          <w:sz w:val="24"/>
          <w:szCs w:val="24"/>
        </w:rPr>
      </w:pPr>
      <w:r>
        <w:rPr>
          <w:rFonts w:hint="eastAsia" w:ascii="宋体" w:hAnsi="宋体" w:cs="宋体"/>
          <w:sz w:val="24"/>
          <w:szCs w:val="24"/>
        </w:rPr>
        <w:t>供应商</w:t>
      </w:r>
      <w:r>
        <w:rPr>
          <w:rFonts w:hint="eastAsia" w:ascii="宋体" w:hAnsi="宋体" w:cs="宋体"/>
          <w:kern w:val="0"/>
          <w:sz w:val="24"/>
          <w:szCs w:val="24"/>
        </w:rPr>
        <w:t>名称：</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w:t>
      </w:r>
    </w:p>
    <w:p>
      <w:pPr>
        <w:autoSpaceDE w:val="0"/>
        <w:autoSpaceDN w:val="0"/>
        <w:adjustRightInd w:val="0"/>
        <w:snapToGrid w:val="0"/>
        <w:spacing w:before="120" w:beforeLines="50" w:line="360" w:lineRule="auto"/>
        <w:ind w:firstLine="496" w:firstLineChars="200"/>
        <w:jc w:val="left"/>
        <w:rPr>
          <w:rFonts w:hint="eastAsia" w:ascii="宋体" w:hAnsi="宋体" w:cs="宋体"/>
          <w:kern w:val="0"/>
          <w:sz w:val="24"/>
          <w:szCs w:val="24"/>
        </w:rPr>
      </w:pPr>
      <w:r>
        <w:rPr>
          <w:rFonts w:hint="eastAsia" w:ascii="宋体" w:hAnsi="宋体" w:cs="宋体"/>
          <w:kern w:val="0"/>
          <w:sz w:val="24"/>
          <w:szCs w:val="24"/>
        </w:rPr>
        <w:t>统一社会信用代码：</w:t>
      </w:r>
      <w:r>
        <w:rPr>
          <w:rFonts w:hint="eastAsia" w:ascii="宋体" w:hAnsi="宋体" w:cs="宋体"/>
          <w:kern w:val="0"/>
          <w:sz w:val="24"/>
          <w:szCs w:val="24"/>
          <w:u w:val="single"/>
        </w:rPr>
        <w:t xml:space="preserve">                                    </w:t>
      </w:r>
    </w:p>
    <w:p>
      <w:pPr>
        <w:autoSpaceDE w:val="0"/>
        <w:autoSpaceDN w:val="0"/>
        <w:adjustRightInd w:val="0"/>
        <w:snapToGrid w:val="0"/>
        <w:spacing w:before="120" w:beforeLines="50" w:line="360" w:lineRule="auto"/>
        <w:ind w:firstLine="496" w:firstLineChars="200"/>
        <w:jc w:val="left"/>
        <w:rPr>
          <w:rFonts w:hint="eastAsia" w:ascii="宋体" w:hAnsi="宋体" w:cs="宋体"/>
          <w:kern w:val="0"/>
          <w:sz w:val="24"/>
          <w:szCs w:val="24"/>
          <w:u w:val="single"/>
        </w:rPr>
      </w:pPr>
      <w:r>
        <w:rPr>
          <w:rFonts w:hint="eastAsia" w:ascii="宋体" w:hAnsi="宋体" w:cs="宋体"/>
          <w:kern w:val="0"/>
          <w:sz w:val="24"/>
          <w:szCs w:val="24"/>
        </w:rPr>
        <w:t>注册地址：</w:t>
      </w:r>
      <w:r>
        <w:rPr>
          <w:rFonts w:hint="eastAsia" w:ascii="宋体" w:hAnsi="宋体" w:cs="宋体"/>
          <w:kern w:val="0"/>
          <w:sz w:val="24"/>
          <w:szCs w:val="24"/>
          <w:u w:val="single"/>
        </w:rPr>
        <w:t xml:space="preserve">                                            </w:t>
      </w:r>
    </w:p>
    <w:p>
      <w:pPr>
        <w:autoSpaceDE w:val="0"/>
        <w:autoSpaceDN w:val="0"/>
        <w:adjustRightInd w:val="0"/>
        <w:snapToGrid w:val="0"/>
        <w:spacing w:before="120" w:beforeLines="50" w:line="360" w:lineRule="auto"/>
        <w:ind w:firstLine="496" w:firstLineChars="200"/>
        <w:jc w:val="left"/>
        <w:rPr>
          <w:rFonts w:hint="eastAsia" w:ascii="宋体" w:hAnsi="宋体" w:cs="宋体"/>
          <w:kern w:val="0"/>
          <w:sz w:val="24"/>
          <w:szCs w:val="24"/>
        </w:rPr>
      </w:pPr>
      <w:r>
        <w:rPr>
          <w:rFonts w:hint="eastAsia" w:ascii="宋体" w:hAnsi="宋体" w:cs="宋体"/>
          <w:kern w:val="0"/>
          <w:sz w:val="24"/>
          <w:szCs w:val="24"/>
        </w:rPr>
        <w:t>成立时间：</w:t>
      </w:r>
      <w:r>
        <w:rPr>
          <w:rFonts w:hint="eastAsia" w:ascii="宋体" w:hAnsi="宋体" w:cs="宋体"/>
          <w:kern w:val="0"/>
          <w:sz w:val="24"/>
          <w:szCs w:val="24"/>
          <w:u w:val="single"/>
        </w:rPr>
        <w:t xml:space="preserve">    </w:t>
      </w:r>
      <w:r>
        <w:rPr>
          <w:rFonts w:hint="eastAsia" w:ascii="宋体" w:hAnsi="宋体" w:cs="宋体"/>
          <w:kern w:val="0"/>
          <w:sz w:val="24"/>
          <w:szCs w:val="24"/>
        </w:rPr>
        <w:t xml:space="preserve">年 </w:t>
      </w:r>
      <w:r>
        <w:rPr>
          <w:rFonts w:hint="eastAsia" w:ascii="宋体" w:hAnsi="宋体" w:cs="宋体"/>
          <w:kern w:val="0"/>
          <w:sz w:val="24"/>
          <w:szCs w:val="24"/>
          <w:u w:val="single"/>
        </w:rPr>
        <w:t xml:space="preserve">  </w:t>
      </w:r>
      <w:r>
        <w:rPr>
          <w:rFonts w:hint="eastAsia" w:ascii="宋体" w:hAnsi="宋体" w:cs="宋体"/>
          <w:kern w:val="0"/>
          <w:sz w:val="24"/>
          <w:szCs w:val="24"/>
        </w:rPr>
        <w:t>月</w:t>
      </w:r>
      <w:r>
        <w:rPr>
          <w:rFonts w:hint="eastAsia" w:ascii="宋体" w:hAnsi="宋体" w:cs="宋体"/>
          <w:kern w:val="0"/>
          <w:sz w:val="24"/>
          <w:szCs w:val="24"/>
          <w:u w:val="single"/>
        </w:rPr>
        <w:t xml:space="preserve">  </w:t>
      </w:r>
      <w:r>
        <w:rPr>
          <w:rFonts w:hint="eastAsia" w:ascii="宋体" w:hAnsi="宋体" w:cs="宋体"/>
          <w:kern w:val="0"/>
          <w:sz w:val="24"/>
          <w:szCs w:val="24"/>
        </w:rPr>
        <w:t>日；经营期限：</w:t>
      </w:r>
      <w:r>
        <w:rPr>
          <w:rFonts w:hint="eastAsia" w:ascii="宋体" w:hAnsi="宋体" w:cs="宋体"/>
          <w:kern w:val="0"/>
          <w:sz w:val="24"/>
          <w:szCs w:val="24"/>
          <w:u w:val="single"/>
        </w:rPr>
        <w:t xml:space="preserve">           </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u w:val="single"/>
        </w:rPr>
        <w:t xml:space="preserve">    </w:t>
      </w:r>
    </w:p>
    <w:p>
      <w:pPr>
        <w:autoSpaceDE w:val="0"/>
        <w:autoSpaceDN w:val="0"/>
        <w:adjustRightInd w:val="0"/>
        <w:snapToGrid w:val="0"/>
        <w:spacing w:before="120" w:beforeLines="50" w:line="360" w:lineRule="auto"/>
        <w:ind w:firstLine="496" w:firstLineChars="200"/>
        <w:jc w:val="left"/>
        <w:rPr>
          <w:rFonts w:hint="eastAsia" w:ascii="宋体" w:hAnsi="宋体" w:cs="宋体"/>
          <w:kern w:val="0"/>
          <w:sz w:val="24"/>
          <w:szCs w:val="24"/>
          <w:u w:val="single"/>
        </w:rPr>
      </w:pPr>
      <w:r>
        <w:rPr>
          <w:rFonts w:hint="eastAsia" w:ascii="宋体" w:hAnsi="宋体" w:cs="宋体"/>
          <w:kern w:val="0"/>
          <w:sz w:val="24"/>
          <w:szCs w:val="24"/>
        </w:rPr>
        <w:t>经营范围：主营：</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；兼营：</w:t>
      </w:r>
      <w:r>
        <w:rPr>
          <w:rFonts w:hint="eastAsia" w:ascii="宋体" w:hAnsi="宋体" w:cs="宋体"/>
          <w:kern w:val="0"/>
          <w:sz w:val="24"/>
          <w:szCs w:val="24"/>
          <w:u w:val="single"/>
        </w:rPr>
        <w:t xml:space="preserve">               </w:t>
      </w:r>
    </w:p>
    <w:p>
      <w:pPr>
        <w:autoSpaceDE w:val="0"/>
        <w:autoSpaceDN w:val="0"/>
        <w:adjustRightInd w:val="0"/>
        <w:snapToGrid w:val="0"/>
        <w:spacing w:before="120" w:beforeLines="50" w:line="360" w:lineRule="auto"/>
        <w:ind w:firstLine="496" w:firstLineChars="200"/>
        <w:jc w:val="left"/>
        <w:rPr>
          <w:rFonts w:hint="eastAsia" w:ascii="宋体" w:hAnsi="宋体" w:cs="宋体"/>
          <w:kern w:val="0"/>
          <w:sz w:val="24"/>
          <w:szCs w:val="24"/>
        </w:rPr>
      </w:pPr>
      <w:r>
        <w:rPr>
          <w:rFonts w:hint="eastAsia" w:ascii="宋体" w:hAnsi="宋体" w:cs="宋体"/>
          <w:kern w:val="0"/>
          <w:sz w:val="24"/>
          <w:szCs w:val="24"/>
        </w:rPr>
        <w:t>姓名：</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性别：</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系</w:t>
      </w:r>
      <w:r>
        <w:rPr>
          <w:rFonts w:hint="eastAsia" w:ascii="宋体" w:hAnsi="宋体" w:cs="宋体"/>
          <w:kern w:val="0"/>
          <w:sz w:val="24"/>
          <w:szCs w:val="24"/>
          <w:u w:val="single"/>
        </w:rPr>
        <w:t xml:space="preserve">  （</w:t>
      </w:r>
      <w:r>
        <w:rPr>
          <w:rFonts w:hint="eastAsia" w:ascii="宋体" w:hAnsi="宋体" w:cs="宋体"/>
          <w:sz w:val="24"/>
          <w:szCs w:val="24"/>
          <w:u w:val="single"/>
        </w:rPr>
        <w:t>供应商</w:t>
      </w:r>
      <w:r>
        <w:rPr>
          <w:rFonts w:hint="eastAsia" w:ascii="宋体" w:hAnsi="宋体" w:cs="宋体"/>
          <w:kern w:val="0"/>
          <w:sz w:val="24"/>
          <w:szCs w:val="24"/>
          <w:u w:val="single"/>
        </w:rPr>
        <w:t xml:space="preserve">名称）  </w:t>
      </w:r>
      <w:r>
        <w:rPr>
          <w:rFonts w:hint="eastAsia" w:ascii="宋体" w:hAnsi="宋体" w:cs="宋体"/>
          <w:kern w:val="0"/>
          <w:sz w:val="24"/>
          <w:szCs w:val="24"/>
        </w:rPr>
        <w:t>的法定代表人。</w:t>
      </w:r>
    </w:p>
    <w:p>
      <w:pPr>
        <w:autoSpaceDE w:val="0"/>
        <w:autoSpaceDN w:val="0"/>
        <w:adjustRightInd w:val="0"/>
        <w:snapToGrid w:val="0"/>
        <w:spacing w:before="120" w:beforeLines="50" w:line="360" w:lineRule="auto"/>
        <w:ind w:firstLine="496" w:firstLineChars="200"/>
        <w:jc w:val="left"/>
        <w:rPr>
          <w:rFonts w:hint="eastAsia" w:ascii="宋体" w:hAnsi="宋体" w:cs="宋体"/>
          <w:kern w:val="0"/>
          <w:sz w:val="24"/>
          <w:szCs w:val="24"/>
        </w:rPr>
      </w:pPr>
      <w:r>
        <w:rPr>
          <w:rFonts w:hint="eastAsia" w:ascii="宋体" w:hAnsi="宋体" w:cs="宋体"/>
          <w:kern w:val="0"/>
          <w:sz w:val="24"/>
          <w:szCs w:val="24"/>
        </w:rPr>
        <w:t>特此证明。</w:t>
      </w:r>
    </w:p>
    <w:p>
      <w:pPr>
        <w:autoSpaceDE w:val="0"/>
        <w:autoSpaceDN w:val="0"/>
        <w:adjustRightInd w:val="0"/>
        <w:snapToGrid w:val="0"/>
        <w:spacing w:before="120" w:beforeLines="50" w:line="360" w:lineRule="auto"/>
        <w:ind w:firstLine="496" w:firstLineChars="200"/>
        <w:jc w:val="left"/>
        <w:rPr>
          <w:rFonts w:hint="eastAsia" w:ascii="宋体" w:hAnsi="宋体" w:cs="宋体"/>
          <w:sz w:val="24"/>
          <w:szCs w:val="24"/>
        </w:rPr>
      </w:pPr>
    </w:p>
    <w:tbl>
      <w:tblPr>
        <w:tblStyle w:val="34"/>
        <w:tblW w:w="0" w:type="auto"/>
        <w:jc w:val="center"/>
        <w:tblLayout w:type="fixed"/>
        <w:tblCellMar>
          <w:top w:w="0" w:type="dxa"/>
          <w:left w:w="108" w:type="dxa"/>
          <w:bottom w:w="0" w:type="dxa"/>
          <w:right w:w="108" w:type="dxa"/>
        </w:tblCellMar>
      </w:tblPr>
      <w:tblGrid>
        <w:gridCol w:w="7753"/>
      </w:tblGrid>
      <w:tr>
        <w:tblPrEx>
          <w:tblCellMar>
            <w:top w:w="0" w:type="dxa"/>
            <w:left w:w="108" w:type="dxa"/>
            <w:bottom w:w="0" w:type="dxa"/>
            <w:right w:w="108" w:type="dxa"/>
          </w:tblCellMar>
        </w:tblPrEx>
        <w:trPr>
          <w:trHeight w:val="2818" w:hRule="atLeast"/>
          <w:jc w:val="center"/>
        </w:trPr>
        <w:tc>
          <w:tcPr>
            <w:tcW w:w="7753" w:type="dxa"/>
            <w:tcBorders>
              <w:top w:val="single" w:color="auto" w:sz="6" w:space="0"/>
              <w:left w:val="single" w:color="auto" w:sz="6" w:space="0"/>
              <w:bottom w:val="single" w:color="auto" w:sz="6" w:space="0"/>
              <w:right w:val="single" w:color="auto" w:sz="4" w:space="0"/>
            </w:tcBorders>
            <w:noWrap w:val="0"/>
            <w:vAlign w:val="center"/>
          </w:tcPr>
          <w:p>
            <w:pPr>
              <w:snapToGrid w:val="0"/>
              <w:spacing w:line="360" w:lineRule="auto"/>
              <w:jc w:val="center"/>
              <w:rPr>
                <w:rFonts w:hint="eastAsia" w:ascii="宋体" w:hAnsi="宋体" w:cs="宋体"/>
                <w:szCs w:val="21"/>
                <w:lang w:val="zh-CN"/>
              </w:rPr>
            </w:pPr>
          </w:p>
          <w:p>
            <w:pPr>
              <w:snapToGrid w:val="0"/>
              <w:spacing w:line="360" w:lineRule="auto"/>
              <w:jc w:val="center"/>
              <w:rPr>
                <w:rFonts w:hint="eastAsia" w:ascii="宋体" w:hAnsi="宋体" w:cs="宋体"/>
                <w:szCs w:val="21"/>
              </w:rPr>
            </w:pPr>
            <w:r>
              <w:rPr>
                <w:rFonts w:hint="eastAsia" w:ascii="宋体" w:hAnsi="宋体" w:cs="宋体"/>
                <w:szCs w:val="21"/>
                <w:lang w:val="zh-CN"/>
              </w:rPr>
              <w:t>法定代表人身份证复印件</w:t>
            </w:r>
            <w:r>
              <w:rPr>
                <w:rFonts w:hint="eastAsia" w:ascii="宋体" w:hAnsi="宋体" w:cs="宋体"/>
                <w:szCs w:val="21"/>
              </w:rPr>
              <w:t>或扫描件</w:t>
            </w:r>
          </w:p>
          <w:p>
            <w:pPr>
              <w:snapToGrid w:val="0"/>
              <w:spacing w:line="360" w:lineRule="auto"/>
              <w:jc w:val="center"/>
              <w:rPr>
                <w:rFonts w:hint="eastAsia" w:ascii="宋体" w:hAnsi="宋体" w:eastAsia="宋体" w:cs="宋体"/>
                <w:szCs w:val="21"/>
                <w:u w:val="single"/>
                <w:lang w:eastAsia="zh-CN"/>
              </w:rPr>
            </w:pPr>
            <w:r>
              <w:rPr>
                <w:rFonts w:hint="eastAsia" w:ascii="宋体" w:hAnsi="宋体" w:cs="宋体"/>
                <w:szCs w:val="21"/>
                <w:u w:val="none"/>
                <w:lang w:eastAsia="zh-CN"/>
              </w:rPr>
              <w:t>（国徽面、人像面）</w:t>
            </w:r>
          </w:p>
        </w:tc>
      </w:tr>
    </w:tbl>
    <w:p>
      <w:pPr>
        <w:autoSpaceDE w:val="0"/>
        <w:autoSpaceDN w:val="0"/>
        <w:adjustRightInd w:val="0"/>
        <w:snapToGrid w:val="0"/>
        <w:spacing w:before="120" w:beforeLines="50" w:line="360" w:lineRule="auto"/>
        <w:ind w:firstLine="496" w:firstLineChars="200"/>
        <w:jc w:val="left"/>
        <w:rPr>
          <w:rFonts w:hint="eastAsia" w:ascii="宋体" w:hAnsi="宋体" w:cs="宋体"/>
          <w:sz w:val="24"/>
          <w:szCs w:val="24"/>
        </w:rPr>
      </w:pPr>
      <w:r>
        <w:rPr>
          <w:rFonts w:hint="eastAsia" w:ascii="宋体" w:hAnsi="宋体" w:cs="宋体"/>
          <w:sz w:val="24"/>
          <w:szCs w:val="24"/>
        </w:rPr>
        <w:t xml:space="preserve"> </w:t>
      </w:r>
    </w:p>
    <w:p>
      <w:pPr>
        <w:snapToGrid w:val="0"/>
        <w:spacing w:line="360" w:lineRule="auto"/>
        <w:ind w:firstLine="1984" w:firstLineChars="800"/>
        <w:rPr>
          <w:rFonts w:hint="eastAsia" w:ascii="宋体" w:hAnsi="宋体" w:cs="宋体"/>
          <w:kern w:val="0"/>
          <w:sz w:val="24"/>
          <w:szCs w:val="24"/>
        </w:rPr>
      </w:pPr>
    </w:p>
    <w:p>
      <w:pPr>
        <w:snapToGrid w:val="0"/>
        <w:spacing w:line="360" w:lineRule="auto"/>
        <w:rPr>
          <w:rFonts w:hint="eastAsia" w:ascii="宋体" w:hAnsi="宋体" w:cs="宋体"/>
          <w:sz w:val="24"/>
          <w:szCs w:val="24"/>
          <w:u w:val="single"/>
        </w:rPr>
      </w:pPr>
      <w:r>
        <w:rPr>
          <w:rFonts w:hint="eastAsia" w:ascii="宋体" w:hAnsi="宋体" w:cs="宋体"/>
          <w:sz w:val="24"/>
          <w:szCs w:val="24"/>
        </w:rPr>
        <w:t>供应商（公章）：</w:t>
      </w:r>
      <w:r>
        <w:rPr>
          <w:rFonts w:hint="eastAsia" w:ascii="宋体" w:hAnsi="宋体" w:cs="宋体"/>
          <w:sz w:val="24"/>
          <w:szCs w:val="24"/>
          <w:u w:val="single"/>
        </w:rPr>
        <w:t xml:space="preserve">     （供应商名称）  </w:t>
      </w:r>
    </w:p>
    <w:p>
      <w:pPr>
        <w:snapToGrid w:val="0"/>
        <w:spacing w:line="360" w:lineRule="auto"/>
        <w:rPr>
          <w:rFonts w:hint="eastAsia" w:ascii="宋体" w:hAnsi="宋体" w:cs="宋体"/>
          <w:sz w:val="24"/>
          <w:szCs w:val="24"/>
          <w:u w:val="single"/>
        </w:rPr>
      </w:pPr>
      <w:r>
        <w:rPr>
          <w:rFonts w:hint="eastAsia" w:ascii="宋体" w:hAnsi="宋体" w:cs="宋体"/>
          <w:sz w:val="24"/>
          <w:szCs w:val="24"/>
        </w:rPr>
        <w:t>日    期：</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年</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月</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日</w:t>
      </w:r>
    </w:p>
    <w:p>
      <w:pPr>
        <w:snapToGrid w:val="0"/>
        <w:spacing w:line="360" w:lineRule="auto"/>
        <w:rPr>
          <w:rFonts w:hint="eastAsia" w:ascii="宋体" w:hAnsi="宋体" w:cs="宋体"/>
          <w:b/>
          <w:sz w:val="28"/>
          <w:szCs w:val="28"/>
        </w:rPr>
      </w:pPr>
      <w:r>
        <w:rPr>
          <w:rFonts w:hint="eastAsia" w:ascii="宋体" w:hAnsi="宋体" w:cs="宋体"/>
          <w:sz w:val="24"/>
          <w:szCs w:val="24"/>
          <w:u w:val="single"/>
        </w:rPr>
        <w:br w:type="page"/>
      </w:r>
      <w:r>
        <w:rPr>
          <w:rFonts w:hint="eastAsia" w:ascii="宋体" w:hAnsi="宋体" w:cs="宋体"/>
          <w:b/>
          <w:sz w:val="24"/>
          <w:szCs w:val="24"/>
        </w:rPr>
        <w:t>附件2</w:t>
      </w:r>
    </w:p>
    <w:p>
      <w:pPr>
        <w:adjustRightInd w:val="0"/>
        <w:snapToGrid w:val="0"/>
        <w:spacing w:line="360" w:lineRule="auto"/>
        <w:jc w:val="center"/>
        <w:rPr>
          <w:rFonts w:hint="eastAsia" w:ascii="宋体" w:hAnsi="宋体" w:cs="宋体"/>
          <w:b/>
          <w:sz w:val="24"/>
          <w:szCs w:val="24"/>
        </w:rPr>
      </w:pPr>
      <w:r>
        <w:rPr>
          <w:rFonts w:hint="eastAsia" w:ascii="宋体" w:hAnsi="宋体" w:cs="宋体"/>
          <w:b/>
          <w:sz w:val="24"/>
          <w:szCs w:val="24"/>
        </w:rPr>
        <w:t>法定代表人授权书</w:t>
      </w:r>
    </w:p>
    <w:p>
      <w:pPr>
        <w:adjustRightInd w:val="0"/>
        <w:snapToGrid w:val="0"/>
        <w:spacing w:line="360" w:lineRule="auto"/>
        <w:rPr>
          <w:rFonts w:hint="eastAsia" w:ascii="宋体" w:hAnsi="宋体" w:cs="宋体"/>
          <w:sz w:val="24"/>
          <w:szCs w:val="24"/>
          <w:lang w:val="zh-CN"/>
        </w:rPr>
      </w:pPr>
    </w:p>
    <w:p>
      <w:pPr>
        <w:snapToGrid w:val="0"/>
        <w:spacing w:line="360" w:lineRule="auto"/>
        <w:rPr>
          <w:rFonts w:hint="eastAsia" w:ascii="宋体" w:hAnsi="宋体" w:cs="宋体"/>
          <w:sz w:val="24"/>
          <w:szCs w:val="24"/>
        </w:rPr>
      </w:pPr>
      <w:bookmarkStart w:id="246" w:name="_Toc12199_WPSOffice_Level1"/>
      <w:r>
        <w:rPr>
          <w:rFonts w:hint="eastAsia" w:ascii="宋体" w:hAnsi="宋体" w:cs="宋体"/>
          <w:sz w:val="24"/>
          <w:szCs w:val="24"/>
        </w:rPr>
        <w:t xml:space="preserve">    本授权书声明：注</w:t>
      </w:r>
      <w:r>
        <w:rPr>
          <w:rFonts w:hint="eastAsia" w:ascii="宋体" w:hAnsi="宋体" w:cs="宋体"/>
          <w:sz w:val="24"/>
          <w:szCs w:val="24"/>
          <w:lang w:val="zh-CN"/>
        </w:rPr>
        <w:t>册于</w:t>
      </w:r>
      <w:r>
        <w:rPr>
          <w:rFonts w:hint="eastAsia" w:ascii="宋体" w:hAnsi="宋体" w:cs="宋体"/>
          <w:sz w:val="24"/>
          <w:szCs w:val="24"/>
          <w:u w:val="single"/>
          <w:lang w:val="zh-CN"/>
        </w:rPr>
        <w:t xml:space="preserve">  （供应商地址） </w:t>
      </w:r>
      <w:r>
        <w:rPr>
          <w:rFonts w:hint="eastAsia" w:ascii="宋体" w:hAnsi="宋体" w:cs="宋体"/>
          <w:sz w:val="24"/>
          <w:szCs w:val="24"/>
          <w:u w:val="single"/>
        </w:rPr>
        <w:t xml:space="preserve"> </w:t>
      </w:r>
      <w:r>
        <w:rPr>
          <w:rFonts w:hint="eastAsia" w:ascii="宋体" w:hAnsi="宋体" w:cs="宋体"/>
          <w:sz w:val="24"/>
          <w:szCs w:val="24"/>
          <w:lang w:val="zh-CN"/>
        </w:rPr>
        <w:t>之</w:t>
      </w:r>
      <w:r>
        <w:rPr>
          <w:rFonts w:hint="eastAsia" w:ascii="宋体" w:hAnsi="宋体" w:cs="宋体"/>
          <w:sz w:val="24"/>
          <w:szCs w:val="24"/>
          <w:u w:val="single"/>
          <w:lang w:val="zh-CN"/>
        </w:rPr>
        <w:t xml:space="preserve">  （供应商全称）</w:t>
      </w:r>
      <w:r>
        <w:rPr>
          <w:rFonts w:hint="eastAsia" w:ascii="宋体" w:hAnsi="宋体" w:cs="宋体"/>
          <w:sz w:val="24"/>
          <w:szCs w:val="24"/>
          <w:u w:val="single"/>
        </w:rPr>
        <w:t xml:space="preserve">  </w:t>
      </w:r>
      <w:r>
        <w:rPr>
          <w:rFonts w:hint="eastAsia" w:ascii="宋体" w:hAnsi="宋体" w:cs="宋体"/>
          <w:sz w:val="24"/>
          <w:szCs w:val="24"/>
          <w:lang w:val="zh-CN"/>
        </w:rPr>
        <w:t>的法定代表人</w:t>
      </w:r>
      <w:r>
        <w:rPr>
          <w:rFonts w:hint="eastAsia" w:ascii="宋体" w:hAnsi="宋体" w:cs="宋体"/>
          <w:sz w:val="24"/>
          <w:szCs w:val="24"/>
          <w:u w:val="single"/>
          <w:lang w:val="zh-CN"/>
        </w:rPr>
        <w:t xml:space="preserve"> </w:t>
      </w:r>
      <w:r>
        <w:rPr>
          <w:rFonts w:hint="eastAsia" w:ascii="宋体" w:hAnsi="宋体" w:cs="宋体"/>
          <w:sz w:val="24"/>
          <w:szCs w:val="24"/>
          <w:u w:val="single"/>
        </w:rPr>
        <w:t xml:space="preserve"> </w:t>
      </w:r>
      <w:r>
        <w:rPr>
          <w:rFonts w:hint="eastAsia" w:ascii="宋体" w:hAnsi="宋体" w:cs="宋体"/>
          <w:sz w:val="24"/>
          <w:szCs w:val="24"/>
          <w:u w:val="single"/>
          <w:lang w:val="zh-CN"/>
        </w:rPr>
        <w:t>（姓名）</w:t>
      </w:r>
      <w:r>
        <w:rPr>
          <w:rFonts w:hint="eastAsia" w:ascii="宋体" w:hAnsi="宋体" w:cs="宋体"/>
          <w:sz w:val="24"/>
          <w:szCs w:val="24"/>
          <w:u w:val="single"/>
        </w:rPr>
        <w:t xml:space="preserve">  </w:t>
      </w:r>
      <w:r>
        <w:rPr>
          <w:rFonts w:hint="eastAsia" w:ascii="宋体" w:hAnsi="宋体" w:cs="宋体"/>
          <w:sz w:val="24"/>
          <w:szCs w:val="24"/>
          <w:lang w:val="zh-CN"/>
        </w:rPr>
        <w:t>授权</w:t>
      </w:r>
      <w:r>
        <w:rPr>
          <w:rFonts w:hint="eastAsia" w:ascii="宋体" w:hAnsi="宋体" w:cs="宋体"/>
          <w:sz w:val="24"/>
          <w:szCs w:val="24"/>
          <w:u w:val="single"/>
          <w:lang w:val="zh-CN"/>
        </w:rPr>
        <w:t xml:space="preserve"> </w:t>
      </w:r>
      <w:r>
        <w:rPr>
          <w:rFonts w:hint="eastAsia" w:ascii="宋体" w:hAnsi="宋体" w:cs="宋体"/>
          <w:sz w:val="24"/>
          <w:szCs w:val="24"/>
          <w:u w:val="single"/>
        </w:rPr>
        <w:t xml:space="preserve"> </w:t>
      </w:r>
      <w:r>
        <w:rPr>
          <w:rFonts w:hint="eastAsia" w:ascii="宋体" w:hAnsi="宋体" w:cs="宋体"/>
          <w:sz w:val="24"/>
          <w:szCs w:val="24"/>
          <w:u w:val="single"/>
          <w:lang w:val="zh-CN"/>
        </w:rPr>
        <w:t>（被授权人姓名）</w:t>
      </w:r>
      <w:r>
        <w:rPr>
          <w:rFonts w:hint="eastAsia" w:ascii="宋体" w:hAnsi="宋体" w:cs="宋体"/>
          <w:sz w:val="24"/>
          <w:szCs w:val="24"/>
          <w:u w:val="single"/>
        </w:rPr>
        <w:t xml:space="preserve"> </w:t>
      </w:r>
      <w:r>
        <w:rPr>
          <w:rFonts w:hint="eastAsia" w:ascii="宋体" w:hAnsi="宋体" w:cs="宋体"/>
          <w:sz w:val="24"/>
          <w:szCs w:val="24"/>
        </w:rPr>
        <w:t>为我方合法代理人。代理人根据授权，以我方名义签署、澄清、说明、递交、撤回、修改</w:t>
      </w:r>
      <w:r>
        <w:rPr>
          <w:rFonts w:hint="eastAsia" w:ascii="宋体" w:hAnsi="宋体" w:cs="宋体"/>
          <w:sz w:val="24"/>
          <w:szCs w:val="24"/>
          <w:u w:val="single"/>
        </w:rPr>
        <w:t xml:space="preserve">   （项目名称）（项目编号） </w:t>
      </w:r>
      <w:r>
        <w:rPr>
          <w:rFonts w:hint="eastAsia" w:ascii="宋体" w:hAnsi="宋体" w:cs="宋体"/>
          <w:sz w:val="24"/>
          <w:szCs w:val="24"/>
        </w:rPr>
        <w:t>的</w:t>
      </w:r>
      <w:r>
        <w:rPr>
          <w:rFonts w:hint="eastAsia" w:ascii="宋体" w:hAnsi="宋体" w:cs="宋体"/>
          <w:sz w:val="24"/>
          <w:szCs w:val="24"/>
          <w:lang w:val="en-US" w:eastAsia="zh-CN"/>
        </w:rPr>
        <w:t>投标</w:t>
      </w:r>
      <w:r>
        <w:rPr>
          <w:rFonts w:hint="eastAsia" w:ascii="宋体" w:hAnsi="宋体" w:cs="宋体"/>
          <w:sz w:val="24"/>
          <w:szCs w:val="24"/>
        </w:rPr>
        <w:t>文件、签订合同和处理有关事宜，其法律后果由我方承担。代理人无转委托权。</w:t>
      </w:r>
    </w:p>
    <w:p>
      <w:pPr>
        <w:snapToGrid w:val="0"/>
        <w:spacing w:line="360" w:lineRule="auto"/>
        <w:ind w:firstLine="496" w:firstLineChars="200"/>
        <w:rPr>
          <w:rFonts w:ascii="宋体" w:hAnsi="宋体" w:cs="宋体"/>
          <w:sz w:val="24"/>
          <w:szCs w:val="24"/>
        </w:rPr>
      </w:pPr>
      <w:r>
        <w:rPr>
          <w:rFonts w:hint="eastAsia" w:ascii="宋体" w:hAnsi="宋体" w:cs="宋体"/>
          <w:sz w:val="24"/>
          <w:szCs w:val="24"/>
        </w:rPr>
        <w:t>本授权书签字生效。</w:t>
      </w:r>
    </w:p>
    <w:tbl>
      <w:tblPr>
        <w:tblStyle w:val="34"/>
        <w:tblW w:w="0" w:type="auto"/>
        <w:tblInd w:w="633" w:type="dxa"/>
        <w:tblLayout w:type="fixed"/>
        <w:tblCellMar>
          <w:top w:w="0" w:type="dxa"/>
          <w:left w:w="108" w:type="dxa"/>
          <w:bottom w:w="0" w:type="dxa"/>
          <w:right w:w="108" w:type="dxa"/>
        </w:tblCellMar>
      </w:tblPr>
      <w:tblGrid>
        <w:gridCol w:w="4045"/>
        <w:gridCol w:w="3844"/>
      </w:tblGrid>
      <w:tr>
        <w:tblPrEx>
          <w:tblCellMar>
            <w:top w:w="0" w:type="dxa"/>
            <w:left w:w="108" w:type="dxa"/>
            <w:bottom w:w="0" w:type="dxa"/>
            <w:right w:w="108" w:type="dxa"/>
          </w:tblCellMar>
        </w:tblPrEx>
        <w:trPr>
          <w:trHeight w:val="600" w:hRule="atLeast"/>
        </w:trPr>
        <w:tc>
          <w:tcPr>
            <w:tcW w:w="4045" w:type="dxa"/>
            <w:noWrap w:val="0"/>
            <w:vAlign w:val="top"/>
          </w:tcPr>
          <w:p>
            <w:pPr>
              <w:snapToGrid w:val="0"/>
              <w:spacing w:line="360" w:lineRule="auto"/>
              <w:jc w:val="left"/>
              <w:rPr>
                <w:rFonts w:hint="eastAsia" w:ascii="宋体" w:hAnsi="宋体" w:cs="宋体"/>
                <w:spacing w:val="4"/>
                <w:sz w:val="24"/>
                <w:szCs w:val="24"/>
              </w:rPr>
            </w:pPr>
            <w:r>
              <w:rPr>
                <w:rFonts w:hint="eastAsia" w:ascii="宋体" w:hAnsi="宋体" w:cs="宋体"/>
                <w:spacing w:val="4"/>
                <w:sz w:val="24"/>
                <w:szCs w:val="24"/>
              </w:rPr>
              <w:t xml:space="preserve">法定代表人签字：   </w:t>
            </w:r>
          </w:p>
        </w:tc>
        <w:tc>
          <w:tcPr>
            <w:tcW w:w="3844" w:type="dxa"/>
            <w:noWrap w:val="0"/>
            <w:vAlign w:val="top"/>
          </w:tcPr>
          <w:p>
            <w:pPr>
              <w:snapToGrid w:val="0"/>
              <w:spacing w:line="360" w:lineRule="auto"/>
              <w:ind w:firstLine="256" w:firstLineChars="100"/>
              <w:jc w:val="left"/>
              <w:rPr>
                <w:rFonts w:hint="eastAsia" w:ascii="宋体" w:hAnsi="宋体" w:cs="宋体"/>
                <w:spacing w:val="4"/>
                <w:sz w:val="24"/>
                <w:szCs w:val="24"/>
              </w:rPr>
            </w:pPr>
            <w:r>
              <w:rPr>
                <w:rFonts w:hint="eastAsia" w:ascii="宋体" w:hAnsi="宋体" w:cs="宋体"/>
                <w:spacing w:val="4"/>
                <w:sz w:val="24"/>
                <w:szCs w:val="24"/>
              </w:rPr>
              <w:t>被授权人签字：</w:t>
            </w:r>
          </w:p>
        </w:tc>
      </w:tr>
      <w:tr>
        <w:tblPrEx>
          <w:tblCellMar>
            <w:top w:w="0" w:type="dxa"/>
            <w:left w:w="108" w:type="dxa"/>
            <w:bottom w:w="0" w:type="dxa"/>
            <w:right w:w="108" w:type="dxa"/>
          </w:tblCellMar>
        </w:tblPrEx>
        <w:trPr>
          <w:trHeight w:val="600" w:hRule="atLeast"/>
        </w:trPr>
        <w:tc>
          <w:tcPr>
            <w:tcW w:w="4045" w:type="dxa"/>
            <w:noWrap w:val="0"/>
            <w:vAlign w:val="top"/>
          </w:tcPr>
          <w:p>
            <w:pPr>
              <w:snapToGrid w:val="0"/>
              <w:spacing w:line="360" w:lineRule="auto"/>
              <w:jc w:val="left"/>
              <w:rPr>
                <w:rFonts w:hint="eastAsia" w:ascii="宋体" w:hAnsi="宋体" w:cs="宋体"/>
                <w:spacing w:val="4"/>
                <w:sz w:val="24"/>
                <w:szCs w:val="24"/>
              </w:rPr>
            </w:pPr>
            <w:r>
              <w:rPr>
                <w:rFonts w:hint="eastAsia" w:ascii="宋体" w:hAnsi="宋体" w:cs="宋体"/>
                <w:spacing w:val="4"/>
                <w:sz w:val="24"/>
                <w:szCs w:val="24"/>
              </w:rPr>
              <w:t xml:space="preserve">职务：                     </w:t>
            </w:r>
          </w:p>
        </w:tc>
        <w:tc>
          <w:tcPr>
            <w:tcW w:w="3844" w:type="dxa"/>
            <w:noWrap w:val="0"/>
            <w:vAlign w:val="top"/>
          </w:tcPr>
          <w:p>
            <w:pPr>
              <w:snapToGrid w:val="0"/>
              <w:spacing w:line="360" w:lineRule="auto"/>
              <w:ind w:firstLine="256" w:firstLineChars="100"/>
              <w:jc w:val="left"/>
              <w:rPr>
                <w:rFonts w:hint="eastAsia" w:ascii="宋体" w:hAnsi="宋体" w:cs="宋体"/>
                <w:spacing w:val="4"/>
                <w:sz w:val="24"/>
                <w:szCs w:val="24"/>
              </w:rPr>
            </w:pPr>
            <w:r>
              <w:rPr>
                <w:rFonts w:hint="eastAsia" w:ascii="宋体" w:hAnsi="宋体" w:cs="宋体"/>
                <w:spacing w:val="4"/>
                <w:sz w:val="24"/>
                <w:szCs w:val="24"/>
              </w:rPr>
              <w:t>职务：</w:t>
            </w:r>
          </w:p>
        </w:tc>
      </w:tr>
      <w:tr>
        <w:tblPrEx>
          <w:tblCellMar>
            <w:top w:w="0" w:type="dxa"/>
            <w:left w:w="108" w:type="dxa"/>
            <w:bottom w:w="0" w:type="dxa"/>
            <w:right w:w="108" w:type="dxa"/>
          </w:tblCellMar>
        </w:tblPrEx>
        <w:trPr>
          <w:trHeight w:val="600" w:hRule="atLeast"/>
        </w:trPr>
        <w:tc>
          <w:tcPr>
            <w:tcW w:w="4045" w:type="dxa"/>
            <w:noWrap w:val="0"/>
            <w:vAlign w:val="top"/>
          </w:tcPr>
          <w:p>
            <w:pPr>
              <w:snapToGrid w:val="0"/>
              <w:spacing w:line="360" w:lineRule="auto"/>
              <w:jc w:val="left"/>
              <w:rPr>
                <w:rFonts w:hint="eastAsia" w:ascii="宋体" w:hAnsi="宋体" w:cs="宋体"/>
                <w:spacing w:val="4"/>
                <w:sz w:val="24"/>
                <w:szCs w:val="24"/>
              </w:rPr>
            </w:pPr>
            <w:r>
              <w:rPr>
                <w:rFonts w:hint="eastAsia" w:ascii="宋体" w:hAnsi="宋体" w:cs="宋体"/>
                <w:spacing w:val="4"/>
                <w:sz w:val="24"/>
                <w:szCs w:val="24"/>
              </w:rPr>
              <w:t xml:space="preserve">                           </w:t>
            </w:r>
          </w:p>
        </w:tc>
        <w:tc>
          <w:tcPr>
            <w:tcW w:w="3844" w:type="dxa"/>
            <w:noWrap w:val="0"/>
            <w:vAlign w:val="top"/>
          </w:tcPr>
          <w:p>
            <w:pPr>
              <w:snapToGrid w:val="0"/>
              <w:spacing w:line="360" w:lineRule="auto"/>
              <w:ind w:firstLine="256" w:firstLineChars="100"/>
              <w:jc w:val="left"/>
              <w:rPr>
                <w:rFonts w:hint="eastAsia" w:ascii="宋体" w:hAnsi="宋体" w:cs="宋体"/>
                <w:spacing w:val="4"/>
                <w:sz w:val="24"/>
                <w:szCs w:val="24"/>
              </w:rPr>
            </w:pPr>
            <w:r>
              <w:rPr>
                <w:rFonts w:hint="eastAsia" w:ascii="宋体" w:hAnsi="宋体" w:cs="宋体"/>
                <w:spacing w:val="4"/>
                <w:sz w:val="24"/>
                <w:szCs w:val="24"/>
              </w:rPr>
              <w:t>所在部门：</w:t>
            </w:r>
          </w:p>
        </w:tc>
      </w:tr>
    </w:tbl>
    <w:p>
      <w:pPr>
        <w:snapToGrid w:val="0"/>
        <w:spacing w:line="360" w:lineRule="auto"/>
        <w:ind w:right="1120" w:firstLine="248" w:firstLineChars="100"/>
        <w:jc w:val="right"/>
        <w:rPr>
          <w:rFonts w:hint="eastAsia" w:ascii="宋体" w:hAnsi="宋体" w:cs="宋体"/>
          <w:sz w:val="24"/>
          <w:szCs w:val="24"/>
        </w:rPr>
      </w:pPr>
    </w:p>
    <w:p>
      <w:pPr>
        <w:snapToGrid w:val="0"/>
        <w:spacing w:line="360" w:lineRule="auto"/>
        <w:rPr>
          <w:rFonts w:hint="eastAsia" w:ascii="宋体" w:hAnsi="宋体" w:cs="宋体"/>
          <w:sz w:val="24"/>
          <w:szCs w:val="24"/>
          <w:u w:val="single"/>
        </w:rPr>
      </w:pPr>
      <w:r>
        <w:rPr>
          <w:rFonts w:hint="eastAsia" w:ascii="宋体" w:hAnsi="宋体" w:cs="宋体"/>
          <w:sz w:val="24"/>
          <w:szCs w:val="24"/>
        </w:rPr>
        <w:t>供应商（公章）：</w:t>
      </w:r>
      <w:r>
        <w:rPr>
          <w:rFonts w:hint="eastAsia" w:ascii="宋体" w:hAnsi="宋体" w:cs="宋体"/>
          <w:sz w:val="24"/>
          <w:szCs w:val="24"/>
          <w:u w:val="single"/>
        </w:rPr>
        <w:t xml:space="preserve">     （供应商名称）  </w:t>
      </w:r>
    </w:p>
    <w:p>
      <w:pPr>
        <w:pStyle w:val="26"/>
        <w:tabs>
          <w:tab w:val="right" w:leader="dot" w:pos="9060"/>
        </w:tabs>
        <w:ind w:left="0" w:leftChars="0" w:firstLine="0" w:firstLineChars="0"/>
        <w:rPr>
          <w:rFonts w:hint="eastAsia"/>
          <w:b w:val="0"/>
          <w:bCs/>
        </w:rPr>
      </w:pPr>
      <w:r>
        <w:rPr>
          <w:rFonts w:hint="eastAsia" w:ascii="宋体" w:hAnsi="宋体" w:cs="宋体"/>
          <w:b w:val="0"/>
          <w:bCs/>
          <w:sz w:val="24"/>
          <w:szCs w:val="24"/>
        </w:rPr>
        <w:t>日    期：     年     月     日</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0" w:hRule="atLeast"/>
          <w:jc w:val="center"/>
        </w:trPr>
        <w:tc>
          <w:tcPr>
            <w:tcW w:w="4643" w:type="dxa"/>
            <w:noWrap w:val="0"/>
            <w:vAlign w:val="center"/>
          </w:tcPr>
          <w:p>
            <w:pPr>
              <w:snapToGrid w:val="0"/>
              <w:spacing w:line="360" w:lineRule="auto"/>
              <w:jc w:val="center"/>
              <w:rPr>
                <w:rFonts w:hint="eastAsia" w:ascii="宋体" w:hAnsi="宋体" w:cs="宋体"/>
                <w:szCs w:val="21"/>
              </w:rPr>
            </w:pPr>
          </w:p>
          <w:p>
            <w:pPr>
              <w:snapToGrid w:val="0"/>
              <w:spacing w:line="360" w:lineRule="auto"/>
              <w:jc w:val="center"/>
              <w:rPr>
                <w:rFonts w:hint="eastAsia" w:ascii="宋体" w:hAnsi="宋体" w:cs="宋体"/>
                <w:szCs w:val="21"/>
              </w:rPr>
            </w:pPr>
            <w:r>
              <w:rPr>
                <w:rFonts w:hint="eastAsia" w:ascii="宋体" w:hAnsi="宋体" w:cs="宋体"/>
                <w:szCs w:val="21"/>
              </w:rPr>
              <w:t>法定代表人身份证复印件或扫描件</w:t>
            </w:r>
          </w:p>
          <w:p>
            <w:pPr>
              <w:snapToGrid w:val="0"/>
              <w:spacing w:line="360" w:lineRule="auto"/>
              <w:jc w:val="center"/>
              <w:rPr>
                <w:rFonts w:hint="eastAsia" w:ascii="宋体" w:hAnsi="宋体" w:cs="宋体"/>
                <w:szCs w:val="21"/>
              </w:rPr>
            </w:pPr>
            <w:r>
              <w:rPr>
                <w:rFonts w:hint="eastAsia" w:ascii="宋体" w:hAnsi="宋体" w:cs="宋体"/>
                <w:szCs w:val="21"/>
                <w:u w:val="none"/>
                <w:lang w:eastAsia="zh-CN"/>
              </w:rPr>
              <w:t>（国徽面、人像面）</w:t>
            </w:r>
          </w:p>
        </w:tc>
        <w:tc>
          <w:tcPr>
            <w:tcW w:w="4644" w:type="dxa"/>
            <w:noWrap w:val="0"/>
            <w:vAlign w:val="center"/>
          </w:tcPr>
          <w:p>
            <w:pPr>
              <w:snapToGrid w:val="0"/>
              <w:spacing w:line="360" w:lineRule="auto"/>
              <w:jc w:val="center"/>
              <w:rPr>
                <w:rFonts w:hint="eastAsia" w:ascii="宋体" w:hAnsi="宋体" w:cs="宋体"/>
                <w:szCs w:val="21"/>
              </w:rPr>
            </w:pPr>
          </w:p>
          <w:p>
            <w:pPr>
              <w:snapToGrid w:val="0"/>
              <w:spacing w:line="360" w:lineRule="auto"/>
              <w:jc w:val="center"/>
              <w:rPr>
                <w:rFonts w:hint="eastAsia" w:ascii="宋体" w:hAnsi="宋体" w:cs="宋体"/>
                <w:szCs w:val="21"/>
              </w:rPr>
            </w:pPr>
            <w:r>
              <w:rPr>
                <w:rFonts w:hint="eastAsia" w:ascii="宋体" w:hAnsi="宋体" w:cs="宋体"/>
                <w:szCs w:val="21"/>
              </w:rPr>
              <w:t>代理人身份证复印件或扫描件</w:t>
            </w:r>
          </w:p>
          <w:p>
            <w:pPr>
              <w:snapToGrid w:val="0"/>
              <w:spacing w:line="360" w:lineRule="auto"/>
              <w:jc w:val="center"/>
              <w:rPr>
                <w:rFonts w:hint="eastAsia" w:ascii="宋体" w:hAnsi="宋体" w:cs="宋体"/>
                <w:szCs w:val="21"/>
              </w:rPr>
            </w:pPr>
            <w:r>
              <w:rPr>
                <w:rFonts w:hint="eastAsia" w:ascii="宋体" w:hAnsi="宋体" w:cs="宋体"/>
                <w:szCs w:val="21"/>
                <w:u w:val="none"/>
                <w:lang w:eastAsia="zh-CN"/>
              </w:rPr>
              <w:t>（国徽面、人像面）</w:t>
            </w:r>
          </w:p>
        </w:tc>
      </w:tr>
    </w:tbl>
    <w:p>
      <w:pPr>
        <w:adjustRightInd w:val="0"/>
        <w:snapToGrid w:val="0"/>
        <w:spacing w:line="360" w:lineRule="auto"/>
        <w:jc w:val="left"/>
        <w:rPr>
          <w:rFonts w:hint="eastAsia" w:ascii="宋体" w:hAnsi="宋体" w:cs="宋体"/>
          <w:sz w:val="24"/>
          <w:szCs w:val="24"/>
        </w:rPr>
      </w:pPr>
    </w:p>
    <w:p>
      <w:pPr>
        <w:adjustRightInd w:val="0"/>
        <w:snapToGrid w:val="0"/>
        <w:spacing w:line="360" w:lineRule="auto"/>
        <w:jc w:val="left"/>
        <w:rPr>
          <w:rFonts w:hint="eastAsia" w:ascii="宋体" w:hAnsi="宋体" w:cs="宋体"/>
          <w:sz w:val="24"/>
          <w:szCs w:val="24"/>
        </w:rPr>
      </w:pPr>
    </w:p>
    <w:p>
      <w:pPr>
        <w:adjustRightInd w:val="0"/>
        <w:snapToGrid w:val="0"/>
        <w:spacing w:line="360" w:lineRule="auto"/>
        <w:jc w:val="left"/>
        <w:rPr>
          <w:rFonts w:hint="eastAsia" w:ascii="宋体" w:hAnsi="宋体" w:cs="宋体"/>
          <w:b/>
          <w:sz w:val="24"/>
          <w:szCs w:val="24"/>
        </w:rPr>
      </w:pPr>
      <w:r>
        <w:rPr>
          <w:rFonts w:hint="eastAsia" w:ascii="宋体" w:hAnsi="宋体" w:cs="宋体"/>
          <w:b/>
          <w:sz w:val="24"/>
          <w:szCs w:val="24"/>
        </w:rPr>
        <w:br w:type="page"/>
      </w:r>
      <w:r>
        <w:rPr>
          <w:rFonts w:hint="eastAsia" w:ascii="宋体" w:hAnsi="宋体" w:cs="宋体"/>
          <w:b/>
          <w:sz w:val="24"/>
          <w:szCs w:val="24"/>
        </w:rPr>
        <w:t>附件3</w:t>
      </w:r>
    </w:p>
    <w:p>
      <w:pPr>
        <w:adjustRightInd w:val="0"/>
        <w:snapToGrid w:val="0"/>
        <w:spacing w:line="360" w:lineRule="auto"/>
        <w:jc w:val="center"/>
        <w:rPr>
          <w:rFonts w:hint="eastAsia" w:ascii="宋体" w:hAnsi="宋体" w:cs="宋体"/>
          <w:b/>
          <w:sz w:val="24"/>
          <w:szCs w:val="24"/>
        </w:rPr>
      </w:pPr>
      <w:r>
        <w:rPr>
          <w:rFonts w:hint="eastAsia" w:ascii="宋体" w:hAnsi="宋体" w:cs="宋体"/>
          <w:b/>
          <w:sz w:val="24"/>
          <w:szCs w:val="24"/>
        </w:rPr>
        <w:t>供应商应提供具有履行合同所必需的设备和专业技术能力的说明及承诺</w:t>
      </w:r>
    </w:p>
    <w:p>
      <w:pPr>
        <w:adjustRightInd w:val="0"/>
        <w:snapToGrid w:val="0"/>
        <w:spacing w:line="360" w:lineRule="auto"/>
        <w:jc w:val="center"/>
        <w:rPr>
          <w:rFonts w:hint="eastAsia" w:ascii="宋体" w:hAnsi="宋体" w:cs="宋体"/>
          <w:b/>
          <w:sz w:val="28"/>
          <w:szCs w:val="28"/>
        </w:rPr>
      </w:pPr>
    </w:p>
    <w:p>
      <w:pPr>
        <w:snapToGrid w:val="0"/>
        <w:spacing w:line="360" w:lineRule="auto"/>
        <w:rPr>
          <w:rFonts w:hint="eastAsia" w:ascii="宋体" w:hAnsi="宋体" w:cs="宋体"/>
          <w:spacing w:val="4"/>
          <w:sz w:val="24"/>
          <w:szCs w:val="24"/>
          <w:u w:val="single"/>
        </w:rPr>
      </w:pPr>
      <w:r>
        <w:rPr>
          <w:rFonts w:hint="eastAsia" w:ascii="宋体" w:hAnsi="宋体" w:cs="宋体"/>
          <w:spacing w:val="4"/>
          <w:sz w:val="24"/>
          <w:szCs w:val="24"/>
          <w:u w:val="single"/>
        </w:rPr>
        <w:t>（采购人名称）：</w:t>
      </w:r>
    </w:p>
    <w:p>
      <w:pPr>
        <w:snapToGrid w:val="0"/>
        <w:spacing w:before="240" w:beforeLines="100" w:after="120" w:afterLines="50" w:line="360" w:lineRule="auto"/>
        <w:ind w:firstLine="640" w:firstLineChars="250"/>
        <w:rPr>
          <w:rFonts w:hint="eastAsia" w:ascii="宋体" w:hAnsi="宋体" w:cs="宋体"/>
          <w:spacing w:val="4"/>
          <w:sz w:val="24"/>
          <w:szCs w:val="24"/>
        </w:rPr>
      </w:pPr>
      <w:r>
        <w:rPr>
          <w:rFonts w:hint="eastAsia" w:ascii="宋体" w:hAnsi="宋体" w:cs="宋体"/>
          <w:spacing w:val="4"/>
          <w:sz w:val="24"/>
          <w:szCs w:val="24"/>
          <w:u w:val="single"/>
        </w:rPr>
        <w:t xml:space="preserve">   （供应商名称）    </w:t>
      </w:r>
      <w:r>
        <w:rPr>
          <w:rFonts w:hint="eastAsia" w:ascii="宋体" w:hAnsi="宋体" w:cs="宋体"/>
          <w:spacing w:val="4"/>
          <w:sz w:val="24"/>
          <w:szCs w:val="24"/>
        </w:rPr>
        <w:t xml:space="preserve"> 于</w:t>
      </w:r>
      <w:r>
        <w:rPr>
          <w:rFonts w:hint="eastAsia" w:ascii="宋体" w:hAnsi="宋体" w:cs="宋体"/>
          <w:spacing w:val="4"/>
          <w:sz w:val="24"/>
          <w:szCs w:val="24"/>
          <w:u w:val="single"/>
        </w:rPr>
        <w:t xml:space="preserve">     </w:t>
      </w:r>
      <w:r>
        <w:rPr>
          <w:rFonts w:hint="eastAsia" w:ascii="宋体" w:hAnsi="宋体" w:cs="宋体"/>
          <w:spacing w:val="4"/>
          <w:sz w:val="24"/>
          <w:szCs w:val="24"/>
        </w:rPr>
        <w:t>年</w:t>
      </w:r>
      <w:r>
        <w:rPr>
          <w:rFonts w:hint="eastAsia" w:ascii="宋体" w:hAnsi="宋体" w:cs="宋体"/>
          <w:spacing w:val="4"/>
          <w:sz w:val="24"/>
          <w:szCs w:val="24"/>
          <w:u w:val="single"/>
        </w:rPr>
        <w:t xml:space="preserve">    </w:t>
      </w:r>
      <w:r>
        <w:rPr>
          <w:rFonts w:hint="eastAsia" w:ascii="宋体" w:hAnsi="宋体" w:cs="宋体"/>
          <w:spacing w:val="4"/>
          <w:sz w:val="24"/>
          <w:szCs w:val="24"/>
        </w:rPr>
        <w:t>月</w:t>
      </w:r>
      <w:r>
        <w:rPr>
          <w:rFonts w:hint="eastAsia" w:ascii="宋体" w:hAnsi="宋体" w:cs="宋体"/>
          <w:spacing w:val="4"/>
          <w:sz w:val="24"/>
          <w:szCs w:val="24"/>
          <w:u w:val="single"/>
        </w:rPr>
        <w:t xml:space="preserve">   </w:t>
      </w:r>
      <w:r>
        <w:rPr>
          <w:rFonts w:hint="eastAsia" w:ascii="宋体" w:hAnsi="宋体" w:cs="宋体"/>
          <w:spacing w:val="4"/>
          <w:sz w:val="24"/>
          <w:szCs w:val="24"/>
        </w:rPr>
        <w:t>日在中华人民共和国境内</w:t>
      </w:r>
      <w:r>
        <w:rPr>
          <w:rFonts w:hint="eastAsia" w:ascii="宋体" w:hAnsi="宋体" w:cs="宋体"/>
          <w:spacing w:val="4"/>
          <w:sz w:val="24"/>
          <w:szCs w:val="24"/>
          <w:u w:val="single"/>
        </w:rPr>
        <w:t xml:space="preserve">               （详细注册地址）     </w:t>
      </w:r>
      <w:r>
        <w:rPr>
          <w:rFonts w:hint="eastAsia" w:ascii="宋体" w:hAnsi="宋体" w:cs="宋体"/>
          <w:spacing w:val="4"/>
          <w:sz w:val="24"/>
          <w:szCs w:val="24"/>
        </w:rPr>
        <w:t>合法注册并经营，公司主营业务为</w:t>
      </w:r>
      <w:r>
        <w:rPr>
          <w:rFonts w:hint="eastAsia" w:ascii="宋体" w:hAnsi="宋体" w:cs="宋体"/>
          <w:spacing w:val="4"/>
          <w:sz w:val="24"/>
          <w:szCs w:val="24"/>
          <w:u w:val="single"/>
        </w:rPr>
        <w:t xml:space="preserve">                    </w:t>
      </w:r>
      <w:r>
        <w:rPr>
          <w:rFonts w:hint="eastAsia" w:ascii="宋体" w:hAnsi="宋体" w:cs="宋体"/>
          <w:spacing w:val="4"/>
          <w:sz w:val="24"/>
          <w:szCs w:val="24"/>
        </w:rPr>
        <w:t>，营业（生产经营）面积为</w:t>
      </w:r>
      <w:r>
        <w:rPr>
          <w:rFonts w:hint="eastAsia" w:ascii="宋体" w:hAnsi="宋体" w:cs="宋体"/>
          <w:spacing w:val="4"/>
          <w:sz w:val="24"/>
          <w:szCs w:val="24"/>
          <w:u w:val="single"/>
        </w:rPr>
        <w:t xml:space="preserve">             </w:t>
      </w:r>
      <w:r>
        <w:rPr>
          <w:rFonts w:hint="eastAsia" w:ascii="宋体" w:hAnsi="宋体" w:cs="宋体"/>
          <w:spacing w:val="4"/>
          <w:sz w:val="24"/>
          <w:szCs w:val="24"/>
        </w:rPr>
        <w:t xml:space="preserve"> ，现有员工数量为</w:t>
      </w:r>
      <w:r>
        <w:rPr>
          <w:rFonts w:hint="eastAsia" w:ascii="宋体" w:hAnsi="宋体" w:cs="宋体"/>
          <w:spacing w:val="4"/>
          <w:sz w:val="24"/>
          <w:szCs w:val="24"/>
          <w:u w:val="single"/>
        </w:rPr>
        <w:t xml:space="preserve">         </w:t>
      </w:r>
      <w:r>
        <w:rPr>
          <w:rFonts w:hint="eastAsia" w:ascii="宋体" w:hAnsi="宋体" w:cs="宋体"/>
          <w:spacing w:val="4"/>
          <w:sz w:val="24"/>
          <w:szCs w:val="24"/>
        </w:rPr>
        <w:t>，其中与履行本合同相关的专业技术人员有（</w:t>
      </w:r>
      <w:r>
        <w:rPr>
          <w:rFonts w:hint="eastAsia" w:ascii="宋体" w:hAnsi="宋体" w:cs="宋体"/>
          <w:spacing w:val="4"/>
          <w:sz w:val="24"/>
          <w:szCs w:val="24"/>
          <w:u w:val="single"/>
        </w:rPr>
        <w:t xml:space="preserve">             专业能力、数量        </w:t>
      </w:r>
      <w:r>
        <w:rPr>
          <w:rFonts w:hint="eastAsia" w:ascii="宋体" w:hAnsi="宋体" w:cs="宋体"/>
          <w:spacing w:val="4"/>
          <w:sz w:val="24"/>
          <w:szCs w:val="24"/>
        </w:rPr>
        <w:t>），本公司郑重承诺，我单位具有履行本合同所必需的设备和专业技术能力。</w:t>
      </w:r>
    </w:p>
    <w:p>
      <w:pPr>
        <w:snapToGrid w:val="0"/>
        <w:spacing w:before="240" w:beforeLines="100" w:after="120" w:afterLines="50" w:line="360" w:lineRule="auto"/>
        <w:ind w:firstLine="170"/>
        <w:rPr>
          <w:rFonts w:hint="eastAsia" w:ascii="宋体" w:hAnsi="宋体" w:cs="宋体"/>
          <w:spacing w:val="4"/>
          <w:sz w:val="24"/>
          <w:szCs w:val="24"/>
        </w:rPr>
      </w:pPr>
    </w:p>
    <w:p>
      <w:pPr>
        <w:snapToGrid w:val="0"/>
        <w:spacing w:before="240" w:beforeLines="100" w:after="120" w:afterLines="50" w:line="360" w:lineRule="auto"/>
        <w:ind w:firstLine="170"/>
        <w:rPr>
          <w:rFonts w:hint="eastAsia" w:ascii="宋体" w:hAnsi="宋体" w:cs="宋体"/>
          <w:spacing w:val="4"/>
          <w:sz w:val="24"/>
          <w:szCs w:val="24"/>
        </w:rPr>
      </w:pPr>
    </w:p>
    <w:p>
      <w:pPr>
        <w:pStyle w:val="113"/>
        <w:rPr>
          <w:rFonts w:hint="eastAsia" w:ascii="宋体" w:hAnsi="宋体" w:cs="宋体"/>
          <w:spacing w:val="4"/>
          <w:sz w:val="24"/>
          <w:szCs w:val="24"/>
        </w:rPr>
      </w:pPr>
    </w:p>
    <w:p>
      <w:pPr>
        <w:pStyle w:val="113"/>
        <w:rPr>
          <w:rFonts w:hint="eastAsia" w:ascii="宋体" w:hAnsi="宋体" w:cs="宋体"/>
          <w:spacing w:val="4"/>
          <w:sz w:val="24"/>
          <w:szCs w:val="24"/>
        </w:rPr>
      </w:pPr>
    </w:p>
    <w:p>
      <w:pPr>
        <w:tabs>
          <w:tab w:val="center" w:pos="4153"/>
          <w:tab w:val="right" w:pos="8306"/>
        </w:tabs>
        <w:snapToGrid w:val="0"/>
        <w:spacing w:line="360" w:lineRule="auto"/>
        <w:jc w:val="left"/>
        <w:rPr>
          <w:rFonts w:hint="eastAsia" w:ascii="宋体" w:hAnsi="宋体" w:cs="宋体"/>
          <w:sz w:val="24"/>
          <w:szCs w:val="24"/>
        </w:rPr>
      </w:pPr>
    </w:p>
    <w:p>
      <w:pPr>
        <w:snapToGrid w:val="0"/>
        <w:spacing w:line="360" w:lineRule="auto"/>
        <w:rPr>
          <w:rFonts w:hint="eastAsia" w:ascii="宋体" w:hAnsi="宋体" w:cs="宋体"/>
          <w:sz w:val="24"/>
          <w:szCs w:val="24"/>
        </w:rPr>
      </w:pPr>
      <w:r>
        <w:rPr>
          <w:rFonts w:hint="eastAsia" w:ascii="宋体" w:hAnsi="宋体" w:cs="宋体"/>
          <w:sz w:val="24"/>
          <w:szCs w:val="24"/>
        </w:rPr>
        <w:t>供应商（公章）：</w:t>
      </w:r>
      <w:r>
        <w:rPr>
          <w:rFonts w:hint="eastAsia" w:ascii="宋体" w:hAnsi="宋体" w:cs="宋体"/>
          <w:sz w:val="24"/>
          <w:szCs w:val="24"/>
          <w:u w:val="single"/>
        </w:rPr>
        <w:t xml:space="preserve">     （供应商名称）         </w:t>
      </w:r>
    </w:p>
    <w:p>
      <w:pPr>
        <w:snapToGrid w:val="0"/>
        <w:spacing w:line="360" w:lineRule="auto"/>
        <w:rPr>
          <w:rFonts w:hint="eastAsia" w:ascii="宋体" w:hAnsi="宋体" w:cs="宋体"/>
          <w:sz w:val="24"/>
          <w:szCs w:val="24"/>
          <w:u w:val="single"/>
        </w:rPr>
      </w:pPr>
      <w:r>
        <w:rPr>
          <w:rFonts w:hint="eastAsia" w:ascii="宋体" w:hAnsi="宋体" w:cs="宋体"/>
          <w:sz w:val="24"/>
          <w:szCs w:val="24"/>
        </w:rPr>
        <w:t xml:space="preserve">法定代表人/授权代表（签字或盖章）： </w:t>
      </w:r>
      <w:r>
        <w:rPr>
          <w:rFonts w:hint="eastAsia" w:ascii="宋体" w:hAnsi="宋体" w:cs="宋体"/>
          <w:sz w:val="24"/>
          <w:szCs w:val="24"/>
          <w:u w:val="single"/>
        </w:rPr>
        <w:t xml:space="preserve">       </w:t>
      </w:r>
      <w:r>
        <w:rPr>
          <w:rFonts w:hint="eastAsia" w:ascii="宋体" w:hAnsi="宋体" w:cs="宋体"/>
          <w:sz w:val="24"/>
          <w:szCs w:val="24"/>
        </w:rPr>
        <w:t xml:space="preserve"> </w:t>
      </w:r>
    </w:p>
    <w:p>
      <w:pPr>
        <w:adjustRightInd w:val="0"/>
        <w:snapToGrid w:val="0"/>
        <w:spacing w:line="360" w:lineRule="auto"/>
        <w:rPr>
          <w:rFonts w:hint="eastAsia" w:ascii="宋体" w:hAnsi="宋体" w:cs="宋体"/>
          <w:sz w:val="24"/>
          <w:szCs w:val="24"/>
          <w:u w:val="single"/>
        </w:rPr>
      </w:pPr>
      <w:r>
        <w:rPr>
          <w:rFonts w:hint="eastAsia" w:ascii="宋体" w:hAnsi="宋体" w:cs="宋体"/>
          <w:sz w:val="24"/>
          <w:szCs w:val="24"/>
        </w:rPr>
        <w:t>日    期：</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年</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月</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日</w:t>
      </w:r>
    </w:p>
    <w:p>
      <w:pPr>
        <w:adjustRightInd w:val="0"/>
        <w:snapToGrid w:val="0"/>
        <w:spacing w:line="360" w:lineRule="auto"/>
        <w:jc w:val="left"/>
        <w:rPr>
          <w:rFonts w:hint="eastAsia" w:ascii="宋体" w:hAnsi="宋体" w:cs="宋体"/>
          <w:b/>
          <w:sz w:val="24"/>
          <w:szCs w:val="24"/>
        </w:rPr>
      </w:pPr>
      <w:r>
        <w:rPr>
          <w:rFonts w:hint="eastAsia" w:ascii="宋体" w:hAnsi="宋体" w:cs="宋体"/>
          <w:b/>
          <w:bCs/>
          <w:sz w:val="24"/>
          <w:szCs w:val="24"/>
          <w:lang w:val="zh-CN"/>
        </w:rPr>
        <w:br w:type="page"/>
      </w:r>
      <w:r>
        <w:rPr>
          <w:rFonts w:hint="eastAsia" w:ascii="宋体" w:hAnsi="宋体" w:cs="宋体"/>
          <w:b/>
          <w:sz w:val="24"/>
          <w:szCs w:val="24"/>
        </w:rPr>
        <w:t>附件4</w:t>
      </w:r>
    </w:p>
    <w:bookmarkEnd w:id="246"/>
    <w:p>
      <w:pPr>
        <w:pStyle w:val="20"/>
        <w:adjustRightInd w:val="0"/>
        <w:snapToGrid w:val="0"/>
        <w:spacing w:line="360" w:lineRule="auto"/>
        <w:jc w:val="center"/>
        <w:rPr>
          <w:rFonts w:hint="eastAsia" w:ascii="宋体" w:hAnsi="宋体" w:cs="宋体" w:eastAsiaTheme="minorEastAsia"/>
          <w:b/>
          <w:sz w:val="24"/>
          <w:szCs w:val="24"/>
          <w:lang w:val="en-US" w:eastAsia="zh-CN" w:bidi="ar-SA"/>
        </w:rPr>
      </w:pPr>
      <w:r>
        <w:rPr>
          <w:rFonts w:hint="eastAsia" w:ascii="宋体" w:hAnsi="宋体" w:cs="宋体" w:eastAsiaTheme="minorEastAsia"/>
          <w:b/>
          <w:sz w:val="24"/>
          <w:szCs w:val="24"/>
          <w:lang w:val="en-US" w:eastAsia="zh-CN" w:bidi="ar-SA"/>
        </w:rPr>
        <w:t>参加政府采购活动前三年内，在经营活动中没有重大违法记录的书面声明</w:t>
      </w:r>
    </w:p>
    <w:p>
      <w:pPr>
        <w:pStyle w:val="20"/>
        <w:adjustRightInd w:val="0"/>
        <w:snapToGrid w:val="0"/>
        <w:spacing w:line="360" w:lineRule="auto"/>
        <w:jc w:val="center"/>
        <w:rPr>
          <w:rFonts w:hint="eastAsia" w:hAnsi="宋体" w:cs="宋体"/>
          <w:b/>
          <w:sz w:val="13"/>
          <w:szCs w:val="13"/>
        </w:rPr>
      </w:pPr>
    </w:p>
    <w:p>
      <w:pPr>
        <w:autoSpaceDE w:val="0"/>
        <w:autoSpaceDN w:val="0"/>
        <w:adjustRightInd w:val="0"/>
        <w:snapToGrid w:val="0"/>
        <w:spacing w:line="360" w:lineRule="auto"/>
        <w:rPr>
          <w:rFonts w:hint="eastAsia" w:ascii="宋体" w:hAnsi="宋体" w:eastAsia="宋体" w:cs="宋体"/>
          <w:spacing w:val="4"/>
          <w:sz w:val="24"/>
          <w:szCs w:val="24"/>
          <w:lang w:eastAsia="zh-CN"/>
        </w:rPr>
      </w:pPr>
      <w:r>
        <w:rPr>
          <w:rFonts w:hint="eastAsia" w:ascii="宋体" w:hAnsi="宋体" w:cs="宋体"/>
          <w:spacing w:val="4"/>
          <w:sz w:val="24"/>
          <w:szCs w:val="24"/>
          <w:u w:val="single"/>
        </w:rPr>
        <w:t>（采购人名称）</w:t>
      </w:r>
      <w:r>
        <w:rPr>
          <w:rFonts w:hint="eastAsia" w:ascii="宋体" w:hAnsi="宋体" w:cs="宋体"/>
          <w:spacing w:val="4"/>
          <w:sz w:val="24"/>
          <w:szCs w:val="24"/>
        </w:rPr>
        <w:t>：</w:t>
      </w:r>
    </w:p>
    <w:p>
      <w:pPr>
        <w:autoSpaceDE w:val="0"/>
        <w:autoSpaceDN w:val="0"/>
        <w:adjustRightInd w:val="0"/>
        <w:snapToGrid w:val="0"/>
        <w:spacing w:line="360" w:lineRule="auto"/>
        <w:rPr>
          <w:rFonts w:hint="eastAsia" w:ascii="宋体" w:hAnsi="宋体" w:eastAsia="宋体" w:cs="宋体"/>
          <w:sz w:val="24"/>
          <w:szCs w:val="24"/>
          <w:lang w:eastAsia="zh-CN"/>
        </w:rPr>
      </w:pPr>
      <w:r>
        <w:rPr>
          <w:rFonts w:hint="eastAsia" w:ascii="宋体" w:hAnsi="宋体" w:cs="宋体"/>
          <w:sz w:val="24"/>
          <w:szCs w:val="24"/>
        </w:rPr>
        <w:t xml:space="preserve">    我方郑重声明在参加本次政府采购活动前3年内的经营活动没有重大违法记录，以及未被列入失信被执行人、重大税收违法案件当事人名单、政府采购严重违法失信行为记录名单。如有不实，我方将无条件退出本项目的采购活动，并遵照有关"提供虚假材料的规定"接受处罚。</w:t>
      </w:r>
    </w:p>
    <w:p>
      <w:pPr>
        <w:autoSpaceDE w:val="0"/>
        <w:autoSpaceDN w:val="0"/>
        <w:adjustRightInd w:val="0"/>
        <w:snapToGrid w:val="0"/>
        <w:spacing w:line="360" w:lineRule="auto"/>
        <w:rPr>
          <w:rFonts w:hint="eastAsia" w:ascii="宋体" w:hAnsi="宋体" w:cs="宋体"/>
          <w:sz w:val="24"/>
          <w:szCs w:val="24"/>
        </w:rPr>
      </w:pPr>
      <w:r>
        <w:rPr>
          <w:rFonts w:hint="eastAsia" w:ascii="宋体" w:hAnsi="宋体" w:cs="宋体"/>
          <w:sz w:val="24"/>
          <w:szCs w:val="24"/>
        </w:rPr>
        <w:t xml:space="preserve">    </w:t>
      </w:r>
    </w:p>
    <w:p>
      <w:pPr>
        <w:autoSpaceDE w:val="0"/>
        <w:autoSpaceDN w:val="0"/>
        <w:adjustRightInd w:val="0"/>
        <w:snapToGrid w:val="0"/>
        <w:spacing w:line="360" w:lineRule="auto"/>
        <w:rPr>
          <w:rFonts w:hint="eastAsia" w:ascii="宋体" w:hAnsi="宋体" w:cs="宋体"/>
          <w:sz w:val="24"/>
          <w:szCs w:val="24"/>
        </w:rPr>
      </w:pPr>
      <w:r>
        <w:rPr>
          <w:rFonts w:hint="eastAsia" w:ascii="宋体" w:hAnsi="宋体" w:cs="宋体"/>
          <w:sz w:val="24"/>
          <w:szCs w:val="24"/>
        </w:rPr>
        <w:t>特此声明。</w:t>
      </w:r>
    </w:p>
    <w:p>
      <w:pPr>
        <w:autoSpaceDE w:val="0"/>
        <w:autoSpaceDN w:val="0"/>
        <w:adjustRightInd w:val="0"/>
        <w:snapToGrid w:val="0"/>
        <w:spacing w:line="360" w:lineRule="auto"/>
        <w:rPr>
          <w:rFonts w:hint="eastAsia" w:ascii="宋体" w:hAnsi="宋体" w:cs="宋体"/>
          <w:sz w:val="24"/>
          <w:szCs w:val="24"/>
        </w:rPr>
      </w:pPr>
    </w:p>
    <w:p>
      <w:pPr>
        <w:autoSpaceDE w:val="0"/>
        <w:autoSpaceDN w:val="0"/>
        <w:adjustRightInd w:val="0"/>
        <w:snapToGrid w:val="0"/>
        <w:spacing w:line="360" w:lineRule="auto"/>
        <w:ind w:firstLine="496" w:firstLineChars="200"/>
        <w:rPr>
          <w:rFonts w:hint="eastAsia" w:ascii="宋体" w:hAnsi="宋体" w:cs="宋体"/>
          <w:sz w:val="24"/>
          <w:szCs w:val="24"/>
        </w:rPr>
      </w:pPr>
    </w:p>
    <w:p>
      <w:pPr>
        <w:autoSpaceDE w:val="0"/>
        <w:autoSpaceDN w:val="0"/>
        <w:adjustRightInd w:val="0"/>
        <w:snapToGrid w:val="0"/>
        <w:spacing w:line="360" w:lineRule="auto"/>
        <w:ind w:firstLine="496" w:firstLineChars="200"/>
        <w:rPr>
          <w:rFonts w:hint="eastAsia" w:ascii="宋体" w:hAnsi="宋体" w:cs="宋体"/>
          <w:sz w:val="24"/>
          <w:szCs w:val="24"/>
        </w:rPr>
      </w:pPr>
    </w:p>
    <w:p>
      <w:pPr>
        <w:snapToGrid w:val="0"/>
        <w:spacing w:line="360" w:lineRule="auto"/>
        <w:rPr>
          <w:rFonts w:hint="eastAsia" w:ascii="宋体" w:hAnsi="宋体" w:cs="宋体"/>
          <w:sz w:val="24"/>
          <w:szCs w:val="24"/>
        </w:rPr>
      </w:pPr>
      <w:r>
        <w:rPr>
          <w:rFonts w:hint="eastAsia" w:ascii="宋体" w:hAnsi="宋体" w:cs="宋体"/>
          <w:sz w:val="24"/>
          <w:szCs w:val="24"/>
        </w:rPr>
        <w:t>供应商（公章）：</w:t>
      </w:r>
      <w:r>
        <w:rPr>
          <w:rFonts w:hint="eastAsia" w:ascii="宋体" w:hAnsi="宋体" w:cs="宋体"/>
          <w:sz w:val="24"/>
          <w:szCs w:val="24"/>
          <w:u w:val="single"/>
        </w:rPr>
        <w:t xml:space="preserve">     （供应商名称）         </w:t>
      </w:r>
    </w:p>
    <w:p>
      <w:pPr>
        <w:snapToGrid w:val="0"/>
        <w:spacing w:line="360" w:lineRule="auto"/>
        <w:rPr>
          <w:rFonts w:hint="eastAsia" w:ascii="宋体" w:hAnsi="宋体" w:cs="宋体"/>
          <w:sz w:val="24"/>
          <w:szCs w:val="24"/>
          <w:u w:val="single"/>
        </w:rPr>
      </w:pPr>
      <w:r>
        <w:rPr>
          <w:rFonts w:hint="eastAsia" w:ascii="宋体" w:hAnsi="宋体" w:cs="宋体"/>
          <w:sz w:val="24"/>
          <w:szCs w:val="24"/>
        </w:rPr>
        <w:t xml:space="preserve">法定代表人/授权代表（签字或盖章）： </w:t>
      </w:r>
      <w:r>
        <w:rPr>
          <w:rFonts w:hint="eastAsia" w:ascii="宋体" w:hAnsi="宋体" w:cs="宋体"/>
          <w:sz w:val="24"/>
          <w:szCs w:val="24"/>
          <w:u w:val="single"/>
        </w:rPr>
        <w:t xml:space="preserve">       </w:t>
      </w:r>
      <w:r>
        <w:rPr>
          <w:rFonts w:hint="eastAsia" w:ascii="宋体" w:hAnsi="宋体" w:cs="宋体"/>
          <w:sz w:val="24"/>
          <w:szCs w:val="24"/>
        </w:rPr>
        <w:t xml:space="preserve"> </w:t>
      </w:r>
    </w:p>
    <w:p>
      <w:pPr>
        <w:autoSpaceDE w:val="0"/>
        <w:autoSpaceDN w:val="0"/>
        <w:adjustRightInd w:val="0"/>
        <w:snapToGrid w:val="0"/>
        <w:spacing w:line="360" w:lineRule="auto"/>
        <w:rPr>
          <w:rFonts w:hint="eastAsia" w:ascii="宋体" w:hAnsi="宋体" w:cs="宋体"/>
          <w:sz w:val="24"/>
          <w:szCs w:val="24"/>
          <w:u w:val="single"/>
        </w:rPr>
      </w:pPr>
      <w:r>
        <w:rPr>
          <w:rFonts w:hint="eastAsia" w:ascii="宋体" w:hAnsi="宋体" w:cs="宋体"/>
          <w:sz w:val="24"/>
          <w:szCs w:val="24"/>
        </w:rPr>
        <w:t>日    期：</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年</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月</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日</w:t>
      </w:r>
    </w:p>
    <w:p>
      <w:pPr>
        <w:pStyle w:val="20"/>
        <w:adjustRightInd w:val="0"/>
        <w:snapToGrid w:val="0"/>
        <w:spacing w:line="360" w:lineRule="auto"/>
        <w:jc w:val="center"/>
        <w:rPr>
          <w:rFonts w:hint="eastAsia" w:hAnsi="宋体" w:cs="宋体"/>
          <w:sz w:val="24"/>
          <w:szCs w:val="24"/>
          <w:u w:val="single"/>
        </w:rPr>
      </w:pPr>
    </w:p>
    <w:p>
      <w:pPr>
        <w:adjustRightInd w:val="0"/>
        <w:snapToGrid w:val="0"/>
        <w:spacing w:line="360" w:lineRule="auto"/>
        <w:jc w:val="left"/>
        <w:rPr>
          <w:rFonts w:hint="eastAsia" w:ascii="宋体" w:hAnsi="宋体" w:cs="宋体"/>
          <w:sz w:val="28"/>
          <w:szCs w:val="28"/>
          <w:lang w:val="zh-CN"/>
        </w:rPr>
      </w:pPr>
      <w:r>
        <w:rPr>
          <w:rFonts w:hint="eastAsia" w:ascii="宋体" w:hAnsi="宋体" w:cs="宋体"/>
          <w:sz w:val="28"/>
          <w:szCs w:val="28"/>
          <w:lang w:val="zh-CN"/>
        </w:rPr>
        <w:br w:type="page"/>
      </w:r>
      <w:bookmarkStart w:id="247" w:name="_Toc7150"/>
      <w:bookmarkStart w:id="248" w:name="_Toc35362678"/>
      <w:r>
        <w:rPr>
          <w:rFonts w:hint="eastAsia" w:ascii="宋体" w:hAnsi="宋体" w:cs="宋体"/>
          <w:b/>
          <w:sz w:val="24"/>
          <w:szCs w:val="24"/>
        </w:rPr>
        <w:t>附件5</w:t>
      </w:r>
    </w:p>
    <w:bookmarkEnd w:id="247"/>
    <w:bookmarkEnd w:id="248"/>
    <w:p>
      <w:pPr>
        <w:adjustRightInd w:val="0"/>
        <w:snapToGrid w:val="0"/>
        <w:spacing w:line="360" w:lineRule="auto"/>
        <w:jc w:val="center"/>
        <w:rPr>
          <w:rFonts w:hint="eastAsia" w:ascii="宋体" w:hAnsi="宋体" w:cs="宋体"/>
          <w:b/>
          <w:kern w:val="0"/>
          <w:sz w:val="24"/>
          <w:szCs w:val="24"/>
        </w:rPr>
      </w:pPr>
      <w:r>
        <w:rPr>
          <w:rFonts w:hint="eastAsia" w:ascii="宋体" w:hAnsi="宋体" w:cs="宋体"/>
          <w:b/>
          <w:kern w:val="0"/>
          <w:sz w:val="24"/>
          <w:szCs w:val="24"/>
        </w:rPr>
        <w:t>供应商企业关系关联承诺书</w:t>
      </w:r>
    </w:p>
    <w:p>
      <w:pPr>
        <w:autoSpaceDE w:val="0"/>
        <w:autoSpaceDN w:val="0"/>
        <w:adjustRightInd w:val="0"/>
        <w:snapToGrid w:val="0"/>
        <w:spacing w:line="360" w:lineRule="auto"/>
        <w:ind w:firstLine="496" w:firstLineChars="200"/>
        <w:jc w:val="left"/>
        <w:rPr>
          <w:rFonts w:hint="eastAsia" w:ascii="宋体" w:hAnsi="宋体" w:cs="宋体"/>
          <w:sz w:val="24"/>
          <w:szCs w:val="24"/>
          <w:lang w:val="zh-CN"/>
        </w:rPr>
      </w:pPr>
      <w:r>
        <w:rPr>
          <w:rFonts w:hint="eastAsia" w:ascii="宋体" w:hAnsi="宋体" w:cs="宋体"/>
          <w:sz w:val="24"/>
          <w:szCs w:val="24"/>
          <w:lang w:val="zh-CN"/>
        </w:rPr>
        <w:t>我方承诺，不存在相关法律法规规定的禁止</w:t>
      </w:r>
      <w:r>
        <w:rPr>
          <w:rFonts w:hint="eastAsia" w:ascii="宋体" w:hAnsi="宋体" w:cs="宋体"/>
          <w:sz w:val="24"/>
          <w:szCs w:val="24"/>
          <w:lang w:val="en-US" w:eastAsia="zh-CN"/>
        </w:rPr>
        <w:t>投标</w:t>
      </w:r>
      <w:r>
        <w:rPr>
          <w:rFonts w:hint="eastAsia" w:ascii="宋体" w:hAnsi="宋体" w:cs="宋体"/>
          <w:sz w:val="24"/>
          <w:szCs w:val="24"/>
          <w:lang w:val="zh-CN"/>
        </w:rPr>
        <w:t>的情形。我单位的股权关系、与其他单位的管理关系和其他与本项目有关的利害关系等，作如下说明和承诺：</w:t>
      </w:r>
    </w:p>
    <w:p>
      <w:pPr>
        <w:autoSpaceDE w:val="0"/>
        <w:autoSpaceDN w:val="0"/>
        <w:adjustRightInd w:val="0"/>
        <w:snapToGrid w:val="0"/>
        <w:spacing w:line="360" w:lineRule="auto"/>
        <w:ind w:firstLine="496" w:firstLineChars="200"/>
        <w:jc w:val="left"/>
        <w:rPr>
          <w:rFonts w:hint="eastAsia" w:ascii="宋体" w:hAnsi="宋体" w:cs="宋体"/>
          <w:sz w:val="24"/>
          <w:szCs w:val="24"/>
          <w:lang w:val="zh-CN"/>
        </w:rPr>
      </w:pPr>
      <w:r>
        <w:rPr>
          <w:rFonts w:hint="eastAsia" w:ascii="宋体" w:hAnsi="宋体" w:cs="宋体"/>
          <w:sz w:val="24"/>
          <w:szCs w:val="24"/>
          <w:lang w:val="zh-CN"/>
        </w:rPr>
        <w:t>1.我方在本项目</w:t>
      </w:r>
      <w:r>
        <w:rPr>
          <w:rFonts w:hint="eastAsia" w:ascii="宋体" w:hAnsi="宋体" w:cs="宋体"/>
          <w:sz w:val="24"/>
          <w:szCs w:val="24"/>
          <w:lang w:val="en-US" w:eastAsia="zh-CN"/>
        </w:rPr>
        <w:t>投标</w:t>
      </w:r>
      <w:r>
        <w:rPr>
          <w:rFonts w:hint="eastAsia" w:ascii="宋体" w:hAnsi="宋体" w:cs="宋体"/>
          <w:sz w:val="24"/>
          <w:szCs w:val="24"/>
          <w:lang w:val="zh-CN"/>
        </w:rPr>
        <w:t>中，不存在与其他供应商单位负责人为同一人或者存在直接控股、管理关系。</w:t>
      </w:r>
    </w:p>
    <w:p>
      <w:pPr>
        <w:autoSpaceDE w:val="0"/>
        <w:autoSpaceDN w:val="0"/>
        <w:adjustRightInd w:val="0"/>
        <w:snapToGrid w:val="0"/>
        <w:spacing w:line="360" w:lineRule="auto"/>
        <w:ind w:firstLine="496" w:firstLineChars="200"/>
        <w:jc w:val="left"/>
        <w:rPr>
          <w:rFonts w:hint="eastAsia" w:ascii="宋体" w:hAnsi="宋体" w:cs="宋体"/>
          <w:sz w:val="24"/>
          <w:szCs w:val="24"/>
          <w:lang w:val="zh-CN"/>
        </w:rPr>
      </w:pPr>
      <w:r>
        <w:rPr>
          <w:rFonts w:hint="eastAsia" w:ascii="宋体" w:hAnsi="宋体" w:cs="宋体"/>
          <w:sz w:val="24"/>
          <w:szCs w:val="24"/>
          <w:lang w:val="zh-CN"/>
        </w:rPr>
        <w:t>1.1 股权关系说明</w:t>
      </w:r>
    </w:p>
    <w:p>
      <w:pPr>
        <w:autoSpaceDE w:val="0"/>
        <w:autoSpaceDN w:val="0"/>
        <w:adjustRightInd w:val="0"/>
        <w:snapToGrid w:val="0"/>
        <w:spacing w:line="360" w:lineRule="auto"/>
        <w:ind w:firstLine="496" w:firstLineChars="200"/>
        <w:jc w:val="left"/>
        <w:rPr>
          <w:rFonts w:hint="eastAsia" w:ascii="宋体" w:hAnsi="宋体" w:cs="宋体"/>
          <w:sz w:val="24"/>
          <w:szCs w:val="24"/>
          <w:lang w:val="zh-CN"/>
        </w:rPr>
      </w:pPr>
      <w:r>
        <w:rPr>
          <w:rFonts w:hint="eastAsia" w:ascii="宋体" w:hAnsi="宋体" w:cs="宋体"/>
          <w:sz w:val="24"/>
          <w:szCs w:val="24"/>
          <w:lang w:val="zh-CN"/>
        </w:rPr>
        <w:t>1.1.1 我单位法定代表人（单位负责人）姓名：</w:t>
      </w:r>
      <w:r>
        <w:rPr>
          <w:rFonts w:hint="eastAsia" w:ascii="宋体" w:hAnsi="宋体" w:cs="宋体"/>
          <w:sz w:val="24"/>
          <w:szCs w:val="24"/>
          <w:u w:val="single"/>
          <w:lang w:val="zh-CN"/>
        </w:rPr>
        <w:t xml:space="preserve">               </w:t>
      </w:r>
      <w:r>
        <w:rPr>
          <w:rFonts w:hint="eastAsia" w:ascii="宋体" w:hAnsi="宋体" w:cs="宋体"/>
          <w:sz w:val="24"/>
          <w:szCs w:val="24"/>
          <w:lang w:val="zh-CN"/>
        </w:rPr>
        <w:t>。</w:t>
      </w:r>
    </w:p>
    <w:p>
      <w:pPr>
        <w:autoSpaceDE w:val="0"/>
        <w:autoSpaceDN w:val="0"/>
        <w:adjustRightInd w:val="0"/>
        <w:snapToGrid w:val="0"/>
        <w:spacing w:line="360" w:lineRule="auto"/>
        <w:ind w:firstLine="496" w:firstLineChars="200"/>
        <w:jc w:val="left"/>
        <w:rPr>
          <w:rFonts w:hint="eastAsia" w:ascii="宋体" w:hAnsi="宋体" w:cs="宋体"/>
          <w:sz w:val="24"/>
          <w:szCs w:val="24"/>
          <w:u w:val="single"/>
          <w:lang w:val="zh-CN"/>
        </w:rPr>
      </w:pPr>
      <w:r>
        <w:rPr>
          <w:rFonts w:hint="eastAsia" w:ascii="宋体" w:hAnsi="宋体" w:cs="宋体"/>
          <w:sz w:val="24"/>
          <w:szCs w:val="24"/>
          <w:lang w:val="zh-CN"/>
        </w:rPr>
        <w:t>1.1.2 我单位控股的单位有</w:t>
      </w:r>
      <w:r>
        <w:rPr>
          <w:rFonts w:hint="eastAsia" w:ascii="宋体" w:hAnsi="宋体" w:cs="宋体"/>
          <w:sz w:val="24"/>
          <w:szCs w:val="24"/>
          <w:u w:val="single"/>
          <w:lang w:val="zh-CN"/>
        </w:rPr>
        <w:t xml:space="preserve">                   </w:t>
      </w:r>
      <w:r>
        <w:rPr>
          <w:rFonts w:hint="eastAsia" w:ascii="宋体" w:hAnsi="宋体" w:cs="宋体"/>
          <w:sz w:val="24"/>
          <w:szCs w:val="24"/>
          <w:lang w:val="zh-CN"/>
        </w:rPr>
        <w:t>。</w:t>
      </w:r>
      <w:r>
        <w:rPr>
          <w:rFonts w:hint="eastAsia" w:ascii="宋体" w:hAnsi="宋体" w:cs="宋体"/>
          <w:sz w:val="24"/>
          <w:szCs w:val="24"/>
        </w:rPr>
        <w:t>(没有填“无”)</w:t>
      </w:r>
    </w:p>
    <w:p>
      <w:pPr>
        <w:autoSpaceDE w:val="0"/>
        <w:autoSpaceDN w:val="0"/>
        <w:adjustRightInd w:val="0"/>
        <w:snapToGrid w:val="0"/>
        <w:spacing w:line="360" w:lineRule="auto"/>
        <w:ind w:firstLine="496" w:firstLineChars="200"/>
        <w:jc w:val="left"/>
        <w:rPr>
          <w:rFonts w:hint="eastAsia" w:ascii="宋体" w:hAnsi="宋体" w:cs="宋体"/>
          <w:sz w:val="24"/>
          <w:szCs w:val="24"/>
          <w:lang w:val="zh-CN"/>
        </w:rPr>
      </w:pPr>
      <w:r>
        <w:rPr>
          <w:rFonts w:hint="eastAsia" w:ascii="宋体" w:hAnsi="宋体" w:cs="宋体"/>
          <w:sz w:val="24"/>
          <w:szCs w:val="24"/>
          <w:lang w:val="zh-CN"/>
        </w:rPr>
        <w:t>1.1.3 我单位被</w:t>
      </w:r>
      <w:r>
        <w:rPr>
          <w:rFonts w:hint="eastAsia" w:ascii="宋体" w:hAnsi="宋体" w:cs="宋体"/>
          <w:sz w:val="24"/>
          <w:szCs w:val="24"/>
          <w:u w:val="single"/>
          <w:lang w:val="zh-CN"/>
        </w:rPr>
        <w:t xml:space="preserve">      （单位或自然人）        </w:t>
      </w:r>
      <w:r>
        <w:rPr>
          <w:rFonts w:hint="eastAsia" w:ascii="宋体" w:hAnsi="宋体" w:cs="宋体"/>
          <w:sz w:val="24"/>
          <w:szCs w:val="24"/>
          <w:lang w:val="zh-CN"/>
        </w:rPr>
        <w:t>控股。</w:t>
      </w:r>
      <w:r>
        <w:rPr>
          <w:rFonts w:hint="eastAsia" w:ascii="宋体" w:hAnsi="宋体" w:cs="宋体"/>
          <w:sz w:val="24"/>
          <w:szCs w:val="24"/>
        </w:rPr>
        <w:t>(没有填“无”)</w:t>
      </w:r>
    </w:p>
    <w:p>
      <w:pPr>
        <w:autoSpaceDE w:val="0"/>
        <w:autoSpaceDN w:val="0"/>
        <w:adjustRightInd w:val="0"/>
        <w:snapToGrid w:val="0"/>
        <w:spacing w:line="360" w:lineRule="auto"/>
        <w:ind w:firstLine="496" w:firstLineChars="200"/>
        <w:jc w:val="left"/>
        <w:rPr>
          <w:rFonts w:hint="eastAsia" w:ascii="宋体" w:hAnsi="宋体" w:cs="宋体"/>
          <w:sz w:val="24"/>
          <w:szCs w:val="24"/>
          <w:lang w:val="zh-CN"/>
        </w:rPr>
      </w:pPr>
      <w:r>
        <w:rPr>
          <w:rFonts w:hint="eastAsia" w:ascii="宋体" w:hAnsi="宋体" w:cs="宋体"/>
          <w:sz w:val="24"/>
          <w:szCs w:val="24"/>
          <w:lang w:val="zh-CN"/>
        </w:rPr>
        <w:t>1.2.管理关系说明</w:t>
      </w:r>
    </w:p>
    <w:p>
      <w:pPr>
        <w:autoSpaceDE w:val="0"/>
        <w:autoSpaceDN w:val="0"/>
        <w:adjustRightInd w:val="0"/>
        <w:snapToGrid w:val="0"/>
        <w:spacing w:line="360" w:lineRule="auto"/>
        <w:ind w:firstLine="496" w:firstLineChars="200"/>
        <w:jc w:val="left"/>
        <w:rPr>
          <w:rFonts w:hint="eastAsia" w:ascii="宋体" w:hAnsi="宋体" w:cs="宋体"/>
          <w:sz w:val="24"/>
          <w:szCs w:val="24"/>
          <w:lang w:val="zh-CN"/>
        </w:rPr>
      </w:pPr>
      <w:r>
        <w:rPr>
          <w:rFonts w:hint="eastAsia" w:ascii="宋体" w:hAnsi="宋体" w:cs="宋体"/>
          <w:sz w:val="24"/>
          <w:szCs w:val="24"/>
          <w:lang w:val="zh-CN"/>
        </w:rPr>
        <w:t>1.2.1 我单位管理的下属单位有</w:t>
      </w:r>
      <w:r>
        <w:rPr>
          <w:rFonts w:hint="eastAsia" w:ascii="宋体" w:hAnsi="宋体" w:cs="宋体"/>
          <w:sz w:val="24"/>
          <w:szCs w:val="24"/>
          <w:u w:val="single"/>
          <w:lang w:val="zh-CN"/>
        </w:rPr>
        <w:t xml:space="preserve">                 </w:t>
      </w:r>
      <w:r>
        <w:rPr>
          <w:rFonts w:hint="eastAsia" w:ascii="宋体" w:hAnsi="宋体" w:cs="宋体"/>
          <w:sz w:val="24"/>
          <w:szCs w:val="24"/>
          <w:lang w:val="zh-CN"/>
        </w:rPr>
        <w:t>。</w:t>
      </w:r>
      <w:r>
        <w:rPr>
          <w:rFonts w:hint="eastAsia" w:ascii="宋体" w:hAnsi="宋体" w:cs="宋体"/>
          <w:sz w:val="24"/>
          <w:szCs w:val="24"/>
        </w:rPr>
        <w:t>(没有填“无”)</w:t>
      </w:r>
    </w:p>
    <w:p>
      <w:pPr>
        <w:autoSpaceDE w:val="0"/>
        <w:autoSpaceDN w:val="0"/>
        <w:adjustRightInd w:val="0"/>
        <w:snapToGrid w:val="0"/>
        <w:spacing w:line="360" w:lineRule="auto"/>
        <w:ind w:firstLine="496" w:firstLineChars="200"/>
        <w:jc w:val="left"/>
        <w:rPr>
          <w:rFonts w:hint="eastAsia" w:ascii="宋体" w:hAnsi="宋体" w:cs="宋体"/>
          <w:sz w:val="24"/>
          <w:szCs w:val="24"/>
          <w:lang w:val="zh-CN"/>
        </w:rPr>
      </w:pPr>
      <w:r>
        <w:rPr>
          <w:rFonts w:hint="eastAsia" w:ascii="宋体" w:hAnsi="宋体" w:cs="宋体"/>
          <w:sz w:val="24"/>
          <w:szCs w:val="24"/>
          <w:lang w:val="zh-CN"/>
        </w:rPr>
        <w:t>1.2.2 我单位的上级管理单位有</w:t>
      </w:r>
      <w:r>
        <w:rPr>
          <w:rFonts w:hint="eastAsia" w:ascii="宋体" w:hAnsi="宋体" w:cs="宋体"/>
          <w:sz w:val="24"/>
          <w:szCs w:val="24"/>
          <w:u w:val="single"/>
          <w:lang w:val="zh-CN"/>
        </w:rPr>
        <w:t xml:space="preserve">                 </w:t>
      </w:r>
      <w:r>
        <w:rPr>
          <w:rFonts w:hint="eastAsia" w:ascii="宋体" w:hAnsi="宋体" w:cs="宋体"/>
          <w:sz w:val="24"/>
          <w:szCs w:val="24"/>
          <w:lang w:val="zh-CN"/>
        </w:rPr>
        <w:t>。</w:t>
      </w:r>
      <w:r>
        <w:rPr>
          <w:rFonts w:hint="eastAsia" w:ascii="宋体" w:hAnsi="宋体" w:cs="宋体"/>
          <w:sz w:val="24"/>
          <w:szCs w:val="24"/>
        </w:rPr>
        <w:t>(没有填“无”)</w:t>
      </w:r>
    </w:p>
    <w:p>
      <w:pPr>
        <w:autoSpaceDE w:val="0"/>
        <w:autoSpaceDN w:val="0"/>
        <w:adjustRightInd w:val="0"/>
        <w:snapToGrid w:val="0"/>
        <w:spacing w:line="360" w:lineRule="auto"/>
        <w:ind w:firstLine="496" w:firstLineChars="200"/>
        <w:jc w:val="left"/>
        <w:rPr>
          <w:rFonts w:hint="eastAsia" w:ascii="宋体" w:hAnsi="宋体" w:cs="宋体"/>
          <w:sz w:val="24"/>
          <w:szCs w:val="24"/>
          <w:lang w:val="zh-CN"/>
        </w:rPr>
      </w:pPr>
      <w:r>
        <w:rPr>
          <w:rFonts w:hint="eastAsia" w:ascii="宋体" w:hAnsi="宋体" w:cs="宋体"/>
          <w:sz w:val="24"/>
          <w:szCs w:val="24"/>
          <w:lang w:val="zh-CN"/>
        </w:rPr>
        <w:t>2.我方与采购人不存在利害关系及其他可能影响招标公正性的情形。</w:t>
      </w:r>
    </w:p>
    <w:p>
      <w:pPr>
        <w:autoSpaceDE w:val="0"/>
        <w:autoSpaceDN w:val="0"/>
        <w:adjustRightInd w:val="0"/>
        <w:snapToGrid w:val="0"/>
        <w:spacing w:line="360" w:lineRule="auto"/>
        <w:ind w:firstLine="496" w:firstLineChars="200"/>
        <w:jc w:val="left"/>
        <w:rPr>
          <w:rFonts w:hint="eastAsia" w:ascii="宋体" w:hAnsi="宋体" w:cs="宋体"/>
          <w:sz w:val="24"/>
          <w:szCs w:val="24"/>
          <w:lang w:val="zh-CN"/>
        </w:rPr>
      </w:pPr>
      <w:r>
        <w:rPr>
          <w:rFonts w:hint="eastAsia" w:ascii="宋体" w:hAnsi="宋体" w:cs="宋体"/>
          <w:sz w:val="24"/>
          <w:szCs w:val="24"/>
          <w:lang w:val="zh-CN"/>
        </w:rPr>
        <w:t>3.我</w:t>
      </w:r>
      <w:r>
        <w:rPr>
          <w:rFonts w:hint="eastAsia" w:ascii="宋体" w:hAnsi="宋体" w:cs="宋体"/>
          <w:sz w:val="24"/>
          <w:szCs w:val="24"/>
        </w:rPr>
        <w:t>单位</w:t>
      </w:r>
      <w:r>
        <w:rPr>
          <w:rFonts w:hint="eastAsia" w:ascii="宋体" w:hAnsi="宋体" w:cs="宋体"/>
          <w:sz w:val="24"/>
          <w:szCs w:val="24"/>
          <w:u w:val="single"/>
        </w:rPr>
        <w:t xml:space="preserve">         </w:t>
      </w:r>
      <w:r>
        <w:rPr>
          <w:rFonts w:hint="eastAsia" w:ascii="宋体" w:hAnsi="宋体" w:cs="宋体"/>
          <w:sz w:val="24"/>
          <w:szCs w:val="24"/>
        </w:rPr>
        <w:t>（是或否）</w:t>
      </w:r>
      <w:r>
        <w:rPr>
          <w:rFonts w:hint="eastAsia" w:ascii="宋体" w:hAnsi="宋体" w:cs="宋体"/>
          <w:sz w:val="24"/>
          <w:szCs w:val="24"/>
          <w:lang w:val="zh-CN"/>
        </w:rPr>
        <w:t>为</w:t>
      </w:r>
      <w:r>
        <w:rPr>
          <w:rFonts w:hint="eastAsia" w:ascii="宋体" w:hAnsi="宋体" w:cs="宋体"/>
          <w:sz w:val="24"/>
          <w:szCs w:val="24"/>
        </w:rPr>
        <w:t>本</w:t>
      </w:r>
      <w:r>
        <w:rPr>
          <w:rFonts w:hint="eastAsia" w:ascii="宋体" w:hAnsi="宋体" w:cs="宋体"/>
          <w:sz w:val="24"/>
          <w:szCs w:val="24"/>
          <w:lang w:val="zh-CN"/>
        </w:rPr>
        <w:t>采购项目提供整体设计、规范编制或者项目管理、监理、检测等服务</w:t>
      </w:r>
      <w:r>
        <w:rPr>
          <w:rFonts w:hint="eastAsia" w:ascii="宋体" w:hAnsi="宋体" w:cs="宋体"/>
          <w:sz w:val="24"/>
          <w:szCs w:val="24"/>
        </w:rPr>
        <w:t>的供应商</w:t>
      </w:r>
      <w:r>
        <w:rPr>
          <w:rFonts w:hint="eastAsia" w:ascii="宋体" w:hAnsi="宋体" w:cs="宋体"/>
          <w:sz w:val="24"/>
          <w:szCs w:val="24"/>
          <w:lang w:val="zh-CN"/>
        </w:rPr>
        <w:t>；</w:t>
      </w:r>
    </w:p>
    <w:p>
      <w:pPr>
        <w:autoSpaceDE w:val="0"/>
        <w:autoSpaceDN w:val="0"/>
        <w:adjustRightInd w:val="0"/>
        <w:snapToGrid w:val="0"/>
        <w:spacing w:line="360" w:lineRule="auto"/>
        <w:ind w:firstLine="496" w:firstLineChars="200"/>
        <w:jc w:val="left"/>
        <w:rPr>
          <w:rFonts w:hint="eastAsia" w:ascii="宋体" w:hAnsi="宋体" w:cs="宋体"/>
          <w:sz w:val="24"/>
          <w:szCs w:val="24"/>
          <w:lang w:val="zh-CN"/>
        </w:rPr>
      </w:pPr>
      <w:r>
        <w:rPr>
          <w:rFonts w:hint="eastAsia" w:ascii="宋体" w:hAnsi="宋体" w:cs="宋体"/>
          <w:sz w:val="24"/>
          <w:szCs w:val="24"/>
          <w:lang w:val="zh-CN"/>
        </w:rPr>
        <w:t>4.其他与本项目有关的利害关系说明：</w:t>
      </w:r>
      <w:r>
        <w:rPr>
          <w:rFonts w:hint="eastAsia" w:ascii="宋体" w:hAnsi="宋体" w:cs="宋体"/>
          <w:sz w:val="24"/>
          <w:szCs w:val="24"/>
          <w:u w:val="single"/>
          <w:lang w:val="zh-CN"/>
        </w:rPr>
        <w:t xml:space="preserve">             </w:t>
      </w:r>
      <w:r>
        <w:rPr>
          <w:rFonts w:hint="eastAsia" w:ascii="宋体" w:hAnsi="宋体" w:cs="宋体"/>
          <w:sz w:val="24"/>
          <w:szCs w:val="24"/>
          <w:lang w:val="zh-CN"/>
        </w:rPr>
        <w:t>。</w:t>
      </w:r>
      <w:r>
        <w:rPr>
          <w:rFonts w:hint="eastAsia" w:ascii="宋体" w:hAnsi="宋体" w:cs="宋体"/>
          <w:sz w:val="24"/>
          <w:szCs w:val="24"/>
        </w:rPr>
        <w:t>(没有填“无”)</w:t>
      </w:r>
    </w:p>
    <w:p>
      <w:pPr>
        <w:autoSpaceDE w:val="0"/>
        <w:autoSpaceDN w:val="0"/>
        <w:adjustRightInd w:val="0"/>
        <w:snapToGrid w:val="0"/>
        <w:spacing w:line="360" w:lineRule="auto"/>
        <w:ind w:firstLine="3720" w:firstLineChars="1500"/>
        <w:jc w:val="left"/>
        <w:rPr>
          <w:rFonts w:hint="eastAsia" w:ascii="宋体" w:hAnsi="宋体" w:cs="宋体"/>
          <w:sz w:val="24"/>
          <w:szCs w:val="24"/>
          <w:lang w:val="zh-CN"/>
        </w:rPr>
      </w:pPr>
      <w:r>
        <w:rPr>
          <w:rFonts w:hint="eastAsia" w:ascii="宋体" w:hAnsi="宋体" w:cs="宋体"/>
          <w:sz w:val="24"/>
          <w:szCs w:val="24"/>
        </w:rPr>
        <w:t xml:space="preserve"> </w:t>
      </w:r>
    </w:p>
    <w:p>
      <w:pPr>
        <w:autoSpaceDE w:val="0"/>
        <w:autoSpaceDN w:val="0"/>
        <w:adjustRightInd w:val="0"/>
        <w:snapToGrid w:val="0"/>
        <w:spacing w:line="360" w:lineRule="auto"/>
        <w:ind w:firstLine="496" w:firstLineChars="200"/>
        <w:jc w:val="left"/>
        <w:rPr>
          <w:rFonts w:hint="eastAsia" w:ascii="宋体" w:hAnsi="宋体" w:cs="宋体"/>
          <w:sz w:val="24"/>
          <w:szCs w:val="24"/>
          <w:lang w:val="zh-CN"/>
        </w:rPr>
      </w:pPr>
      <w:r>
        <w:rPr>
          <w:rFonts w:hint="eastAsia" w:ascii="宋体" w:hAnsi="宋体" w:cs="宋体"/>
          <w:sz w:val="24"/>
          <w:szCs w:val="24"/>
          <w:lang w:val="zh-CN"/>
        </w:rPr>
        <w:t>我方承诺以上说明真实有效，无虚假内容或隐瞒。</w:t>
      </w:r>
    </w:p>
    <w:p>
      <w:pPr>
        <w:snapToGrid w:val="0"/>
        <w:spacing w:line="360" w:lineRule="auto"/>
        <w:ind w:firstLine="1984" w:firstLineChars="800"/>
        <w:rPr>
          <w:rFonts w:hint="eastAsia" w:ascii="宋体" w:hAnsi="宋体" w:cs="宋体"/>
          <w:sz w:val="24"/>
          <w:szCs w:val="24"/>
        </w:rPr>
      </w:pPr>
    </w:p>
    <w:p>
      <w:pPr>
        <w:snapToGrid w:val="0"/>
        <w:spacing w:line="360" w:lineRule="auto"/>
        <w:rPr>
          <w:rFonts w:hint="eastAsia" w:ascii="宋体" w:hAnsi="宋体" w:cs="宋体"/>
          <w:sz w:val="24"/>
          <w:szCs w:val="24"/>
        </w:rPr>
      </w:pPr>
      <w:r>
        <w:rPr>
          <w:rFonts w:hint="eastAsia" w:ascii="宋体" w:hAnsi="宋体" w:cs="宋体"/>
          <w:sz w:val="24"/>
          <w:szCs w:val="24"/>
        </w:rPr>
        <w:t>供应商（公章）：</w:t>
      </w:r>
      <w:r>
        <w:rPr>
          <w:rFonts w:hint="eastAsia" w:ascii="宋体" w:hAnsi="宋体" w:cs="宋体"/>
          <w:sz w:val="24"/>
          <w:szCs w:val="24"/>
          <w:u w:val="single"/>
        </w:rPr>
        <w:t xml:space="preserve">     （供应商名称）         </w:t>
      </w:r>
    </w:p>
    <w:p>
      <w:pPr>
        <w:snapToGrid w:val="0"/>
        <w:spacing w:line="360" w:lineRule="auto"/>
        <w:rPr>
          <w:rFonts w:hint="eastAsia" w:ascii="宋体" w:hAnsi="宋体" w:cs="宋体"/>
          <w:sz w:val="24"/>
          <w:szCs w:val="24"/>
          <w:u w:val="single"/>
        </w:rPr>
      </w:pPr>
      <w:r>
        <w:rPr>
          <w:rFonts w:hint="eastAsia" w:ascii="宋体" w:hAnsi="宋体" w:cs="宋体"/>
          <w:sz w:val="24"/>
          <w:szCs w:val="24"/>
        </w:rPr>
        <w:t xml:space="preserve">法定代表人/授权代表（签字或盖章）： </w:t>
      </w:r>
      <w:r>
        <w:rPr>
          <w:rFonts w:hint="eastAsia" w:ascii="宋体" w:hAnsi="宋体" w:cs="宋体"/>
          <w:sz w:val="24"/>
          <w:szCs w:val="24"/>
          <w:u w:val="single"/>
        </w:rPr>
        <w:t xml:space="preserve">       </w:t>
      </w:r>
      <w:r>
        <w:rPr>
          <w:rFonts w:hint="eastAsia" w:ascii="宋体" w:hAnsi="宋体" w:cs="宋体"/>
          <w:sz w:val="24"/>
          <w:szCs w:val="24"/>
        </w:rPr>
        <w:t xml:space="preserve"> </w:t>
      </w:r>
    </w:p>
    <w:p>
      <w:pPr>
        <w:snapToGrid w:val="0"/>
        <w:spacing w:line="360" w:lineRule="auto"/>
        <w:rPr>
          <w:rFonts w:hint="eastAsia" w:ascii="宋体" w:hAnsi="宋体" w:cs="宋体"/>
          <w:sz w:val="24"/>
          <w:szCs w:val="24"/>
          <w:u w:val="single"/>
        </w:rPr>
      </w:pPr>
      <w:r>
        <w:rPr>
          <w:rFonts w:hint="eastAsia" w:ascii="宋体" w:hAnsi="宋体" w:cs="宋体"/>
          <w:sz w:val="24"/>
          <w:szCs w:val="24"/>
        </w:rPr>
        <w:t>日    期：</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年</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月</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日</w:t>
      </w:r>
    </w:p>
    <w:p>
      <w:pPr>
        <w:adjustRightInd w:val="0"/>
        <w:snapToGrid w:val="0"/>
        <w:spacing w:line="240" w:lineRule="auto"/>
        <w:jc w:val="left"/>
        <w:rPr>
          <w:rFonts w:hint="eastAsia" w:ascii="宋体" w:hAnsi="宋体" w:cs="宋体"/>
          <w:b/>
          <w:sz w:val="24"/>
          <w:szCs w:val="24"/>
        </w:rPr>
      </w:pPr>
      <w:r>
        <w:rPr>
          <w:rFonts w:hint="eastAsia" w:ascii="宋体" w:hAnsi="宋体" w:cs="宋体"/>
          <w:sz w:val="24"/>
          <w:szCs w:val="24"/>
          <w:u w:val="single"/>
        </w:rPr>
        <w:br w:type="page"/>
      </w:r>
      <w:r>
        <w:rPr>
          <w:rFonts w:hint="eastAsia" w:ascii="宋体" w:hAnsi="宋体" w:cs="宋体"/>
          <w:b/>
          <w:sz w:val="24"/>
          <w:szCs w:val="24"/>
        </w:rPr>
        <w:t>附件6</w:t>
      </w:r>
    </w:p>
    <w:p>
      <w:pPr>
        <w:adjustRightInd w:val="0"/>
        <w:snapToGrid w:val="0"/>
        <w:spacing w:line="360" w:lineRule="auto"/>
        <w:jc w:val="center"/>
        <w:rPr>
          <w:rFonts w:hint="eastAsia" w:ascii="宋体" w:hAnsi="宋体" w:cs="宋体"/>
          <w:b/>
          <w:kern w:val="0"/>
          <w:sz w:val="24"/>
          <w:szCs w:val="24"/>
        </w:rPr>
      </w:pPr>
    </w:p>
    <w:p>
      <w:pPr>
        <w:adjustRightInd w:val="0"/>
        <w:snapToGrid w:val="0"/>
        <w:spacing w:line="360" w:lineRule="auto"/>
        <w:jc w:val="center"/>
        <w:rPr>
          <w:rFonts w:hint="eastAsia" w:ascii="宋体" w:hAnsi="宋体" w:cs="宋体"/>
          <w:b/>
          <w:kern w:val="0"/>
          <w:sz w:val="24"/>
          <w:szCs w:val="24"/>
        </w:rPr>
      </w:pPr>
      <w:r>
        <w:rPr>
          <w:rFonts w:hint="eastAsia" w:ascii="宋体" w:hAnsi="宋体" w:cs="宋体"/>
          <w:b/>
          <w:kern w:val="0"/>
          <w:sz w:val="24"/>
          <w:szCs w:val="24"/>
        </w:rPr>
        <w:t>拒绝政府采购领域商业贿赂承诺书</w:t>
      </w:r>
    </w:p>
    <w:p>
      <w:pPr>
        <w:autoSpaceDE w:val="0"/>
        <w:autoSpaceDN w:val="0"/>
        <w:adjustRightInd w:val="0"/>
        <w:snapToGrid w:val="0"/>
        <w:spacing w:line="360" w:lineRule="auto"/>
        <w:ind w:firstLine="496" w:firstLineChars="200"/>
        <w:rPr>
          <w:rFonts w:hint="eastAsia" w:ascii="宋体" w:hAnsi="宋体" w:cs="宋体"/>
          <w:sz w:val="24"/>
          <w:szCs w:val="24"/>
          <w:lang w:val="zh-CN"/>
        </w:rPr>
      </w:pPr>
      <w:r>
        <w:rPr>
          <w:rFonts w:hint="eastAsia" w:ascii="宋体" w:hAnsi="宋体" w:cs="宋体"/>
          <w:sz w:val="24"/>
          <w:szCs w:val="24"/>
          <w:lang w:val="zh-CN"/>
        </w:rPr>
        <w:t>为响应党中央、国务院关于治理政府采购领域商业贿赂行为的号召，我公司在此庄严承诺：</w:t>
      </w:r>
    </w:p>
    <w:p>
      <w:pPr>
        <w:autoSpaceDE w:val="0"/>
        <w:autoSpaceDN w:val="0"/>
        <w:adjustRightInd w:val="0"/>
        <w:snapToGrid w:val="0"/>
        <w:spacing w:line="360" w:lineRule="auto"/>
        <w:ind w:firstLine="496" w:firstLineChars="200"/>
        <w:rPr>
          <w:rFonts w:hint="eastAsia" w:ascii="宋体" w:hAnsi="宋体" w:cs="宋体"/>
          <w:sz w:val="24"/>
          <w:szCs w:val="24"/>
          <w:lang w:val="zh-CN"/>
        </w:rPr>
      </w:pPr>
      <w:r>
        <w:rPr>
          <w:rFonts w:hint="eastAsia" w:ascii="宋体" w:hAnsi="宋体" w:cs="宋体"/>
          <w:sz w:val="24"/>
          <w:szCs w:val="24"/>
          <w:lang w:val="zh-CN"/>
        </w:rPr>
        <w:t xml:space="preserve">    一、在参与政府采购活动中遵纪守法、诚信经营、公平竞标。</w:t>
      </w:r>
    </w:p>
    <w:p>
      <w:pPr>
        <w:autoSpaceDE w:val="0"/>
        <w:autoSpaceDN w:val="0"/>
        <w:adjustRightInd w:val="0"/>
        <w:snapToGrid w:val="0"/>
        <w:spacing w:line="360" w:lineRule="auto"/>
        <w:ind w:firstLine="496" w:firstLineChars="200"/>
        <w:rPr>
          <w:rFonts w:hint="eastAsia" w:ascii="宋体" w:hAnsi="宋体" w:cs="宋体"/>
          <w:sz w:val="24"/>
          <w:szCs w:val="24"/>
          <w:lang w:val="zh-CN"/>
        </w:rPr>
      </w:pPr>
      <w:r>
        <w:rPr>
          <w:rFonts w:hint="eastAsia" w:ascii="宋体" w:hAnsi="宋体" w:cs="宋体"/>
          <w:sz w:val="24"/>
          <w:szCs w:val="24"/>
          <w:lang w:val="zh-CN"/>
        </w:rPr>
        <w:t xml:space="preserve">    二、不向政府采购人、采购代理机构和政府采购评审专家进行任何形式的商业贿赂以谋取交易机会。</w:t>
      </w:r>
    </w:p>
    <w:p>
      <w:pPr>
        <w:autoSpaceDE w:val="0"/>
        <w:autoSpaceDN w:val="0"/>
        <w:adjustRightInd w:val="0"/>
        <w:snapToGrid w:val="0"/>
        <w:spacing w:line="360" w:lineRule="auto"/>
        <w:ind w:firstLine="496" w:firstLineChars="200"/>
        <w:rPr>
          <w:rFonts w:hint="eastAsia" w:ascii="宋体" w:hAnsi="宋体" w:cs="宋体"/>
          <w:sz w:val="24"/>
          <w:szCs w:val="24"/>
          <w:lang w:val="zh-CN"/>
        </w:rPr>
      </w:pPr>
      <w:r>
        <w:rPr>
          <w:rFonts w:hint="eastAsia" w:ascii="宋体" w:hAnsi="宋体" w:cs="宋体"/>
          <w:sz w:val="24"/>
          <w:szCs w:val="24"/>
          <w:lang w:val="zh-CN"/>
        </w:rPr>
        <w:t xml:space="preserve">    三、不向政府采购代理机构和采购人提供虚假资格证明文件或采用虚假应标方式参与政府采购市场竞争并谋取中标、成交。</w:t>
      </w:r>
    </w:p>
    <w:p>
      <w:pPr>
        <w:autoSpaceDE w:val="0"/>
        <w:autoSpaceDN w:val="0"/>
        <w:adjustRightInd w:val="0"/>
        <w:snapToGrid w:val="0"/>
        <w:spacing w:line="360" w:lineRule="auto"/>
        <w:ind w:firstLine="496" w:firstLineChars="200"/>
        <w:rPr>
          <w:rFonts w:hint="eastAsia" w:ascii="宋体" w:hAnsi="宋体" w:cs="宋体"/>
          <w:sz w:val="24"/>
          <w:szCs w:val="24"/>
          <w:lang w:val="zh-CN"/>
        </w:rPr>
      </w:pPr>
      <w:r>
        <w:rPr>
          <w:rFonts w:hint="eastAsia" w:ascii="宋体" w:hAnsi="宋体" w:cs="宋体"/>
          <w:sz w:val="24"/>
          <w:szCs w:val="24"/>
          <w:lang w:val="zh-CN"/>
        </w:rPr>
        <w:t xml:space="preserve">    四、不采取“围标、陪标”等商业欺诈手段获得政府采购订单。</w:t>
      </w:r>
    </w:p>
    <w:p>
      <w:pPr>
        <w:autoSpaceDE w:val="0"/>
        <w:autoSpaceDN w:val="0"/>
        <w:adjustRightInd w:val="0"/>
        <w:snapToGrid w:val="0"/>
        <w:spacing w:line="360" w:lineRule="auto"/>
        <w:ind w:firstLine="496" w:firstLineChars="200"/>
        <w:rPr>
          <w:rFonts w:hint="eastAsia" w:ascii="宋体" w:hAnsi="宋体" w:cs="宋体"/>
          <w:sz w:val="24"/>
          <w:szCs w:val="24"/>
          <w:lang w:val="zh-CN"/>
        </w:rPr>
      </w:pPr>
      <w:r>
        <w:rPr>
          <w:rFonts w:hint="eastAsia" w:ascii="宋体" w:hAnsi="宋体" w:cs="宋体"/>
          <w:sz w:val="24"/>
          <w:szCs w:val="24"/>
          <w:lang w:val="zh-CN"/>
        </w:rPr>
        <w:t xml:space="preserve">    五、不采取不正当手段诋毁、排挤其他供应商。</w:t>
      </w:r>
    </w:p>
    <w:p>
      <w:pPr>
        <w:autoSpaceDE w:val="0"/>
        <w:autoSpaceDN w:val="0"/>
        <w:adjustRightInd w:val="0"/>
        <w:snapToGrid w:val="0"/>
        <w:spacing w:line="360" w:lineRule="auto"/>
        <w:ind w:firstLine="496" w:firstLineChars="200"/>
        <w:rPr>
          <w:rFonts w:hint="eastAsia" w:ascii="宋体" w:hAnsi="宋体" w:cs="宋体"/>
          <w:sz w:val="24"/>
          <w:szCs w:val="24"/>
          <w:lang w:val="zh-CN"/>
        </w:rPr>
      </w:pPr>
      <w:r>
        <w:rPr>
          <w:rFonts w:hint="eastAsia" w:ascii="宋体" w:hAnsi="宋体" w:cs="宋体"/>
          <w:sz w:val="24"/>
          <w:szCs w:val="24"/>
          <w:lang w:val="zh-CN"/>
        </w:rPr>
        <w:t xml:space="preserve">    六、不在提供货物和服务时“偷梁换柱、以次充好”损害采购人的合法权益。</w:t>
      </w:r>
    </w:p>
    <w:p>
      <w:pPr>
        <w:autoSpaceDE w:val="0"/>
        <w:autoSpaceDN w:val="0"/>
        <w:adjustRightInd w:val="0"/>
        <w:snapToGrid w:val="0"/>
        <w:spacing w:line="360" w:lineRule="auto"/>
        <w:ind w:firstLine="496" w:firstLineChars="200"/>
        <w:rPr>
          <w:rFonts w:hint="eastAsia" w:ascii="宋体" w:hAnsi="宋体" w:cs="宋体"/>
          <w:sz w:val="24"/>
          <w:szCs w:val="24"/>
          <w:lang w:val="zh-CN"/>
        </w:rPr>
      </w:pPr>
      <w:r>
        <w:rPr>
          <w:rFonts w:hint="eastAsia" w:ascii="宋体" w:hAnsi="宋体" w:cs="宋体"/>
          <w:sz w:val="24"/>
          <w:szCs w:val="24"/>
          <w:lang w:val="zh-CN"/>
        </w:rPr>
        <w:t xml:space="preserve">    七、不与采购人、采购代理机构、政府采购评审专家或其它供应商恶意串通，进行质疑和投诉，维护政府采购市场秩序。</w:t>
      </w:r>
    </w:p>
    <w:p>
      <w:pPr>
        <w:autoSpaceDE w:val="0"/>
        <w:autoSpaceDN w:val="0"/>
        <w:adjustRightInd w:val="0"/>
        <w:snapToGrid w:val="0"/>
        <w:spacing w:line="360" w:lineRule="auto"/>
        <w:ind w:firstLine="496" w:firstLineChars="200"/>
        <w:rPr>
          <w:rFonts w:hint="eastAsia" w:ascii="宋体" w:hAnsi="宋体" w:cs="宋体"/>
          <w:sz w:val="24"/>
          <w:szCs w:val="24"/>
          <w:lang w:val="zh-CN"/>
        </w:rPr>
      </w:pPr>
      <w:r>
        <w:rPr>
          <w:rFonts w:hint="eastAsia" w:ascii="宋体" w:hAnsi="宋体" w:cs="宋体"/>
          <w:sz w:val="24"/>
          <w:szCs w:val="24"/>
          <w:lang w:val="zh-CN"/>
        </w:rPr>
        <w:t xml:space="preserve">    八、尊重和接受政府采购监督管理部门的监督和政府采购代理机构招标采购要求，承担因违约行为给采购人造成的损失。</w:t>
      </w:r>
    </w:p>
    <w:p>
      <w:pPr>
        <w:autoSpaceDE w:val="0"/>
        <w:autoSpaceDN w:val="0"/>
        <w:adjustRightInd w:val="0"/>
        <w:snapToGrid w:val="0"/>
        <w:spacing w:line="360" w:lineRule="auto"/>
        <w:ind w:firstLine="496" w:firstLineChars="200"/>
        <w:rPr>
          <w:rFonts w:hint="eastAsia" w:ascii="宋体" w:hAnsi="宋体" w:cs="宋体"/>
          <w:sz w:val="24"/>
          <w:szCs w:val="24"/>
          <w:lang w:val="zh-CN"/>
        </w:rPr>
      </w:pPr>
      <w:r>
        <w:rPr>
          <w:rFonts w:hint="eastAsia" w:ascii="宋体" w:hAnsi="宋体" w:cs="宋体"/>
          <w:sz w:val="24"/>
          <w:szCs w:val="24"/>
          <w:lang w:val="zh-CN"/>
        </w:rPr>
        <w:t xml:space="preserve">    九、不发生其他有悖于政府采购公开、公平、公正和诚信原则的行为。</w:t>
      </w:r>
    </w:p>
    <w:p>
      <w:pPr>
        <w:autoSpaceDE w:val="0"/>
        <w:autoSpaceDN w:val="0"/>
        <w:adjustRightInd w:val="0"/>
        <w:snapToGrid w:val="0"/>
        <w:spacing w:line="360" w:lineRule="auto"/>
        <w:ind w:firstLine="496" w:firstLineChars="200"/>
        <w:rPr>
          <w:rFonts w:hint="eastAsia" w:ascii="宋体" w:hAnsi="宋体" w:cs="宋体"/>
          <w:sz w:val="24"/>
          <w:szCs w:val="24"/>
          <w:lang w:val="zh-CN"/>
        </w:rPr>
      </w:pPr>
    </w:p>
    <w:p>
      <w:pPr>
        <w:pStyle w:val="43"/>
        <w:ind w:firstLine="480"/>
        <w:rPr>
          <w:rFonts w:hint="eastAsia" w:ascii="宋体" w:hAnsi="宋体" w:cs="宋体"/>
          <w:sz w:val="24"/>
          <w:lang w:val="zh-CN"/>
        </w:rPr>
      </w:pPr>
    </w:p>
    <w:p>
      <w:pPr>
        <w:pStyle w:val="43"/>
        <w:ind w:firstLine="480"/>
        <w:rPr>
          <w:rFonts w:hint="eastAsia" w:ascii="宋体" w:hAnsi="宋体" w:cs="宋体"/>
          <w:sz w:val="24"/>
          <w:lang w:val="zh-CN"/>
        </w:rPr>
      </w:pPr>
    </w:p>
    <w:p>
      <w:pPr>
        <w:pStyle w:val="43"/>
        <w:ind w:firstLine="480"/>
        <w:rPr>
          <w:rFonts w:hint="eastAsia" w:ascii="宋体" w:hAnsi="宋体" w:cs="宋体"/>
          <w:sz w:val="24"/>
          <w:lang w:val="zh-CN"/>
        </w:rPr>
      </w:pPr>
    </w:p>
    <w:p>
      <w:pPr>
        <w:pStyle w:val="43"/>
        <w:ind w:firstLine="480"/>
        <w:rPr>
          <w:rFonts w:hint="eastAsia" w:ascii="宋体" w:hAnsi="宋体" w:cs="宋体"/>
          <w:sz w:val="24"/>
          <w:lang w:val="zh-CN"/>
        </w:rPr>
      </w:pPr>
    </w:p>
    <w:p>
      <w:pPr>
        <w:pStyle w:val="43"/>
        <w:ind w:firstLine="480"/>
        <w:rPr>
          <w:rFonts w:hint="eastAsia" w:ascii="宋体" w:hAnsi="宋体" w:cs="宋体"/>
          <w:sz w:val="24"/>
          <w:lang w:val="zh-CN"/>
        </w:rPr>
      </w:pPr>
    </w:p>
    <w:p>
      <w:pPr>
        <w:pStyle w:val="43"/>
        <w:ind w:firstLine="480"/>
        <w:rPr>
          <w:rFonts w:hint="eastAsia" w:ascii="宋体" w:hAnsi="宋体" w:cs="宋体"/>
          <w:sz w:val="24"/>
          <w:lang w:val="zh-CN"/>
        </w:rPr>
      </w:pPr>
    </w:p>
    <w:p>
      <w:pPr>
        <w:snapToGrid w:val="0"/>
        <w:spacing w:line="360" w:lineRule="auto"/>
        <w:rPr>
          <w:rFonts w:hint="eastAsia" w:ascii="宋体" w:hAnsi="宋体" w:cs="宋体"/>
          <w:sz w:val="24"/>
          <w:szCs w:val="24"/>
        </w:rPr>
      </w:pPr>
      <w:r>
        <w:rPr>
          <w:rFonts w:hint="eastAsia" w:ascii="宋体" w:hAnsi="宋体" w:cs="宋体"/>
          <w:sz w:val="24"/>
          <w:szCs w:val="24"/>
        </w:rPr>
        <w:t>供应商（公章）：</w:t>
      </w:r>
      <w:r>
        <w:rPr>
          <w:rFonts w:hint="eastAsia" w:ascii="宋体" w:hAnsi="宋体" w:cs="宋体"/>
          <w:sz w:val="24"/>
          <w:szCs w:val="24"/>
          <w:u w:val="single"/>
        </w:rPr>
        <w:t xml:space="preserve">     （供应商名称）         </w:t>
      </w:r>
    </w:p>
    <w:p>
      <w:pPr>
        <w:snapToGrid w:val="0"/>
        <w:spacing w:line="360" w:lineRule="auto"/>
        <w:rPr>
          <w:rFonts w:hint="eastAsia" w:ascii="宋体" w:hAnsi="宋体" w:cs="宋体"/>
          <w:sz w:val="24"/>
          <w:szCs w:val="24"/>
          <w:u w:val="single"/>
        </w:rPr>
      </w:pPr>
      <w:r>
        <w:rPr>
          <w:rFonts w:hint="eastAsia" w:ascii="宋体" w:hAnsi="宋体" w:cs="宋体"/>
          <w:sz w:val="24"/>
          <w:szCs w:val="24"/>
        </w:rPr>
        <w:t xml:space="preserve">法定代表人/授权代表（签字或盖章）： </w:t>
      </w:r>
      <w:r>
        <w:rPr>
          <w:rFonts w:hint="eastAsia" w:ascii="宋体" w:hAnsi="宋体" w:cs="宋体"/>
          <w:sz w:val="24"/>
          <w:szCs w:val="24"/>
          <w:u w:val="single"/>
        </w:rPr>
        <w:t xml:space="preserve">       </w:t>
      </w:r>
      <w:r>
        <w:rPr>
          <w:rFonts w:hint="eastAsia" w:ascii="宋体" w:hAnsi="宋体" w:cs="宋体"/>
          <w:sz w:val="24"/>
          <w:szCs w:val="24"/>
        </w:rPr>
        <w:t xml:space="preserve"> </w:t>
      </w:r>
    </w:p>
    <w:p>
      <w:pPr>
        <w:snapToGrid w:val="0"/>
        <w:spacing w:line="360" w:lineRule="auto"/>
        <w:rPr>
          <w:rFonts w:hint="eastAsia" w:ascii="宋体" w:hAnsi="宋体" w:cs="宋体"/>
          <w:sz w:val="24"/>
          <w:szCs w:val="24"/>
          <w:u w:val="single"/>
        </w:rPr>
      </w:pPr>
      <w:r>
        <w:rPr>
          <w:rFonts w:hint="eastAsia" w:ascii="宋体" w:hAnsi="宋体" w:cs="宋体"/>
          <w:sz w:val="24"/>
          <w:szCs w:val="24"/>
        </w:rPr>
        <w:t>日    期：</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年</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月</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日</w:t>
      </w:r>
    </w:p>
    <w:p>
      <w:pPr>
        <w:snapToGrid w:val="0"/>
        <w:spacing w:line="360" w:lineRule="auto"/>
        <w:rPr>
          <w:rFonts w:hint="eastAsia" w:ascii="宋体" w:hAnsi="宋体" w:cs="宋体"/>
          <w:b/>
          <w:sz w:val="30"/>
          <w:szCs w:val="30"/>
        </w:rPr>
      </w:pPr>
    </w:p>
    <w:p>
      <w:pPr>
        <w:pStyle w:val="105"/>
        <w:spacing w:before="197" w:after="197"/>
        <w:jc w:val="left"/>
        <w:rPr>
          <w:rFonts w:hint="eastAsia" w:ascii="宋体" w:hAnsi="宋体" w:eastAsia="宋体" w:cs="宋体"/>
          <w:color w:val="auto"/>
          <w:sz w:val="24"/>
          <w:szCs w:val="24"/>
          <w:u w:val="none"/>
        </w:rPr>
      </w:pPr>
      <w:r>
        <w:rPr>
          <w:rFonts w:hint="eastAsia" w:ascii="宋体" w:hAnsi="宋体" w:cs="宋体"/>
          <w:b/>
          <w:bCs/>
          <w:szCs w:val="28"/>
        </w:rPr>
        <w:br w:type="page"/>
      </w:r>
    </w:p>
    <w:p>
      <w:pPr>
        <w:rPr>
          <w:rFonts w:hint="eastAsia" w:ascii="宋体" w:hAnsi="宋体" w:eastAsia="宋体" w:cs="宋体"/>
          <w:b/>
          <w:color w:val="auto"/>
          <w:sz w:val="24"/>
          <w:szCs w:val="24"/>
          <w:highlight w:val="none"/>
          <w:lang w:val="en-US" w:eastAsia="zh-CN"/>
        </w:rPr>
      </w:pPr>
      <w:r>
        <w:rPr>
          <w:rFonts w:hint="eastAsia" w:ascii="宋体" w:hAnsi="宋体" w:cs="宋体"/>
          <w:b/>
          <w:sz w:val="24"/>
          <w:szCs w:val="24"/>
          <w:lang w:val="en-US" w:eastAsia="zh-CN"/>
        </w:rPr>
        <w:t>附件7</w:t>
      </w:r>
    </w:p>
    <w:p>
      <w:pPr>
        <w:adjustRightInd w:val="0"/>
        <w:snapToGrid w:val="0"/>
        <w:spacing w:line="360" w:lineRule="auto"/>
        <w:jc w:val="center"/>
        <w:rPr>
          <w:rFonts w:hint="eastAsia" w:ascii="宋体" w:hAnsi="宋体" w:cs="宋体"/>
          <w:b/>
          <w:kern w:val="0"/>
          <w:sz w:val="24"/>
          <w:szCs w:val="24"/>
        </w:rPr>
      </w:pPr>
      <w:r>
        <w:rPr>
          <w:rFonts w:hint="eastAsia" w:ascii="宋体" w:hAnsi="宋体" w:cs="宋体"/>
          <w:b/>
          <w:kern w:val="0"/>
          <w:sz w:val="24"/>
          <w:szCs w:val="24"/>
          <w:lang w:val="en-US" w:eastAsia="zh-CN"/>
        </w:rPr>
        <w:t>中小企业声明函（货物）</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本公司（联合体）郑重声明，根据《政府采购促进中小企业发展管理办法》（财库﹝2020﹞46 号）的规定，本公司（联合体）参加</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（单位名称）</w:t>
      </w:r>
      <w:r>
        <w:rPr>
          <w:rFonts w:hint="eastAsia" w:ascii="宋体" w:hAnsi="宋体" w:eastAsia="宋体" w:cs="宋体"/>
          <w:i w:val="0"/>
          <w:iCs w:val="0"/>
          <w:caps w:val="0"/>
          <w:color w:val="333333"/>
          <w:spacing w:val="0"/>
          <w:kern w:val="0"/>
          <w:sz w:val="24"/>
          <w:szCs w:val="24"/>
          <w:shd w:val="clear" w:color="auto" w:fill="FFFFFF"/>
          <w:lang w:val="en-US" w:eastAsia="zh-CN" w:bidi="ar"/>
        </w:rPr>
        <w:t>的</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（项目名称）</w:t>
      </w:r>
      <w:r>
        <w:rPr>
          <w:rFonts w:hint="eastAsia" w:ascii="宋体" w:hAnsi="宋体" w:eastAsia="宋体" w:cs="宋体"/>
          <w:i w:val="0"/>
          <w:iCs w:val="0"/>
          <w:caps w:val="0"/>
          <w:color w:val="333333"/>
          <w:spacing w:val="0"/>
          <w:kern w:val="0"/>
          <w:sz w:val="24"/>
          <w:szCs w:val="24"/>
          <w:shd w:val="clear" w:color="auto" w:fill="FFFFFF"/>
          <w:lang w:val="en-US" w:eastAsia="zh-CN" w:bidi="ar"/>
        </w:rPr>
        <w:t>采购活动，提供的货物全部由符合政策要求的中小企业制造。相关企业（含联合体中的中小企业、签订分包意向协议的中小企业）的具体情况如下：</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1.</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（标的名称）</w:t>
      </w:r>
      <w:r>
        <w:rPr>
          <w:rFonts w:hint="eastAsia" w:ascii="宋体" w:hAnsi="宋体" w:eastAsia="宋体" w:cs="宋体"/>
          <w:i w:val="0"/>
          <w:iCs w:val="0"/>
          <w:caps w:val="0"/>
          <w:color w:val="333333"/>
          <w:spacing w:val="0"/>
          <w:kern w:val="0"/>
          <w:sz w:val="24"/>
          <w:szCs w:val="24"/>
          <w:shd w:val="clear" w:color="auto" w:fill="FFFFFF"/>
          <w:lang w:val="en-US" w:eastAsia="zh-CN" w:bidi="ar"/>
        </w:rPr>
        <w:t>，属于</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（采购文件中明确的所属行业）</w:t>
      </w:r>
      <w:r>
        <w:rPr>
          <w:rFonts w:hint="eastAsia" w:ascii="宋体" w:hAnsi="宋体" w:eastAsia="宋体" w:cs="宋体"/>
          <w:i w:val="0"/>
          <w:iCs w:val="0"/>
          <w:caps w:val="0"/>
          <w:color w:val="333333"/>
          <w:spacing w:val="0"/>
          <w:kern w:val="0"/>
          <w:sz w:val="24"/>
          <w:szCs w:val="24"/>
          <w:shd w:val="clear" w:color="auto" w:fill="FFFFFF"/>
          <w:lang w:val="en-US" w:eastAsia="zh-CN" w:bidi="ar"/>
        </w:rPr>
        <w:t>行业；制造商为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（企业名称）</w:t>
      </w:r>
      <w:r>
        <w:rPr>
          <w:rFonts w:hint="eastAsia" w:ascii="宋体" w:hAnsi="宋体" w:eastAsia="宋体" w:cs="宋体"/>
          <w:i w:val="0"/>
          <w:iCs w:val="0"/>
          <w:caps w:val="0"/>
          <w:color w:val="333333"/>
          <w:spacing w:val="0"/>
          <w:kern w:val="0"/>
          <w:sz w:val="24"/>
          <w:szCs w:val="24"/>
          <w:shd w:val="clear" w:color="auto" w:fill="FFFFFF"/>
          <w:lang w:val="en-US" w:eastAsia="zh-CN" w:bidi="ar"/>
        </w:rPr>
        <w:t>，从业人员</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人，营业收入为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万元，资产总额为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万元</w:t>
      </w:r>
      <w:r>
        <w:rPr>
          <w:rFonts w:hint="eastAsia" w:ascii="宋体" w:hAnsi="宋体" w:eastAsia="宋体" w:cs="宋体"/>
          <w:i w:val="0"/>
          <w:iCs w:val="0"/>
          <w:caps w:val="0"/>
          <w:color w:val="333333"/>
          <w:spacing w:val="0"/>
          <w:kern w:val="0"/>
          <w:sz w:val="24"/>
          <w:szCs w:val="24"/>
          <w:shd w:val="clear" w:color="auto" w:fill="FFFFFF"/>
          <w:vertAlign w:val="superscript"/>
          <w:lang w:val="en-US" w:eastAsia="zh-CN" w:bidi="ar"/>
        </w:rPr>
        <w:t>1</w:t>
      </w:r>
      <w:r>
        <w:rPr>
          <w:rFonts w:hint="eastAsia" w:ascii="宋体" w:hAnsi="宋体" w:eastAsia="宋体" w:cs="宋体"/>
          <w:i w:val="0"/>
          <w:iCs w:val="0"/>
          <w:caps w:val="0"/>
          <w:color w:val="333333"/>
          <w:spacing w:val="0"/>
          <w:kern w:val="0"/>
          <w:sz w:val="24"/>
          <w:szCs w:val="24"/>
          <w:shd w:val="clear" w:color="auto" w:fill="FFFFFF"/>
          <w:lang w:val="en-US" w:eastAsia="zh-CN" w:bidi="ar"/>
        </w:rPr>
        <w:t>，属于</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（中型企业、小型企业、微型企业）</w:t>
      </w:r>
      <w:r>
        <w:rPr>
          <w:rFonts w:hint="eastAsia" w:ascii="宋体" w:hAnsi="宋体" w:eastAsia="宋体" w:cs="宋体"/>
          <w:i w:val="0"/>
          <w:iCs w:val="0"/>
          <w:caps w:val="0"/>
          <w:color w:val="333333"/>
          <w:spacing w:val="0"/>
          <w:kern w:val="0"/>
          <w:sz w:val="24"/>
          <w:szCs w:val="24"/>
          <w:shd w:val="clear" w:color="auto" w:fill="FFFFFF"/>
          <w:lang w:val="en-US" w:eastAsia="zh-CN" w:bidi="ar"/>
        </w:rPr>
        <w:t>；</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2.</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（标的名称）</w:t>
      </w:r>
      <w:r>
        <w:rPr>
          <w:rFonts w:hint="eastAsia" w:ascii="宋体" w:hAnsi="宋体" w:eastAsia="宋体" w:cs="宋体"/>
          <w:i w:val="0"/>
          <w:iCs w:val="0"/>
          <w:caps w:val="0"/>
          <w:color w:val="333333"/>
          <w:spacing w:val="0"/>
          <w:kern w:val="0"/>
          <w:sz w:val="24"/>
          <w:szCs w:val="24"/>
          <w:shd w:val="clear" w:color="auto" w:fill="FFFFFF"/>
          <w:lang w:val="en-US" w:eastAsia="zh-CN" w:bidi="ar"/>
        </w:rPr>
        <w:t>，属于</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（采购文件中明确的所属行业）</w:t>
      </w:r>
      <w:r>
        <w:rPr>
          <w:rFonts w:hint="eastAsia" w:ascii="宋体" w:hAnsi="宋体" w:eastAsia="宋体" w:cs="宋体"/>
          <w:i w:val="0"/>
          <w:iCs w:val="0"/>
          <w:caps w:val="0"/>
          <w:color w:val="333333"/>
          <w:spacing w:val="0"/>
          <w:kern w:val="0"/>
          <w:sz w:val="24"/>
          <w:szCs w:val="24"/>
          <w:shd w:val="clear" w:color="auto" w:fill="FFFFFF"/>
          <w:lang w:val="en-US" w:eastAsia="zh-CN" w:bidi="ar"/>
        </w:rPr>
        <w:t>行业；制造商为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（企业名称）</w:t>
      </w:r>
      <w:r>
        <w:rPr>
          <w:rFonts w:hint="eastAsia" w:ascii="宋体" w:hAnsi="宋体" w:eastAsia="宋体" w:cs="宋体"/>
          <w:i w:val="0"/>
          <w:iCs w:val="0"/>
          <w:caps w:val="0"/>
          <w:color w:val="333333"/>
          <w:spacing w:val="0"/>
          <w:kern w:val="0"/>
          <w:sz w:val="24"/>
          <w:szCs w:val="24"/>
          <w:shd w:val="clear" w:color="auto" w:fill="FFFFFF"/>
          <w:lang w:val="en-US" w:eastAsia="zh-CN" w:bidi="ar"/>
        </w:rPr>
        <w:t>，从业人员</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人，营业收入为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万元，资产总额为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万元</w:t>
      </w:r>
      <w:r>
        <w:rPr>
          <w:rFonts w:hint="eastAsia" w:ascii="宋体" w:hAnsi="宋体" w:eastAsia="宋体" w:cs="宋体"/>
          <w:i w:val="0"/>
          <w:iCs w:val="0"/>
          <w:caps w:val="0"/>
          <w:color w:val="333333"/>
          <w:spacing w:val="0"/>
          <w:kern w:val="0"/>
          <w:sz w:val="24"/>
          <w:szCs w:val="24"/>
          <w:shd w:val="clear" w:color="auto" w:fill="FFFFFF"/>
          <w:vertAlign w:val="superscript"/>
          <w:lang w:val="en-US" w:eastAsia="zh-CN" w:bidi="ar"/>
        </w:rPr>
        <w:t>1</w:t>
      </w:r>
      <w:r>
        <w:rPr>
          <w:rFonts w:hint="eastAsia" w:ascii="宋体" w:hAnsi="宋体" w:eastAsia="宋体" w:cs="宋体"/>
          <w:i w:val="0"/>
          <w:iCs w:val="0"/>
          <w:caps w:val="0"/>
          <w:color w:val="333333"/>
          <w:spacing w:val="0"/>
          <w:kern w:val="0"/>
          <w:sz w:val="24"/>
          <w:szCs w:val="24"/>
          <w:shd w:val="clear" w:color="auto" w:fill="FFFFFF"/>
          <w:lang w:val="en-US" w:eastAsia="zh-CN" w:bidi="ar"/>
        </w:rPr>
        <w:t>，属于</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（中型企业、小型企业、微型企业）</w:t>
      </w:r>
      <w:r>
        <w:rPr>
          <w:rFonts w:hint="eastAsia" w:ascii="宋体" w:hAnsi="宋体" w:eastAsia="宋体" w:cs="宋体"/>
          <w:i w:val="0"/>
          <w:iCs w:val="0"/>
          <w:caps w:val="0"/>
          <w:color w:val="333333"/>
          <w:spacing w:val="0"/>
          <w:kern w:val="0"/>
          <w:sz w:val="24"/>
          <w:szCs w:val="24"/>
          <w:shd w:val="clear" w:color="auto" w:fill="FFFFFF"/>
          <w:lang w:val="en-US" w:eastAsia="zh-CN" w:bidi="ar"/>
        </w:rPr>
        <w:t>；</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以上企业，不属于大企业的分支机构，不存在控股股东为大企业的情形，也不存在与大企业的负责人为同一人的情形。</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本企业对上述声明内容的真实性负责。如有虚假，将依法承担相应责任。</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 </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 </w:t>
      </w:r>
    </w:p>
    <w:p>
      <w:pPr>
        <w:keepNext w:val="0"/>
        <w:keepLines w:val="0"/>
        <w:widowControl/>
        <w:suppressLineNumbers w:val="0"/>
        <w:shd w:val="clear" w:color="auto" w:fill="FFFFFF"/>
        <w:spacing w:before="100" w:beforeAutospacing="1" w:after="100" w:afterAutospacing="1" w:line="435" w:lineRule="atLeast"/>
        <w:ind w:left="0" w:right="0" w:firstLine="52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供应商（盖章）：</w:t>
      </w:r>
    </w:p>
    <w:p>
      <w:pPr>
        <w:keepNext w:val="0"/>
        <w:keepLines w:val="0"/>
        <w:widowControl/>
        <w:suppressLineNumbers w:val="0"/>
        <w:shd w:val="clear" w:color="auto" w:fill="FFFFFF"/>
        <w:spacing w:before="100" w:beforeAutospacing="1" w:after="100" w:afterAutospacing="1" w:line="435" w:lineRule="atLeast"/>
        <w:ind w:left="0" w:right="0" w:firstLine="5280"/>
        <w:jc w:val="left"/>
        <w:rPr>
          <w:rFonts w:hint="eastAsia" w:ascii="宋体" w:hAnsi="宋体" w:eastAsia="宋体" w:cs="宋体"/>
          <w:i w:val="0"/>
          <w:iCs w:val="0"/>
          <w:caps w:val="0"/>
          <w:color w:val="333333"/>
          <w:spacing w:val="0"/>
          <w:kern w:val="0"/>
          <w:sz w:val="24"/>
          <w:szCs w:val="24"/>
          <w:shd w:val="clear" w:color="auto" w:fill="FFFFFF"/>
          <w:lang w:val="en-US" w:eastAsia="zh-CN" w:bidi="ar"/>
        </w:rPr>
      </w:pPr>
      <w:r>
        <w:rPr>
          <w:rFonts w:hint="eastAsia" w:ascii="宋体" w:hAnsi="宋体" w:eastAsia="宋体" w:cs="宋体"/>
          <w:i w:val="0"/>
          <w:iCs w:val="0"/>
          <w:caps w:val="0"/>
          <w:color w:val="333333"/>
          <w:spacing w:val="0"/>
          <w:kern w:val="0"/>
          <w:sz w:val="24"/>
          <w:szCs w:val="24"/>
          <w:shd w:val="clear" w:color="auto" w:fill="FFFFFF"/>
          <w:lang w:val="en-US" w:eastAsia="zh-CN" w:bidi="ar"/>
        </w:rPr>
        <w:t>日 期：</w:t>
      </w:r>
    </w:p>
    <w:p>
      <w:pPr>
        <w:rPr>
          <w:rFonts w:hint="eastAsia" w:ascii="宋体" w:hAnsi="宋体" w:eastAsia="宋体" w:cs="宋体"/>
          <w:i w:val="0"/>
          <w:iCs w:val="0"/>
          <w:caps w:val="0"/>
          <w:color w:val="333333"/>
          <w:spacing w:val="0"/>
          <w:kern w:val="0"/>
          <w:sz w:val="24"/>
          <w:szCs w:val="24"/>
          <w:shd w:val="clear" w:color="auto" w:fill="FFFFFF"/>
          <w:lang w:val="en-US" w:eastAsia="zh-CN" w:bidi="ar"/>
        </w:rPr>
      </w:pPr>
      <w:r>
        <w:rPr>
          <w:rFonts w:hint="eastAsia" w:ascii="宋体" w:hAnsi="宋体" w:eastAsia="宋体" w:cs="宋体"/>
          <w:i w:val="0"/>
          <w:iCs w:val="0"/>
          <w:caps w:val="0"/>
          <w:color w:val="333333"/>
          <w:spacing w:val="0"/>
          <w:kern w:val="0"/>
          <w:sz w:val="24"/>
          <w:szCs w:val="24"/>
          <w:shd w:val="clear" w:color="auto" w:fill="FFFFFF"/>
          <w:lang w:val="en-US" w:eastAsia="zh-CN" w:bidi="ar"/>
        </w:rPr>
        <w:br w:type="page"/>
      </w:r>
    </w:p>
    <w:p>
      <w:pPr>
        <w:rPr>
          <w:rFonts w:hint="eastAsia" w:ascii="宋体" w:hAnsi="宋体" w:eastAsia="宋体" w:cs="宋体"/>
          <w:b/>
          <w:color w:val="auto"/>
          <w:sz w:val="24"/>
          <w:szCs w:val="24"/>
          <w:highlight w:val="none"/>
          <w:lang w:val="en-US" w:eastAsia="zh-CN"/>
        </w:rPr>
      </w:pPr>
      <w:r>
        <w:rPr>
          <w:rFonts w:hint="eastAsia" w:ascii="宋体" w:hAnsi="宋体" w:cs="宋体"/>
          <w:b/>
          <w:sz w:val="24"/>
          <w:szCs w:val="24"/>
          <w:lang w:val="en-US" w:eastAsia="zh-CN"/>
        </w:rPr>
        <w:t>附件8</w:t>
      </w:r>
    </w:p>
    <w:p>
      <w:pPr>
        <w:pStyle w:val="20"/>
        <w:adjustRightInd w:val="0"/>
        <w:snapToGrid w:val="0"/>
        <w:spacing w:line="360" w:lineRule="auto"/>
        <w:jc w:val="center"/>
        <w:rPr>
          <w:rFonts w:hint="default" w:hAnsi="宋体" w:cs="宋体"/>
          <w:b/>
          <w:color w:val="auto"/>
          <w:kern w:val="2"/>
          <w:sz w:val="24"/>
          <w:szCs w:val="24"/>
          <w:lang w:val="en-US" w:eastAsia="zh-CN"/>
        </w:rPr>
      </w:pPr>
      <w:r>
        <w:rPr>
          <w:rFonts w:hint="default" w:hAnsi="宋体" w:cs="宋体"/>
          <w:b/>
          <w:color w:val="auto"/>
          <w:kern w:val="2"/>
          <w:sz w:val="24"/>
          <w:szCs w:val="24"/>
          <w:lang w:val="en-US" w:eastAsia="zh-CN"/>
        </w:rPr>
        <w:t>残疾人福利性单位声明函</w:t>
      </w:r>
    </w:p>
    <w:p>
      <w:pPr>
        <w:spacing w:line="360" w:lineRule="auto"/>
        <w:ind w:firstLine="496" w:firstLineChars="200"/>
        <w:rPr>
          <w:rFonts w:hint="default" w:ascii="宋体" w:hAnsi="宋体" w:cs="宋体"/>
          <w:bCs/>
          <w:color w:val="auto"/>
          <w:sz w:val="24"/>
          <w:szCs w:val="24"/>
          <w:lang w:val="en-US" w:eastAsia="zh-CN"/>
        </w:rPr>
      </w:pPr>
      <w:r>
        <w:rPr>
          <w:rFonts w:hint="default" w:ascii="宋体" w:hAnsi="宋体" w:cs="宋体"/>
          <w:bCs/>
          <w:color w:val="auto"/>
          <w:sz w:val="24"/>
          <w:szCs w:val="24"/>
          <w:lang w:val="en-US" w:eastAsia="zh-CN"/>
        </w:rPr>
        <w:t>本单位郑重声明，根据《关于促进残疾人就业政府采购政策的通知》（财库〔2017</w:t>
      </w:r>
    </w:p>
    <w:p>
      <w:pPr>
        <w:spacing w:line="360" w:lineRule="auto"/>
        <w:ind w:firstLine="496" w:firstLineChars="200"/>
        <w:rPr>
          <w:rFonts w:hint="default" w:ascii="宋体" w:hAnsi="宋体" w:cs="宋体"/>
          <w:bCs/>
          <w:color w:val="auto"/>
          <w:sz w:val="24"/>
          <w:szCs w:val="24"/>
          <w:lang w:val="en-US" w:eastAsia="zh-CN"/>
        </w:rPr>
      </w:pPr>
      <w:r>
        <w:rPr>
          <w:rFonts w:hint="default" w:ascii="宋体" w:hAnsi="宋体" w:cs="宋体"/>
          <w:bCs/>
          <w:color w:val="auto"/>
          <w:sz w:val="24"/>
          <w:szCs w:val="24"/>
          <w:lang w:val="en-US" w:eastAsia="zh-CN"/>
        </w:rPr>
        <w:t>〕141号）的规定，本单位为符合条件的残疾人福利性单位，且本单位参加</w:t>
      </w:r>
      <w:r>
        <w:rPr>
          <w:rFonts w:hint="eastAsia" w:ascii="宋体" w:hAnsi="宋体" w:cs="宋体"/>
          <w:bCs/>
          <w:color w:val="auto"/>
          <w:sz w:val="24"/>
          <w:szCs w:val="24"/>
        </w:rPr>
        <w:t>参加</w:t>
      </w:r>
      <w:r>
        <w:rPr>
          <w:rFonts w:hint="eastAsia" w:ascii="宋体" w:hAnsi="宋体" w:cs="宋体"/>
          <w:bCs/>
          <w:color w:val="auto"/>
          <w:sz w:val="24"/>
          <w:szCs w:val="24"/>
          <w:u w:val="single"/>
        </w:rPr>
        <w:t>（单位名称）</w:t>
      </w:r>
      <w:r>
        <w:rPr>
          <w:rFonts w:hint="eastAsia" w:ascii="宋体" w:hAnsi="宋体" w:cs="宋体"/>
          <w:bCs/>
          <w:color w:val="auto"/>
          <w:sz w:val="24"/>
          <w:szCs w:val="24"/>
        </w:rPr>
        <w:t>的</w:t>
      </w:r>
      <w:r>
        <w:rPr>
          <w:rFonts w:hint="eastAsia" w:ascii="宋体" w:hAnsi="宋体" w:cs="宋体"/>
          <w:bCs/>
          <w:color w:val="auto"/>
          <w:sz w:val="24"/>
          <w:szCs w:val="24"/>
          <w:u w:val="single"/>
        </w:rPr>
        <w:t>（项目名称）</w:t>
      </w:r>
      <w:r>
        <w:rPr>
          <w:rFonts w:hint="eastAsia" w:ascii="宋体" w:hAnsi="宋体" w:cs="宋体"/>
          <w:bCs/>
          <w:color w:val="auto"/>
          <w:sz w:val="24"/>
          <w:szCs w:val="24"/>
        </w:rPr>
        <w:t>采购活动</w:t>
      </w:r>
      <w:r>
        <w:rPr>
          <w:rFonts w:hint="default" w:ascii="宋体" w:hAnsi="宋体" w:cs="宋体"/>
          <w:bCs/>
          <w:color w:val="auto"/>
          <w:sz w:val="24"/>
          <w:szCs w:val="24"/>
          <w:lang w:val="en-US" w:eastAsia="zh-CN"/>
        </w:rPr>
        <w:t>提供本单位制造的货物（由本单位承担工程提供服务），或者提供其他残疾人福利性单位制造的货物（不包括使用非残疾人福利性单位注册商标的货物）。</w:t>
      </w:r>
    </w:p>
    <w:p>
      <w:pPr>
        <w:spacing w:line="360" w:lineRule="auto"/>
        <w:ind w:firstLine="496" w:firstLineChars="200"/>
        <w:rPr>
          <w:rFonts w:hint="default" w:ascii="宋体" w:hAnsi="宋体" w:cs="宋体"/>
          <w:bCs/>
          <w:color w:val="auto"/>
          <w:sz w:val="24"/>
          <w:szCs w:val="24"/>
          <w:lang w:val="en-US" w:eastAsia="zh-CN"/>
        </w:rPr>
      </w:pPr>
      <w:r>
        <w:rPr>
          <w:rFonts w:hint="default" w:ascii="宋体" w:hAnsi="宋体" w:cs="宋体"/>
          <w:bCs/>
          <w:color w:val="auto"/>
          <w:sz w:val="24"/>
          <w:szCs w:val="24"/>
          <w:lang w:val="en-US" w:eastAsia="zh-CN"/>
        </w:rPr>
        <w:t> </w:t>
      </w:r>
    </w:p>
    <w:p>
      <w:pPr>
        <w:spacing w:line="360" w:lineRule="auto"/>
        <w:ind w:firstLine="496" w:firstLineChars="200"/>
        <w:rPr>
          <w:rFonts w:hint="default" w:ascii="宋体" w:hAnsi="宋体" w:cs="宋体"/>
          <w:bCs/>
          <w:color w:val="auto"/>
          <w:sz w:val="24"/>
          <w:szCs w:val="24"/>
          <w:lang w:val="en-US" w:eastAsia="zh-CN"/>
        </w:rPr>
      </w:pPr>
      <w:r>
        <w:rPr>
          <w:rFonts w:hint="default" w:ascii="宋体" w:hAnsi="宋体" w:cs="宋体"/>
          <w:bCs/>
          <w:color w:val="auto"/>
          <w:sz w:val="24"/>
          <w:szCs w:val="24"/>
          <w:lang w:val="en-US" w:eastAsia="zh-CN"/>
        </w:rPr>
        <w:t>本单位对上述声明的真实性负责。如有虚假，将依法承担相应责任。</w:t>
      </w:r>
    </w:p>
    <w:p>
      <w:pPr>
        <w:spacing w:line="360" w:lineRule="auto"/>
        <w:ind w:firstLine="496" w:firstLineChars="200"/>
        <w:rPr>
          <w:rFonts w:hint="default" w:ascii="宋体" w:hAnsi="宋体" w:cs="宋体"/>
          <w:bCs/>
          <w:color w:val="auto"/>
          <w:sz w:val="24"/>
          <w:szCs w:val="24"/>
          <w:lang w:val="en-US" w:eastAsia="zh-CN"/>
        </w:rPr>
      </w:pPr>
    </w:p>
    <w:p>
      <w:pPr>
        <w:spacing w:line="360" w:lineRule="auto"/>
        <w:ind w:firstLine="496" w:firstLineChars="200"/>
        <w:rPr>
          <w:rFonts w:hint="default" w:ascii="宋体" w:hAnsi="宋体" w:cs="宋体"/>
          <w:bCs/>
          <w:color w:val="auto"/>
          <w:sz w:val="24"/>
          <w:szCs w:val="24"/>
          <w:lang w:val="en-US" w:eastAsia="zh-CN"/>
        </w:rPr>
      </w:pPr>
    </w:p>
    <w:p>
      <w:pPr>
        <w:spacing w:line="360" w:lineRule="auto"/>
        <w:ind w:firstLine="496" w:firstLineChars="200"/>
        <w:rPr>
          <w:rFonts w:hint="default" w:ascii="宋体" w:hAnsi="宋体" w:cs="宋体"/>
          <w:bCs/>
          <w:color w:val="auto"/>
          <w:sz w:val="24"/>
          <w:szCs w:val="24"/>
          <w:lang w:val="en-US" w:eastAsia="zh-CN"/>
        </w:rPr>
      </w:pPr>
      <w:r>
        <w:rPr>
          <w:rFonts w:hint="default" w:ascii="宋体" w:hAnsi="宋体" w:cs="宋体"/>
          <w:bCs/>
          <w:color w:val="auto"/>
          <w:sz w:val="24"/>
          <w:szCs w:val="24"/>
          <w:lang w:val="en-US" w:eastAsia="zh-CN"/>
        </w:rPr>
        <w:t> </w:t>
      </w:r>
    </w:p>
    <w:p>
      <w:pPr>
        <w:keepNext w:val="0"/>
        <w:keepLines w:val="0"/>
        <w:widowControl/>
        <w:suppressLineNumbers w:val="0"/>
        <w:shd w:val="clear" w:color="auto" w:fill="FFFFFF"/>
        <w:spacing w:before="100" w:beforeAutospacing="1" w:after="100" w:afterAutospacing="1" w:line="435" w:lineRule="atLeast"/>
        <w:ind w:left="0" w:right="0" w:firstLine="52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供应商（盖章）：</w:t>
      </w:r>
    </w:p>
    <w:p>
      <w:pPr>
        <w:keepNext w:val="0"/>
        <w:keepLines w:val="0"/>
        <w:widowControl/>
        <w:suppressLineNumbers w:val="0"/>
        <w:shd w:val="clear" w:color="auto" w:fill="FFFFFF"/>
        <w:spacing w:before="100" w:beforeAutospacing="1" w:after="100" w:afterAutospacing="1" w:line="435" w:lineRule="atLeast"/>
        <w:ind w:left="0" w:right="0" w:firstLine="5280"/>
        <w:jc w:val="left"/>
        <w:rPr>
          <w:rFonts w:hint="eastAsia" w:ascii="宋体" w:hAnsi="宋体" w:eastAsia="宋体" w:cs="宋体"/>
          <w:i w:val="0"/>
          <w:iCs w:val="0"/>
          <w:caps w:val="0"/>
          <w:color w:val="333333"/>
          <w:spacing w:val="0"/>
          <w:kern w:val="0"/>
          <w:sz w:val="24"/>
          <w:szCs w:val="24"/>
          <w:shd w:val="clear" w:color="auto" w:fill="FFFFFF"/>
          <w:lang w:val="en-US" w:eastAsia="zh-CN" w:bidi="ar"/>
        </w:rPr>
      </w:pPr>
      <w:r>
        <w:rPr>
          <w:rFonts w:hint="eastAsia" w:ascii="宋体" w:hAnsi="宋体" w:eastAsia="宋体" w:cs="宋体"/>
          <w:i w:val="0"/>
          <w:iCs w:val="0"/>
          <w:caps w:val="0"/>
          <w:color w:val="333333"/>
          <w:spacing w:val="0"/>
          <w:kern w:val="0"/>
          <w:sz w:val="24"/>
          <w:szCs w:val="24"/>
          <w:shd w:val="clear" w:color="auto" w:fill="FFFFFF"/>
          <w:lang w:val="en-US" w:eastAsia="zh-CN" w:bidi="ar"/>
        </w:rPr>
        <w:t>日 期：</w:t>
      </w:r>
    </w:p>
    <w:p>
      <w:pPr>
        <w:rPr>
          <w:rFonts w:hint="eastAsia" w:ascii="宋体" w:hAnsi="宋体" w:eastAsia="宋体" w:cs="宋体"/>
          <w:i w:val="0"/>
          <w:iCs w:val="0"/>
          <w:caps w:val="0"/>
          <w:color w:val="333333"/>
          <w:spacing w:val="0"/>
          <w:kern w:val="0"/>
          <w:sz w:val="24"/>
          <w:szCs w:val="24"/>
          <w:shd w:val="clear" w:color="auto" w:fill="FFFFFF"/>
          <w:lang w:val="en-US" w:eastAsia="zh-CN" w:bidi="ar"/>
        </w:rPr>
      </w:pPr>
      <w:r>
        <w:rPr>
          <w:rFonts w:hint="eastAsia" w:ascii="宋体" w:hAnsi="宋体" w:eastAsia="宋体" w:cs="宋体"/>
          <w:i w:val="0"/>
          <w:iCs w:val="0"/>
          <w:caps w:val="0"/>
          <w:color w:val="333333"/>
          <w:spacing w:val="0"/>
          <w:kern w:val="0"/>
          <w:sz w:val="24"/>
          <w:szCs w:val="24"/>
          <w:shd w:val="clear" w:color="auto" w:fill="FFFFFF"/>
          <w:lang w:val="en-US" w:eastAsia="zh-CN" w:bidi="ar"/>
        </w:rPr>
        <w:br w:type="page"/>
      </w:r>
    </w:p>
    <w:p>
      <w:pPr>
        <w:rPr>
          <w:rFonts w:hint="eastAsia" w:ascii="宋体" w:hAnsi="宋体" w:eastAsia="宋体" w:cs="宋体"/>
          <w:b/>
          <w:color w:val="auto"/>
          <w:sz w:val="24"/>
          <w:szCs w:val="24"/>
          <w:highlight w:val="none"/>
          <w:lang w:val="en-US" w:eastAsia="zh-CN"/>
        </w:rPr>
      </w:pPr>
      <w:r>
        <w:rPr>
          <w:rFonts w:hint="eastAsia" w:ascii="宋体" w:hAnsi="宋体" w:cs="宋体"/>
          <w:b/>
          <w:sz w:val="24"/>
          <w:szCs w:val="24"/>
          <w:lang w:val="en-US" w:eastAsia="zh-CN"/>
        </w:rPr>
        <w:t>附件9</w:t>
      </w:r>
    </w:p>
    <w:p>
      <w:pPr>
        <w:spacing w:line="560" w:lineRule="exact"/>
        <w:jc w:val="center"/>
        <w:rPr>
          <w:rFonts w:hint="default" w:ascii="宋体" w:hAnsi="宋体" w:cs="宋体" w:eastAsiaTheme="minorEastAsia"/>
          <w:b/>
          <w:color w:val="auto"/>
          <w:kern w:val="2"/>
          <w:sz w:val="24"/>
          <w:szCs w:val="24"/>
          <w:lang w:val="en-US" w:eastAsia="zh-CN" w:bidi="ar-SA"/>
        </w:rPr>
      </w:pPr>
      <w:r>
        <w:rPr>
          <w:rFonts w:hint="default" w:ascii="宋体" w:hAnsi="宋体" w:cs="宋体" w:eastAsiaTheme="minorEastAsia"/>
          <w:b/>
          <w:color w:val="auto"/>
          <w:kern w:val="2"/>
          <w:sz w:val="24"/>
          <w:szCs w:val="24"/>
          <w:lang w:val="en-US" w:eastAsia="zh-CN" w:bidi="ar-SA"/>
        </w:rPr>
        <w:t>监狱企业证明函</w:t>
      </w:r>
    </w:p>
    <w:p>
      <w:pPr>
        <w:spacing w:line="360" w:lineRule="auto"/>
        <w:ind w:firstLine="496" w:firstLineChars="200"/>
        <w:rPr>
          <w:rFonts w:hint="default" w:ascii="宋体" w:hAnsi="宋体" w:cs="宋体"/>
          <w:bCs/>
          <w:color w:val="auto"/>
          <w:sz w:val="24"/>
          <w:szCs w:val="24"/>
          <w:lang w:val="en-US" w:eastAsia="zh-CN"/>
        </w:rPr>
      </w:pPr>
      <w:r>
        <w:rPr>
          <w:rFonts w:hint="default" w:ascii="宋体" w:hAnsi="宋体" w:cs="宋体"/>
          <w:bCs/>
          <w:color w:val="auto"/>
          <w:sz w:val="24"/>
          <w:szCs w:val="24"/>
          <w:lang w:val="en-US" w:eastAsia="zh-CN"/>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96" w:firstLineChars="200"/>
        <w:rPr>
          <w:rFonts w:hint="default" w:ascii="宋体" w:hAnsi="宋体" w:cs="宋体"/>
          <w:bCs/>
          <w:color w:val="auto"/>
          <w:sz w:val="24"/>
          <w:szCs w:val="24"/>
          <w:lang w:val="en-US" w:eastAsia="zh-CN"/>
        </w:rPr>
      </w:pPr>
      <w:r>
        <w:rPr>
          <w:rFonts w:hint="default" w:ascii="宋体" w:hAnsi="宋体" w:cs="宋体"/>
          <w:bCs/>
          <w:color w:val="auto"/>
          <w:sz w:val="24"/>
          <w:szCs w:val="24"/>
          <w:lang w:val="en-US" w:eastAsia="zh-CN"/>
        </w:rPr>
        <w:t>监狱企业参加政府采购活动时，应当提供由省级以上监狱管理局、戒毒管理局（含新疆生产建设兵团）出具的属于监狱企业的证明文件。</w:t>
      </w:r>
    </w:p>
    <w:p>
      <w:pPr>
        <w:pStyle w:val="2"/>
        <w:rPr>
          <w:rFonts w:hint="default" w:ascii="宋体" w:hAnsi="宋体" w:cs="宋体"/>
          <w:bCs/>
          <w:color w:val="auto"/>
          <w:sz w:val="24"/>
          <w:szCs w:val="24"/>
          <w:lang w:val="en-US" w:eastAsia="zh-CN"/>
        </w:rPr>
      </w:pPr>
    </w:p>
    <w:p>
      <w:pPr>
        <w:pStyle w:val="4"/>
        <w:rPr>
          <w:rFonts w:hint="default" w:ascii="宋体" w:hAnsi="宋体" w:cs="宋体"/>
          <w:bCs/>
          <w:color w:val="auto"/>
          <w:sz w:val="24"/>
          <w:szCs w:val="24"/>
          <w:lang w:val="en-US" w:eastAsia="zh-CN"/>
        </w:rPr>
      </w:pPr>
    </w:p>
    <w:p>
      <w:pPr>
        <w:pStyle w:val="6"/>
        <w:rPr>
          <w:rFonts w:hint="default" w:ascii="宋体" w:hAnsi="宋体" w:cs="宋体"/>
          <w:bCs/>
          <w:color w:val="auto"/>
          <w:sz w:val="24"/>
          <w:szCs w:val="24"/>
          <w:lang w:val="en-US" w:eastAsia="zh-CN"/>
        </w:rPr>
      </w:pPr>
    </w:p>
    <w:p>
      <w:pPr>
        <w:pStyle w:val="4"/>
        <w:rPr>
          <w:rFonts w:hint="default" w:ascii="宋体" w:hAnsi="宋体" w:cs="宋体"/>
          <w:bCs/>
          <w:color w:val="auto"/>
          <w:sz w:val="24"/>
          <w:szCs w:val="24"/>
          <w:lang w:val="en-US" w:eastAsia="zh-CN"/>
        </w:rPr>
      </w:pPr>
    </w:p>
    <w:p>
      <w:pPr>
        <w:pStyle w:val="6"/>
        <w:rPr>
          <w:rFonts w:hint="default" w:ascii="宋体" w:hAnsi="宋体" w:cs="宋体"/>
          <w:bCs/>
          <w:color w:val="auto"/>
          <w:sz w:val="24"/>
          <w:szCs w:val="24"/>
          <w:lang w:val="en-US" w:eastAsia="zh-CN"/>
        </w:rPr>
      </w:pPr>
    </w:p>
    <w:p>
      <w:pPr>
        <w:pStyle w:val="4"/>
        <w:rPr>
          <w:rFonts w:hint="default" w:ascii="宋体" w:hAnsi="宋体" w:cs="宋体"/>
          <w:bCs/>
          <w:color w:val="auto"/>
          <w:sz w:val="24"/>
          <w:szCs w:val="24"/>
          <w:lang w:val="en-US" w:eastAsia="zh-CN"/>
        </w:rPr>
      </w:pPr>
    </w:p>
    <w:p>
      <w:pPr>
        <w:keepNext w:val="0"/>
        <w:keepLines w:val="0"/>
        <w:widowControl/>
        <w:suppressLineNumbers w:val="0"/>
        <w:shd w:val="clear" w:color="auto" w:fill="FFFFFF"/>
        <w:spacing w:before="100" w:beforeAutospacing="1" w:after="100" w:afterAutospacing="1" w:line="435" w:lineRule="atLeast"/>
        <w:ind w:left="0" w:right="0" w:firstLine="52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供应商（盖章）：</w:t>
      </w:r>
    </w:p>
    <w:p>
      <w:pPr>
        <w:keepNext w:val="0"/>
        <w:keepLines w:val="0"/>
        <w:widowControl/>
        <w:suppressLineNumbers w:val="0"/>
        <w:shd w:val="clear" w:color="auto" w:fill="FFFFFF"/>
        <w:spacing w:before="100" w:beforeAutospacing="1" w:after="100" w:afterAutospacing="1" w:line="435" w:lineRule="atLeast"/>
        <w:ind w:left="0" w:right="0" w:firstLine="5280"/>
        <w:jc w:val="left"/>
        <w:rPr>
          <w:rFonts w:hint="eastAsia" w:ascii="宋体" w:hAnsi="宋体" w:eastAsia="宋体" w:cs="宋体"/>
          <w:i w:val="0"/>
          <w:iCs w:val="0"/>
          <w:caps w:val="0"/>
          <w:color w:val="333333"/>
          <w:spacing w:val="0"/>
          <w:kern w:val="0"/>
          <w:sz w:val="24"/>
          <w:szCs w:val="24"/>
          <w:shd w:val="clear" w:color="auto" w:fill="FFFFFF"/>
          <w:lang w:val="en-US" w:eastAsia="zh-CN" w:bidi="ar"/>
        </w:rPr>
      </w:pPr>
      <w:r>
        <w:rPr>
          <w:rFonts w:hint="eastAsia" w:ascii="宋体" w:hAnsi="宋体" w:eastAsia="宋体" w:cs="宋体"/>
          <w:i w:val="0"/>
          <w:iCs w:val="0"/>
          <w:caps w:val="0"/>
          <w:color w:val="333333"/>
          <w:spacing w:val="0"/>
          <w:kern w:val="0"/>
          <w:sz w:val="24"/>
          <w:szCs w:val="24"/>
          <w:shd w:val="clear" w:color="auto" w:fill="FFFFFF"/>
          <w:lang w:val="en-US" w:eastAsia="zh-CN" w:bidi="ar"/>
        </w:rPr>
        <w:t>日 期：</w:t>
      </w:r>
    </w:p>
    <w:p>
      <w:pPr>
        <w:pStyle w:val="6"/>
        <w:rPr>
          <w:rFonts w:hint="eastAsia"/>
          <w:lang w:val="en-US" w:eastAsia="zh-CN"/>
        </w:rPr>
      </w:pPr>
    </w:p>
    <w:p>
      <w:pPr>
        <w:pStyle w:val="2"/>
        <w:ind w:left="0" w:leftChars="0" w:firstLine="0" w:firstLineChars="0"/>
        <w:rPr>
          <w:rFonts w:hint="eastAsia"/>
          <w:lang w:val="en-US" w:eastAsia="zh-CN"/>
        </w:rPr>
      </w:pPr>
    </w:p>
    <w:p>
      <w:pPr>
        <w:rPr>
          <w:rFonts w:hint="eastAsia" w:ascii="宋体" w:hAnsi="宋体" w:eastAsia="宋体" w:cs="宋体"/>
          <w:i w:val="0"/>
          <w:iCs w:val="0"/>
          <w:caps w:val="0"/>
          <w:color w:val="333333"/>
          <w:spacing w:val="0"/>
          <w:kern w:val="0"/>
          <w:sz w:val="24"/>
          <w:szCs w:val="24"/>
          <w:shd w:val="clear" w:color="auto" w:fill="FFFFFF"/>
          <w:lang w:val="en-US" w:eastAsia="zh-CN" w:bidi="ar"/>
        </w:rPr>
      </w:pPr>
      <w:r>
        <w:rPr>
          <w:rFonts w:hint="eastAsia" w:ascii="宋体" w:hAnsi="宋体" w:eastAsia="宋体" w:cs="宋体"/>
          <w:i w:val="0"/>
          <w:iCs w:val="0"/>
          <w:caps w:val="0"/>
          <w:color w:val="333333"/>
          <w:spacing w:val="0"/>
          <w:kern w:val="0"/>
          <w:sz w:val="24"/>
          <w:szCs w:val="24"/>
          <w:shd w:val="clear" w:color="auto" w:fill="FFFFFF"/>
          <w:lang w:val="en-US" w:eastAsia="zh-CN" w:bidi="ar"/>
        </w:rPr>
        <w:br w:type="page"/>
      </w:r>
    </w:p>
    <w:p>
      <w:pPr>
        <w:pStyle w:val="105"/>
        <w:spacing w:before="197" w:after="197"/>
        <w:ind w:firstLine="659"/>
        <w:jc w:val="center"/>
        <w:rPr>
          <w:rFonts w:ascii="宋体" w:hAnsi="宋体" w:eastAsia="宋体" w:cs="宋体"/>
          <w:b w:val="0"/>
          <w:bCs w:val="0"/>
          <w:color w:val="000000" w:themeColor="text1"/>
          <w:highlight w:val="none"/>
          <w14:textFill>
            <w14:solidFill>
              <w14:schemeClr w14:val="tx1"/>
            </w14:solidFill>
          </w14:textFill>
        </w:rPr>
      </w:pPr>
      <w:r>
        <w:rPr>
          <w:rFonts w:hint="eastAsia" w:ascii="宋体" w:hAnsi="宋体" w:eastAsia="宋体" w:cs="宋体"/>
          <w:b w:val="0"/>
          <w:bCs w:val="0"/>
          <w:color w:val="000000" w:themeColor="text1"/>
          <w:highlight w:val="none"/>
          <w14:textFill>
            <w14:solidFill>
              <w14:schemeClr w14:val="tx1"/>
            </w14:solidFill>
          </w14:textFill>
        </w:rPr>
        <w:t>第四部分  供应商概况</w:t>
      </w:r>
      <w:bookmarkEnd w:id="244"/>
      <w:bookmarkEnd w:id="245"/>
    </w:p>
    <w:tbl>
      <w:tblPr>
        <w:tblStyle w:val="97"/>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992"/>
        <w:gridCol w:w="1424"/>
        <w:gridCol w:w="1411"/>
        <w:gridCol w:w="1464"/>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68" w:type="dxa"/>
            <w:gridSpan w:val="6"/>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2"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供应商全称</w:t>
            </w:r>
          </w:p>
        </w:tc>
        <w:tc>
          <w:tcPr>
            <w:tcW w:w="6756" w:type="dxa"/>
            <w:gridSpan w:val="5"/>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2"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注册地址</w:t>
            </w:r>
          </w:p>
        </w:tc>
        <w:tc>
          <w:tcPr>
            <w:tcW w:w="2416" w:type="dxa"/>
            <w:gridSpan w:val="2"/>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1411"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成立时间</w:t>
            </w:r>
          </w:p>
        </w:tc>
        <w:tc>
          <w:tcPr>
            <w:tcW w:w="2929" w:type="dxa"/>
            <w:gridSpan w:val="2"/>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2"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统一社会信用代码</w:t>
            </w:r>
          </w:p>
        </w:tc>
        <w:tc>
          <w:tcPr>
            <w:tcW w:w="2416" w:type="dxa"/>
            <w:gridSpan w:val="2"/>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1411"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单位性质</w:t>
            </w:r>
          </w:p>
        </w:tc>
        <w:tc>
          <w:tcPr>
            <w:tcW w:w="2929" w:type="dxa"/>
            <w:gridSpan w:val="2"/>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2"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法定代表人</w:t>
            </w:r>
          </w:p>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（主要负责人）</w:t>
            </w:r>
          </w:p>
        </w:tc>
        <w:tc>
          <w:tcPr>
            <w:tcW w:w="2416" w:type="dxa"/>
            <w:gridSpan w:val="2"/>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1411"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所属行业</w:t>
            </w:r>
          </w:p>
        </w:tc>
        <w:tc>
          <w:tcPr>
            <w:tcW w:w="2929" w:type="dxa"/>
            <w:gridSpan w:val="2"/>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2"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基本存款账户</w:t>
            </w:r>
          </w:p>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开户银行</w:t>
            </w:r>
          </w:p>
        </w:tc>
        <w:tc>
          <w:tcPr>
            <w:tcW w:w="2416" w:type="dxa"/>
            <w:gridSpan w:val="2"/>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1411"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基本存款</w:t>
            </w:r>
          </w:p>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账户账号</w:t>
            </w:r>
          </w:p>
        </w:tc>
        <w:tc>
          <w:tcPr>
            <w:tcW w:w="2929" w:type="dxa"/>
            <w:gridSpan w:val="2"/>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2"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上年度</w:t>
            </w:r>
          </w:p>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营业收入*</w:t>
            </w:r>
          </w:p>
        </w:tc>
        <w:tc>
          <w:tcPr>
            <w:tcW w:w="2416" w:type="dxa"/>
            <w:gridSpan w:val="2"/>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1411"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资产总额</w:t>
            </w:r>
          </w:p>
        </w:tc>
        <w:tc>
          <w:tcPr>
            <w:tcW w:w="2929" w:type="dxa"/>
            <w:gridSpan w:val="2"/>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2"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经营范围</w:t>
            </w:r>
          </w:p>
        </w:tc>
        <w:tc>
          <w:tcPr>
            <w:tcW w:w="6756" w:type="dxa"/>
            <w:gridSpan w:val="5"/>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2"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资质证书名称</w:t>
            </w:r>
          </w:p>
        </w:tc>
        <w:tc>
          <w:tcPr>
            <w:tcW w:w="2416" w:type="dxa"/>
            <w:gridSpan w:val="2"/>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证书号</w:t>
            </w:r>
          </w:p>
        </w:tc>
        <w:tc>
          <w:tcPr>
            <w:tcW w:w="1411"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等级</w:t>
            </w:r>
          </w:p>
        </w:tc>
        <w:tc>
          <w:tcPr>
            <w:tcW w:w="2929" w:type="dxa"/>
            <w:gridSpan w:val="2"/>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2"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2416" w:type="dxa"/>
            <w:gridSpan w:val="2"/>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1411"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2929" w:type="dxa"/>
            <w:gridSpan w:val="2"/>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2"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2416" w:type="dxa"/>
            <w:gridSpan w:val="2"/>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1411"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2929" w:type="dxa"/>
            <w:gridSpan w:val="2"/>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68" w:type="dxa"/>
            <w:gridSpan w:val="6"/>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2" w:type="dxa"/>
            <w:vMerge w:val="restart"/>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从业人员总数</w:t>
            </w:r>
          </w:p>
        </w:tc>
        <w:tc>
          <w:tcPr>
            <w:tcW w:w="992" w:type="dxa"/>
            <w:vMerge w:val="restart"/>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1424"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管理人员</w:t>
            </w:r>
          </w:p>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数量</w:t>
            </w:r>
          </w:p>
        </w:tc>
        <w:tc>
          <w:tcPr>
            <w:tcW w:w="1411"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1464"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专业技术</w:t>
            </w:r>
          </w:p>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人员数量</w:t>
            </w:r>
          </w:p>
        </w:tc>
        <w:tc>
          <w:tcPr>
            <w:tcW w:w="1465"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2" w:type="dxa"/>
            <w:vMerge w:val="continue"/>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992" w:type="dxa"/>
            <w:vMerge w:val="continue"/>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1424"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残疾人</w:t>
            </w:r>
          </w:p>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数量</w:t>
            </w:r>
          </w:p>
        </w:tc>
        <w:tc>
          <w:tcPr>
            <w:tcW w:w="1411"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1464"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少数民族</w:t>
            </w:r>
          </w:p>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数量</w:t>
            </w:r>
          </w:p>
        </w:tc>
        <w:tc>
          <w:tcPr>
            <w:tcW w:w="1465"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68" w:type="dxa"/>
            <w:gridSpan w:val="6"/>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存在直接控股、管理关系的相关供应商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2"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关系</w:t>
            </w:r>
          </w:p>
        </w:tc>
        <w:tc>
          <w:tcPr>
            <w:tcW w:w="6756" w:type="dxa"/>
            <w:gridSpan w:val="5"/>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2"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6756" w:type="dxa"/>
            <w:gridSpan w:val="5"/>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2"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c>
          <w:tcPr>
            <w:tcW w:w="6756" w:type="dxa"/>
            <w:gridSpan w:val="5"/>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2" w:type="dxa"/>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说明</w:t>
            </w:r>
          </w:p>
        </w:tc>
        <w:tc>
          <w:tcPr>
            <w:tcW w:w="6756" w:type="dxa"/>
            <w:gridSpan w:val="5"/>
          </w:tcPr>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1.成立时间至提交投标文件截止时间不足一年的可不填写“上年度营业收入”。</w:t>
            </w:r>
          </w:p>
          <w:p>
            <w:pPr>
              <w:ind w:firstLine="0"/>
              <w:jc w:val="both"/>
              <w:rPr>
                <w:rFonts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color w:val="000000" w:themeColor="text1"/>
                <w:kern w:val="2"/>
                <w:sz w:val="28"/>
                <w:szCs w:val="28"/>
                <w:highlight w:val="none"/>
                <w14:textFill>
                  <w14:solidFill>
                    <w14:schemeClr w14:val="tx1"/>
                  </w14:solidFill>
                </w14:textFill>
              </w:rPr>
              <w:t>2.表格空间不足时，请自行扩展。</w:t>
            </w:r>
          </w:p>
        </w:tc>
      </w:tr>
    </w:tbl>
    <w:p>
      <w:pPr>
        <w:rPr>
          <w:rFonts w:ascii="宋体" w:hAnsi="宋体" w:eastAsia="宋体" w:cs="宋体"/>
          <w:color w:val="000000" w:themeColor="text1"/>
          <w:sz w:val="32"/>
          <w:szCs w:val="32"/>
          <w:highlight w:val="none"/>
          <w14:textFill>
            <w14:solidFill>
              <w14:schemeClr w14:val="tx1"/>
            </w14:solidFill>
          </w14:textFill>
        </w:rPr>
      </w:pPr>
    </w:p>
    <w:p>
      <w:pPr>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br w:type="page"/>
      </w:r>
    </w:p>
    <w:p>
      <w:pPr>
        <w:pStyle w:val="8"/>
        <w:spacing w:beforeLines="100" w:afterLines="150" w:line="500" w:lineRule="exact"/>
        <w:ind w:firstLine="657"/>
        <w:jc w:val="center"/>
        <w:rPr>
          <w:rFonts w:ascii="宋体" w:hAnsi="宋体" w:eastAsia="宋体" w:cs="宋体"/>
          <w:color w:val="000000" w:themeColor="text1"/>
          <w:highlight w:val="none"/>
          <w14:textFill>
            <w14:solidFill>
              <w14:schemeClr w14:val="tx1"/>
            </w14:solidFill>
          </w14:textFill>
        </w:rPr>
      </w:pPr>
      <w:bookmarkStart w:id="249" w:name="_Toc6201"/>
      <w:bookmarkStart w:id="250" w:name="_Toc667"/>
      <w:r>
        <w:rPr>
          <w:rFonts w:hint="eastAsia" w:ascii="宋体" w:hAnsi="宋体" w:eastAsia="宋体" w:cs="宋体"/>
          <w:color w:val="000000" w:themeColor="text1"/>
          <w:highlight w:val="none"/>
          <w14:textFill>
            <w14:solidFill>
              <w14:schemeClr w14:val="tx1"/>
            </w14:solidFill>
          </w14:textFill>
        </w:rPr>
        <w:t xml:space="preserve">第五部分  </w:t>
      </w:r>
      <w:bookmarkEnd w:id="236"/>
      <w:bookmarkEnd w:id="237"/>
      <w:bookmarkEnd w:id="238"/>
      <w:bookmarkEnd w:id="239"/>
      <w:r>
        <w:rPr>
          <w:rFonts w:hint="eastAsia" w:ascii="宋体" w:hAnsi="宋体" w:eastAsia="宋体" w:cs="宋体"/>
          <w:color w:val="000000" w:themeColor="text1"/>
          <w:highlight w:val="none"/>
          <w:lang w:val="en-US" w:eastAsia="zh-CN"/>
          <w14:textFill>
            <w14:solidFill>
              <w14:schemeClr w14:val="tx1"/>
            </w14:solidFill>
          </w14:textFill>
        </w:rPr>
        <w:t>投标</w:t>
      </w:r>
      <w:r>
        <w:rPr>
          <w:rFonts w:hint="eastAsia" w:ascii="宋体" w:hAnsi="宋体" w:eastAsia="宋体" w:cs="宋体"/>
          <w:color w:val="000000" w:themeColor="text1"/>
          <w:highlight w:val="none"/>
          <w14:textFill>
            <w14:solidFill>
              <w14:schemeClr w14:val="tx1"/>
            </w14:solidFill>
          </w14:textFill>
        </w:rPr>
        <w:t>方案</w:t>
      </w:r>
    </w:p>
    <w:p>
      <w:pPr>
        <w:adjustRightInd w:val="0"/>
        <w:snapToGrid w:val="0"/>
        <w:spacing w:line="48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供应商可根据评审办法自行编写，格式不限。</w:t>
      </w:r>
      <w:bookmarkEnd w:id="249"/>
      <w:bookmarkEnd w:id="250"/>
    </w:p>
    <w:bookmarkEnd w:id="240"/>
    <w:bookmarkEnd w:id="241"/>
    <w:bookmarkEnd w:id="242"/>
    <w:bookmarkEnd w:id="243"/>
    <w:p>
      <w:pPr>
        <w:rPr>
          <w:rFonts w:hint="eastAsia" w:ascii="宋体" w:hAnsi="宋体" w:eastAsia="宋体" w:cs="宋体"/>
          <w:color w:val="000000" w:themeColor="text1"/>
          <w:highlight w:val="none"/>
          <w14:textFill>
            <w14:solidFill>
              <w14:schemeClr w14:val="tx1"/>
            </w14:solidFill>
          </w14:textFill>
        </w:rPr>
      </w:pPr>
      <w:bookmarkStart w:id="251" w:name="_Toc258"/>
      <w:bookmarkStart w:id="252" w:name="_Toc24830"/>
      <w:bookmarkStart w:id="253" w:name="_Toc7924"/>
      <w:bookmarkStart w:id="254" w:name="_Toc14799"/>
      <w:r>
        <w:rPr>
          <w:rFonts w:hint="eastAsia" w:ascii="宋体" w:hAnsi="宋体" w:eastAsia="宋体" w:cs="宋体"/>
          <w:color w:val="000000" w:themeColor="text1"/>
          <w:highlight w:val="none"/>
          <w14:textFill>
            <w14:solidFill>
              <w14:schemeClr w14:val="tx1"/>
            </w14:solidFill>
          </w14:textFill>
        </w:rPr>
        <w:br w:type="page"/>
      </w:r>
    </w:p>
    <w:p>
      <w:pPr>
        <w:pStyle w:val="8"/>
        <w:ind w:firstLine="657"/>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第六部分  </w:t>
      </w:r>
      <w:bookmarkEnd w:id="251"/>
      <w:bookmarkEnd w:id="252"/>
      <w:bookmarkEnd w:id="253"/>
      <w:bookmarkEnd w:id="254"/>
      <w:r>
        <w:rPr>
          <w:rFonts w:hint="eastAsia" w:ascii="宋体" w:hAnsi="宋体" w:eastAsia="宋体" w:cs="宋体"/>
          <w:color w:val="000000" w:themeColor="text1"/>
          <w:highlight w:val="none"/>
          <w14:textFill>
            <w14:solidFill>
              <w14:schemeClr w14:val="tx1"/>
            </w14:solidFill>
          </w14:textFill>
        </w:rPr>
        <w:t>商务和技术响应偏离表</w:t>
      </w:r>
    </w:p>
    <w:p>
      <w:pPr>
        <w:kinsoku w:val="0"/>
        <w:spacing w:line="480" w:lineRule="auto"/>
        <w:ind w:left="1269" w:hanging="1267" w:hangingChars="44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表1、商务</w:t>
      </w:r>
      <w:r>
        <w:rPr>
          <w:rFonts w:hint="eastAsia" w:ascii="宋体" w:hAnsi="宋体" w:eastAsia="宋体" w:cs="宋体"/>
          <w:color w:val="000000" w:themeColor="text1"/>
          <w:sz w:val="28"/>
          <w:szCs w:val="28"/>
          <w:highlight w:val="none"/>
          <w:lang w:val="en-US" w:eastAsia="zh-CN"/>
          <w14:textFill>
            <w14:solidFill>
              <w14:schemeClr w14:val="tx1"/>
            </w14:solidFill>
          </w14:textFill>
        </w:rPr>
        <w:t>要求响应</w:t>
      </w:r>
      <w:r>
        <w:rPr>
          <w:rFonts w:hint="eastAsia" w:ascii="宋体" w:hAnsi="宋体" w:eastAsia="宋体" w:cs="宋体"/>
          <w:color w:val="000000" w:themeColor="text1"/>
          <w:sz w:val="28"/>
          <w:szCs w:val="28"/>
          <w:highlight w:val="none"/>
          <w14:textFill>
            <w14:solidFill>
              <w14:schemeClr w14:val="tx1"/>
            </w14:solidFill>
          </w14:textFill>
        </w:rPr>
        <w:t>偏差表</w:t>
      </w:r>
    </w:p>
    <w:tbl>
      <w:tblPr>
        <w:tblStyle w:val="34"/>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425"/>
        <w:gridCol w:w="1740"/>
        <w:gridCol w:w="2755"/>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056" w:type="dxa"/>
            <w:vAlign w:val="center"/>
          </w:tcPr>
          <w:p>
            <w:pPr>
              <w:pStyle w:val="20"/>
              <w:spacing w:line="480" w:lineRule="auto"/>
              <w:jc w:val="center"/>
              <w:rPr>
                <w:rFonts w:hAnsi="宋体" w:eastAsia="宋体" w:cs="宋体"/>
                <w:color w:val="000000" w:themeColor="text1"/>
                <w:sz w:val="24"/>
                <w:highlight w:val="none"/>
                <w14:textFill>
                  <w14:solidFill>
                    <w14:schemeClr w14:val="tx1"/>
                  </w14:solidFill>
                </w14:textFill>
              </w:rPr>
            </w:pPr>
            <w:r>
              <w:rPr>
                <w:rFonts w:hint="eastAsia" w:hAnsi="宋体" w:eastAsia="宋体" w:cs="宋体"/>
                <w:color w:val="000000" w:themeColor="text1"/>
                <w:sz w:val="24"/>
                <w:highlight w:val="none"/>
                <w14:textFill>
                  <w14:solidFill>
                    <w14:schemeClr w14:val="tx1"/>
                  </w14:solidFill>
                </w14:textFill>
              </w:rPr>
              <w:t>序号</w:t>
            </w:r>
          </w:p>
        </w:tc>
        <w:tc>
          <w:tcPr>
            <w:tcW w:w="1425" w:type="dxa"/>
            <w:vAlign w:val="center"/>
          </w:tcPr>
          <w:p>
            <w:pPr>
              <w:pStyle w:val="20"/>
              <w:spacing w:line="480" w:lineRule="auto"/>
              <w:rPr>
                <w:rFonts w:hAnsi="宋体" w:eastAsia="宋体" w:cs="宋体"/>
                <w:color w:val="000000" w:themeColor="text1"/>
                <w:sz w:val="24"/>
                <w:highlight w:val="none"/>
                <w14:textFill>
                  <w14:solidFill>
                    <w14:schemeClr w14:val="tx1"/>
                  </w14:solidFill>
                </w14:textFill>
              </w:rPr>
            </w:pPr>
            <w:r>
              <w:rPr>
                <w:rFonts w:hint="eastAsia" w:hAnsi="宋体" w:eastAsia="宋体" w:cs="宋体"/>
                <w:color w:val="000000" w:themeColor="text1"/>
                <w:sz w:val="24"/>
                <w:highlight w:val="none"/>
                <w14:textFill>
                  <w14:solidFill>
                    <w14:schemeClr w14:val="tx1"/>
                  </w14:solidFill>
                </w14:textFill>
              </w:rPr>
              <w:t xml:space="preserve"> 商务条款</w:t>
            </w:r>
          </w:p>
        </w:tc>
        <w:tc>
          <w:tcPr>
            <w:tcW w:w="1740" w:type="dxa"/>
            <w:vAlign w:val="center"/>
          </w:tcPr>
          <w:p>
            <w:pPr>
              <w:pStyle w:val="20"/>
              <w:spacing w:line="480" w:lineRule="auto"/>
              <w:rPr>
                <w:rFonts w:hAnsi="宋体" w:eastAsia="宋体" w:cs="宋体"/>
                <w:color w:val="000000" w:themeColor="text1"/>
                <w:sz w:val="24"/>
                <w:highlight w:val="none"/>
                <w14:textFill>
                  <w14:solidFill>
                    <w14:schemeClr w14:val="tx1"/>
                  </w14:solidFill>
                </w14:textFill>
              </w:rPr>
            </w:pPr>
            <w:r>
              <w:rPr>
                <w:rFonts w:hint="eastAsia" w:hAnsi="宋体" w:eastAsia="宋体" w:cs="宋体"/>
                <w:color w:val="000000" w:themeColor="text1"/>
                <w:sz w:val="24"/>
                <w:highlight w:val="none"/>
                <w14:textFill>
                  <w14:solidFill>
                    <w14:schemeClr w14:val="tx1"/>
                  </w14:solidFill>
                </w14:textFill>
              </w:rPr>
              <w:t>商务要求内容</w:t>
            </w:r>
          </w:p>
        </w:tc>
        <w:tc>
          <w:tcPr>
            <w:tcW w:w="2755" w:type="dxa"/>
            <w:vAlign w:val="center"/>
          </w:tcPr>
          <w:p>
            <w:pPr>
              <w:pStyle w:val="20"/>
              <w:spacing w:line="480" w:lineRule="auto"/>
              <w:rPr>
                <w:rFonts w:hAnsi="宋体" w:eastAsia="宋体" w:cs="宋体"/>
                <w:color w:val="000000" w:themeColor="text1"/>
                <w:sz w:val="24"/>
                <w:highlight w:val="none"/>
                <w14:textFill>
                  <w14:solidFill>
                    <w14:schemeClr w14:val="tx1"/>
                  </w14:solidFill>
                </w14:textFill>
              </w:rPr>
            </w:pPr>
            <w:r>
              <w:rPr>
                <w:rFonts w:hint="eastAsia" w:hAnsi="宋体" w:eastAsia="宋体" w:cs="宋体"/>
                <w:color w:val="000000" w:themeColor="text1"/>
                <w:sz w:val="24"/>
                <w:highlight w:val="none"/>
                <w14:textFill>
                  <w14:solidFill>
                    <w14:schemeClr w14:val="tx1"/>
                  </w14:solidFill>
                </w14:textFill>
              </w:rPr>
              <w:t>响应文件响应商务内容</w:t>
            </w:r>
          </w:p>
        </w:tc>
        <w:tc>
          <w:tcPr>
            <w:tcW w:w="1550" w:type="dxa"/>
            <w:vAlign w:val="center"/>
          </w:tcPr>
          <w:p>
            <w:pPr>
              <w:pStyle w:val="20"/>
              <w:spacing w:line="480" w:lineRule="auto"/>
              <w:jc w:val="center"/>
              <w:rPr>
                <w:rFonts w:hAnsi="宋体" w:eastAsia="宋体" w:cs="宋体"/>
                <w:color w:val="000000" w:themeColor="text1"/>
                <w:sz w:val="24"/>
                <w:highlight w:val="none"/>
                <w14:textFill>
                  <w14:solidFill>
                    <w14:schemeClr w14:val="tx1"/>
                  </w14:solidFill>
                </w14:textFill>
              </w:rPr>
            </w:pPr>
            <w:r>
              <w:rPr>
                <w:rFonts w:hint="eastAsia" w:hAnsi="宋体" w:eastAsia="宋体" w:cs="宋体"/>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056"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425"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740" w:type="dxa"/>
            <w:vAlign w:val="center"/>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755" w:type="dxa"/>
            <w:vAlign w:val="center"/>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550" w:type="dxa"/>
            <w:vAlign w:val="center"/>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056"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425"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740"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755"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550"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056"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425"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740"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755"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550"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056"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425"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740"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755"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550"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056"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425"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740"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755"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550"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056"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425"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740"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755"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550"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56" w:type="dxa"/>
          </w:tcPr>
          <w:p>
            <w:pPr>
              <w:pStyle w:val="20"/>
              <w:spacing w:line="240" w:lineRule="auto"/>
              <w:rPr>
                <w:rFonts w:hint="default" w:hAnsi="宋体" w:eastAsia="宋体" w:cs="宋体"/>
                <w:color w:val="000000" w:themeColor="text1"/>
                <w:sz w:val="24"/>
                <w:highlight w:val="none"/>
                <w:lang w:val="en-US" w:eastAsia="zh-CN"/>
                <w14:textFill>
                  <w14:solidFill>
                    <w14:schemeClr w14:val="tx1"/>
                  </w14:solidFill>
                </w14:textFill>
              </w:rPr>
            </w:pPr>
            <w:r>
              <w:rPr>
                <w:rFonts w:hint="eastAsia" w:hAnsi="宋体" w:eastAsia="宋体" w:cs="宋体"/>
                <w:color w:val="000000" w:themeColor="text1"/>
                <w:sz w:val="24"/>
                <w:highlight w:val="none"/>
                <w:lang w:val="en-US" w:eastAsia="zh-CN"/>
                <w14:textFill>
                  <w14:solidFill>
                    <w14:schemeClr w14:val="tx1"/>
                  </w14:solidFill>
                </w14:textFill>
              </w:rPr>
              <w:t>...</w:t>
            </w:r>
          </w:p>
        </w:tc>
        <w:tc>
          <w:tcPr>
            <w:tcW w:w="1425" w:type="dxa"/>
          </w:tcPr>
          <w:p>
            <w:pPr>
              <w:pStyle w:val="20"/>
              <w:spacing w:line="240" w:lineRule="auto"/>
              <w:rPr>
                <w:rFonts w:hint="eastAsia" w:hAnsi="宋体" w:eastAsia="宋体" w:cs="宋体"/>
                <w:color w:val="000000" w:themeColor="text1"/>
                <w:sz w:val="24"/>
                <w:highlight w:val="none"/>
                <w:lang w:eastAsia="zh-CN"/>
                <w14:textFill>
                  <w14:solidFill>
                    <w14:schemeClr w14:val="tx1"/>
                  </w14:solidFill>
                </w14:textFill>
              </w:rPr>
            </w:pPr>
          </w:p>
        </w:tc>
        <w:tc>
          <w:tcPr>
            <w:tcW w:w="1740"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2755"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c>
          <w:tcPr>
            <w:tcW w:w="1550" w:type="dxa"/>
          </w:tcPr>
          <w:p>
            <w:pPr>
              <w:pStyle w:val="20"/>
              <w:spacing w:line="480" w:lineRule="auto"/>
              <w:ind w:firstLine="496" w:firstLineChars="200"/>
              <w:rPr>
                <w:rFonts w:hAnsi="宋体" w:eastAsia="宋体" w:cs="宋体"/>
                <w:color w:val="000000" w:themeColor="text1"/>
                <w:sz w:val="24"/>
                <w:highlight w:val="none"/>
                <w14:textFill>
                  <w14:solidFill>
                    <w14:schemeClr w14:val="tx1"/>
                  </w14:solidFill>
                </w14:textFill>
              </w:rPr>
            </w:pPr>
          </w:p>
        </w:tc>
      </w:tr>
    </w:tbl>
    <w:p>
      <w:pPr>
        <w:snapToGrid w:val="0"/>
        <w:spacing w:line="360" w:lineRule="auto"/>
        <w:ind w:firstLine="496" w:firstLineChars="200"/>
        <w:rPr>
          <w:rFonts w:hint="eastAsia" w:ascii="宋体" w:hAnsi="宋体" w:cs="宋体"/>
          <w:sz w:val="24"/>
          <w:szCs w:val="24"/>
        </w:rPr>
      </w:pPr>
      <w:r>
        <w:rPr>
          <w:rFonts w:hint="eastAsia" w:ascii="宋体" w:hAnsi="宋体" w:cs="宋体"/>
          <w:sz w:val="24"/>
          <w:szCs w:val="24"/>
        </w:rPr>
        <w:t>说明：</w:t>
      </w:r>
    </w:p>
    <w:p>
      <w:pPr>
        <w:snapToGrid w:val="0"/>
        <w:spacing w:line="360" w:lineRule="auto"/>
        <w:ind w:firstLine="496" w:firstLineChars="200"/>
        <w:rPr>
          <w:rFonts w:hint="eastAsia" w:ascii="宋体" w:hAnsi="宋体" w:cs="宋体"/>
          <w:sz w:val="24"/>
          <w:szCs w:val="24"/>
        </w:rPr>
      </w:pPr>
      <w:r>
        <w:rPr>
          <w:rFonts w:hint="eastAsia" w:ascii="宋体" w:hAnsi="宋体" w:cs="宋体"/>
          <w:sz w:val="24"/>
          <w:szCs w:val="24"/>
        </w:rPr>
        <w:t>1.本表只填写</w:t>
      </w:r>
      <w:r>
        <w:rPr>
          <w:rFonts w:hint="eastAsia" w:ascii="宋体" w:hAnsi="宋体" w:cs="宋体"/>
          <w:sz w:val="24"/>
          <w:szCs w:val="24"/>
          <w:lang w:val="en-US" w:eastAsia="zh-CN"/>
        </w:rPr>
        <w:t>投标文件</w:t>
      </w:r>
      <w:r>
        <w:rPr>
          <w:rFonts w:hint="eastAsia" w:ascii="宋体" w:hAnsi="宋体" w:cs="宋体"/>
          <w:sz w:val="24"/>
          <w:szCs w:val="24"/>
        </w:rPr>
        <w:t>中与</w:t>
      </w:r>
      <w:r>
        <w:rPr>
          <w:rFonts w:hint="eastAsia" w:ascii="宋体" w:hAnsi="宋体" w:cs="宋体"/>
          <w:sz w:val="24"/>
          <w:szCs w:val="24"/>
          <w:lang w:val="en-US" w:eastAsia="zh-CN"/>
        </w:rPr>
        <w:t>招标</w:t>
      </w:r>
      <w:r>
        <w:rPr>
          <w:rFonts w:hint="eastAsia" w:ascii="宋体" w:hAnsi="宋体" w:cs="宋体"/>
          <w:sz w:val="24"/>
          <w:szCs w:val="24"/>
        </w:rPr>
        <w:t>文件</w:t>
      </w:r>
      <w:r>
        <w:rPr>
          <w:rFonts w:hint="eastAsia" w:ascii="宋体" w:hAnsi="宋体" w:cs="宋体"/>
          <w:sz w:val="24"/>
          <w:szCs w:val="24"/>
          <w:lang w:val="en-US" w:eastAsia="zh-CN"/>
        </w:rPr>
        <w:t>商务要求</w:t>
      </w:r>
      <w:r>
        <w:rPr>
          <w:rFonts w:hint="eastAsia" w:ascii="宋体" w:hAnsi="宋体" w:cs="宋体"/>
          <w:sz w:val="24"/>
          <w:szCs w:val="24"/>
        </w:rPr>
        <w:t>有偏离（包括正偏离和负偏离）的内容，完全一致的，不用在此表中列出，但必须提交空白表。</w:t>
      </w:r>
    </w:p>
    <w:p>
      <w:pPr>
        <w:pStyle w:val="6"/>
        <w:spacing w:line="360" w:lineRule="auto"/>
        <w:ind w:left="0" w:leftChars="0" w:firstLine="496" w:firstLineChars="200"/>
        <w:rPr>
          <w:rFonts w:hint="eastAsia" w:ascii="宋体" w:hAnsi="宋体" w:cs="宋体"/>
          <w:sz w:val="24"/>
          <w:szCs w:val="24"/>
        </w:rPr>
      </w:pPr>
      <w:r>
        <w:rPr>
          <w:rFonts w:hint="eastAsia" w:ascii="宋体" w:hAnsi="宋体" w:cs="宋体"/>
          <w:sz w:val="24"/>
          <w:szCs w:val="24"/>
        </w:rPr>
        <w:t>2.供应商必须据实填写，不得虚假响应，否则将取消其</w:t>
      </w:r>
      <w:r>
        <w:rPr>
          <w:rFonts w:hint="eastAsia" w:ascii="宋体" w:hAnsi="宋体" w:cs="宋体"/>
          <w:sz w:val="24"/>
          <w:szCs w:val="24"/>
          <w:lang w:val="en-US" w:eastAsia="zh-CN"/>
        </w:rPr>
        <w:t>投标或</w:t>
      </w:r>
      <w:r>
        <w:rPr>
          <w:rFonts w:hint="eastAsia" w:ascii="宋体" w:hAnsi="宋体" w:cs="宋体"/>
          <w:sz w:val="24"/>
          <w:szCs w:val="24"/>
        </w:rPr>
        <w:t>成交资格，并按有关规定进处罚。</w:t>
      </w:r>
    </w:p>
    <w:p>
      <w:pPr>
        <w:pStyle w:val="4"/>
        <w:ind w:left="0" w:leftChars="0" w:firstLine="496" w:firstLineChars="200"/>
        <w:rPr>
          <w:rFonts w:hint="default" w:eastAsiaTheme="minorEastAsia"/>
          <w:lang w:val="en-US" w:eastAsia="zh-CN"/>
        </w:rPr>
      </w:pPr>
      <w:r>
        <w:rPr>
          <w:rFonts w:hint="eastAsia" w:ascii="宋体" w:hAnsi="宋体" w:cs="宋体"/>
          <w:sz w:val="24"/>
          <w:szCs w:val="24"/>
          <w:lang w:val="en-US" w:eastAsia="zh-CN"/>
        </w:rPr>
        <w:t>3.本项目商务要求不允许负偏离。</w:t>
      </w:r>
    </w:p>
    <w:p>
      <w:pPr>
        <w:adjustRightInd w:val="0"/>
        <w:snapToGrid w:val="0"/>
        <w:spacing w:line="480" w:lineRule="auto"/>
        <w:rPr>
          <w:rFonts w:ascii="宋体" w:hAnsi="宋体" w:eastAsia="宋体" w:cs="宋体"/>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供应商（单位名称及公章）：</w:t>
      </w:r>
    </w:p>
    <w:p>
      <w:pPr>
        <w:adjustRightInd w:val="0"/>
        <w:snapToGrid w:val="0"/>
        <w:spacing w:line="48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法定代表人或被授权人（签字或盖章）：</w:t>
      </w:r>
    </w:p>
    <w:p>
      <w:pPr>
        <w:adjustRightInd w:val="0"/>
        <w:snapToGrid w:val="0"/>
        <w:spacing w:line="480" w:lineRule="auto"/>
        <w:rPr>
          <w:rFonts w:ascii="宋体" w:hAnsi="宋体" w:eastAsia="宋体" w:cs="宋体"/>
          <w:color w:val="000000" w:themeColor="text1"/>
          <w:highlight w:val="none"/>
          <w14:textFill>
            <w14:solidFill>
              <w14:schemeClr w14:val="tx1"/>
            </w14:solidFill>
          </w14:textFill>
        </w:rPr>
        <w:sectPr>
          <w:footerReference r:id="rId11" w:type="default"/>
          <w:pgSz w:w="11906" w:h="16838"/>
          <w:pgMar w:top="1440" w:right="1083" w:bottom="1440" w:left="1083" w:header="850" w:footer="992" w:gutter="0"/>
          <w:pgNumType w:fmt="numberInDash"/>
          <w:cols w:space="0" w:num="1"/>
          <w:titlePg/>
          <w:docGrid w:type="linesAndChars" w:linePitch="395" w:charSpace="1724"/>
        </w:sectPr>
      </w:pPr>
      <w:r>
        <w:rPr>
          <w:rFonts w:hint="eastAsia" w:ascii="宋体" w:hAnsi="宋体" w:eastAsia="宋体" w:cs="宋体"/>
          <w:color w:val="000000" w:themeColor="text1"/>
          <w:highlight w:val="none"/>
          <w14:textFill>
            <w14:solidFill>
              <w14:schemeClr w14:val="tx1"/>
            </w14:solidFill>
          </w14:textFill>
        </w:rPr>
        <w:t>日    期：</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年</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月</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日</w:t>
      </w: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表2、</w:t>
      </w:r>
      <w:r>
        <w:rPr>
          <w:rFonts w:hint="eastAsia" w:ascii="宋体" w:hAnsi="宋体" w:eastAsia="宋体" w:cs="宋体"/>
          <w:color w:val="000000" w:themeColor="text1"/>
          <w:sz w:val="28"/>
          <w:szCs w:val="28"/>
          <w:highlight w:val="none"/>
          <w:lang w:val="en-US" w:eastAsia="zh-CN"/>
          <w14:textFill>
            <w14:solidFill>
              <w14:schemeClr w14:val="tx1"/>
            </w14:solidFill>
          </w14:textFill>
        </w:rPr>
        <w:t>技术要求</w:t>
      </w:r>
      <w:r>
        <w:rPr>
          <w:rFonts w:hint="eastAsia" w:ascii="宋体" w:hAnsi="宋体" w:eastAsia="宋体" w:cs="宋体"/>
          <w:color w:val="000000" w:themeColor="text1"/>
          <w:sz w:val="28"/>
          <w:szCs w:val="28"/>
          <w:highlight w:val="none"/>
          <w14:textFill>
            <w14:solidFill>
              <w14:schemeClr w14:val="tx1"/>
            </w14:solidFill>
          </w14:textFill>
        </w:rPr>
        <w:t>响应偏差表</w:t>
      </w:r>
    </w:p>
    <w:tbl>
      <w:tblPr>
        <w:tblStyle w:val="34"/>
        <w:tblW w:w="875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35"/>
        <w:gridCol w:w="2084"/>
        <w:gridCol w:w="2216"/>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51" w:type="dxa"/>
            <w:vAlign w:val="center"/>
          </w:tcPr>
          <w:p>
            <w:pPr>
              <w:pStyle w:val="20"/>
              <w:spacing w:line="480" w:lineRule="auto"/>
              <w:jc w:val="center"/>
              <w:rPr>
                <w:rFonts w:hAnsi="宋体" w:eastAsia="宋体" w:cs="宋体"/>
                <w:color w:val="000000" w:themeColor="text1"/>
                <w:sz w:val="24"/>
                <w:highlight w:val="none"/>
                <w14:textFill>
                  <w14:solidFill>
                    <w14:schemeClr w14:val="tx1"/>
                  </w14:solidFill>
                </w14:textFill>
              </w:rPr>
            </w:pPr>
            <w:r>
              <w:rPr>
                <w:rFonts w:hint="eastAsia" w:hAnsi="宋体" w:eastAsia="宋体" w:cs="宋体"/>
                <w:color w:val="000000" w:themeColor="text1"/>
                <w:sz w:val="24"/>
                <w:highlight w:val="none"/>
                <w14:textFill>
                  <w14:solidFill>
                    <w14:schemeClr w14:val="tx1"/>
                  </w14:solidFill>
                </w14:textFill>
              </w:rPr>
              <w:t>序号</w:t>
            </w:r>
          </w:p>
        </w:tc>
        <w:tc>
          <w:tcPr>
            <w:tcW w:w="2135" w:type="dxa"/>
            <w:vAlign w:val="center"/>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r>
              <w:rPr>
                <w:rFonts w:hint="eastAsia" w:hAnsi="宋体" w:eastAsia="宋体" w:cs="宋体"/>
                <w:color w:val="000000" w:themeColor="text1"/>
                <w:sz w:val="24"/>
                <w:highlight w:val="none"/>
                <w14:textFill>
                  <w14:solidFill>
                    <w14:schemeClr w14:val="tx1"/>
                  </w14:solidFill>
                </w14:textFill>
              </w:rPr>
              <w:t>产品名称</w:t>
            </w:r>
          </w:p>
        </w:tc>
        <w:tc>
          <w:tcPr>
            <w:tcW w:w="2084" w:type="dxa"/>
            <w:vAlign w:val="center"/>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r>
              <w:rPr>
                <w:rFonts w:hint="eastAsia" w:hAnsi="宋体" w:eastAsia="宋体" w:cs="宋体"/>
                <w:color w:val="000000" w:themeColor="text1"/>
                <w:sz w:val="24"/>
                <w:highlight w:val="none"/>
                <w14:textFill>
                  <w14:solidFill>
                    <w14:schemeClr w14:val="tx1"/>
                  </w14:solidFill>
                </w14:textFill>
              </w:rPr>
              <w:t>文件要求</w:t>
            </w:r>
          </w:p>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r>
              <w:rPr>
                <w:rFonts w:hint="eastAsia" w:hAnsi="宋体" w:eastAsia="宋体" w:cs="宋体"/>
                <w:color w:val="000000" w:themeColor="text1"/>
                <w:sz w:val="24"/>
                <w:highlight w:val="none"/>
                <w14:textFill>
                  <w14:solidFill>
                    <w14:schemeClr w14:val="tx1"/>
                  </w14:solidFill>
                </w14:textFill>
              </w:rPr>
              <w:t>技术指标</w:t>
            </w:r>
          </w:p>
        </w:tc>
        <w:tc>
          <w:tcPr>
            <w:tcW w:w="2216" w:type="dxa"/>
            <w:vAlign w:val="center"/>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r>
              <w:rPr>
                <w:rFonts w:hint="eastAsia" w:hAnsi="宋体" w:eastAsia="宋体" w:cs="宋体"/>
                <w:color w:val="000000" w:themeColor="text1"/>
                <w:sz w:val="24"/>
                <w:highlight w:val="none"/>
                <w14:textFill>
                  <w14:solidFill>
                    <w14:schemeClr w14:val="tx1"/>
                  </w14:solidFill>
                </w14:textFill>
              </w:rPr>
              <w:t>投标产品</w:t>
            </w:r>
          </w:p>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r>
              <w:rPr>
                <w:rFonts w:hint="eastAsia" w:hAnsi="宋体" w:eastAsia="宋体" w:cs="宋体"/>
                <w:color w:val="000000" w:themeColor="text1"/>
                <w:sz w:val="24"/>
                <w:highlight w:val="none"/>
                <w14:textFill>
                  <w14:solidFill>
                    <w14:schemeClr w14:val="tx1"/>
                  </w14:solidFill>
                </w14:textFill>
              </w:rPr>
              <w:t>技术指标</w:t>
            </w:r>
          </w:p>
        </w:tc>
        <w:tc>
          <w:tcPr>
            <w:tcW w:w="1470" w:type="dxa"/>
            <w:vAlign w:val="center"/>
          </w:tcPr>
          <w:p>
            <w:pPr>
              <w:pStyle w:val="20"/>
              <w:spacing w:line="480" w:lineRule="auto"/>
              <w:jc w:val="center"/>
              <w:rPr>
                <w:rFonts w:hAnsi="宋体" w:eastAsia="宋体" w:cs="宋体"/>
                <w:color w:val="000000" w:themeColor="text1"/>
                <w:sz w:val="24"/>
                <w:highlight w:val="none"/>
                <w14:textFill>
                  <w14:solidFill>
                    <w14:schemeClr w14:val="tx1"/>
                  </w14:solidFill>
                </w14:textFill>
              </w:rPr>
            </w:pPr>
            <w:r>
              <w:rPr>
                <w:rFonts w:hint="eastAsia" w:hAnsi="宋体" w:eastAsia="宋体" w:cs="宋体"/>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c>
          <w:tcPr>
            <w:tcW w:w="2135"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c>
          <w:tcPr>
            <w:tcW w:w="2084" w:type="dxa"/>
            <w:vAlign w:val="center"/>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c>
          <w:tcPr>
            <w:tcW w:w="2216" w:type="dxa"/>
            <w:vAlign w:val="center"/>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c>
          <w:tcPr>
            <w:tcW w:w="1470" w:type="dxa"/>
            <w:vAlign w:val="center"/>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1"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c>
          <w:tcPr>
            <w:tcW w:w="2135"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c>
          <w:tcPr>
            <w:tcW w:w="2084"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c>
          <w:tcPr>
            <w:tcW w:w="2216"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c>
          <w:tcPr>
            <w:tcW w:w="1470"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1"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c>
          <w:tcPr>
            <w:tcW w:w="2135"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c>
          <w:tcPr>
            <w:tcW w:w="2084"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c>
          <w:tcPr>
            <w:tcW w:w="2216"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c>
          <w:tcPr>
            <w:tcW w:w="1470"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c>
          <w:tcPr>
            <w:tcW w:w="2135"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c>
          <w:tcPr>
            <w:tcW w:w="2084"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c>
          <w:tcPr>
            <w:tcW w:w="2216"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c>
          <w:tcPr>
            <w:tcW w:w="1470"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1"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c>
          <w:tcPr>
            <w:tcW w:w="2135"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c>
          <w:tcPr>
            <w:tcW w:w="2084"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c>
          <w:tcPr>
            <w:tcW w:w="2216"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c>
          <w:tcPr>
            <w:tcW w:w="1470"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c>
          <w:tcPr>
            <w:tcW w:w="2135"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c>
          <w:tcPr>
            <w:tcW w:w="2084"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c>
          <w:tcPr>
            <w:tcW w:w="2216"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c>
          <w:tcPr>
            <w:tcW w:w="1470"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1"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c>
          <w:tcPr>
            <w:tcW w:w="2135"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c>
          <w:tcPr>
            <w:tcW w:w="2084"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c>
          <w:tcPr>
            <w:tcW w:w="2216"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c>
          <w:tcPr>
            <w:tcW w:w="1470"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c>
          <w:tcPr>
            <w:tcW w:w="2135"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c>
          <w:tcPr>
            <w:tcW w:w="2084"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c>
          <w:tcPr>
            <w:tcW w:w="2216"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c>
          <w:tcPr>
            <w:tcW w:w="1470" w:type="dxa"/>
          </w:tcPr>
          <w:p>
            <w:pPr>
              <w:pStyle w:val="20"/>
              <w:spacing w:line="480" w:lineRule="auto"/>
              <w:ind w:firstLine="480" w:firstLineChars="200"/>
              <w:rPr>
                <w:rFonts w:hAnsi="宋体" w:eastAsia="宋体" w:cs="宋体"/>
                <w:color w:val="000000" w:themeColor="text1"/>
                <w:sz w:val="24"/>
                <w:highlight w:val="none"/>
                <w14:textFill>
                  <w14:solidFill>
                    <w14:schemeClr w14:val="tx1"/>
                  </w14:solidFill>
                </w14:textFill>
              </w:rPr>
            </w:pPr>
          </w:p>
        </w:tc>
      </w:tr>
    </w:tbl>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说明：</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1.本表只填写</w:t>
      </w:r>
      <w:r>
        <w:rPr>
          <w:rFonts w:hint="eastAsia" w:ascii="宋体" w:hAnsi="宋体" w:cs="宋体"/>
          <w:sz w:val="24"/>
          <w:szCs w:val="24"/>
          <w:lang w:val="en-US" w:eastAsia="zh-CN"/>
        </w:rPr>
        <w:t>投标文件</w:t>
      </w:r>
      <w:r>
        <w:rPr>
          <w:rFonts w:hint="eastAsia" w:ascii="宋体" w:hAnsi="宋体" w:cs="宋体"/>
          <w:sz w:val="24"/>
          <w:szCs w:val="24"/>
        </w:rPr>
        <w:t>中与</w:t>
      </w:r>
      <w:r>
        <w:rPr>
          <w:rFonts w:hint="eastAsia" w:ascii="宋体" w:hAnsi="宋体" w:cs="宋体"/>
          <w:sz w:val="24"/>
          <w:szCs w:val="24"/>
          <w:lang w:val="en-US" w:eastAsia="zh-CN"/>
        </w:rPr>
        <w:t>招标</w:t>
      </w:r>
      <w:r>
        <w:rPr>
          <w:rFonts w:hint="eastAsia" w:ascii="宋体" w:hAnsi="宋体" w:cs="宋体"/>
          <w:sz w:val="24"/>
          <w:szCs w:val="24"/>
        </w:rPr>
        <w:t>文件</w:t>
      </w:r>
      <w:r>
        <w:rPr>
          <w:rFonts w:hint="eastAsia" w:ascii="宋体" w:hAnsi="宋体" w:cs="宋体"/>
          <w:sz w:val="24"/>
          <w:szCs w:val="24"/>
          <w:lang w:val="en-US" w:eastAsia="zh-CN"/>
        </w:rPr>
        <w:t>技术要求</w:t>
      </w:r>
      <w:r>
        <w:rPr>
          <w:rFonts w:hint="eastAsia" w:ascii="宋体" w:hAnsi="宋体" w:cs="宋体"/>
          <w:sz w:val="24"/>
          <w:szCs w:val="24"/>
        </w:rPr>
        <w:t>有偏离（包括正偏离和负偏离）的内容，完全一致的，不用在此表中列出，但必须提交空白表。</w:t>
      </w:r>
    </w:p>
    <w:p>
      <w:pPr>
        <w:pStyle w:val="6"/>
        <w:spacing w:line="360" w:lineRule="auto"/>
        <w:ind w:left="0" w:leftChars="0"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cs="宋体"/>
          <w:sz w:val="24"/>
          <w:szCs w:val="24"/>
        </w:rPr>
        <w:t>2.供应商必须据实填写，不得虚假响应，否则将取消其</w:t>
      </w:r>
      <w:r>
        <w:rPr>
          <w:rFonts w:hint="eastAsia" w:ascii="宋体" w:hAnsi="宋体" w:cs="宋体"/>
          <w:sz w:val="24"/>
          <w:szCs w:val="24"/>
          <w:lang w:val="en-US" w:eastAsia="zh-CN"/>
        </w:rPr>
        <w:t>投标或</w:t>
      </w:r>
      <w:r>
        <w:rPr>
          <w:rFonts w:hint="eastAsia" w:ascii="宋体" w:hAnsi="宋体" w:cs="宋体"/>
          <w:sz w:val="24"/>
          <w:szCs w:val="24"/>
        </w:rPr>
        <w:t>成交资格，并按有关规定进处罚。</w:t>
      </w:r>
    </w:p>
    <w:p>
      <w:pPr>
        <w:pStyle w:val="4"/>
        <w:ind w:left="0" w:leftChars="0" w:firstLine="480" w:firstLineChars="200"/>
        <w:rPr>
          <w:rFonts w:hint="default" w:eastAsiaTheme="minorEastAsia"/>
          <w:lang w:val="en-US" w:eastAsia="zh-CN"/>
        </w:rPr>
      </w:pPr>
      <w:r>
        <w:rPr>
          <w:rFonts w:hint="eastAsia" w:ascii="宋体" w:hAnsi="宋体" w:cs="宋体"/>
          <w:sz w:val="24"/>
          <w:szCs w:val="24"/>
          <w:lang w:val="en-US" w:eastAsia="zh-CN"/>
        </w:rPr>
        <w:t>3.本项目技术要求不允许负偏离。</w:t>
      </w:r>
    </w:p>
    <w:p>
      <w:pPr>
        <w:adjustRightInd w:val="0"/>
        <w:snapToGrid w:val="0"/>
        <w:spacing w:line="480" w:lineRule="auto"/>
        <w:rPr>
          <w:rFonts w:ascii="宋体" w:hAnsi="宋体" w:eastAsia="宋体" w:cs="宋体"/>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供应商（单位名称及公章）：</w:t>
      </w:r>
    </w:p>
    <w:p>
      <w:pPr>
        <w:adjustRightInd w:val="0"/>
        <w:snapToGrid w:val="0"/>
        <w:spacing w:line="48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法定代表人或被授权人（签字或盖章）：</w:t>
      </w:r>
    </w:p>
    <w:p>
      <w:pPr>
        <w:spacing w:line="480"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日    期：</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年</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月</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日</w:t>
      </w:r>
    </w:p>
    <w:p>
      <w:pPr>
        <w:pStyle w:val="8"/>
        <w:ind w:left="0" w:leftChars="0" w:firstLine="0" w:firstLineChars="0"/>
        <w:jc w:val="center"/>
        <w:rPr>
          <w:rFonts w:ascii="宋体" w:hAnsi="宋体" w:eastAsia="宋体" w:cs="宋体"/>
          <w:color w:val="000000" w:themeColor="text1"/>
          <w:highlight w:val="none"/>
          <w14:textFill>
            <w14:solidFill>
              <w14:schemeClr w14:val="tx1"/>
            </w14:solidFill>
          </w14:textFill>
        </w:rPr>
      </w:pPr>
      <w:bookmarkStart w:id="255" w:name="_Toc9666"/>
      <w:bookmarkStart w:id="256" w:name="_Toc2773"/>
      <w:bookmarkStart w:id="257" w:name="_Toc29034"/>
      <w:bookmarkStart w:id="258" w:name="_Toc23432"/>
      <w:bookmarkStart w:id="259" w:name="_Toc14821"/>
      <w:bookmarkStart w:id="260" w:name="_Toc18894"/>
      <w:bookmarkStart w:id="261" w:name="_Toc22400"/>
      <w:r>
        <w:rPr>
          <w:rFonts w:hint="eastAsia" w:ascii="宋体" w:hAnsi="宋体" w:eastAsia="宋体" w:cs="宋体"/>
          <w:color w:val="000000" w:themeColor="text1"/>
          <w:highlight w:val="none"/>
          <w:lang w:val="en-US" w:eastAsia="zh-CN"/>
          <w14:textFill>
            <w14:solidFill>
              <w14:schemeClr w14:val="tx1"/>
            </w14:solidFill>
          </w14:textFill>
        </w:rPr>
        <w:t xml:space="preserve">第七部分    </w:t>
      </w:r>
      <w:r>
        <w:rPr>
          <w:rFonts w:hint="eastAsia" w:ascii="宋体" w:hAnsi="宋体" w:eastAsia="宋体" w:cs="宋体"/>
          <w:color w:val="000000" w:themeColor="text1"/>
          <w:highlight w:val="none"/>
          <w14:textFill>
            <w14:solidFill>
              <w14:schemeClr w14:val="tx1"/>
            </w14:solidFill>
          </w14:textFill>
        </w:rPr>
        <w:t>供应商认为有必要说明的其他问题</w:t>
      </w:r>
      <w:bookmarkEnd w:id="255"/>
      <w:bookmarkEnd w:id="256"/>
      <w:bookmarkEnd w:id="257"/>
      <w:bookmarkEnd w:id="258"/>
      <w:bookmarkEnd w:id="259"/>
      <w:bookmarkEnd w:id="260"/>
      <w:bookmarkEnd w:id="261"/>
    </w:p>
    <w:p>
      <w:pPr>
        <w:rPr>
          <w:rFonts w:ascii="宋体" w:hAnsi="宋体" w:eastAsia="宋体" w:cs="宋体"/>
          <w:color w:val="000000" w:themeColor="text1"/>
          <w:highlight w:val="none"/>
          <w14:textFill>
            <w14:solidFill>
              <w14:schemeClr w14:val="tx1"/>
            </w14:solidFill>
          </w14:textFill>
        </w:rPr>
      </w:pPr>
    </w:p>
    <w:p>
      <w:pP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供应商认为有必要提供的其他证明文件</w:t>
      </w:r>
    </w:p>
    <w:p>
      <w:pPr>
        <w:rPr>
          <w:rFonts w:ascii="宋体" w:hAnsi="宋体" w:eastAsia="宋体" w:cs="宋体"/>
          <w:color w:val="000000" w:themeColor="text1"/>
          <w:sz w:val="32"/>
          <w:szCs w:val="32"/>
          <w:highlight w:val="none"/>
          <w14:textFill>
            <w14:solidFill>
              <w14:schemeClr w14:val="tx1"/>
            </w14:solidFill>
          </w14:textFill>
        </w:rPr>
      </w:pPr>
    </w:p>
    <w:sectPr>
      <w:headerReference r:id="rId12" w:type="default"/>
      <w:footerReference r:id="rId14" w:type="default"/>
      <w:headerReference r:id="rId13" w:type="even"/>
      <w:pgSz w:w="11906" w:h="16838"/>
      <w:pgMar w:top="1440" w:right="1800" w:bottom="1440" w:left="1800" w:header="851" w:footer="992" w:gutter="0"/>
      <w:pgNumType w:fmt="numberInDash"/>
      <w:cols w:space="425" w:num="1"/>
      <w:docGrid w:type="linesAndChars" w:linePitch="4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GYXIQ+Frutiger-Cn">
    <w:altName w:val="宋体"/>
    <w:panose1 w:val="00000000000000000000"/>
    <w:charset w:val="86"/>
    <w:family w:val="swiss"/>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hint="eastAsia"/>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ascii="宋体" w:hAnsi="宋体"/>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68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hint="eastAsia"/>
        <w:lang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76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76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tabs>
        <w:tab w:val="left" w:pos="2837"/>
      </w:tabs>
      <w:jc w:val="left"/>
      <w:rPr>
        <w:rFonts w:ascii="黑体" w:eastAsia="黑体"/>
        <w:sz w:val="21"/>
        <w:szCs w:val="21"/>
      </w:rPr>
    </w:pPr>
    <w:r>
      <w:rPr>
        <w:rFonts w:hint="eastAsia" w:ascii="黑体" w:eastAsia="黑体"/>
        <w:sz w:val="21"/>
        <w:szCs w:val="21"/>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rPr>
        <w:rFonts w:hint="eastAsia"/>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560D05"/>
    <w:multiLevelType w:val="singleLevel"/>
    <w:tmpl w:val="C8560D05"/>
    <w:lvl w:ilvl="0" w:tentative="0">
      <w:start w:val="2"/>
      <w:numFmt w:val="chineseCounting"/>
      <w:suff w:val="space"/>
      <w:lvlText w:val="第%1部分"/>
      <w:lvlJc w:val="left"/>
      <w:rPr>
        <w:rFonts w:hint="eastAsia"/>
      </w:rPr>
    </w:lvl>
  </w:abstractNum>
  <w:abstractNum w:abstractNumId="1">
    <w:nsid w:val="6D4132C2"/>
    <w:multiLevelType w:val="multilevel"/>
    <w:tmpl w:val="6D4132C2"/>
    <w:lvl w:ilvl="0" w:tentative="0">
      <w:start w:val="1"/>
      <w:numFmt w:val="none"/>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rPr>
    </w:lvl>
    <w:lvl w:ilvl="1" w:tentative="0">
      <w:start w:val="1"/>
      <w:numFmt w:val="none"/>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rPr>
    </w:lvl>
    <w:lvl w:ilvl="2" w:tentative="0">
      <w:start w:val="1"/>
      <w:numFmt w:val="none"/>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rPr>
    </w:lvl>
    <w:lvl w:ilvl="3" w:tentative="0">
      <w:start w:val="1"/>
      <w:numFmt w:val="decimal"/>
      <w:pStyle w:val="10"/>
      <w:lvlText w:val="%1.%2.%3.%4"/>
      <w:lvlJc w:val="left"/>
      <w:pPr>
        <w:ind w:left="864" w:hanging="864"/>
      </w:pPr>
      <w:rPr>
        <w:rFonts w:hint="eastAsia"/>
      </w:rPr>
    </w:lvl>
    <w:lvl w:ilvl="4" w:tentative="0">
      <w:start w:val="1"/>
      <w:numFmt w:val="decimal"/>
      <w:pStyle w:val="11"/>
      <w:lvlText w:val="%1.%2.%3.%4.%5"/>
      <w:lvlJc w:val="left"/>
      <w:pPr>
        <w:ind w:left="1008" w:hanging="1008"/>
      </w:pPr>
      <w:rPr>
        <w:rFonts w:hint="eastAsia"/>
      </w:rPr>
    </w:lvl>
    <w:lvl w:ilvl="5" w:tentative="0">
      <w:start w:val="1"/>
      <w:numFmt w:val="decimal"/>
      <w:pStyle w:val="12"/>
      <w:lvlText w:val="%1.%2.%3.%4.%5.%6"/>
      <w:lvlJc w:val="left"/>
      <w:pPr>
        <w:ind w:left="1152" w:hanging="1152"/>
      </w:pPr>
      <w:rPr>
        <w:rFonts w:hint="eastAsia"/>
      </w:rPr>
    </w:lvl>
    <w:lvl w:ilvl="6" w:tentative="0">
      <w:start w:val="1"/>
      <w:numFmt w:val="decimal"/>
      <w:pStyle w:val="13"/>
      <w:lvlText w:val="%1.%2.%3.%4.%5.%6.%7"/>
      <w:lvlJc w:val="left"/>
      <w:pPr>
        <w:ind w:left="1296" w:hanging="1296"/>
      </w:pPr>
      <w:rPr>
        <w:rFonts w:hint="eastAsia"/>
      </w:rPr>
    </w:lvl>
    <w:lvl w:ilvl="7" w:tentative="0">
      <w:start w:val="1"/>
      <w:numFmt w:val="decimal"/>
      <w:pStyle w:val="14"/>
      <w:lvlText w:val="%1.%2.%3.%4.%5.%6.%7.%8"/>
      <w:lvlJc w:val="left"/>
      <w:pPr>
        <w:ind w:left="1440" w:hanging="1440"/>
      </w:pPr>
      <w:rPr>
        <w:rFonts w:hint="eastAsia"/>
      </w:rPr>
    </w:lvl>
    <w:lvl w:ilvl="8" w:tentative="0">
      <w:start w:val="1"/>
      <w:numFmt w:val="decimal"/>
      <w:pStyle w:val="15"/>
      <w:lvlText w:val="%1.%2.%3.%4.%5.%6.%7.%8.%9"/>
      <w:lvlJc w:val="left"/>
      <w:pPr>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documentProtection w:enforcement="0"/>
  <w:defaultTabStop w:val="420"/>
  <w:drawingGridHorizontalSpacing w:val="120"/>
  <w:drawingGridVerticalSpacing w:val="210"/>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5MzE4NDEzNWQ1MmVhOGU3NzlmMzFhOTVkZWJkZGYifQ=="/>
    <w:docVar w:name="KSO_WPS_MARK_KEY" w:val="f7b71139-b593-4aba-9b79-61ce5d98895f"/>
  </w:docVars>
  <w:rsids>
    <w:rsidRoot w:val="006A6B87"/>
    <w:rsid w:val="0000159C"/>
    <w:rsid w:val="000019FA"/>
    <w:rsid w:val="00002BB3"/>
    <w:rsid w:val="00003F53"/>
    <w:rsid w:val="00004F9A"/>
    <w:rsid w:val="00006A52"/>
    <w:rsid w:val="00012137"/>
    <w:rsid w:val="00012844"/>
    <w:rsid w:val="00012F9B"/>
    <w:rsid w:val="000131C6"/>
    <w:rsid w:val="00013929"/>
    <w:rsid w:val="00014DAF"/>
    <w:rsid w:val="00015802"/>
    <w:rsid w:val="00016042"/>
    <w:rsid w:val="000162A2"/>
    <w:rsid w:val="00020142"/>
    <w:rsid w:val="00021AF9"/>
    <w:rsid w:val="00022936"/>
    <w:rsid w:val="00022A4E"/>
    <w:rsid w:val="00022F41"/>
    <w:rsid w:val="00023261"/>
    <w:rsid w:val="000234CF"/>
    <w:rsid w:val="000235C8"/>
    <w:rsid w:val="000251DF"/>
    <w:rsid w:val="00027E6B"/>
    <w:rsid w:val="0003251F"/>
    <w:rsid w:val="00032BB4"/>
    <w:rsid w:val="00033377"/>
    <w:rsid w:val="00033B5A"/>
    <w:rsid w:val="000353DD"/>
    <w:rsid w:val="00036943"/>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21D2"/>
    <w:rsid w:val="00062D84"/>
    <w:rsid w:val="00063EEF"/>
    <w:rsid w:val="00064071"/>
    <w:rsid w:val="00064386"/>
    <w:rsid w:val="000652A3"/>
    <w:rsid w:val="00067A39"/>
    <w:rsid w:val="00067D44"/>
    <w:rsid w:val="0007053B"/>
    <w:rsid w:val="00070AA6"/>
    <w:rsid w:val="000724B1"/>
    <w:rsid w:val="0007534F"/>
    <w:rsid w:val="00076978"/>
    <w:rsid w:val="000770B7"/>
    <w:rsid w:val="00077B80"/>
    <w:rsid w:val="000857F2"/>
    <w:rsid w:val="000870E9"/>
    <w:rsid w:val="00090002"/>
    <w:rsid w:val="000906B5"/>
    <w:rsid w:val="00090DB4"/>
    <w:rsid w:val="000911CC"/>
    <w:rsid w:val="00092417"/>
    <w:rsid w:val="00093AD5"/>
    <w:rsid w:val="000951C6"/>
    <w:rsid w:val="000952F2"/>
    <w:rsid w:val="0009576A"/>
    <w:rsid w:val="00095A8D"/>
    <w:rsid w:val="00096428"/>
    <w:rsid w:val="00096A85"/>
    <w:rsid w:val="00097CDB"/>
    <w:rsid w:val="000A01A3"/>
    <w:rsid w:val="000A0237"/>
    <w:rsid w:val="000A0EFD"/>
    <w:rsid w:val="000A250B"/>
    <w:rsid w:val="000A2583"/>
    <w:rsid w:val="000A2B11"/>
    <w:rsid w:val="000A7453"/>
    <w:rsid w:val="000A7A6A"/>
    <w:rsid w:val="000B5741"/>
    <w:rsid w:val="000B5ACF"/>
    <w:rsid w:val="000B6858"/>
    <w:rsid w:val="000C048C"/>
    <w:rsid w:val="000C06C4"/>
    <w:rsid w:val="000C078B"/>
    <w:rsid w:val="000C21A4"/>
    <w:rsid w:val="000C4C29"/>
    <w:rsid w:val="000C538D"/>
    <w:rsid w:val="000C59A5"/>
    <w:rsid w:val="000D0AF3"/>
    <w:rsid w:val="000D0DE1"/>
    <w:rsid w:val="000D1277"/>
    <w:rsid w:val="000D12BE"/>
    <w:rsid w:val="000D4097"/>
    <w:rsid w:val="000E3FB5"/>
    <w:rsid w:val="000E5C68"/>
    <w:rsid w:val="000E5DED"/>
    <w:rsid w:val="000E6AE7"/>
    <w:rsid w:val="000F03F6"/>
    <w:rsid w:val="000F0C8A"/>
    <w:rsid w:val="000F1A9A"/>
    <w:rsid w:val="000F22F4"/>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093D"/>
    <w:rsid w:val="00111F0F"/>
    <w:rsid w:val="001131D6"/>
    <w:rsid w:val="00113B9B"/>
    <w:rsid w:val="00121FC0"/>
    <w:rsid w:val="00122D76"/>
    <w:rsid w:val="001232E1"/>
    <w:rsid w:val="001240BB"/>
    <w:rsid w:val="001257D4"/>
    <w:rsid w:val="0013005B"/>
    <w:rsid w:val="0013015E"/>
    <w:rsid w:val="001312AE"/>
    <w:rsid w:val="00131904"/>
    <w:rsid w:val="0013342E"/>
    <w:rsid w:val="001338D9"/>
    <w:rsid w:val="00133ADB"/>
    <w:rsid w:val="00134EE2"/>
    <w:rsid w:val="001351E3"/>
    <w:rsid w:val="00135AA2"/>
    <w:rsid w:val="00136723"/>
    <w:rsid w:val="00136D4A"/>
    <w:rsid w:val="00137E7B"/>
    <w:rsid w:val="00142244"/>
    <w:rsid w:val="001454AD"/>
    <w:rsid w:val="001455F6"/>
    <w:rsid w:val="001456C7"/>
    <w:rsid w:val="001510FB"/>
    <w:rsid w:val="00152476"/>
    <w:rsid w:val="0015361E"/>
    <w:rsid w:val="00153DFD"/>
    <w:rsid w:val="00156ED5"/>
    <w:rsid w:val="0016097D"/>
    <w:rsid w:val="001630D0"/>
    <w:rsid w:val="0016323C"/>
    <w:rsid w:val="00164101"/>
    <w:rsid w:val="00164EE1"/>
    <w:rsid w:val="00164F62"/>
    <w:rsid w:val="00165AFC"/>
    <w:rsid w:val="001664B2"/>
    <w:rsid w:val="00166804"/>
    <w:rsid w:val="00166FD9"/>
    <w:rsid w:val="00166FF0"/>
    <w:rsid w:val="00167ECE"/>
    <w:rsid w:val="0017054A"/>
    <w:rsid w:val="00171465"/>
    <w:rsid w:val="00171A61"/>
    <w:rsid w:val="00173749"/>
    <w:rsid w:val="00173A35"/>
    <w:rsid w:val="0017410F"/>
    <w:rsid w:val="00174285"/>
    <w:rsid w:val="00175756"/>
    <w:rsid w:val="00176F0E"/>
    <w:rsid w:val="00180642"/>
    <w:rsid w:val="00180AFD"/>
    <w:rsid w:val="0018316D"/>
    <w:rsid w:val="00184DE0"/>
    <w:rsid w:val="00184F72"/>
    <w:rsid w:val="00186779"/>
    <w:rsid w:val="001872B3"/>
    <w:rsid w:val="00187846"/>
    <w:rsid w:val="00191693"/>
    <w:rsid w:val="00191834"/>
    <w:rsid w:val="00191A7E"/>
    <w:rsid w:val="00193B5F"/>
    <w:rsid w:val="001947E8"/>
    <w:rsid w:val="00194890"/>
    <w:rsid w:val="00196A1C"/>
    <w:rsid w:val="001A0C97"/>
    <w:rsid w:val="001A0FC6"/>
    <w:rsid w:val="001A2103"/>
    <w:rsid w:val="001A5309"/>
    <w:rsid w:val="001A5764"/>
    <w:rsid w:val="001A7D44"/>
    <w:rsid w:val="001B0699"/>
    <w:rsid w:val="001B087C"/>
    <w:rsid w:val="001B0C7B"/>
    <w:rsid w:val="001B2019"/>
    <w:rsid w:val="001B49FD"/>
    <w:rsid w:val="001B4E91"/>
    <w:rsid w:val="001B5302"/>
    <w:rsid w:val="001C0BA3"/>
    <w:rsid w:val="001C0BBD"/>
    <w:rsid w:val="001C25ED"/>
    <w:rsid w:val="001C3A72"/>
    <w:rsid w:val="001C5BE5"/>
    <w:rsid w:val="001C7AA8"/>
    <w:rsid w:val="001D1BCB"/>
    <w:rsid w:val="001D22C0"/>
    <w:rsid w:val="001D2CE5"/>
    <w:rsid w:val="001D37B2"/>
    <w:rsid w:val="001D4171"/>
    <w:rsid w:val="001D52F1"/>
    <w:rsid w:val="001D576E"/>
    <w:rsid w:val="001D70BC"/>
    <w:rsid w:val="001E0376"/>
    <w:rsid w:val="001E1DFE"/>
    <w:rsid w:val="001E2843"/>
    <w:rsid w:val="001E2BB9"/>
    <w:rsid w:val="001E6A70"/>
    <w:rsid w:val="001E7761"/>
    <w:rsid w:val="001E790E"/>
    <w:rsid w:val="001F2059"/>
    <w:rsid w:val="001F23C9"/>
    <w:rsid w:val="001F2E77"/>
    <w:rsid w:val="001F49A1"/>
    <w:rsid w:val="001F4ACC"/>
    <w:rsid w:val="001F7532"/>
    <w:rsid w:val="001F7B5A"/>
    <w:rsid w:val="00201795"/>
    <w:rsid w:val="0020498C"/>
    <w:rsid w:val="00205018"/>
    <w:rsid w:val="002051A7"/>
    <w:rsid w:val="00205744"/>
    <w:rsid w:val="00207790"/>
    <w:rsid w:val="00210CFC"/>
    <w:rsid w:val="00210FBE"/>
    <w:rsid w:val="0021178B"/>
    <w:rsid w:val="00212328"/>
    <w:rsid w:val="002125C8"/>
    <w:rsid w:val="00213205"/>
    <w:rsid w:val="002137AF"/>
    <w:rsid w:val="002174B0"/>
    <w:rsid w:val="00220787"/>
    <w:rsid w:val="002209DE"/>
    <w:rsid w:val="00221727"/>
    <w:rsid w:val="00223EFE"/>
    <w:rsid w:val="00224257"/>
    <w:rsid w:val="00224642"/>
    <w:rsid w:val="002305E2"/>
    <w:rsid w:val="0023070C"/>
    <w:rsid w:val="00230C6A"/>
    <w:rsid w:val="00233D53"/>
    <w:rsid w:val="002345B9"/>
    <w:rsid w:val="002378CD"/>
    <w:rsid w:val="00237A3F"/>
    <w:rsid w:val="00237C8C"/>
    <w:rsid w:val="0024210D"/>
    <w:rsid w:val="002434A7"/>
    <w:rsid w:val="0024394B"/>
    <w:rsid w:val="00244C29"/>
    <w:rsid w:val="00247B11"/>
    <w:rsid w:val="00250468"/>
    <w:rsid w:val="00250A0D"/>
    <w:rsid w:val="00250B6E"/>
    <w:rsid w:val="002519B6"/>
    <w:rsid w:val="00252050"/>
    <w:rsid w:val="00253B74"/>
    <w:rsid w:val="00254492"/>
    <w:rsid w:val="002547E0"/>
    <w:rsid w:val="00255A2C"/>
    <w:rsid w:val="00255ADA"/>
    <w:rsid w:val="00255DBC"/>
    <w:rsid w:val="00256AC1"/>
    <w:rsid w:val="0025777A"/>
    <w:rsid w:val="00257B25"/>
    <w:rsid w:val="00260306"/>
    <w:rsid w:val="0026130D"/>
    <w:rsid w:val="00261898"/>
    <w:rsid w:val="00264014"/>
    <w:rsid w:val="0026501F"/>
    <w:rsid w:val="00266611"/>
    <w:rsid w:val="00267AE5"/>
    <w:rsid w:val="00267C8A"/>
    <w:rsid w:val="00267F98"/>
    <w:rsid w:val="00270B94"/>
    <w:rsid w:val="00271136"/>
    <w:rsid w:val="00272337"/>
    <w:rsid w:val="00272E7E"/>
    <w:rsid w:val="00273219"/>
    <w:rsid w:val="00273A93"/>
    <w:rsid w:val="002742EA"/>
    <w:rsid w:val="0027449B"/>
    <w:rsid w:val="00275C8F"/>
    <w:rsid w:val="00276641"/>
    <w:rsid w:val="00276C8A"/>
    <w:rsid w:val="002771C6"/>
    <w:rsid w:val="00277949"/>
    <w:rsid w:val="0028033D"/>
    <w:rsid w:val="002827CD"/>
    <w:rsid w:val="00282837"/>
    <w:rsid w:val="00282CF7"/>
    <w:rsid w:val="002848E9"/>
    <w:rsid w:val="0029139F"/>
    <w:rsid w:val="00291777"/>
    <w:rsid w:val="002926E2"/>
    <w:rsid w:val="0029384E"/>
    <w:rsid w:val="00294428"/>
    <w:rsid w:val="002961E2"/>
    <w:rsid w:val="00296372"/>
    <w:rsid w:val="00297703"/>
    <w:rsid w:val="00297866"/>
    <w:rsid w:val="002A16FA"/>
    <w:rsid w:val="002A3B25"/>
    <w:rsid w:val="002A62BF"/>
    <w:rsid w:val="002A671F"/>
    <w:rsid w:val="002A6815"/>
    <w:rsid w:val="002A703D"/>
    <w:rsid w:val="002A7FF7"/>
    <w:rsid w:val="002B35C4"/>
    <w:rsid w:val="002B36C2"/>
    <w:rsid w:val="002B59BE"/>
    <w:rsid w:val="002B65AB"/>
    <w:rsid w:val="002B696D"/>
    <w:rsid w:val="002B69BA"/>
    <w:rsid w:val="002C00B8"/>
    <w:rsid w:val="002C05A3"/>
    <w:rsid w:val="002C4511"/>
    <w:rsid w:val="002D2B5F"/>
    <w:rsid w:val="002D327B"/>
    <w:rsid w:val="002D3EA9"/>
    <w:rsid w:val="002D41DD"/>
    <w:rsid w:val="002D65D4"/>
    <w:rsid w:val="002D7418"/>
    <w:rsid w:val="002E1283"/>
    <w:rsid w:val="002E1660"/>
    <w:rsid w:val="002E379C"/>
    <w:rsid w:val="002E43F6"/>
    <w:rsid w:val="002E4813"/>
    <w:rsid w:val="002E7C3E"/>
    <w:rsid w:val="002F074B"/>
    <w:rsid w:val="002F1C19"/>
    <w:rsid w:val="002F1C7D"/>
    <w:rsid w:val="002F1EC9"/>
    <w:rsid w:val="002F25EC"/>
    <w:rsid w:val="002F2A10"/>
    <w:rsid w:val="002F2AAA"/>
    <w:rsid w:val="002F2EAB"/>
    <w:rsid w:val="002F30DD"/>
    <w:rsid w:val="002F3224"/>
    <w:rsid w:val="002F3350"/>
    <w:rsid w:val="002F4646"/>
    <w:rsid w:val="002F7D7D"/>
    <w:rsid w:val="002F7E10"/>
    <w:rsid w:val="00300067"/>
    <w:rsid w:val="00300513"/>
    <w:rsid w:val="00300B27"/>
    <w:rsid w:val="0030123B"/>
    <w:rsid w:val="00301E0D"/>
    <w:rsid w:val="00301FAE"/>
    <w:rsid w:val="003024CF"/>
    <w:rsid w:val="00303EC5"/>
    <w:rsid w:val="00306470"/>
    <w:rsid w:val="00310E94"/>
    <w:rsid w:val="00311862"/>
    <w:rsid w:val="00316D60"/>
    <w:rsid w:val="003172BB"/>
    <w:rsid w:val="00321DAC"/>
    <w:rsid w:val="00322208"/>
    <w:rsid w:val="003245F8"/>
    <w:rsid w:val="00325D47"/>
    <w:rsid w:val="00325EF1"/>
    <w:rsid w:val="00326169"/>
    <w:rsid w:val="003274DA"/>
    <w:rsid w:val="00327A6B"/>
    <w:rsid w:val="00330EA4"/>
    <w:rsid w:val="00332A7C"/>
    <w:rsid w:val="00335C58"/>
    <w:rsid w:val="00335E41"/>
    <w:rsid w:val="00337CFC"/>
    <w:rsid w:val="0034052E"/>
    <w:rsid w:val="003406B1"/>
    <w:rsid w:val="00343305"/>
    <w:rsid w:val="003443D3"/>
    <w:rsid w:val="003450CD"/>
    <w:rsid w:val="00345F35"/>
    <w:rsid w:val="00346A88"/>
    <w:rsid w:val="003509CA"/>
    <w:rsid w:val="00351734"/>
    <w:rsid w:val="00354FCF"/>
    <w:rsid w:val="003551E0"/>
    <w:rsid w:val="0035572B"/>
    <w:rsid w:val="00357885"/>
    <w:rsid w:val="00357EC3"/>
    <w:rsid w:val="00360830"/>
    <w:rsid w:val="00364896"/>
    <w:rsid w:val="00366A2C"/>
    <w:rsid w:val="003704E3"/>
    <w:rsid w:val="00371456"/>
    <w:rsid w:val="003721C2"/>
    <w:rsid w:val="0037380E"/>
    <w:rsid w:val="00373AE9"/>
    <w:rsid w:val="00374506"/>
    <w:rsid w:val="0037495D"/>
    <w:rsid w:val="003752C8"/>
    <w:rsid w:val="0037531B"/>
    <w:rsid w:val="00375819"/>
    <w:rsid w:val="00375C89"/>
    <w:rsid w:val="00376DAF"/>
    <w:rsid w:val="00377482"/>
    <w:rsid w:val="003774B2"/>
    <w:rsid w:val="003833FB"/>
    <w:rsid w:val="00383F8F"/>
    <w:rsid w:val="003872CB"/>
    <w:rsid w:val="00387AFC"/>
    <w:rsid w:val="00390290"/>
    <w:rsid w:val="0039216D"/>
    <w:rsid w:val="00392EBD"/>
    <w:rsid w:val="00393459"/>
    <w:rsid w:val="003943D1"/>
    <w:rsid w:val="0039449C"/>
    <w:rsid w:val="00395695"/>
    <w:rsid w:val="00396106"/>
    <w:rsid w:val="003A0002"/>
    <w:rsid w:val="003A0295"/>
    <w:rsid w:val="003A0D83"/>
    <w:rsid w:val="003A192D"/>
    <w:rsid w:val="003A224D"/>
    <w:rsid w:val="003A2A14"/>
    <w:rsid w:val="003B086A"/>
    <w:rsid w:val="003B0D75"/>
    <w:rsid w:val="003B2AF6"/>
    <w:rsid w:val="003B3207"/>
    <w:rsid w:val="003B417D"/>
    <w:rsid w:val="003C3325"/>
    <w:rsid w:val="003C61F3"/>
    <w:rsid w:val="003C630F"/>
    <w:rsid w:val="003C6AB2"/>
    <w:rsid w:val="003C7C29"/>
    <w:rsid w:val="003D2606"/>
    <w:rsid w:val="003D39C7"/>
    <w:rsid w:val="003D3A50"/>
    <w:rsid w:val="003D41E8"/>
    <w:rsid w:val="003D45F5"/>
    <w:rsid w:val="003D6B60"/>
    <w:rsid w:val="003D7026"/>
    <w:rsid w:val="003E010E"/>
    <w:rsid w:val="003E1D81"/>
    <w:rsid w:val="003E2F34"/>
    <w:rsid w:val="003E5CDB"/>
    <w:rsid w:val="003E7874"/>
    <w:rsid w:val="003F3882"/>
    <w:rsid w:val="003F5983"/>
    <w:rsid w:val="003F60A3"/>
    <w:rsid w:val="003F7C8E"/>
    <w:rsid w:val="004001BE"/>
    <w:rsid w:val="00400ECF"/>
    <w:rsid w:val="0040124D"/>
    <w:rsid w:val="004017C8"/>
    <w:rsid w:val="0040181A"/>
    <w:rsid w:val="004024C2"/>
    <w:rsid w:val="00405285"/>
    <w:rsid w:val="004068A7"/>
    <w:rsid w:val="00406C11"/>
    <w:rsid w:val="00407BBB"/>
    <w:rsid w:val="004106B2"/>
    <w:rsid w:val="00412CBC"/>
    <w:rsid w:val="00414B6E"/>
    <w:rsid w:val="00414D38"/>
    <w:rsid w:val="004155E3"/>
    <w:rsid w:val="00415649"/>
    <w:rsid w:val="004156E2"/>
    <w:rsid w:val="00415AB5"/>
    <w:rsid w:val="00415C11"/>
    <w:rsid w:val="00416478"/>
    <w:rsid w:val="00420875"/>
    <w:rsid w:val="004218EC"/>
    <w:rsid w:val="0042388D"/>
    <w:rsid w:val="00425038"/>
    <w:rsid w:val="0042688F"/>
    <w:rsid w:val="00427ABD"/>
    <w:rsid w:val="004317AB"/>
    <w:rsid w:val="00431DBF"/>
    <w:rsid w:val="00433512"/>
    <w:rsid w:val="0043432D"/>
    <w:rsid w:val="004351B4"/>
    <w:rsid w:val="00441423"/>
    <w:rsid w:val="00441D7B"/>
    <w:rsid w:val="00442F77"/>
    <w:rsid w:val="00444250"/>
    <w:rsid w:val="00444298"/>
    <w:rsid w:val="00444461"/>
    <w:rsid w:val="004456C5"/>
    <w:rsid w:val="00454666"/>
    <w:rsid w:val="004547F6"/>
    <w:rsid w:val="00454E16"/>
    <w:rsid w:val="0045726B"/>
    <w:rsid w:val="004574A4"/>
    <w:rsid w:val="00461F1D"/>
    <w:rsid w:val="0046230B"/>
    <w:rsid w:val="00463236"/>
    <w:rsid w:val="004657D3"/>
    <w:rsid w:val="0046690A"/>
    <w:rsid w:val="00467681"/>
    <w:rsid w:val="0046782F"/>
    <w:rsid w:val="00471E1E"/>
    <w:rsid w:val="0047278F"/>
    <w:rsid w:val="00473CE1"/>
    <w:rsid w:val="0047590B"/>
    <w:rsid w:val="00475D90"/>
    <w:rsid w:val="00482240"/>
    <w:rsid w:val="004846F1"/>
    <w:rsid w:val="004860D2"/>
    <w:rsid w:val="00490F98"/>
    <w:rsid w:val="00491349"/>
    <w:rsid w:val="00493684"/>
    <w:rsid w:val="00493E48"/>
    <w:rsid w:val="00496134"/>
    <w:rsid w:val="00496ACE"/>
    <w:rsid w:val="00497530"/>
    <w:rsid w:val="004A00FD"/>
    <w:rsid w:val="004A0A5F"/>
    <w:rsid w:val="004A570C"/>
    <w:rsid w:val="004A5CFF"/>
    <w:rsid w:val="004A61D7"/>
    <w:rsid w:val="004A6B5A"/>
    <w:rsid w:val="004B1026"/>
    <w:rsid w:val="004B13F6"/>
    <w:rsid w:val="004B5992"/>
    <w:rsid w:val="004B7CE1"/>
    <w:rsid w:val="004C093C"/>
    <w:rsid w:val="004C0B7A"/>
    <w:rsid w:val="004C0CA0"/>
    <w:rsid w:val="004C5B48"/>
    <w:rsid w:val="004C6493"/>
    <w:rsid w:val="004C7371"/>
    <w:rsid w:val="004D095C"/>
    <w:rsid w:val="004D2147"/>
    <w:rsid w:val="004D2D8E"/>
    <w:rsid w:val="004D2F54"/>
    <w:rsid w:val="004D4879"/>
    <w:rsid w:val="004D5A18"/>
    <w:rsid w:val="004D7112"/>
    <w:rsid w:val="004D7C23"/>
    <w:rsid w:val="004D7F2C"/>
    <w:rsid w:val="004E07B6"/>
    <w:rsid w:val="004E0B6D"/>
    <w:rsid w:val="004E16B0"/>
    <w:rsid w:val="004E63AF"/>
    <w:rsid w:val="004F01A5"/>
    <w:rsid w:val="004F04DD"/>
    <w:rsid w:val="004F2CC5"/>
    <w:rsid w:val="004F3159"/>
    <w:rsid w:val="004F411F"/>
    <w:rsid w:val="004F60D3"/>
    <w:rsid w:val="004F7234"/>
    <w:rsid w:val="004F7D8F"/>
    <w:rsid w:val="0050182A"/>
    <w:rsid w:val="00501CED"/>
    <w:rsid w:val="0050264E"/>
    <w:rsid w:val="00502DB5"/>
    <w:rsid w:val="00503C53"/>
    <w:rsid w:val="0050431E"/>
    <w:rsid w:val="005053C1"/>
    <w:rsid w:val="00506ECC"/>
    <w:rsid w:val="005078BB"/>
    <w:rsid w:val="00507E67"/>
    <w:rsid w:val="00510D3F"/>
    <w:rsid w:val="00511E18"/>
    <w:rsid w:val="00512B77"/>
    <w:rsid w:val="00512D71"/>
    <w:rsid w:val="00515ADE"/>
    <w:rsid w:val="00515E63"/>
    <w:rsid w:val="005176F4"/>
    <w:rsid w:val="005203BA"/>
    <w:rsid w:val="00521985"/>
    <w:rsid w:val="005220F8"/>
    <w:rsid w:val="00522932"/>
    <w:rsid w:val="0052539A"/>
    <w:rsid w:val="00525760"/>
    <w:rsid w:val="005309DD"/>
    <w:rsid w:val="005323B4"/>
    <w:rsid w:val="005330CB"/>
    <w:rsid w:val="0053320F"/>
    <w:rsid w:val="0053372D"/>
    <w:rsid w:val="00533735"/>
    <w:rsid w:val="005340C0"/>
    <w:rsid w:val="00534E48"/>
    <w:rsid w:val="0053507D"/>
    <w:rsid w:val="00535F18"/>
    <w:rsid w:val="00537136"/>
    <w:rsid w:val="005406CD"/>
    <w:rsid w:val="00544037"/>
    <w:rsid w:val="00544FDF"/>
    <w:rsid w:val="00545318"/>
    <w:rsid w:val="0054537C"/>
    <w:rsid w:val="00547AD0"/>
    <w:rsid w:val="005509F0"/>
    <w:rsid w:val="00551012"/>
    <w:rsid w:val="00553778"/>
    <w:rsid w:val="00553AC5"/>
    <w:rsid w:val="00554646"/>
    <w:rsid w:val="00554791"/>
    <w:rsid w:val="00555365"/>
    <w:rsid w:val="005555A0"/>
    <w:rsid w:val="005576F7"/>
    <w:rsid w:val="0056050F"/>
    <w:rsid w:val="00560BBE"/>
    <w:rsid w:val="005612F2"/>
    <w:rsid w:val="0056216F"/>
    <w:rsid w:val="005627E9"/>
    <w:rsid w:val="005642D3"/>
    <w:rsid w:val="005648C7"/>
    <w:rsid w:val="00567226"/>
    <w:rsid w:val="005676F6"/>
    <w:rsid w:val="00572506"/>
    <w:rsid w:val="0057253B"/>
    <w:rsid w:val="00573AC9"/>
    <w:rsid w:val="00574F7A"/>
    <w:rsid w:val="00575980"/>
    <w:rsid w:val="00576008"/>
    <w:rsid w:val="005801CF"/>
    <w:rsid w:val="00581DBA"/>
    <w:rsid w:val="00581F60"/>
    <w:rsid w:val="005829C2"/>
    <w:rsid w:val="00582A46"/>
    <w:rsid w:val="0058322B"/>
    <w:rsid w:val="00583A5C"/>
    <w:rsid w:val="0058471F"/>
    <w:rsid w:val="0058487A"/>
    <w:rsid w:val="00584D70"/>
    <w:rsid w:val="00585E3F"/>
    <w:rsid w:val="00591671"/>
    <w:rsid w:val="00592CFD"/>
    <w:rsid w:val="00593C8A"/>
    <w:rsid w:val="00594467"/>
    <w:rsid w:val="00594F66"/>
    <w:rsid w:val="005960B9"/>
    <w:rsid w:val="005A178E"/>
    <w:rsid w:val="005A1806"/>
    <w:rsid w:val="005A20E0"/>
    <w:rsid w:val="005A32F2"/>
    <w:rsid w:val="005A3DFC"/>
    <w:rsid w:val="005A43AB"/>
    <w:rsid w:val="005A4B53"/>
    <w:rsid w:val="005A5A7B"/>
    <w:rsid w:val="005A5B0F"/>
    <w:rsid w:val="005A69F8"/>
    <w:rsid w:val="005A6B45"/>
    <w:rsid w:val="005A7B9D"/>
    <w:rsid w:val="005B0579"/>
    <w:rsid w:val="005B18CA"/>
    <w:rsid w:val="005B1C32"/>
    <w:rsid w:val="005B2863"/>
    <w:rsid w:val="005B314D"/>
    <w:rsid w:val="005B353B"/>
    <w:rsid w:val="005B3828"/>
    <w:rsid w:val="005B3CE3"/>
    <w:rsid w:val="005B51A3"/>
    <w:rsid w:val="005B547C"/>
    <w:rsid w:val="005B65A5"/>
    <w:rsid w:val="005B67BE"/>
    <w:rsid w:val="005B7116"/>
    <w:rsid w:val="005C50A4"/>
    <w:rsid w:val="005C6C4F"/>
    <w:rsid w:val="005D000E"/>
    <w:rsid w:val="005D035F"/>
    <w:rsid w:val="005D62E5"/>
    <w:rsid w:val="005D7216"/>
    <w:rsid w:val="005E12F7"/>
    <w:rsid w:val="005E37E1"/>
    <w:rsid w:val="005E4F58"/>
    <w:rsid w:val="005E548A"/>
    <w:rsid w:val="005E5BCC"/>
    <w:rsid w:val="005E5CCE"/>
    <w:rsid w:val="005E6CCC"/>
    <w:rsid w:val="005F0DC1"/>
    <w:rsid w:val="005F1247"/>
    <w:rsid w:val="005F19BB"/>
    <w:rsid w:val="005F3B5B"/>
    <w:rsid w:val="005F6909"/>
    <w:rsid w:val="005F6C88"/>
    <w:rsid w:val="0060005D"/>
    <w:rsid w:val="00601DA4"/>
    <w:rsid w:val="006022C0"/>
    <w:rsid w:val="00602864"/>
    <w:rsid w:val="00602E42"/>
    <w:rsid w:val="00603657"/>
    <w:rsid w:val="006036E8"/>
    <w:rsid w:val="00603BB4"/>
    <w:rsid w:val="00603F22"/>
    <w:rsid w:val="0060447C"/>
    <w:rsid w:val="0060479B"/>
    <w:rsid w:val="00605B7A"/>
    <w:rsid w:val="00606A55"/>
    <w:rsid w:val="00611AC2"/>
    <w:rsid w:val="00611FFE"/>
    <w:rsid w:val="00612B54"/>
    <w:rsid w:val="00612CF1"/>
    <w:rsid w:val="00613324"/>
    <w:rsid w:val="00613BB6"/>
    <w:rsid w:val="006173B1"/>
    <w:rsid w:val="0061777B"/>
    <w:rsid w:val="00624066"/>
    <w:rsid w:val="0062454A"/>
    <w:rsid w:val="00624620"/>
    <w:rsid w:val="00624946"/>
    <w:rsid w:val="00625173"/>
    <w:rsid w:val="00627233"/>
    <w:rsid w:val="00627607"/>
    <w:rsid w:val="00627993"/>
    <w:rsid w:val="00630CCB"/>
    <w:rsid w:val="00631E71"/>
    <w:rsid w:val="0063350A"/>
    <w:rsid w:val="00633645"/>
    <w:rsid w:val="006340A0"/>
    <w:rsid w:val="0063581A"/>
    <w:rsid w:val="00635858"/>
    <w:rsid w:val="006360BD"/>
    <w:rsid w:val="00636BF4"/>
    <w:rsid w:val="0063749E"/>
    <w:rsid w:val="00637FE9"/>
    <w:rsid w:val="0064084E"/>
    <w:rsid w:val="00642CB1"/>
    <w:rsid w:val="00642E60"/>
    <w:rsid w:val="006431A9"/>
    <w:rsid w:val="00645187"/>
    <w:rsid w:val="006460E3"/>
    <w:rsid w:val="006466DF"/>
    <w:rsid w:val="00646A42"/>
    <w:rsid w:val="006518D0"/>
    <w:rsid w:val="00652393"/>
    <w:rsid w:val="00653D7C"/>
    <w:rsid w:val="00656003"/>
    <w:rsid w:val="00657150"/>
    <w:rsid w:val="006571DD"/>
    <w:rsid w:val="0065774D"/>
    <w:rsid w:val="0065792C"/>
    <w:rsid w:val="00662E32"/>
    <w:rsid w:val="0066668A"/>
    <w:rsid w:val="0066717A"/>
    <w:rsid w:val="00667CAB"/>
    <w:rsid w:val="006725F6"/>
    <w:rsid w:val="00675065"/>
    <w:rsid w:val="00675563"/>
    <w:rsid w:val="00675DAD"/>
    <w:rsid w:val="006814B5"/>
    <w:rsid w:val="00682389"/>
    <w:rsid w:val="00685346"/>
    <w:rsid w:val="00685390"/>
    <w:rsid w:val="00685B24"/>
    <w:rsid w:val="006870E8"/>
    <w:rsid w:val="00690BC5"/>
    <w:rsid w:val="00690C8E"/>
    <w:rsid w:val="00691341"/>
    <w:rsid w:val="006933DD"/>
    <w:rsid w:val="0069431C"/>
    <w:rsid w:val="0069471D"/>
    <w:rsid w:val="00695670"/>
    <w:rsid w:val="00695E20"/>
    <w:rsid w:val="00696569"/>
    <w:rsid w:val="006A2D90"/>
    <w:rsid w:val="006A3BA0"/>
    <w:rsid w:val="006A43F0"/>
    <w:rsid w:val="006A4EC6"/>
    <w:rsid w:val="006A6B87"/>
    <w:rsid w:val="006A6DF3"/>
    <w:rsid w:val="006A7769"/>
    <w:rsid w:val="006B0A7F"/>
    <w:rsid w:val="006B1E4B"/>
    <w:rsid w:val="006B20D5"/>
    <w:rsid w:val="006B34F6"/>
    <w:rsid w:val="006B4952"/>
    <w:rsid w:val="006B5EA1"/>
    <w:rsid w:val="006B62C2"/>
    <w:rsid w:val="006B6316"/>
    <w:rsid w:val="006B6C2F"/>
    <w:rsid w:val="006B7A21"/>
    <w:rsid w:val="006B7F10"/>
    <w:rsid w:val="006C042B"/>
    <w:rsid w:val="006C0920"/>
    <w:rsid w:val="006C2543"/>
    <w:rsid w:val="006C2938"/>
    <w:rsid w:val="006C2A45"/>
    <w:rsid w:val="006C4042"/>
    <w:rsid w:val="006C6C85"/>
    <w:rsid w:val="006C6F0B"/>
    <w:rsid w:val="006C700A"/>
    <w:rsid w:val="006C7C59"/>
    <w:rsid w:val="006D0312"/>
    <w:rsid w:val="006D044E"/>
    <w:rsid w:val="006D06D5"/>
    <w:rsid w:val="006D214E"/>
    <w:rsid w:val="006D2DEA"/>
    <w:rsid w:val="006D2E9C"/>
    <w:rsid w:val="006D30BC"/>
    <w:rsid w:val="006E1A0E"/>
    <w:rsid w:val="006E49A8"/>
    <w:rsid w:val="006E6E8B"/>
    <w:rsid w:val="006E7C76"/>
    <w:rsid w:val="006F04CD"/>
    <w:rsid w:val="006F07C9"/>
    <w:rsid w:val="006F0A6B"/>
    <w:rsid w:val="006F0EC9"/>
    <w:rsid w:val="006F0F75"/>
    <w:rsid w:val="006F3496"/>
    <w:rsid w:val="006F4633"/>
    <w:rsid w:val="006F5AC8"/>
    <w:rsid w:val="006F5F50"/>
    <w:rsid w:val="006F612A"/>
    <w:rsid w:val="006F721C"/>
    <w:rsid w:val="006F7A75"/>
    <w:rsid w:val="00703F7A"/>
    <w:rsid w:val="00704218"/>
    <w:rsid w:val="00706102"/>
    <w:rsid w:val="00711356"/>
    <w:rsid w:val="00713D33"/>
    <w:rsid w:val="00716375"/>
    <w:rsid w:val="00717B21"/>
    <w:rsid w:val="00720DE4"/>
    <w:rsid w:val="00721BAC"/>
    <w:rsid w:val="007224EA"/>
    <w:rsid w:val="007240F9"/>
    <w:rsid w:val="00724763"/>
    <w:rsid w:val="007276DE"/>
    <w:rsid w:val="007300AE"/>
    <w:rsid w:val="007303C2"/>
    <w:rsid w:val="0073139F"/>
    <w:rsid w:val="007326D4"/>
    <w:rsid w:val="00733D26"/>
    <w:rsid w:val="00733E96"/>
    <w:rsid w:val="00733F1D"/>
    <w:rsid w:val="00734BE2"/>
    <w:rsid w:val="00734DBA"/>
    <w:rsid w:val="007405AB"/>
    <w:rsid w:val="00740862"/>
    <w:rsid w:val="00740ED2"/>
    <w:rsid w:val="0074169B"/>
    <w:rsid w:val="00742326"/>
    <w:rsid w:val="00743F8B"/>
    <w:rsid w:val="00744905"/>
    <w:rsid w:val="007552A7"/>
    <w:rsid w:val="00756543"/>
    <w:rsid w:val="00757FC1"/>
    <w:rsid w:val="00760265"/>
    <w:rsid w:val="00763522"/>
    <w:rsid w:val="00763B46"/>
    <w:rsid w:val="00767121"/>
    <w:rsid w:val="00770A23"/>
    <w:rsid w:val="00770D89"/>
    <w:rsid w:val="00771FBD"/>
    <w:rsid w:val="00772751"/>
    <w:rsid w:val="00772BFA"/>
    <w:rsid w:val="007732E5"/>
    <w:rsid w:val="00773A1F"/>
    <w:rsid w:val="007750D4"/>
    <w:rsid w:val="00775725"/>
    <w:rsid w:val="00775864"/>
    <w:rsid w:val="00780950"/>
    <w:rsid w:val="00781A2A"/>
    <w:rsid w:val="0079003B"/>
    <w:rsid w:val="00797959"/>
    <w:rsid w:val="007A0298"/>
    <w:rsid w:val="007A0EED"/>
    <w:rsid w:val="007A1F61"/>
    <w:rsid w:val="007A25A3"/>
    <w:rsid w:val="007A2D00"/>
    <w:rsid w:val="007A3433"/>
    <w:rsid w:val="007A5B38"/>
    <w:rsid w:val="007A7AC5"/>
    <w:rsid w:val="007B1707"/>
    <w:rsid w:val="007B1F48"/>
    <w:rsid w:val="007B4190"/>
    <w:rsid w:val="007B5A22"/>
    <w:rsid w:val="007B5BB0"/>
    <w:rsid w:val="007B7795"/>
    <w:rsid w:val="007B7DED"/>
    <w:rsid w:val="007C0E3E"/>
    <w:rsid w:val="007C1E2E"/>
    <w:rsid w:val="007C32E6"/>
    <w:rsid w:val="007C3891"/>
    <w:rsid w:val="007C551E"/>
    <w:rsid w:val="007C6103"/>
    <w:rsid w:val="007C7079"/>
    <w:rsid w:val="007C745E"/>
    <w:rsid w:val="007C7AE8"/>
    <w:rsid w:val="007C7E4A"/>
    <w:rsid w:val="007D20D8"/>
    <w:rsid w:val="007D249E"/>
    <w:rsid w:val="007D2EE8"/>
    <w:rsid w:val="007D4745"/>
    <w:rsid w:val="007D4BD1"/>
    <w:rsid w:val="007D5763"/>
    <w:rsid w:val="007D596E"/>
    <w:rsid w:val="007D6288"/>
    <w:rsid w:val="007D7193"/>
    <w:rsid w:val="007D7958"/>
    <w:rsid w:val="007D7D00"/>
    <w:rsid w:val="007E051D"/>
    <w:rsid w:val="007E1576"/>
    <w:rsid w:val="007E2BD2"/>
    <w:rsid w:val="007E390A"/>
    <w:rsid w:val="007E5F41"/>
    <w:rsid w:val="007E6CF2"/>
    <w:rsid w:val="007F0B94"/>
    <w:rsid w:val="007F0BE0"/>
    <w:rsid w:val="007F0FBD"/>
    <w:rsid w:val="007F1EB4"/>
    <w:rsid w:val="007F5493"/>
    <w:rsid w:val="007F5B53"/>
    <w:rsid w:val="007F60D5"/>
    <w:rsid w:val="007F6DC7"/>
    <w:rsid w:val="0080075E"/>
    <w:rsid w:val="00802948"/>
    <w:rsid w:val="00802AAC"/>
    <w:rsid w:val="00805E66"/>
    <w:rsid w:val="00806FED"/>
    <w:rsid w:val="00811115"/>
    <w:rsid w:val="008122DE"/>
    <w:rsid w:val="008134C7"/>
    <w:rsid w:val="0081362D"/>
    <w:rsid w:val="008139EB"/>
    <w:rsid w:val="00813CCF"/>
    <w:rsid w:val="00813D5F"/>
    <w:rsid w:val="008150A6"/>
    <w:rsid w:val="008151E2"/>
    <w:rsid w:val="00816091"/>
    <w:rsid w:val="00816112"/>
    <w:rsid w:val="00816182"/>
    <w:rsid w:val="00821BA2"/>
    <w:rsid w:val="00822824"/>
    <w:rsid w:val="008228B9"/>
    <w:rsid w:val="00824639"/>
    <w:rsid w:val="00826C95"/>
    <w:rsid w:val="00830FB7"/>
    <w:rsid w:val="00832985"/>
    <w:rsid w:val="008332CE"/>
    <w:rsid w:val="008345B9"/>
    <w:rsid w:val="008354ED"/>
    <w:rsid w:val="00835DAD"/>
    <w:rsid w:val="00836FBF"/>
    <w:rsid w:val="008376EF"/>
    <w:rsid w:val="00837760"/>
    <w:rsid w:val="00837F02"/>
    <w:rsid w:val="00840EF2"/>
    <w:rsid w:val="0084243D"/>
    <w:rsid w:val="00842D6E"/>
    <w:rsid w:val="00843A87"/>
    <w:rsid w:val="00843C41"/>
    <w:rsid w:val="0084500E"/>
    <w:rsid w:val="00845138"/>
    <w:rsid w:val="008455FB"/>
    <w:rsid w:val="0084584F"/>
    <w:rsid w:val="00847DB4"/>
    <w:rsid w:val="00850BC8"/>
    <w:rsid w:val="00850E33"/>
    <w:rsid w:val="0085172A"/>
    <w:rsid w:val="00853D88"/>
    <w:rsid w:val="00856715"/>
    <w:rsid w:val="00856DC0"/>
    <w:rsid w:val="008607CA"/>
    <w:rsid w:val="00861183"/>
    <w:rsid w:val="0086186E"/>
    <w:rsid w:val="00861CE7"/>
    <w:rsid w:val="00862E46"/>
    <w:rsid w:val="00864D01"/>
    <w:rsid w:val="00865BFC"/>
    <w:rsid w:val="00870585"/>
    <w:rsid w:val="0087394A"/>
    <w:rsid w:val="00873EAC"/>
    <w:rsid w:val="00874D32"/>
    <w:rsid w:val="00880D1C"/>
    <w:rsid w:val="00880EB6"/>
    <w:rsid w:val="00881B84"/>
    <w:rsid w:val="00885CC3"/>
    <w:rsid w:val="0088632D"/>
    <w:rsid w:val="00886362"/>
    <w:rsid w:val="008876A3"/>
    <w:rsid w:val="00887DFB"/>
    <w:rsid w:val="0089283A"/>
    <w:rsid w:val="00892ADC"/>
    <w:rsid w:val="00893813"/>
    <w:rsid w:val="0089658C"/>
    <w:rsid w:val="00897000"/>
    <w:rsid w:val="008A0739"/>
    <w:rsid w:val="008A2458"/>
    <w:rsid w:val="008A66B8"/>
    <w:rsid w:val="008A7EED"/>
    <w:rsid w:val="008B25E6"/>
    <w:rsid w:val="008B2B1D"/>
    <w:rsid w:val="008B5009"/>
    <w:rsid w:val="008B7E45"/>
    <w:rsid w:val="008C1237"/>
    <w:rsid w:val="008C1607"/>
    <w:rsid w:val="008C64FB"/>
    <w:rsid w:val="008C6F63"/>
    <w:rsid w:val="008C771B"/>
    <w:rsid w:val="008C77A4"/>
    <w:rsid w:val="008D0DB7"/>
    <w:rsid w:val="008D2DAF"/>
    <w:rsid w:val="008D4EEC"/>
    <w:rsid w:val="008D5BFC"/>
    <w:rsid w:val="008E1C91"/>
    <w:rsid w:val="008E1E14"/>
    <w:rsid w:val="008E2EFF"/>
    <w:rsid w:val="008E3B9E"/>
    <w:rsid w:val="008E4674"/>
    <w:rsid w:val="008E4E0F"/>
    <w:rsid w:val="008E5935"/>
    <w:rsid w:val="008E738E"/>
    <w:rsid w:val="008F0A84"/>
    <w:rsid w:val="008F0CC3"/>
    <w:rsid w:val="008F3E84"/>
    <w:rsid w:val="008F44C7"/>
    <w:rsid w:val="008F5035"/>
    <w:rsid w:val="008F5056"/>
    <w:rsid w:val="00900C2F"/>
    <w:rsid w:val="00900DA8"/>
    <w:rsid w:val="0090408F"/>
    <w:rsid w:val="00906F8A"/>
    <w:rsid w:val="009079D8"/>
    <w:rsid w:val="009104E4"/>
    <w:rsid w:val="00910A37"/>
    <w:rsid w:val="00914B34"/>
    <w:rsid w:val="00915570"/>
    <w:rsid w:val="0091611D"/>
    <w:rsid w:val="00916267"/>
    <w:rsid w:val="009173A3"/>
    <w:rsid w:val="0092016A"/>
    <w:rsid w:val="00920CEB"/>
    <w:rsid w:val="00921082"/>
    <w:rsid w:val="00922A3C"/>
    <w:rsid w:val="00922DE7"/>
    <w:rsid w:val="00922EFB"/>
    <w:rsid w:val="00923A6C"/>
    <w:rsid w:val="009249C8"/>
    <w:rsid w:val="0093115A"/>
    <w:rsid w:val="00931671"/>
    <w:rsid w:val="00932C0E"/>
    <w:rsid w:val="00933F00"/>
    <w:rsid w:val="009349FD"/>
    <w:rsid w:val="009353AA"/>
    <w:rsid w:val="00935401"/>
    <w:rsid w:val="009358D0"/>
    <w:rsid w:val="00935965"/>
    <w:rsid w:val="0094003A"/>
    <w:rsid w:val="0094004A"/>
    <w:rsid w:val="00943FB0"/>
    <w:rsid w:val="0094638E"/>
    <w:rsid w:val="00946A82"/>
    <w:rsid w:val="00951071"/>
    <w:rsid w:val="0095333C"/>
    <w:rsid w:val="009544D9"/>
    <w:rsid w:val="00955186"/>
    <w:rsid w:val="00955282"/>
    <w:rsid w:val="00956990"/>
    <w:rsid w:val="00956EE8"/>
    <w:rsid w:val="009570F6"/>
    <w:rsid w:val="00957995"/>
    <w:rsid w:val="009648AF"/>
    <w:rsid w:val="00965C09"/>
    <w:rsid w:val="00966B6A"/>
    <w:rsid w:val="0097057C"/>
    <w:rsid w:val="009715C5"/>
    <w:rsid w:val="00971AF2"/>
    <w:rsid w:val="009723B8"/>
    <w:rsid w:val="00973ED9"/>
    <w:rsid w:val="009817A0"/>
    <w:rsid w:val="0098281C"/>
    <w:rsid w:val="009833A0"/>
    <w:rsid w:val="0098388D"/>
    <w:rsid w:val="0098423D"/>
    <w:rsid w:val="009850E9"/>
    <w:rsid w:val="00985DFA"/>
    <w:rsid w:val="00986315"/>
    <w:rsid w:val="00986617"/>
    <w:rsid w:val="009911E3"/>
    <w:rsid w:val="00994B4C"/>
    <w:rsid w:val="00994E42"/>
    <w:rsid w:val="00995178"/>
    <w:rsid w:val="009960E6"/>
    <w:rsid w:val="009A1C33"/>
    <w:rsid w:val="009A1D27"/>
    <w:rsid w:val="009A2439"/>
    <w:rsid w:val="009A2BFF"/>
    <w:rsid w:val="009A6D30"/>
    <w:rsid w:val="009B07A4"/>
    <w:rsid w:val="009B206F"/>
    <w:rsid w:val="009B28BB"/>
    <w:rsid w:val="009B3528"/>
    <w:rsid w:val="009B5F6F"/>
    <w:rsid w:val="009B60E1"/>
    <w:rsid w:val="009B7A7F"/>
    <w:rsid w:val="009B7A90"/>
    <w:rsid w:val="009B7BA4"/>
    <w:rsid w:val="009C1007"/>
    <w:rsid w:val="009C1F6E"/>
    <w:rsid w:val="009C2026"/>
    <w:rsid w:val="009C2514"/>
    <w:rsid w:val="009C3C03"/>
    <w:rsid w:val="009C3C6C"/>
    <w:rsid w:val="009C3EBA"/>
    <w:rsid w:val="009C4C61"/>
    <w:rsid w:val="009C5377"/>
    <w:rsid w:val="009C58A2"/>
    <w:rsid w:val="009C6276"/>
    <w:rsid w:val="009C7BA0"/>
    <w:rsid w:val="009D01C5"/>
    <w:rsid w:val="009D1B51"/>
    <w:rsid w:val="009D426B"/>
    <w:rsid w:val="009D43A5"/>
    <w:rsid w:val="009D52BF"/>
    <w:rsid w:val="009D5880"/>
    <w:rsid w:val="009D6255"/>
    <w:rsid w:val="009D6DD3"/>
    <w:rsid w:val="009E3F57"/>
    <w:rsid w:val="009E4F8A"/>
    <w:rsid w:val="009E6471"/>
    <w:rsid w:val="009E6771"/>
    <w:rsid w:val="009E67E4"/>
    <w:rsid w:val="009E754B"/>
    <w:rsid w:val="009F0511"/>
    <w:rsid w:val="009F092A"/>
    <w:rsid w:val="009F0F18"/>
    <w:rsid w:val="009F1DBD"/>
    <w:rsid w:val="009F22FE"/>
    <w:rsid w:val="009F750B"/>
    <w:rsid w:val="009F7FB5"/>
    <w:rsid w:val="00A00435"/>
    <w:rsid w:val="00A01FCD"/>
    <w:rsid w:val="00A025E8"/>
    <w:rsid w:val="00A03071"/>
    <w:rsid w:val="00A044F0"/>
    <w:rsid w:val="00A04ACA"/>
    <w:rsid w:val="00A0582B"/>
    <w:rsid w:val="00A05B11"/>
    <w:rsid w:val="00A06B7F"/>
    <w:rsid w:val="00A06FBD"/>
    <w:rsid w:val="00A074E9"/>
    <w:rsid w:val="00A07D9C"/>
    <w:rsid w:val="00A07DFC"/>
    <w:rsid w:val="00A108B8"/>
    <w:rsid w:val="00A109CC"/>
    <w:rsid w:val="00A11D7A"/>
    <w:rsid w:val="00A12741"/>
    <w:rsid w:val="00A13EDB"/>
    <w:rsid w:val="00A14C4D"/>
    <w:rsid w:val="00A15845"/>
    <w:rsid w:val="00A17B52"/>
    <w:rsid w:val="00A2141C"/>
    <w:rsid w:val="00A21B16"/>
    <w:rsid w:val="00A22D76"/>
    <w:rsid w:val="00A2438C"/>
    <w:rsid w:val="00A24D47"/>
    <w:rsid w:val="00A30370"/>
    <w:rsid w:val="00A32017"/>
    <w:rsid w:val="00A3527C"/>
    <w:rsid w:val="00A36E1D"/>
    <w:rsid w:val="00A37E7E"/>
    <w:rsid w:val="00A4098F"/>
    <w:rsid w:val="00A4193A"/>
    <w:rsid w:val="00A42D4A"/>
    <w:rsid w:val="00A45C6F"/>
    <w:rsid w:val="00A46DCC"/>
    <w:rsid w:val="00A47CBE"/>
    <w:rsid w:val="00A5014E"/>
    <w:rsid w:val="00A54A38"/>
    <w:rsid w:val="00A55DD6"/>
    <w:rsid w:val="00A562E3"/>
    <w:rsid w:val="00A569D3"/>
    <w:rsid w:val="00A6062B"/>
    <w:rsid w:val="00A62089"/>
    <w:rsid w:val="00A63264"/>
    <w:rsid w:val="00A64C2B"/>
    <w:rsid w:val="00A654EF"/>
    <w:rsid w:val="00A658F2"/>
    <w:rsid w:val="00A65AFD"/>
    <w:rsid w:val="00A66B78"/>
    <w:rsid w:val="00A6769B"/>
    <w:rsid w:val="00A677C6"/>
    <w:rsid w:val="00A67E25"/>
    <w:rsid w:val="00A70DC7"/>
    <w:rsid w:val="00A72C38"/>
    <w:rsid w:val="00A72FD2"/>
    <w:rsid w:val="00A7420A"/>
    <w:rsid w:val="00A74D3C"/>
    <w:rsid w:val="00A75DB1"/>
    <w:rsid w:val="00A760CB"/>
    <w:rsid w:val="00A761C2"/>
    <w:rsid w:val="00A76BBD"/>
    <w:rsid w:val="00A76D29"/>
    <w:rsid w:val="00A81335"/>
    <w:rsid w:val="00A816E2"/>
    <w:rsid w:val="00A81ADF"/>
    <w:rsid w:val="00A86383"/>
    <w:rsid w:val="00A86960"/>
    <w:rsid w:val="00A86B01"/>
    <w:rsid w:val="00A91A54"/>
    <w:rsid w:val="00A91B7E"/>
    <w:rsid w:val="00A92848"/>
    <w:rsid w:val="00A96F13"/>
    <w:rsid w:val="00AA1080"/>
    <w:rsid w:val="00AA16D3"/>
    <w:rsid w:val="00AA18CA"/>
    <w:rsid w:val="00AA1D98"/>
    <w:rsid w:val="00AA3063"/>
    <w:rsid w:val="00AA3BFA"/>
    <w:rsid w:val="00AA4BCE"/>
    <w:rsid w:val="00AA5A0A"/>
    <w:rsid w:val="00AA5E84"/>
    <w:rsid w:val="00AA725C"/>
    <w:rsid w:val="00AA7BB1"/>
    <w:rsid w:val="00AB2C50"/>
    <w:rsid w:val="00AB3274"/>
    <w:rsid w:val="00AB3E05"/>
    <w:rsid w:val="00AB7A0E"/>
    <w:rsid w:val="00AC0409"/>
    <w:rsid w:val="00AC0C60"/>
    <w:rsid w:val="00AC178D"/>
    <w:rsid w:val="00AC1897"/>
    <w:rsid w:val="00AC2E63"/>
    <w:rsid w:val="00AC2EA5"/>
    <w:rsid w:val="00AC3A70"/>
    <w:rsid w:val="00AC63F8"/>
    <w:rsid w:val="00AC7144"/>
    <w:rsid w:val="00AC75AF"/>
    <w:rsid w:val="00AD0634"/>
    <w:rsid w:val="00AD2092"/>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1853"/>
    <w:rsid w:val="00B02758"/>
    <w:rsid w:val="00B02B5A"/>
    <w:rsid w:val="00B0302F"/>
    <w:rsid w:val="00B036CF"/>
    <w:rsid w:val="00B03790"/>
    <w:rsid w:val="00B03CDC"/>
    <w:rsid w:val="00B04B8A"/>
    <w:rsid w:val="00B04BFB"/>
    <w:rsid w:val="00B062FA"/>
    <w:rsid w:val="00B104AA"/>
    <w:rsid w:val="00B11872"/>
    <w:rsid w:val="00B13758"/>
    <w:rsid w:val="00B13979"/>
    <w:rsid w:val="00B15E4F"/>
    <w:rsid w:val="00B17E7D"/>
    <w:rsid w:val="00B2012B"/>
    <w:rsid w:val="00B20B29"/>
    <w:rsid w:val="00B20CB9"/>
    <w:rsid w:val="00B20D52"/>
    <w:rsid w:val="00B2167C"/>
    <w:rsid w:val="00B22598"/>
    <w:rsid w:val="00B246D3"/>
    <w:rsid w:val="00B262C9"/>
    <w:rsid w:val="00B26A2C"/>
    <w:rsid w:val="00B26BDA"/>
    <w:rsid w:val="00B30526"/>
    <w:rsid w:val="00B3125B"/>
    <w:rsid w:val="00B32F9A"/>
    <w:rsid w:val="00B32FCD"/>
    <w:rsid w:val="00B34577"/>
    <w:rsid w:val="00B34E07"/>
    <w:rsid w:val="00B35DB4"/>
    <w:rsid w:val="00B40207"/>
    <w:rsid w:val="00B43464"/>
    <w:rsid w:val="00B45223"/>
    <w:rsid w:val="00B45C7D"/>
    <w:rsid w:val="00B461F3"/>
    <w:rsid w:val="00B46548"/>
    <w:rsid w:val="00B46BB4"/>
    <w:rsid w:val="00B47EFD"/>
    <w:rsid w:val="00B50604"/>
    <w:rsid w:val="00B50C36"/>
    <w:rsid w:val="00B51C5E"/>
    <w:rsid w:val="00B52083"/>
    <w:rsid w:val="00B52525"/>
    <w:rsid w:val="00B52A88"/>
    <w:rsid w:val="00B52B44"/>
    <w:rsid w:val="00B52D72"/>
    <w:rsid w:val="00B53BE4"/>
    <w:rsid w:val="00B53D05"/>
    <w:rsid w:val="00B54AE9"/>
    <w:rsid w:val="00B56BAC"/>
    <w:rsid w:val="00B56E5B"/>
    <w:rsid w:val="00B571F4"/>
    <w:rsid w:val="00B61F86"/>
    <w:rsid w:val="00B63550"/>
    <w:rsid w:val="00B64780"/>
    <w:rsid w:val="00B6494B"/>
    <w:rsid w:val="00B64BD5"/>
    <w:rsid w:val="00B64D7D"/>
    <w:rsid w:val="00B658BB"/>
    <w:rsid w:val="00B65E8E"/>
    <w:rsid w:val="00B6622F"/>
    <w:rsid w:val="00B67926"/>
    <w:rsid w:val="00B679FA"/>
    <w:rsid w:val="00B72B4C"/>
    <w:rsid w:val="00B75DE1"/>
    <w:rsid w:val="00B76EAC"/>
    <w:rsid w:val="00B810DE"/>
    <w:rsid w:val="00B81ECA"/>
    <w:rsid w:val="00B838D7"/>
    <w:rsid w:val="00B83DCC"/>
    <w:rsid w:val="00B84F8C"/>
    <w:rsid w:val="00B864A8"/>
    <w:rsid w:val="00B86A3E"/>
    <w:rsid w:val="00B903B2"/>
    <w:rsid w:val="00B9113C"/>
    <w:rsid w:val="00B91DE8"/>
    <w:rsid w:val="00B93C58"/>
    <w:rsid w:val="00B93ECE"/>
    <w:rsid w:val="00B96111"/>
    <w:rsid w:val="00B9753A"/>
    <w:rsid w:val="00B975ED"/>
    <w:rsid w:val="00B979E2"/>
    <w:rsid w:val="00B97A30"/>
    <w:rsid w:val="00B97D1F"/>
    <w:rsid w:val="00B97E9D"/>
    <w:rsid w:val="00BA25DB"/>
    <w:rsid w:val="00BA2CAB"/>
    <w:rsid w:val="00BA38E0"/>
    <w:rsid w:val="00BA4649"/>
    <w:rsid w:val="00BA51C2"/>
    <w:rsid w:val="00BA619F"/>
    <w:rsid w:val="00BA6A48"/>
    <w:rsid w:val="00BA7D43"/>
    <w:rsid w:val="00BB02EB"/>
    <w:rsid w:val="00BB08FA"/>
    <w:rsid w:val="00BB0940"/>
    <w:rsid w:val="00BB0A6C"/>
    <w:rsid w:val="00BB17F3"/>
    <w:rsid w:val="00BB2DBC"/>
    <w:rsid w:val="00BB4AC7"/>
    <w:rsid w:val="00BB4CD0"/>
    <w:rsid w:val="00BB4F92"/>
    <w:rsid w:val="00BB61C1"/>
    <w:rsid w:val="00BB6B4A"/>
    <w:rsid w:val="00BB7E90"/>
    <w:rsid w:val="00BB7F6A"/>
    <w:rsid w:val="00BC03CC"/>
    <w:rsid w:val="00BC04B3"/>
    <w:rsid w:val="00BC11D7"/>
    <w:rsid w:val="00BC1B9C"/>
    <w:rsid w:val="00BC283F"/>
    <w:rsid w:val="00BC2C14"/>
    <w:rsid w:val="00BC31EE"/>
    <w:rsid w:val="00BC3C19"/>
    <w:rsid w:val="00BC4B27"/>
    <w:rsid w:val="00BC5C23"/>
    <w:rsid w:val="00BD12E2"/>
    <w:rsid w:val="00BD15BE"/>
    <w:rsid w:val="00BD2E19"/>
    <w:rsid w:val="00BD3BF3"/>
    <w:rsid w:val="00BD5316"/>
    <w:rsid w:val="00BD6613"/>
    <w:rsid w:val="00BE41BE"/>
    <w:rsid w:val="00BE4EBB"/>
    <w:rsid w:val="00BE6F8C"/>
    <w:rsid w:val="00BE735F"/>
    <w:rsid w:val="00BF069C"/>
    <w:rsid w:val="00BF0B0F"/>
    <w:rsid w:val="00BF150A"/>
    <w:rsid w:val="00BF30A5"/>
    <w:rsid w:val="00BF3210"/>
    <w:rsid w:val="00BF3B09"/>
    <w:rsid w:val="00BF4A06"/>
    <w:rsid w:val="00C00340"/>
    <w:rsid w:val="00C0301D"/>
    <w:rsid w:val="00C03270"/>
    <w:rsid w:val="00C03937"/>
    <w:rsid w:val="00C048FB"/>
    <w:rsid w:val="00C04CFA"/>
    <w:rsid w:val="00C0602D"/>
    <w:rsid w:val="00C06FAF"/>
    <w:rsid w:val="00C07326"/>
    <w:rsid w:val="00C074A8"/>
    <w:rsid w:val="00C076EF"/>
    <w:rsid w:val="00C12DA4"/>
    <w:rsid w:val="00C133A8"/>
    <w:rsid w:val="00C15E59"/>
    <w:rsid w:val="00C15E84"/>
    <w:rsid w:val="00C16C84"/>
    <w:rsid w:val="00C20730"/>
    <w:rsid w:val="00C21DB4"/>
    <w:rsid w:val="00C224CD"/>
    <w:rsid w:val="00C25539"/>
    <w:rsid w:val="00C25C2B"/>
    <w:rsid w:val="00C2744F"/>
    <w:rsid w:val="00C33D5F"/>
    <w:rsid w:val="00C34648"/>
    <w:rsid w:val="00C34D95"/>
    <w:rsid w:val="00C357EB"/>
    <w:rsid w:val="00C37015"/>
    <w:rsid w:val="00C40072"/>
    <w:rsid w:val="00C408BD"/>
    <w:rsid w:val="00C411F3"/>
    <w:rsid w:val="00C4213E"/>
    <w:rsid w:val="00C438D5"/>
    <w:rsid w:val="00C45741"/>
    <w:rsid w:val="00C4699F"/>
    <w:rsid w:val="00C472A3"/>
    <w:rsid w:val="00C50B26"/>
    <w:rsid w:val="00C50C4A"/>
    <w:rsid w:val="00C524B1"/>
    <w:rsid w:val="00C53D6E"/>
    <w:rsid w:val="00C56B9D"/>
    <w:rsid w:val="00C60706"/>
    <w:rsid w:val="00C61A1B"/>
    <w:rsid w:val="00C6464D"/>
    <w:rsid w:val="00C64FE6"/>
    <w:rsid w:val="00C65838"/>
    <w:rsid w:val="00C72DBC"/>
    <w:rsid w:val="00C74041"/>
    <w:rsid w:val="00C76B39"/>
    <w:rsid w:val="00C77891"/>
    <w:rsid w:val="00C80803"/>
    <w:rsid w:val="00C8081E"/>
    <w:rsid w:val="00C8194B"/>
    <w:rsid w:val="00C8510F"/>
    <w:rsid w:val="00C856C4"/>
    <w:rsid w:val="00C86119"/>
    <w:rsid w:val="00C8634C"/>
    <w:rsid w:val="00C86F92"/>
    <w:rsid w:val="00C90072"/>
    <w:rsid w:val="00C92637"/>
    <w:rsid w:val="00C93550"/>
    <w:rsid w:val="00C9533B"/>
    <w:rsid w:val="00C95976"/>
    <w:rsid w:val="00CA14A2"/>
    <w:rsid w:val="00CA408B"/>
    <w:rsid w:val="00CA47DA"/>
    <w:rsid w:val="00CA5299"/>
    <w:rsid w:val="00CA597B"/>
    <w:rsid w:val="00CB0748"/>
    <w:rsid w:val="00CB18BD"/>
    <w:rsid w:val="00CB1B09"/>
    <w:rsid w:val="00CB232C"/>
    <w:rsid w:val="00CB2D79"/>
    <w:rsid w:val="00CB2E90"/>
    <w:rsid w:val="00CB31D0"/>
    <w:rsid w:val="00CB4405"/>
    <w:rsid w:val="00CB4EF4"/>
    <w:rsid w:val="00CB5BD0"/>
    <w:rsid w:val="00CB63F6"/>
    <w:rsid w:val="00CB7EC8"/>
    <w:rsid w:val="00CC03DE"/>
    <w:rsid w:val="00CC042F"/>
    <w:rsid w:val="00CC11D6"/>
    <w:rsid w:val="00CC237A"/>
    <w:rsid w:val="00CC2A69"/>
    <w:rsid w:val="00CD2668"/>
    <w:rsid w:val="00CD2B6F"/>
    <w:rsid w:val="00CD2E23"/>
    <w:rsid w:val="00CD2FAC"/>
    <w:rsid w:val="00CD2FBB"/>
    <w:rsid w:val="00CD3879"/>
    <w:rsid w:val="00CD3AC4"/>
    <w:rsid w:val="00CD402E"/>
    <w:rsid w:val="00CD495B"/>
    <w:rsid w:val="00CD5161"/>
    <w:rsid w:val="00CD5C64"/>
    <w:rsid w:val="00CD69A5"/>
    <w:rsid w:val="00CD7C0B"/>
    <w:rsid w:val="00CD7C6C"/>
    <w:rsid w:val="00CE0AA8"/>
    <w:rsid w:val="00CE1F20"/>
    <w:rsid w:val="00CE3BDB"/>
    <w:rsid w:val="00CE4206"/>
    <w:rsid w:val="00CE4305"/>
    <w:rsid w:val="00CE44AB"/>
    <w:rsid w:val="00CE4BC6"/>
    <w:rsid w:val="00CE52BF"/>
    <w:rsid w:val="00CE5EA4"/>
    <w:rsid w:val="00CE70DB"/>
    <w:rsid w:val="00CF001E"/>
    <w:rsid w:val="00CF363A"/>
    <w:rsid w:val="00CF5090"/>
    <w:rsid w:val="00CF50D5"/>
    <w:rsid w:val="00CF5B0B"/>
    <w:rsid w:val="00CF5C9B"/>
    <w:rsid w:val="00CF6662"/>
    <w:rsid w:val="00D01058"/>
    <w:rsid w:val="00D01136"/>
    <w:rsid w:val="00D01FF3"/>
    <w:rsid w:val="00D03474"/>
    <w:rsid w:val="00D03476"/>
    <w:rsid w:val="00D03C0F"/>
    <w:rsid w:val="00D050EF"/>
    <w:rsid w:val="00D06998"/>
    <w:rsid w:val="00D06B71"/>
    <w:rsid w:val="00D06DC1"/>
    <w:rsid w:val="00D105D9"/>
    <w:rsid w:val="00D11FB0"/>
    <w:rsid w:val="00D129B0"/>
    <w:rsid w:val="00D1422B"/>
    <w:rsid w:val="00D1756F"/>
    <w:rsid w:val="00D21893"/>
    <w:rsid w:val="00D21E87"/>
    <w:rsid w:val="00D23DB6"/>
    <w:rsid w:val="00D242FC"/>
    <w:rsid w:val="00D24CEB"/>
    <w:rsid w:val="00D24F90"/>
    <w:rsid w:val="00D26400"/>
    <w:rsid w:val="00D2649A"/>
    <w:rsid w:val="00D264F9"/>
    <w:rsid w:val="00D3129E"/>
    <w:rsid w:val="00D31768"/>
    <w:rsid w:val="00D320CC"/>
    <w:rsid w:val="00D33471"/>
    <w:rsid w:val="00D344EF"/>
    <w:rsid w:val="00D35D77"/>
    <w:rsid w:val="00D35E6A"/>
    <w:rsid w:val="00D361F7"/>
    <w:rsid w:val="00D37A4D"/>
    <w:rsid w:val="00D37BDA"/>
    <w:rsid w:val="00D41D8D"/>
    <w:rsid w:val="00D475DD"/>
    <w:rsid w:val="00D50781"/>
    <w:rsid w:val="00D51C08"/>
    <w:rsid w:val="00D51F3E"/>
    <w:rsid w:val="00D55D74"/>
    <w:rsid w:val="00D568D6"/>
    <w:rsid w:val="00D613B2"/>
    <w:rsid w:val="00D61D4F"/>
    <w:rsid w:val="00D62526"/>
    <w:rsid w:val="00D63D3F"/>
    <w:rsid w:val="00D65B3B"/>
    <w:rsid w:val="00D65C26"/>
    <w:rsid w:val="00D6655A"/>
    <w:rsid w:val="00D73BEF"/>
    <w:rsid w:val="00D75DD7"/>
    <w:rsid w:val="00D8461E"/>
    <w:rsid w:val="00D848AF"/>
    <w:rsid w:val="00D84D41"/>
    <w:rsid w:val="00D85867"/>
    <w:rsid w:val="00D86986"/>
    <w:rsid w:val="00D86AE7"/>
    <w:rsid w:val="00D90438"/>
    <w:rsid w:val="00D90F7C"/>
    <w:rsid w:val="00D91BBB"/>
    <w:rsid w:val="00D93BBB"/>
    <w:rsid w:val="00D9483F"/>
    <w:rsid w:val="00D957E5"/>
    <w:rsid w:val="00D9612C"/>
    <w:rsid w:val="00D96B41"/>
    <w:rsid w:val="00DA02CE"/>
    <w:rsid w:val="00DA0DFD"/>
    <w:rsid w:val="00DA26D1"/>
    <w:rsid w:val="00DA3715"/>
    <w:rsid w:val="00DA3EA5"/>
    <w:rsid w:val="00DA7EC9"/>
    <w:rsid w:val="00DB18FC"/>
    <w:rsid w:val="00DB2769"/>
    <w:rsid w:val="00DB4762"/>
    <w:rsid w:val="00DB630A"/>
    <w:rsid w:val="00DB6473"/>
    <w:rsid w:val="00DC3ED2"/>
    <w:rsid w:val="00DC4AE1"/>
    <w:rsid w:val="00DC6B38"/>
    <w:rsid w:val="00DC767D"/>
    <w:rsid w:val="00DC7A15"/>
    <w:rsid w:val="00DD0CDD"/>
    <w:rsid w:val="00DD26EA"/>
    <w:rsid w:val="00DD3270"/>
    <w:rsid w:val="00DD35BB"/>
    <w:rsid w:val="00DD5EDD"/>
    <w:rsid w:val="00DD6B34"/>
    <w:rsid w:val="00DD7198"/>
    <w:rsid w:val="00DE3B48"/>
    <w:rsid w:val="00DF08A3"/>
    <w:rsid w:val="00DF0FF1"/>
    <w:rsid w:val="00DF1557"/>
    <w:rsid w:val="00DF3006"/>
    <w:rsid w:val="00DF49C5"/>
    <w:rsid w:val="00DF6B72"/>
    <w:rsid w:val="00DF7223"/>
    <w:rsid w:val="00DF7278"/>
    <w:rsid w:val="00DF749E"/>
    <w:rsid w:val="00DF7988"/>
    <w:rsid w:val="00E0112E"/>
    <w:rsid w:val="00E02056"/>
    <w:rsid w:val="00E023D6"/>
    <w:rsid w:val="00E037D5"/>
    <w:rsid w:val="00E07564"/>
    <w:rsid w:val="00E07EB9"/>
    <w:rsid w:val="00E10A87"/>
    <w:rsid w:val="00E114BC"/>
    <w:rsid w:val="00E11D50"/>
    <w:rsid w:val="00E13609"/>
    <w:rsid w:val="00E14B3C"/>
    <w:rsid w:val="00E16067"/>
    <w:rsid w:val="00E20E0B"/>
    <w:rsid w:val="00E212E3"/>
    <w:rsid w:val="00E22505"/>
    <w:rsid w:val="00E226B6"/>
    <w:rsid w:val="00E227F4"/>
    <w:rsid w:val="00E23903"/>
    <w:rsid w:val="00E2465F"/>
    <w:rsid w:val="00E2575E"/>
    <w:rsid w:val="00E25E0D"/>
    <w:rsid w:val="00E2687F"/>
    <w:rsid w:val="00E270B1"/>
    <w:rsid w:val="00E27DAA"/>
    <w:rsid w:val="00E27FDC"/>
    <w:rsid w:val="00E303C9"/>
    <w:rsid w:val="00E30E7D"/>
    <w:rsid w:val="00E31BA9"/>
    <w:rsid w:val="00E332F8"/>
    <w:rsid w:val="00E33659"/>
    <w:rsid w:val="00E400DE"/>
    <w:rsid w:val="00E4021E"/>
    <w:rsid w:val="00E40872"/>
    <w:rsid w:val="00E41594"/>
    <w:rsid w:val="00E4296F"/>
    <w:rsid w:val="00E43324"/>
    <w:rsid w:val="00E46A08"/>
    <w:rsid w:val="00E47BE1"/>
    <w:rsid w:val="00E518FB"/>
    <w:rsid w:val="00E5386F"/>
    <w:rsid w:val="00E56AE4"/>
    <w:rsid w:val="00E56C94"/>
    <w:rsid w:val="00E56FE8"/>
    <w:rsid w:val="00E57945"/>
    <w:rsid w:val="00E57C5E"/>
    <w:rsid w:val="00E6057C"/>
    <w:rsid w:val="00E607A7"/>
    <w:rsid w:val="00E60C5E"/>
    <w:rsid w:val="00E63BD1"/>
    <w:rsid w:val="00E6467D"/>
    <w:rsid w:val="00E64F0D"/>
    <w:rsid w:val="00E66BCF"/>
    <w:rsid w:val="00E70C32"/>
    <w:rsid w:val="00E71342"/>
    <w:rsid w:val="00E728E4"/>
    <w:rsid w:val="00E77471"/>
    <w:rsid w:val="00E777FC"/>
    <w:rsid w:val="00E83DB2"/>
    <w:rsid w:val="00E840FB"/>
    <w:rsid w:val="00E8555A"/>
    <w:rsid w:val="00E85DAF"/>
    <w:rsid w:val="00E86211"/>
    <w:rsid w:val="00E86A39"/>
    <w:rsid w:val="00E8703F"/>
    <w:rsid w:val="00E87864"/>
    <w:rsid w:val="00E9170D"/>
    <w:rsid w:val="00E9198A"/>
    <w:rsid w:val="00E92C29"/>
    <w:rsid w:val="00E931C1"/>
    <w:rsid w:val="00E93D73"/>
    <w:rsid w:val="00E94BE1"/>
    <w:rsid w:val="00E94BFD"/>
    <w:rsid w:val="00E94E0E"/>
    <w:rsid w:val="00E952C1"/>
    <w:rsid w:val="00E97186"/>
    <w:rsid w:val="00E97F6C"/>
    <w:rsid w:val="00EA04D2"/>
    <w:rsid w:val="00EA2655"/>
    <w:rsid w:val="00EA2FC1"/>
    <w:rsid w:val="00EA6401"/>
    <w:rsid w:val="00EA68DB"/>
    <w:rsid w:val="00EB04DB"/>
    <w:rsid w:val="00EB0764"/>
    <w:rsid w:val="00EB1322"/>
    <w:rsid w:val="00EB1A62"/>
    <w:rsid w:val="00EB4FC8"/>
    <w:rsid w:val="00EB6E57"/>
    <w:rsid w:val="00EB7A4C"/>
    <w:rsid w:val="00EC0DD8"/>
    <w:rsid w:val="00EC221A"/>
    <w:rsid w:val="00EC2A66"/>
    <w:rsid w:val="00EC3672"/>
    <w:rsid w:val="00EC44FF"/>
    <w:rsid w:val="00ED0960"/>
    <w:rsid w:val="00ED3782"/>
    <w:rsid w:val="00ED56C1"/>
    <w:rsid w:val="00ED6D82"/>
    <w:rsid w:val="00ED7D80"/>
    <w:rsid w:val="00EE1F49"/>
    <w:rsid w:val="00EE1F87"/>
    <w:rsid w:val="00EE36FA"/>
    <w:rsid w:val="00EE3720"/>
    <w:rsid w:val="00EE3F92"/>
    <w:rsid w:val="00EE4A01"/>
    <w:rsid w:val="00EE5B89"/>
    <w:rsid w:val="00EE7634"/>
    <w:rsid w:val="00EF271D"/>
    <w:rsid w:val="00EF4228"/>
    <w:rsid w:val="00EF473E"/>
    <w:rsid w:val="00EF4DC8"/>
    <w:rsid w:val="00EF659E"/>
    <w:rsid w:val="00EF6A13"/>
    <w:rsid w:val="00EF6F24"/>
    <w:rsid w:val="00F00971"/>
    <w:rsid w:val="00F01751"/>
    <w:rsid w:val="00F02CF2"/>
    <w:rsid w:val="00F0385A"/>
    <w:rsid w:val="00F053D3"/>
    <w:rsid w:val="00F1070F"/>
    <w:rsid w:val="00F10CEC"/>
    <w:rsid w:val="00F13518"/>
    <w:rsid w:val="00F13BB5"/>
    <w:rsid w:val="00F14992"/>
    <w:rsid w:val="00F16A50"/>
    <w:rsid w:val="00F21D20"/>
    <w:rsid w:val="00F22674"/>
    <w:rsid w:val="00F22B78"/>
    <w:rsid w:val="00F244F9"/>
    <w:rsid w:val="00F25220"/>
    <w:rsid w:val="00F25309"/>
    <w:rsid w:val="00F25320"/>
    <w:rsid w:val="00F26FA6"/>
    <w:rsid w:val="00F306D7"/>
    <w:rsid w:val="00F308B7"/>
    <w:rsid w:val="00F3137F"/>
    <w:rsid w:val="00F31501"/>
    <w:rsid w:val="00F3188A"/>
    <w:rsid w:val="00F31BE1"/>
    <w:rsid w:val="00F31CAB"/>
    <w:rsid w:val="00F32A46"/>
    <w:rsid w:val="00F34AD2"/>
    <w:rsid w:val="00F37170"/>
    <w:rsid w:val="00F43040"/>
    <w:rsid w:val="00F440E7"/>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556D"/>
    <w:rsid w:val="00F564CD"/>
    <w:rsid w:val="00F61702"/>
    <w:rsid w:val="00F62789"/>
    <w:rsid w:val="00F62E71"/>
    <w:rsid w:val="00F6306C"/>
    <w:rsid w:val="00F630C8"/>
    <w:rsid w:val="00F64C12"/>
    <w:rsid w:val="00F6552D"/>
    <w:rsid w:val="00F65CB7"/>
    <w:rsid w:val="00F667F5"/>
    <w:rsid w:val="00F67278"/>
    <w:rsid w:val="00F70470"/>
    <w:rsid w:val="00F710E9"/>
    <w:rsid w:val="00F733F0"/>
    <w:rsid w:val="00F742CA"/>
    <w:rsid w:val="00F76A72"/>
    <w:rsid w:val="00F77340"/>
    <w:rsid w:val="00F8042D"/>
    <w:rsid w:val="00F8355F"/>
    <w:rsid w:val="00F85256"/>
    <w:rsid w:val="00F87572"/>
    <w:rsid w:val="00F87CA2"/>
    <w:rsid w:val="00F91976"/>
    <w:rsid w:val="00F92C8D"/>
    <w:rsid w:val="00F931AD"/>
    <w:rsid w:val="00F95FE5"/>
    <w:rsid w:val="00F9741A"/>
    <w:rsid w:val="00FA18B4"/>
    <w:rsid w:val="00FA1F53"/>
    <w:rsid w:val="00FA2095"/>
    <w:rsid w:val="00FA244D"/>
    <w:rsid w:val="00FA5C09"/>
    <w:rsid w:val="00FA7224"/>
    <w:rsid w:val="00FB01BB"/>
    <w:rsid w:val="00FB1072"/>
    <w:rsid w:val="00FB1215"/>
    <w:rsid w:val="00FB3D8E"/>
    <w:rsid w:val="00FB4CB0"/>
    <w:rsid w:val="00FB608E"/>
    <w:rsid w:val="00FB6392"/>
    <w:rsid w:val="00FC39BA"/>
    <w:rsid w:val="00FC3DAC"/>
    <w:rsid w:val="00FC62FB"/>
    <w:rsid w:val="00FD1428"/>
    <w:rsid w:val="00FD20C5"/>
    <w:rsid w:val="00FD221D"/>
    <w:rsid w:val="00FD2761"/>
    <w:rsid w:val="00FD309E"/>
    <w:rsid w:val="00FD37B5"/>
    <w:rsid w:val="00FD4568"/>
    <w:rsid w:val="00FD5B5E"/>
    <w:rsid w:val="00FD613E"/>
    <w:rsid w:val="00FD6F4D"/>
    <w:rsid w:val="00FE0559"/>
    <w:rsid w:val="00FE05A0"/>
    <w:rsid w:val="00FE1589"/>
    <w:rsid w:val="00FE3884"/>
    <w:rsid w:val="00FE3A5A"/>
    <w:rsid w:val="00FE3FCF"/>
    <w:rsid w:val="00FF2E19"/>
    <w:rsid w:val="00FF313E"/>
    <w:rsid w:val="00FF71BD"/>
    <w:rsid w:val="00FF756F"/>
    <w:rsid w:val="01174F9A"/>
    <w:rsid w:val="01216D33"/>
    <w:rsid w:val="013B2B96"/>
    <w:rsid w:val="01B11FA1"/>
    <w:rsid w:val="01CB2F5B"/>
    <w:rsid w:val="020E0B72"/>
    <w:rsid w:val="020E2058"/>
    <w:rsid w:val="02E80535"/>
    <w:rsid w:val="033C42B2"/>
    <w:rsid w:val="03667C72"/>
    <w:rsid w:val="03912F41"/>
    <w:rsid w:val="03A82039"/>
    <w:rsid w:val="043B4C5B"/>
    <w:rsid w:val="043E40D7"/>
    <w:rsid w:val="044955CA"/>
    <w:rsid w:val="04ED41A7"/>
    <w:rsid w:val="05571F68"/>
    <w:rsid w:val="06084349"/>
    <w:rsid w:val="062E4A77"/>
    <w:rsid w:val="06DA4BFF"/>
    <w:rsid w:val="07525215"/>
    <w:rsid w:val="076B40FA"/>
    <w:rsid w:val="07A33243"/>
    <w:rsid w:val="07CC1627"/>
    <w:rsid w:val="0831084F"/>
    <w:rsid w:val="08365E65"/>
    <w:rsid w:val="08393C99"/>
    <w:rsid w:val="0854278F"/>
    <w:rsid w:val="085507FC"/>
    <w:rsid w:val="0898267C"/>
    <w:rsid w:val="08BD0CAF"/>
    <w:rsid w:val="08EE5AB0"/>
    <w:rsid w:val="090D12BC"/>
    <w:rsid w:val="09404DB1"/>
    <w:rsid w:val="097C4C0A"/>
    <w:rsid w:val="09945539"/>
    <w:rsid w:val="09BA7BCA"/>
    <w:rsid w:val="09E10052"/>
    <w:rsid w:val="09FB1114"/>
    <w:rsid w:val="0A2D14EA"/>
    <w:rsid w:val="0A3C2B9C"/>
    <w:rsid w:val="0A5E16A3"/>
    <w:rsid w:val="0A781719"/>
    <w:rsid w:val="0A89457B"/>
    <w:rsid w:val="0AB539B9"/>
    <w:rsid w:val="0AC474D2"/>
    <w:rsid w:val="0AD35BED"/>
    <w:rsid w:val="0B1A381C"/>
    <w:rsid w:val="0B5847B0"/>
    <w:rsid w:val="0B7C0033"/>
    <w:rsid w:val="0C061FF2"/>
    <w:rsid w:val="0C0D15D3"/>
    <w:rsid w:val="0C0F70F9"/>
    <w:rsid w:val="0C4C20FB"/>
    <w:rsid w:val="0CAE322A"/>
    <w:rsid w:val="0CDB522D"/>
    <w:rsid w:val="0D1644B7"/>
    <w:rsid w:val="0D166265"/>
    <w:rsid w:val="0D613984"/>
    <w:rsid w:val="0D6A2B09"/>
    <w:rsid w:val="0DB00467"/>
    <w:rsid w:val="0E2055ED"/>
    <w:rsid w:val="0E407A3D"/>
    <w:rsid w:val="0E576B35"/>
    <w:rsid w:val="0E680D42"/>
    <w:rsid w:val="0E935B43"/>
    <w:rsid w:val="0E96765D"/>
    <w:rsid w:val="0F185481"/>
    <w:rsid w:val="0F4C2B8C"/>
    <w:rsid w:val="0F543075"/>
    <w:rsid w:val="0F601A19"/>
    <w:rsid w:val="0F6633A9"/>
    <w:rsid w:val="0FCC79C0"/>
    <w:rsid w:val="1057106E"/>
    <w:rsid w:val="10972147"/>
    <w:rsid w:val="10D12BCF"/>
    <w:rsid w:val="10F20D97"/>
    <w:rsid w:val="11217760"/>
    <w:rsid w:val="11CB5870"/>
    <w:rsid w:val="11D64215"/>
    <w:rsid w:val="120E39AF"/>
    <w:rsid w:val="12661A3D"/>
    <w:rsid w:val="131F7E9C"/>
    <w:rsid w:val="13225964"/>
    <w:rsid w:val="133574DA"/>
    <w:rsid w:val="13622C7A"/>
    <w:rsid w:val="136F66CF"/>
    <w:rsid w:val="13734411"/>
    <w:rsid w:val="1380268A"/>
    <w:rsid w:val="13A97E33"/>
    <w:rsid w:val="13C46A1B"/>
    <w:rsid w:val="13D604FC"/>
    <w:rsid w:val="14290F74"/>
    <w:rsid w:val="148D32B1"/>
    <w:rsid w:val="14AA0638"/>
    <w:rsid w:val="15264D8E"/>
    <w:rsid w:val="155E4C4D"/>
    <w:rsid w:val="15B900D5"/>
    <w:rsid w:val="15CE3B81"/>
    <w:rsid w:val="16007AB2"/>
    <w:rsid w:val="16247C45"/>
    <w:rsid w:val="164B6F7F"/>
    <w:rsid w:val="166B13D0"/>
    <w:rsid w:val="1683496B"/>
    <w:rsid w:val="16A662AE"/>
    <w:rsid w:val="16A950C6"/>
    <w:rsid w:val="16F108E9"/>
    <w:rsid w:val="1706734A"/>
    <w:rsid w:val="17080368"/>
    <w:rsid w:val="17245C34"/>
    <w:rsid w:val="17D226D6"/>
    <w:rsid w:val="18384FC6"/>
    <w:rsid w:val="18BA4890"/>
    <w:rsid w:val="18BC23B6"/>
    <w:rsid w:val="190B50EC"/>
    <w:rsid w:val="191F1353"/>
    <w:rsid w:val="19202945"/>
    <w:rsid w:val="19467ED2"/>
    <w:rsid w:val="19534E25"/>
    <w:rsid w:val="19974512"/>
    <w:rsid w:val="1A18361C"/>
    <w:rsid w:val="1A584361"/>
    <w:rsid w:val="1A937147"/>
    <w:rsid w:val="1AD4799A"/>
    <w:rsid w:val="1AF760BA"/>
    <w:rsid w:val="1B1A7868"/>
    <w:rsid w:val="1B321584"/>
    <w:rsid w:val="1B4C6F1B"/>
    <w:rsid w:val="1B667C0D"/>
    <w:rsid w:val="1BF27E9D"/>
    <w:rsid w:val="1BF41E67"/>
    <w:rsid w:val="1BF63E31"/>
    <w:rsid w:val="1C5172BA"/>
    <w:rsid w:val="1C6963B1"/>
    <w:rsid w:val="1C856F63"/>
    <w:rsid w:val="1D4B3D09"/>
    <w:rsid w:val="1D4D7A81"/>
    <w:rsid w:val="1D5831A2"/>
    <w:rsid w:val="1D862F93"/>
    <w:rsid w:val="1DAA6C81"/>
    <w:rsid w:val="1E1C0ECD"/>
    <w:rsid w:val="1E2658B5"/>
    <w:rsid w:val="1E2702D2"/>
    <w:rsid w:val="1E560BB7"/>
    <w:rsid w:val="1E6C3F37"/>
    <w:rsid w:val="1E7159F1"/>
    <w:rsid w:val="1E7C687F"/>
    <w:rsid w:val="1EBF675C"/>
    <w:rsid w:val="1ECB3353"/>
    <w:rsid w:val="1EE61F3B"/>
    <w:rsid w:val="1EFC175F"/>
    <w:rsid w:val="1F016D75"/>
    <w:rsid w:val="1F321241"/>
    <w:rsid w:val="1F460C2C"/>
    <w:rsid w:val="1F4E7AE0"/>
    <w:rsid w:val="1F8E612F"/>
    <w:rsid w:val="1FAB7E7B"/>
    <w:rsid w:val="200F54C2"/>
    <w:rsid w:val="201C373B"/>
    <w:rsid w:val="201D0482"/>
    <w:rsid w:val="20294D97"/>
    <w:rsid w:val="20407CB6"/>
    <w:rsid w:val="20531A94"/>
    <w:rsid w:val="20F36B91"/>
    <w:rsid w:val="2144119B"/>
    <w:rsid w:val="21997739"/>
    <w:rsid w:val="21E32762"/>
    <w:rsid w:val="221768AF"/>
    <w:rsid w:val="222B4109"/>
    <w:rsid w:val="22342FBD"/>
    <w:rsid w:val="22471C51"/>
    <w:rsid w:val="227E248B"/>
    <w:rsid w:val="232A449B"/>
    <w:rsid w:val="23627FFE"/>
    <w:rsid w:val="23872716"/>
    <w:rsid w:val="23BD5235"/>
    <w:rsid w:val="23F073B8"/>
    <w:rsid w:val="244A4D1A"/>
    <w:rsid w:val="244D65B8"/>
    <w:rsid w:val="25180974"/>
    <w:rsid w:val="25493224"/>
    <w:rsid w:val="255045B2"/>
    <w:rsid w:val="256A4F48"/>
    <w:rsid w:val="25836BE3"/>
    <w:rsid w:val="258A4AD9"/>
    <w:rsid w:val="25987D07"/>
    <w:rsid w:val="25A0096A"/>
    <w:rsid w:val="25B14925"/>
    <w:rsid w:val="25E62821"/>
    <w:rsid w:val="26176E7E"/>
    <w:rsid w:val="26C441AF"/>
    <w:rsid w:val="26FB22FC"/>
    <w:rsid w:val="271E423C"/>
    <w:rsid w:val="274F0899"/>
    <w:rsid w:val="278C389C"/>
    <w:rsid w:val="279B5A04"/>
    <w:rsid w:val="27B74703"/>
    <w:rsid w:val="27CC5A46"/>
    <w:rsid w:val="27E27A70"/>
    <w:rsid w:val="27EE3C0E"/>
    <w:rsid w:val="28612632"/>
    <w:rsid w:val="286A1913"/>
    <w:rsid w:val="286D547B"/>
    <w:rsid w:val="28792F45"/>
    <w:rsid w:val="28F306BC"/>
    <w:rsid w:val="2927387C"/>
    <w:rsid w:val="29A053DC"/>
    <w:rsid w:val="29A3542F"/>
    <w:rsid w:val="29EE439A"/>
    <w:rsid w:val="2A21651D"/>
    <w:rsid w:val="2A311A54"/>
    <w:rsid w:val="2AA50EFC"/>
    <w:rsid w:val="2ABA24CE"/>
    <w:rsid w:val="2AE01F34"/>
    <w:rsid w:val="2AF94DA4"/>
    <w:rsid w:val="2B886128"/>
    <w:rsid w:val="2BBE1B73"/>
    <w:rsid w:val="2BCA4992"/>
    <w:rsid w:val="2BCF3D57"/>
    <w:rsid w:val="2BCF4DA0"/>
    <w:rsid w:val="2C302A48"/>
    <w:rsid w:val="2C365B84"/>
    <w:rsid w:val="2C772424"/>
    <w:rsid w:val="2C7768C8"/>
    <w:rsid w:val="2C815051"/>
    <w:rsid w:val="2CB35427"/>
    <w:rsid w:val="2CDA6E57"/>
    <w:rsid w:val="2CE13D42"/>
    <w:rsid w:val="2DBF048A"/>
    <w:rsid w:val="2DED016F"/>
    <w:rsid w:val="2E0917A2"/>
    <w:rsid w:val="2E141EF5"/>
    <w:rsid w:val="2E2A1A35"/>
    <w:rsid w:val="2E425517"/>
    <w:rsid w:val="2E5B1DE5"/>
    <w:rsid w:val="2E6B4140"/>
    <w:rsid w:val="2E7A444E"/>
    <w:rsid w:val="2E861045"/>
    <w:rsid w:val="2EA9088F"/>
    <w:rsid w:val="2EB060C2"/>
    <w:rsid w:val="2EDE49DD"/>
    <w:rsid w:val="2EFA558F"/>
    <w:rsid w:val="2EFF4493"/>
    <w:rsid w:val="2F2D14C0"/>
    <w:rsid w:val="2F34284F"/>
    <w:rsid w:val="2F776BDF"/>
    <w:rsid w:val="2FB424A2"/>
    <w:rsid w:val="30240B15"/>
    <w:rsid w:val="30997731"/>
    <w:rsid w:val="30B74016"/>
    <w:rsid w:val="30CA3D76"/>
    <w:rsid w:val="30D2231F"/>
    <w:rsid w:val="30E6401D"/>
    <w:rsid w:val="30F027A5"/>
    <w:rsid w:val="31FE7144"/>
    <w:rsid w:val="32132BEF"/>
    <w:rsid w:val="3234271C"/>
    <w:rsid w:val="325D7CF9"/>
    <w:rsid w:val="329D070B"/>
    <w:rsid w:val="33072028"/>
    <w:rsid w:val="334B63B9"/>
    <w:rsid w:val="335F00B6"/>
    <w:rsid w:val="336D632F"/>
    <w:rsid w:val="339715FE"/>
    <w:rsid w:val="339E6DFE"/>
    <w:rsid w:val="33A4663C"/>
    <w:rsid w:val="33B57CD6"/>
    <w:rsid w:val="33B72246"/>
    <w:rsid w:val="33E43E98"/>
    <w:rsid w:val="33EB36F8"/>
    <w:rsid w:val="33F055F4"/>
    <w:rsid w:val="34037990"/>
    <w:rsid w:val="34386694"/>
    <w:rsid w:val="344572AC"/>
    <w:rsid w:val="34B955A4"/>
    <w:rsid w:val="34D83C7C"/>
    <w:rsid w:val="350E3B42"/>
    <w:rsid w:val="35101668"/>
    <w:rsid w:val="351D48F1"/>
    <w:rsid w:val="3522139B"/>
    <w:rsid w:val="352E1AEE"/>
    <w:rsid w:val="353D7F83"/>
    <w:rsid w:val="35492DCC"/>
    <w:rsid w:val="35AD335B"/>
    <w:rsid w:val="35B04BF9"/>
    <w:rsid w:val="35D24411"/>
    <w:rsid w:val="362F5B1E"/>
    <w:rsid w:val="36453593"/>
    <w:rsid w:val="365442FF"/>
    <w:rsid w:val="368F480F"/>
    <w:rsid w:val="36963DEF"/>
    <w:rsid w:val="369A73C0"/>
    <w:rsid w:val="36A75FFC"/>
    <w:rsid w:val="36E85C72"/>
    <w:rsid w:val="36FB1EA4"/>
    <w:rsid w:val="371A7888"/>
    <w:rsid w:val="37386C54"/>
    <w:rsid w:val="37591671"/>
    <w:rsid w:val="37753A04"/>
    <w:rsid w:val="37B3642E"/>
    <w:rsid w:val="37E33064"/>
    <w:rsid w:val="386677F1"/>
    <w:rsid w:val="38A5656B"/>
    <w:rsid w:val="38A84DDA"/>
    <w:rsid w:val="38BE2EEF"/>
    <w:rsid w:val="38E36364"/>
    <w:rsid w:val="397C5003"/>
    <w:rsid w:val="3991089E"/>
    <w:rsid w:val="39B73932"/>
    <w:rsid w:val="39D569DC"/>
    <w:rsid w:val="39D6662C"/>
    <w:rsid w:val="3A134D35"/>
    <w:rsid w:val="3A3F654C"/>
    <w:rsid w:val="3A410516"/>
    <w:rsid w:val="3A4D113E"/>
    <w:rsid w:val="3A8661CC"/>
    <w:rsid w:val="3A914FF9"/>
    <w:rsid w:val="3AC0143A"/>
    <w:rsid w:val="3ACF2D06"/>
    <w:rsid w:val="3AEF199D"/>
    <w:rsid w:val="3AEF1D20"/>
    <w:rsid w:val="3B1F05D3"/>
    <w:rsid w:val="3B245E6D"/>
    <w:rsid w:val="3B447BD4"/>
    <w:rsid w:val="3B5155AB"/>
    <w:rsid w:val="3B8F315C"/>
    <w:rsid w:val="3BBF7944"/>
    <w:rsid w:val="3BD408E0"/>
    <w:rsid w:val="3BDE67C1"/>
    <w:rsid w:val="3C0351DE"/>
    <w:rsid w:val="3C3C0F95"/>
    <w:rsid w:val="3C424BB7"/>
    <w:rsid w:val="3C522566"/>
    <w:rsid w:val="3C634F70"/>
    <w:rsid w:val="3C8927AA"/>
    <w:rsid w:val="3CD64F45"/>
    <w:rsid w:val="3CDD2778"/>
    <w:rsid w:val="3DC96858"/>
    <w:rsid w:val="3DD87C17"/>
    <w:rsid w:val="3E5325C6"/>
    <w:rsid w:val="3E6B3DB3"/>
    <w:rsid w:val="3ECF4342"/>
    <w:rsid w:val="3ED32EAF"/>
    <w:rsid w:val="3EE576C2"/>
    <w:rsid w:val="3F033FEC"/>
    <w:rsid w:val="3F1854AC"/>
    <w:rsid w:val="3F281CA4"/>
    <w:rsid w:val="3F8A0269"/>
    <w:rsid w:val="3FB15BEC"/>
    <w:rsid w:val="404D4884"/>
    <w:rsid w:val="40640737"/>
    <w:rsid w:val="40721429"/>
    <w:rsid w:val="40801F2A"/>
    <w:rsid w:val="40887158"/>
    <w:rsid w:val="41032081"/>
    <w:rsid w:val="41151DB4"/>
    <w:rsid w:val="412C3505"/>
    <w:rsid w:val="41410DFB"/>
    <w:rsid w:val="41714ABE"/>
    <w:rsid w:val="41760AA5"/>
    <w:rsid w:val="4182569C"/>
    <w:rsid w:val="41894C7C"/>
    <w:rsid w:val="419B72BE"/>
    <w:rsid w:val="420B3CA1"/>
    <w:rsid w:val="421914AF"/>
    <w:rsid w:val="42611755"/>
    <w:rsid w:val="4285411E"/>
    <w:rsid w:val="42977A3C"/>
    <w:rsid w:val="42C121F4"/>
    <w:rsid w:val="42DF6B1E"/>
    <w:rsid w:val="433274B6"/>
    <w:rsid w:val="43572B58"/>
    <w:rsid w:val="436C6603"/>
    <w:rsid w:val="436C772C"/>
    <w:rsid w:val="43B92B1D"/>
    <w:rsid w:val="43D1290A"/>
    <w:rsid w:val="43DD536C"/>
    <w:rsid w:val="43E837B0"/>
    <w:rsid w:val="44421112"/>
    <w:rsid w:val="44D75CFE"/>
    <w:rsid w:val="45521829"/>
    <w:rsid w:val="45876085"/>
    <w:rsid w:val="45D65FB6"/>
    <w:rsid w:val="45DC10F2"/>
    <w:rsid w:val="45F043FE"/>
    <w:rsid w:val="460348D1"/>
    <w:rsid w:val="464716F8"/>
    <w:rsid w:val="465C2905"/>
    <w:rsid w:val="4665558C"/>
    <w:rsid w:val="469F45FA"/>
    <w:rsid w:val="46CE4EDF"/>
    <w:rsid w:val="474B4782"/>
    <w:rsid w:val="47F46BC7"/>
    <w:rsid w:val="48384D06"/>
    <w:rsid w:val="485E04E5"/>
    <w:rsid w:val="48A71E8C"/>
    <w:rsid w:val="494D658F"/>
    <w:rsid w:val="49667651"/>
    <w:rsid w:val="49C12AD9"/>
    <w:rsid w:val="49C777B9"/>
    <w:rsid w:val="4A45195C"/>
    <w:rsid w:val="4A4A6F73"/>
    <w:rsid w:val="4A673681"/>
    <w:rsid w:val="4A7D10F6"/>
    <w:rsid w:val="4A8204BA"/>
    <w:rsid w:val="4AB10DA0"/>
    <w:rsid w:val="4AE271AB"/>
    <w:rsid w:val="4B0613F2"/>
    <w:rsid w:val="4B074E64"/>
    <w:rsid w:val="4B217CD3"/>
    <w:rsid w:val="4B221C9D"/>
    <w:rsid w:val="4B3C126D"/>
    <w:rsid w:val="4B46598C"/>
    <w:rsid w:val="4B490FD8"/>
    <w:rsid w:val="4B5C6F5D"/>
    <w:rsid w:val="4BCA036B"/>
    <w:rsid w:val="4BCB5E91"/>
    <w:rsid w:val="4BCD3E94"/>
    <w:rsid w:val="4BDB2578"/>
    <w:rsid w:val="4C2F4672"/>
    <w:rsid w:val="4CA7392D"/>
    <w:rsid w:val="4D106251"/>
    <w:rsid w:val="4D8B3B2A"/>
    <w:rsid w:val="4DAE7818"/>
    <w:rsid w:val="4DEA13C6"/>
    <w:rsid w:val="4E0135BD"/>
    <w:rsid w:val="4EFF657E"/>
    <w:rsid w:val="4F215E37"/>
    <w:rsid w:val="4F4A3571"/>
    <w:rsid w:val="4F9273F2"/>
    <w:rsid w:val="4FB530E0"/>
    <w:rsid w:val="4FD80B7D"/>
    <w:rsid w:val="4FE7163E"/>
    <w:rsid w:val="5060129E"/>
    <w:rsid w:val="506B19F1"/>
    <w:rsid w:val="509B12BB"/>
    <w:rsid w:val="50A05B3E"/>
    <w:rsid w:val="50B500CA"/>
    <w:rsid w:val="50CA4969"/>
    <w:rsid w:val="50E023DF"/>
    <w:rsid w:val="50E27F05"/>
    <w:rsid w:val="50EF43D0"/>
    <w:rsid w:val="51600E2A"/>
    <w:rsid w:val="516C3C72"/>
    <w:rsid w:val="51892AD2"/>
    <w:rsid w:val="51931224"/>
    <w:rsid w:val="52067C23"/>
    <w:rsid w:val="521F0CE5"/>
    <w:rsid w:val="52447DD0"/>
    <w:rsid w:val="52976ACD"/>
    <w:rsid w:val="52ED493F"/>
    <w:rsid w:val="52FB52AE"/>
    <w:rsid w:val="538928BA"/>
    <w:rsid w:val="53C9715A"/>
    <w:rsid w:val="53D02297"/>
    <w:rsid w:val="54D65388"/>
    <w:rsid w:val="55006BAB"/>
    <w:rsid w:val="5539030F"/>
    <w:rsid w:val="55A41C2D"/>
    <w:rsid w:val="55A5225D"/>
    <w:rsid w:val="55AF412E"/>
    <w:rsid w:val="569021B1"/>
    <w:rsid w:val="56D26326"/>
    <w:rsid w:val="56D54068"/>
    <w:rsid w:val="56DA016C"/>
    <w:rsid w:val="57034731"/>
    <w:rsid w:val="570F52BB"/>
    <w:rsid w:val="5748483A"/>
    <w:rsid w:val="5789732C"/>
    <w:rsid w:val="57A23F4A"/>
    <w:rsid w:val="57EF1159"/>
    <w:rsid w:val="57FA3D86"/>
    <w:rsid w:val="58382B00"/>
    <w:rsid w:val="585B64A7"/>
    <w:rsid w:val="58731115"/>
    <w:rsid w:val="58A23664"/>
    <w:rsid w:val="58A75E77"/>
    <w:rsid w:val="58AD4526"/>
    <w:rsid w:val="58BF0B2C"/>
    <w:rsid w:val="58F5279F"/>
    <w:rsid w:val="59084281"/>
    <w:rsid w:val="59282B75"/>
    <w:rsid w:val="595219A0"/>
    <w:rsid w:val="59585B86"/>
    <w:rsid w:val="596F4300"/>
    <w:rsid w:val="598549C6"/>
    <w:rsid w:val="5A2275C4"/>
    <w:rsid w:val="5A8042EB"/>
    <w:rsid w:val="5AA93841"/>
    <w:rsid w:val="5AC62645"/>
    <w:rsid w:val="5AD7215D"/>
    <w:rsid w:val="5B4672E2"/>
    <w:rsid w:val="5B490B80"/>
    <w:rsid w:val="5B5C4D58"/>
    <w:rsid w:val="5BE30FD5"/>
    <w:rsid w:val="5BFD51BD"/>
    <w:rsid w:val="5C2C38A3"/>
    <w:rsid w:val="5C4E2E0B"/>
    <w:rsid w:val="5CA2679A"/>
    <w:rsid w:val="5CAD26FB"/>
    <w:rsid w:val="5D3B51AE"/>
    <w:rsid w:val="5D3C2062"/>
    <w:rsid w:val="5D5C103F"/>
    <w:rsid w:val="5D641CA2"/>
    <w:rsid w:val="5D8365CC"/>
    <w:rsid w:val="5DB9023F"/>
    <w:rsid w:val="5DF70D68"/>
    <w:rsid w:val="5E0A34F5"/>
    <w:rsid w:val="5E0D496B"/>
    <w:rsid w:val="5E2A6A47"/>
    <w:rsid w:val="5E500914"/>
    <w:rsid w:val="5E5B21D1"/>
    <w:rsid w:val="5EC944B2"/>
    <w:rsid w:val="5F3D27AA"/>
    <w:rsid w:val="5F441D8B"/>
    <w:rsid w:val="5F6917F1"/>
    <w:rsid w:val="5F7563E8"/>
    <w:rsid w:val="5FE61094"/>
    <w:rsid w:val="60400434"/>
    <w:rsid w:val="604007A4"/>
    <w:rsid w:val="604F4E8B"/>
    <w:rsid w:val="606D5311"/>
    <w:rsid w:val="60787F3E"/>
    <w:rsid w:val="60981866"/>
    <w:rsid w:val="60D72BFF"/>
    <w:rsid w:val="611A2DA3"/>
    <w:rsid w:val="611C2337"/>
    <w:rsid w:val="61630BEE"/>
    <w:rsid w:val="619F774C"/>
    <w:rsid w:val="61A134C4"/>
    <w:rsid w:val="61B01959"/>
    <w:rsid w:val="61F21F72"/>
    <w:rsid w:val="621A0796"/>
    <w:rsid w:val="621A6DD3"/>
    <w:rsid w:val="6292105F"/>
    <w:rsid w:val="63261923"/>
    <w:rsid w:val="6370314E"/>
    <w:rsid w:val="63780255"/>
    <w:rsid w:val="637846F9"/>
    <w:rsid w:val="63C1676C"/>
    <w:rsid w:val="63D57455"/>
    <w:rsid w:val="644B7717"/>
    <w:rsid w:val="6497295D"/>
    <w:rsid w:val="649C61C5"/>
    <w:rsid w:val="64AA2690"/>
    <w:rsid w:val="64BB489D"/>
    <w:rsid w:val="64DB4F3F"/>
    <w:rsid w:val="64DC3AA6"/>
    <w:rsid w:val="653351C2"/>
    <w:rsid w:val="6546685C"/>
    <w:rsid w:val="65496236"/>
    <w:rsid w:val="65901886"/>
    <w:rsid w:val="65D67B2F"/>
    <w:rsid w:val="66202EDF"/>
    <w:rsid w:val="66B772E6"/>
    <w:rsid w:val="66C57C55"/>
    <w:rsid w:val="66CA526B"/>
    <w:rsid w:val="680B5B3B"/>
    <w:rsid w:val="682E5386"/>
    <w:rsid w:val="68324E76"/>
    <w:rsid w:val="6841155D"/>
    <w:rsid w:val="68466B73"/>
    <w:rsid w:val="68955405"/>
    <w:rsid w:val="689C6793"/>
    <w:rsid w:val="693115D2"/>
    <w:rsid w:val="6942558D"/>
    <w:rsid w:val="69BD2E65"/>
    <w:rsid w:val="69C86735"/>
    <w:rsid w:val="69CC12FA"/>
    <w:rsid w:val="6A582B8E"/>
    <w:rsid w:val="6A7654C6"/>
    <w:rsid w:val="6A9D590B"/>
    <w:rsid w:val="6AA70556"/>
    <w:rsid w:val="6AC256AA"/>
    <w:rsid w:val="6ACF7ADC"/>
    <w:rsid w:val="6AE0505D"/>
    <w:rsid w:val="6AF0753A"/>
    <w:rsid w:val="6B1940CB"/>
    <w:rsid w:val="6B3C75C9"/>
    <w:rsid w:val="6B752912"/>
    <w:rsid w:val="6BB169FA"/>
    <w:rsid w:val="6BDB5825"/>
    <w:rsid w:val="6C07661A"/>
    <w:rsid w:val="6C4E46B2"/>
    <w:rsid w:val="6C6B7C6F"/>
    <w:rsid w:val="6C6D0B73"/>
    <w:rsid w:val="6C735A5D"/>
    <w:rsid w:val="6C920694"/>
    <w:rsid w:val="6CB93DB8"/>
    <w:rsid w:val="6D350F65"/>
    <w:rsid w:val="6DA00F9C"/>
    <w:rsid w:val="6DB56CBE"/>
    <w:rsid w:val="6DC01176"/>
    <w:rsid w:val="6E3B669F"/>
    <w:rsid w:val="6E5518BE"/>
    <w:rsid w:val="6E810905"/>
    <w:rsid w:val="6EA36ACE"/>
    <w:rsid w:val="6EAC0D50"/>
    <w:rsid w:val="6ED613DA"/>
    <w:rsid w:val="6EF2710D"/>
    <w:rsid w:val="6F26325B"/>
    <w:rsid w:val="6F270684"/>
    <w:rsid w:val="6F3032F7"/>
    <w:rsid w:val="6F3C39EE"/>
    <w:rsid w:val="6F4162E7"/>
    <w:rsid w:val="6F4436E1"/>
    <w:rsid w:val="6F4B0F13"/>
    <w:rsid w:val="6F75656A"/>
    <w:rsid w:val="6F8F0E00"/>
    <w:rsid w:val="70125898"/>
    <w:rsid w:val="70205EC3"/>
    <w:rsid w:val="70383246"/>
    <w:rsid w:val="70CE5958"/>
    <w:rsid w:val="70DC0075"/>
    <w:rsid w:val="70E909E4"/>
    <w:rsid w:val="71285068"/>
    <w:rsid w:val="71341C5F"/>
    <w:rsid w:val="716562BC"/>
    <w:rsid w:val="718B3F6C"/>
    <w:rsid w:val="71BF425E"/>
    <w:rsid w:val="720C2BDC"/>
    <w:rsid w:val="72345C8F"/>
    <w:rsid w:val="725D4F25"/>
    <w:rsid w:val="727414F1"/>
    <w:rsid w:val="729F75AC"/>
    <w:rsid w:val="72B1108D"/>
    <w:rsid w:val="72C205A1"/>
    <w:rsid w:val="73320420"/>
    <w:rsid w:val="734168B5"/>
    <w:rsid w:val="73796D39"/>
    <w:rsid w:val="73C53042"/>
    <w:rsid w:val="73C6500C"/>
    <w:rsid w:val="73C90572"/>
    <w:rsid w:val="73EB6821"/>
    <w:rsid w:val="73FD1686"/>
    <w:rsid w:val="745E6FF3"/>
    <w:rsid w:val="74994CCD"/>
    <w:rsid w:val="74B530B7"/>
    <w:rsid w:val="75853FE0"/>
    <w:rsid w:val="75BE41ED"/>
    <w:rsid w:val="766528BB"/>
    <w:rsid w:val="767B0330"/>
    <w:rsid w:val="76C21ABB"/>
    <w:rsid w:val="76CF58C2"/>
    <w:rsid w:val="77130569"/>
    <w:rsid w:val="77613082"/>
    <w:rsid w:val="77A92C7B"/>
    <w:rsid w:val="781A1483"/>
    <w:rsid w:val="78210A63"/>
    <w:rsid w:val="7851759A"/>
    <w:rsid w:val="78DD0E2E"/>
    <w:rsid w:val="794B18B1"/>
    <w:rsid w:val="79960FDD"/>
    <w:rsid w:val="79A90D10"/>
    <w:rsid w:val="79CD2C51"/>
    <w:rsid w:val="79D42231"/>
    <w:rsid w:val="79F75F20"/>
    <w:rsid w:val="7A293BFF"/>
    <w:rsid w:val="7A2A01BC"/>
    <w:rsid w:val="7A835A05"/>
    <w:rsid w:val="7A886B78"/>
    <w:rsid w:val="7ACA4480"/>
    <w:rsid w:val="7B2F4366"/>
    <w:rsid w:val="7B560A24"/>
    <w:rsid w:val="7BB67714"/>
    <w:rsid w:val="7C042B76"/>
    <w:rsid w:val="7C2A325D"/>
    <w:rsid w:val="7C6C2355"/>
    <w:rsid w:val="7CAE58D3"/>
    <w:rsid w:val="7CBC0D5A"/>
    <w:rsid w:val="7D052701"/>
    <w:rsid w:val="7D407BDD"/>
    <w:rsid w:val="7DC4436B"/>
    <w:rsid w:val="7DCE6F97"/>
    <w:rsid w:val="7DD13B93"/>
    <w:rsid w:val="7DEE53A4"/>
    <w:rsid w:val="7E046E5D"/>
    <w:rsid w:val="7E0E1A8A"/>
    <w:rsid w:val="7E5A6505"/>
    <w:rsid w:val="7F062761"/>
    <w:rsid w:val="7F2F56EB"/>
    <w:rsid w:val="7F96354A"/>
    <w:rsid w:val="7F9D7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qFormat="1" w:uiPriority="39" w:semiHidden="0" w:name="toc 9"/>
    <w:lsdException w:qFormat="1" w:unhideWhenUsed="0" w:uiPriority="99"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7">
    <w:name w:val="heading 1"/>
    <w:basedOn w:val="1"/>
    <w:next w:val="1"/>
    <w:link w:val="69"/>
    <w:qFormat/>
    <w:uiPriority w:val="9"/>
    <w:pPr>
      <w:spacing w:line="360" w:lineRule="auto"/>
      <w:jc w:val="center"/>
      <w:outlineLvl w:val="0"/>
    </w:pPr>
    <w:rPr>
      <w:rFonts w:ascii="方正小标宋_GBK" w:hAnsi="仿宋" w:eastAsia="方正小标宋_GBK"/>
      <w:sz w:val="44"/>
      <w:szCs w:val="44"/>
    </w:rPr>
  </w:style>
  <w:style w:type="paragraph" w:styleId="8">
    <w:name w:val="heading 2"/>
    <w:basedOn w:val="1"/>
    <w:next w:val="1"/>
    <w:link w:val="70"/>
    <w:unhideWhenUsed/>
    <w:qFormat/>
    <w:uiPriority w:val="9"/>
    <w:pPr>
      <w:spacing w:line="560" w:lineRule="exact"/>
      <w:ind w:firstLine="640" w:firstLineChars="200"/>
      <w:jc w:val="both"/>
      <w:outlineLvl w:val="1"/>
    </w:pPr>
    <w:rPr>
      <w:rFonts w:ascii="楷体" w:hAnsi="楷体" w:eastAsia="黑体"/>
      <w:sz w:val="32"/>
      <w:szCs w:val="32"/>
    </w:rPr>
  </w:style>
  <w:style w:type="paragraph" w:styleId="9">
    <w:name w:val="heading 3"/>
    <w:basedOn w:val="1"/>
    <w:next w:val="1"/>
    <w:link w:val="71"/>
    <w:unhideWhenUsed/>
    <w:qFormat/>
    <w:uiPriority w:val="9"/>
    <w:pPr>
      <w:spacing w:line="560" w:lineRule="exact"/>
      <w:jc w:val="center"/>
      <w:outlineLvl w:val="2"/>
    </w:pPr>
    <w:rPr>
      <w:rFonts w:ascii="方正小标宋_GBK" w:hAnsi="仿宋" w:eastAsia="方正小标宋_GBK"/>
      <w:sz w:val="36"/>
      <w:szCs w:val="36"/>
    </w:rPr>
  </w:style>
  <w:style w:type="paragraph" w:styleId="10">
    <w:name w:val="heading 4"/>
    <w:basedOn w:val="1"/>
    <w:next w:val="1"/>
    <w:link w:val="72"/>
    <w:semiHidden/>
    <w:unhideWhenUsed/>
    <w:qFormat/>
    <w:uiPriority w:val="9"/>
    <w:pPr>
      <w:keepNext/>
      <w:numPr>
        <w:ilvl w:val="3"/>
        <w:numId w:val="1"/>
      </w:numPr>
      <w:spacing w:before="240" w:after="60"/>
      <w:outlineLvl w:val="3"/>
    </w:pPr>
    <w:rPr>
      <w:rFonts w:cstheme="majorBidi"/>
      <w:b/>
      <w:bCs/>
      <w:sz w:val="28"/>
      <w:szCs w:val="28"/>
    </w:rPr>
  </w:style>
  <w:style w:type="paragraph" w:styleId="11">
    <w:name w:val="heading 5"/>
    <w:basedOn w:val="1"/>
    <w:next w:val="1"/>
    <w:link w:val="73"/>
    <w:semiHidden/>
    <w:unhideWhenUsed/>
    <w:qFormat/>
    <w:uiPriority w:val="9"/>
    <w:pPr>
      <w:numPr>
        <w:ilvl w:val="4"/>
        <w:numId w:val="1"/>
      </w:numPr>
      <w:spacing w:before="240" w:after="60"/>
      <w:outlineLvl w:val="4"/>
    </w:pPr>
    <w:rPr>
      <w:b/>
      <w:bCs/>
      <w:i/>
      <w:iCs/>
      <w:sz w:val="26"/>
      <w:szCs w:val="26"/>
    </w:rPr>
  </w:style>
  <w:style w:type="paragraph" w:styleId="12">
    <w:name w:val="heading 6"/>
    <w:basedOn w:val="1"/>
    <w:next w:val="1"/>
    <w:link w:val="74"/>
    <w:semiHidden/>
    <w:unhideWhenUsed/>
    <w:qFormat/>
    <w:uiPriority w:val="9"/>
    <w:pPr>
      <w:numPr>
        <w:ilvl w:val="5"/>
        <w:numId w:val="1"/>
      </w:numPr>
      <w:spacing w:before="240" w:after="60"/>
      <w:outlineLvl w:val="5"/>
    </w:pPr>
    <w:rPr>
      <w:rFonts w:cstheme="majorBidi"/>
      <w:b/>
      <w:bCs/>
      <w:sz w:val="22"/>
      <w:szCs w:val="22"/>
    </w:rPr>
  </w:style>
  <w:style w:type="paragraph" w:styleId="13">
    <w:name w:val="heading 7"/>
    <w:basedOn w:val="1"/>
    <w:next w:val="1"/>
    <w:link w:val="75"/>
    <w:semiHidden/>
    <w:unhideWhenUsed/>
    <w:qFormat/>
    <w:uiPriority w:val="9"/>
    <w:pPr>
      <w:numPr>
        <w:ilvl w:val="6"/>
        <w:numId w:val="1"/>
      </w:numPr>
      <w:spacing w:before="240" w:after="60"/>
      <w:outlineLvl w:val="6"/>
    </w:pPr>
  </w:style>
  <w:style w:type="paragraph" w:styleId="14">
    <w:name w:val="heading 8"/>
    <w:basedOn w:val="1"/>
    <w:next w:val="1"/>
    <w:link w:val="76"/>
    <w:semiHidden/>
    <w:unhideWhenUsed/>
    <w:qFormat/>
    <w:uiPriority w:val="9"/>
    <w:pPr>
      <w:numPr>
        <w:ilvl w:val="7"/>
        <w:numId w:val="1"/>
      </w:numPr>
      <w:spacing w:before="240" w:after="60"/>
      <w:outlineLvl w:val="7"/>
    </w:pPr>
    <w:rPr>
      <w:rFonts w:cstheme="majorBidi"/>
      <w:i/>
      <w:iCs/>
    </w:rPr>
  </w:style>
  <w:style w:type="paragraph" w:styleId="15">
    <w:name w:val="heading 9"/>
    <w:basedOn w:val="1"/>
    <w:next w:val="1"/>
    <w:link w:val="77"/>
    <w:semiHidden/>
    <w:unhideWhenUsed/>
    <w:qFormat/>
    <w:uiPriority w:val="9"/>
    <w:pPr>
      <w:numPr>
        <w:ilvl w:val="8"/>
        <w:numId w:val="1"/>
      </w:numPr>
      <w:spacing w:before="240" w:after="60"/>
      <w:outlineLvl w:val="8"/>
    </w:pPr>
    <w:rPr>
      <w:rFonts w:asciiTheme="majorHAnsi" w:hAnsiTheme="majorHAnsi" w:eastAsiaTheme="majorEastAsia" w:cstheme="majorBidi"/>
      <w:sz w:val="22"/>
      <w:szCs w:val="22"/>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spacing w:line="300" w:lineRule="auto"/>
      <w:ind w:firstLine="602"/>
    </w:pPr>
  </w:style>
  <w:style w:type="paragraph" w:styleId="3">
    <w:name w:val="Body Text"/>
    <w:basedOn w:val="1"/>
    <w:next w:val="1"/>
    <w:qFormat/>
    <w:uiPriority w:val="99"/>
    <w:rPr>
      <w:sz w:val="20"/>
    </w:rPr>
  </w:style>
  <w:style w:type="paragraph" w:styleId="4">
    <w:name w:val="Body Text First Indent 2"/>
    <w:basedOn w:val="5"/>
    <w:next w:val="6"/>
    <w:qFormat/>
    <w:uiPriority w:val="0"/>
    <w:pPr>
      <w:ind w:firstLine="420"/>
    </w:pPr>
  </w:style>
  <w:style w:type="paragraph" w:styleId="5">
    <w:name w:val="Body Text Indent"/>
    <w:basedOn w:val="1"/>
    <w:next w:val="1"/>
    <w:qFormat/>
    <w:uiPriority w:val="99"/>
    <w:pPr>
      <w:spacing w:after="120"/>
      <w:ind w:left="420" w:leftChars="200"/>
    </w:pPr>
    <w:rPr>
      <w:sz w:val="20"/>
    </w:rPr>
  </w:style>
  <w:style w:type="paragraph" w:styleId="6">
    <w:name w:val="Normal Indent"/>
    <w:basedOn w:val="1"/>
    <w:next w:val="4"/>
    <w:qFormat/>
    <w:uiPriority w:val="99"/>
    <w:pPr>
      <w:ind w:firstLine="420"/>
    </w:pPr>
  </w:style>
  <w:style w:type="paragraph" w:styleId="16">
    <w:name w:val="caption"/>
    <w:basedOn w:val="1"/>
    <w:next w:val="1"/>
    <w:semiHidden/>
    <w:unhideWhenUsed/>
    <w:qFormat/>
    <w:uiPriority w:val="35"/>
    <w:rPr>
      <w:rFonts w:eastAsia="黑体" w:asciiTheme="majorHAnsi" w:hAnsiTheme="majorHAnsi" w:cstheme="majorBidi"/>
      <w:sz w:val="20"/>
      <w:szCs w:val="20"/>
    </w:rPr>
  </w:style>
  <w:style w:type="paragraph" w:styleId="17">
    <w:name w:val="Document Map"/>
    <w:basedOn w:val="1"/>
    <w:link w:val="101"/>
    <w:semiHidden/>
    <w:unhideWhenUsed/>
    <w:qFormat/>
    <w:uiPriority w:val="99"/>
    <w:pPr>
      <w:spacing w:line="400" w:lineRule="exact"/>
      <w:jc w:val="both"/>
    </w:pPr>
    <w:rPr>
      <w:rFonts w:ascii="宋体" w:hAnsi="Calibri Light" w:eastAsia="宋体" w:cs="Calibri Light"/>
      <w:kern w:val="2"/>
      <w:sz w:val="18"/>
      <w:szCs w:val="18"/>
    </w:rPr>
  </w:style>
  <w:style w:type="paragraph" w:styleId="18">
    <w:name w:val="annotation text"/>
    <w:basedOn w:val="1"/>
    <w:link w:val="93"/>
    <w:unhideWhenUsed/>
    <w:qFormat/>
    <w:uiPriority w:val="99"/>
    <w:pPr>
      <w:spacing w:line="400" w:lineRule="exact"/>
    </w:pPr>
    <w:rPr>
      <w:rFonts w:ascii="Calibri Light" w:hAnsi="Calibri Light" w:eastAsia="华文仿宋" w:cs="Calibri Light"/>
      <w:kern w:val="2"/>
      <w:sz w:val="28"/>
      <w:szCs w:val="28"/>
    </w:rPr>
  </w:style>
  <w:style w:type="paragraph" w:styleId="19">
    <w:name w:val="toc 3"/>
    <w:basedOn w:val="1"/>
    <w:next w:val="1"/>
    <w:semiHidden/>
    <w:unhideWhenUsed/>
    <w:qFormat/>
    <w:uiPriority w:val="39"/>
    <w:pPr>
      <w:ind w:left="840" w:leftChars="400"/>
    </w:pPr>
  </w:style>
  <w:style w:type="paragraph" w:styleId="20">
    <w:name w:val="Plain Text"/>
    <w:basedOn w:val="1"/>
    <w:next w:val="1"/>
    <w:qFormat/>
    <w:uiPriority w:val="99"/>
    <w:pPr>
      <w:spacing w:line="324" w:lineRule="auto"/>
    </w:pPr>
    <w:rPr>
      <w:rFonts w:ascii="宋体" w:hAnsi="Courier New"/>
      <w:sz w:val="20"/>
    </w:rPr>
  </w:style>
  <w:style w:type="paragraph" w:styleId="21">
    <w:name w:val="Date"/>
    <w:basedOn w:val="1"/>
    <w:next w:val="1"/>
    <w:link w:val="66"/>
    <w:semiHidden/>
    <w:unhideWhenUsed/>
    <w:qFormat/>
    <w:uiPriority w:val="99"/>
    <w:pPr>
      <w:ind w:left="100" w:leftChars="2500"/>
    </w:pPr>
  </w:style>
  <w:style w:type="paragraph" w:styleId="22">
    <w:name w:val="Body Text Indent 2"/>
    <w:basedOn w:val="1"/>
    <w:unhideWhenUsed/>
    <w:qFormat/>
    <w:uiPriority w:val="0"/>
    <w:pPr>
      <w:spacing w:after="120" w:line="480" w:lineRule="auto"/>
      <w:ind w:left="420" w:leftChars="200"/>
    </w:pPr>
  </w:style>
  <w:style w:type="paragraph" w:styleId="23">
    <w:name w:val="Balloon Text"/>
    <w:basedOn w:val="1"/>
    <w:link w:val="92"/>
    <w:semiHidden/>
    <w:unhideWhenUsed/>
    <w:qFormat/>
    <w:uiPriority w:val="99"/>
    <w:rPr>
      <w:sz w:val="18"/>
      <w:szCs w:val="18"/>
    </w:rPr>
  </w:style>
  <w:style w:type="paragraph" w:styleId="24">
    <w:name w:val="footer"/>
    <w:basedOn w:val="1"/>
    <w:link w:val="68"/>
    <w:unhideWhenUsed/>
    <w:qFormat/>
    <w:uiPriority w:val="99"/>
    <w:pPr>
      <w:tabs>
        <w:tab w:val="center" w:pos="4153"/>
        <w:tab w:val="right" w:pos="8306"/>
      </w:tabs>
      <w:snapToGrid w:val="0"/>
      <w:spacing w:line="240" w:lineRule="atLeast"/>
    </w:pPr>
    <w:rPr>
      <w:sz w:val="18"/>
      <w:szCs w:val="18"/>
    </w:rPr>
  </w:style>
  <w:style w:type="paragraph" w:styleId="25">
    <w:name w:val="header"/>
    <w:basedOn w:val="1"/>
    <w:link w:val="67"/>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6">
    <w:name w:val="toc 1"/>
    <w:basedOn w:val="27"/>
    <w:next w:val="1"/>
    <w:unhideWhenUsed/>
    <w:qFormat/>
    <w:uiPriority w:val="39"/>
    <w:pPr>
      <w:spacing w:beforeLines="100" w:afterLines="100"/>
    </w:pPr>
    <w:rPr>
      <w:rFonts w:ascii="Calibri" w:hAnsi="Calibri" w:eastAsia="宋体"/>
      <w:kern w:val="32"/>
      <w:sz w:val="32"/>
    </w:rPr>
  </w:style>
  <w:style w:type="paragraph" w:styleId="27">
    <w:name w:val="index 1"/>
    <w:basedOn w:val="1"/>
    <w:next w:val="1"/>
    <w:qFormat/>
    <w:uiPriority w:val="0"/>
  </w:style>
  <w:style w:type="paragraph" w:styleId="28">
    <w:name w:val="Subtitle"/>
    <w:basedOn w:val="1"/>
    <w:next w:val="1"/>
    <w:link w:val="79"/>
    <w:qFormat/>
    <w:uiPriority w:val="11"/>
    <w:pPr>
      <w:keepNext/>
      <w:spacing w:beforeLines="50" w:afterLines="50"/>
      <w:jc w:val="center"/>
      <w:outlineLvl w:val="1"/>
    </w:pPr>
    <w:rPr>
      <w:rFonts w:ascii="Calibri" w:hAnsi="Calibri" w:eastAsia="黑体" w:cstheme="majorBidi"/>
      <w:sz w:val="32"/>
    </w:rPr>
  </w:style>
  <w:style w:type="paragraph" w:styleId="29">
    <w:name w:val="toc 2"/>
    <w:basedOn w:val="1"/>
    <w:next w:val="1"/>
    <w:semiHidden/>
    <w:unhideWhenUsed/>
    <w:qFormat/>
    <w:uiPriority w:val="39"/>
    <w:pPr>
      <w:ind w:left="420" w:leftChars="200"/>
    </w:pPr>
  </w:style>
  <w:style w:type="paragraph" w:styleId="30">
    <w:name w:val="toc 9"/>
    <w:basedOn w:val="1"/>
    <w:next w:val="1"/>
    <w:unhideWhenUsed/>
    <w:qFormat/>
    <w:uiPriority w:val="39"/>
    <w:pPr>
      <w:ind w:left="3360" w:leftChars="1600"/>
    </w:pPr>
  </w:style>
  <w:style w:type="paragraph" w:styleId="31">
    <w:name w:val="Normal (Web)"/>
    <w:basedOn w:val="1"/>
    <w:qFormat/>
    <w:uiPriority w:val="99"/>
    <w:pPr>
      <w:spacing w:before="100" w:beforeAutospacing="1" w:after="100" w:afterAutospacing="1"/>
    </w:pPr>
    <w:rPr>
      <w:rFonts w:ascii="宋体" w:hAnsi="宋体" w:cs="宋体"/>
    </w:rPr>
  </w:style>
  <w:style w:type="paragraph" w:styleId="32">
    <w:name w:val="Title"/>
    <w:basedOn w:val="1"/>
    <w:next w:val="1"/>
    <w:link w:val="78"/>
    <w:qFormat/>
    <w:uiPriority w:val="10"/>
    <w:pPr>
      <w:spacing w:before="240" w:after="60"/>
      <w:jc w:val="center"/>
      <w:outlineLvl w:val="0"/>
    </w:pPr>
    <w:rPr>
      <w:rFonts w:asciiTheme="majorHAnsi" w:hAnsiTheme="majorHAnsi" w:eastAsiaTheme="majorEastAsia" w:cstheme="majorBidi"/>
      <w:b/>
      <w:bCs/>
      <w:kern w:val="28"/>
      <w:sz w:val="32"/>
      <w:szCs w:val="32"/>
    </w:rPr>
  </w:style>
  <w:style w:type="paragraph" w:styleId="33">
    <w:name w:val="annotation subject"/>
    <w:basedOn w:val="18"/>
    <w:next w:val="18"/>
    <w:link w:val="100"/>
    <w:semiHidden/>
    <w:unhideWhenUsed/>
    <w:qFormat/>
    <w:uiPriority w:val="99"/>
    <w:rPr>
      <w:b/>
      <w:bCs/>
    </w:rPr>
  </w:style>
  <w:style w:type="table" w:styleId="35">
    <w:name w:val="Table Grid"/>
    <w:basedOn w:val="3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basedOn w:val="36"/>
    <w:qFormat/>
    <w:uiPriority w:val="22"/>
    <w:rPr>
      <w:b/>
      <w:bCs/>
    </w:rPr>
  </w:style>
  <w:style w:type="character" w:styleId="38">
    <w:name w:val="page number"/>
    <w:basedOn w:val="36"/>
    <w:qFormat/>
    <w:uiPriority w:val="0"/>
    <w:rPr>
      <w:rFonts w:ascii="Times New Roman" w:hAnsi="Times New Roman" w:eastAsia="宋体" w:cs="Times New Roman"/>
    </w:rPr>
  </w:style>
  <w:style w:type="character" w:styleId="39">
    <w:name w:val="FollowedHyperlink"/>
    <w:basedOn w:val="36"/>
    <w:semiHidden/>
    <w:unhideWhenUsed/>
    <w:qFormat/>
    <w:uiPriority w:val="99"/>
    <w:rPr>
      <w:color w:val="954F72" w:themeColor="followedHyperlink"/>
      <w:u w:val="single"/>
      <w14:textFill>
        <w14:solidFill>
          <w14:schemeClr w14:val="folHlink"/>
        </w14:solidFill>
      </w14:textFill>
    </w:rPr>
  </w:style>
  <w:style w:type="character" w:styleId="40">
    <w:name w:val="Emphasis"/>
    <w:basedOn w:val="36"/>
    <w:qFormat/>
    <w:uiPriority w:val="20"/>
    <w:rPr>
      <w:rFonts w:asciiTheme="minorHAnsi" w:hAnsiTheme="minorHAnsi"/>
      <w:b/>
      <w:i/>
      <w:iCs/>
    </w:rPr>
  </w:style>
  <w:style w:type="character" w:styleId="41">
    <w:name w:val="Hyperlink"/>
    <w:basedOn w:val="36"/>
    <w:unhideWhenUsed/>
    <w:qFormat/>
    <w:uiPriority w:val="99"/>
    <w:rPr>
      <w:color w:val="0563C1" w:themeColor="hyperlink"/>
      <w:u w:val="single"/>
      <w14:textFill>
        <w14:solidFill>
          <w14:schemeClr w14:val="hlink"/>
        </w14:solidFill>
      </w14:textFill>
    </w:rPr>
  </w:style>
  <w:style w:type="character" w:styleId="42">
    <w:name w:val="annotation reference"/>
    <w:basedOn w:val="36"/>
    <w:semiHidden/>
    <w:unhideWhenUsed/>
    <w:qFormat/>
    <w:uiPriority w:val="99"/>
    <w:rPr>
      <w:sz w:val="21"/>
      <w:szCs w:val="21"/>
    </w:rPr>
  </w:style>
  <w:style w:type="paragraph" w:customStyle="1" w:styleId="43">
    <w:name w:val="列出段落1"/>
    <w:basedOn w:val="1"/>
    <w:qFormat/>
    <w:uiPriority w:val="99"/>
    <w:pPr>
      <w:ind w:firstLine="420" w:firstLineChars="200"/>
    </w:pPr>
    <w:rPr>
      <w:szCs w:val="24"/>
    </w:rPr>
  </w:style>
  <w:style w:type="paragraph" w:customStyle="1" w:styleId="44">
    <w:name w:val="Normal"/>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45">
    <w:name w:val="Normal Indent1"/>
    <w:basedOn w:val="1"/>
    <w:qFormat/>
    <w:uiPriority w:val="99"/>
    <w:pPr>
      <w:ind w:firstLine="880" w:firstLineChars="200"/>
    </w:pPr>
  </w:style>
  <w:style w:type="paragraph" w:customStyle="1" w:styleId="46">
    <w:name w:val="※封面大标题"/>
    <w:basedOn w:val="1"/>
    <w:next w:val="1"/>
    <w:qFormat/>
    <w:uiPriority w:val="0"/>
    <w:pPr>
      <w:jc w:val="center"/>
    </w:pPr>
    <w:rPr>
      <w:rFonts w:ascii="华文中宋" w:hAnsi="华文中宋" w:eastAsia="华文中宋"/>
      <w:sz w:val="96"/>
      <w:szCs w:val="96"/>
    </w:rPr>
  </w:style>
  <w:style w:type="paragraph" w:customStyle="1" w:styleId="47">
    <w:name w:val="※封面题颌"/>
    <w:basedOn w:val="1"/>
    <w:next w:val="1"/>
    <w:qFormat/>
    <w:uiPriority w:val="0"/>
    <w:pPr>
      <w:jc w:val="center"/>
    </w:pPr>
    <w:rPr>
      <w:rFonts w:ascii="Calibri Light" w:hAnsi="Calibri Light" w:eastAsia="华文仿宋"/>
      <w:sz w:val="36"/>
      <w:szCs w:val="36"/>
    </w:rPr>
  </w:style>
  <w:style w:type="paragraph" w:customStyle="1" w:styleId="48">
    <w:name w:val="※封面题眉"/>
    <w:basedOn w:val="1"/>
    <w:next w:val="46"/>
    <w:qFormat/>
    <w:uiPriority w:val="0"/>
    <w:pPr>
      <w:jc w:val="center"/>
    </w:pPr>
    <w:rPr>
      <w:rFonts w:ascii="华文仿宋" w:hAnsi="华文仿宋" w:eastAsia="华文仿宋"/>
      <w:sz w:val="52"/>
      <w:szCs w:val="28"/>
    </w:rPr>
  </w:style>
  <w:style w:type="paragraph" w:customStyle="1" w:styleId="49">
    <w:name w:val="※封面题须"/>
    <w:basedOn w:val="1"/>
    <w:qFormat/>
    <w:uiPriority w:val="0"/>
    <w:pPr>
      <w:ind w:left="850" w:leftChars="350" w:right="250" w:rightChars="250" w:hanging="500" w:hangingChars="500"/>
    </w:pPr>
    <w:rPr>
      <w:rFonts w:ascii="Calibri" w:hAnsi="Calibri" w:eastAsia="宋体"/>
      <w:sz w:val="36"/>
      <w:szCs w:val="36"/>
    </w:rPr>
  </w:style>
  <w:style w:type="paragraph" w:customStyle="1" w:styleId="50">
    <w:name w:val="※目录（次）"/>
    <w:basedOn w:val="1"/>
    <w:qFormat/>
    <w:uiPriority w:val="0"/>
    <w:pPr>
      <w:tabs>
        <w:tab w:val="right" w:leader="hyphen" w:pos="8400"/>
      </w:tabs>
      <w:wordWrap w:val="0"/>
      <w:ind w:left="700" w:leftChars="200" w:right="300" w:rightChars="300" w:hanging="500" w:hangingChars="500"/>
    </w:pPr>
    <w:rPr>
      <w:rFonts w:ascii="Calibri Light" w:hAnsi="Calibri Light" w:eastAsia="华文仿宋"/>
      <w:sz w:val="36"/>
      <w:szCs w:val="28"/>
    </w:rPr>
  </w:style>
  <w:style w:type="paragraph" w:customStyle="1" w:styleId="51">
    <w:name w:val="※目录（主）"/>
    <w:basedOn w:val="1"/>
    <w:qFormat/>
    <w:uiPriority w:val="0"/>
    <w:pPr>
      <w:tabs>
        <w:tab w:val="right" w:leader="hyphen" w:pos="8400"/>
      </w:tabs>
      <w:spacing w:afterLines="100" w:line="400" w:lineRule="exact"/>
      <w:ind w:left="200" w:leftChars="200" w:right="200" w:rightChars="200" w:hanging="499" w:hangingChars="400"/>
    </w:pPr>
    <w:rPr>
      <w:rFonts w:ascii="Calibri Light" w:hAnsi="Calibri Light" w:eastAsia="华文仿宋"/>
      <w:sz w:val="36"/>
      <w:szCs w:val="36"/>
    </w:rPr>
  </w:style>
  <w:style w:type="paragraph" w:customStyle="1" w:styleId="52">
    <w:name w:val="※小标题 1"/>
    <w:basedOn w:val="1"/>
    <w:next w:val="1"/>
    <w:qFormat/>
    <w:uiPriority w:val="0"/>
    <w:pPr>
      <w:wordWrap w:val="0"/>
      <w:spacing w:before="20" w:after="20" w:line="400" w:lineRule="exact"/>
      <w:ind w:firstLine="200" w:firstLineChars="200"/>
      <w:outlineLvl w:val="4"/>
    </w:pPr>
    <w:rPr>
      <w:rFonts w:ascii="Calibri Light" w:hAnsi="Calibri Light" w:eastAsia="华文仿宋"/>
      <w:b/>
      <w:sz w:val="28"/>
      <w:szCs w:val="28"/>
    </w:rPr>
  </w:style>
  <w:style w:type="paragraph" w:customStyle="1" w:styleId="53">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54">
    <w:name w:val="※小标题 一"/>
    <w:basedOn w:val="53"/>
    <w:next w:val="53"/>
    <w:qFormat/>
    <w:uiPriority w:val="0"/>
    <w:pPr>
      <w:spacing w:before="120" w:line="240" w:lineRule="auto"/>
      <w:outlineLvl w:val="2"/>
    </w:pPr>
    <w:rPr>
      <w:b/>
      <w:color w:val="203864" w:themeColor="accent5" w:themeShade="80"/>
      <w:sz w:val="32"/>
    </w:rPr>
  </w:style>
  <w:style w:type="paragraph" w:customStyle="1" w:styleId="55">
    <w:name w:val="※小标题（1）"/>
    <w:basedOn w:val="1"/>
    <w:next w:val="53"/>
    <w:qFormat/>
    <w:uiPriority w:val="0"/>
    <w:pPr>
      <w:wordWrap w:val="0"/>
      <w:spacing w:line="400" w:lineRule="exact"/>
      <w:ind w:firstLine="200" w:firstLineChars="200"/>
      <w:outlineLvl w:val="5"/>
    </w:pPr>
    <w:rPr>
      <w:rFonts w:ascii="Calibri Light" w:hAnsi="Calibri Light" w:eastAsia="华文仿宋"/>
      <w:b/>
      <w:sz w:val="28"/>
      <w:szCs w:val="28"/>
    </w:rPr>
  </w:style>
  <w:style w:type="paragraph" w:customStyle="1" w:styleId="56">
    <w:name w:val="※小标题（一）"/>
    <w:basedOn w:val="1"/>
    <w:next w:val="53"/>
    <w:qFormat/>
    <w:uiPriority w:val="0"/>
    <w:pPr>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57">
    <w:name w:val="※页脚（横屏）"/>
    <w:basedOn w:val="1"/>
    <w:qFormat/>
    <w:uiPriority w:val="0"/>
    <w:pPr>
      <w:tabs>
        <w:tab w:val="center" w:pos="7000"/>
      </w:tabs>
      <w:wordWrap w:val="0"/>
      <w:spacing w:line="240" w:lineRule="atLeast"/>
    </w:pPr>
    <w:rPr>
      <w:rFonts w:ascii="宋体" w:hAnsi="宋体" w:eastAsia="宋体"/>
      <w:sz w:val="18"/>
      <w:szCs w:val="18"/>
    </w:rPr>
  </w:style>
  <w:style w:type="paragraph" w:customStyle="1" w:styleId="58">
    <w:name w:val="※页脚（竖屏）"/>
    <w:basedOn w:val="1"/>
    <w:qFormat/>
    <w:uiPriority w:val="0"/>
    <w:pPr>
      <w:tabs>
        <w:tab w:val="center" w:pos="4536"/>
      </w:tabs>
      <w:wordWrap w:val="0"/>
      <w:spacing w:line="240" w:lineRule="atLeast"/>
    </w:pPr>
    <w:rPr>
      <w:rFonts w:ascii="宋体" w:hAnsi="宋体" w:eastAsia="宋体"/>
      <w:sz w:val="18"/>
      <w:szCs w:val="18"/>
    </w:rPr>
  </w:style>
  <w:style w:type="paragraph" w:customStyle="1" w:styleId="59">
    <w:name w:val="※页眉"/>
    <w:basedOn w:val="53"/>
    <w:qFormat/>
    <w:uiPriority w:val="0"/>
    <w:pPr>
      <w:pBdr>
        <w:bottom w:val="single" w:color="auto" w:sz="4" w:space="1"/>
      </w:pBdr>
      <w:spacing w:line="240" w:lineRule="atLeast"/>
      <w:jc w:val="right"/>
    </w:pPr>
    <w:rPr>
      <w:rFonts w:ascii="宋体" w:hAnsi="宋体" w:eastAsia="宋体"/>
      <w:sz w:val="18"/>
    </w:rPr>
  </w:style>
  <w:style w:type="paragraph" w:customStyle="1" w:styleId="60">
    <w:name w:val="※章节标题（第X章）"/>
    <w:basedOn w:val="1"/>
    <w:qFormat/>
    <w:uiPriority w:val="0"/>
    <w:pPr>
      <w:jc w:val="center"/>
      <w:outlineLvl w:val="0"/>
    </w:pPr>
    <w:rPr>
      <w:rFonts w:ascii="Calibri Light" w:hAnsi="Calibri Light" w:eastAsia="黑体"/>
      <w:sz w:val="36"/>
      <w:szCs w:val="28"/>
    </w:rPr>
  </w:style>
  <w:style w:type="paragraph" w:customStyle="1" w:styleId="61">
    <w:name w:val="※章节标题（第Y部分）"/>
    <w:basedOn w:val="1"/>
    <w:next w:val="1"/>
    <w:qFormat/>
    <w:uiPriority w:val="0"/>
    <w:pPr>
      <w:jc w:val="center"/>
      <w:outlineLvl w:val="1"/>
    </w:pPr>
    <w:rPr>
      <w:rFonts w:ascii="Calibri Light" w:hAnsi="Calibri Light" w:eastAsia="黑体"/>
      <w:color w:val="1F4E79" w:themeColor="accent1" w:themeShade="80"/>
      <w:sz w:val="32"/>
      <w:szCs w:val="36"/>
    </w:rPr>
  </w:style>
  <w:style w:type="paragraph" w:customStyle="1" w:styleId="62">
    <w:name w:val="※章节标题（第Z部分分项）"/>
    <w:basedOn w:val="61"/>
    <w:qFormat/>
    <w:uiPriority w:val="0"/>
    <w:pPr>
      <w:outlineLvl w:val="2"/>
    </w:pPr>
  </w:style>
  <w:style w:type="paragraph" w:customStyle="1" w:styleId="63">
    <w:name w:val="※正文（落款）"/>
    <w:basedOn w:val="1"/>
    <w:qFormat/>
    <w:uiPriority w:val="0"/>
    <w:pPr>
      <w:tabs>
        <w:tab w:val="center" w:pos="6663"/>
      </w:tabs>
      <w:wordWrap w:val="0"/>
      <w:spacing w:line="240" w:lineRule="atLeast"/>
    </w:pPr>
    <w:rPr>
      <w:rFonts w:ascii="Calibri Light" w:hAnsi="Calibri Light" w:eastAsia="华文仿宋"/>
      <w:sz w:val="28"/>
      <w:szCs w:val="28"/>
    </w:rPr>
  </w:style>
  <w:style w:type="paragraph" w:customStyle="1" w:styleId="64">
    <w:name w:val="※正文（缩进2）"/>
    <w:basedOn w:val="53"/>
    <w:qFormat/>
    <w:uiPriority w:val="0"/>
    <w:pPr>
      <w:ind w:firstLine="200" w:firstLineChars="200"/>
    </w:pPr>
  </w:style>
  <w:style w:type="paragraph" w:customStyle="1" w:styleId="65">
    <w:name w:val="※正文（缩进4）"/>
    <w:basedOn w:val="53"/>
    <w:qFormat/>
    <w:uiPriority w:val="0"/>
    <w:pPr>
      <w:ind w:firstLine="400" w:firstLineChars="400"/>
    </w:pPr>
  </w:style>
  <w:style w:type="character" w:customStyle="1" w:styleId="66">
    <w:name w:val="日期 Char"/>
    <w:basedOn w:val="36"/>
    <w:link w:val="21"/>
    <w:semiHidden/>
    <w:qFormat/>
    <w:uiPriority w:val="99"/>
    <w:rPr>
      <w:rFonts w:ascii="华文仿宋" w:hAnsi="华文仿宋" w:eastAsia="华文仿宋"/>
      <w:sz w:val="28"/>
      <w:szCs w:val="28"/>
    </w:rPr>
  </w:style>
  <w:style w:type="character" w:customStyle="1" w:styleId="67">
    <w:name w:val="页眉 Char"/>
    <w:basedOn w:val="36"/>
    <w:link w:val="25"/>
    <w:qFormat/>
    <w:uiPriority w:val="0"/>
    <w:rPr>
      <w:rFonts w:ascii="华文仿宋" w:hAnsi="华文仿宋" w:eastAsia="华文仿宋"/>
      <w:sz w:val="18"/>
      <w:szCs w:val="18"/>
    </w:rPr>
  </w:style>
  <w:style w:type="character" w:customStyle="1" w:styleId="68">
    <w:name w:val="页脚 Char"/>
    <w:basedOn w:val="36"/>
    <w:link w:val="24"/>
    <w:qFormat/>
    <w:uiPriority w:val="99"/>
    <w:rPr>
      <w:rFonts w:ascii="华文仿宋" w:hAnsi="华文仿宋" w:eastAsia="华文仿宋"/>
      <w:sz w:val="18"/>
      <w:szCs w:val="18"/>
    </w:rPr>
  </w:style>
  <w:style w:type="character" w:customStyle="1" w:styleId="69">
    <w:name w:val="标题 1 Char"/>
    <w:basedOn w:val="36"/>
    <w:link w:val="7"/>
    <w:qFormat/>
    <w:uiPriority w:val="9"/>
    <w:rPr>
      <w:rFonts w:ascii="方正小标宋_GBK" w:hAnsi="仿宋" w:eastAsia="方正小标宋_GBK"/>
      <w:sz w:val="44"/>
      <w:szCs w:val="44"/>
    </w:rPr>
  </w:style>
  <w:style w:type="character" w:customStyle="1" w:styleId="70">
    <w:name w:val="标题 2 Char"/>
    <w:basedOn w:val="36"/>
    <w:link w:val="8"/>
    <w:qFormat/>
    <w:uiPriority w:val="9"/>
    <w:rPr>
      <w:rFonts w:ascii="楷体" w:hAnsi="楷体" w:eastAsia="黑体"/>
      <w:sz w:val="32"/>
      <w:szCs w:val="32"/>
    </w:rPr>
  </w:style>
  <w:style w:type="character" w:customStyle="1" w:styleId="71">
    <w:name w:val="标题 3 Char"/>
    <w:basedOn w:val="36"/>
    <w:link w:val="9"/>
    <w:qFormat/>
    <w:uiPriority w:val="9"/>
    <w:rPr>
      <w:rFonts w:ascii="方正小标宋_GBK" w:hAnsi="仿宋" w:eastAsia="方正小标宋_GBK"/>
      <w:sz w:val="36"/>
      <w:szCs w:val="36"/>
    </w:rPr>
  </w:style>
  <w:style w:type="character" w:customStyle="1" w:styleId="72">
    <w:name w:val="标题 4 Char"/>
    <w:basedOn w:val="36"/>
    <w:link w:val="10"/>
    <w:semiHidden/>
    <w:qFormat/>
    <w:uiPriority w:val="9"/>
    <w:rPr>
      <w:rFonts w:cstheme="majorBidi"/>
      <w:b/>
      <w:bCs/>
      <w:sz w:val="28"/>
      <w:szCs w:val="28"/>
    </w:rPr>
  </w:style>
  <w:style w:type="character" w:customStyle="1" w:styleId="73">
    <w:name w:val="标题 5 Char"/>
    <w:basedOn w:val="36"/>
    <w:link w:val="11"/>
    <w:semiHidden/>
    <w:qFormat/>
    <w:uiPriority w:val="9"/>
    <w:rPr>
      <w:b/>
      <w:bCs/>
      <w:i/>
      <w:iCs/>
      <w:sz w:val="26"/>
      <w:szCs w:val="26"/>
    </w:rPr>
  </w:style>
  <w:style w:type="character" w:customStyle="1" w:styleId="74">
    <w:name w:val="标题 6 Char"/>
    <w:basedOn w:val="36"/>
    <w:link w:val="12"/>
    <w:semiHidden/>
    <w:qFormat/>
    <w:uiPriority w:val="9"/>
    <w:rPr>
      <w:rFonts w:cstheme="majorBidi"/>
      <w:b/>
      <w:bCs/>
    </w:rPr>
  </w:style>
  <w:style w:type="character" w:customStyle="1" w:styleId="75">
    <w:name w:val="标题 7 Char"/>
    <w:basedOn w:val="36"/>
    <w:link w:val="13"/>
    <w:semiHidden/>
    <w:qFormat/>
    <w:uiPriority w:val="9"/>
    <w:rPr>
      <w:sz w:val="24"/>
      <w:szCs w:val="24"/>
    </w:rPr>
  </w:style>
  <w:style w:type="character" w:customStyle="1" w:styleId="76">
    <w:name w:val="标题 8 Char"/>
    <w:basedOn w:val="36"/>
    <w:link w:val="14"/>
    <w:semiHidden/>
    <w:qFormat/>
    <w:uiPriority w:val="9"/>
    <w:rPr>
      <w:rFonts w:cstheme="majorBidi"/>
      <w:i/>
      <w:iCs/>
      <w:sz w:val="24"/>
      <w:szCs w:val="24"/>
    </w:rPr>
  </w:style>
  <w:style w:type="character" w:customStyle="1" w:styleId="77">
    <w:name w:val="标题 9 Char"/>
    <w:basedOn w:val="36"/>
    <w:link w:val="15"/>
    <w:semiHidden/>
    <w:qFormat/>
    <w:uiPriority w:val="9"/>
    <w:rPr>
      <w:rFonts w:asciiTheme="majorHAnsi" w:hAnsiTheme="majorHAnsi" w:eastAsiaTheme="majorEastAsia" w:cstheme="majorBidi"/>
    </w:rPr>
  </w:style>
  <w:style w:type="character" w:customStyle="1" w:styleId="78">
    <w:name w:val="标题 Char"/>
    <w:basedOn w:val="36"/>
    <w:link w:val="32"/>
    <w:qFormat/>
    <w:uiPriority w:val="10"/>
    <w:rPr>
      <w:rFonts w:asciiTheme="majorHAnsi" w:hAnsiTheme="majorHAnsi" w:eastAsiaTheme="majorEastAsia" w:cstheme="majorBidi"/>
      <w:b/>
      <w:bCs/>
      <w:kern w:val="28"/>
      <w:sz w:val="32"/>
      <w:szCs w:val="32"/>
    </w:rPr>
  </w:style>
  <w:style w:type="character" w:customStyle="1" w:styleId="79">
    <w:name w:val="副标题 Char"/>
    <w:basedOn w:val="36"/>
    <w:link w:val="28"/>
    <w:qFormat/>
    <w:uiPriority w:val="11"/>
    <w:rPr>
      <w:rFonts w:ascii="Calibri" w:hAnsi="Calibri" w:eastAsia="黑体" w:cstheme="majorBidi"/>
      <w:sz w:val="32"/>
      <w:szCs w:val="24"/>
    </w:rPr>
  </w:style>
  <w:style w:type="paragraph" w:styleId="80">
    <w:name w:val="No Spacing"/>
    <w:basedOn w:val="1"/>
    <w:qFormat/>
    <w:uiPriority w:val="1"/>
    <w:rPr>
      <w:szCs w:val="32"/>
    </w:rPr>
  </w:style>
  <w:style w:type="paragraph" w:styleId="81">
    <w:name w:val="List Paragraph"/>
    <w:basedOn w:val="1"/>
    <w:qFormat/>
    <w:uiPriority w:val="0"/>
    <w:pPr>
      <w:ind w:left="720"/>
      <w:contextualSpacing/>
    </w:pPr>
  </w:style>
  <w:style w:type="paragraph" w:styleId="82">
    <w:name w:val="Quote"/>
    <w:basedOn w:val="1"/>
    <w:next w:val="1"/>
    <w:link w:val="83"/>
    <w:qFormat/>
    <w:uiPriority w:val="29"/>
    <w:rPr>
      <w:i/>
    </w:rPr>
  </w:style>
  <w:style w:type="character" w:customStyle="1" w:styleId="83">
    <w:name w:val="引用 Char"/>
    <w:basedOn w:val="36"/>
    <w:link w:val="82"/>
    <w:qFormat/>
    <w:uiPriority w:val="29"/>
    <w:rPr>
      <w:i/>
      <w:sz w:val="24"/>
      <w:szCs w:val="24"/>
    </w:rPr>
  </w:style>
  <w:style w:type="paragraph" w:styleId="84">
    <w:name w:val="Intense Quote"/>
    <w:basedOn w:val="1"/>
    <w:next w:val="1"/>
    <w:link w:val="85"/>
    <w:qFormat/>
    <w:uiPriority w:val="30"/>
    <w:pPr>
      <w:ind w:left="720" w:right="720"/>
    </w:pPr>
    <w:rPr>
      <w:b/>
      <w:i/>
      <w:szCs w:val="22"/>
    </w:rPr>
  </w:style>
  <w:style w:type="character" w:customStyle="1" w:styleId="85">
    <w:name w:val="明显引用 Char"/>
    <w:basedOn w:val="36"/>
    <w:link w:val="84"/>
    <w:qFormat/>
    <w:uiPriority w:val="30"/>
    <w:rPr>
      <w:b/>
      <w:i/>
      <w:sz w:val="24"/>
    </w:rPr>
  </w:style>
  <w:style w:type="character" w:customStyle="1" w:styleId="86">
    <w:name w:val="不明显强调1"/>
    <w:qFormat/>
    <w:uiPriority w:val="19"/>
    <w:rPr>
      <w:i/>
      <w:color w:val="595959" w:themeColor="text1" w:themeTint="A6"/>
      <w14:textFill>
        <w14:solidFill>
          <w14:schemeClr w14:val="tx1">
            <w14:lumMod w14:val="65000"/>
            <w14:lumOff w14:val="35000"/>
          </w14:schemeClr>
        </w14:solidFill>
      </w14:textFill>
    </w:rPr>
  </w:style>
  <w:style w:type="character" w:customStyle="1" w:styleId="87">
    <w:name w:val="明显强调1"/>
    <w:basedOn w:val="36"/>
    <w:qFormat/>
    <w:uiPriority w:val="21"/>
    <w:rPr>
      <w:b/>
      <w:i/>
      <w:sz w:val="24"/>
      <w:szCs w:val="24"/>
      <w:u w:val="single"/>
    </w:rPr>
  </w:style>
  <w:style w:type="character" w:customStyle="1" w:styleId="88">
    <w:name w:val="不明显参考1"/>
    <w:basedOn w:val="36"/>
    <w:qFormat/>
    <w:uiPriority w:val="31"/>
    <w:rPr>
      <w:sz w:val="24"/>
      <w:szCs w:val="24"/>
      <w:u w:val="single"/>
    </w:rPr>
  </w:style>
  <w:style w:type="character" w:customStyle="1" w:styleId="89">
    <w:name w:val="明显参考1"/>
    <w:basedOn w:val="36"/>
    <w:qFormat/>
    <w:uiPriority w:val="32"/>
    <w:rPr>
      <w:b/>
      <w:sz w:val="24"/>
      <w:u w:val="single"/>
    </w:rPr>
  </w:style>
  <w:style w:type="character" w:customStyle="1" w:styleId="90">
    <w:name w:val="书籍标题1"/>
    <w:basedOn w:val="36"/>
    <w:qFormat/>
    <w:uiPriority w:val="33"/>
    <w:rPr>
      <w:rFonts w:asciiTheme="majorHAnsi" w:hAnsiTheme="majorHAnsi" w:eastAsiaTheme="majorEastAsia"/>
      <w:b/>
      <w:i/>
      <w:sz w:val="24"/>
      <w:szCs w:val="24"/>
    </w:rPr>
  </w:style>
  <w:style w:type="paragraph" w:customStyle="1" w:styleId="91">
    <w:name w:val="TOC 标题1"/>
    <w:basedOn w:val="7"/>
    <w:next w:val="1"/>
    <w:semiHidden/>
    <w:unhideWhenUsed/>
    <w:qFormat/>
    <w:uiPriority w:val="39"/>
    <w:pPr>
      <w:outlineLvl w:val="9"/>
    </w:pPr>
  </w:style>
  <w:style w:type="character" w:customStyle="1" w:styleId="92">
    <w:name w:val="批注框文本 Char"/>
    <w:basedOn w:val="36"/>
    <w:link w:val="23"/>
    <w:semiHidden/>
    <w:qFormat/>
    <w:uiPriority w:val="99"/>
    <w:rPr>
      <w:sz w:val="18"/>
      <w:szCs w:val="18"/>
    </w:rPr>
  </w:style>
  <w:style w:type="character" w:customStyle="1" w:styleId="93">
    <w:name w:val="批注文字 Char"/>
    <w:basedOn w:val="36"/>
    <w:link w:val="18"/>
    <w:qFormat/>
    <w:uiPriority w:val="99"/>
    <w:rPr>
      <w:rFonts w:ascii="Calibri Light" w:hAnsi="Calibri Light" w:eastAsia="华文仿宋" w:cs="Calibri Light"/>
      <w:kern w:val="2"/>
      <w:sz w:val="28"/>
      <w:szCs w:val="28"/>
    </w:rPr>
  </w:style>
  <w:style w:type="paragraph" w:customStyle="1" w:styleId="94">
    <w:name w:val="@正文"/>
    <w:basedOn w:val="53"/>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95">
    <w:name w:val="@一级小标题"/>
    <w:basedOn w:val="1"/>
    <w:next w:val="94"/>
    <w:qFormat/>
    <w:uiPriority w:val="0"/>
    <w:pPr>
      <w:keepNext/>
      <w:spacing w:before="120" w:after="60"/>
      <w:outlineLvl w:val="2"/>
    </w:pPr>
    <w:rPr>
      <w:rFonts w:ascii="Calibri" w:hAnsi="Calibri" w:eastAsia="黑体"/>
      <w:kern w:val="28"/>
      <w:sz w:val="28"/>
    </w:rPr>
  </w:style>
  <w:style w:type="paragraph" w:customStyle="1" w:styleId="96">
    <w:name w:val="@标题"/>
    <w:basedOn w:val="1"/>
    <w:next w:val="94"/>
    <w:qFormat/>
    <w:uiPriority w:val="0"/>
    <w:pPr>
      <w:keepNext/>
      <w:spacing w:beforeLines="50" w:afterLines="50"/>
      <w:jc w:val="center"/>
      <w:outlineLvl w:val="1"/>
    </w:pPr>
    <w:rPr>
      <w:rFonts w:ascii="Calibri" w:hAnsi="Calibri" w:eastAsia="黑体"/>
      <w:kern w:val="32"/>
      <w:sz w:val="32"/>
    </w:rPr>
  </w:style>
  <w:style w:type="table" w:customStyle="1" w:styleId="97">
    <w:name w:val="网格型1"/>
    <w:basedOn w:val="34"/>
    <w:qFormat/>
    <w:uiPriority w:val="39"/>
    <w:pPr>
      <w:ind w:firstLine="200"/>
    </w:pPr>
    <w:rPr>
      <w:rFonts w:ascii="Calibri Light" w:hAnsi="Calibri Light" w:eastAsia="华文仿宋"/>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8">
    <w:name w:val="页眉 Char1"/>
    <w:basedOn w:val="36"/>
    <w:semiHidden/>
    <w:qFormat/>
    <w:uiPriority w:val="99"/>
    <w:rPr>
      <w:rFonts w:cs="Calibri Light"/>
      <w:sz w:val="18"/>
      <w:szCs w:val="18"/>
    </w:rPr>
  </w:style>
  <w:style w:type="character" w:customStyle="1" w:styleId="99">
    <w:name w:val="页脚 Char1"/>
    <w:basedOn w:val="36"/>
    <w:semiHidden/>
    <w:qFormat/>
    <w:uiPriority w:val="99"/>
    <w:rPr>
      <w:rFonts w:cs="Calibri Light"/>
      <w:sz w:val="18"/>
      <w:szCs w:val="18"/>
    </w:rPr>
  </w:style>
  <w:style w:type="character" w:customStyle="1" w:styleId="100">
    <w:name w:val="批注主题 Char"/>
    <w:basedOn w:val="93"/>
    <w:link w:val="33"/>
    <w:semiHidden/>
    <w:qFormat/>
    <w:uiPriority w:val="99"/>
    <w:rPr>
      <w:rFonts w:ascii="Calibri Light" w:hAnsi="Calibri Light" w:eastAsia="华文仿宋" w:cs="Calibri Light"/>
      <w:b/>
      <w:bCs/>
      <w:kern w:val="2"/>
      <w:sz w:val="28"/>
      <w:szCs w:val="28"/>
    </w:rPr>
  </w:style>
  <w:style w:type="character" w:customStyle="1" w:styleId="101">
    <w:name w:val="文档结构图 Char"/>
    <w:basedOn w:val="36"/>
    <w:link w:val="17"/>
    <w:semiHidden/>
    <w:qFormat/>
    <w:uiPriority w:val="99"/>
    <w:rPr>
      <w:rFonts w:ascii="宋体" w:hAnsi="Calibri Light" w:eastAsia="宋体" w:cs="Calibri Light"/>
      <w:kern w:val="2"/>
      <w:sz w:val="18"/>
      <w:szCs w:val="18"/>
    </w:rPr>
  </w:style>
  <w:style w:type="character" w:styleId="102">
    <w:name w:val="Placeholder Text"/>
    <w:basedOn w:val="36"/>
    <w:semiHidden/>
    <w:qFormat/>
    <w:uiPriority w:val="99"/>
    <w:rPr>
      <w:color w:val="808080"/>
    </w:rPr>
  </w:style>
  <w:style w:type="character" w:customStyle="1" w:styleId="103">
    <w:name w:val="未处理的提及1"/>
    <w:basedOn w:val="36"/>
    <w:semiHidden/>
    <w:unhideWhenUsed/>
    <w:qFormat/>
    <w:uiPriority w:val="99"/>
    <w:rPr>
      <w:color w:val="605E5C"/>
      <w:shd w:val="clear" w:color="auto" w:fill="E1DFDD"/>
    </w:rPr>
  </w:style>
  <w:style w:type="paragraph" w:customStyle="1" w:styleId="104">
    <w:name w:val="样式1"/>
    <w:basedOn w:val="9"/>
    <w:link w:val="106"/>
    <w:qFormat/>
    <w:uiPriority w:val="0"/>
    <w:pPr>
      <w:jc w:val="left"/>
    </w:pPr>
    <w:rPr>
      <w:rFonts w:eastAsia="楷体"/>
      <w:sz w:val="32"/>
    </w:rPr>
  </w:style>
  <w:style w:type="paragraph" w:customStyle="1" w:styleId="105">
    <w:name w:val="样式2"/>
    <w:basedOn w:val="96"/>
    <w:link w:val="108"/>
    <w:qFormat/>
    <w:uiPriority w:val="0"/>
    <w:pPr>
      <w:spacing w:line="560" w:lineRule="exact"/>
      <w:ind w:firstLine="643" w:firstLineChars="200"/>
      <w:jc w:val="both"/>
    </w:pPr>
    <w:rPr>
      <w:rFonts w:ascii="仿宋_GB2312" w:hAnsi="仿宋" w:eastAsia="仿宋_GB2312"/>
      <w:b/>
      <w:bCs/>
      <w:szCs w:val="32"/>
    </w:rPr>
  </w:style>
  <w:style w:type="character" w:customStyle="1" w:styleId="106">
    <w:name w:val="样式1 字符"/>
    <w:basedOn w:val="70"/>
    <w:link w:val="104"/>
    <w:qFormat/>
    <w:uiPriority w:val="0"/>
    <w:rPr>
      <w:rFonts w:ascii="方正小标宋_GBK" w:hAnsi="仿宋" w:eastAsia="楷体"/>
      <w:sz w:val="32"/>
      <w:szCs w:val="36"/>
    </w:rPr>
  </w:style>
  <w:style w:type="paragraph" w:customStyle="1" w:styleId="107">
    <w:name w:val="样式3"/>
    <w:basedOn w:val="1"/>
    <w:link w:val="109"/>
    <w:qFormat/>
    <w:uiPriority w:val="0"/>
    <w:pPr>
      <w:spacing w:line="560" w:lineRule="exact"/>
      <w:jc w:val="center"/>
    </w:pPr>
    <w:rPr>
      <w:rFonts w:ascii="方正小标宋_GBK" w:hAnsi="仿宋" w:eastAsia="方正小标宋_GBK"/>
      <w:sz w:val="36"/>
      <w:szCs w:val="36"/>
    </w:rPr>
  </w:style>
  <w:style w:type="character" w:customStyle="1" w:styleId="108">
    <w:name w:val="样式2 字符"/>
    <w:basedOn w:val="36"/>
    <w:link w:val="105"/>
    <w:qFormat/>
    <w:uiPriority w:val="0"/>
    <w:rPr>
      <w:rFonts w:ascii="仿宋_GB2312" w:hAnsi="仿宋" w:eastAsia="仿宋_GB2312"/>
      <w:b/>
      <w:bCs/>
      <w:kern w:val="32"/>
      <w:sz w:val="32"/>
      <w:szCs w:val="32"/>
    </w:rPr>
  </w:style>
  <w:style w:type="character" w:customStyle="1" w:styleId="109">
    <w:name w:val="样式3 字符"/>
    <w:basedOn w:val="36"/>
    <w:link w:val="107"/>
    <w:qFormat/>
    <w:uiPriority w:val="0"/>
    <w:rPr>
      <w:rFonts w:ascii="方正小标宋_GBK" w:hAnsi="仿宋" w:eastAsia="方正小标宋_GBK"/>
      <w:sz w:val="36"/>
      <w:szCs w:val="36"/>
    </w:rPr>
  </w:style>
  <w:style w:type="paragraph" w:customStyle="1" w:styleId="110">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111">
    <w:name w:val="Table Paragraph"/>
    <w:basedOn w:val="1"/>
    <w:qFormat/>
    <w:uiPriority w:val="1"/>
  </w:style>
  <w:style w:type="paragraph" w:customStyle="1" w:styleId="112">
    <w:name w:val="纯文本1"/>
    <w:basedOn w:val="1"/>
    <w:qFormat/>
    <w:uiPriority w:val="0"/>
    <w:rPr>
      <w:rFonts w:ascii="宋体" w:hAnsi="Courier New" w:eastAsia="宋体"/>
      <w:szCs w:val="22"/>
    </w:rPr>
  </w:style>
  <w:style w:type="paragraph" w:customStyle="1" w:styleId="113">
    <w:name w:val="Default"/>
    <w:qFormat/>
    <w:uiPriority w:val="0"/>
    <w:pPr>
      <w:widowControl w:val="0"/>
      <w:autoSpaceDE w:val="0"/>
      <w:autoSpaceDN w:val="0"/>
      <w:adjustRightInd w:val="0"/>
    </w:pPr>
    <w:rPr>
      <w:rFonts w:ascii="AGYXIQ+Frutiger-Cn" w:hAnsi="Times New Roman" w:eastAsia="AGYXIQ+Frutiger-Cn" w:cs="AGYXIQ+Frutiger-Cn"/>
      <w:color w:val="000000"/>
      <w:sz w:val="24"/>
      <w:szCs w:val="24"/>
      <w:lang w:val="en-US" w:eastAsia="zh-CN" w:bidi="ar-SA"/>
    </w:rPr>
  </w:style>
  <w:style w:type="paragraph" w:customStyle="1" w:styleId="114">
    <w:name w:val="WPSOffice手动目录 1"/>
    <w:qFormat/>
    <w:uiPriority w:val="0"/>
    <w:rPr>
      <w:rFonts w:ascii="Times New Roman" w:hAnsi="Times New Roman" w:eastAsia="宋体" w:cs="Times New Roman"/>
      <w:lang w:val="en-US" w:eastAsia="zh-CN" w:bidi="ar-SA"/>
    </w:rPr>
  </w:style>
  <w:style w:type="paragraph" w:customStyle="1" w:styleId="11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1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117">
    <w:name w:val="列出段落4"/>
    <w:basedOn w:val="1"/>
    <w:qFormat/>
    <w:uiPriority w:val="34"/>
    <w:pPr>
      <w:ind w:firstLine="420" w:firstLineChars="200"/>
    </w:pPr>
    <w:rPr>
      <w:rFonts w:cstheme="minorBidi"/>
      <w:szCs w:val="22"/>
    </w:rPr>
  </w:style>
  <w:style w:type="paragraph" w:customStyle="1" w:styleId="118">
    <w:name w:val="A正文"/>
    <w:basedOn w:val="1"/>
    <w:qFormat/>
    <w:uiPriority w:val="0"/>
    <w:pPr>
      <w:snapToGrid w:val="0"/>
      <w:spacing w:line="360" w:lineRule="auto"/>
      <w:ind w:firstLine="200" w:firstLineChars="200"/>
    </w:pPr>
    <w:rPr>
      <w:rFonts w:ascii="Times New Roman" w:hAnsi="Times New Roman"/>
      <w:lang w:eastAsia="en-US" w:bidi="en-US"/>
    </w:rPr>
  </w:style>
  <w:style w:type="paragraph" w:customStyle="1" w:styleId="119">
    <w:name w:val="缩进"/>
    <w:basedOn w:val="1"/>
    <w:qFormat/>
    <w:uiPriority w:val="0"/>
    <w:pPr>
      <w:spacing w:line="360" w:lineRule="auto"/>
      <w:ind w:firstLine="480" w:firstLineChars="200"/>
      <w:jc w:val="left"/>
    </w:pPr>
    <w:rPr>
      <w:rFonts w:ascii="Calibri" w:hAnsi="Calibri"/>
      <w:sz w:val="24"/>
      <w:szCs w:val="21"/>
    </w:rPr>
  </w:style>
  <w:style w:type="character" w:customStyle="1" w:styleId="120">
    <w:name w:val="font71"/>
    <w:basedOn w:val="36"/>
    <w:qFormat/>
    <w:uiPriority w:val="0"/>
    <w:rPr>
      <w:rFonts w:hint="default" w:ascii="Calibri" w:hAnsi="Calibri" w:cs="Calibri"/>
      <w:color w:val="000000"/>
      <w:sz w:val="24"/>
      <w:szCs w:val="24"/>
      <w:u w:val="none"/>
    </w:rPr>
  </w:style>
  <w:style w:type="character" w:customStyle="1" w:styleId="121">
    <w:name w:val="font81"/>
    <w:basedOn w:val="36"/>
    <w:qFormat/>
    <w:uiPriority w:val="0"/>
    <w:rPr>
      <w:rFonts w:hint="default"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243379-8C71-4711-8277-069EA2C105F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80</Pages>
  <Words>34012</Words>
  <Characters>37137</Characters>
  <Lines>568</Lines>
  <Paragraphs>160</Paragraphs>
  <TotalTime>1</TotalTime>
  <ScaleCrop>false</ScaleCrop>
  <LinksUpToDate>false</LinksUpToDate>
  <CharactersWithSpaces>38629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2022-07-21T02:03:00Z</dcterms:created>
  <dc:creator>lenovo</dc:creator>
  <cp:lastModifiedBy>Administrator</cp:lastModifiedBy>
  <cp:lastPrinted>2022-06-02T03:00:00Z</cp:lastPrinted>
  <dcterms:modified xsi:type="dcterms:W3CDTF">2023-03-09T02:51:49Z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83CBB1EA4D9047D69E7637B396E6B504</vt:lpwstr>
  </property>
</Properties>
</file>