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auto"/>
          <w:sz w:val="32"/>
          <w:szCs w:val="40"/>
          <w:highlight w:val="none"/>
        </w:rPr>
      </w:pPr>
      <w:r>
        <w:rPr>
          <w:rFonts w:hint="eastAsia" w:asciiTheme="minorEastAsia" w:hAnsiTheme="minorEastAsia" w:cstheme="minorEastAsia"/>
          <w:b/>
          <w:bCs/>
          <w:color w:val="auto"/>
          <w:sz w:val="32"/>
          <w:szCs w:val="40"/>
          <w:highlight w:val="none"/>
        </w:rPr>
        <w:t>政府采购需求书（服务类）</w:t>
      </w:r>
    </w:p>
    <w:p>
      <w:pPr>
        <w:rPr>
          <w:rFonts w:asciiTheme="minorEastAsia" w:hAnsiTheme="minorEastAsia" w:cstheme="minorEastAsia"/>
          <w:color w:val="auto"/>
          <w:sz w:val="21"/>
          <w:szCs w:val="21"/>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710"/>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5"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序号</w:t>
            </w:r>
          </w:p>
        </w:tc>
        <w:tc>
          <w:tcPr>
            <w:tcW w:w="1710"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关键事项</w:t>
            </w:r>
          </w:p>
        </w:tc>
        <w:tc>
          <w:tcPr>
            <w:tcW w:w="5907"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05"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w:t>
            </w:r>
          </w:p>
        </w:tc>
        <w:tc>
          <w:tcPr>
            <w:tcW w:w="17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采购预算</w:t>
            </w:r>
          </w:p>
        </w:tc>
        <w:tc>
          <w:tcPr>
            <w:tcW w:w="590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22406330</w:t>
            </w:r>
            <w:r>
              <w:rPr>
                <w:rFonts w:hint="eastAsia" w:asciiTheme="minorEastAsia" w:hAnsiTheme="minorEastAsia" w:cstheme="minorEastAsia"/>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仅指与本次采购标的直接相关的费用。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w:t>
            </w:r>
          </w:p>
        </w:tc>
        <w:tc>
          <w:tcPr>
            <w:tcW w:w="17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最高限价</w:t>
            </w:r>
          </w:p>
        </w:tc>
        <w:tc>
          <w:tcPr>
            <w:tcW w:w="590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22272802</w:t>
            </w:r>
            <w:r>
              <w:rPr>
                <w:rFonts w:hint="eastAsia" w:asciiTheme="minorEastAsia" w:hAnsiTheme="minorEastAsia" w:cstheme="minorEastAsia"/>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项目性质</w:t>
            </w:r>
          </w:p>
        </w:tc>
        <w:tc>
          <w:tcPr>
            <w:tcW w:w="590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bCs/>
                <w:color w:val="auto"/>
                <w:kern w:val="0"/>
                <w:sz w:val="21"/>
                <w:szCs w:val="21"/>
                <w:highlight w:val="none"/>
              </w:rPr>
            </w:pPr>
            <w:r>
              <w:rPr>
                <w:rFonts w:hint="eastAsia" w:asciiTheme="minorEastAsia" w:hAnsiTheme="minorEastAsia" w:cstheme="minorEastAsia"/>
                <w:bCs/>
                <w:color w:val="auto"/>
                <w:kern w:val="0"/>
                <w:sz w:val="21"/>
                <w:szCs w:val="21"/>
                <w:highlight w:val="none"/>
              </w:rPr>
              <w:fldChar w:fldCharType="begin"/>
            </w:r>
            <w:r>
              <w:rPr>
                <w:rFonts w:hint="eastAsia" w:asciiTheme="minorEastAsia" w:hAnsiTheme="minorEastAsia" w:cstheme="minorEastAsia"/>
                <w:bCs/>
                <w:color w:val="auto"/>
                <w:kern w:val="0"/>
                <w:sz w:val="21"/>
                <w:szCs w:val="21"/>
                <w:highlight w:val="none"/>
              </w:rPr>
              <w:instrText xml:space="preserve"> eq \o\ac(□)</w:instrText>
            </w:r>
            <w:r>
              <w:rPr>
                <w:rFonts w:hint="eastAsia" w:asciiTheme="minorEastAsia" w:hAnsiTheme="minorEastAsia" w:cstheme="minorEastAsia"/>
                <w:bCs/>
                <w:color w:val="auto"/>
                <w:kern w:val="0"/>
                <w:sz w:val="21"/>
                <w:szCs w:val="21"/>
                <w:highlight w:val="none"/>
              </w:rPr>
              <w:fldChar w:fldCharType="end"/>
            </w:r>
            <w:r>
              <w:rPr>
                <w:rFonts w:hint="eastAsia" w:asciiTheme="minorEastAsia" w:hAnsiTheme="minorEastAsia" w:cstheme="minorEastAsia"/>
                <w:bCs/>
                <w:color w:val="auto"/>
                <w:kern w:val="0"/>
                <w:sz w:val="21"/>
                <w:szCs w:val="21"/>
                <w:highlight w:val="none"/>
              </w:rPr>
              <w:t>专门面向中小企业采购</w:t>
            </w:r>
          </w:p>
          <w:p>
            <w:pPr>
              <w:keepNext w:val="0"/>
              <w:keepLines w:val="0"/>
              <w:pageBreakBefore w:val="0"/>
              <w:widowControl w:val="0"/>
              <w:kinsoku/>
              <w:wordWrap/>
              <w:overflowPunct/>
              <w:topLinePunct w:val="0"/>
              <w:autoSpaceDE/>
              <w:autoSpaceDN/>
              <w:bidi w:val="0"/>
              <w:adjustRightInd/>
              <w:snapToGrid/>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jc w:val="center"/>
              <w:rPr>
                <w:rFonts w:asciiTheme="minorEastAsia" w:hAnsiTheme="minorEastAsia" w:cstheme="minorEastAsia"/>
                <w:color w:val="auto"/>
                <w:sz w:val="21"/>
                <w:szCs w:val="21"/>
                <w:highlight w:val="none"/>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cstheme="minorEastAsia"/>
                <w:color w:val="auto"/>
                <w:sz w:val="21"/>
                <w:szCs w:val="21"/>
                <w:highlight w:val="none"/>
              </w:rPr>
            </w:pPr>
          </w:p>
        </w:tc>
        <w:tc>
          <w:tcPr>
            <w:tcW w:w="590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bCs/>
                <w:color w:val="auto"/>
                <w:kern w:val="0"/>
                <w:sz w:val="21"/>
                <w:szCs w:val="21"/>
                <w:highlight w:val="none"/>
              </w:rPr>
            </w:pPr>
            <w:r>
              <w:rPr>
                <w:rFonts w:hint="eastAsia" w:asciiTheme="minorEastAsia" w:hAnsiTheme="minorEastAsia" w:cstheme="minorEastAsia"/>
                <w:bCs/>
                <w:color w:val="auto"/>
                <w:kern w:val="0"/>
                <w:sz w:val="21"/>
                <w:szCs w:val="21"/>
                <w:highlight w:val="none"/>
              </w:rPr>
              <w:fldChar w:fldCharType="begin"/>
            </w:r>
            <w:r>
              <w:rPr>
                <w:rFonts w:hint="eastAsia" w:asciiTheme="minorEastAsia" w:hAnsiTheme="minorEastAsia" w:cstheme="minorEastAsia"/>
                <w:bCs/>
                <w:color w:val="auto"/>
                <w:kern w:val="0"/>
                <w:sz w:val="21"/>
                <w:szCs w:val="21"/>
                <w:highlight w:val="none"/>
              </w:rPr>
              <w:instrText xml:space="preserve"> eq \o\ac(□</w:instrText>
            </w:r>
            <w:r>
              <w:rPr>
                <w:rFonts w:hint="eastAsia" w:asciiTheme="minorEastAsia" w:hAnsiTheme="minorEastAsia" w:cstheme="minorEastAsia"/>
                <w:bCs/>
                <w:color w:val="auto"/>
                <w:kern w:val="0"/>
                <w:sz w:val="21"/>
                <w:szCs w:val="21"/>
                <w:highlight w:val="none"/>
                <w:lang w:eastAsia="zh-CN"/>
              </w:rPr>
              <w:instrText xml:space="preserve">,</w:instrText>
            </w:r>
            <w:r>
              <w:rPr>
                <w:rFonts w:hint="eastAsia" w:asciiTheme="minorEastAsia" w:hAnsiTheme="minorEastAsia" w:cstheme="minorEastAsia"/>
                <w:bCs/>
                <w:color w:val="auto"/>
                <w:kern w:val="0"/>
                <w:position w:val="2"/>
                <w:sz w:val="14"/>
                <w:szCs w:val="21"/>
                <w:highlight w:val="none"/>
                <w:lang w:eastAsia="zh-CN"/>
              </w:rPr>
              <w:instrText xml:space="preserve">√</w:instrText>
            </w:r>
            <w:r>
              <w:rPr>
                <w:rFonts w:hint="eastAsia" w:asciiTheme="minorEastAsia" w:hAnsiTheme="minorEastAsia" w:cstheme="minorEastAsia"/>
                <w:bCs/>
                <w:color w:val="auto"/>
                <w:kern w:val="0"/>
                <w:sz w:val="21"/>
                <w:szCs w:val="21"/>
                <w:highlight w:val="none"/>
              </w:rPr>
              <w:instrText xml:space="preserve">)</w:instrText>
            </w:r>
            <w:r>
              <w:rPr>
                <w:rFonts w:hint="eastAsia" w:asciiTheme="minorEastAsia" w:hAnsiTheme="minorEastAsia" w:cstheme="minorEastAsia"/>
                <w:bCs/>
                <w:color w:val="auto"/>
                <w:kern w:val="0"/>
                <w:sz w:val="21"/>
                <w:szCs w:val="21"/>
                <w:highlight w:val="none"/>
              </w:rPr>
              <w:fldChar w:fldCharType="end"/>
            </w:r>
            <w:r>
              <w:rPr>
                <w:rFonts w:hint="eastAsia" w:asciiTheme="minorEastAsia" w:hAnsiTheme="minorEastAsia" w:cstheme="minorEastAsia"/>
                <w:bCs/>
                <w:color w:val="auto"/>
                <w:kern w:val="0"/>
                <w:sz w:val="21"/>
                <w:szCs w:val="21"/>
                <w:highlight w:val="none"/>
              </w:rPr>
              <w:t xml:space="preserve"> 非专门面向中小企业采购</w:t>
            </w:r>
          </w:p>
          <w:p>
            <w:pPr>
              <w:keepNext w:val="0"/>
              <w:keepLines w:val="0"/>
              <w:pageBreakBefore w:val="0"/>
              <w:widowControl w:val="0"/>
              <w:kinsoku/>
              <w:wordWrap/>
              <w:overflowPunct/>
              <w:topLinePunct w:val="0"/>
              <w:autoSpaceDE/>
              <w:autoSpaceDN/>
              <w:bidi w:val="0"/>
              <w:adjustRightInd/>
              <w:snapToGrid/>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对符合《政府采购促进中小企业发展管理办法》（财库〔2020〕 46 号）规定的小微企业（监狱企业视同小型、微型企业）的报价给予</w:t>
            </w:r>
            <w:r>
              <w:rPr>
                <w:rFonts w:hint="eastAsia" w:asciiTheme="minorEastAsia" w:hAnsiTheme="minorEastAsia" w:cstheme="minorEastAsia"/>
                <w:color w:val="auto"/>
                <w:sz w:val="21"/>
                <w:szCs w:val="21"/>
                <w:highlight w:val="none"/>
                <w:u w:val="single"/>
                <w:lang w:val="en-US" w:eastAsia="zh-CN"/>
              </w:rPr>
              <w:t>10</w:t>
            </w:r>
            <w:r>
              <w:rPr>
                <w:rFonts w:hint="eastAsia" w:asciiTheme="minorEastAsia" w:hAnsiTheme="minorEastAsia" w:cstheme="minorEastAsia"/>
                <w:color w:val="auto"/>
                <w:sz w:val="21"/>
                <w:szCs w:val="21"/>
                <w:highlight w:val="none"/>
              </w:rPr>
              <w:t>%的扣除，用扣除后的价格参加评审。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w:t>
            </w:r>
          </w:p>
        </w:tc>
        <w:tc>
          <w:tcPr>
            <w:tcW w:w="17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对供应商的资格要求</w:t>
            </w:r>
          </w:p>
        </w:tc>
        <w:tc>
          <w:tcPr>
            <w:tcW w:w="590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Cs/>
                <w:color w:val="auto"/>
                <w:kern w:val="0"/>
                <w:sz w:val="21"/>
                <w:szCs w:val="21"/>
                <w:highlight w:val="none"/>
                <w:u w:val="single"/>
                <w:lang w:eastAsia="zh-CN"/>
              </w:rPr>
            </w:pPr>
            <w:r>
              <w:rPr>
                <w:rFonts w:hint="eastAsia" w:asciiTheme="minorEastAsia" w:hAnsiTheme="minorEastAsia" w:cstheme="minorEastAsia"/>
                <w:bCs/>
                <w:color w:val="auto"/>
                <w:kern w:val="0"/>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5</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cstheme="minorEastAsia"/>
                <w:bCs/>
                <w:color w:val="auto"/>
                <w:kern w:val="0"/>
                <w:sz w:val="21"/>
                <w:szCs w:val="21"/>
                <w:highlight w:val="none"/>
              </w:rPr>
            </w:pPr>
            <w:r>
              <w:rPr>
                <w:rFonts w:hint="eastAsia" w:asciiTheme="minorEastAsia" w:hAnsiTheme="minorEastAsia" w:cstheme="minorEastAsia"/>
                <w:bCs/>
                <w:color w:val="auto"/>
                <w:kern w:val="0"/>
                <w:sz w:val="21"/>
                <w:szCs w:val="21"/>
                <w:highlight w:val="none"/>
              </w:rPr>
              <w:t>是否允许进口产品</w:t>
            </w:r>
          </w:p>
        </w:tc>
        <w:tc>
          <w:tcPr>
            <w:tcW w:w="590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bCs/>
                <w:color w:val="auto"/>
                <w:kern w:val="0"/>
                <w:sz w:val="21"/>
                <w:szCs w:val="21"/>
                <w:highlight w:val="none"/>
              </w:rPr>
            </w:pPr>
            <w:r>
              <w:rPr>
                <w:rFonts w:hint="eastAsia" w:asciiTheme="minorEastAsia" w:hAnsiTheme="minorEastAsia" w:cstheme="minorEastAsia"/>
                <w:bCs/>
                <w:color w:val="auto"/>
                <w:kern w:val="0"/>
                <w:sz w:val="21"/>
                <w:szCs w:val="21"/>
                <w:highlight w:val="none"/>
              </w:rPr>
              <w:fldChar w:fldCharType="begin"/>
            </w:r>
            <w:r>
              <w:rPr>
                <w:rFonts w:hint="eastAsia" w:asciiTheme="minorEastAsia" w:hAnsiTheme="minorEastAsia" w:cstheme="minorEastAsia"/>
                <w:bCs/>
                <w:color w:val="auto"/>
                <w:kern w:val="0"/>
                <w:sz w:val="21"/>
                <w:szCs w:val="21"/>
                <w:highlight w:val="none"/>
              </w:rPr>
              <w:instrText xml:space="preserve"> eq \o\ac(□)</w:instrText>
            </w:r>
            <w:r>
              <w:rPr>
                <w:rFonts w:hint="eastAsia" w:asciiTheme="minorEastAsia" w:hAnsiTheme="minorEastAsia" w:cstheme="minorEastAsia"/>
                <w:bCs/>
                <w:color w:val="auto"/>
                <w:kern w:val="0"/>
                <w:sz w:val="21"/>
                <w:szCs w:val="21"/>
                <w:highlight w:val="none"/>
              </w:rPr>
              <w:fldChar w:fldCharType="end"/>
            </w:r>
            <w:r>
              <w:rPr>
                <w:rFonts w:hint="eastAsia" w:asciiTheme="minorEastAsia" w:hAnsiTheme="minorEastAsia" w:cstheme="minorEastAsia"/>
                <w:bCs/>
                <w:color w:val="auto"/>
                <w:kern w:val="0"/>
                <w:sz w:val="21"/>
                <w:szCs w:val="21"/>
                <w:highlight w:val="none"/>
              </w:rPr>
              <w:t>允许（须提供财政部门审核通过的复印件）</w:t>
            </w:r>
          </w:p>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bCs/>
                <w:color w:val="auto"/>
                <w:kern w:val="0"/>
                <w:sz w:val="21"/>
                <w:szCs w:val="21"/>
                <w:highlight w:val="none"/>
              </w:rPr>
            </w:pPr>
            <w:r>
              <w:rPr>
                <w:rFonts w:hint="eastAsia" w:asciiTheme="minorEastAsia" w:hAnsiTheme="minorEastAsia" w:cstheme="minorEastAsia"/>
                <w:bCs/>
                <w:color w:val="auto"/>
                <w:kern w:val="0"/>
                <w:sz w:val="21"/>
                <w:szCs w:val="21"/>
                <w:highlight w:val="none"/>
              </w:rPr>
              <w:t>根据《政府采购进口产品管理办法》（财库〔2007〕119号）的规定，采购人采购进口产品时，必须在采购活动开始前向财政部门提出申请并获得财政部门审核同意后，才能开展采购活动。且不得因此排斥国产产品，满足需求的国产产品依然可以参与竞争。“进口产品的认定”参见《关于政府采购进口产品管理有关问题的通知》（财办库〔2008〕248号）文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jc w:val="center"/>
              <w:rPr>
                <w:rFonts w:asciiTheme="minorEastAsia" w:hAnsiTheme="minorEastAsia" w:cstheme="minorEastAsia"/>
                <w:color w:val="auto"/>
                <w:sz w:val="21"/>
                <w:szCs w:val="21"/>
                <w:highlight w:val="none"/>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bCs/>
                <w:color w:val="auto"/>
                <w:kern w:val="0"/>
                <w:sz w:val="21"/>
                <w:szCs w:val="21"/>
                <w:highlight w:val="none"/>
              </w:rPr>
            </w:pPr>
          </w:p>
        </w:tc>
        <w:tc>
          <w:tcPr>
            <w:tcW w:w="590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bCs/>
                <w:color w:val="auto"/>
                <w:kern w:val="0"/>
                <w:sz w:val="21"/>
                <w:szCs w:val="21"/>
                <w:highlight w:val="none"/>
              </w:rPr>
            </w:pPr>
            <w:r>
              <w:rPr>
                <w:rFonts w:hint="eastAsia" w:asciiTheme="minorEastAsia" w:hAnsiTheme="minorEastAsia" w:cstheme="minorEastAsia"/>
                <w:bCs/>
                <w:color w:val="auto"/>
                <w:kern w:val="0"/>
                <w:sz w:val="21"/>
                <w:szCs w:val="21"/>
                <w:highlight w:val="none"/>
              </w:rPr>
              <w:fldChar w:fldCharType="begin"/>
            </w:r>
            <w:r>
              <w:rPr>
                <w:rFonts w:hint="eastAsia" w:asciiTheme="minorEastAsia" w:hAnsiTheme="minorEastAsia" w:cstheme="minorEastAsia"/>
                <w:bCs/>
                <w:color w:val="auto"/>
                <w:kern w:val="0"/>
                <w:sz w:val="21"/>
                <w:szCs w:val="21"/>
                <w:highlight w:val="none"/>
              </w:rPr>
              <w:instrText xml:space="preserve"> eq \o\ac(□,√)</w:instrText>
            </w:r>
            <w:r>
              <w:rPr>
                <w:rFonts w:hint="eastAsia" w:asciiTheme="minorEastAsia" w:hAnsiTheme="minorEastAsia" w:cstheme="minorEastAsia"/>
                <w:bCs/>
                <w:color w:val="auto"/>
                <w:kern w:val="0"/>
                <w:sz w:val="21"/>
                <w:szCs w:val="21"/>
                <w:highlight w:val="none"/>
              </w:rPr>
              <w:fldChar w:fldCharType="end"/>
            </w:r>
            <w:r>
              <w:rPr>
                <w:rFonts w:hint="eastAsia" w:asciiTheme="minorEastAsia" w:hAnsiTheme="minorEastAsia" w:cstheme="minorEastAsia"/>
                <w:bCs/>
                <w:color w:val="auto"/>
                <w:kern w:val="0"/>
                <w:sz w:val="21"/>
                <w:szCs w:val="21"/>
                <w:highlight w:val="none"/>
              </w:rPr>
              <w:t>不允许</w:t>
            </w:r>
          </w:p>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bCs/>
                <w:color w:val="auto"/>
                <w:kern w:val="0"/>
                <w:sz w:val="21"/>
                <w:szCs w:val="21"/>
                <w:highlight w:val="none"/>
              </w:rPr>
            </w:pPr>
            <w:r>
              <w:rPr>
                <w:rFonts w:hint="eastAsia" w:asciiTheme="minorEastAsia" w:hAnsiTheme="minorEastAsia" w:cstheme="minorEastAsia"/>
                <w:bCs/>
                <w:color w:val="auto"/>
                <w:kern w:val="0"/>
                <w:sz w:val="21"/>
                <w:szCs w:val="21"/>
                <w:highlight w:val="none"/>
              </w:rPr>
              <w:t>所投产品为进口产品时，将被视为无效投标。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5</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bCs/>
                <w:color w:val="auto"/>
                <w:kern w:val="0"/>
                <w:sz w:val="21"/>
                <w:szCs w:val="21"/>
                <w:highlight w:val="none"/>
              </w:rPr>
            </w:pPr>
            <w:r>
              <w:rPr>
                <w:rFonts w:hint="eastAsia" w:asciiTheme="minorEastAsia" w:hAnsiTheme="minorEastAsia" w:cstheme="minorEastAsia"/>
                <w:bCs/>
                <w:color w:val="auto"/>
                <w:kern w:val="0"/>
                <w:sz w:val="21"/>
                <w:szCs w:val="21"/>
                <w:highlight w:val="none"/>
              </w:rPr>
              <w:t>是否接受联合体投标</w:t>
            </w:r>
          </w:p>
        </w:tc>
        <w:tc>
          <w:tcPr>
            <w:tcW w:w="590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bCs/>
                <w:color w:val="auto"/>
                <w:kern w:val="0"/>
                <w:sz w:val="21"/>
                <w:szCs w:val="21"/>
                <w:highlight w:val="none"/>
              </w:rPr>
            </w:pPr>
            <w:r>
              <w:rPr>
                <w:rFonts w:hint="eastAsia" w:asciiTheme="minorEastAsia" w:hAnsiTheme="minorEastAsia" w:cstheme="minorEastAsia"/>
                <w:bCs/>
                <w:color w:val="auto"/>
                <w:kern w:val="0"/>
                <w:sz w:val="21"/>
                <w:szCs w:val="21"/>
                <w:highlight w:val="none"/>
              </w:rPr>
              <w:fldChar w:fldCharType="begin"/>
            </w:r>
            <w:r>
              <w:rPr>
                <w:rFonts w:hint="eastAsia" w:asciiTheme="minorEastAsia" w:hAnsiTheme="minorEastAsia" w:cstheme="minorEastAsia"/>
                <w:bCs/>
                <w:color w:val="auto"/>
                <w:kern w:val="0"/>
                <w:sz w:val="21"/>
                <w:szCs w:val="21"/>
                <w:highlight w:val="none"/>
              </w:rPr>
              <w:instrText xml:space="preserve"> eq \o\ac(□)</w:instrText>
            </w:r>
            <w:r>
              <w:rPr>
                <w:rFonts w:hint="eastAsia" w:asciiTheme="minorEastAsia" w:hAnsiTheme="minorEastAsia" w:cstheme="minorEastAsia"/>
                <w:bCs/>
                <w:color w:val="auto"/>
                <w:kern w:val="0"/>
                <w:sz w:val="21"/>
                <w:szCs w:val="21"/>
                <w:highlight w:val="none"/>
              </w:rPr>
              <w:fldChar w:fldCharType="end"/>
            </w:r>
            <w:r>
              <w:rPr>
                <w:rFonts w:hint="eastAsia" w:asciiTheme="minorEastAsia" w:hAnsiTheme="minorEastAsia" w:cstheme="minorEastAsia"/>
                <w:bCs/>
                <w:color w:val="auto"/>
                <w:kern w:val="0"/>
                <w:sz w:val="21"/>
                <w:szCs w:val="21"/>
                <w:highlight w:val="none"/>
              </w:rPr>
              <w:t>接受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bCs/>
                <w:color w:val="auto"/>
                <w:kern w:val="0"/>
                <w:sz w:val="21"/>
                <w:szCs w:val="21"/>
                <w:highlight w:val="none"/>
              </w:rPr>
            </w:pPr>
            <w:r>
              <w:rPr>
                <w:rFonts w:hint="eastAsia" w:asciiTheme="minorEastAsia" w:hAnsiTheme="minorEastAsia" w:cstheme="minorEastAsia"/>
                <w:bCs/>
                <w:color w:val="auto"/>
                <w:kern w:val="0"/>
                <w:sz w:val="21"/>
                <w:szCs w:val="21"/>
                <w:highlight w:val="none"/>
              </w:rPr>
              <w:t>对于联合体协议或者分包意向协议约定小微企业的合同份额占到合同总金额30%以上的，对联合体或者大中型企业的报价给予</w:t>
            </w:r>
            <w:r>
              <w:rPr>
                <w:rFonts w:hint="eastAsia" w:asciiTheme="minorEastAsia" w:hAnsiTheme="minorEastAsia" w:cstheme="minorEastAsia"/>
                <w:bCs/>
                <w:color w:val="auto"/>
                <w:kern w:val="0"/>
                <w:sz w:val="21"/>
                <w:szCs w:val="21"/>
                <w:highlight w:val="none"/>
                <w:u w:val="single"/>
              </w:rPr>
              <w:t xml:space="preserve"> 2 </w:t>
            </w:r>
            <w:r>
              <w:rPr>
                <w:rFonts w:hint="eastAsia" w:asciiTheme="minorEastAsia" w:hAnsiTheme="minorEastAsia" w:cstheme="minorEastAsia"/>
                <w:bCs/>
                <w:color w:val="auto"/>
                <w:kern w:val="0"/>
                <w:sz w:val="21"/>
                <w:szCs w:val="21"/>
                <w:highlight w:val="none"/>
              </w:rPr>
              <w:t>% (2% -3%)的扣除，用扣除后的报价参加评审。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jc w:val="center"/>
              <w:rPr>
                <w:rFonts w:asciiTheme="minorEastAsia" w:hAnsiTheme="minorEastAsia" w:cstheme="minorEastAsia"/>
                <w:color w:val="auto"/>
                <w:sz w:val="21"/>
                <w:szCs w:val="21"/>
                <w:highlight w:val="none"/>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bCs/>
                <w:color w:val="auto"/>
                <w:kern w:val="0"/>
                <w:sz w:val="21"/>
                <w:szCs w:val="21"/>
                <w:highlight w:val="none"/>
              </w:rPr>
            </w:pPr>
          </w:p>
        </w:tc>
        <w:tc>
          <w:tcPr>
            <w:tcW w:w="590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bCs/>
                <w:color w:val="auto"/>
                <w:kern w:val="0"/>
                <w:sz w:val="21"/>
                <w:szCs w:val="21"/>
                <w:highlight w:val="none"/>
              </w:rPr>
            </w:pPr>
            <w:r>
              <w:rPr>
                <w:rFonts w:hint="eastAsia" w:asciiTheme="minorEastAsia" w:hAnsiTheme="minorEastAsia" w:cstheme="minorEastAsia"/>
                <w:bCs/>
                <w:color w:val="auto"/>
                <w:kern w:val="0"/>
                <w:sz w:val="21"/>
                <w:szCs w:val="21"/>
                <w:highlight w:val="none"/>
              </w:rPr>
              <w:fldChar w:fldCharType="begin"/>
            </w:r>
            <w:r>
              <w:rPr>
                <w:rFonts w:hint="eastAsia" w:asciiTheme="minorEastAsia" w:hAnsiTheme="minorEastAsia" w:cstheme="minorEastAsia"/>
                <w:bCs/>
                <w:color w:val="auto"/>
                <w:kern w:val="0"/>
                <w:sz w:val="21"/>
                <w:szCs w:val="21"/>
                <w:highlight w:val="none"/>
              </w:rPr>
              <w:instrText xml:space="preserve"> eq \o\ac(□,√)</w:instrText>
            </w:r>
            <w:r>
              <w:rPr>
                <w:rFonts w:hint="eastAsia" w:asciiTheme="minorEastAsia" w:hAnsiTheme="minorEastAsia" w:cstheme="minorEastAsia"/>
                <w:bCs/>
                <w:color w:val="auto"/>
                <w:kern w:val="0"/>
                <w:sz w:val="21"/>
                <w:szCs w:val="21"/>
                <w:highlight w:val="none"/>
              </w:rPr>
              <w:fldChar w:fldCharType="end"/>
            </w:r>
            <w:r>
              <w:rPr>
                <w:rFonts w:hint="eastAsia" w:asciiTheme="minorEastAsia" w:hAnsiTheme="minorEastAsia" w:cstheme="minorEastAsia"/>
                <w:bCs/>
                <w:color w:val="auto"/>
                <w:kern w:val="0"/>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5"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6</w:t>
            </w:r>
          </w:p>
        </w:tc>
        <w:tc>
          <w:tcPr>
            <w:tcW w:w="17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履约保证金</w:t>
            </w:r>
          </w:p>
        </w:tc>
        <w:tc>
          <w:tcPr>
            <w:tcW w:w="5907" w:type="dxa"/>
            <w:vAlign w:val="center"/>
          </w:tcPr>
          <w:p>
            <w:pPr>
              <w:pStyle w:val="20"/>
              <w:spacing w:line="320" w:lineRule="exact"/>
              <w:ind w:firstLine="354" w:firstLineChars="169"/>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中标人提交履约保证金：</w:t>
            </w:r>
            <w:r>
              <w:rPr>
                <w:rFonts w:hint="eastAsia" w:cs="宋体"/>
                <w:color w:val="auto"/>
                <w:sz w:val="21"/>
                <w:szCs w:val="21"/>
                <w:highlight w:val="none"/>
                <w:lang w:val="en-US" w:eastAsia="zh-CN"/>
              </w:rPr>
              <w:t>100</w:t>
            </w:r>
            <w:r>
              <w:rPr>
                <w:rFonts w:hint="eastAsia" w:ascii="宋体" w:hAnsi="宋体" w:eastAsia="宋体" w:cs="宋体"/>
                <w:color w:val="auto"/>
                <w:sz w:val="21"/>
                <w:szCs w:val="21"/>
                <w:highlight w:val="none"/>
                <w:lang w:val="en-US" w:eastAsia="zh-CN"/>
              </w:rPr>
              <w:t>万元</w:t>
            </w:r>
          </w:p>
          <w:p>
            <w:pPr>
              <w:pStyle w:val="20"/>
              <w:spacing w:line="320" w:lineRule="exact"/>
              <w:ind w:firstLine="354" w:firstLineChars="169"/>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中标人在与采购人签订合同前向采购人缴纳履约保证金，并取得缴纳凭证。</w:t>
            </w:r>
          </w:p>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color w:val="auto"/>
                <w:sz w:val="21"/>
                <w:szCs w:val="21"/>
                <w:highlight w:val="none"/>
              </w:rPr>
            </w:pPr>
            <w:r>
              <w:rPr>
                <w:rFonts w:hint="eastAsia" w:ascii="宋体" w:hAnsi="宋体" w:eastAsia="宋体" w:cs="宋体"/>
                <w:color w:val="auto"/>
                <w:sz w:val="21"/>
                <w:szCs w:val="21"/>
                <w:highlight w:val="none"/>
                <w:lang w:val="zh-CN"/>
              </w:rPr>
              <w:t>履约保证金的形式：保函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7</w:t>
            </w:r>
          </w:p>
        </w:tc>
        <w:tc>
          <w:tcPr>
            <w:tcW w:w="17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现场踏勘和集中答疑</w:t>
            </w:r>
          </w:p>
        </w:tc>
        <w:tc>
          <w:tcPr>
            <w:tcW w:w="590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fldChar w:fldCharType="begin"/>
            </w:r>
            <w:r>
              <w:rPr>
                <w:rFonts w:hint="eastAsia" w:asciiTheme="minorEastAsia" w:hAnsiTheme="minorEastAsia" w:cstheme="minorEastAsia"/>
                <w:color w:val="auto"/>
                <w:sz w:val="21"/>
                <w:szCs w:val="21"/>
                <w:highlight w:val="none"/>
              </w:rPr>
              <w:instrText xml:space="preserve"> eq \o\ac(□)</w:instrText>
            </w:r>
            <w:r>
              <w:rPr>
                <w:rFonts w:hint="eastAsia" w:asciiTheme="minorEastAsia" w:hAnsiTheme="minorEastAsia" w:cstheme="minorEastAsia"/>
                <w:color w:val="auto"/>
                <w:sz w:val="21"/>
                <w:szCs w:val="21"/>
                <w:highlight w:val="none"/>
              </w:rPr>
              <w:fldChar w:fldCharType="end"/>
            </w:r>
            <w:r>
              <w:rPr>
                <w:rFonts w:hint="eastAsia" w:asciiTheme="minorEastAsia" w:hAnsiTheme="minorEastAsia" w:cstheme="minorEastAsia"/>
                <w:color w:val="auto"/>
                <w:sz w:val="21"/>
                <w:szCs w:val="21"/>
                <w:highlight w:val="none"/>
              </w:rPr>
              <w:t xml:space="preserve"> 组织</w:t>
            </w:r>
          </w:p>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fldChar w:fldCharType="begin"/>
            </w:r>
            <w:r>
              <w:rPr>
                <w:rFonts w:hint="eastAsia" w:asciiTheme="minorEastAsia" w:hAnsiTheme="minorEastAsia" w:cstheme="minorEastAsia"/>
                <w:color w:val="auto"/>
                <w:sz w:val="21"/>
                <w:szCs w:val="21"/>
                <w:highlight w:val="none"/>
              </w:rPr>
              <w:instrText xml:space="preserve"> eq \o\ac(□,√)</w:instrText>
            </w:r>
            <w:r>
              <w:rPr>
                <w:rFonts w:hint="eastAsia" w:asciiTheme="minorEastAsia" w:hAnsiTheme="minorEastAsia" w:cstheme="minorEastAsia"/>
                <w:color w:val="auto"/>
                <w:sz w:val="21"/>
                <w:szCs w:val="21"/>
                <w:highlight w:val="none"/>
              </w:rPr>
              <w:fldChar w:fldCharType="end"/>
            </w:r>
            <w:r>
              <w:rPr>
                <w:rFonts w:hint="eastAsia" w:asciiTheme="minorEastAsia" w:hAnsiTheme="minorEastAsia" w:cstheme="minorEastAsia"/>
                <w:color w:val="auto"/>
                <w:sz w:val="21"/>
                <w:szCs w:val="21"/>
                <w:highlight w:val="none"/>
              </w:rPr>
              <w:t xml:space="preserve"> 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8</w:t>
            </w:r>
          </w:p>
        </w:tc>
        <w:tc>
          <w:tcPr>
            <w:tcW w:w="17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价格分比重</w:t>
            </w:r>
          </w:p>
        </w:tc>
        <w:tc>
          <w:tcPr>
            <w:tcW w:w="590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占总分值的</w:t>
            </w:r>
            <w:r>
              <w:rPr>
                <w:rFonts w:hint="eastAsia" w:asciiTheme="minorEastAsia" w:hAnsi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1</w:t>
            </w:r>
            <w:r>
              <w:rPr>
                <w:rFonts w:hint="eastAsia" w:asciiTheme="minorEastAsia" w:hAnsiTheme="minorEastAsia" w:cstheme="minorEastAsia"/>
                <w:color w:val="auto"/>
                <w:sz w:val="21"/>
                <w:szCs w:val="21"/>
                <w:highlight w:val="none"/>
                <w:u w:val="single"/>
              </w:rPr>
              <w:t xml:space="preserve">0  </w:t>
            </w:r>
            <w:r>
              <w:rPr>
                <w:rFonts w:hint="eastAsia" w:asciiTheme="minorEastAsia" w:hAnsi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招标〕根据《政府采购货物和服务招标投标管理办法》（财政部87号令）的规定，综合评分法货物项目的价格分值占总分值的比重不得低于30%。执行国家统一定价标准和采用固定价格采购的项目，其价格不列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9</w:t>
            </w:r>
          </w:p>
        </w:tc>
        <w:tc>
          <w:tcPr>
            <w:tcW w:w="17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合同类型</w:t>
            </w:r>
          </w:p>
        </w:tc>
        <w:tc>
          <w:tcPr>
            <w:tcW w:w="590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color w:val="auto"/>
                <w:sz w:val="21"/>
                <w:szCs w:val="21"/>
                <w:highlight w:val="none"/>
                <w:u w:val="single"/>
              </w:rPr>
            </w:pPr>
            <w:r>
              <w:rPr>
                <w:rFonts w:hint="eastAsia" w:asciiTheme="minorEastAsia" w:hAnsiTheme="minorEastAsia" w:cstheme="minorEastAsia"/>
                <w:color w:val="auto"/>
                <w:sz w:val="21"/>
                <w:szCs w:val="21"/>
                <w:highlight w:val="none"/>
                <w:u w:val="single"/>
              </w:rPr>
              <w:fldChar w:fldCharType="begin"/>
            </w:r>
            <w:r>
              <w:rPr>
                <w:rFonts w:hint="eastAsia" w:asciiTheme="minorEastAsia" w:hAnsiTheme="minorEastAsia" w:cstheme="minorEastAsia"/>
                <w:color w:val="auto"/>
                <w:sz w:val="21"/>
                <w:szCs w:val="21"/>
                <w:highlight w:val="none"/>
                <w:u w:val="single"/>
              </w:rPr>
              <w:instrText xml:space="preserve"> eq \o\ac(□,√)</w:instrText>
            </w:r>
            <w:r>
              <w:rPr>
                <w:rFonts w:hint="eastAsia" w:asciiTheme="minorEastAsia" w:hAnsiTheme="minorEastAsia" w:cstheme="minorEastAsia"/>
                <w:color w:val="auto"/>
                <w:sz w:val="21"/>
                <w:szCs w:val="21"/>
                <w:highlight w:val="none"/>
                <w:u w:val="single"/>
              </w:rPr>
              <w:fldChar w:fldCharType="end"/>
            </w:r>
            <w:r>
              <w:rPr>
                <w:rFonts w:hint="eastAsia" w:asciiTheme="minorEastAsia" w:hAnsiTheme="minorEastAsia" w:cstheme="minorEastAsia"/>
                <w:color w:val="auto"/>
                <w:sz w:val="21"/>
                <w:szCs w:val="21"/>
                <w:highlight w:val="none"/>
                <w:u w:val="single"/>
              </w:rPr>
              <w:t xml:space="preserve"> 固定总价</w:t>
            </w:r>
          </w:p>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u w:val="single"/>
              </w:rPr>
              <w:fldChar w:fldCharType="begin"/>
            </w:r>
            <w:r>
              <w:rPr>
                <w:rFonts w:hint="eastAsia" w:asciiTheme="minorEastAsia" w:hAnsiTheme="minorEastAsia" w:cstheme="minorEastAsia"/>
                <w:color w:val="auto"/>
                <w:sz w:val="21"/>
                <w:szCs w:val="21"/>
                <w:highlight w:val="none"/>
                <w:u w:val="single"/>
              </w:rPr>
              <w:instrText xml:space="preserve"> eq \o\ac(□)</w:instrText>
            </w:r>
            <w:r>
              <w:rPr>
                <w:rFonts w:hint="eastAsia" w:asciiTheme="minorEastAsia" w:hAnsiTheme="minorEastAsia" w:cstheme="minorEastAsia"/>
                <w:color w:val="auto"/>
                <w:sz w:val="21"/>
                <w:szCs w:val="21"/>
                <w:highlight w:val="none"/>
                <w:u w:val="single"/>
              </w:rPr>
              <w:fldChar w:fldCharType="end"/>
            </w:r>
            <w:r>
              <w:rPr>
                <w:rFonts w:hint="eastAsia" w:asciiTheme="minorEastAsia" w:hAnsiTheme="minorEastAsia" w:cstheme="minorEastAsia"/>
                <w:color w:val="auto"/>
                <w:sz w:val="21"/>
                <w:szCs w:val="21"/>
                <w:highlight w:val="none"/>
                <w:u w:val="single"/>
              </w:rPr>
              <w:t xml:space="preserve"> 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10</w:t>
            </w:r>
          </w:p>
        </w:tc>
        <w:tc>
          <w:tcPr>
            <w:tcW w:w="17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争议解决途径</w:t>
            </w:r>
          </w:p>
        </w:tc>
        <w:tc>
          <w:tcPr>
            <w:tcW w:w="590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fldChar w:fldCharType="begin"/>
            </w:r>
            <w:r>
              <w:rPr>
                <w:rFonts w:hint="eastAsia" w:asciiTheme="minorEastAsia" w:hAnsiTheme="minorEastAsia" w:cstheme="minorEastAsia"/>
                <w:color w:val="auto"/>
                <w:sz w:val="21"/>
                <w:szCs w:val="21"/>
                <w:highlight w:val="none"/>
              </w:rPr>
              <w:instrText xml:space="preserve"> eq \o\ac(□)</w:instrText>
            </w:r>
            <w:r>
              <w:rPr>
                <w:rFonts w:hint="eastAsia" w:asciiTheme="minorEastAsia" w:hAnsiTheme="minorEastAsia" w:cstheme="minorEastAsia"/>
                <w:color w:val="auto"/>
                <w:sz w:val="21"/>
                <w:szCs w:val="21"/>
                <w:highlight w:val="none"/>
              </w:rPr>
              <w:fldChar w:fldCharType="end"/>
            </w:r>
            <w:r>
              <w:rPr>
                <w:rFonts w:hint="eastAsia" w:asciiTheme="minorEastAsia" w:hAnsiTheme="minorEastAsia" w:cstheme="minorEastAsia"/>
                <w:color w:val="auto"/>
                <w:sz w:val="21"/>
                <w:szCs w:val="21"/>
                <w:highlight w:val="none"/>
              </w:rPr>
              <w:t>向有管辖权的人民法院提起诉讼</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fldChar w:fldCharType="begin"/>
            </w:r>
            <w:r>
              <w:rPr>
                <w:rFonts w:hint="eastAsia" w:asciiTheme="minorEastAsia" w:hAnsiTheme="minorEastAsia" w:cstheme="minorEastAsia"/>
                <w:color w:val="auto"/>
                <w:sz w:val="21"/>
                <w:szCs w:val="21"/>
                <w:highlight w:val="none"/>
              </w:rPr>
              <w:instrText xml:space="preserve"> eq \o\ac(□,√)</w:instrText>
            </w:r>
            <w:r>
              <w:rPr>
                <w:rFonts w:hint="eastAsia" w:asciiTheme="minorEastAsia" w:hAnsiTheme="minorEastAsia" w:cstheme="minorEastAsia"/>
                <w:color w:val="auto"/>
                <w:sz w:val="21"/>
                <w:szCs w:val="21"/>
                <w:highlight w:val="none"/>
              </w:rPr>
              <w:fldChar w:fldCharType="end"/>
            </w:r>
            <w:r>
              <w:rPr>
                <w:rFonts w:hint="eastAsia" w:asciiTheme="minorEastAsia" w:hAnsiTheme="minorEastAsia" w:cstheme="minorEastAsia"/>
                <w:color w:val="auto"/>
                <w:sz w:val="21"/>
                <w:szCs w:val="21"/>
                <w:highlight w:val="none"/>
              </w:rPr>
              <w:t>向西安仲裁委员会提请仲裁</w:t>
            </w:r>
          </w:p>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fldChar w:fldCharType="begin"/>
            </w:r>
            <w:r>
              <w:rPr>
                <w:rFonts w:hint="eastAsia" w:asciiTheme="minorEastAsia" w:hAnsiTheme="minorEastAsia" w:cstheme="minorEastAsia"/>
                <w:color w:val="auto"/>
                <w:sz w:val="21"/>
                <w:szCs w:val="21"/>
                <w:highlight w:val="none"/>
              </w:rPr>
              <w:instrText xml:space="preserve"> eq \o\ac(□)</w:instrText>
            </w:r>
            <w:r>
              <w:rPr>
                <w:rFonts w:hint="eastAsia" w:asciiTheme="minorEastAsia" w:hAnsiTheme="minorEastAsia" w:cstheme="minorEastAsia"/>
                <w:color w:val="auto"/>
                <w:sz w:val="21"/>
                <w:szCs w:val="21"/>
                <w:highlight w:val="none"/>
              </w:rPr>
              <w:fldChar w:fldCharType="end"/>
            </w:r>
            <w:r>
              <w:rPr>
                <w:rFonts w:hint="eastAsia" w:asciiTheme="minorEastAsia" w:hAnsiTheme="minorEastAsia" w:cstheme="minorEastAsia"/>
                <w:color w:val="auto"/>
                <w:sz w:val="21"/>
                <w:szCs w:val="21"/>
                <w:highlight w:val="none"/>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11</w:t>
            </w:r>
          </w:p>
        </w:tc>
        <w:tc>
          <w:tcPr>
            <w:tcW w:w="1710"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联系方式</w:t>
            </w:r>
          </w:p>
        </w:tc>
        <w:tc>
          <w:tcPr>
            <w:tcW w:w="5907" w:type="dxa"/>
            <w:vAlign w:val="center"/>
          </w:tcPr>
          <w:p>
            <w:pPr>
              <w:jc w:val="left"/>
              <w:rPr>
                <w:rFonts w:asciiTheme="minorEastAsia" w:hAnsiTheme="minorEastAsia" w:cstheme="minorEastAsia"/>
                <w:color w:val="auto"/>
                <w:sz w:val="21"/>
                <w:szCs w:val="21"/>
                <w:highlight w:val="none"/>
                <w:u w:val="single"/>
              </w:rPr>
            </w:pPr>
            <w:r>
              <w:rPr>
                <w:rFonts w:hint="eastAsia" w:asciiTheme="minorEastAsia" w:hAnsiTheme="minorEastAsia" w:cstheme="minorEastAsia"/>
                <w:color w:val="auto"/>
                <w:sz w:val="21"/>
                <w:szCs w:val="21"/>
                <w:highlight w:val="none"/>
              </w:rPr>
              <w:t>项目对接人：</w:t>
            </w:r>
            <w:r>
              <w:rPr>
                <w:rFonts w:hint="eastAsia" w:asciiTheme="minorEastAsia" w:hAnsi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eastAsia="zh-CN"/>
              </w:rPr>
              <w:t>宋敏华</w:t>
            </w:r>
            <w:r>
              <w:rPr>
                <w:rFonts w:hint="eastAsia" w:asciiTheme="minorEastAsia" w:hAnsiTheme="minorEastAsia" w:cstheme="minorEastAsia"/>
                <w:color w:val="auto"/>
                <w:sz w:val="21"/>
                <w:szCs w:val="21"/>
                <w:highlight w:val="none"/>
                <w:u w:val="single"/>
              </w:rPr>
              <w:t xml:space="preserve"> </w:t>
            </w:r>
          </w:p>
          <w:p>
            <w:pPr>
              <w:jc w:val="left"/>
              <w:rPr>
                <w:rFonts w:hint="default"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cstheme="minorEastAsia"/>
                <w:color w:val="auto"/>
                <w:sz w:val="21"/>
                <w:szCs w:val="21"/>
                <w:highlight w:val="none"/>
              </w:rPr>
              <w:t>联系电话：</w:t>
            </w:r>
            <w:r>
              <w:rPr>
                <w:rFonts w:hint="eastAsia" w:asciiTheme="minorEastAsia" w:hAnsi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18082680030</w:t>
            </w:r>
          </w:p>
          <w:p>
            <w:pPr>
              <w:jc w:val="lef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电子邮箱：</w:t>
            </w:r>
            <w:r>
              <w:rPr>
                <w:rFonts w:hint="eastAsia" w:asciiTheme="minorEastAsia" w:hAnsiTheme="minorEastAsia" w:cstheme="minorEastAsia"/>
                <w:color w:val="auto"/>
                <w:sz w:val="21"/>
                <w:szCs w:val="21"/>
                <w:highlight w:val="none"/>
                <w:u w:val="single"/>
              </w:rPr>
              <w:t xml:space="preserve"> / </w:t>
            </w:r>
          </w:p>
        </w:tc>
      </w:tr>
    </w:tbl>
    <w:p>
      <w:pPr>
        <w:rPr>
          <w:rFonts w:asciiTheme="minorEastAsia" w:hAnsiTheme="minorEastAsia" w:cstheme="minorEastAsia"/>
          <w:color w:val="auto"/>
          <w:highlight w:val="none"/>
        </w:rPr>
      </w:pPr>
    </w:p>
    <w:p>
      <w:pPr>
        <w:rPr>
          <w:rFonts w:hint="eastAsia"/>
          <w:color w:val="auto"/>
          <w:highlight w:val="none"/>
          <w:lang w:val="en-US" w:eastAsia="zh-CN"/>
        </w:rPr>
      </w:pPr>
    </w:p>
    <w:p>
      <w:pPr>
        <w:ind w:firstLine="3780" w:firstLineChars="1800"/>
        <w:rPr>
          <w:rFonts w:hint="default" w:eastAsiaTheme="minorEastAsia"/>
          <w:color w:val="auto"/>
          <w:highlight w:val="none"/>
          <w:lang w:val="en-US" w:eastAsia="zh-CN"/>
        </w:rPr>
      </w:pPr>
      <w:r>
        <w:rPr>
          <w:rFonts w:hint="eastAsia"/>
          <w:color w:val="auto"/>
          <w:highlight w:val="none"/>
          <w:lang w:val="en-US" w:eastAsia="zh-CN"/>
        </w:rPr>
        <w:t xml:space="preserve">   采购人：西安市莲湖区红庙坡街道办事处（盖章）</w:t>
      </w:r>
    </w:p>
    <w:p>
      <w:pPr>
        <w:rPr>
          <w:rFonts w:asciiTheme="minorEastAsia" w:hAnsiTheme="minorEastAsia" w:cstheme="minorEastAsia"/>
          <w:color w:val="auto"/>
          <w:sz w:val="21"/>
          <w:szCs w:val="21"/>
          <w:highlight w:val="none"/>
        </w:rPr>
      </w:pPr>
      <w:r>
        <w:rPr>
          <w:rFonts w:asciiTheme="minorEastAsia" w:hAnsiTheme="minorEastAsia" w:cstheme="minorEastAsia"/>
          <w:color w:val="auto"/>
          <w:sz w:val="21"/>
          <w:szCs w:val="21"/>
          <w:highlight w:val="none"/>
        </w:rPr>
        <w:br w:type="page"/>
      </w:r>
      <w:bookmarkStart w:id="1" w:name="_GoBack"/>
      <w:bookmarkEnd w:id="1"/>
    </w:p>
    <w:p>
      <w:pPr>
        <w:spacing w:before="156" w:beforeLines="50" w:line="480" w:lineRule="exact"/>
        <w:rPr>
          <w:rFonts w:hint="eastAsia" w:ascii="宋体" w:hAnsi="宋体" w:eastAsia="宋体" w:cs="宋体"/>
          <w:b/>
          <w:color w:val="auto"/>
          <w:sz w:val="24"/>
          <w:highlight w:val="none"/>
        </w:rPr>
      </w:pPr>
      <w:bookmarkStart w:id="0" w:name="_Toc217446094"/>
      <w:r>
        <w:rPr>
          <w:rFonts w:hint="eastAsia" w:ascii="宋体" w:hAnsi="宋体" w:eastAsia="宋体" w:cs="宋体"/>
          <w:b/>
          <w:color w:val="auto"/>
          <w:sz w:val="24"/>
          <w:highlight w:val="none"/>
        </w:rPr>
        <w:t>一、项目概况</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探索环卫一体化市场化运作新路子，将街道的生活垃圾转运处置工作一并交由辖区承担清扫保洁工作任务的企业负责，在第三轮道路清扫保洁服务工作完成后，街办与辖区保洁企业做好对接，逐步深入推进垃圾转运处置工作。红庙坡街办基本采购内容：道路清扫面积为105</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379378</w:t>
      </w:r>
      <w:r>
        <w:rPr>
          <w:rFonts w:hint="eastAsia" w:ascii="宋体" w:hAnsi="宋体" w:eastAsia="宋体" w:cs="宋体"/>
          <w:bCs/>
          <w:color w:val="auto"/>
          <w:sz w:val="21"/>
          <w:szCs w:val="21"/>
          <w:highlight w:val="none"/>
          <w:lang w:eastAsia="zh-CN"/>
        </w:rPr>
        <w:t>万</w:t>
      </w:r>
      <w:r>
        <w:rPr>
          <w:rFonts w:hint="eastAsia" w:ascii="宋体" w:hAnsi="宋体" w:eastAsia="宋体" w:cs="宋体"/>
          <w:bCs/>
          <w:color w:val="auto"/>
          <w:sz w:val="21"/>
          <w:szCs w:val="21"/>
          <w:highlight w:val="none"/>
        </w:rPr>
        <w:t>平方米，绿化带保洁面积为9.587498</w:t>
      </w:r>
      <w:r>
        <w:rPr>
          <w:rFonts w:hint="eastAsia" w:ascii="宋体" w:hAnsi="宋体" w:eastAsia="宋体" w:cs="宋体"/>
          <w:bCs/>
          <w:color w:val="auto"/>
          <w:sz w:val="21"/>
          <w:szCs w:val="21"/>
          <w:highlight w:val="none"/>
          <w:lang w:eastAsia="zh-CN"/>
        </w:rPr>
        <w:t>万</w:t>
      </w:r>
      <w:r>
        <w:rPr>
          <w:rFonts w:hint="eastAsia" w:ascii="宋体" w:hAnsi="宋体" w:eastAsia="宋体" w:cs="宋体"/>
          <w:bCs/>
          <w:color w:val="auto"/>
          <w:sz w:val="21"/>
          <w:szCs w:val="21"/>
          <w:highlight w:val="none"/>
        </w:rPr>
        <w:t>平方米</w:t>
      </w:r>
      <w:r>
        <w:rPr>
          <w:rFonts w:hint="eastAsia" w:ascii="宋体" w:hAnsi="宋体" w:eastAsia="宋体" w:cs="宋体"/>
          <w:bCs/>
          <w:color w:val="auto"/>
          <w:sz w:val="21"/>
          <w:szCs w:val="21"/>
          <w:highlight w:val="none"/>
        </w:rPr>
        <w:t>。</w:t>
      </w:r>
    </w:p>
    <w:p>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中标人自行购买的设备在合同签订之日15日之内配置到位，投入使用3辆洗扫车、2辆洒水车、8辆小型道沿冲洗车、若干除雪设备和快速保洁车65辆，用于开展道路清扫保洁作业（洒水车、洗扫车安装DPS定位系统）。采购人将5座保洁员道班房交由中标人无偿使用,中标人应承担该道班房的日常水电费及维修维护责任。</w:t>
      </w:r>
    </w:p>
    <w:p>
      <w:pPr>
        <w:spacing w:before="156" w:beforeLines="50"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二、服务内容（包括工作区域、工作内容等）</w:t>
      </w:r>
    </w:p>
    <w:tbl>
      <w:tblPr>
        <w:tblStyle w:val="10"/>
        <w:tblpPr w:leftFromText="180" w:rightFromText="180" w:vertAnchor="text" w:horzAnchor="page" w:tblpX="1615" w:tblpY="2341"/>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0"/>
        <w:gridCol w:w="2144"/>
        <w:gridCol w:w="1303"/>
        <w:gridCol w:w="2145"/>
        <w:gridCol w:w="1216"/>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32"/>
                <w:szCs w:val="32"/>
                <w:highlight w:val="none"/>
                <w:u w:val="none"/>
                <w:lang w:val="en-US" w:eastAsia="zh-CN" w:bidi="ar"/>
              </w:rPr>
              <w:t>莲湖区红庙坡地区道路清扫保洁面积明细表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序号</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道路名称</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道路级别</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起止点</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道路长度（m）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环城北路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1B</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王赵巷涵洞----星火路立交桥东口</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西二环人行道</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1B</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陇海线以北-----梨园路西口</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大兴东路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1B</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星火路----西二环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劳动北路延伸段</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1B</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大兴东路----梨园路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星火路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2A</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陇海线以北----龙首北路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龙首北路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2A</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明光路十字西侧----星火路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梨园路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2B</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星火路----西二环东道沿</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自强西路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2B</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西安铁路技术学校----自强西路西口</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涵洞</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环城北路----王赵巷南口</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王赵村巷</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村道</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华强路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自强西路----振华路西口</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工农路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尚武门立交----红庙坡路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纸坊村巷</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村道</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纸坊巷</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自强西路--光学小区门口</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永兴路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自强西路----龙首北路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永桢路东段</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永兴路----永新苑2号院</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永桢路西段</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永兴路-----市政小区门口</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明珠巷</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自强西路--兴中路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星火一巷</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明珠巷---星火路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市政巷</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星火路--市政道桥六公司</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兴中路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文景南路----星火路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西铁巷</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兴中路---人武学校家属院</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西运巷</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兴中路---北晨风景小区</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兴中南巷</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大观园一厅、二厅、三厅南侧巷子</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红庙坡路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文景南路----星火路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红西村居民巷</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红庙坡路----永兴村三号院</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永新路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红庙坡路-----明光路十字</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农兴路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文景南路-----永新路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龙赵村路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村道</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永福路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农兴路----龙首北路（西道沿上）</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红庙坡村</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村道</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丰禾路东口铁路线</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村道</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张家村路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村道</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丰禾路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星火路----西二环（东道沿上）</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环建新村路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村道</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永宜路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丰禾路--大兴东路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大丰路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丰禾路----未央宫公厕</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丰禾一巷</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村道</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丰禾二巷</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村道</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军民共建路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村道</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桃园北路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780" w:hanging="1200" w:hangingChars="60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桃园北路高架桥（陇海线以北）----梨园路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鑫苑大都会运动公园</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桃园北路绿化广场</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杏园路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丰禾路--大兴东路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博望路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丰禾路--西二环（东道沿上）</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永全路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大兴东路---梨园路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大白杨南路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大兴东路---梨园路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明堂路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大兴东路---桃李路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桃李路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明堂路北口---桃园北路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杏园北路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永安路西段----梨园路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清水园路</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大兴东路---紫云溪南门口</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1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永安路 </w:t>
            </w:r>
            <w:r>
              <w:rPr>
                <w:rStyle w:val="24"/>
                <w:rFonts w:hint="eastAsia" w:ascii="宋体" w:hAnsi="宋体" w:eastAsia="宋体" w:cs="宋体"/>
                <w:color w:val="auto"/>
                <w:sz w:val="20"/>
                <w:szCs w:val="20"/>
                <w:highlight w:val="none"/>
                <w:lang w:val="en-US" w:eastAsia="zh-CN" w:bidi="ar"/>
              </w:rPr>
              <w:t xml:space="preserve">                     </w:t>
            </w:r>
          </w:p>
        </w:tc>
        <w:tc>
          <w:tcPr>
            <w:tcW w:w="7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①</w:t>
            </w:r>
            <w:r>
              <w:rPr>
                <w:rFonts w:hint="eastAsia" w:ascii="宋体" w:hAnsi="宋体" w:eastAsia="宋体" w:cs="宋体"/>
                <w:i w:val="0"/>
                <w:iCs w:val="0"/>
                <w:color w:val="auto"/>
                <w:kern w:val="0"/>
                <w:sz w:val="20"/>
                <w:szCs w:val="20"/>
                <w:highlight w:val="none"/>
                <w:u w:val="none"/>
                <w:lang w:val="en-US" w:eastAsia="zh-CN" w:bidi="ar"/>
              </w:rPr>
              <w:t>星火路------永全路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②</w:t>
            </w:r>
            <w:r>
              <w:rPr>
                <w:rFonts w:hint="eastAsia" w:ascii="宋体" w:hAnsi="宋体" w:eastAsia="宋体" w:cs="宋体"/>
                <w:i w:val="0"/>
                <w:iCs w:val="0"/>
                <w:color w:val="auto"/>
                <w:kern w:val="0"/>
                <w:sz w:val="20"/>
                <w:szCs w:val="20"/>
                <w:highlight w:val="none"/>
                <w:u w:val="none"/>
                <w:lang w:val="en-US" w:eastAsia="zh-CN" w:bidi="ar"/>
              </w:rPr>
              <w:t>永全路------大白杨南路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③</w:t>
            </w:r>
            <w:r>
              <w:rPr>
                <w:rFonts w:hint="eastAsia" w:ascii="宋体" w:hAnsi="宋体" w:eastAsia="宋体" w:cs="宋体"/>
                <w:i w:val="0"/>
                <w:iCs w:val="0"/>
                <w:color w:val="auto"/>
                <w:kern w:val="0"/>
                <w:sz w:val="20"/>
                <w:szCs w:val="20"/>
                <w:highlight w:val="none"/>
                <w:u w:val="none"/>
                <w:lang w:val="en-US" w:eastAsia="zh-CN" w:bidi="ar"/>
              </w:rPr>
              <w:t>劳动北路延伸段----金辉C园</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④</w:t>
            </w:r>
            <w:r>
              <w:rPr>
                <w:rStyle w:val="17"/>
                <w:rFonts w:hint="eastAsia" w:ascii="宋体" w:hAnsi="宋体" w:eastAsia="宋体" w:cs="宋体"/>
                <w:color w:val="auto"/>
                <w:sz w:val="20"/>
                <w:szCs w:val="20"/>
                <w:highlight w:val="none"/>
                <w:lang w:val="en-US" w:eastAsia="zh-CN" w:bidi="ar"/>
              </w:rPr>
              <w:t>劳动北路延伸段----大兴御苑</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⑤</w:t>
            </w:r>
            <w:r>
              <w:rPr>
                <w:rStyle w:val="17"/>
                <w:rFonts w:hint="eastAsia" w:ascii="宋体" w:hAnsi="宋体" w:eastAsia="宋体" w:cs="宋体"/>
                <w:color w:val="auto"/>
                <w:sz w:val="20"/>
                <w:szCs w:val="20"/>
                <w:highlight w:val="none"/>
                <w:lang w:val="en-US" w:eastAsia="zh-CN" w:bidi="ar"/>
              </w:rPr>
              <w:t>桃园北路--------杏园北路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⑥</w:t>
            </w:r>
            <w:r>
              <w:rPr>
                <w:rStyle w:val="17"/>
                <w:rFonts w:hint="eastAsia" w:ascii="宋体" w:hAnsi="宋体" w:eastAsia="宋体" w:cs="宋体"/>
                <w:color w:val="auto"/>
                <w:sz w:val="20"/>
                <w:szCs w:val="20"/>
                <w:highlight w:val="none"/>
                <w:lang w:val="en-US" w:eastAsia="zh-CN" w:bidi="ar"/>
              </w:rPr>
              <w:t>紫云溪南门------梨园路</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390" w:hanging="600" w:hangingChars="30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陕师大大兴小学人行天桥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劳动北路与梨园路十字</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54</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星火路红庙坡派出所人行天桥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8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星火路中段</w:t>
            </w:r>
          </w:p>
        </w:tc>
        <w:tc>
          <w:tcPr>
            <w:tcW w:w="7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32"/>
                <w:szCs w:val="32"/>
                <w:highlight w:val="none"/>
                <w:u w:val="none"/>
                <w:lang w:val="en-US" w:eastAsia="zh-CN" w:bidi="ar"/>
              </w:rPr>
              <w:t>莲湖区红庙坡地区绿地养护保洁面积明细表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序号</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道路绿化带（广场、林带）位置</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星火路（星火路至红庙坡十字）</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工农路（尚武门至迪赛制药厂）</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星火路立交绿地</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环城北路（公厕至星火立交）隔车带、林带</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星火路广场</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大兴立交（梨园路以南）</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朱宏路（红庙坡十字至龙首北路）</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大兴东路（红庙坡十字至西二环）</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梨园路（朱宏路至西二环）</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桃园北路北延伸</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劳动北路北延伸</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永全路（大兴东路至梨园路）</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桃李路</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安一路</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文景南路（纬二十六街至红庙坡路）</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永宜路（大兴东路至丰禾路）</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30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永安路西段</w:t>
            </w:r>
          </w:p>
        </w:tc>
        <w:tc>
          <w:tcPr>
            <w:tcW w:w="1449"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086" w:type="pct"/>
            <w:gridSpan w:val="3"/>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杏园路中段</w:t>
            </w:r>
          </w:p>
        </w:tc>
        <w:tc>
          <w:tcPr>
            <w:tcW w:w="1449" w:type="pct"/>
            <w:gridSpan w:val="2"/>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3086" w:type="pct"/>
            <w:gridSpan w:val="3"/>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星火路丰禾路东口广场</w:t>
            </w:r>
          </w:p>
        </w:tc>
        <w:tc>
          <w:tcPr>
            <w:tcW w:w="1449" w:type="pct"/>
            <w:gridSpan w:val="2"/>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64" w:type="pct"/>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3086" w:type="pct"/>
            <w:gridSpan w:val="3"/>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桃园北路陇海线广场</w:t>
            </w:r>
          </w:p>
        </w:tc>
        <w:tc>
          <w:tcPr>
            <w:tcW w:w="1449" w:type="pct"/>
            <w:gridSpan w:val="2"/>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r>
    </w:tbl>
    <w:p>
      <w:pPr>
        <w:spacing w:before="156" w:beforeLines="50" w:line="480" w:lineRule="exact"/>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三</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服务期限及付款</w:t>
      </w:r>
    </w:p>
    <w:p>
      <w:pPr>
        <w:spacing w:line="480" w:lineRule="exact"/>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1.服务期限：承包期限为一年，（具体服务起止日期可随合同签订时间相应顺延）。</w:t>
      </w:r>
    </w:p>
    <w:p>
      <w:pPr>
        <w:numPr>
          <w:ilvl w:val="0"/>
          <w:numId w:val="0"/>
        </w:numPr>
        <w:spacing w:line="520" w:lineRule="exact"/>
        <w:ind w:firstLine="420" w:firstLineChars="20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服务</w:t>
      </w:r>
      <w:r>
        <w:rPr>
          <w:rFonts w:hint="eastAsia" w:ascii="宋体" w:hAnsi="宋体" w:eastAsia="宋体" w:cs="宋体"/>
          <w:color w:val="auto"/>
          <w:sz w:val="21"/>
          <w:szCs w:val="21"/>
          <w:highlight w:val="none"/>
        </w:rPr>
        <w:t>地点</w:t>
      </w:r>
      <w:r>
        <w:rPr>
          <w:rFonts w:hint="eastAsia" w:ascii="宋体" w:hAnsi="宋体" w:eastAsia="宋体" w:cs="宋体"/>
          <w:bCs/>
          <w:color w:val="auto"/>
          <w:sz w:val="21"/>
          <w:szCs w:val="21"/>
          <w:highlight w:val="none"/>
        </w:rPr>
        <w:t>：西安市莲湖区红庙坡街道办事处全区域，采购人指定地点</w:t>
      </w:r>
      <w:r>
        <w:rPr>
          <w:rFonts w:hint="eastAsia" w:ascii="宋体" w:hAnsi="宋体" w:eastAsia="宋体" w:cs="宋体"/>
          <w:bCs/>
          <w:color w:val="auto"/>
          <w:sz w:val="21"/>
          <w:szCs w:val="21"/>
          <w:highlight w:val="none"/>
          <w:lang w:eastAsia="zh-CN"/>
        </w:rPr>
        <w:t>。</w:t>
      </w:r>
    </w:p>
    <w:p>
      <w:pPr>
        <w:numPr>
          <w:ilvl w:val="0"/>
          <w:numId w:val="0"/>
        </w:numPr>
        <w:spacing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结算方式：</w:t>
      </w:r>
      <w:r>
        <w:rPr>
          <w:rFonts w:hint="eastAsia" w:ascii="宋体" w:hAnsi="宋体" w:eastAsia="宋体" w:cs="宋体"/>
          <w:color w:val="auto"/>
          <w:sz w:val="21"/>
          <w:szCs w:val="21"/>
          <w:highlight w:val="none"/>
        </w:rPr>
        <w:t>由区财政局按月拨付至红庙坡街道办事处，红庙坡街道办事处拨付至中标单位。</w:t>
      </w:r>
    </w:p>
    <w:p>
      <w:pPr>
        <w:spacing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付款方式：</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甲方每月支付一次，依据每月考核情况计算出当月应得经费，考核结果于次月的10日前告知承包单位，当月15日前支付上月的服务承包费。</w:t>
      </w:r>
    </w:p>
    <w:p>
      <w:pPr>
        <w:pStyle w:val="2"/>
        <w:rPr>
          <w:rFonts w:hint="eastAsia" w:eastAsia="宋体"/>
          <w:color w:val="auto"/>
          <w:highlight w:val="none"/>
          <w:lang w:eastAsia="zh-CN"/>
        </w:rPr>
      </w:pPr>
      <w:r>
        <w:rPr>
          <w:rFonts w:hint="eastAsia" w:ascii="宋体" w:hAnsi="宋体" w:eastAsia="宋体" w:cs="宋体"/>
          <w:color w:val="auto"/>
          <w:sz w:val="21"/>
          <w:szCs w:val="21"/>
          <w:highlight w:val="none"/>
          <w:lang w:eastAsia="zh-CN"/>
        </w:rPr>
        <w:t>四、服务内容及考核标准</w:t>
      </w:r>
    </w:p>
    <w:p>
      <w:pPr>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（一）保洁员配备</w:t>
      </w:r>
      <w:r>
        <w:rPr>
          <w:rFonts w:hint="eastAsia" w:ascii="宋体" w:hAnsi="宋体" w:eastAsia="宋体" w:cs="宋体"/>
          <w:bCs/>
          <w:color w:val="auto"/>
          <w:sz w:val="21"/>
          <w:szCs w:val="21"/>
          <w:highlight w:val="none"/>
        </w:rPr>
        <w:t>（其中包含中标人接管的所有保洁人员）</w:t>
      </w:r>
    </w:p>
    <w:p>
      <w:pPr>
        <w:spacing w:line="480" w:lineRule="exact"/>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投标人根据各街办的清扫保洁面积，合理安排需要配备的保洁员人数，保证人员配备充足，确保服务质量；</w:t>
      </w:r>
    </w:p>
    <w:p>
      <w:pPr>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人员配备：需配备项目经理1人，具有三年以上从事类似管理工作经验，主管4人，保洁工作人员不得低于397人。</w:t>
      </w:r>
    </w:p>
    <w:p>
      <w:pPr>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（二）工作内容</w:t>
      </w:r>
    </w:p>
    <w:p>
      <w:pPr>
        <w:spacing w:line="48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1.道路快慢车行道、人行道、人行过街天桥、绿化带、树池及绿地小广场的机械化和人工清扫保洁等作业。</w:t>
      </w:r>
    </w:p>
    <w:p>
      <w:pPr>
        <w:spacing w:line="48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2.道路冲洒水作业和道路扬尘污染防止管控等工作。</w:t>
      </w:r>
    </w:p>
    <w:p>
      <w:pPr>
        <w:spacing w:line="48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3.应对极端天气的清雪除冰、清扫落叶、清理积水等作业。</w:t>
      </w:r>
    </w:p>
    <w:p>
      <w:pPr>
        <w:spacing w:line="48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4.道路保洁垃圾的定时收集、清运、处置。</w:t>
      </w:r>
    </w:p>
    <w:p>
      <w:pPr>
        <w:spacing w:line="48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5.道路两侧、广场大件垃圾、堆积杂物及空中废弃悬挂物等清理。</w:t>
      </w:r>
    </w:p>
    <w:p>
      <w:pPr>
        <w:spacing w:line="48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6.市政道路果皮箱内垃圾清掏、分类、清运及果皮箱维护、擦拭等日常管护工作。</w:t>
      </w:r>
    </w:p>
    <w:p>
      <w:pPr>
        <w:spacing w:line="48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7.道路路面及两侧立面各类“野广告”清理。</w:t>
      </w:r>
    </w:p>
    <w:p>
      <w:pPr>
        <w:spacing w:line="48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8.休闲座椅、路名牌、候车亭、灯杆、绿地雕塑景观、人行隔离护栏、道路围墙脊瓦等城市家具、公共设施的清洁、保洁工作。</w:t>
      </w:r>
    </w:p>
    <w:p>
      <w:pPr>
        <w:spacing w:line="48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9.道路抛洒、污染、积水、落叶清扫、扫雪除冰等作业。</w:t>
      </w:r>
    </w:p>
    <w:p>
      <w:pPr>
        <w:spacing w:line="48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10.极端天气等突发应急事件处置和重大活动保障。</w:t>
      </w:r>
    </w:p>
    <w:p>
      <w:pPr>
        <w:spacing w:line="48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11.辖区内三无小区应急垃圾清运及其它突发事件处置。</w:t>
      </w:r>
    </w:p>
    <w:p>
      <w:pPr>
        <w:spacing w:line="48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12.甲方指派的辖区内其它保洁作业。</w:t>
      </w:r>
    </w:p>
    <w:p>
      <w:pPr>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三</w:t>
      </w:r>
      <w:r>
        <w:rPr>
          <w:rFonts w:hint="eastAsia" w:ascii="宋体" w:hAnsi="宋体" w:eastAsia="宋体" w:cs="宋体"/>
          <w:b/>
          <w:color w:val="auto"/>
          <w:sz w:val="21"/>
          <w:szCs w:val="21"/>
          <w:highlight w:val="none"/>
        </w:rPr>
        <w:t>）作业标准</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不断提高道路清扫保洁作业水平和机械化程度，鼓励采用新型机械设备和新工艺提升作业质量，加强背街小巷和卫生死角的清扫保洁力度，根据《城市道路清扫保洁质量与评价标准》(CJJ／T-126 -2008)、《西安市城市道路“以克论净 深度保洁”作业标准的通知》（市政办发[2017]7号）等文件的要求，制定本作业标准。该标</w:t>
      </w:r>
      <w:r>
        <w:rPr>
          <w:rFonts w:hint="eastAsia" w:ascii="宋体" w:hAnsi="宋体" w:eastAsia="宋体" w:cs="宋体"/>
          <w:color w:val="auto"/>
          <w:sz w:val="21"/>
          <w:szCs w:val="21"/>
          <w:highlight w:val="none"/>
        </w:rPr>
        <w:t>准随市、区业务主管部门的标准而调整。</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1、人工清扫</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1.1保洁员装备</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每名保洁员配备大扫把1把、小扫把1把，簸箕1个、铲子1个、杂物捡拾夹1个</w:t>
      </w:r>
      <w:r>
        <w:rPr>
          <w:rFonts w:hint="eastAsia" w:ascii="宋体" w:hAnsi="宋体" w:eastAsia="宋体" w:cs="宋体"/>
          <w:color w:val="auto"/>
          <w:sz w:val="21"/>
          <w:szCs w:val="21"/>
          <w:highlight w:val="none"/>
          <w:lang w:eastAsia="zh-CN"/>
        </w:rPr>
        <w:t>、小铲刀1把</w:t>
      </w:r>
      <w:r>
        <w:rPr>
          <w:rFonts w:hint="eastAsia" w:ascii="宋体" w:hAnsi="宋体" w:eastAsia="宋体" w:cs="宋体"/>
          <w:color w:val="auto"/>
          <w:sz w:val="21"/>
          <w:szCs w:val="21"/>
          <w:highlight w:val="none"/>
        </w:rPr>
        <w:t>。中标人需配备适量保洁三轮车和推雪板。每年为保洁员配备春秋装、夏装和冬季保洁服各一套。定期发放劳保用品及福利，每人不得少于350元/年。</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1.2清扫保洁作业要求</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1.人工清扫保洁作业实行“两扫全保”。秋冬季早普扫7:00 前完成，春夏季提前半小时:晚普扫 20:00 后进行。重点区域巡回保洁至24:00，其他道路春夏季巡回保洁至 22:00，秋冬季巡回保洁至 21:00，节假日或重大活动期间保洁时间可适当延长。</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2.机械化清扫达到“应扫尽扫”，清扫作业从凌晨开始至 6:50 前完成。快速巡回保洁在 7:00-22:00 时段进行，避开交通高峰时段，做到文明作业，安全行车。</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3.具有排水条件的道路均应实施道路冲洗、洒水(喷雾)作业。道路冲洗作业应夜间进行，作业时段为当日23:00一次日 6:50;道路洒水、喷雾作业应避开车行高峰期，按照市局要求的时间进行。冬季气温低于3℃时，禁止任何冲洗、酒水作业;夏季气温高于35℃时可适当增加洒水或喷雾作业。</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制定清雪预案，储备融雪剂等物资和工具；以雪为令，全员立即上岗。清雪除冰作业应按照“机械为主、人工为辅、边下边清、边清边运”的原则进行，重点区域“雪停路净”，其他区域“雪停量减”。清扫落叶作业应根据落叶情况加大保洁力度，加强落叶清扫、清运，严禁焚烧。清理积水作业，雨后应先清除雨水井口各类杂物，清理路面垃圾、树枝，再对积水处进行推扫，对地面泥污尘土进行冲洗清洁作业。</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5.道路保洁垃圾应倒入保洁三轮车，定时转运至垃圾转运站。</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6.集中保洁力量，定期开展专项整治活动，对大件垃圾、堆积杂物及空中废弃悬挂物进行清理。</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7.每日早“普扫”时，集中对辖区内338个果皮箱垃圾进行清掏，在保洁时段随满随掏，并对箱体进行擦拭或清洗。同时对55个保洁工具箱进行擦洗及日常维护。</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8.道路清扫保洁时段，依次对道路路面、立面及公共设施上的非法张贴、喷涂乱写及散发落地的宣传品进行清理。</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9.桃园北路高架桥部分以机械化作业为主，禁止人工上路作业。</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10.按调度指令及日常对街道微子站周围进行洒水及湿法作业，采取“清扫加冲洗”的方式，重点清理地面浮土及杂物，进行洒水及湿法作业涉及路段（自强西路、工农路、环城北路、星火路）。</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11.每日对星火路人行天桥、梨园路人行天桥进行擦拭，确保护栏干净无灰尘。</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12.要组建成立40人的应急队伍，</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派遣交由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调度使用，主要用于完成重大活动保障或突发事件应急处置和临时性保障任务，由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共同监督和管理，除不享受高温补贴、早餐补贴、工具及劳保用品待遇外，享受考勤、绩效、加班等其他福利奖励。</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要有作业质量检查队伍，建立质量保证体系，进行日检查，处置12345、12342及网络、西安走航接警处置、媒体投诉问题整改，每月10日前将汇总上报</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，汇入综合考评成绩。</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2、机械化作业</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2.1机扫车作业规范</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作业时必须遵守缓堵保畅的规定，必须避开上下班交通高峰时间段，如遇重大活动或突发事件时可适当调整；</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扫路车作业时鸣报提示音乐和警示灯，开启喷水降尘设施，采取湿法作业，清扫速度不超过每小时10公里，快速保洁时速度不超过每小时15公里。无漏扫、不扬尘，车过地面净，清扫作业结束后必须将垃圾倒入指定收集点。早6:00前和晚22:00后作业时应关闭提示音乐，防止扰民。</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2.2冲洗车作业规范</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每日在6:30前对道路进行冲洗作业，服从市、区业务主管部门有特殊要求；</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洒水车清晨、夜间作业时应打开提示灯，禁止鸣报任何音乐信号，其余时间应鸣信号声，以提醒过路车辆及行人。气温在30℃以上、遇扬尘天气和重要活动及会议保障时增加2-4次洒水、雾喷频次。气温在3℃及以下时禁止冲洒水作业。雨停后3小时内及时将路面积水清理干净；</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加强渣土通道、工地周边道路、城市出入口等灰带严重区域的冲洗作业，做到即时冲洗。</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 所有机扫车、洒水车驾驶员必须具有B类以上驾照，具备4年以上驾龄，身体健康。驾驶员经过专业培训，能熟练掌握专业车辆的操作方法、工作程序，以及车辆的日常维护技能。热爱市容环境卫生工作，工作期间着装整洁、行为规范，做到文明行驶，规范作业；</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 所有扫地车、洒水车必须按照要求安装北斗定位系统，出勤率必须达到90%以上，洒水车出勤率必须达到80%以上；</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清扫保洁垃圾应及时收集和运输</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为保洁员配备三轮车、铁锨等垃圾清运工具，清扫和清掏的垃圾应在早上7:00之前清理完毕，堆放在招标单位指定位置，严禁裸露堆放在路面。垃圾运输过程中不得扬、洒、拖挂，不得乱倒、乱卸、乱抛，无污水滴漏。</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环卫设备的保洁</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2.4.1果皮箱。由莲湖区城管局统一配置，中标人负责管理；</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皮箱外观应整洁、无污垢，随满随掏、随脏随擦。保持箱体端正，箱体整洁，无污物，无野广告，无垃圾落地爆满现象。禁止保洁员在果皮箱、垃圾收集站点内翻捡废品；禁止用箩筐或编织袋装垃圾；果皮箱损坏应及时报修；如发现果皮箱被盗及损毁情况，应立即向招标单位报告；</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保洁工具及存放。不得将保洁工具摆放在人行道、围墙、行道树等处，要将工具存放在隐蔽位置，并摆放整齐，不得影响观瞻；</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安全作业</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2.5.1上岗时间，必须穿着配有反光标志保洁服，并保持干净整洁。夏季作业时，不得敞胸露背，赤脚或穿拖鞋；</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2.5.2保洁员要根据路段的人、车流情况，合理安排作业时间和方式，主动避开行人和车流高峰，以免发生意外；</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保洁员在清扫和保洁时，应按车行线反方向清扫，特别在清扫中间护栏时要提高警觉，注意来车。保洁三轮车不能太靠近车行线停放。清理主车道上的成堆的泥土时，应在清理点来车方向设置醒目的路障，并做好防护措施；</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2.5.4机械车辆清扫保洁：清扫车工作时车速每小时不得大于10公里，工作期间开警示灯。洒水车作业时慢速行驶，必须开放警示灯、安全提示音乐；</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2.5.5文明作业：各时间段作业要严格按照要求作业，垃圾及时清理集中转运，不得焚烧树叶、垃圾；</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2.5.6用人单位按照《中华人民共和国劳动合同法》和《中华人民共和国社会保险法》等规定与道路清扫保洁员签订劳动合同、办理社会保险并按时足额缴纳社会保险费。</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2.5.7工作时间内严禁聚堆闲谈或干与工作无关的事。</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2.5.8工作过程中，严禁将扫把等工具挂在树上、放在护栏上或靠在墙上。</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2.5.9 经常检查、维护、更新保洁工具，保证其处于良好状态。</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2.5.10禁止将垃圾倾倒在非垃圾收集点等区域。</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劳动保障</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 中标人须与保洁员签订劳动合同。劳动合同须在相关街办留存备案备查；</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 中标人应向保洁员按时全额发放工资、福利。按照市、区相关文件，保洁员工资</w:t>
      </w:r>
      <w:r>
        <w:rPr>
          <w:rFonts w:hint="eastAsia" w:ascii="宋体" w:hAnsi="宋体" w:eastAsia="宋体" w:cs="宋体"/>
          <w:color w:val="auto"/>
          <w:sz w:val="21"/>
          <w:szCs w:val="21"/>
          <w:highlight w:val="none"/>
          <w:lang w:eastAsia="zh-CN"/>
        </w:rPr>
        <w:t>2805</w:t>
      </w:r>
      <w:r>
        <w:rPr>
          <w:rFonts w:hint="eastAsia" w:ascii="宋体" w:hAnsi="宋体" w:eastAsia="宋体" w:cs="宋体"/>
          <w:color w:val="auto"/>
          <w:sz w:val="21"/>
          <w:szCs w:val="21"/>
          <w:highlight w:val="none"/>
        </w:rPr>
        <w:t>元/人/月，降温费1350元/人/年，取暖费900元/人/年（11月15日至次年3月15日），劳保费350元/人/年。春秋装、冬装、夏装等工作服及手套、口罩等劳保用品。保洁员法定节假日加班的应按规定发放相应的报酬；高温津贴、社会保险由承包企业先行垫付，实报实销；</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 机械化作业运行费用：含燃油、保险、维修、保养等。</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 中标人须按照市级部门要求为保洁员购买社会保险及雇主责任险：</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中标人必须按照要求给保洁人员办理社会保险。个人承担部分由中标人从保洁员当月工资中扣除，代扣代缴；企业应当承担部分，由承包企业先垫付，每月据实结算，实报实销；</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 保洁员实行“7天休1天”工作制；</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2.6.6 投标单位须执行《劳动法》有关员工保障的其他规定。</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服务组织实施方案</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投标单位须制定完整、可行、详细的城市道路清扫保洁服务组织实施方案，明确组织机构、每条路段的人员配备、机扫作业要求、质量标准、检查考核办法、安全措施、奖惩措施、应急预案等。</w:t>
      </w:r>
    </w:p>
    <w:p>
      <w:pPr>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）项目总负责人针对本项目提出的方案及建议</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负责人针对本项目需提供完整科学可行的保洁方案，包括人员的配备，“烟头革命”提升方案，车辆的运行情况，垃圾清运处置情况，突发事件处置预案，保洁人员休息休假制度，保洁员社保办理制度，巡查制度，保洁人员绩效考核办法等。</w:t>
      </w:r>
    </w:p>
    <w:p>
      <w:pPr>
        <w:spacing w:line="48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、监督管理与考核</w:t>
      </w:r>
    </w:p>
    <w:p>
      <w:pPr>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（一）监管依据</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《西安市城市道路“以克论净 深度保洁”作业标准（试行）》《西安市莲湖区道路清扫保洁服务外包工作指导意见》以及行业管理相关规定和承包合同规定条款。</w:t>
      </w:r>
    </w:p>
    <w:p>
      <w:pPr>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（二）保洁员配备</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员配备数量，以西大街管委会办公室、各街道办事处各自发包总价，扣除机械作业运行费、税费、运营管理费及利润后，除以单个保洁员年核定用工费予以确定。每月划拨经费时，按缺配人数扣除相应的保洁员月用工费用，保证保洁员合理配置，足额上岗。</w:t>
      </w:r>
    </w:p>
    <w:p>
      <w:pPr>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（三）检查考核</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分为行业监督考核和属地管理考核。</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业监督考核由区城管局负责，采取第三方日巡检与业务科室督导检查并行的方式进行，量化打分，每月排名，每年总评。每月对各街道办事处、西大街管委会办公室排名前两位的予以表扬，排名后两位的予以通报批评；对各项目部进行考核，排名前两位的分别奖励3万元、2万元，排名后两位的，从外包服务费中分别扣缴5万元、3万元；每年对总评成绩排名前两位的项目部分别奖励20万元、10万元，奖励资金由区财政列支。</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街办</w:t>
      </w:r>
      <w:r>
        <w:rPr>
          <w:rFonts w:hint="eastAsia" w:ascii="宋体" w:hAnsi="宋体" w:eastAsia="宋体" w:cs="宋体"/>
          <w:color w:val="auto"/>
          <w:sz w:val="21"/>
          <w:szCs w:val="21"/>
          <w:highlight w:val="none"/>
        </w:rPr>
        <w:t>应对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的工作进行指导、协调和考核奖罚。</w:t>
      </w:r>
      <w:r>
        <w:rPr>
          <w:rFonts w:hint="eastAsia" w:ascii="宋体" w:hAnsi="宋体" w:eastAsia="宋体" w:cs="宋体"/>
          <w:color w:val="auto"/>
          <w:sz w:val="21"/>
          <w:szCs w:val="21"/>
          <w:highlight w:val="none"/>
          <w:lang w:eastAsia="zh-CN"/>
        </w:rPr>
        <w:t>街办</w:t>
      </w:r>
      <w:r>
        <w:rPr>
          <w:rFonts w:hint="eastAsia" w:ascii="宋体" w:hAnsi="宋体" w:eastAsia="宋体" w:cs="宋体"/>
          <w:color w:val="auto"/>
          <w:sz w:val="21"/>
          <w:szCs w:val="21"/>
          <w:highlight w:val="none"/>
        </w:rPr>
        <w:t>按照作业内容和标准制定量化检查考核办法，实行百分制，达标分值设为80-90分，高于90分的，每高1分奖励5000元；低于80分的，每低1分处罚5000元，每月兑现，奖励资金由应付款中直接予以扣除。</w:t>
      </w:r>
    </w:p>
    <w:p>
      <w:pPr>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（四）退出机制</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黄牌警告。对不按时发放保洁员工资、福利待遇、购买社会保险，在重大活动保障和应急处置中因工作失误造成重大影响的，以及在单项考核工作中因清扫保洁不到位造成我区排名靠后或恶劣影响的，给予书面警示。</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2.单项终止。在一年内月度考评中，连续3次或累计4次列末位的</w:t>
      </w:r>
      <w:r>
        <w:rPr>
          <w:rFonts w:hint="eastAsia" w:ascii="宋体" w:hAnsi="宋体" w:eastAsia="宋体" w:cs="宋体"/>
          <w:color w:val="auto"/>
          <w:sz w:val="21"/>
          <w:szCs w:val="21"/>
          <w:highlight w:val="none"/>
          <w:lang w:eastAsia="zh-CN"/>
        </w:rPr>
        <w:t>，以及未切实履行合同，</w:t>
      </w:r>
      <w:r>
        <w:rPr>
          <w:rFonts w:hint="eastAsia" w:ascii="宋体" w:hAnsi="宋体" w:eastAsia="宋体" w:cs="宋体"/>
          <w:color w:val="auto"/>
          <w:sz w:val="21"/>
          <w:szCs w:val="21"/>
          <w:highlight w:val="none"/>
        </w:rPr>
        <w:t>年度内被2次黄牌警告的，所在街道办事处可终止承包合同。</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3.联片退出。在承包期内，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出现偷税漏税、劳务纠纷、违法失信等行为，或因管理不善，发生重大群体性事件，造成恶劣影响的，区城管局提交区政府，申请终止</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所有中标合同，纳入城管征信体系，3年内不得在莲湖辖区承担道路清扫保洁服务外包项目。</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4.末位淘汰。在承包合同期内，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年综合考评总评成绩列末位的，不得参与下一轮服务外包。</w:t>
      </w:r>
    </w:p>
    <w:p>
      <w:pPr>
        <w:spacing w:line="48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5.企业中标后，两个月内未按规定配齐保洁员和机械设备的，恶意拖欠保洁员工资及劳保福利的。</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当出现单项终止和联片退出导致合同终止时，提出终止合同方需报告区政府，由区政府研究审定，区环卫集团代管。</w:t>
      </w:r>
    </w:p>
    <w:p>
      <w:pPr>
        <w:spacing w:line="48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三</w:t>
      </w:r>
      <w:r>
        <w:rPr>
          <w:rFonts w:hint="eastAsia" w:ascii="宋体" w:hAnsi="宋体" w:eastAsia="宋体" w:cs="宋体"/>
          <w:b/>
          <w:color w:val="auto"/>
          <w:sz w:val="21"/>
          <w:szCs w:val="21"/>
          <w:highlight w:val="none"/>
        </w:rPr>
        <w:t>、西安市莲湖区道路清扫保洁服务外包第三方检查考核办法</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为加强对全区道路清扫保洁服务</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的管理，实现对其业务工作检查考核的科学化、规范化，</w:t>
      </w:r>
      <w:r>
        <w:rPr>
          <w:rFonts w:hint="eastAsia" w:ascii="宋体" w:hAnsi="宋体" w:eastAsia="宋体" w:cs="宋体"/>
          <w:color w:val="auto"/>
          <w:sz w:val="21"/>
          <w:szCs w:val="21"/>
          <w:highlight w:val="none"/>
          <w:lang w:eastAsia="zh-CN"/>
        </w:rPr>
        <w:t>按照</w:t>
      </w:r>
      <w:r>
        <w:rPr>
          <w:rFonts w:hint="eastAsia" w:ascii="宋体" w:hAnsi="宋体" w:eastAsia="宋体" w:cs="宋体"/>
          <w:color w:val="auto"/>
          <w:sz w:val="21"/>
          <w:szCs w:val="21"/>
          <w:highlight w:val="none"/>
        </w:rPr>
        <w:t>“明确责任、强化管理，量化考核、按质付费，绩效管理、服务民生，公开透明、便于执行”的原则，依据市、区相关作业标准和检查考核办法，结合我区实际，制定本办法。</w:t>
      </w:r>
    </w:p>
    <w:p>
      <w:pPr>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（一）考评模式</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公开、公平、公正的原则，坚持抽样调查和日常检查相结合、分类量化打分与综合评定排名相结合，构建以专业公司测评为主、部门专项督导考核为辅的检查考核模式。通过政府购买，引入专业调查评估公司，依据道路清扫保洁工作的内容及标准，每日对考评对象进行检查考核、量化打分，每月排名，兑现奖罚。</w:t>
      </w:r>
    </w:p>
    <w:p>
      <w:pPr>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（二）考评对象</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承担红庙坡街办保洁工作的社会化公司项目部。</w:t>
      </w:r>
    </w:p>
    <w:p>
      <w:pPr>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（三）考评内容及标准</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围绕“烟头革命”“以克论净 深度保洁”作业标准，结合道路清扫保洁作业规范执行情况、清扫保洁作业质量、承包企业队伍管理及领导督办、公众监督的处理情况按月度进行综合考评。</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方测评，由第三方专业公司对考评对象完成的市容保洁情况进行测评，包括道路清扫保洁质量、道路冲洒水质量、野广告数量、果皮箱清掏及管护情况、门店垃圾定时收集、保洁员行为规范等6项内容，依据《莲湖区道路清扫保洁第三方测评标准》（见附件1）进行测评。</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专项督导考核，由区城管局市容管理科对考评对象工作进展情况进行考核，包括保洁员配备、机械化清扫和冲洒水作业规范、保洁员工资及福利发放、保洁员保险办理、保洁员服装和工具配备、安全生产、工作配合与协调、其他专项考核等8项内容，依据《莲湖区道路清扫保洁作业部门督导考核标准》（见附件2）进行考核。</w:t>
      </w:r>
    </w:p>
    <w:p>
      <w:pPr>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（四）考核方式</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1.第三方测评</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第三方专业公司根据考评内容及标准，采取对称、随机、暗访的方式，每月进行六次测评。其中，节假日测评2次，工作日测评4次，每次测评要对10个考评对象服务管辖区域全覆盖。每月对全区所有一、二类道路全覆盖检查不少于3次，对所有三类道路全覆盖检查不少于1次。第三方公司对采集的问题信息以图片形式取证，输入数据评价系统，作为考评依据。同时，将信息传送区数字化城管信息平台进行立案，派遣至相关单位处置，促进问题整改。第三方专业公司每月出具测评报告，作为全区月度综合考评依据。</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2.部门专项督导考核</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由区城管局根据考评内容及标准，采取实地督导、查看监控、抽查资料等方式，对各项目部进行不定期督导考核，对存在的问题予以通报，并作为考评依据。</w:t>
      </w:r>
    </w:p>
    <w:p>
      <w:pPr>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（五）综合评定</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区城管局牵头负责，采取百分制评定。其中，第三方专业公司测评分值占70%，部门专业督导考核分值占30%，并将上级检查通报、媒体监督以及投诉处置等作为加减分项（见附件3），分值不超过5分。据此进行综合评定，依次排出考评对象的月度名次并通报。年度考核成绩为各月考评分值总和的平均值。</w:t>
      </w:r>
    </w:p>
    <w:p>
      <w:pPr>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（六）结果运用</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奖罚。每月对排名前两位的单位分别奖励3万元、2万元，对排名后两位的单位从月度保洁经费中扣缴5万元、3万元；每年进行年终总评，对总评成绩排名前两位的单位分别奖励20万元、10万元，奖励资金由区财政列支。</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黄牌警告。对不按时发放保洁员工资、福利待遇、购买社会保险，在重大活动保障和应急处置中因工作失误造成重大影响的，以及在单项考核工作中因清扫保洁不到位造成我区排名靠后或恶劣影响的，给予书面警示。</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3.单项终止。在一年内月度考评中，连续3次或累计4次列末位的</w:t>
      </w:r>
      <w:r>
        <w:rPr>
          <w:rFonts w:hint="eastAsia" w:ascii="宋体" w:hAnsi="宋体" w:eastAsia="宋体" w:cs="宋体"/>
          <w:color w:val="auto"/>
          <w:sz w:val="21"/>
          <w:szCs w:val="21"/>
          <w:highlight w:val="none"/>
          <w:lang w:eastAsia="zh-CN"/>
        </w:rPr>
        <w:t>，以及未切实履行合同，</w:t>
      </w:r>
      <w:r>
        <w:rPr>
          <w:rFonts w:hint="eastAsia" w:ascii="宋体" w:hAnsi="宋体" w:eastAsia="宋体" w:cs="宋体"/>
          <w:color w:val="auto"/>
          <w:sz w:val="21"/>
          <w:szCs w:val="21"/>
          <w:highlight w:val="none"/>
        </w:rPr>
        <w:t>年度内被2次黄牌警告的，所在街道办事处可终止承包合同。</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4.联片退出。在承包期内，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出现偷税漏税、劳务纠纷、违法失信等行为，或因管理不善，发生重大群体性事件，造成恶劣影响的，区城管局提交区政府，申请终止</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所有中标合同，纳入城管征信体系，3年内不得在莲湖辖区承担道路清扫保洁服务外包项目。</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5.末位淘汰。在承包合同期内，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年综合考评总评成绩列末位的，不得参与下一轮服务外包。</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附件：1.莲湖区道路清扫保洁作业第三方测评标准</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2.莲湖区道路清扫保洁作业部门督导考核标准</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3.莲湖区道路清扫保洁综合考评加减分标准</w:t>
      </w:r>
    </w:p>
    <w:p>
      <w:pPr>
        <w:spacing w:line="48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4.红庙坡街道办事处道路清扫保洁服务外包检查考核办法</w:t>
      </w:r>
    </w:p>
    <w:p>
      <w:pPr>
        <w:spacing w:line="480" w:lineRule="exact"/>
        <w:ind w:firstLine="420" w:firstLineChars="200"/>
        <w:jc w:val="left"/>
        <w:rPr>
          <w:rFonts w:hint="eastAsia" w:ascii="宋体" w:hAnsi="宋体" w:eastAsia="宋体" w:cs="宋体"/>
          <w:color w:val="auto"/>
          <w:sz w:val="21"/>
          <w:szCs w:val="21"/>
          <w:highlight w:val="none"/>
          <w:lang w:val="en-US" w:eastAsia="zh-CN"/>
        </w:rPr>
        <w:sectPr>
          <w:headerReference r:id="rId3" w:type="first"/>
          <w:pgSz w:w="11906" w:h="16838"/>
          <w:pgMar w:top="1440" w:right="1474" w:bottom="1440" w:left="1588" w:header="1134" w:footer="992" w:gutter="0"/>
          <w:pgNumType w:fmt="numberInDash" w:start="0"/>
          <w:cols w:space="720" w:num="1"/>
          <w:titlePg/>
          <w:docGrid w:type="lines" w:linePitch="312" w:charSpace="0"/>
        </w:sectPr>
      </w:pPr>
    </w:p>
    <w:p>
      <w:pPr>
        <w:spacing w:line="48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w:t>
      </w:r>
    </w:p>
    <w:p>
      <w:pPr>
        <w:spacing w:line="480" w:lineRule="exact"/>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莲湖区道路清扫保洁作业第三方测评标准</w:t>
      </w:r>
    </w:p>
    <w:tbl>
      <w:tblPr>
        <w:tblStyle w:val="10"/>
        <w:tblpPr w:leftFromText="180" w:rightFromText="180" w:vertAnchor="text" w:horzAnchor="page" w:tblpX="1254" w:tblpY="516"/>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40"/>
        <w:gridCol w:w="6945"/>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2" w:hRule="atLeast"/>
        </w:trPr>
        <w:tc>
          <w:tcPr>
            <w:tcW w:w="1940" w:type="dxa"/>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 w:val="18"/>
                <w:szCs w:val="18"/>
                <w:highlight w:val="none"/>
              </w:rPr>
              <w:t>项目名称</w:t>
            </w:r>
          </w:p>
        </w:tc>
        <w:tc>
          <w:tcPr>
            <w:tcW w:w="6945" w:type="dxa"/>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 w:val="18"/>
                <w:szCs w:val="18"/>
                <w:highlight w:val="none"/>
              </w:rPr>
              <w:t>作业要求及质量标准</w:t>
            </w:r>
          </w:p>
        </w:tc>
        <w:tc>
          <w:tcPr>
            <w:tcW w:w="5107" w:type="dxa"/>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 w:val="18"/>
                <w:szCs w:val="18"/>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5" w:hRule="atLeast"/>
        </w:trPr>
        <w:tc>
          <w:tcPr>
            <w:tcW w:w="1940" w:type="dxa"/>
            <w:vMerge w:val="restart"/>
            <w:noWrap w:val="0"/>
            <w:vAlign w:val="center"/>
          </w:tcPr>
          <w:p>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道路清扫保洁质量</w:t>
            </w:r>
          </w:p>
          <w:p>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（50分）</w:t>
            </w:r>
          </w:p>
        </w:tc>
        <w:tc>
          <w:tcPr>
            <w:tcW w:w="6945" w:type="dxa"/>
            <w:noWrap w:val="0"/>
            <w:vAlign w:val="center"/>
          </w:tcPr>
          <w:p>
            <w:pPr>
              <w:widowControl/>
              <w:spacing w:line="26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“两扫全保”。秋冬季早普扫7:00前完成，春夏季提前半小时完成。重点区域巡回保洁至24:00，其他道路春夏季巡回保洁至22:00，秋冬季巡回保洁至21:00，节假日或重大活动期间可适当延长。</w:t>
            </w:r>
          </w:p>
        </w:tc>
        <w:tc>
          <w:tcPr>
            <w:tcW w:w="5107" w:type="dxa"/>
            <w:noWrap w:val="0"/>
            <w:vAlign w:val="center"/>
          </w:tcPr>
          <w:p>
            <w:pPr>
              <w:widowControl/>
              <w:spacing w:line="260" w:lineRule="exact"/>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未按规定时间完成普扫发现一处扣0.5分。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6" w:hRule="atLeast"/>
        </w:trPr>
        <w:tc>
          <w:tcPr>
            <w:tcW w:w="1940" w:type="dxa"/>
            <w:vMerge w:val="continue"/>
            <w:noWrap w:val="0"/>
            <w:vAlign w:val="center"/>
          </w:tcPr>
          <w:p>
            <w:pPr>
              <w:spacing w:line="260" w:lineRule="exact"/>
              <w:jc w:val="center"/>
              <w:rPr>
                <w:rFonts w:hint="eastAsia" w:ascii="宋体" w:hAnsi="宋体" w:eastAsia="宋体" w:cs="宋体"/>
                <w:color w:val="auto"/>
                <w:kern w:val="0"/>
                <w:sz w:val="18"/>
                <w:szCs w:val="18"/>
                <w:highlight w:val="none"/>
              </w:rPr>
            </w:pPr>
          </w:p>
        </w:tc>
        <w:tc>
          <w:tcPr>
            <w:tcW w:w="6945" w:type="dxa"/>
            <w:noWrap w:val="0"/>
            <w:vAlign w:val="center"/>
          </w:tcPr>
          <w:p>
            <w:pPr>
              <w:widowControl/>
              <w:spacing w:line="300" w:lineRule="exact"/>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重点区域及一级道路，地面尘土每平方米不超过5克，垃圾路面滞留时间不超过5分钟；二、三级道路地面尘土每平方米均不超过10克，垃圾路面滞留时间不超过10分钟；绿化带清掏及时，无烟头杂物；禁止焚烧垃圾。</w:t>
            </w:r>
          </w:p>
        </w:tc>
        <w:tc>
          <w:tcPr>
            <w:tcW w:w="5107" w:type="dxa"/>
            <w:noWrap w:val="0"/>
            <w:vAlign w:val="center"/>
          </w:tcPr>
          <w:p>
            <w:pPr>
              <w:widowControl/>
              <w:spacing w:line="300" w:lineRule="exact"/>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灰土重量未达到质量标准的，1平方米每超出1克扣0.3分。</w:t>
            </w:r>
          </w:p>
          <w:p>
            <w:pPr>
              <w:widowControl/>
              <w:spacing w:line="300" w:lineRule="exact"/>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道路或绿地内存在烟头和零星垃圾的，每个扣0.1分。</w:t>
            </w:r>
          </w:p>
          <w:p>
            <w:pPr>
              <w:widowControl/>
              <w:spacing w:line="300" w:lineRule="exact"/>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可视范围内发现有散落垃圾和成堆垃圾，10分钟内未清理的，每处扣0.5分。           </w:t>
            </w:r>
          </w:p>
          <w:p>
            <w:pPr>
              <w:widowControl/>
              <w:spacing w:line="300" w:lineRule="exact"/>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焚烧垃圾的，发现一处扣0.5分。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2" w:hRule="atLeast"/>
        </w:trPr>
        <w:tc>
          <w:tcPr>
            <w:tcW w:w="1940" w:type="dxa"/>
            <w:noWrap w:val="0"/>
            <w:vAlign w:val="center"/>
          </w:tcPr>
          <w:p>
            <w:pPr>
              <w:widowControl/>
              <w:spacing w:line="26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冲洒水质量</w:t>
            </w:r>
          </w:p>
          <w:p>
            <w:pPr>
              <w:widowControl/>
              <w:spacing w:line="260" w:lineRule="exact"/>
              <w:ind w:firstLine="450" w:firstLineChars="25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（20分）</w:t>
            </w:r>
          </w:p>
        </w:tc>
        <w:tc>
          <w:tcPr>
            <w:tcW w:w="6945" w:type="dxa"/>
            <w:noWrap w:val="0"/>
            <w:vAlign w:val="center"/>
          </w:tcPr>
          <w:p>
            <w:pPr>
              <w:widowControl/>
              <w:spacing w:line="300" w:lineRule="exact"/>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路面无土绺、无漏扫、无杂物，达到路面净、道牙净、雨水口净。</w:t>
            </w:r>
          </w:p>
        </w:tc>
        <w:tc>
          <w:tcPr>
            <w:tcW w:w="5107" w:type="dxa"/>
            <w:noWrap w:val="0"/>
            <w:vAlign w:val="center"/>
          </w:tcPr>
          <w:p>
            <w:pPr>
              <w:widowControl/>
              <w:spacing w:line="26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道路两侧有泥沙、积尘的，每20米扣0.2分。</w:t>
            </w:r>
          </w:p>
          <w:p>
            <w:pPr>
              <w:widowControl/>
              <w:spacing w:line="26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道路有油渍的，每平方米扣0.2分。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7" w:hRule="atLeast"/>
        </w:trPr>
        <w:tc>
          <w:tcPr>
            <w:tcW w:w="1940" w:type="dxa"/>
            <w:noWrap w:val="0"/>
            <w:vAlign w:val="center"/>
          </w:tcPr>
          <w:p>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果皮箱清掏和管护</w:t>
            </w:r>
          </w:p>
          <w:p>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（10分）</w:t>
            </w:r>
          </w:p>
        </w:tc>
        <w:tc>
          <w:tcPr>
            <w:tcW w:w="6945" w:type="dxa"/>
            <w:noWrap w:val="0"/>
            <w:vAlign w:val="center"/>
          </w:tcPr>
          <w:p>
            <w:pPr>
              <w:widowControl/>
              <w:spacing w:line="26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果皮箱无歪斜，外表干净，无满溢，周边无垃圾散落。</w:t>
            </w:r>
          </w:p>
        </w:tc>
        <w:tc>
          <w:tcPr>
            <w:tcW w:w="5107" w:type="dxa"/>
            <w:noWrap w:val="0"/>
            <w:vAlign w:val="center"/>
          </w:tcPr>
          <w:p>
            <w:pPr>
              <w:widowControl/>
              <w:spacing w:line="260" w:lineRule="exact"/>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果皮箱有歪斜和倒下现象，每项扣0.2分。</w:t>
            </w:r>
          </w:p>
          <w:p>
            <w:pPr>
              <w:widowControl/>
              <w:spacing w:line="260" w:lineRule="exact"/>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果皮箱外表脏污，有垃圾溢出、有散落垃圾的，每项扣0.2分。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2" w:hRule="atLeast"/>
        </w:trPr>
        <w:tc>
          <w:tcPr>
            <w:tcW w:w="1940" w:type="dxa"/>
            <w:noWrap w:val="0"/>
            <w:vAlign w:val="center"/>
          </w:tcPr>
          <w:p>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“野广告”清理</w:t>
            </w:r>
          </w:p>
          <w:p>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(10分)</w:t>
            </w:r>
          </w:p>
        </w:tc>
        <w:tc>
          <w:tcPr>
            <w:tcW w:w="6945" w:type="dxa"/>
            <w:noWrap w:val="0"/>
            <w:vAlign w:val="center"/>
          </w:tcPr>
          <w:p>
            <w:pPr>
              <w:widowControl/>
              <w:spacing w:line="26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“野广告”清理及时，覆盖色与底色一致。</w:t>
            </w:r>
          </w:p>
        </w:tc>
        <w:tc>
          <w:tcPr>
            <w:tcW w:w="5107" w:type="dxa"/>
            <w:noWrap w:val="0"/>
            <w:vAlign w:val="center"/>
          </w:tcPr>
          <w:p>
            <w:pPr>
              <w:widowControl/>
              <w:spacing w:line="260" w:lineRule="exact"/>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9" w:hRule="atLeast"/>
        </w:trPr>
        <w:tc>
          <w:tcPr>
            <w:tcW w:w="1940" w:type="dxa"/>
            <w:noWrap w:val="0"/>
            <w:vAlign w:val="center"/>
          </w:tcPr>
          <w:p>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保洁员行为规范</w:t>
            </w:r>
          </w:p>
          <w:p>
            <w:pPr>
              <w:widowControl/>
              <w:spacing w:line="2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（10分）</w:t>
            </w:r>
          </w:p>
        </w:tc>
        <w:tc>
          <w:tcPr>
            <w:tcW w:w="6945" w:type="dxa"/>
            <w:noWrap w:val="0"/>
            <w:vAlign w:val="center"/>
          </w:tcPr>
          <w:p>
            <w:pPr>
              <w:widowControl/>
              <w:spacing w:line="26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清扫保洁员必须着制式保洁服上岗（带反光），不准穿拖鞋、高跟鞋。在岗期间不准扎堆闲聊，做与工作无关的事。</w:t>
            </w:r>
          </w:p>
        </w:tc>
        <w:tc>
          <w:tcPr>
            <w:tcW w:w="5107" w:type="dxa"/>
            <w:noWrap w:val="0"/>
            <w:vAlign w:val="center"/>
          </w:tcPr>
          <w:p>
            <w:pPr>
              <w:widowControl/>
              <w:spacing w:line="260" w:lineRule="exact"/>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r>
    </w:tbl>
    <w:p>
      <w:pPr>
        <w:widowControl/>
        <w:rPr>
          <w:rFonts w:hint="eastAsia" w:ascii="宋体" w:hAnsi="宋体" w:eastAsia="宋体" w:cs="宋体"/>
          <w:b/>
          <w:color w:val="auto"/>
          <w:sz w:val="24"/>
          <w:highlight w:val="none"/>
        </w:rPr>
      </w:pPr>
    </w:p>
    <w:p>
      <w:pPr>
        <w:widowControl/>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附件2</w:t>
      </w:r>
    </w:p>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莲湖区道路清扫保洁作业部门督导考核标准</w:t>
      </w:r>
    </w:p>
    <w:p>
      <w:pPr>
        <w:widowControl/>
        <w:rPr>
          <w:rFonts w:hint="eastAsia" w:ascii="宋体" w:hAnsi="宋体" w:eastAsia="宋体" w:cs="宋体"/>
          <w:b/>
          <w:color w:val="auto"/>
          <w:sz w:val="24"/>
          <w:highlight w:val="none"/>
        </w:rPr>
      </w:pPr>
    </w:p>
    <w:tbl>
      <w:tblPr>
        <w:tblStyle w:val="10"/>
        <w:tblpPr w:leftFromText="180" w:rightFromText="180" w:vertAnchor="text" w:horzAnchor="margin" w:tblpY="739"/>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40"/>
        <w:gridCol w:w="6945"/>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2" w:hRule="atLeast"/>
        </w:trPr>
        <w:tc>
          <w:tcPr>
            <w:tcW w:w="1940" w:type="dxa"/>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项目名称</w:t>
            </w:r>
          </w:p>
        </w:tc>
        <w:tc>
          <w:tcPr>
            <w:tcW w:w="6945" w:type="dxa"/>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要求及标准</w:t>
            </w:r>
          </w:p>
        </w:tc>
        <w:tc>
          <w:tcPr>
            <w:tcW w:w="5107" w:type="dxa"/>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5" w:hRule="atLeast"/>
        </w:trPr>
        <w:tc>
          <w:tcPr>
            <w:tcW w:w="1940" w:type="dxa"/>
            <w:noWrap w:val="0"/>
            <w:vAlign w:val="center"/>
          </w:tcPr>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保洁员配备</w:t>
            </w:r>
          </w:p>
        </w:tc>
        <w:tc>
          <w:tcPr>
            <w:tcW w:w="6945" w:type="dxa"/>
            <w:noWrap w:val="0"/>
            <w:vAlign w:val="center"/>
          </w:tcPr>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按照应配人数足额配备保洁员。</w:t>
            </w:r>
          </w:p>
        </w:tc>
        <w:tc>
          <w:tcPr>
            <w:tcW w:w="5107" w:type="dxa"/>
            <w:noWrap w:val="0"/>
            <w:vAlign w:val="center"/>
          </w:tcPr>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未达到应配人数的，每少1人扣0.5分。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7" w:hRule="atLeast"/>
        </w:trPr>
        <w:tc>
          <w:tcPr>
            <w:tcW w:w="1940" w:type="dxa"/>
            <w:noWrap w:val="0"/>
            <w:vAlign w:val="center"/>
          </w:tcPr>
          <w:p>
            <w:pPr>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机械化清扫和冲洒水作业规范</w:t>
            </w:r>
          </w:p>
        </w:tc>
        <w:tc>
          <w:tcPr>
            <w:tcW w:w="6945" w:type="dxa"/>
            <w:noWrap w:val="0"/>
            <w:vAlign w:val="center"/>
          </w:tcPr>
          <w:p>
            <w:pPr>
              <w:widowControl/>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作业时应避开早晚交通高峰期；</w:t>
            </w:r>
          </w:p>
          <w:p>
            <w:pPr>
              <w:widowControl/>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3℃以下禁止一切保洁车辆上路作业；</w:t>
            </w:r>
          </w:p>
          <w:p>
            <w:pPr>
              <w:widowControl/>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行车时文明作业，开启警示音乐，打开警示灯，遇到行人应关闭喷水设施；夜间22:00-凌晨6:00，应关闭警示音乐；</w:t>
            </w:r>
          </w:p>
          <w:p>
            <w:pPr>
              <w:widowControl/>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机扫车出勤率达90%以上、洒水车出勤率达80%以上。</w:t>
            </w:r>
          </w:p>
        </w:tc>
        <w:tc>
          <w:tcPr>
            <w:tcW w:w="5107" w:type="dxa"/>
            <w:noWrap w:val="0"/>
            <w:vAlign w:val="center"/>
          </w:tcPr>
          <w:p>
            <w:pPr>
              <w:widowControl/>
              <w:spacing w:line="3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未按作业要求，出现惊扰市民，水溅行人、不文明行车行为的，每发现一次扣0.5分；</w:t>
            </w:r>
          </w:p>
          <w:p>
            <w:pPr>
              <w:widowControl/>
              <w:spacing w:line="3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机械化作业违反时间规定的，每发现一次扣0.5分；</w:t>
            </w:r>
          </w:p>
          <w:p>
            <w:pPr>
              <w:widowControl/>
              <w:spacing w:line="3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车辆出勤率未达标，每减低一个百分点扣0.5分。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atLeast"/>
        </w:trPr>
        <w:tc>
          <w:tcPr>
            <w:tcW w:w="1940" w:type="dxa"/>
            <w:noWrap w:val="0"/>
            <w:vAlign w:val="center"/>
          </w:tcPr>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保洁员工资及</w:t>
            </w:r>
          </w:p>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福利待遇发放</w:t>
            </w:r>
          </w:p>
        </w:tc>
        <w:tc>
          <w:tcPr>
            <w:tcW w:w="6945" w:type="dxa"/>
            <w:noWrap w:val="0"/>
            <w:vAlign w:val="top"/>
          </w:tcPr>
          <w:p>
            <w:pPr>
              <w:widowControl/>
              <w:spacing w:line="260" w:lineRule="exact"/>
              <w:jc w:val="center"/>
              <w:rPr>
                <w:rFonts w:hint="eastAsia" w:ascii="宋体" w:hAnsi="宋体" w:eastAsia="宋体" w:cs="宋体"/>
                <w:color w:val="auto"/>
                <w:kern w:val="0"/>
                <w:szCs w:val="21"/>
                <w:highlight w:val="none"/>
              </w:rPr>
            </w:pPr>
          </w:p>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按照标准，及时发放保洁员工资及各项福利待遇。</w:t>
            </w:r>
          </w:p>
        </w:tc>
        <w:tc>
          <w:tcPr>
            <w:tcW w:w="5107" w:type="dxa"/>
            <w:noWrap w:val="0"/>
            <w:vAlign w:val="center"/>
          </w:tcPr>
          <w:p>
            <w:pPr>
              <w:widowControl/>
              <w:spacing w:line="2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未按要求发放保洁员工资和福利待遇的的，每发现一次扣3分。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1940" w:type="dxa"/>
            <w:noWrap w:val="0"/>
            <w:vAlign w:val="center"/>
          </w:tcPr>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保洁员保险办理</w:t>
            </w:r>
          </w:p>
        </w:tc>
        <w:tc>
          <w:tcPr>
            <w:tcW w:w="6945" w:type="dxa"/>
            <w:noWrap w:val="0"/>
            <w:vAlign w:val="center"/>
          </w:tcPr>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按照政策，为全部符合条件的保洁员办理社会保险和人身意外伤害险。</w:t>
            </w:r>
          </w:p>
        </w:tc>
        <w:tc>
          <w:tcPr>
            <w:tcW w:w="5107" w:type="dxa"/>
            <w:noWrap w:val="0"/>
            <w:vAlign w:val="center"/>
          </w:tcPr>
          <w:p>
            <w:pPr>
              <w:widowControl/>
              <w:spacing w:line="2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未按要求办理保险的，每发现一次扣3分。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trPr>
        <w:tc>
          <w:tcPr>
            <w:tcW w:w="1940" w:type="dxa"/>
            <w:noWrap w:val="0"/>
            <w:vAlign w:val="center"/>
          </w:tcPr>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保洁员服装及</w:t>
            </w:r>
          </w:p>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工具配备</w:t>
            </w:r>
          </w:p>
        </w:tc>
        <w:tc>
          <w:tcPr>
            <w:tcW w:w="6945" w:type="dxa"/>
            <w:noWrap w:val="0"/>
            <w:vAlign w:val="center"/>
          </w:tcPr>
          <w:p>
            <w:pPr>
              <w:widowControl/>
              <w:spacing w:line="2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按照合同约定，按时为保洁员配发制式服装和劳动工具。</w:t>
            </w:r>
          </w:p>
        </w:tc>
        <w:tc>
          <w:tcPr>
            <w:tcW w:w="5107" w:type="dxa"/>
            <w:noWrap w:val="0"/>
            <w:vAlign w:val="center"/>
          </w:tcPr>
          <w:p>
            <w:pPr>
              <w:widowControl/>
              <w:spacing w:line="2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未按要求发放的，每发现一次扣2分。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9" w:hRule="atLeast"/>
        </w:trPr>
        <w:tc>
          <w:tcPr>
            <w:tcW w:w="1940" w:type="dxa"/>
            <w:noWrap w:val="0"/>
            <w:vAlign w:val="center"/>
          </w:tcPr>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安全生产</w:t>
            </w:r>
          </w:p>
        </w:tc>
        <w:tc>
          <w:tcPr>
            <w:tcW w:w="6945" w:type="dxa"/>
            <w:noWrap w:val="0"/>
            <w:vAlign w:val="center"/>
          </w:tcPr>
          <w:p>
            <w:pPr>
              <w:widowControl/>
              <w:spacing w:line="2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加强保洁员教育和环卫工人道班房的安全检查，消灭各类安全隐患。</w:t>
            </w:r>
          </w:p>
        </w:tc>
        <w:tc>
          <w:tcPr>
            <w:tcW w:w="5107" w:type="dxa"/>
            <w:noWrap w:val="0"/>
            <w:vAlign w:val="center"/>
          </w:tcPr>
          <w:p>
            <w:pPr>
              <w:widowControl/>
              <w:spacing w:line="2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出现一次安全事故扣10分；</w:t>
            </w:r>
          </w:p>
          <w:p>
            <w:pPr>
              <w:widowControl/>
              <w:spacing w:line="2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发现一处安全隐患扣3分。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trPr>
        <w:tc>
          <w:tcPr>
            <w:tcW w:w="1940" w:type="dxa"/>
            <w:noWrap w:val="0"/>
            <w:vAlign w:val="center"/>
          </w:tcPr>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工作配合与协调</w:t>
            </w:r>
          </w:p>
        </w:tc>
        <w:tc>
          <w:tcPr>
            <w:tcW w:w="6945" w:type="dxa"/>
            <w:noWrap w:val="0"/>
            <w:vAlign w:val="center"/>
          </w:tcPr>
          <w:p>
            <w:pPr>
              <w:widowControl/>
              <w:spacing w:line="2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按时参加区城管局组织的会议、培训，服从管理，及时上报所需的材料、整改回复等。</w:t>
            </w:r>
          </w:p>
        </w:tc>
        <w:tc>
          <w:tcPr>
            <w:tcW w:w="5107" w:type="dxa"/>
            <w:noWrap w:val="0"/>
            <w:vAlign w:val="center"/>
          </w:tcPr>
          <w:p>
            <w:pPr>
              <w:widowControl/>
              <w:spacing w:line="2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每出现一次扣0.2分。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1" w:hRule="atLeast"/>
        </w:trPr>
        <w:tc>
          <w:tcPr>
            <w:tcW w:w="1940" w:type="dxa"/>
            <w:noWrap w:val="0"/>
            <w:vAlign w:val="center"/>
          </w:tcPr>
          <w:p>
            <w:pPr>
              <w:widowControl/>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其他专项考核</w:t>
            </w:r>
          </w:p>
        </w:tc>
        <w:tc>
          <w:tcPr>
            <w:tcW w:w="6945" w:type="dxa"/>
            <w:noWrap w:val="0"/>
            <w:vAlign w:val="center"/>
          </w:tcPr>
          <w:p>
            <w:pPr>
              <w:widowControl/>
              <w:spacing w:line="2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主动接受区城管局开展的其他各类专项考核。</w:t>
            </w:r>
          </w:p>
        </w:tc>
        <w:tc>
          <w:tcPr>
            <w:tcW w:w="5107" w:type="dxa"/>
            <w:noWrap w:val="0"/>
            <w:vAlign w:val="center"/>
          </w:tcPr>
          <w:p>
            <w:pPr>
              <w:widowControl/>
              <w:spacing w:line="2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区城管局开展的其他专项考核，每被通报一个问题扣0.2分。</w:t>
            </w:r>
          </w:p>
        </w:tc>
      </w:tr>
    </w:tbl>
    <w:p>
      <w:pPr>
        <w:spacing w:line="480" w:lineRule="exact"/>
        <w:rPr>
          <w:rFonts w:hint="eastAsia" w:ascii="宋体" w:hAnsi="宋体" w:eastAsia="宋体" w:cs="宋体"/>
          <w:b/>
          <w:color w:val="auto"/>
          <w:sz w:val="24"/>
          <w:highlight w:val="none"/>
        </w:rPr>
      </w:pPr>
    </w:p>
    <w:p>
      <w:pPr>
        <w:spacing w:line="48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附件3</w:t>
      </w:r>
    </w:p>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莲湖区道路清扫保洁综合考评加减分标准</w:t>
      </w:r>
    </w:p>
    <w:tbl>
      <w:tblPr>
        <w:tblStyle w:val="10"/>
        <w:tblpPr w:leftFromText="180" w:rightFromText="180" w:vertAnchor="text" w:horzAnchor="margin" w:tblpY="358"/>
        <w:tblOverlap w:val="never"/>
        <w:tblW w:w="13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1440"/>
        <w:gridCol w:w="5031"/>
        <w:gridCol w:w="6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008" w:type="dxa"/>
            <w:noWrap w:val="0"/>
            <w:vAlign w:val="center"/>
          </w:tcPr>
          <w:p>
            <w:pPr>
              <w:spacing w:line="3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440" w:type="dxa"/>
            <w:noWrap w:val="0"/>
            <w:vAlign w:val="center"/>
          </w:tcPr>
          <w:p>
            <w:pPr>
              <w:spacing w:line="3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5031" w:type="dxa"/>
            <w:noWrap w:val="0"/>
            <w:vAlign w:val="center"/>
          </w:tcPr>
          <w:p>
            <w:pPr>
              <w:spacing w:line="3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加分</w:t>
            </w:r>
          </w:p>
        </w:tc>
        <w:tc>
          <w:tcPr>
            <w:tcW w:w="6096" w:type="dxa"/>
            <w:noWrap w:val="0"/>
            <w:vAlign w:val="center"/>
          </w:tcPr>
          <w:p>
            <w:pPr>
              <w:spacing w:line="3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减分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0" w:hRule="atLeast"/>
        </w:trPr>
        <w:tc>
          <w:tcPr>
            <w:tcW w:w="1008" w:type="dxa"/>
            <w:noWrap w:val="0"/>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40" w:type="dxa"/>
            <w:noWrap w:val="0"/>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上级通报</w:t>
            </w:r>
          </w:p>
        </w:tc>
        <w:tc>
          <w:tcPr>
            <w:tcW w:w="5031" w:type="dxa"/>
            <w:noWrap w:val="0"/>
            <w:vAlign w:val="center"/>
          </w:tcPr>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1.市政府通报表彰的，在年终考核中加1分；</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2.市级部门或区政府通报表彰的，在年终考核中加0.8分；</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3.市区召开现场会推广经验的，在月度考评中加0.8-1.2分。</w:t>
            </w:r>
          </w:p>
        </w:tc>
        <w:tc>
          <w:tcPr>
            <w:tcW w:w="6096" w:type="dxa"/>
            <w:noWrap w:val="0"/>
            <w:vAlign w:val="center"/>
          </w:tcPr>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1.市、区领导批示指出问题的，在月度考评中扣0.5-1分；</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2.市级督查、市城管局当月通报的问题，每个扣0.2分；</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3.区级督查、区城管局当月通报的问题，每个扣0.1分；</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4.对上级通报问题整改不到位的，加倍扣分。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008" w:type="dxa"/>
            <w:noWrap w:val="0"/>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40" w:type="dxa"/>
            <w:noWrap w:val="0"/>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媒体监督</w:t>
            </w:r>
          </w:p>
        </w:tc>
        <w:tc>
          <w:tcPr>
            <w:tcW w:w="5031" w:type="dxa"/>
            <w:noWrap w:val="0"/>
            <w:vAlign w:val="center"/>
          </w:tcPr>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新闻媒体正面报道的，每次在月度考评中加0.2-0.5分。</w:t>
            </w:r>
          </w:p>
        </w:tc>
        <w:tc>
          <w:tcPr>
            <w:tcW w:w="6096" w:type="dxa"/>
            <w:noWrap w:val="0"/>
            <w:vAlign w:val="center"/>
          </w:tcPr>
          <w:p>
            <w:pPr>
              <w:numPr>
                <w:ilvl w:val="0"/>
                <w:numId w:val="1"/>
              </w:num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被西安电视台《问政时刻》、《每日聚焦》曝光的，每次扣1分；</w:t>
            </w:r>
          </w:p>
          <w:p>
            <w:pPr>
              <w:numPr>
                <w:ilvl w:val="0"/>
                <w:numId w:val="1"/>
              </w:num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被新闻媒体曝光的，每次扣0.2-0.5分。</w:t>
            </w:r>
          </w:p>
          <w:p>
            <w:pPr>
              <w:numPr>
                <w:ilvl w:val="0"/>
                <w:numId w:val="1"/>
              </w:num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被曝光后处置不当造成重大社会影响的，每个扣5分。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trPr>
        <w:tc>
          <w:tcPr>
            <w:tcW w:w="1008" w:type="dxa"/>
            <w:noWrap w:val="0"/>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440" w:type="dxa"/>
            <w:noWrap w:val="0"/>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群众投诉</w:t>
            </w:r>
          </w:p>
        </w:tc>
        <w:tc>
          <w:tcPr>
            <w:tcW w:w="5031" w:type="dxa"/>
            <w:noWrap w:val="0"/>
            <w:vAlign w:val="center"/>
          </w:tcPr>
          <w:p>
            <w:pPr>
              <w:spacing w:line="320" w:lineRule="exact"/>
              <w:ind w:firstLine="420" w:firstLineChars="200"/>
              <w:rPr>
                <w:rFonts w:hint="eastAsia" w:ascii="宋体" w:hAnsi="宋体" w:eastAsia="宋体" w:cs="宋体"/>
                <w:color w:val="auto"/>
                <w:szCs w:val="21"/>
                <w:highlight w:val="none"/>
              </w:rPr>
            </w:pPr>
          </w:p>
        </w:tc>
        <w:tc>
          <w:tcPr>
            <w:tcW w:w="6096" w:type="dxa"/>
            <w:noWrap w:val="0"/>
            <w:vAlign w:val="center"/>
          </w:tcPr>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1.投诉后及时整改的每个扣0.1分；</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2.投诉后整改不到位的，每次扣0.2分。</w:t>
            </w:r>
          </w:p>
        </w:tc>
      </w:tr>
    </w:tbl>
    <w:p>
      <w:pPr>
        <w:widowControl/>
        <w:spacing w:line="400" w:lineRule="exact"/>
        <w:rPr>
          <w:rFonts w:hint="eastAsia" w:ascii="宋体" w:hAnsi="宋体" w:eastAsia="宋体" w:cs="宋体"/>
          <w:color w:val="auto"/>
          <w:sz w:val="32"/>
          <w:szCs w:val="32"/>
          <w:highlight w:val="none"/>
        </w:rPr>
        <w:sectPr>
          <w:headerReference r:id="rId5" w:type="first"/>
          <w:footerReference r:id="rId7" w:type="first"/>
          <w:headerReference r:id="rId4" w:type="default"/>
          <w:footerReference r:id="rId6" w:type="default"/>
          <w:pgSz w:w="16838" w:h="11906" w:orient="landscape"/>
          <w:pgMar w:top="1320" w:right="1417" w:bottom="1134" w:left="1417" w:header="851" w:footer="992" w:gutter="0"/>
          <w:pgNumType w:fmt="numberInDash" w:start="18"/>
          <w:cols w:space="720" w:num="1"/>
          <w:titlePg/>
          <w:docGrid w:type="lines" w:linePitch="312" w:charSpace="0"/>
        </w:sectPr>
      </w:pPr>
    </w:p>
    <w:p>
      <w:pPr>
        <w:widowControl/>
        <w:spacing w:line="40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4</w:t>
      </w:r>
    </w:p>
    <w:p>
      <w:pPr>
        <w:widowControl/>
        <w:spacing w:line="550" w:lineRule="exact"/>
        <w:jc w:val="center"/>
        <w:rPr>
          <w:rFonts w:hint="eastAsia" w:ascii="宋体" w:hAnsi="宋体" w:eastAsia="宋体" w:cs="宋体"/>
          <w:color w:val="auto"/>
          <w:spacing w:val="-16"/>
          <w:kern w:val="0"/>
          <w:sz w:val="36"/>
          <w:szCs w:val="36"/>
          <w:highlight w:val="none"/>
        </w:rPr>
      </w:pPr>
    </w:p>
    <w:p>
      <w:pPr>
        <w:widowControl/>
        <w:spacing w:line="55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16"/>
          <w:kern w:val="0"/>
          <w:sz w:val="21"/>
          <w:szCs w:val="21"/>
          <w:highlight w:val="none"/>
          <w:lang w:val="en-US" w:eastAsia="zh-CN"/>
        </w:rPr>
        <w:t>红庙坡</w:t>
      </w:r>
      <w:r>
        <w:rPr>
          <w:rFonts w:hint="eastAsia" w:ascii="宋体" w:hAnsi="宋体" w:eastAsia="宋体" w:cs="宋体"/>
          <w:color w:val="auto"/>
          <w:spacing w:val="-16"/>
          <w:kern w:val="0"/>
          <w:sz w:val="21"/>
          <w:szCs w:val="21"/>
          <w:highlight w:val="none"/>
        </w:rPr>
        <w:t>街道办事处道路清扫保洁服务外包检查考</w:t>
      </w:r>
      <w:r>
        <w:rPr>
          <w:rFonts w:hint="eastAsia" w:ascii="宋体" w:hAnsi="宋体" w:eastAsia="宋体" w:cs="宋体"/>
          <w:color w:val="auto"/>
          <w:kern w:val="0"/>
          <w:sz w:val="21"/>
          <w:szCs w:val="21"/>
          <w:highlight w:val="none"/>
        </w:rPr>
        <w:t>核办法</w:t>
      </w:r>
    </w:p>
    <w:p>
      <w:pPr>
        <w:pStyle w:val="25"/>
        <w:spacing w:line="540" w:lineRule="exact"/>
        <w:jc w:val="center"/>
        <w:rPr>
          <w:rFonts w:hint="eastAsia" w:ascii="宋体" w:hAnsi="宋体" w:eastAsia="宋体" w:cs="宋体"/>
          <w:color w:val="auto"/>
          <w:kern w:val="0"/>
          <w:sz w:val="21"/>
          <w:szCs w:val="21"/>
          <w:highlight w:val="none"/>
        </w:rPr>
      </w:pPr>
    </w:p>
    <w:p>
      <w:pPr>
        <w:pStyle w:val="25"/>
        <w:spacing w:line="5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第一章 总则</w:t>
      </w:r>
    </w:p>
    <w:p>
      <w:pPr>
        <w:widowControl/>
        <w:spacing w:line="550" w:lineRule="exact"/>
        <w:ind w:firstLine="422"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第一条</w:t>
      </w:r>
      <w:r>
        <w:rPr>
          <w:rFonts w:hint="eastAsia" w:ascii="宋体" w:hAnsi="宋体" w:eastAsia="宋体" w:cs="宋体"/>
          <w:color w:val="auto"/>
          <w:sz w:val="21"/>
          <w:szCs w:val="21"/>
          <w:highlight w:val="none"/>
        </w:rPr>
        <w:t xml:space="preserve"> 为加强对道路清扫保洁服务承包企业的管理，实现对其业务工作检查考核的科学化、规范化、长效化，强化政府监管职能，按照“明确责任、强化管理，量化考核、按质付费，绩效管理、服务民生，公开透明、便于执行”的原则，</w:t>
      </w:r>
      <w:r>
        <w:rPr>
          <w:rFonts w:hint="eastAsia" w:ascii="宋体" w:hAnsi="宋体" w:eastAsia="宋体" w:cs="宋体"/>
          <w:b/>
          <w:bCs/>
          <w:color w:val="auto"/>
          <w:sz w:val="21"/>
          <w:szCs w:val="21"/>
          <w:highlight w:val="none"/>
          <w:lang w:val="en-US" w:eastAsia="zh-CN"/>
        </w:rPr>
        <w:t>进一步完善考核、退出、奖罚等机制，从严监督管理，坚决防范工作标准降低，管理不规范等情况发生。</w:t>
      </w:r>
      <w:r>
        <w:rPr>
          <w:rFonts w:hint="eastAsia" w:ascii="宋体" w:hAnsi="宋体" w:eastAsia="宋体" w:cs="宋体"/>
          <w:color w:val="auto"/>
          <w:sz w:val="21"/>
          <w:szCs w:val="21"/>
          <w:highlight w:val="none"/>
        </w:rPr>
        <w:t>依据《西安市烟头革命检查考核办法》、《西安市城市道路“以克论净、深度保洁”作业标准检查考核办法》以及《西安市莲湖区道路清扫保洁服务外包第三方检查考核办法》等相关规定，结合</w:t>
      </w:r>
      <w:r>
        <w:rPr>
          <w:rFonts w:hint="eastAsia" w:ascii="宋体" w:hAnsi="宋体" w:eastAsia="宋体" w:cs="宋体"/>
          <w:color w:val="auto"/>
          <w:sz w:val="21"/>
          <w:szCs w:val="21"/>
          <w:highlight w:val="none"/>
          <w:lang w:val="en-US" w:eastAsia="zh-CN"/>
        </w:rPr>
        <w:t>红庙坡</w:t>
      </w:r>
      <w:r>
        <w:rPr>
          <w:rFonts w:hint="eastAsia" w:ascii="宋体" w:hAnsi="宋体" w:eastAsia="宋体" w:cs="宋体"/>
          <w:color w:val="auto"/>
          <w:sz w:val="21"/>
          <w:szCs w:val="21"/>
          <w:highlight w:val="none"/>
        </w:rPr>
        <w:t>实际，特制定本考核办法。</w:t>
      </w:r>
    </w:p>
    <w:p>
      <w:pPr>
        <w:widowControl/>
        <w:spacing w:line="550" w:lineRule="exac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第二条</w:t>
      </w:r>
      <w:r>
        <w:rPr>
          <w:rFonts w:hint="eastAsia" w:ascii="宋体" w:hAnsi="宋体" w:eastAsia="宋体" w:cs="宋体"/>
          <w:color w:val="auto"/>
          <w:sz w:val="21"/>
          <w:szCs w:val="21"/>
          <w:highlight w:val="none"/>
        </w:rPr>
        <w:t xml:space="preserve"> 本办法适合于辖区内推行清扫保洁服务外包作业机制的所有道路，包括主车道、辅道、人行道、门店门前、公共广场、绿化带、树穴以及其它公共场所。</w:t>
      </w:r>
    </w:p>
    <w:p>
      <w:pPr>
        <w:spacing w:line="540" w:lineRule="exact"/>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 考核内容及标准</w:t>
      </w:r>
    </w:p>
    <w:p>
      <w:pPr>
        <w:spacing w:line="5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第三条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考核内容</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作业规范执行情况。包括清扫保洁作业时间和清扫配车、配员、机扫频次、冲洗和喷雾抑尘作业频次、机械化作业要求、人工作业规范、安全作业规定、清扫保洁作业装备配备及使用、保洁垃圾收集作业等；</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（二）道路清扫保洁质量。包括白天和夜间的路面废弃物控制、道路尘土量和道路垃圾箱的管护等；</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（三）清洁服务企业队伍管理情况。包括保洁员工资、福利发放，社会保险以及商业保险办理情况；</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（四）上级部门及领导督办、公众监督的处理情况。包括上级部门和领导交办问题的处理情况、新闻媒体曝光、市民投诉等。 </w:t>
      </w:r>
    </w:p>
    <w:p>
      <w:pPr>
        <w:autoSpaceDN w:val="0"/>
        <w:spacing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第四条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考核标准依照《</w:t>
      </w:r>
      <w:r>
        <w:rPr>
          <w:rFonts w:hint="eastAsia" w:ascii="宋体" w:hAnsi="宋体" w:eastAsia="宋体" w:cs="宋体"/>
          <w:color w:val="auto"/>
          <w:sz w:val="21"/>
          <w:szCs w:val="21"/>
          <w:highlight w:val="none"/>
          <w:lang w:val="en-US" w:eastAsia="zh-CN"/>
        </w:rPr>
        <w:t>红庙坡</w:t>
      </w:r>
      <w:r>
        <w:rPr>
          <w:rFonts w:hint="eastAsia" w:ascii="宋体" w:hAnsi="宋体" w:eastAsia="宋体" w:cs="宋体"/>
          <w:color w:val="auto"/>
          <w:sz w:val="21"/>
          <w:szCs w:val="21"/>
          <w:highlight w:val="none"/>
        </w:rPr>
        <w:t>清扫保洁服务外包道路作业标准及检查考核表》的有关规定进行。</w:t>
      </w:r>
    </w:p>
    <w:p>
      <w:pPr>
        <w:widowControl/>
        <w:spacing w:line="550" w:lineRule="exac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kern w:val="0"/>
          <w:sz w:val="21"/>
          <w:szCs w:val="21"/>
          <w:highlight w:val="none"/>
        </w:rPr>
        <w:t>第三章  考核方式</w:t>
      </w:r>
    </w:p>
    <w:p>
      <w:pPr>
        <w:widowControl/>
        <w:spacing w:line="560" w:lineRule="exact"/>
        <w:ind w:firstLine="640"/>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第五条</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街办日常检查考核</w:t>
      </w:r>
    </w:p>
    <w:p>
      <w:pPr>
        <w:spacing w:line="560" w:lineRule="exact"/>
        <w:ind w:firstLine="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街道办事处应设立城市道路清扫保洁“以克论净”和“烟头革命”专项检测组，配备一定数量的检测员，每日在辖区道路清扫保洁作业服务外包道路中选取</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条道路，在每条被检道路选取3个责任点（选择最脏点）检测积尘重量，同时检查被检道路200米（双侧）范围内烟头滞留情况和道路垃圾箱日常管护情况，检测结果按照《西安市城市道路“以克论净 深度保洁”作业标准（试行）》和《西安市烟头革命检查考核办法》量化后作为每日“以克论净”、“烟头革命”专项检查考核成绩，每月的日平均考核成绩为当月“以克论净”、“烟头革命”专项考核成绩。</w:t>
      </w:r>
    </w:p>
    <w:p>
      <w:pPr>
        <w:spacing w:line="560" w:lineRule="exact"/>
        <w:ind w:firstLine="64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第六条  </w:t>
      </w:r>
      <w:r>
        <w:rPr>
          <w:rFonts w:hint="eastAsia" w:ascii="宋体" w:hAnsi="宋体" w:eastAsia="宋体" w:cs="宋体"/>
          <w:color w:val="auto"/>
          <w:sz w:val="21"/>
          <w:szCs w:val="21"/>
          <w:highlight w:val="none"/>
        </w:rPr>
        <w:t>检查考核评分规定</w:t>
      </w:r>
    </w:p>
    <w:p>
      <w:pPr>
        <w:spacing w:line="560" w:lineRule="exact"/>
        <w:ind w:firstLine="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考核采用百分制倒扣积分法，考核内容包括：</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（一）人员配备情况（10分）：项目经理、组长及保洁员足额配备；早、中、晚无空档期，人员在岗；组建不少于10%的保洁轮休人员（含保洁应急队伍）。</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清扫保洁质量（35分）：一日三扫、全天巡扫巡捡；保洁区域无卫生死角和堆积物；路面无大面积抛洒污染；主干道、辅道、人行道浮土清扫冲洗及时；道路喇叭口清理干净；规范作业，无二次扬尘；路面尘土每平方米不超过5克；及时清扫雨后积水、清除积雪结冰；保洁员无向下水道、绿化带、围墙围挡后、市政设施内倒垃圾、杂物、积雪积冰等；及时清理或本色覆盖“野广告”。</w:t>
      </w:r>
    </w:p>
    <w:p>
      <w:pPr>
        <w:spacing w:line="560" w:lineRule="exact"/>
        <w:ind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三）机械化作业管理（10分）：机械清扫作业从凌晨开始至早6∶50“普扫”结束，避开在早晚人行车流高峰时段作业;早7∶00至晚间22∶00加强使用小型(微型)机械和人工电动车对道路进行快速巡回捡脏保洁;步行街、广场等石材路面应根据污染程度，使用小型冲洗车每日进行清洗作业。机械清扫保洁作业采用“夜间机扫冲洗，白天快速保洁”的道路扫保模式进行作业，道路清扫作业时无扬尘，作业后道路路面无土绺、无漏扫、无杂物，达到路面净、道牙净、雨水口净。 冲洒水作业时间每年 3月16日至11月14日，对道路实施夜间冲洗作业,作业时间段为当日23：00—次日6∶50。11月15日至次年3月15日，可根据天气状况适当调整作业时间(气温3℃以下禁止冲洒水车辆上路作业)。原则上6∶50后利用交通高峰期以外时段对路面</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kern w:val="2"/>
          <w:sz w:val="21"/>
          <w:szCs w:val="21"/>
          <w:highlight w:val="none"/>
        </w:rPr>
        <w:t>雾喷作业，严禁冲洒水作业，遇有其他重大保障任务和特殊需求，可按要求安排日间道路大冲洗作业。夏季高温季节6月15日—9月30日且气温35℃以上，9∶00—16∶00可适当加大对道路实施喷雾防暑降尘作业频次。</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（四）城市家具擦洗（5分）：对路灯杆、公交候车厅、标志</w:t>
      </w:r>
      <w:r>
        <w:rPr>
          <w:rFonts w:hint="eastAsia" w:ascii="宋体" w:hAnsi="宋体" w:eastAsia="宋体" w:cs="宋体"/>
          <w:color w:val="auto"/>
          <w:sz w:val="21"/>
          <w:szCs w:val="21"/>
          <w:highlight w:val="none"/>
        </w:rPr>
        <w:t>牌等每日2次擦拭；休闲座椅整洁，无垃圾、尘土、水渍等。</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（五）烟头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垃圾等废弃物控制（20分）：以1000㎡为单位面积，烟头数量（一类道路≤4个、二类道路≤8个、三类道路及背街小巷≤10个）；果皮数量（一类道路≤4个、二类道路≤6个、三类道路及背街小巷≤8个）；纸屑数量（一类道路≤4个、二类道路≤6个、三类道路及背街小巷≤10个）；污水面积（一类道路无、二类道路≤0.5㎡、三类道路及背街小巷≤1.5㎡）；垃圾落地滞留时间（一类道路≤5分钟、二类道路≤</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分钟、三类道路及背街小巷≤</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分钟）。</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员工纪律（5分）：工作时间2人以上扎堆、聊天；作业期间出现空岗、脱岗或做与工作无关事项；工作时间不着保洁工服和反光背心、或着装不整齐；不在指定地点休息、串岗；不按安全操作规范作业，不爱惜使用保洁设备；保洁工具没有按要求带齐全，摆放整齐；不括打树枝，不焚烧枯枝落叶杂物等。</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（七）应急处置情况（5分）：及时处置通报投诉问题，圆满完成迎检保障工作，每日以图文形式汇报工作开展情况。</w:t>
      </w:r>
    </w:p>
    <w:p>
      <w:pPr>
        <w:spacing w:line="5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以上问题每发现一处扣除0.2分，单项分值扣完为止（详见《</w:t>
      </w:r>
      <w:r>
        <w:rPr>
          <w:rFonts w:hint="eastAsia" w:ascii="宋体" w:hAnsi="宋体" w:eastAsia="宋体" w:cs="宋体"/>
          <w:b/>
          <w:color w:val="auto"/>
          <w:sz w:val="21"/>
          <w:szCs w:val="21"/>
          <w:highlight w:val="none"/>
          <w:lang w:val="en-US" w:eastAsia="zh-CN"/>
        </w:rPr>
        <w:t>红庙坡</w:t>
      </w:r>
      <w:r>
        <w:rPr>
          <w:rFonts w:hint="eastAsia" w:ascii="宋体" w:hAnsi="宋体" w:eastAsia="宋体" w:cs="宋体"/>
          <w:b/>
          <w:color w:val="auto"/>
          <w:sz w:val="21"/>
          <w:szCs w:val="21"/>
          <w:highlight w:val="none"/>
        </w:rPr>
        <w:t>街道办事处市容环卫工作检查考核打分表》）。</w:t>
      </w:r>
    </w:p>
    <w:p>
      <w:pPr>
        <w:spacing w:line="560" w:lineRule="exact"/>
        <w:ind w:firstLine="645"/>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 xml:space="preserve">第七条 </w:t>
      </w:r>
      <w:r>
        <w:rPr>
          <w:rFonts w:hint="eastAsia" w:ascii="宋体" w:hAnsi="宋体" w:eastAsia="宋体" w:cs="宋体"/>
          <w:color w:val="auto"/>
          <w:sz w:val="21"/>
          <w:szCs w:val="21"/>
          <w:highlight w:val="none"/>
        </w:rPr>
        <w:t>区级综合考核</w:t>
      </w:r>
    </w:p>
    <w:p>
      <w:pPr>
        <w:spacing w:line="560" w:lineRule="exact"/>
        <w:ind w:firstLine="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区城市管理局按照《西安市莲湖区道路清扫保洁服务外包第三方检查考核办法》对各街办、西大街管委会办公室进行道路清扫保洁月度综合检查考核，次月，区城市管理局将各单位当月道路清扫保洁综合检查考核成绩通报全区，作为各单位对道路清扫保洁服务外包企业的区级综合考核成绩。</w:t>
      </w:r>
    </w:p>
    <w:p>
      <w:pPr>
        <w:widowControl/>
        <w:spacing w:line="5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第四章 计分办法</w:t>
      </w:r>
    </w:p>
    <w:p>
      <w:pPr>
        <w:widowControl/>
        <w:spacing w:line="560" w:lineRule="exac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第八条</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服务外包企业道路清扫保洁月度综合考核总评分100分，其中街办日常检查考核计分占当月总评分数的50%，第三方检查考核计分占当月总评分数的35%，区级综合考核计分占当月总评分数的15%。同时如出现以下情况将依据相应标准予以扣分，最终得分为承包方当月最终考核得分：</w:t>
      </w:r>
    </w:p>
    <w:p>
      <w:pPr>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（一）管理制度每缺少一项扣1分，未按照《西安市莲湖区“五星级城市美容师”绩效考核办法(试行)》落实管理规定的，每发现一次扣1分。</w:t>
      </w:r>
    </w:p>
    <w:p>
      <w:pPr>
        <w:widowControl/>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（二）租赁装备不按规定定时保养，不及时维修的，每发现一次扣2分，保洁员工作、劳保、福利不按规定发放每发现一次扣3分，社会保险及商业保险不及时办理，每发现一次扣3分。</w:t>
      </w:r>
    </w:p>
    <w:p>
      <w:pPr>
        <w:widowControl/>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（三）各路段道路清扫保洁员向单位、门店、居民违规收取垃圾处理费的。每发现一次扣5分。</w:t>
      </w:r>
    </w:p>
    <w:p>
      <w:pPr>
        <w:widowControl/>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（四）市、区城管委办公室通报批评的。每次扣2分。</w:t>
      </w:r>
    </w:p>
    <w:p>
      <w:pPr>
        <w:widowControl/>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（五）区级领导、市区两级主管部门检查指出的问题的。每次扣0.2分。</w:t>
      </w:r>
    </w:p>
    <w:p>
      <w:pPr>
        <w:widowControl/>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（六）电视、报纸等媒体曝光并经查实属于道路清扫保洁工作问题的。每次扣1分。</w:t>
      </w:r>
    </w:p>
    <w:p>
      <w:pPr>
        <w:widowControl/>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（七）未按时完成整改通知和群众投诉的。每次扣1分。</w:t>
      </w:r>
    </w:p>
    <w:p>
      <w:pPr>
        <w:widowControl/>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（八）乙方刁难和谩骂督查人员，推诿扯皮的，严重不服从管理的。每次扣1分。三次自动清退。</w:t>
      </w:r>
    </w:p>
    <w:p>
      <w:pPr>
        <w:widowControl/>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（九）被媒体曝光、群众投诉或被市、局领导严厉批评，造成恶劣影响的，因管理不当引起群发事件，未妥善处理造成重大社会影响的。每次扣10分。</w:t>
      </w:r>
    </w:p>
    <w:p>
      <w:pPr>
        <w:widowControl/>
        <w:spacing w:line="560" w:lineRule="exact"/>
        <w:ind w:firstLine="2310" w:firstLineChars="1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第五章 评定标准</w:t>
      </w:r>
    </w:p>
    <w:p>
      <w:pPr>
        <w:widowControl/>
        <w:spacing w:line="560" w:lineRule="exact"/>
        <w:ind w:firstLine="64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第九条</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月成绩95分以上视为优秀，月成绩80分以上（含80分）视为合格，80分以下为不合格，一年内连续3个月或累计4个月月成绩合格以下，视为作业质量严重不达标。</w:t>
      </w:r>
    </w:p>
    <w:p>
      <w:pPr>
        <w:widowControl/>
        <w:spacing w:line="560" w:lineRule="exact"/>
        <w:ind w:firstLine="64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第六章 考核结果运用</w:t>
      </w:r>
    </w:p>
    <w:p>
      <w:pPr>
        <w:widowControl/>
        <w:spacing w:line="560" w:lineRule="exact"/>
        <w:ind w:firstLine="640"/>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第十条</w:t>
      </w:r>
      <w:r>
        <w:rPr>
          <w:rFonts w:hint="eastAsia" w:ascii="宋体" w:hAnsi="宋体" w:eastAsia="宋体" w:cs="宋体"/>
          <w:bCs/>
          <w:color w:val="auto"/>
          <w:kern w:val="0"/>
          <w:sz w:val="21"/>
          <w:szCs w:val="21"/>
          <w:highlight w:val="none"/>
        </w:rPr>
        <w:t xml:space="preserve"> </w:t>
      </w:r>
      <w:r>
        <w:rPr>
          <w:rFonts w:hint="eastAsia" w:ascii="宋体" w:hAnsi="宋体" w:eastAsia="宋体" w:cs="宋体"/>
          <w:color w:val="auto"/>
          <w:sz w:val="21"/>
          <w:szCs w:val="21"/>
          <w:highlight w:val="none"/>
        </w:rPr>
        <w:t>各街道办事处应当在次月10日前评定出清洁服务企业当月综合考核等级，连同扣分扣款情况以通报形式报送区政府分管领导、区城市管理局、区财政局及被考核清洁服务企业，作为向承包区域内道路清扫保洁服务的清扫保洁服务企业支付当月清扫保洁服务费的依据。</w:t>
      </w:r>
    </w:p>
    <w:p>
      <w:pPr>
        <w:widowControl/>
        <w:spacing w:line="560" w:lineRule="exact"/>
        <w:ind w:firstLine="64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第七章 奖罚措施</w:t>
      </w:r>
    </w:p>
    <w:p>
      <w:pPr>
        <w:widowControl/>
        <w:spacing w:line="560" w:lineRule="exact"/>
        <w:ind w:firstLine="640"/>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第十一条</w:t>
      </w:r>
      <w:r>
        <w:rPr>
          <w:rFonts w:hint="eastAsia" w:ascii="宋体" w:hAnsi="宋体" w:eastAsia="宋体" w:cs="宋体"/>
          <w:bCs/>
          <w:color w:val="auto"/>
          <w:kern w:val="0"/>
          <w:sz w:val="21"/>
          <w:szCs w:val="21"/>
          <w:highlight w:val="none"/>
        </w:rPr>
        <w:t xml:space="preserve"> </w:t>
      </w:r>
      <w:r>
        <w:rPr>
          <w:rFonts w:hint="eastAsia" w:ascii="宋体" w:hAnsi="宋体" w:eastAsia="宋体" w:cs="宋体"/>
          <w:color w:val="auto"/>
          <w:sz w:val="21"/>
          <w:szCs w:val="21"/>
          <w:highlight w:val="none"/>
        </w:rPr>
        <w:t>落实道路清扫保洁服务外包扣分扣款制度</w:t>
      </w:r>
    </w:p>
    <w:p>
      <w:pPr>
        <w:widowControl/>
        <w:spacing w:line="56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rPr>
        <w:t>检查时发现在岗保洁员数量达不到清扫服务企业项目实施方案中承诺保洁员编制数量要求，按缺配人数扣除相应的保洁员月用工费用，同时按《</w:t>
      </w:r>
      <w:r>
        <w:rPr>
          <w:rFonts w:hint="eastAsia" w:ascii="宋体" w:hAnsi="宋体" w:eastAsia="宋体" w:cs="宋体"/>
          <w:color w:val="auto"/>
          <w:sz w:val="21"/>
          <w:szCs w:val="21"/>
          <w:highlight w:val="none"/>
        </w:rPr>
        <w:t>莲湖区道路清扫保洁作业部门督导考核标准》进行扣分。</w:t>
      </w:r>
    </w:p>
    <w:p>
      <w:pPr>
        <w:widowControl/>
        <w:spacing w:line="56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（二）检查时发现清扫保洁作业装备达不到清洁服务企业项目实施方案中装备配备数量要求的，每少一件扣除当月清扫保洁服务费1000元，同时按《莲湖区道路清扫保洁作业部门督导考核标准》进行扣分。 </w:t>
      </w:r>
    </w:p>
    <w:p>
      <w:pPr>
        <w:widowControl/>
        <w:spacing w:line="56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rPr>
        <w:t>考核达标分值设为80-90分，高于90分的，每高一分奖励5000元，低于80分，每低1分处罚5000元，70分以下的加倍扣款，即每低于1分（四舍五入）相应扣除当月清扫保洁服务费10000元，以此类推，奖励资金由区财政列支。</w:t>
      </w:r>
    </w:p>
    <w:p>
      <w:pPr>
        <w:widowControl/>
        <w:spacing w:line="56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根据市、区级的通报和督办情况及媒体监督的情况进行处罚。凡受到市、区领导和市、区城市管理局点名批评、通报、督办或受到报纸、电视等媒体监督曝光的，经查证属实，每个问题扣款5000元，造成重大影响扣款5000元-20000元。走航监测每通报一条道路扣款5000元。</w:t>
      </w:r>
    </w:p>
    <w:p>
      <w:pPr>
        <w:widowControl/>
        <w:spacing w:line="56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（五）凡受街道主要领导点名批评、通报的，每个问题扣款500元；因管理不当引起群发事件，未妥善处理造成重大社会影响的，发生一起扣除当月清扫保洁服务费20000元。</w:t>
      </w:r>
    </w:p>
    <w:p>
      <w:pPr>
        <w:widowControl/>
        <w:spacing w:line="560" w:lineRule="exact"/>
        <w:ind w:firstLine="640"/>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第十二条</w:t>
      </w:r>
      <w:r>
        <w:rPr>
          <w:rFonts w:hint="eastAsia" w:ascii="宋体" w:hAnsi="宋体" w:eastAsia="宋体" w:cs="宋体"/>
          <w:bCs/>
          <w:color w:val="auto"/>
          <w:kern w:val="0"/>
          <w:sz w:val="21"/>
          <w:szCs w:val="21"/>
          <w:highlight w:val="none"/>
        </w:rPr>
        <w:t xml:space="preserve"> </w:t>
      </w:r>
      <w:r>
        <w:rPr>
          <w:rFonts w:hint="eastAsia" w:ascii="宋体" w:hAnsi="宋体" w:eastAsia="宋体" w:cs="宋体"/>
          <w:color w:val="auto"/>
          <w:sz w:val="21"/>
          <w:szCs w:val="21"/>
          <w:highlight w:val="none"/>
        </w:rPr>
        <w:t>引入道路清扫保洁服务外包退出机制</w:t>
      </w:r>
    </w:p>
    <w:p>
      <w:pPr>
        <w:widowControl/>
        <w:spacing w:line="560" w:lineRule="exact"/>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出现下列情况之一，街办将终止承包合同，清退承接清扫保洁工作的企业项目部，同时重新组织招标，以确定新的清洁服务企业接管。 </w:t>
      </w:r>
    </w:p>
    <w:p>
      <w:pPr>
        <w:widowControl/>
        <w:spacing w:line="560" w:lineRule="exact"/>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（一）连续3个月或同一年度内累计有4个月考核得分80分以下的；</w:t>
      </w:r>
    </w:p>
    <w:p>
      <w:pPr>
        <w:widowControl/>
        <w:spacing w:line="560" w:lineRule="exact"/>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（二）不能按照要求及时办理保洁员社会保险和按市上标准发放保洁员工资福利的，经警告不能按期办理发放的；</w:t>
      </w:r>
    </w:p>
    <w:p>
      <w:pPr>
        <w:widowControl/>
        <w:spacing w:line="560" w:lineRule="exact"/>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（三）在迎接重大检查活动中，出现较大失误，造成严重影响的；</w:t>
      </w:r>
    </w:p>
    <w:p>
      <w:pPr>
        <w:widowControl/>
        <w:spacing w:line="560" w:lineRule="exact"/>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（四）不服从区城管局应急保障安排和重点工作部署的；</w:t>
      </w:r>
    </w:p>
    <w:p>
      <w:pPr>
        <w:widowControl/>
        <w:spacing w:line="560" w:lineRule="exact"/>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（五）连续2个月不能按照合同约定足额配备保洁员的；</w:t>
      </w:r>
    </w:p>
    <w:p>
      <w:pPr>
        <w:widowControl/>
        <w:spacing w:line="560" w:lineRule="exact"/>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（六）违反合同相关规定的。</w:t>
      </w:r>
    </w:p>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第八章 附则</w:t>
      </w:r>
    </w:p>
    <w:p>
      <w:pPr>
        <w:spacing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第十三条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本办法由莲湖区</w:t>
      </w:r>
      <w:r>
        <w:rPr>
          <w:rFonts w:hint="eastAsia" w:ascii="宋体" w:hAnsi="宋体" w:eastAsia="宋体" w:cs="宋体"/>
          <w:color w:val="auto"/>
          <w:sz w:val="21"/>
          <w:szCs w:val="21"/>
          <w:highlight w:val="none"/>
          <w:lang w:val="en-US" w:eastAsia="zh-CN"/>
        </w:rPr>
        <w:t>红庙坡</w:t>
      </w:r>
      <w:r>
        <w:rPr>
          <w:rFonts w:hint="eastAsia" w:ascii="宋体" w:hAnsi="宋体" w:eastAsia="宋体" w:cs="宋体"/>
          <w:color w:val="auto"/>
          <w:sz w:val="21"/>
          <w:szCs w:val="21"/>
          <w:highlight w:val="none"/>
        </w:rPr>
        <w:t>街办负责解释。</w:t>
      </w:r>
    </w:p>
    <w:p>
      <w:pPr>
        <w:spacing w:line="560" w:lineRule="exact"/>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第十四条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本办法自公布之日起实施。</w:t>
      </w:r>
    </w:p>
    <w:p>
      <w:pPr>
        <w:widowControl/>
        <w:spacing w:line="560" w:lineRule="exact"/>
        <w:rPr>
          <w:rFonts w:hint="eastAsia" w:ascii="宋体" w:hAnsi="宋体" w:eastAsia="宋体" w:cs="宋体"/>
          <w:color w:val="auto"/>
          <w:sz w:val="32"/>
          <w:szCs w:val="32"/>
          <w:highlight w:val="none"/>
        </w:rPr>
      </w:pPr>
    </w:p>
    <w:p>
      <w:pPr>
        <w:widowControl/>
        <w:spacing w:line="560" w:lineRule="exact"/>
        <w:rPr>
          <w:rFonts w:hint="eastAsia" w:ascii="宋体" w:hAnsi="宋体" w:eastAsia="宋体" w:cs="宋体"/>
          <w:color w:val="auto"/>
          <w:sz w:val="32"/>
          <w:szCs w:val="32"/>
          <w:highlight w:val="none"/>
        </w:rPr>
      </w:pPr>
    </w:p>
    <w:p>
      <w:pPr>
        <w:widowControl/>
        <w:spacing w:line="560" w:lineRule="exact"/>
        <w:rPr>
          <w:rFonts w:hint="eastAsia" w:ascii="宋体" w:hAnsi="宋体" w:eastAsia="宋体" w:cs="宋体"/>
          <w:color w:val="auto"/>
          <w:sz w:val="32"/>
          <w:szCs w:val="32"/>
          <w:highlight w:val="none"/>
        </w:rPr>
      </w:pPr>
    </w:p>
    <w:p>
      <w:pPr>
        <w:widowControl/>
        <w:spacing w:line="560" w:lineRule="exact"/>
        <w:rPr>
          <w:rFonts w:hint="eastAsia" w:ascii="宋体" w:hAnsi="宋体" w:eastAsia="宋体" w:cs="宋体"/>
          <w:color w:val="auto"/>
          <w:sz w:val="32"/>
          <w:szCs w:val="32"/>
          <w:highlight w:val="none"/>
        </w:rPr>
      </w:pPr>
    </w:p>
    <w:p>
      <w:pPr>
        <w:widowControl/>
        <w:spacing w:line="5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4.1</w:t>
      </w:r>
    </w:p>
    <w:p>
      <w:pPr>
        <w:spacing w:line="560" w:lineRule="exact"/>
        <w:jc w:val="center"/>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lang w:val="en-US" w:eastAsia="zh-CN"/>
        </w:rPr>
        <w:t>红庙坡</w:t>
      </w:r>
      <w:r>
        <w:rPr>
          <w:rFonts w:hint="eastAsia" w:ascii="宋体" w:hAnsi="宋体" w:eastAsia="宋体" w:cs="宋体"/>
          <w:bCs/>
          <w:color w:val="auto"/>
          <w:sz w:val="21"/>
          <w:szCs w:val="21"/>
          <w:highlight w:val="none"/>
        </w:rPr>
        <w:t>街道办事处市容环卫工作日常检查考核打分表</w:t>
      </w:r>
    </w:p>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                道路（片）：         检查人：</w:t>
      </w:r>
    </w:p>
    <w:tbl>
      <w:tblPr>
        <w:tblStyle w:val="10"/>
        <w:tblW w:w="0" w:type="auto"/>
        <w:jc w:val="center"/>
        <w:tblLayout w:type="fixed"/>
        <w:tblCellMar>
          <w:top w:w="0" w:type="dxa"/>
          <w:left w:w="108" w:type="dxa"/>
          <w:bottom w:w="0" w:type="dxa"/>
          <w:right w:w="108" w:type="dxa"/>
        </w:tblCellMar>
      </w:tblPr>
      <w:tblGrid>
        <w:gridCol w:w="1483"/>
        <w:gridCol w:w="5279"/>
        <w:gridCol w:w="832"/>
        <w:gridCol w:w="773"/>
        <w:gridCol w:w="919"/>
      </w:tblGrid>
      <w:tr>
        <w:tblPrEx>
          <w:tblCellMar>
            <w:top w:w="0" w:type="dxa"/>
            <w:left w:w="108" w:type="dxa"/>
            <w:bottom w:w="0" w:type="dxa"/>
            <w:right w:w="108" w:type="dxa"/>
          </w:tblCellMar>
        </w:tblPrEx>
        <w:trPr>
          <w:trHeight w:val="459" w:hRule="atLeast"/>
          <w:jc w:val="center"/>
        </w:trPr>
        <w:tc>
          <w:tcPr>
            <w:tcW w:w="14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检查项目</w:t>
            </w:r>
          </w:p>
        </w:tc>
        <w:tc>
          <w:tcPr>
            <w:tcW w:w="5279"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检查标准</w:t>
            </w:r>
          </w:p>
        </w:tc>
        <w:tc>
          <w:tcPr>
            <w:tcW w:w="832"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73"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扣分</w:t>
            </w:r>
          </w:p>
        </w:tc>
        <w:tc>
          <w:tcPr>
            <w:tcW w:w="919"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得分</w:t>
            </w:r>
          </w:p>
        </w:tc>
      </w:tr>
      <w:tr>
        <w:tblPrEx>
          <w:tblCellMar>
            <w:top w:w="0" w:type="dxa"/>
            <w:left w:w="108" w:type="dxa"/>
            <w:bottom w:w="0" w:type="dxa"/>
            <w:right w:w="108" w:type="dxa"/>
          </w:tblCellMar>
        </w:tblPrEx>
        <w:trPr>
          <w:trHeight w:val="397" w:hRule="atLeast"/>
          <w:jc w:val="center"/>
        </w:trPr>
        <w:tc>
          <w:tcPr>
            <w:tcW w:w="1483" w:type="dxa"/>
            <w:vMerge w:val="restart"/>
            <w:tcBorders>
              <w:top w:val="nil"/>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人员配备</w:t>
            </w:r>
          </w:p>
          <w:p>
            <w:pPr>
              <w:spacing w:line="5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（10分）</w:t>
            </w:r>
          </w:p>
        </w:tc>
        <w:tc>
          <w:tcPr>
            <w:tcW w:w="5279"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项目经理、组长及保洁员足额配备</w:t>
            </w:r>
          </w:p>
        </w:tc>
        <w:tc>
          <w:tcPr>
            <w:tcW w:w="832"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73"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宋体" w:hAnsi="宋体" w:eastAsia="宋体" w:cs="宋体"/>
                <w:color w:val="auto"/>
                <w:sz w:val="21"/>
                <w:szCs w:val="21"/>
                <w:highlight w:val="none"/>
              </w:rPr>
            </w:pPr>
          </w:p>
        </w:tc>
        <w:tc>
          <w:tcPr>
            <w:tcW w:w="919" w:type="dxa"/>
            <w:vMerge w:val="restart"/>
            <w:tcBorders>
              <w:top w:val="nil"/>
              <w:left w:val="nil"/>
              <w:bottom w:val="single" w:color="auto" w:sz="4" w:space="0"/>
              <w:right w:val="single" w:color="auto" w:sz="4" w:space="0"/>
            </w:tcBorders>
            <w:noWrap w:val="0"/>
            <w:vAlign w:val="center"/>
          </w:tcPr>
          <w:p>
            <w:pPr>
              <w:spacing w:line="560" w:lineRule="exac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78"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宋体" w:hAnsi="宋体" w:eastAsia="宋体" w:cs="宋体"/>
                <w:b/>
                <w:bCs/>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早、中、晚无空档期，人员在岗</w:t>
            </w:r>
          </w:p>
        </w:tc>
        <w:tc>
          <w:tcPr>
            <w:tcW w:w="832"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73"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restart"/>
            <w:tcBorders>
              <w:top w:val="nil"/>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清扫保洁</w:t>
            </w:r>
          </w:p>
          <w:p>
            <w:pPr>
              <w:spacing w:line="560" w:lineRule="exact"/>
              <w:ind w:firstLine="310" w:firstLineChars="147"/>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（45分）</w:t>
            </w:r>
          </w:p>
        </w:tc>
        <w:tc>
          <w:tcPr>
            <w:tcW w:w="5279"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一日三扫，全天巡扫巡捡</w:t>
            </w:r>
          </w:p>
        </w:tc>
        <w:tc>
          <w:tcPr>
            <w:tcW w:w="832"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73"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宋体" w:hAnsi="宋体" w:eastAsia="宋体" w:cs="宋体"/>
                <w:color w:val="auto"/>
                <w:sz w:val="21"/>
                <w:szCs w:val="21"/>
                <w:highlight w:val="none"/>
              </w:rPr>
            </w:pPr>
          </w:p>
        </w:tc>
        <w:tc>
          <w:tcPr>
            <w:tcW w:w="919" w:type="dxa"/>
            <w:vMerge w:val="restart"/>
            <w:tcBorders>
              <w:top w:val="nil"/>
              <w:left w:val="nil"/>
              <w:bottom w:val="single" w:color="auto" w:sz="4" w:space="0"/>
              <w:right w:val="single" w:color="auto" w:sz="4" w:space="0"/>
            </w:tcBorders>
            <w:noWrap w:val="0"/>
            <w:vAlign w:val="center"/>
          </w:tcPr>
          <w:p>
            <w:pPr>
              <w:spacing w:line="560" w:lineRule="exac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宋体" w:hAnsi="宋体" w:eastAsia="宋体" w:cs="宋体"/>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保洁区域无卫生死角和堆积物</w:t>
            </w:r>
          </w:p>
        </w:tc>
        <w:tc>
          <w:tcPr>
            <w:tcW w:w="832"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73"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宋体" w:hAnsi="宋体" w:eastAsia="宋体" w:cs="宋体"/>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路面无大面积抛洒污染</w:t>
            </w:r>
          </w:p>
        </w:tc>
        <w:tc>
          <w:tcPr>
            <w:tcW w:w="832"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73"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宋体" w:hAnsi="宋体" w:eastAsia="宋体" w:cs="宋体"/>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主道、辅道、人行道浮土清扫冲洗及时，道路扬尘不超标</w:t>
            </w:r>
          </w:p>
        </w:tc>
        <w:tc>
          <w:tcPr>
            <w:tcW w:w="832"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73"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道路喇叭口清理干净</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规范作业，无二次扬尘</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及时清扫雨后积水、清除积雪结冰</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41"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保洁员无向下水道、绿化带、围墙围挡后、市政设施内倒垃圾、杂物、积雪积冰等 </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及时清理或本色覆盖“野广告”</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机械作业</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管理</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冲洒水率达到“以克论净、深度保洁”作业标准相关要求</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restart"/>
            <w:tcBorders>
              <w:top w:val="nil"/>
              <w:left w:val="nil"/>
              <w:right w:val="single" w:color="auto" w:sz="4" w:space="0"/>
            </w:tcBorders>
            <w:noWrap w:val="0"/>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冲洒水作业完成时限：春夏季必须在早晨6:30时，秋冬季在早晨7:00时前完成冲洒水作业</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left w:val="nil"/>
              <w:right w:val="single" w:color="auto" w:sz="4" w:space="0"/>
            </w:tcBorders>
            <w:noWrap w:val="0"/>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冲洗、洒水作业时车速不应超过每小时20公里，严禁高速喷洒，避免路面喷洒不匀及积水。</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left w:val="nil"/>
              <w:right w:val="single" w:color="auto" w:sz="4" w:space="0"/>
            </w:tcBorders>
            <w:noWrap w:val="0"/>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机械化作业实行夜间机扫冲洗、白天快速保洁的作业模式（在不影响行人和车辆行车安全情况下可以白天清洗）机扫冲洗作业凌晨到6:50，快速保洁作业时间为上午9:30-21:00，夜间清扫时速度不超过10公里/小时；白天机扫车不超过15公里/小时，司机要到指定地点及时加水、卸土</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left w:val="nil"/>
              <w:right w:val="single" w:color="auto" w:sz="4" w:space="0"/>
            </w:tcBorders>
            <w:noWrap w:val="0"/>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贯彻落实治污减霾冲洗及洒水规定次数</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left w:val="nil"/>
              <w:right w:val="single" w:color="auto" w:sz="4" w:space="0"/>
            </w:tcBorders>
            <w:noWrap w:val="0"/>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continue"/>
            <w:tcBorders>
              <w:left w:val="single" w:color="auto" w:sz="4" w:space="0"/>
              <w:bottom w:val="single" w:color="auto" w:sz="4" w:space="0"/>
              <w:right w:val="single" w:color="auto" w:sz="4" w:space="0"/>
            </w:tcBorders>
            <w:noWrap w:val="0"/>
            <w:vAlign w:val="center"/>
          </w:tcPr>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
              <w:gridCol w:w="216"/>
              <w:gridCol w:w="216"/>
              <w:gridCol w:w="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dxa"/>
                  <w:noWrap w:val="0"/>
                  <w:vAlign w:val="top"/>
                </w:tcPr>
                <w:p>
                  <w:pPr>
                    <w:jc w:val="center"/>
                    <w:rPr>
                      <w:rFonts w:hint="eastAsia" w:ascii="宋体" w:hAnsi="宋体" w:eastAsia="宋体" w:cs="宋体"/>
                      <w:b/>
                      <w:bCs/>
                      <w:color w:val="auto"/>
                      <w:sz w:val="21"/>
                      <w:szCs w:val="21"/>
                      <w:highlight w:val="none"/>
                      <w:vertAlign w:val="baseline"/>
                    </w:rPr>
                  </w:pPr>
                </w:p>
              </w:tc>
              <w:tc>
                <w:tcPr>
                  <w:tcW w:w="216" w:type="dxa"/>
                  <w:noWrap w:val="0"/>
                  <w:vAlign w:val="top"/>
                </w:tcPr>
                <w:p>
                  <w:pPr>
                    <w:jc w:val="center"/>
                    <w:rPr>
                      <w:rFonts w:hint="eastAsia" w:ascii="宋体" w:hAnsi="宋体" w:eastAsia="宋体" w:cs="宋体"/>
                      <w:b/>
                      <w:bCs/>
                      <w:color w:val="auto"/>
                      <w:sz w:val="21"/>
                      <w:szCs w:val="21"/>
                      <w:highlight w:val="none"/>
                      <w:vertAlign w:val="baseline"/>
                    </w:rPr>
                  </w:pPr>
                </w:p>
              </w:tc>
              <w:tc>
                <w:tcPr>
                  <w:tcW w:w="216" w:type="dxa"/>
                  <w:noWrap w:val="0"/>
                  <w:vAlign w:val="top"/>
                </w:tcPr>
                <w:p>
                  <w:pPr>
                    <w:jc w:val="center"/>
                    <w:rPr>
                      <w:rFonts w:hint="eastAsia" w:ascii="宋体" w:hAnsi="宋体" w:eastAsia="宋体" w:cs="宋体"/>
                      <w:b/>
                      <w:bCs/>
                      <w:color w:val="auto"/>
                      <w:sz w:val="21"/>
                      <w:szCs w:val="21"/>
                      <w:highlight w:val="none"/>
                      <w:vertAlign w:val="baseline"/>
                    </w:rPr>
                  </w:pPr>
                </w:p>
              </w:tc>
              <w:tc>
                <w:tcPr>
                  <w:tcW w:w="216" w:type="dxa"/>
                  <w:noWrap w:val="0"/>
                  <w:vAlign w:val="top"/>
                </w:tcPr>
                <w:p>
                  <w:pPr>
                    <w:jc w:val="center"/>
                    <w:rPr>
                      <w:rFonts w:hint="eastAsia" w:ascii="宋体" w:hAnsi="宋体" w:eastAsia="宋体" w:cs="宋体"/>
                      <w:b/>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dxa"/>
                  <w:noWrap w:val="0"/>
                  <w:vAlign w:val="top"/>
                </w:tcPr>
                <w:p>
                  <w:pPr>
                    <w:jc w:val="center"/>
                    <w:rPr>
                      <w:rFonts w:hint="eastAsia" w:ascii="宋体" w:hAnsi="宋体" w:eastAsia="宋体" w:cs="宋体"/>
                      <w:b/>
                      <w:bCs/>
                      <w:color w:val="auto"/>
                      <w:sz w:val="21"/>
                      <w:szCs w:val="21"/>
                      <w:highlight w:val="none"/>
                      <w:vertAlign w:val="baseline"/>
                    </w:rPr>
                  </w:pPr>
                </w:p>
              </w:tc>
              <w:tc>
                <w:tcPr>
                  <w:tcW w:w="216" w:type="dxa"/>
                  <w:noWrap w:val="0"/>
                  <w:vAlign w:val="top"/>
                </w:tcPr>
                <w:p>
                  <w:pPr>
                    <w:jc w:val="center"/>
                    <w:rPr>
                      <w:rFonts w:hint="eastAsia" w:ascii="宋体" w:hAnsi="宋体" w:eastAsia="宋体" w:cs="宋体"/>
                      <w:b/>
                      <w:bCs/>
                      <w:color w:val="auto"/>
                      <w:sz w:val="21"/>
                      <w:szCs w:val="21"/>
                      <w:highlight w:val="none"/>
                      <w:vertAlign w:val="baseline"/>
                    </w:rPr>
                  </w:pPr>
                </w:p>
              </w:tc>
              <w:tc>
                <w:tcPr>
                  <w:tcW w:w="216" w:type="dxa"/>
                  <w:noWrap w:val="0"/>
                  <w:vAlign w:val="top"/>
                </w:tcPr>
                <w:p>
                  <w:pPr>
                    <w:jc w:val="center"/>
                    <w:rPr>
                      <w:rFonts w:hint="eastAsia" w:ascii="宋体" w:hAnsi="宋体" w:eastAsia="宋体" w:cs="宋体"/>
                      <w:b/>
                      <w:bCs/>
                      <w:color w:val="auto"/>
                      <w:sz w:val="21"/>
                      <w:szCs w:val="21"/>
                      <w:highlight w:val="none"/>
                      <w:vertAlign w:val="baseline"/>
                    </w:rPr>
                  </w:pPr>
                </w:p>
              </w:tc>
              <w:tc>
                <w:tcPr>
                  <w:tcW w:w="216" w:type="dxa"/>
                  <w:noWrap w:val="0"/>
                  <w:vAlign w:val="top"/>
                </w:tcPr>
                <w:p>
                  <w:pPr>
                    <w:jc w:val="center"/>
                    <w:rPr>
                      <w:rFonts w:hint="eastAsia" w:ascii="宋体" w:hAnsi="宋体" w:eastAsia="宋体" w:cs="宋体"/>
                      <w:b/>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dxa"/>
                  <w:noWrap w:val="0"/>
                  <w:vAlign w:val="top"/>
                </w:tcPr>
                <w:p>
                  <w:pPr>
                    <w:jc w:val="center"/>
                    <w:rPr>
                      <w:rFonts w:hint="eastAsia" w:ascii="宋体" w:hAnsi="宋体" w:eastAsia="宋体" w:cs="宋体"/>
                      <w:b/>
                      <w:bCs/>
                      <w:color w:val="auto"/>
                      <w:sz w:val="21"/>
                      <w:szCs w:val="21"/>
                      <w:highlight w:val="none"/>
                      <w:vertAlign w:val="baseline"/>
                    </w:rPr>
                  </w:pPr>
                </w:p>
              </w:tc>
              <w:tc>
                <w:tcPr>
                  <w:tcW w:w="216" w:type="dxa"/>
                  <w:noWrap w:val="0"/>
                  <w:vAlign w:val="top"/>
                </w:tcPr>
                <w:p>
                  <w:pPr>
                    <w:jc w:val="center"/>
                    <w:rPr>
                      <w:rFonts w:hint="eastAsia" w:ascii="宋体" w:hAnsi="宋体" w:eastAsia="宋体" w:cs="宋体"/>
                      <w:b/>
                      <w:bCs/>
                      <w:color w:val="auto"/>
                      <w:sz w:val="21"/>
                      <w:szCs w:val="21"/>
                      <w:highlight w:val="none"/>
                      <w:vertAlign w:val="baseline"/>
                    </w:rPr>
                  </w:pPr>
                </w:p>
              </w:tc>
              <w:tc>
                <w:tcPr>
                  <w:tcW w:w="216" w:type="dxa"/>
                  <w:noWrap w:val="0"/>
                  <w:vAlign w:val="top"/>
                </w:tcPr>
                <w:p>
                  <w:pPr>
                    <w:jc w:val="center"/>
                    <w:rPr>
                      <w:rFonts w:hint="eastAsia" w:ascii="宋体" w:hAnsi="宋体" w:eastAsia="宋体" w:cs="宋体"/>
                      <w:b/>
                      <w:bCs/>
                      <w:color w:val="auto"/>
                      <w:sz w:val="21"/>
                      <w:szCs w:val="21"/>
                      <w:highlight w:val="none"/>
                      <w:vertAlign w:val="baseline"/>
                    </w:rPr>
                  </w:pPr>
                </w:p>
              </w:tc>
              <w:tc>
                <w:tcPr>
                  <w:tcW w:w="216" w:type="dxa"/>
                  <w:noWrap w:val="0"/>
                  <w:vAlign w:val="top"/>
                </w:tcPr>
                <w:p>
                  <w:pPr>
                    <w:jc w:val="center"/>
                    <w:rPr>
                      <w:rFonts w:hint="eastAsia" w:ascii="宋体" w:hAnsi="宋体" w:eastAsia="宋体" w:cs="宋体"/>
                      <w:b/>
                      <w:bCs/>
                      <w:color w:val="auto"/>
                      <w:sz w:val="21"/>
                      <w:szCs w:val="21"/>
                      <w:highlight w:val="none"/>
                      <w:vertAlign w:val="baseline"/>
                    </w:rPr>
                  </w:pPr>
                </w:p>
              </w:tc>
            </w:tr>
          </w:tbl>
          <w:p>
            <w:pPr>
              <w:jc w:val="center"/>
              <w:rPr>
                <w:rFonts w:hint="eastAsia" w:ascii="宋体" w:hAnsi="宋体" w:eastAsia="宋体" w:cs="宋体"/>
                <w:b/>
                <w:bCs/>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冲洗作业应使用高压洗扫车等高效节水的环卫专用车辆，发挥高压洗扫车洗、扫、吸一体完成和不扬尘的优点，利用高压水喷嘴等专用设备消除道路侧石和交通隔离护栏等市政设施周边积尘。要确保道路</w:t>
            </w:r>
            <w:r>
              <w:rPr>
                <w:rFonts w:hint="eastAsia" w:ascii="宋体" w:hAnsi="宋体" w:eastAsia="宋体" w:cs="宋体"/>
                <w:color w:val="auto"/>
                <w:sz w:val="21"/>
                <w:szCs w:val="21"/>
                <w:highlight w:val="none"/>
              </w:rPr>
              <w:t>无土绺、无漏扫、无杂物，达到路面净、道牙净、雨水口净</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pict>
                <v:line id="直接连接符 4" o:spid="_x0000_s2052" o:spt="20" style="position:absolute;left:0pt;margin-left:-4.7pt;margin-top:0.15pt;height:0pt;width:81pt;z-index:251661312;mso-width-relative:page;mso-height-relative:page;" filled="f" stroked="t" coordsize="21600,21600" o:gfxdata="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2iypG0wAAAAQBAAAPAAAAAAAAAAEAIAAAACIAAABkcnMvZG93bnJldi54bWxQSwECFAAU&#10;AAAACACHTuJABcREEfYBAADkAwAADgAAAAAAAAABACAAAAAiAQAAZHJzL2Uyb0RvYy54bWxQSwUG&#10;AAAAAAYABgBZAQAAigUAAAAA&#10;">
                  <v:path arrowok="t"/>
                  <v:fill on="f" focussize="0,0"/>
                  <v:stroke joinstyle="round"/>
                  <v:imagedata o:title=""/>
                  <o:lock v:ext="edit" aspectratio="f"/>
                </v:line>
              </w:pict>
            </w:r>
            <w:r>
              <w:rPr>
                <w:rFonts w:hint="eastAsia" w:ascii="宋体" w:hAnsi="宋体" w:eastAsia="宋体" w:cs="宋体"/>
                <w:b/>
                <w:bCs/>
                <w:color w:val="auto"/>
                <w:sz w:val="21"/>
                <w:szCs w:val="21"/>
                <w:highlight w:val="none"/>
              </w:rPr>
              <w:t>烟头垃圾</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捡拾</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（20分）</w:t>
            </w: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路面、绿化带、树坑等烟头垃圾不超标</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pict>
                <v:line id="直接连接符 5" o:spid="_x0000_s2053" o:spt="20" style="position:absolute;left:0pt;margin-left:26.4pt;margin-top:-0.5pt;height:0pt;width:54pt;z-index:251662336;mso-width-relative:page;mso-height-relative:page;" filled="f" stroked="t" coordsize="21600,21600" o:gfxdata="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X9Q7zUAAAACAEAAA8AAAAAAAAAAQAgAAAAIgAAAGRycy9kb3ducmV2LnhtbFBLAQIUABQA&#10;AAAIAIdO4kC5m98V9AEAAOMDAAAOAAAAAAAAAAEAIAAAACMBAABkcnMvZTJvRG9jLnhtbFBLBQYA&#10;AAAABgAGAFkBAACJBQAAAAA=&#10;">
                  <v:path arrowok="t"/>
                  <v:fill on="f" focussize="0,0"/>
                  <v:stroke joinstyle="round"/>
                  <v:imagedata o:title=""/>
                  <o:lock v:ext="edit" aspectratio="f"/>
                </v:line>
              </w:pict>
            </w:r>
          </w:p>
        </w:tc>
        <w:tc>
          <w:tcPr>
            <w:tcW w:w="919" w:type="dxa"/>
            <w:vMerge w:val="restart"/>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垃圾落地滞留时间不超时</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03"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sz w:val="21"/>
                <w:szCs w:val="21"/>
                <w:highlight w:val="none"/>
              </w:rPr>
            </w:pPr>
          </w:p>
        </w:tc>
        <w:tc>
          <w:tcPr>
            <w:tcW w:w="5279" w:type="dxa"/>
            <w:tcBorders>
              <w:top w:val="single" w:color="auto" w:sz="4" w:space="0"/>
              <w:left w:val="nil"/>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保洁员不在责任区乱扔烟头垃圾</w:t>
            </w:r>
          </w:p>
        </w:tc>
        <w:tc>
          <w:tcPr>
            <w:tcW w:w="832"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城市家具</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擦洗</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（5分）</w:t>
            </w: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对路灯杆、公交候车厅、标志牌等每日两次擦拭</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restart"/>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休闲座椅整洁，无垃圾、尘土、水渍等</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员工纪律</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（5分）</w:t>
            </w: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工作时间2人以上扎堆、聊天，不在指定地点休息，串岗。</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restart"/>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97"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作业期间出现空岗、脱岗或做与工作无关事项</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01"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工作时间不着保洁工服和反光背心，或着装不整齐</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84"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不按安全操作规范作业，保洁工具摆放不整齐</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59" w:hRule="atLeast"/>
          <w:jc w:val="center"/>
        </w:trPr>
        <w:tc>
          <w:tcPr>
            <w:tcW w:w="14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sz w:val="21"/>
                <w:szCs w:val="21"/>
                <w:highlight w:val="none"/>
              </w:rPr>
            </w:pP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不焚烧枯枝落叶杂物等</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1" w:hRule="atLeast"/>
          <w:jc w:val="center"/>
        </w:trPr>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应急处置</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（5分）</w:t>
            </w: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及时处置通报投诉问题，圆满完成迎检保障工作，每日以图文形式汇报工作开展情况。</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73" w:hRule="atLeast"/>
          <w:jc w:val="center"/>
        </w:trPr>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得分</w:t>
            </w:r>
          </w:p>
        </w:tc>
        <w:tc>
          <w:tcPr>
            <w:tcW w:w="527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832"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77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r>
    </w:tbl>
    <w:p>
      <w:pPr>
        <w:autoSpaceDE w:val="0"/>
        <w:autoSpaceDN w:val="0"/>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备注：每处问题扣除0.2分，单项分值扣完为止。</w:t>
      </w:r>
    </w:p>
    <w:p>
      <w:pPr>
        <w:spacing w:line="560" w:lineRule="exact"/>
        <w:ind w:firstLine="420" w:firstLineChars="200"/>
        <w:rPr>
          <w:rFonts w:hint="eastAsia" w:ascii="宋体" w:hAnsi="宋体" w:eastAsia="宋体" w:cs="宋体"/>
          <w:color w:val="auto"/>
          <w:sz w:val="21"/>
          <w:szCs w:val="21"/>
          <w:highlight w:val="none"/>
        </w:rPr>
      </w:pPr>
    </w:p>
    <w:p>
      <w:pPr>
        <w:widowControl/>
        <w:spacing w:line="400" w:lineRule="exact"/>
        <w:rPr>
          <w:rFonts w:hint="eastAsia" w:ascii="宋体" w:hAnsi="宋体" w:eastAsia="宋体" w:cs="宋体"/>
          <w:color w:val="auto"/>
          <w:sz w:val="21"/>
          <w:szCs w:val="21"/>
          <w:highlight w:val="none"/>
        </w:rPr>
      </w:pPr>
    </w:p>
    <w:p>
      <w:pPr>
        <w:pStyle w:val="4"/>
        <w:jc w:val="center"/>
        <w:rPr>
          <w:rFonts w:hint="eastAsia" w:ascii="宋体" w:hAnsi="宋体" w:eastAsia="宋体" w:cs="宋体"/>
          <w:color w:val="auto"/>
          <w:sz w:val="21"/>
          <w:szCs w:val="21"/>
          <w:highlight w:val="none"/>
        </w:rPr>
      </w:pPr>
    </w:p>
    <w:p>
      <w:pPr>
        <w:widowControl/>
        <w:spacing w:line="400" w:lineRule="exact"/>
        <w:rPr>
          <w:rFonts w:hint="eastAsia" w:ascii="宋体" w:hAnsi="宋体" w:eastAsia="宋体" w:cs="宋体"/>
          <w:color w:val="auto"/>
          <w:sz w:val="21"/>
          <w:szCs w:val="21"/>
          <w:highlight w:val="none"/>
        </w:rPr>
      </w:pPr>
    </w:p>
    <w:p>
      <w:pPr>
        <w:widowControl/>
        <w:spacing w:line="400" w:lineRule="exact"/>
        <w:rPr>
          <w:rFonts w:hint="eastAsia" w:ascii="宋体" w:hAnsi="宋体" w:eastAsia="宋体" w:cs="宋体"/>
          <w:color w:val="auto"/>
          <w:sz w:val="21"/>
          <w:szCs w:val="21"/>
          <w:highlight w:val="none"/>
        </w:rPr>
      </w:pPr>
    </w:p>
    <w:p>
      <w:pPr>
        <w:widowControl/>
        <w:spacing w:line="400" w:lineRule="exact"/>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widowControl/>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附件4</w:t>
      </w:r>
      <w:r>
        <w:rPr>
          <w:rFonts w:hint="eastAsia" w:ascii="宋体" w:hAnsi="宋体" w:eastAsia="宋体" w:cs="宋体"/>
          <w:color w:val="auto"/>
          <w:sz w:val="21"/>
          <w:szCs w:val="21"/>
          <w:highlight w:val="none"/>
          <w:lang w:val="en-US" w:eastAsia="zh-CN"/>
        </w:rPr>
        <w:t>.2</w:t>
      </w:r>
    </w:p>
    <w:p>
      <w:pPr>
        <w:widowControl/>
        <w:spacing w:line="400" w:lineRule="exact"/>
        <w:rPr>
          <w:rFonts w:hint="eastAsia" w:ascii="宋体" w:hAnsi="宋体" w:eastAsia="宋体" w:cs="宋体"/>
          <w:color w:val="auto"/>
          <w:sz w:val="21"/>
          <w:szCs w:val="21"/>
          <w:highlight w:val="none"/>
        </w:rPr>
      </w:pPr>
    </w:p>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红庙坡</w:t>
      </w:r>
      <w:r>
        <w:rPr>
          <w:rFonts w:hint="eastAsia" w:ascii="宋体" w:hAnsi="宋体" w:eastAsia="宋体" w:cs="宋体"/>
          <w:bCs/>
          <w:color w:val="auto"/>
          <w:sz w:val="21"/>
          <w:szCs w:val="21"/>
          <w:highlight w:val="none"/>
        </w:rPr>
        <w:t>街道办事处市容环卫工作月度综合考核得分表</w:t>
      </w:r>
    </w:p>
    <w:p>
      <w:pPr>
        <w:spacing w:line="400" w:lineRule="exact"/>
        <w:rPr>
          <w:rFonts w:hint="eastAsia" w:ascii="宋体" w:hAnsi="宋体" w:eastAsia="宋体" w:cs="宋体"/>
          <w:b/>
          <w:bCs/>
          <w:color w:val="auto"/>
          <w:sz w:val="21"/>
          <w:szCs w:val="21"/>
          <w:highlight w:val="none"/>
        </w:rPr>
      </w:pPr>
    </w:p>
    <w:p>
      <w:pPr>
        <w:spacing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街道考核负责人：                          日期：</w:t>
      </w:r>
    </w:p>
    <w:tbl>
      <w:tblPr>
        <w:tblStyle w:val="10"/>
        <w:tblW w:w="8709" w:type="dxa"/>
        <w:jc w:val="center"/>
        <w:tblLayout w:type="fixed"/>
        <w:tblCellMar>
          <w:top w:w="0" w:type="dxa"/>
          <w:left w:w="108" w:type="dxa"/>
          <w:bottom w:w="0" w:type="dxa"/>
          <w:right w:w="108" w:type="dxa"/>
        </w:tblCellMar>
      </w:tblPr>
      <w:tblGrid>
        <w:gridCol w:w="1649"/>
        <w:gridCol w:w="2351"/>
        <w:gridCol w:w="1620"/>
        <w:gridCol w:w="1695"/>
        <w:gridCol w:w="1394"/>
      </w:tblGrid>
      <w:tr>
        <w:tblPrEx>
          <w:tblCellMar>
            <w:top w:w="0" w:type="dxa"/>
            <w:left w:w="108" w:type="dxa"/>
            <w:bottom w:w="0" w:type="dxa"/>
            <w:right w:w="108" w:type="dxa"/>
          </w:tblCellMar>
        </w:tblPrEx>
        <w:trPr>
          <w:trHeight w:val="704"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检查项目</w:t>
            </w:r>
          </w:p>
        </w:tc>
        <w:tc>
          <w:tcPr>
            <w:tcW w:w="235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满</w:t>
            </w:r>
            <w:r>
              <w:rPr>
                <w:rFonts w:hint="eastAsia" w:ascii="宋体" w:hAnsi="宋体" w:eastAsia="宋体" w:cs="宋体"/>
                <w:b/>
                <w:bCs/>
                <w:color w:val="auto"/>
                <w:sz w:val="21"/>
                <w:szCs w:val="21"/>
                <w:highlight w:val="none"/>
              </w:rPr>
              <w:t>分</w:t>
            </w:r>
          </w:p>
        </w:tc>
        <w:tc>
          <w:tcPr>
            <w:tcW w:w="16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百分比</w:t>
            </w:r>
          </w:p>
        </w:tc>
        <w:tc>
          <w:tcPr>
            <w:tcW w:w="169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扣分</w:t>
            </w:r>
          </w:p>
        </w:tc>
        <w:tc>
          <w:tcPr>
            <w:tcW w:w="139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得分</w:t>
            </w:r>
          </w:p>
        </w:tc>
      </w:tr>
      <w:tr>
        <w:tblPrEx>
          <w:tblCellMar>
            <w:top w:w="0" w:type="dxa"/>
            <w:left w:w="108" w:type="dxa"/>
            <w:bottom w:w="0" w:type="dxa"/>
            <w:right w:w="108" w:type="dxa"/>
          </w:tblCellMar>
        </w:tblPrEx>
        <w:trPr>
          <w:trHeight w:val="1235" w:hRule="atLeast"/>
          <w:jc w:val="center"/>
        </w:trPr>
        <w:tc>
          <w:tcPr>
            <w:tcW w:w="1649"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街办日常</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检查</w:t>
            </w:r>
          </w:p>
        </w:tc>
        <w:tc>
          <w:tcPr>
            <w:tcW w:w="2351" w:type="dxa"/>
            <w:tcBorders>
              <w:top w:val="single" w:color="auto" w:sz="4" w:space="0"/>
              <w:left w:val="nil"/>
              <w:right w:val="single" w:color="auto" w:sz="4" w:space="0"/>
            </w:tcBorders>
            <w:noWrap w:val="0"/>
            <w:vAlign w:val="center"/>
          </w:tcPr>
          <w:p>
            <w:pPr>
              <w:rPr>
                <w:rFonts w:hint="eastAsia" w:ascii="宋体" w:hAnsi="宋体" w:eastAsia="宋体" w:cs="宋体"/>
                <w:color w:val="auto"/>
                <w:sz w:val="21"/>
                <w:szCs w:val="21"/>
                <w:highlight w:val="none"/>
              </w:rPr>
            </w:pPr>
          </w:p>
        </w:tc>
        <w:tc>
          <w:tcPr>
            <w:tcW w:w="1620"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695" w:type="dxa"/>
            <w:tcBorders>
              <w:top w:val="single" w:color="auto" w:sz="4" w:space="0"/>
              <w:left w:val="nil"/>
              <w:right w:val="single" w:color="auto" w:sz="4" w:space="0"/>
            </w:tcBorders>
            <w:noWrap w:val="0"/>
            <w:vAlign w:val="center"/>
          </w:tcPr>
          <w:p>
            <w:pPr>
              <w:rPr>
                <w:rFonts w:hint="eastAsia" w:ascii="宋体" w:hAnsi="宋体" w:eastAsia="宋体" w:cs="宋体"/>
                <w:color w:val="auto"/>
                <w:sz w:val="21"/>
                <w:szCs w:val="21"/>
                <w:highlight w:val="none"/>
              </w:rPr>
            </w:pPr>
          </w:p>
        </w:tc>
        <w:tc>
          <w:tcPr>
            <w:tcW w:w="1394"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126" w:hRule="atLeast"/>
          <w:jc w:val="center"/>
        </w:trPr>
        <w:tc>
          <w:tcPr>
            <w:tcW w:w="1649" w:type="dxa"/>
            <w:tcBorders>
              <w:top w:val="nil"/>
              <w:left w:val="single" w:color="auto" w:sz="4" w:space="0"/>
              <w:bottom w:val="single" w:color="auto" w:sz="4" w:space="0"/>
              <w:right w:val="single" w:color="auto" w:sz="4" w:space="0"/>
            </w:tcBorders>
            <w:noWrap w:val="0"/>
            <w:vAlign w:val="center"/>
          </w:tcPr>
          <w:p>
            <w:pPr>
              <w:ind w:firstLine="207" w:firstLineChars="98"/>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区级检查</w:t>
            </w:r>
          </w:p>
        </w:tc>
        <w:tc>
          <w:tcPr>
            <w:tcW w:w="2351" w:type="dxa"/>
            <w:tcBorders>
              <w:top w:val="single" w:color="auto" w:sz="4" w:space="0"/>
              <w:left w:val="nil"/>
              <w:right w:val="single" w:color="auto" w:sz="4" w:space="0"/>
            </w:tcBorders>
            <w:noWrap w:val="0"/>
            <w:vAlign w:val="center"/>
          </w:tcPr>
          <w:p>
            <w:pPr>
              <w:rPr>
                <w:rFonts w:hint="eastAsia" w:ascii="宋体" w:hAnsi="宋体" w:eastAsia="宋体" w:cs="宋体"/>
                <w:color w:val="auto"/>
                <w:sz w:val="21"/>
                <w:szCs w:val="21"/>
                <w:highlight w:val="none"/>
              </w:rPr>
            </w:pPr>
          </w:p>
        </w:tc>
        <w:tc>
          <w:tcPr>
            <w:tcW w:w="1620"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p>
            <w:pPr>
              <w:jc w:val="center"/>
              <w:rPr>
                <w:rFonts w:hint="eastAsia" w:ascii="宋体" w:hAnsi="宋体" w:eastAsia="宋体" w:cs="宋体"/>
                <w:color w:val="auto"/>
                <w:sz w:val="21"/>
                <w:szCs w:val="21"/>
                <w:highlight w:val="none"/>
              </w:rPr>
            </w:pPr>
          </w:p>
        </w:tc>
        <w:tc>
          <w:tcPr>
            <w:tcW w:w="1695" w:type="dxa"/>
            <w:tcBorders>
              <w:top w:val="single" w:color="auto" w:sz="4" w:space="0"/>
              <w:left w:val="nil"/>
              <w:right w:val="single" w:color="auto" w:sz="4" w:space="0"/>
            </w:tcBorders>
            <w:noWrap w:val="0"/>
            <w:vAlign w:val="center"/>
          </w:tcPr>
          <w:p>
            <w:pPr>
              <w:rPr>
                <w:rFonts w:hint="eastAsia" w:ascii="宋体" w:hAnsi="宋体" w:eastAsia="宋体" w:cs="宋体"/>
                <w:color w:val="auto"/>
                <w:sz w:val="21"/>
                <w:szCs w:val="21"/>
                <w:highlight w:val="none"/>
              </w:rPr>
            </w:pPr>
          </w:p>
        </w:tc>
        <w:tc>
          <w:tcPr>
            <w:tcW w:w="1394"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181" w:hRule="atLeast"/>
          <w:jc w:val="center"/>
        </w:trPr>
        <w:tc>
          <w:tcPr>
            <w:tcW w:w="1649" w:type="dxa"/>
            <w:tcBorders>
              <w:top w:val="nil"/>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第三方检查</w:t>
            </w:r>
          </w:p>
          <w:p>
            <w:pPr>
              <w:jc w:val="center"/>
              <w:rPr>
                <w:rFonts w:hint="eastAsia" w:ascii="宋体" w:hAnsi="宋体" w:eastAsia="宋体" w:cs="宋体"/>
                <w:b/>
                <w:bCs/>
                <w:color w:val="auto"/>
                <w:sz w:val="21"/>
                <w:szCs w:val="21"/>
                <w:highlight w:val="none"/>
              </w:rPr>
            </w:pPr>
          </w:p>
        </w:tc>
        <w:tc>
          <w:tcPr>
            <w:tcW w:w="2351" w:type="dxa"/>
            <w:tcBorders>
              <w:top w:val="single" w:color="auto" w:sz="4" w:space="0"/>
              <w:left w:val="nil"/>
              <w:bottom w:val="single" w:color="auto" w:sz="4" w:space="0"/>
              <w:right w:val="single" w:color="auto" w:sz="4" w:space="0"/>
            </w:tcBorders>
            <w:noWrap w:val="0"/>
            <w:vAlign w:val="center"/>
          </w:tcPr>
          <w:p>
            <w:pPr>
              <w:spacing w:line="560" w:lineRule="exact"/>
              <w:ind w:firstLine="420" w:firstLineChars="200"/>
              <w:jc w:val="left"/>
              <w:rPr>
                <w:rFonts w:hint="eastAsia" w:ascii="宋体" w:hAnsi="宋体" w:eastAsia="宋体" w:cs="宋体"/>
                <w:color w:val="auto"/>
                <w:kern w:val="0"/>
                <w:sz w:val="21"/>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69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1394" w:type="dxa"/>
            <w:tcBorders>
              <w:top w:val="nil"/>
              <w:left w:val="nil"/>
              <w:right w:val="single" w:color="auto" w:sz="4" w:space="0"/>
            </w:tcBorders>
            <w:noWrap w:val="0"/>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73" w:hRule="atLeast"/>
          <w:jc w:val="center"/>
        </w:trPr>
        <w:tc>
          <w:tcPr>
            <w:tcW w:w="7315"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 w:val="21"/>
                <w:szCs w:val="21"/>
                <w:highlight w:val="none"/>
              </w:rPr>
            </w:pPr>
          </w:p>
          <w:p>
            <w:pPr>
              <w:ind w:firstLine="211" w:firstLineChars="1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合计</w:t>
            </w:r>
          </w:p>
        </w:tc>
        <w:tc>
          <w:tcPr>
            <w:tcW w:w="1394"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r>
    </w:tbl>
    <w:p>
      <w:pPr>
        <w:spacing w:line="560" w:lineRule="exact"/>
        <w:ind w:firstLine="420" w:firstLineChars="200"/>
        <w:rPr>
          <w:rFonts w:hint="eastAsia" w:ascii="宋体" w:hAnsi="宋体" w:eastAsia="宋体" w:cs="宋体"/>
          <w:color w:val="auto"/>
          <w:sz w:val="21"/>
          <w:szCs w:val="21"/>
          <w:highlight w:val="none"/>
        </w:rPr>
      </w:pPr>
    </w:p>
    <w:p>
      <w:pPr>
        <w:spacing w:line="560" w:lineRule="exact"/>
        <w:ind w:firstLine="420" w:firstLineChars="200"/>
        <w:rPr>
          <w:rFonts w:hint="eastAsia" w:ascii="宋体" w:hAnsi="宋体" w:eastAsia="宋体" w:cs="宋体"/>
          <w:color w:val="auto"/>
          <w:sz w:val="21"/>
          <w:szCs w:val="21"/>
          <w:highlight w:val="none"/>
        </w:rPr>
      </w:pPr>
    </w:p>
    <w:p>
      <w:pPr>
        <w:spacing w:line="560" w:lineRule="exact"/>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4"/>
        <w:rPr>
          <w:rFonts w:hint="eastAsia" w:ascii="宋体" w:hAnsi="宋体" w:eastAsia="宋体" w:cs="宋体"/>
          <w:color w:val="auto"/>
          <w:sz w:val="21"/>
          <w:szCs w:val="21"/>
          <w:highlight w:val="none"/>
        </w:rPr>
      </w:pPr>
    </w:p>
    <w:p>
      <w:pPr>
        <w:pStyle w:val="4"/>
        <w:rPr>
          <w:rFonts w:hint="eastAsia" w:ascii="宋体" w:hAnsi="宋体" w:eastAsia="宋体" w:cs="宋体"/>
          <w:color w:val="auto"/>
          <w:sz w:val="21"/>
          <w:szCs w:val="21"/>
          <w:highlight w:val="none"/>
        </w:rPr>
      </w:pPr>
    </w:p>
    <w:p>
      <w:pPr>
        <w:pStyle w:val="4"/>
        <w:rPr>
          <w:rFonts w:hint="eastAsia" w:ascii="宋体" w:hAnsi="宋体" w:eastAsia="宋体" w:cs="宋体"/>
          <w:color w:val="auto"/>
          <w:sz w:val="21"/>
          <w:szCs w:val="21"/>
          <w:highlight w:val="none"/>
        </w:rPr>
      </w:pPr>
    </w:p>
    <w:p>
      <w:pPr>
        <w:pStyle w:val="4"/>
        <w:rPr>
          <w:rFonts w:hint="eastAsia" w:ascii="宋体" w:hAnsi="宋体" w:eastAsia="宋体" w:cs="宋体"/>
          <w:color w:val="auto"/>
          <w:sz w:val="21"/>
          <w:szCs w:val="21"/>
          <w:highlight w:val="none"/>
        </w:rPr>
      </w:pPr>
    </w:p>
    <w:p>
      <w:pPr>
        <w:pStyle w:val="4"/>
        <w:rPr>
          <w:rFonts w:hint="eastAsia" w:ascii="宋体" w:hAnsi="宋体" w:eastAsia="宋体" w:cs="宋体"/>
          <w:color w:val="auto"/>
          <w:sz w:val="21"/>
          <w:szCs w:val="21"/>
          <w:highlight w:val="none"/>
        </w:rPr>
      </w:pPr>
    </w:p>
    <w:p>
      <w:pPr>
        <w:jc w:val="both"/>
        <w:rPr>
          <w:rFonts w:hint="eastAsia" w:ascii="宋体" w:hAnsi="宋体" w:eastAsia="宋体" w:cs="宋体"/>
          <w:color w:val="auto"/>
          <w:sz w:val="21"/>
          <w:szCs w:val="21"/>
          <w:highlight w:val="none"/>
          <w:lang w:val="en-US" w:eastAsia="zh-CN"/>
        </w:rPr>
      </w:pPr>
    </w:p>
    <w:p>
      <w:pPr>
        <w:rPr>
          <w:rFonts w:hint="eastAsia" w:ascii="宋体" w:hAnsi="宋体" w:eastAsia="宋体" w:cs="宋体"/>
          <w:b/>
          <w:bCs/>
          <w:color w:val="auto"/>
          <w:kern w:val="2"/>
          <w:sz w:val="24"/>
          <w:szCs w:val="24"/>
          <w:highlight w:val="none"/>
          <w:u w:val="none"/>
          <w:vertAlign w:val="baseline"/>
          <w:lang w:val="en-US" w:eastAsia="zh-CN" w:bidi="ar-SA"/>
        </w:rPr>
      </w:pPr>
      <w:r>
        <w:rPr>
          <w:rFonts w:hint="eastAsia" w:ascii="宋体" w:hAnsi="宋体" w:eastAsia="宋体" w:cs="宋体"/>
          <w:color w:val="auto"/>
          <w:sz w:val="21"/>
          <w:szCs w:val="21"/>
          <w:highlight w:val="none"/>
          <w:lang w:val="en-US" w:eastAsia="zh-CN"/>
        </w:rPr>
        <w:br w:type="page"/>
      </w:r>
      <w:bookmarkEnd w:id="0"/>
    </w:p>
    <w:p>
      <w:pPr>
        <w:pStyle w:val="7"/>
        <w:numPr>
          <w:ilvl w:val="0"/>
          <w:numId w:val="0"/>
        </w:numPr>
        <w:rPr>
          <w:rFonts w:hint="eastAsia" w:ascii="宋体" w:hAnsi="宋体" w:eastAsia="宋体" w:cs="宋体"/>
          <w:b/>
          <w:bCs/>
          <w:color w:val="auto"/>
          <w:kern w:val="2"/>
          <w:sz w:val="24"/>
          <w:szCs w:val="24"/>
          <w:highlight w:val="none"/>
          <w:u w:val="none"/>
          <w:vertAlign w:val="baseline"/>
          <w:lang w:val="en-US" w:eastAsia="zh-CN" w:bidi="ar-SA"/>
        </w:rPr>
      </w:pPr>
      <w:r>
        <w:rPr>
          <w:rFonts w:hint="eastAsia" w:ascii="宋体" w:hAnsi="宋体" w:eastAsia="宋体" w:cs="宋体"/>
          <w:b/>
          <w:bCs/>
          <w:color w:val="auto"/>
          <w:kern w:val="2"/>
          <w:sz w:val="24"/>
          <w:szCs w:val="24"/>
          <w:highlight w:val="none"/>
          <w:u w:val="none"/>
          <w:vertAlign w:val="baseline"/>
          <w:lang w:val="en-US" w:eastAsia="zh-CN" w:bidi="ar-SA"/>
        </w:rPr>
        <w:t>五、其他（如有要求，请写明）</w:t>
      </w:r>
    </w:p>
    <w:p>
      <w:pPr>
        <w:pStyle w:val="7"/>
        <w:numPr>
          <w:ilvl w:val="0"/>
          <w:numId w:val="0"/>
        </w:numPr>
        <w:ind w:firstLine="420" w:firstLineChars="200"/>
        <w:rPr>
          <w:rFonts w:hint="eastAsia"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kern w:val="2"/>
          <w:sz w:val="21"/>
          <w:szCs w:val="21"/>
          <w:highlight w:val="none"/>
          <w:u w:val="none"/>
          <w:vertAlign w:val="baseline"/>
          <w:lang w:val="en-US" w:eastAsia="zh-CN" w:bidi="ar-SA"/>
        </w:rPr>
        <w:t>投标人具有2020年1月1日至今独立承担的同类服务业绩，投标文件中附有业绩证明材料（业绩以合同复印件为依据）。</w:t>
      </w:r>
    </w:p>
    <w:p>
      <w:pPr>
        <w:pStyle w:val="7"/>
        <w:numPr>
          <w:ilvl w:val="0"/>
          <w:numId w:val="0"/>
        </w:numPr>
        <w:ind w:firstLine="420" w:firstLineChars="200"/>
        <w:rPr>
          <w:rFonts w:hint="eastAsia" w:ascii="宋体" w:hAnsi="宋体" w:eastAsia="宋体" w:cs="宋体"/>
          <w:color w:val="auto"/>
          <w:kern w:val="2"/>
          <w:sz w:val="21"/>
          <w:szCs w:val="21"/>
          <w:highlight w:val="none"/>
          <w:u w:val="none"/>
          <w:vertAlign w:val="baseline"/>
          <w:lang w:val="en-US" w:eastAsia="zh-CN" w:bidi="ar-SA"/>
        </w:rPr>
      </w:pPr>
    </w:p>
    <w:p>
      <w:pPr>
        <w:pStyle w:val="7"/>
        <w:numPr>
          <w:ilvl w:val="0"/>
          <w:numId w:val="0"/>
        </w:numPr>
        <w:ind w:firstLine="420" w:firstLineChars="200"/>
        <w:rPr>
          <w:rFonts w:hint="eastAsia" w:ascii="宋体" w:hAnsi="宋体" w:eastAsia="宋体" w:cs="宋体"/>
          <w:color w:val="auto"/>
          <w:kern w:val="2"/>
          <w:sz w:val="21"/>
          <w:szCs w:val="21"/>
          <w:highlight w:val="none"/>
          <w:u w:val="none"/>
          <w:vertAlign w:val="baseline"/>
          <w:lang w:val="en-US" w:eastAsia="zh-CN" w:bidi="ar-SA"/>
        </w:rPr>
      </w:pPr>
    </w:p>
    <w:p>
      <w:pPr>
        <w:pStyle w:val="7"/>
        <w:numPr>
          <w:ilvl w:val="0"/>
          <w:numId w:val="0"/>
        </w:numPr>
        <w:ind w:firstLine="420" w:firstLineChars="200"/>
        <w:rPr>
          <w:rFonts w:hint="eastAsia" w:ascii="宋体" w:hAnsi="宋体" w:eastAsia="宋体" w:cs="宋体"/>
          <w:color w:val="auto"/>
          <w:kern w:val="2"/>
          <w:sz w:val="21"/>
          <w:szCs w:val="21"/>
          <w:highlight w:val="none"/>
          <w:u w:val="none"/>
          <w:vertAlign w:val="baseline"/>
          <w:lang w:val="en-US" w:eastAsia="zh-CN" w:bidi="ar-SA"/>
        </w:rPr>
      </w:pPr>
    </w:p>
    <w:p>
      <w:pPr>
        <w:ind w:firstLine="3780" w:firstLineChars="1800"/>
        <w:rPr>
          <w:rFonts w:hint="default" w:eastAsiaTheme="minorEastAsia"/>
          <w:color w:val="auto"/>
          <w:highlight w:val="none"/>
          <w:lang w:val="en-US" w:eastAsia="zh-CN"/>
        </w:rPr>
      </w:pPr>
      <w:r>
        <w:rPr>
          <w:rFonts w:hint="eastAsia"/>
          <w:color w:val="auto"/>
          <w:highlight w:val="none"/>
          <w:lang w:val="en-US" w:eastAsia="zh-CN"/>
        </w:rPr>
        <w:t>采购人：西安市莲湖区红庙坡街道办事处（盖章）</w:t>
      </w:r>
    </w:p>
    <w:p>
      <w:pPr>
        <w:pStyle w:val="7"/>
        <w:numPr>
          <w:ilvl w:val="0"/>
          <w:numId w:val="0"/>
        </w:numPr>
        <w:ind w:firstLine="420" w:firstLineChars="200"/>
        <w:rPr>
          <w:rFonts w:hint="eastAsia" w:ascii="宋体" w:hAnsi="宋体" w:eastAsia="宋体" w:cs="宋体"/>
          <w:color w:val="auto"/>
          <w:kern w:val="2"/>
          <w:sz w:val="21"/>
          <w:szCs w:val="21"/>
          <w:highlight w:val="none"/>
          <w:u w:val="none"/>
          <w:vertAlign w:val="baseline"/>
          <w:lang w:val="en-US" w:eastAsia="zh-CN" w:bidi="ar-SA"/>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9" o:spid="_x0000_s307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path/>
          <v:fill on="f" focussize="0,0"/>
          <v:stroke on="f" weight="1.25pt"/>
          <v:imagedata o:title=""/>
          <o:lock v:ext="edit" aspectratio="f"/>
          <v:textbox inset="0mm,0mm,0mm,0mm" style="mso-fit-shape-to-text:t;">
            <w:txbxContent>
              <w:p>
                <w:pPr>
                  <w:pStyle w:val="7"/>
                  <w:rPr>
                    <w:rFonts w:hint="eastAsia"/>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710"/>
        <w:tab w:val="clear" w:pos="4153"/>
        <w:tab w:val="clear" w:pos="8306"/>
      </w:tabs>
      <w:rPr>
        <w:rFonts w:hint="eastAsia"/>
      </w:rPr>
    </w:pPr>
    <w:r>
      <w:pict>
        <v:shape id="文本框 7" o:spid="_x0000_s307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path/>
          <v:fill on="f" focussize="0,0"/>
          <v:stroke on="f" weight="1.25pt"/>
          <v:imagedata o:title=""/>
          <o:lock v:ext="edit" aspectratio="f"/>
          <v:textbox inset="0mm,0mm,0mm,0mm" style="mso-fit-shape-to-text:t;">
            <w:txbxContent>
              <w:p>
                <w:pPr>
                  <w:pStyle w:val="7"/>
                  <w:rPr>
                    <w:rFonts w:hint="eastAsia"/>
                    <w:lang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szCs w:val="28"/>
      </w:rP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pBdr>
      <w:jc w:val="both"/>
      <w:rPr>
        <w:rFonts w:hint="eastAsia"/>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hint="eastAsia"/>
        <w:b/>
        <w:bCs/>
        <w:sz w:val="19"/>
        <w:szCs w:val="19"/>
      </w:rPr>
    </w:pPr>
  </w:p>
  <w:p>
    <w:pPr>
      <w:pStyle w:val="8"/>
      <w:pBdr>
        <w:bottom w:val="none" w:color="auto" w:sz="0" w:space="1"/>
      </w:pBdr>
      <w:jc w:val="both"/>
      <w:rPr>
        <w:rFonts w:hint="eastAsia"/>
        <w:b/>
        <w:bCs/>
        <w:sz w:val="19"/>
        <w:szCs w:val="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64323"/>
    <w:multiLevelType w:val="singleLevel"/>
    <w:tmpl w:val="59464323"/>
    <w:lvl w:ilvl="0" w:tentative="0">
      <w:start w:val="1"/>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kwMWYyZDNhM2MyN2IxMWZiZjE3OGZiYjU1NjEyNWYifQ=="/>
  </w:docVars>
  <w:rsids>
    <w:rsidRoot w:val="00BD070A"/>
    <w:rsid w:val="001E3390"/>
    <w:rsid w:val="00253FE0"/>
    <w:rsid w:val="00286F80"/>
    <w:rsid w:val="002F76CF"/>
    <w:rsid w:val="00731BE5"/>
    <w:rsid w:val="00836BE4"/>
    <w:rsid w:val="008D2303"/>
    <w:rsid w:val="008F6EB2"/>
    <w:rsid w:val="009B300B"/>
    <w:rsid w:val="00A10899"/>
    <w:rsid w:val="00A37B11"/>
    <w:rsid w:val="00B66821"/>
    <w:rsid w:val="00B96FAE"/>
    <w:rsid w:val="00BD070A"/>
    <w:rsid w:val="00CF3BC2"/>
    <w:rsid w:val="00E936C3"/>
    <w:rsid w:val="0302244E"/>
    <w:rsid w:val="03211064"/>
    <w:rsid w:val="03962E0E"/>
    <w:rsid w:val="03E85C69"/>
    <w:rsid w:val="04230D95"/>
    <w:rsid w:val="042A1B22"/>
    <w:rsid w:val="051C0C7E"/>
    <w:rsid w:val="06F201F3"/>
    <w:rsid w:val="073F427D"/>
    <w:rsid w:val="090F3977"/>
    <w:rsid w:val="0A822B6C"/>
    <w:rsid w:val="0A966EE7"/>
    <w:rsid w:val="0A97537F"/>
    <w:rsid w:val="0DDC300B"/>
    <w:rsid w:val="0E9E1EB3"/>
    <w:rsid w:val="0F5A399E"/>
    <w:rsid w:val="108B50C3"/>
    <w:rsid w:val="123477C3"/>
    <w:rsid w:val="12432B99"/>
    <w:rsid w:val="126C2581"/>
    <w:rsid w:val="12705BC2"/>
    <w:rsid w:val="13244A3C"/>
    <w:rsid w:val="14183522"/>
    <w:rsid w:val="147F0745"/>
    <w:rsid w:val="14E6501B"/>
    <w:rsid w:val="1526611D"/>
    <w:rsid w:val="155E732C"/>
    <w:rsid w:val="157C6F1C"/>
    <w:rsid w:val="169B2510"/>
    <w:rsid w:val="185D1643"/>
    <w:rsid w:val="1A1F6854"/>
    <w:rsid w:val="1A765ECB"/>
    <w:rsid w:val="1AED4116"/>
    <w:rsid w:val="1BD83E0B"/>
    <w:rsid w:val="1D2630A1"/>
    <w:rsid w:val="1E6C05FA"/>
    <w:rsid w:val="1E740913"/>
    <w:rsid w:val="1ED07971"/>
    <w:rsid w:val="1ED24E6B"/>
    <w:rsid w:val="1F186F59"/>
    <w:rsid w:val="1F93503F"/>
    <w:rsid w:val="1FDA6679"/>
    <w:rsid w:val="1FEA715D"/>
    <w:rsid w:val="1FFC578E"/>
    <w:rsid w:val="20994F99"/>
    <w:rsid w:val="20BC4EEF"/>
    <w:rsid w:val="211F7D87"/>
    <w:rsid w:val="21D6704A"/>
    <w:rsid w:val="229D6DCE"/>
    <w:rsid w:val="2560021A"/>
    <w:rsid w:val="25F767DC"/>
    <w:rsid w:val="2709316B"/>
    <w:rsid w:val="275763AD"/>
    <w:rsid w:val="27E72880"/>
    <w:rsid w:val="281E2FD9"/>
    <w:rsid w:val="2863398B"/>
    <w:rsid w:val="29DF629D"/>
    <w:rsid w:val="2A197C3C"/>
    <w:rsid w:val="2AD41D2E"/>
    <w:rsid w:val="2B812715"/>
    <w:rsid w:val="2C244829"/>
    <w:rsid w:val="2D04385E"/>
    <w:rsid w:val="2DBD7280"/>
    <w:rsid w:val="2E0126F3"/>
    <w:rsid w:val="2E362C7D"/>
    <w:rsid w:val="2F4F0970"/>
    <w:rsid w:val="2FD40F93"/>
    <w:rsid w:val="302F6BEF"/>
    <w:rsid w:val="311A1F18"/>
    <w:rsid w:val="31ED71CF"/>
    <w:rsid w:val="31F31542"/>
    <w:rsid w:val="326B48B4"/>
    <w:rsid w:val="32872C49"/>
    <w:rsid w:val="337D532B"/>
    <w:rsid w:val="34433444"/>
    <w:rsid w:val="34D569CA"/>
    <w:rsid w:val="35443F37"/>
    <w:rsid w:val="35650B13"/>
    <w:rsid w:val="35D730DA"/>
    <w:rsid w:val="35EA497A"/>
    <w:rsid w:val="37036E21"/>
    <w:rsid w:val="37BD1F6F"/>
    <w:rsid w:val="37ED2B09"/>
    <w:rsid w:val="38782CFA"/>
    <w:rsid w:val="388E38CC"/>
    <w:rsid w:val="39225E0E"/>
    <w:rsid w:val="3A186315"/>
    <w:rsid w:val="3A7B619C"/>
    <w:rsid w:val="3A842D10"/>
    <w:rsid w:val="3C581DD0"/>
    <w:rsid w:val="3CD776FD"/>
    <w:rsid w:val="3CE66676"/>
    <w:rsid w:val="3D9170BE"/>
    <w:rsid w:val="3DC07304"/>
    <w:rsid w:val="3E1449C5"/>
    <w:rsid w:val="40043240"/>
    <w:rsid w:val="401E314A"/>
    <w:rsid w:val="416A76E2"/>
    <w:rsid w:val="425450BD"/>
    <w:rsid w:val="42690AFC"/>
    <w:rsid w:val="449E3D9A"/>
    <w:rsid w:val="44B518E4"/>
    <w:rsid w:val="45424BA7"/>
    <w:rsid w:val="459C0CF6"/>
    <w:rsid w:val="46A1356C"/>
    <w:rsid w:val="470D3712"/>
    <w:rsid w:val="476056D2"/>
    <w:rsid w:val="477D13BE"/>
    <w:rsid w:val="482A38F1"/>
    <w:rsid w:val="491E5E9F"/>
    <w:rsid w:val="4990351E"/>
    <w:rsid w:val="4BF54A8E"/>
    <w:rsid w:val="4C2E2564"/>
    <w:rsid w:val="4CD27358"/>
    <w:rsid w:val="4CE16248"/>
    <w:rsid w:val="4DDF5E58"/>
    <w:rsid w:val="4EE76132"/>
    <w:rsid w:val="4F4E3061"/>
    <w:rsid w:val="5007101B"/>
    <w:rsid w:val="50146059"/>
    <w:rsid w:val="50241C1E"/>
    <w:rsid w:val="50F30ED0"/>
    <w:rsid w:val="512832A4"/>
    <w:rsid w:val="51910D6E"/>
    <w:rsid w:val="52B30E2E"/>
    <w:rsid w:val="53044F55"/>
    <w:rsid w:val="53673F7B"/>
    <w:rsid w:val="539F20DD"/>
    <w:rsid w:val="53A514B2"/>
    <w:rsid w:val="53CB39A6"/>
    <w:rsid w:val="54493DB8"/>
    <w:rsid w:val="54AF3541"/>
    <w:rsid w:val="555B1FD4"/>
    <w:rsid w:val="55807311"/>
    <w:rsid w:val="56C902BE"/>
    <w:rsid w:val="573D68B5"/>
    <w:rsid w:val="5962332C"/>
    <w:rsid w:val="59631A5C"/>
    <w:rsid w:val="5B98530E"/>
    <w:rsid w:val="5BCA729C"/>
    <w:rsid w:val="5C222CA6"/>
    <w:rsid w:val="5CE62761"/>
    <w:rsid w:val="5D311402"/>
    <w:rsid w:val="5E367320"/>
    <w:rsid w:val="607448F1"/>
    <w:rsid w:val="60AF4BB5"/>
    <w:rsid w:val="60FB6AFD"/>
    <w:rsid w:val="60FF1051"/>
    <w:rsid w:val="619C6384"/>
    <w:rsid w:val="62CA1E5D"/>
    <w:rsid w:val="63665C0C"/>
    <w:rsid w:val="63CB65D6"/>
    <w:rsid w:val="63DC43EC"/>
    <w:rsid w:val="649632E4"/>
    <w:rsid w:val="650115F7"/>
    <w:rsid w:val="66C7297C"/>
    <w:rsid w:val="66CB39D0"/>
    <w:rsid w:val="67952E82"/>
    <w:rsid w:val="683777AB"/>
    <w:rsid w:val="6946046E"/>
    <w:rsid w:val="69855847"/>
    <w:rsid w:val="6B43383E"/>
    <w:rsid w:val="6BBE3053"/>
    <w:rsid w:val="6BC40B78"/>
    <w:rsid w:val="6CCA4217"/>
    <w:rsid w:val="6D7537E7"/>
    <w:rsid w:val="6E254808"/>
    <w:rsid w:val="6E7065BA"/>
    <w:rsid w:val="6E9B23A5"/>
    <w:rsid w:val="6FC03D7B"/>
    <w:rsid w:val="700B7CDB"/>
    <w:rsid w:val="70B42046"/>
    <w:rsid w:val="71125845"/>
    <w:rsid w:val="71C8684B"/>
    <w:rsid w:val="71EA42CD"/>
    <w:rsid w:val="720B56C7"/>
    <w:rsid w:val="723754EA"/>
    <w:rsid w:val="727C0CCD"/>
    <w:rsid w:val="72F24B4D"/>
    <w:rsid w:val="730D1DAD"/>
    <w:rsid w:val="733F5307"/>
    <w:rsid w:val="74396611"/>
    <w:rsid w:val="74AE3AD6"/>
    <w:rsid w:val="74D53759"/>
    <w:rsid w:val="74E71B34"/>
    <w:rsid w:val="750839ED"/>
    <w:rsid w:val="750A1A34"/>
    <w:rsid w:val="75401CB0"/>
    <w:rsid w:val="75835FDA"/>
    <w:rsid w:val="75A3712E"/>
    <w:rsid w:val="760C67B3"/>
    <w:rsid w:val="773A2A48"/>
    <w:rsid w:val="77F94C47"/>
    <w:rsid w:val="787E6EC0"/>
    <w:rsid w:val="787F3340"/>
    <w:rsid w:val="79625F36"/>
    <w:rsid w:val="7A466B0B"/>
    <w:rsid w:val="7A6D576E"/>
    <w:rsid w:val="7B0F1F66"/>
    <w:rsid w:val="7B48770E"/>
    <w:rsid w:val="7BC43085"/>
    <w:rsid w:val="7BC91DDA"/>
    <w:rsid w:val="7BEA02DF"/>
    <w:rsid w:val="7C9540D4"/>
    <w:rsid w:val="7DCB1906"/>
    <w:rsid w:val="7E5D76DD"/>
    <w:rsid w:val="7F2145C5"/>
    <w:rsid w:val="7FFA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qFormat/>
    <w:uiPriority w:val="0"/>
    <w:pPr>
      <w:widowControl/>
      <w:spacing w:before="100" w:beforeAutospacing="1" w:after="100" w:afterAutospacing="1"/>
      <w:jc w:val="left"/>
    </w:pPr>
    <w:rPr>
      <w:rFonts w:ascii="宋体" w:hAnsi="宋体" w:eastAsia="宋体" w:cs="Times New Roman"/>
    </w:rPr>
  </w:style>
  <w:style w:type="paragraph" w:styleId="7">
    <w:name w:val="footer"/>
    <w:basedOn w:val="1"/>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9">
    <w:name w:val="Body Text First Indent"/>
    <w:basedOn w:val="6"/>
    <w:unhideWhenUsed/>
    <w:qFormat/>
    <w:uiPriority w:val="99"/>
    <w:pPr>
      <w:widowControl w:val="0"/>
      <w:spacing w:before="0" w:beforeAutospacing="0" w:after="120" w:afterAutospacing="0"/>
      <w:ind w:firstLine="420" w:firstLineChars="100"/>
      <w:jc w:val="both"/>
    </w:pPr>
    <w:rPr>
      <w:rFonts w:ascii="Tahoma" w:hAnsi="Tahom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styleId="14">
    <w:name w:val="List Paragraph"/>
    <w:basedOn w:val="1"/>
    <w:unhideWhenUsed/>
    <w:qFormat/>
    <w:uiPriority w:val="99"/>
    <w:pPr>
      <w:ind w:firstLine="420" w:firstLineChars="200"/>
    </w:pPr>
  </w:style>
  <w:style w:type="paragraph" w:customStyle="1" w:styleId="15">
    <w:name w:val="列出段落50"/>
    <w:basedOn w:val="1"/>
    <w:qFormat/>
    <w:uiPriority w:val="34"/>
    <w:pPr>
      <w:ind w:firstLine="420" w:firstLineChars="200"/>
    </w:pPr>
    <w:rPr>
      <w:rFonts w:eastAsia="宋体" w:cs="Times New Roman"/>
      <w:sz w:val="24"/>
    </w:rPr>
  </w:style>
  <w:style w:type="paragraph" w:customStyle="1" w:styleId="16">
    <w:name w:val="样式 首行缩进:  2 字符"/>
    <w:basedOn w:val="1"/>
    <w:qFormat/>
    <w:uiPriority w:val="0"/>
    <w:pPr>
      <w:spacing w:line="400" w:lineRule="exact"/>
      <w:ind w:firstLine="200" w:firstLineChars="200"/>
    </w:pPr>
    <w:rPr>
      <w:rFonts w:cs="宋体"/>
      <w:sz w:val="24"/>
    </w:rPr>
  </w:style>
  <w:style w:type="character" w:customStyle="1" w:styleId="17">
    <w:name w:val="font31"/>
    <w:basedOn w:val="12"/>
    <w:qFormat/>
    <w:uiPriority w:val="0"/>
    <w:rPr>
      <w:rFonts w:hint="eastAsia" w:ascii="仿宋" w:hAnsi="仿宋" w:eastAsia="仿宋" w:cs="仿宋"/>
      <w:color w:val="000000"/>
      <w:sz w:val="22"/>
      <w:szCs w:val="22"/>
      <w:u w:val="none"/>
    </w:rPr>
  </w:style>
  <w:style w:type="character" w:customStyle="1" w:styleId="18">
    <w:name w:val="font21"/>
    <w:basedOn w:val="12"/>
    <w:qFormat/>
    <w:uiPriority w:val="0"/>
    <w:rPr>
      <w:rFonts w:hint="eastAsia" w:ascii="宋体" w:hAnsi="宋体" w:eastAsia="宋体" w:cs="宋体"/>
      <w:color w:val="000000"/>
      <w:sz w:val="20"/>
      <w:szCs w:val="20"/>
      <w:u w:val="none"/>
    </w:rPr>
  </w:style>
  <w:style w:type="character" w:customStyle="1" w:styleId="19">
    <w:name w:val="font11"/>
    <w:basedOn w:val="12"/>
    <w:qFormat/>
    <w:uiPriority w:val="0"/>
    <w:rPr>
      <w:rFonts w:hint="default" w:ascii="Times New Roman" w:hAnsi="Times New Roman" w:cs="Times New Roman"/>
      <w:color w:val="000000"/>
      <w:sz w:val="22"/>
      <w:szCs w:val="22"/>
      <w:u w:val="none"/>
    </w:rPr>
  </w:style>
  <w:style w:type="paragraph" w:customStyle="1" w:styleId="2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1">
    <w:name w:val="font01"/>
    <w:basedOn w:val="12"/>
    <w:qFormat/>
    <w:uiPriority w:val="0"/>
    <w:rPr>
      <w:rFonts w:hint="eastAsia" w:ascii="宋体" w:hAnsi="宋体" w:eastAsia="宋体" w:cs="宋体"/>
      <w:color w:val="000000"/>
      <w:sz w:val="22"/>
      <w:szCs w:val="22"/>
      <w:u w:val="none"/>
    </w:rPr>
  </w:style>
  <w:style w:type="character" w:customStyle="1" w:styleId="22">
    <w:name w:val="font51"/>
    <w:basedOn w:val="12"/>
    <w:qFormat/>
    <w:uiPriority w:val="0"/>
    <w:rPr>
      <w:rFonts w:hint="default" w:ascii="Times New Roman" w:hAnsi="Times New Roman" w:cs="Times New Roman"/>
      <w:color w:val="000000"/>
      <w:sz w:val="13"/>
      <w:szCs w:val="13"/>
      <w:u w:val="none"/>
    </w:rPr>
  </w:style>
  <w:style w:type="character" w:customStyle="1" w:styleId="23">
    <w:name w:val="font71"/>
    <w:basedOn w:val="12"/>
    <w:qFormat/>
    <w:uiPriority w:val="0"/>
    <w:rPr>
      <w:rFonts w:hint="eastAsia" w:ascii="宋体" w:hAnsi="宋体" w:eastAsia="宋体" w:cs="宋体"/>
      <w:color w:val="000000"/>
      <w:sz w:val="13"/>
      <w:szCs w:val="13"/>
      <w:u w:val="none"/>
    </w:rPr>
  </w:style>
  <w:style w:type="character" w:customStyle="1" w:styleId="24">
    <w:name w:val="font61"/>
    <w:basedOn w:val="12"/>
    <w:qFormat/>
    <w:uiPriority w:val="0"/>
    <w:rPr>
      <w:rFonts w:hint="eastAsia" w:ascii="仿宋_GB2312" w:eastAsia="仿宋_GB2312" w:cs="仿宋_GB2312"/>
      <w:color w:val="000000"/>
      <w:sz w:val="13"/>
      <w:szCs w:val="13"/>
      <w:u w:val="none"/>
    </w:rPr>
  </w:style>
  <w:style w:type="paragraph" w:customStyle="1" w:styleId="25">
    <w:name w:val="默认段落字体 Para Char Char Char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6" textRotate="1"/>
    <customShpInfo spid="_x0000_s3075"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15303</Words>
  <Characters>16306</Characters>
  <Lines>33</Lines>
  <Paragraphs>9</Paragraphs>
  <TotalTime>3</TotalTime>
  <ScaleCrop>false</ScaleCrop>
  <LinksUpToDate>false</LinksUpToDate>
  <CharactersWithSpaces>16485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2023-04-13T08:04:05Z</cp:lastPrinted>
  <dcterms:modified xsi:type="dcterms:W3CDTF">2023-04-13T08:07:10Z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1A750E3A95CF4919818C3FA3BCD2046F</vt:lpwstr>
  </property>
</Properties>
</file>