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spacing w:line="400" w:lineRule="exact"/>
        <w:ind w:firstLine="600" w:firstLineChars="250"/>
        <w:rPr>
          <w:rFonts w:asciiTheme="minorEastAsia" w:hAnsiTheme="minorEastAsia" w:cstheme="minorEastAsia"/>
          <w:sz w:val="24"/>
          <w:szCs w:val="24"/>
        </w:rPr>
      </w:pPr>
      <w:r>
        <w:rPr>
          <w:rFonts w:hint="eastAsia" w:asciiTheme="minorEastAsia" w:hAnsiTheme="minorEastAsia" w:cstheme="minorEastAsia"/>
          <w:sz w:val="24"/>
          <w:szCs w:val="24"/>
        </w:rPr>
        <w:t>甲方：西安市碑林区大学南路小学</w:t>
      </w:r>
    </w:p>
    <w:p>
      <w:pPr>
        <w:kinsoku w:val="0"/>
        <w:spacing w:line="400" w:lineRule="exact"/>
        <w:ind w:firstLine="600" w:firstLineChars="250"/>
        <w:rPr>
          <w:rFonts w:asciiTheme="minorEastAsia" w:hAnsiTheme="minorEastAsia" w:cstheme="minorEastAsia"/>
          <w:sz w:val="24"/>
          <w:szCs w:val="24"/>
        </w:rPr>
      </w:pPr>
      <w:r>
        <w:rPr>
          <w:rFonts w:hint="eastAsia" w:asciiTheme="minorEastAsia" w:hAnsiTheme="minorEastAsia" w:cstheme="minorEastAsia"/>
          <w:sz w:val="24"/>
          <w:szCs w:val="24"/>
        </w:rPr>
        <w:t>乙方：</w:t>
      </w:r>
      <w:r>
        <w:rPr>
          <w:rFonts w:hint="eastAsia" w:asciiTheme="minorEastAsia" w:hAnsiTheme="minorEastAsia" w:cstheme="minorEastAsia"/>
          <w:sz w:val="24"/>
          <w:szCs w:val="24"/>
          <w:u w:val="single"/>
        </w:rPr>
        <w:t xml:space="preserve">              </w:t>
      </w:r>
    </w:p>
    <w:p>
      <w:pPr>
        <w:kinsoku w:val="0"/>
        <w:spacing w:line="400" w:lineRule="exact"/>
        <w:ind w:firstLine="600" w:firstLineChars="250"/>
        <w:rPr>
          <w:rFonts w:asciiTheme="minorEastAsia" w:hAnsiTheme="minorEastAsia" w:cstheme="minorEastAsia"/>
          <w:sz w:val="24"/>
          <w:szCs w:val="24"/>
        </w:rPr>
      </w:pPr>
      <w:r>
        <w:rPr>
          <w:rFonts w:hint="eastAsia" w:asciiTheme="minorEastAsia" w:hAnsiTheme="minorEastAsia" w:cstheme="minorEastAsia"/>
          <w:sz w:val="24"/>
          <w:szCs w:val="24"/>
        </w:rPr>
        <w:t>根据《中华人民共和国政府采购法》、《中华人民共和国民法典》等法律法规，甲方通过竞争性谈判，选定乙方为中标单位。甲、乙双方在平等基础上协商一致，达成如下合同条款：</w:t>
      </w:r>
    </w:p>
    <w:p>
      <w:pPr>
        <w:kinsoku w:val="0"/>
        <w:spacing w:line="400" w:lineRule="exact"/>
        <w:ind w:firstLine="600" w:firstLineChars="250"/>
        <w:rPr>
          <w:rFonts w:asciiTheme="minorEastAsia" w:hAnsiTheme="minorEastAsia" w:cstheme="minorEastAsia"/>
          <w:sz w:val="24"/>
          <w:szCs w:val="24"/>
        </w:rPr>
      </w:pPr>
      <w:r>
        <w:rPr>
          <w:rFonts w:hint="eastAsia" w:asciiTheme="minorEastAsia" w:hAnsiTheme="minorEastAsia" w:cstheme="minorEastAsia"/>
          <w:sz w:val="24"/>
          <w:szCs w:val="24"/>
        </w:rPr>
        <w:t>一、</w:t>
      </w:r>
      <w:r>
        <w:rPr>
          <w:rFonts w:hint="eastAsia" w:asciiTheme="minorEastAsia" w:hAnsiTheme="minorEastAsia" w:cstheme="minorEastAsia"/>
          <w:b/>
          <w:sz w:val="24"/>
          <w:szCs w:val="24"/>
        </w:rPr>
        <w:t>合同内容</w:t>
      </w:r>
    </w:p>
    <w:tbl>
      <w:tblPr>
        <w:tblStyle w:val="4"/>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6" w:hRule="exact"/>
          <w:jc w:val="center"/>
        </w:trPr>
        <w:tc>
          <w:tcPr>
            <w:tcW w:w="786"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序号</w:t>
            </w:r>
          </w:p>
        </w:tc>
        <w:tc>
          <w:tcPr>
            <w:tcW w:w="1620"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设备名称</w:t>
            </w:r>
          </w:p>
        </w:tc>
        <w:tc>
          <w:tcPr>
            <w:tcW w:w="1260"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型号</w:t>
            </w:r>
          </w:p>
        </w:tc>
        <w:tc>
          <w:tcPr>
            <w:tcW w:w="900"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产地</w:t>
            </w:r>
          </w:p>
        </w:tc>
        <w:tc>
          <w:tcPr>
            <w:tcW w:w="900"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数量</w:t>
            </w:r>
          </w:p>
        </w:tc>
        <w:tc>
          <w:tcPr>
            <w:tcW w:w="900"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单价</w:t>
            </w:r>
          </w:p>
        </w:tc>
        <w:tc>
          <w:tcPr>
            <w:tcW w:w="894"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总价</w:t>
            </w:r>
          </w:p>
        </w:tc>
        <w:tc>
          <w:tcPr>
            <w:tcW w:w="839" w:type="dxa"/>
            <w:vAlign w:val="center"/>
          </w:tcPr>
          <w:p>
            <w:pPr>
              <w:spacing w:line="400" w:lineRule="exact"/>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pPr>
              <w:adjustRightInd w:val="0"/>
              <w:snapToGrid w:val="0"/>
              <w:jc w:val="cente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1</w:t>
            </w:r>
          </w:p>
        </w:tc>
        <w:tc>
          <w:tcPr>
            <w:tcW w:w="1620" w:type="dxa"/>
            <w:vAlign w:val="center"/>
          </w:tcPr>
          <w:p>
            <w:pPr>
              <w:adjustRightInd w:val="0"/>
              <w:snapToGrid w:val="0"/>
              <w:jc w:val="center"/>
              <w:rPr>
                <w:rFonts w:asciiTheme="minorEastAsia" w:hAnsiTheme="minorEastAsia" w:cstheme="minorEastAsia"/>
                <w:color w:val="000000"/>
                <w:sz w:val="24"/>
                <w:szCs w:val="24"/>
              </w:rPr>
            </w:pPr>
          </w:p>
        </w:tc>
        <w:tc>
          <w:tcPr>
            <w:tcW w:w="1260" w:type="dxa"/>
            <w:vAlign w:val="center"/>
          </w:tcPr>
          <w:p>
            <w:pPr>
              <w:spacing w:line="400" w:lineRule="exact"/>
              <w:jc w:val="center"/>
              <w:rPr>
                <w:rFonts w:asciiTheme="minorEastAsia" w:hAnsiTheme="minorEastAsia" w:cstheme="minorEastAsia"/>
                <w:color w:val="000000"/>
                <w:sz w:val="24"/>
                <w:szCs w:val="24"/>
              </w:rPr>
            </w:pPr>
          </w:p>
        </w:tc>
        <w:tc>
          <w:tcPr>
            <w:tcW w:w="900" w:type="dxa"/>
            <w:vAlign w:val="center"/>
          </w:tcPr>
          <w:p>
            <w:pPr>
              <w:spacing w:line="400" w:lineRule="exact"/>
              <w:jc w:val="center"/>
              <w:rPr>
                <w:rFonts w:asciiTheme="minorEastAsia" w:hAnsiTheme="minorEastAsia" w:cstheme="minorEastAsia"/>
                <w:color w:val="000000"/>
                <w:sz w:val="24"/>
                <w:szCs w:val="24"/>
              </w:rPr>
            </w:pPr>
          </w:p>
        </w:tc>
        <w:tc>
          <w:tcPr>
            <w:tcW w:w="900" w:type="dxa"/>
            <w:vAlign w:val="center"/>
          </w:tcPr>
          <w:p>
            <w:pPr>
              <w:adjustRightInd w:val="0"/>
              <w:snapToGrid w:val="0"/>
              <w:jc w:val="center"/>
              <w:rPr>
                <w:rFonts w:asciiTheme="minorEastAsia" w:hAnsiTheme="minorEastAsia" w:cstheme="minorEastAsia"/>
                <w:color w:val="000000"/>
                <w:sz w:val="24"/>
                <w:szCs w:val="24"/>
              </w:rPr>
            </w:pPr>
          </w:p>
        </w:tc>
        <w:tc>
          <w:tcPr>
            <w:tcW w:w="900" w:type="dxa"/>
            <w:vAlign w:val="center"/>
          </w:tcPr>
          <w:p>
            <w:pPr>
              <w:autoSpaceDN w:val="0"/>
              <w:jc w:val="center"/>
              <w:textAlignment w:val="center"/>
              <w:rPr>
                <w:rFonts w:asciiTheme="minorEastAsia" w:hAnsiTheme="minorEastAsia" w:cstheme="minorEastAsia"/>
                <w:color w:val="000000"/>
                <w:sz w:val="24"/>
                <w:szCs w:val="24"/>
              </w:rPr>
            </w:pPr>
          </w:p>
        </w:tc>
        <w:tc>
          <w:tcPr>
            <w:tcW w:w="894" w:type="dxa"/>
            <w:vAlign w:val="center"/>
          </w:tcPr>
          <w:p>
            <w:pPr>
              <w:autoSpaceDN w:val="0"/>
              <w:jc w:val="center"/>
              <w:textAlignment w:val="center"/>
              <w:rPr>
                <w:rFonts w:asciiTheme="minorEastAsia" w:hAnsiTheme="minorEastAsia" w:cstheme="minorEastAsia"/>
                <w:color w:val="000000"/>
                <w:sz w:val="24"/>
                <w:szCs w:val="24"/>
              </w:rPr>
            </w:pPr>
          </w:p>
        </w:tc>
        <w:tc>
          <w:tcPr>
            <w:tcW w:w="839" w:type="dxa"/>
            <w:vAlign w:val="center"/>
          </w:tcPr>
          <w:p>
            <w:pPr>
              <w:autoSpaceDN w:val="0"/>
              <w:jc w:val="center"/>
              <w:textAlignment w:val="center"/>
              <w:rPr>
                <w:rFonts w:asciiTheme="minorEastAsia" w:hAnsi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pPr>
              <w:adjustRightInd w:val="0"/>
              <w:snapToGrid w:val="0"/>
              <w:jc w:val="center"/>
              <w:rPr>
                <w:rFonts w:asciiTheme="minorEastAsia" w:hAnsiTheme="minorEastAsia" w:cstheme="minorEastAsia"/>
                <w:color w:val="000000"/>
                <w:sz w:val="24"/>
                <w:szCs w:val="24"/>
              </w:rPr>
            </w:pPr>
          </w:p>
        </w:tc>
        <w:tc>
          <w:tcPr>
            <w:tcW w:w="1620" w:type="dxa"/>
            <w:vAlign w:val="center"/>
          </w:tcPr>
          <w:p>
            <w:pPr>
              <w:adjustRightInd w:val="0"/>
              <w:snapToGrid w:val="0"/>
              <w:jc w:val="center"/>
              <w:rPr>
                <w:rFonts w:asciiTheme="minorEastAsia" w:hAnsiTheme="minorEastAsia" w:cstheme="minorEastAsia"/>
                <w:color w:val="000000"/>
                <w:sz w:val="24"/>
                <w:szCs w:val="24"/>
              </w:rPr>
            </w:pPr>
          </w:p>
        </w:tc>
        <w:tc>
          <w:tcPr>
            <w:tcW w:w="1260" w:type="dxa"/>
            <w:vAlign w:val="center"/>
          </w:tcPr>
          <w:p>
            <w:pPr>
              <w:spacing w:line="400" w:lineRule="exact"/>
              <w:jc w:val="center"/>
              <w:rPr>
                <w:rFonts w:asciiTheme="minorEastAsia" w:hAnsiTheme="minorEastAsia" w:cstheme="minorEastAsia"/>
                <w:color w:val="000000"/>
                <w:sz w:val="24"/>
                <w:szCs w:val="24"/>
              </w:rPr>
            </w:pPr>
          </w:p>
        </w:tc>
        <w:tc>
          <w:tcPr>
            <w:tcW w:w="900" w:type="dxa"/>
            <w:vAlign w:val="center"/>
          </w:tcPr>
          <w:p>
            <w:pPr>
              <w:spacing w:line="400" w:lineRule="exact"/>
              <w:jc w:val="center"/>
              <w:rPr>
                <w:rFonts w:asciiTheme="minorEastAsia" w:hAnsiTheme="minorEastAsia" w:cstheme="minorEastAsia"/>
                <w:color w:val="000000"/>
                <w:sz w:val="24"/>
                <w:szCs w:val="24"/>
              </w:rPr>
            </w:pPr>
          </w:p>
        </w:tc>
        <w:tc>
          <w:tcPr>
            <w:tcW w:w="900" w:type="dxa"/>
            <w:vAlign w:val="center"/>
          </w:tcPr>
          <w:p>
            <w:pPr>
              <w:adjustRightInd w:val="0"/>
              <w:snapToGrid w:val="0"/>
              <w:jc w:val="center"/>
              <w:rPr>
                <w:rFonts w:asciiTheme="minorEastAsia" w:hAnsiTheme="minorEastAsia" w:cstheme="minorEastAsia"/>
                <w:color w:val="000000"/>
                <w:sz w:val="24"/>
                <w:szCs w:val="24"/>
              </w:rPr>
            </w:pPr>
          </w:p>
        </w:tc>
        <w:tc>
          <w:tcPr>
            <w:tcW w:w="900" w:type="dxa"/>
            <w:vAlign w:val="center"/>
          </w:tcPr>
          <w:p>
            <w:pPr>
              <w:autoSpaceDN w:val="0"/>
              <w:jc w:val="center"/>
              <w:textAlignment w:val="center"/>
              <w:rPr>
                <w:rFonts w:asciiTheme="minorEastAsia" w:hAnsiTheme="minorEastAsia" w:cstheme="minorEastAsia"/>
                <w:color w:val="000000"/>
                <w:sz w:val="24"/>
                <w:szCs w:val="24"/>
              </w:rPr>
            </w:pPr>
          </w:p>
        </w:tc>
        <w:tc>
          <w:tcPr>
            <w:tcW w:w="894" w:type="dxa"/>
            <w:vAlign w:val="center"/>
          </w:tcPr>
          <w:p>
            <w:pPr>
              <w:autoSpaceDN w:val="0"/>
              <w:jc w:val="center"/>
              <w:textAlignment w:val="center"/>
              <w:rPr>
                <w:rFonts w:asciiTheme="minorEastAsia" w:hAnsiTheme="minorEastAsia" w:cstheme="minorEastAsia"/>
                <w:color w:val="000000"/>
                <w:sz w:val="24"/>
                <w:szCs w:val="24"/>
              </w:rPr>
            </w:pPr>
          </w:p>
        </w:tc>
        <w:tc>
          <w:tcPr>
            <w:tcW w:w="839" w:type="dxa"/>
            <w:vAlign w:val="center"/>
          </w:tcPr>
          <w:p>
            <w:pPr>
              <w:autoSpaceDN w:val="0"/>
              <w:jc w:val="center"/>
              <w:textAlignment w:val="center"/>
              <w:rPr>
                <w:rFonts w:asciiTheme="minorEastAsia" w:hAnsi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pPr>
              <w:adjustRightInd w:val="0"/>
              <w:snapToGrid w:val="0"/>
              <w:jc w:val="center"/>
              <w:rPr>
                <w:rFonts w:asciiTheme="minorEastAsia" w:hAnsiTheme="minorEastAsia" w:cstheme="minorEastAsia"/>
                <w:color w:val="000000"/>
                <w:sz w:val="24"/>
                <w:szCs w:val="24"/>
              </w:rPr>
            </w:pPr>
          </w:p>
        </w:tc>
        <w:tc>
          <w:tcPr>
            <w:tcW w:w="1620" w:type="dxa"/>
            <w:vAlign w:val="center"/>
          </w:tcPr>
          <w:p>
            <w:pPr>
              <w:adjustRightInd w:val="0"/>
              <w:snapToGrid w:val="0"/>
              <w:jc w:val="center"/>
              <w:rPr>
                <w:rFonts w:asciiTheme="minorEastAsia" w:hAnsiTheme="minorEastAsia" w:cstheme="minorEastAsia"/>
                <w:color w:val="000000"/>
                <w:sz w:val="24"/>
                <w:szCs w:val="24"/>
              </w:rPr>
            </w:pPr>
          </w:p>
        </w:tc>
        <w:tc>
          <w:tcPr>
            <w:tcW w:w="1260" w:type="dxa"/>
            <w:vAlign w:val="center"/>
          </w:tcPr>
          <w:p>
            <w:pPr>
              <w:jc w:val="center"/>
              <w:rPr>
                <w:rFonts w:asciiTheme="minorEastAsia" w:hAnsiTheme="minorEastAsia" w:cstheme="minorEastAsia"/>
                <w:color w:val="000000"/>
                <w:sz w:val="24"/>
                <w:szCs w:val="24"/>
              </w:rPr>
            </w:pPr>
          </w:p>
        </w:tc>
        <w:tc>
          <w:tcPr>
            <w:tcW w:w="900" w:type="dxa"/>
            <w:vAlign w:val="center"/>
          </w:tcPr>
          <w:p>
            <w:pPr>
              <w:spacing w:line="400" w:lineRule="exact"/>
              <w:jc w:val="center"/>
              <w:rPr>
                <w:rFonts w:asciiTheme="minorEastAsia" w:hAnsiTheme="minorEastAsia" w:cstheme="minorEastAsia"/>
                <w:color w:val="000000"/>
                <w:sz w:val="24"/>
                <w:szCs w:val="24"/>
              </w:rPr>
            </w:pPr>
          </w:p>
        </w:tc>
        <w:tc>
          <w:tcPr>
            <w:tcW w:w="900" w:type="dxa"/>
            <w:vAlign w:val="center"/>
          </w:tcPr>
          <w:p>
            <w:pPr>
              <w:adjustRightInd w:val="0"/>
              <w:snapToGrid w:val="0"/>
              <w:jc w:val="center"/>
              <w:rPr>
                <w:rFonts w:asciiTheme="minorEastAsia" w:hAnsiTheme="minorEastAsia" w:cstheme="minorEastAsia"/>
                <w:color w:val="000000"/>
                <w:sz w:val="24"/>
                <w:szCs w:val="24"/>
              </w:rPr>
            </w:pPr>
          </w:p>
        </w:tc>
        <w:tc>
          <w:tcPr>
            <w:tcW w:w="900" w:type="dxa"/>
            <w:vAlign w:val="center"/>
          </w:tcPr>
          <w:p>
            <w:pPr>
              <w:autoSpaceDN w:val="0"/>
              <w:jc w:val="center"/>
              <w:textAlignment w:val="center"/>
              <w:rPr>
                <w:rFonts w:asciiTheme="minorEastAsia" w:hAnsiTheme="minorEastAsia" w:cstheme="minorEastAsia"/>
                <w:color w:val="000000"/>
                <w:sz w:val="24"/>
                <w:szCs w:val="24"/>
              </w:rPr>
            </w:pPr>
          </w:p>
        </w:tc>
        <w:tc>
          <w:tcPr>
            <w:tcW w:w="894" w:type="dxa"/>
            <w:vAlign w:val="center"/>
          </w:tcPr>
          <w:p>
            <w:pPr>
              <w:autoSpaceDN w:val="0"/>
              <w:jc w:val="center"/>
              <w:textAlignment w:val="center"/>
              <w:rPr>
                <w:rFonts w:asciiTheme="minorEastAsia" w:hAnsiTheme="minorEastAsia" w:cstheme="minorEastAsia"/>
                <w:color w:val="000000"/>
                <w:sz w:val="24"/>
                <w:szCs w:val="24"/>
              </w:rPr>
            </w:pPr>
          </w:p>
        </w:tc>
        <w:tc>
          <w:tcPr>
            <w:tcW w:w="839" w:type="dxa"/>
            <w:vAlign w:val="center"/>
          </w:tcPr>
          <w:p>
            <w:pPr>
              <w:autoSpaceDN w:val="0"/>
              <w:jc w:val="center"/>
              <w:textAlignment w:val="center"/>
              <w:rPr>
                <w:rFonts w:asciiTheme="minorEastAsia" w:hAnsi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pPr>
              <w:adjustRightInd w:val="0"/>
              <w:snapToGrid w:val="0"/>
              <w:jc w:val="center"/>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总计（人民币/元）</w:t>
            </w:r>
          </w:p>
        </w:tc>
        <w:tc>
          <w:tcPr>
            <w:tcW w:w="5693" w:type="dxa"/>
            <w:gridSpan w:val="6"/>
            <w:vAlign w:val="center"/>
          </w:tcPr>
          <w:p>
            <w:pPr>
              <w:adjustRightInd w:val="0"/>
              <w:snapToGrid w:val="0"/>
              <w:rPr>
                <w:rFonts w:asciiTheme="minorEastAsia" w:hAnsiTheme="minorEastAsia" w:cstheme="minorEastAsia"/>
                <w:b/>
                <w:color w:val="000000"/>
                <w:sz w:val="24"/>
                <w:szCs w:val="24"/>
              </w:rPr>
            </w:pPr>
            <w:r>
              <w:rPr>
                <w:rFonts w:hint="eastAsia" w:asciiTheme="minorEastAsia" w:hAnsiTheme="minorEastAsia" w:cstheme="minorEastAsia"/>
                <w:b/>
                <w:color w:val="000000"/>
                <w:sz w:val="24"/>
                <w:szCs w:val="24"/>
              </w:rPr>
              <w:t>¥：       （大写）</w:t>
            </w:r>
          </w:p>
        </w:tc>
      </w:tr>
    </w:tbl>
    <w:p>
      <w:pPr>
        <w:pStyle w:val="3"/>
        <w:spacing w:before="2" w:line="364" w:lineRule="auto"/>
        <w:ind w:right="200" w:firstLine="480"/>
        <w:rPr>
          <w:rFonts w:asciiTheme="minorEastAsia" w:hAnsiTheme="minorEastAsia" w:cstheme="minorEastAsia"/>
          <w:sz w:val="24"/>
          <w:szCs w:val="24"/>
        </w:rPr>
      </w:pPr>
      <w:r>
        <w:rPr>
          <w:rFonts w:hint="eastAsia" w:asciiTheme="minorEastAsia" w:hAnsiTheme="minorEastAsia" w:cstheme="minorEastAsia"/>
          <w:sz w:val="24"/>
          <w:szCs w:val="24"/>
        </w:rPr>
        <w:t>乙方负责按合同中确定内容进行服务；按时完成甲方西安市大学南路小学数字化提升改造项目工作，达到甲方要求；负责为甲方培训操作、维护人员，做好售后服务工作。</w:t>
      </w:r>
    </w:p>
    <w:p>
      <w:pPr>
        <w:spacing w:line="400" w:lineRule="exact"/>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二、合同价格</w:t>
      </w:r>
    </w:p>
    <w:p>
      <w:pPr>
        <w:kinsoku w:val="0"/>
        <w:spacing w:line="40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合同总价：人民币大写：</w:t>
      </w:r>
      <w:r>
        <w:rPr>
          <w:rFonts w:hint="eastAsia" w:asciiTheme="minorEastAsia" w:hAnsiTheme="minorEastAsia" w:cstheme="minorEastAsia"/>
          <w:b/>
          <w:sz w:val="24"/>
          <w:szCs w:val="24"/>
          <w:u w:val="single"/>
        </w:rPr>
        <w:t xml:space="preserve">  </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元；¥</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元。</w:t>
      </w:r>
    </w:p>
    <w:p>
      <w:pPr>
        <w:kinsoku w:val="0"/>
        <w:spacing w:line="400" w:lineRule="exact"/>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合同总价包括：技术培训费、人工费、税金及国家按现行税收政策征收的一切税费等。合同总价不可变更，不受市场价变化的影响，不受实际数量变化的影响。</w:t>
      </w:r>
    </w:p>
    <w:p>
      <w:pPr>
        <w:spacing w:line="400" w:lineRule="exact"/>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三、交货条件</w:t>
      </w:r>
    </w:p>
    <w:p>
      <w:pPr>
        <w:spacing w:line="400" w:lineRule="exact"/>
        <w:ind w:firstLine="480" w:firstLineChars="200"/>
        <w:rPr>
          <w:rFonts w:asciiTheme="minorEastAsia" w:hAnsiTheme="minorEastAsia" w:cstheme="minorEastAsia"/>
          <w:sz w:val="24"/>
          <w:szCs w:val="24"/>
          <w:lang w:val="zh-CN"/>
        </w:rPr>
      </w:pPr>
      <w:r>
        <w:rPr>
          <w:rFonts w:hint="eastAsia" w:asciiTheme="minorEastAsia" w:hAnsiTheme="minorEastAsia" w:cstheme="minorEastAsia"/>
          <w:sz w:val="24"/>
          <w:szCs w:val="24"/>
          <w:lang w:val="zh-CN"/>
        </w:rPr>
        <w:t>1、交货</w:t>
      </w:r>
      <w:r>
        <w:rPr>
          <w:rFonts w:hint="eastAsia" w:asciiTheme="minorEastAsia" w:hAnsiTheme="minorEastAsia" w:cstheme="minorEastAsia"/>
          <w:sz w:val="24"/>
          <w:szCs w:val="24"/>
        </w:rPr>
        <w:t>条件</w:t>
      </w:r>
      <w:r>
        <w:rPr>
          <w:rFonts w:hint="eastAsia" w:asciiTheme="minorEastAsia" w:hAnsiTheme="minorEastAsia" w:cstheme="minorEastAsia"/>
          <w:sz w:val="24"/>
          <w:szCs w:val="24"/>
          <w:lang w:val="zh-CN"/>
        </w:rPr>
        <w:t>：乙方负责按合同中确定内容进行服务；按时完成甲方西安市大学南路小学数字化提升改造项目工作，达到甲方要求；负责为甲方培训操作、维护人员，做好售后服务工作。交付的货物、服务与投标文件、招标文件等所指明的，或者与本合同所指明的内容相一致。</w:t>
      </w:r>
    </w:p>
    <w:p>
      <w:pPr>
        <w:spacing w:line="400" w:lineRule="exact"/>
        <w:ind w:firstLine="480" w:firstLineChars="200"/>
        <w:rPr>
          <w:rFonts w:asciiTheme="minorEastAsia" w:hAnsiTheme="minorEastAsia" w:cstheme="minorEastAsia"/>
          <w:sz w:val="24"/>
          <w:szCs w:val="24"/>
          <w:lang w:val="zh-CN"/>
        </w:rPr>
      </w:pPr>
      <w:r>
        <w:rPr>
          <w:rFonts w:hint="eastAsia" w:asciiTheme="minorEastAsia" w:hAnsiTheme="minorEastAsia" w:cstheme="minorEastAsia"/>
          <w:sz w:val="24"/>
          <w:szCs w:val="24"/>
          <w:lang w:val="zh-CN"/>
        </w:rPr>
        <w:t>2、交货日期：</w:t>
      </w:r>
    </w:p>
    <w:p>
      <w:pPr>
        <w:spacing w:line="400" w:lineRule="exact"/>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四、付款方式</w:t>
      </w:r>
    </w:p>
    <w:p>
      <w:pPr>
        <w:pStyle w:val="6"/>
        <w:spacing w:before="173" w:line="360" w:lineRule="auto"/>
        <w:ind w:firstLine="406" w:firstLineChars="175"/>
        <w:rPr>
          <w:rFonts w:asciiTheme="minorEastAsia" w:hAnsiTheme="minorEastAsia" w:cstheme="minorEastAsia"/>
          <w:spacing w:val="-4"/>
          <w:sz w:val="24"/>
          <w:szCs w:val="24"/>
        </w:rPr>
      </w:pPr>
      <w:r>
        <w:rPr>
          <w:rFonts w:hint="eastAsia" w:asciiTheme="minorEastAsia" w:hAnsiTheme="minorEastAsia" w:cstheme="minorEastAsia"/>
          <w:spacing w:val="-4"/>
          <w:sz w:val="24"/>
          <w:szCs w:val="24"/>
        </w:rPr>
        <w:t>（1）全部产品安装调试完毕并验收合格后，</w:t>
      </w:r>
      <w:r>
        <w:rPr>
          <w:rFonts w:hint="eastAsia" w:asciiTheme="minorEastAsia" w:hAnsiTheme="minorEastAsia" w:cstheme="minorEastAsia"/>
          <w:spacing w:val="-4"/>
          <w:sz w:val="24"/>
          <w:szCs w:val="24"/>
          <w:lang w:val="en-US" w:eastAsia="zh-CN"/>
        </w:rPr>
        <w:t>15</w:t>
      </w:r>
      <w:r>
        <w:rPr>
          <w:rFonts w:hint="eastAsia" w:asciiTheme="minorEastAsia" w:hAnsiTheme="minorEastAsia" w:cstheme="minorEastAsia"/>
          <w:spacing w:val="-4"/>
          <w:sz w:val="24"/>
          <w:szCs w:val="24"/>
        </w:rPr>
        <w:t>日内，甲方向乙方支付合同总价100%的价款。</w:t>
      </w:r>
    </w:p>
    <w:p>
      <w:pPr>
        <w:pStyle w:val="6"/>
        <w:spacing w:before="173" w:line="360" w:lineRule="auto"/>
        <w:ind w:firstLine="406" w:firstLineChars="175"/>
        <w:rPr>
          <w:rFonts w:asciiTheme="minorEastAsia" w:hAnsiTheme="minorEastAsia" w:cstheme="minorEastAsia"/>
          <w:spacing w:val="-4"/>
          <w:sz w:val="24"/>
          <w:szCs w:val="24"/>
        </w:rPr>
      </w:pPr>
      <w:r>
        <w:rPr>
          <w:rFonts w:hint="eastAsia" w:asciiTheme="minorEastAsia" w:hAnsiTheme="minorEastAsia" w:cstheme="minorEastAsia"/>
          <w:spacing w:val="-4"/>
          <w:sz w:val="24"/>
          <w:szCs w:val="24"/>
        </w:rPr>
        <w:t>（2）结算方式：银行转账。</w:t>
      </w:r>
    </w:p>
    <w:p>
      <w:pPr>
        <w:pStyle w:val="6"/>
        <w:spacing w:before="173" w:line="360" w:lineRule="auto"/>
        <w:ind w:firstLine="406" w:firstLineChars="175"/>
        <w:rPr>
          <w:rFonts w:asciiTheme="minorEastAsia" w:hAnsiTheme="minorEastAsia" w:cstheme="minorEastAsia"/>
          <w:spacing w:val="-4"/>
          <w:sz w:val="24"/>
          <w:szCs w:val="24"/>
        </w:rPr>
      </w:pPr>
      <w:r>
        <w:rPr>
          <w:rFonts w:hint="eastAsia" w:asciiTheme="minorEastAsia" w:hAnsiTheme="minorEastAsia" w:cstheme="minorEastAsia"/>
          <w:spacing w:val="-4"/>
          <w:sz w:val="24"/>
          <w:szCs w:val="24"/>
        </w:rPr>
        <w:t>（3）结算单位：由采购人负责结算，乙方开具合同总价数的全额发票交采购人。</w:t>
      </w:r>
    </w:p>
    <w:p>
      <w:pPr>
        <w:tabs>
          <w:tab w:val="left" w:pos="840"/>
        </w:tabs>
        <w:spacing w:line="360" w:lineRule="auto"/>
        <w:ind w:firstLine="422" w:firstLineChars="175"/>
        <w:rPr>
          <w:rFonts w:asciiTheme="minorEastAsia" w:hAnsiTheme="minorEastAsia" w:cstheme="minorEastAsia"/>
          <w:b/>
          <w:sz w:val="24"/>
          <w:szCs w:val="24"/>
        </w:rPr>
      </w:pPr>
      <w:r>
        <w:rPr>
          <w:rFonts w:hint="eastAsia" w:asciiTheme="minorEastAsia" w:hAnsiTheme="minorEastAsia" w:cstheme="minorEastAsia"/>
          <w:b/>
          <w:sz w:val="24"/>
          <w:szCs w:val="24"/>
        </w:rPr>
        <w:t>五、双方的权利和义务</w:t>
      </w:r>
    </w:p>
    <w:p>
      <w:pPr>
        <w:tabs>
          <w:tab w:val="left" w:pos="840"/>
        </w:tabs>
        <w:spacing w:line="360" w:lineRule="auto"/>
        <w:ind w:firstLine="420" w:firstLineChars="175"/>
        <w:rPr>
          <w:rFonts w:asciiTheme="minorEastAsia" w:hAnsiTheme="minorEastAsia" w:cstheme="minorEastAsia"/>
          <w:sz w:val="24"/>
          <w:szCs w:val="24"/>
        </w:rPr>
      </w:pPr>
      <w:r>
        <w:rPr>
          <w:rFonts w:hint="eastAsia" w:asciiTheme="minorEastAsia" w:hAnsiTheme="minorEastAsia" w:cstheme="minorEastAsia"/>
          <w:sz w:val="24"/>
          <w:szCs w:val="24"/>
        </w:rPr>
        <w:t>1、甲方责任</w:t>
      </w:r>
    </w:p>
    <w:p>
      <w:pPr>
        <w:tabs>
          <w:tab w:val="left" w:pos="840"/>
        </w:tabs>
        <w:spacing w:line="360" w:lineRule="auto"/>
        <w:ind w:firstLine="420" w:firstLineChars="175"/>
        <w:rPr>
          <w:rFonts w:asciiTheme="minorEastAsia" w:hAnsiTheme="minorEastAsia" w:cstheme="minorEastAsia"/>
          <w:sz w:val="24"/>
          <w:szCs w:val="24"/>
        </w:rPr>
      </w:pPr>
      <w:r>
        <w:rPr>
          <w:rFonts w:hint="eastAsia" w:asciiTheme="minorEastAsia" w:hAnsiTheme="minorEastAsia" w:cstheme="minorEastAsia"/>
          <w:sz w:val="24"/>
          <w:szCs w:val="24"/>
        </w:rPr>
        <w:t>负责核准、认定本项目相关技术资料文档；监督、参与项目执行的整个过程为乙方提供必要的工作条件，并提供产品及服务所必需的运行环境；按照合同约定支付合同款项。</w:t>
      </w:r>
    </w:p>
    <w:p>
      <w:pPr>
        <w:tabs>
          <w:tab w:val="left" w:pos="840"/>
        </w:tabs>
        <w:spacing w:line="360" w:lineRule="auto"/>
        <w:ind w:firstLine="420" w:firstLineChars="175"/>
        <w:rPr>
          <w:rFonts w:asciiTheme="minorEastAsia" w:hAnsiTheme="minorEastAsia" w:cstheme="minorEastAsia"/>
          <w:sz w:val="24"/>
          <w:szCs w:val="24"/>
        </w:rPr>
      </w:pPr>
      <w:r>
        <w:rPr>
          <w:rFonts w:hint="eastAsia" w:asciiTheme="minorEastAsia" w:hAnsiTheme="minorEastAsia" w:cstheme="minorEastAsia"/>
          <w:sz w:val="24"/>
          <w:szCs w:val="24"/>
        </w:rPr>
        <w:t>2、乙方责任</w:t>
      </w:r>
    </w:p>
    <w:p>
      <w:pPr>
        <w:tabs>
          <w:tab w:val="left" w:pos="840"/>
        </w:tabs>
        <w:spacing w:line="360" w:lineRule="auto"/>
        <w:ind w:firstLine="420" w:firstLineChars="175"/>
        <w:rPr>
          <w:rFonts w:asciiTheme="minorEastAsia" w:hAnsiTheme="minorEastAsia" w:cstheme="minorEastAsia"/>
          <w:sz w:val="24"/>
          <w:szCs w:val="24"/>
        </w:rPr>
      </w:pPr>
      <w:r>
        <w:rPr>
          <w:rFonts w:hint="eastAsia" w:asciiTheme="minorEastAsia" w:hAnsiTheme="minorEastAsia" w:cstheme="minorEastAsia"/>
          <w:sz w:val="24"/>
          <w:szCs w:val="24"/>
        </w:rPr>
        <w:t>项目的交接；按时完成本合同所涉及产品及服务项目的验收工作；协助配合甲方完成西安市大学南路小学数字化提升改造项目；做好整个项目的售后服务技术支持工作。</w:t>
      </w:r>
    </w:p>
    <w:p>
      <w:pPr>
        <w:tabs>
          <w:tab w:val="left" w:pos="840"/>
        </w:tabs>
        <w:spacing w:line="360" w:lineRule="auto"/>
        <w:ind w:firstLine="422" w:firstLineChars="175"/>
        <w:rPr>
          <w:rFonts w:asciiTheme="minorEastAsia" w:hAnsiTheme="minorEastAsia" w:cstheme="minorEastAsia"/>
          <w:b/>
          <w:sz w:val="24"/>
          <w:szCs w:val="24"/>
        </w:rPr>
      </w:pPr>
      <w:r>
        <w:rPr>
          <w:rFonts w:hint="eastAsia" w:asciiTheme="minorEastAsia" w:hAnsiTheme="minorEastAsia" w:cstheme="minorEastAsia"/>
          <w:b/>
          <w:sz w:val="24"/>
          <w:szCs w:val="24"/>
        </w:rPr>
        <w:t>六、质量保证</w:t>
      </w:r>
    </w:p>
    <w:p>
      <w:pPr>
        <w:pStyle w:val="3"/>
        <w:spacing w:before="1" w:line="374" w:lineRule="auto"/>
        <w:ind w:firstLine="420" w:firstLineChars="175"/>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val="zh-CN" w:bidi="zh-CN"/>
        </w:rPr>
        <w:t>1、本次西安市碑林区大学南路小学互动智慧教室和智慧黑板采购项目现行的国家标准或国家行政部门颁布的法律法规、规章制度等，是项目验收的另一个重要依据。没有国家标准的，可以参考行业标准。</w:t>
      </w:r>
    </w:p>
    <w:p>
      <w:pPr>
        <w:pStyle w:val="3"/>
        <w:spacing w:before="1" w:line="374" w:lineRule="auto"/>
        <w:ind w:firstLine="420" w:firstLineChars="175"/>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val="zh-CN" w:bidi="zh-CN"/>
        </w:rPr>
        <w:t>2、成交供应商应根据服务方案规范及质量要求进行服务工作，并在质保期内、外应对由于产品设计、工艺或材料的缺陷而产生的质量问题负责，采购人在服务过程中起到配合、监督及管理的作用。</w:t>
      </w:r>
    </w:p>
    <w:p>
      <w:pPr>
        <w:pStyle w:val="3"/>
        <w:tabs>
          <w:tab w:val="left" w:pos="7560"/>
        </w:tabs>
        <w:spacing w:before="1" w:line="374" w:lineRule="auto"/>
        <w:ind w:firstLine="420" w:firstLineChars="175"/>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val="zh-CN" w:bidi="zh-CN"/>
        </w:rPr>
        <w:t>3、在质保期内，如果发现服务范围、内容和服务质量等存在与合同中任何一项不符，采购人应在最短时间内，以书面形式向成交供应商提出索赔，同时通告采购代理机构。</w:t>
      </w:r>
    </w:p>
    <w:p>
      <w:pPr>
        <w:spacing w:before="1"/>
        <w:ind w:firstLine="422" w:firstLineChars="175"/>
        <w:rPr>
          <w:rFonts w:asciiTheme="minorEastAsia" w:hAnsiTheme="minorEastAsia" w:cstheme="minorEastAsia"/>
          <w:b/>
          <w:sz w:val="24"/>
          <w:szCs w:val="24"/>
          <w:lang w:bidi="zh-CN"/>
        </w:rPr>
      </w:pPr>
      <w:r>
        <w:rPr>
          <w:rFonts w:hint="eastAsia" w:asciiTheme="minorEastAsia" w:hAnsiTheme="minorEastAsia" w:cstheme="minorEastAsia"/>
          <w:b/>
          <w:sz w:val="24"/>
          <w:szCs w:val="24"/>
          <w:lang w:bidi="zh-CN"/>
        </w:rPr>
        <w:t>七、售后服务</w:t>
      </w:r>
    </w:p>
    <w:p>
      <w:pPr>
        <w:adjustRightInd w:val="0"/>
        <w:snapToGrid w:val="0"/>
        <w:spacing w:line="440" w:lineRule="exact"/>
        <w:ind w:firstLine="420" w:firstLineChars="175"/>
        <w:rPr>
          <w:rFonts w:asciiTheme="minorEastAsia" w:hAnsiTheme="minorEastAsia" w:cstheme="minorEastAsia"/>
          <w:sz w:val="24"/>
          <w:szCs w:val="24"/>
          <w:lang w:val="zh-CN" w:bidi="zh-CN"/>
        </w:rPr>
      </w:pPr>
      <w:r>
        <w:rPr>
          <w:rFonts w:hint="eastAsia" w:asciiTheme="minorEastAsia" w:hAnsiTheme="minorEastAsia" w:cstheme="minorEastAsia"/>
          <w:sz w:val="24"/>
          <w:szCs w:val="24"/>
          <w:lang w:val="zh-CN" w:bidi="zh-CN"/>
        </w:rPr>
        <w:t>以招标文件、投标文件、中标单位澄清表（函）为准。</w:t>
      </w:r>
    </w:p>
    <w:p>
      <w:pPr>
        <w:adjustRightInd w:val="0"/>
        <w:snapToGrid w:val="0"/>
        <w:spacing w:line="440" w:lineRule="exact"/>
        <w:ind w:firstLine="420" w:firstLineChars="175"/>
        <w:rPr>
          <w:rFonts w:asciiTheme="minorEastAsia" w:hAnsiTheme="minorEastAsia" w:cstheme="minorEastAsia"/>
          <w:kern w:val="0"/>
          <w:sz w:val="24"/>
          <w:szCs w:val="24"/>
          <w:lang w:val="zh-CN" w:bidi="zh-CN"/>
        </w:rPr>
      </w:pPr>
      <w:r>
        <w:rPr>
          <w:rFonts w:hint="eastAsia" w:asciiTheme="minorEastAsia" w:hAnsiTheme="minorEastAsia" w:cstheme="minorEastAsia"/>
          <w:kern w:val="0"/>
          <w:sz w:val="24"/>
          <w:szCs w:val="24"/>
          <w:lang w:val="zh-CN" w:bidi="zh-CN"/>
        </w:rPr>
        <w:t>①属于保修范围和内容的项目，承包人应在接到维修通知后， 15 天内派人维修。发生紧急抢修事故（如上水管跑水、爆裂，供电设施漏、断电等），承包人应在接到事故通知后 24 小时内到达事故现场并于 72 小时内完成应急维修。</w:t>
      </w:r>
    </w:p>
    <w:p>
      <w:pPr>
        <w:pStyle w:val="3"/>
        <w:spacing w:before="1" w:line="374" w:lineRule="auto"/>
        <w:ind w:firstLine="422" w:firstLineChars="175"/>
        <w:rPr>
          <w:rFonts w:asciiTheme="minorEastAsia" w:hAnsiTheme="minorEastAsia" w:cstheme="minorEastAsia"/>
          <w:b/>
          <w:bCs/>
          <w:color w:val="000000"/>
          <w:sz w:val="24"/>
          <w:szCs w:val="24"/>
          <w:lang w:val="zh-CN" w:bidi="zh-CN"/>
        </w:rPr>
      </w:pPr>
      <w:r>
        <w:rPr>
          <w:rFonts w:hint="eastAsia" w:asciiTheme="minorEastAsia" w:hAnsiTheme="minorEastAsia" w:cstheme="minorEastAsia"/>
          <w:b/>
          <w:bCs/>
          <w:color w:val="000000"/>
          <w:sz w:val="24"/>
          <w:szCs w:val="24"/>
          <w:lang w:bidi="zh-CN"/>
        </w:rPr>
        <w:t>八</w:t>
      </w:r>
      <w:r>
        <w:rPr>
          <w:rFonts w:hint="eastAsia" w:asciiTheme="minorEastAsia" w:hAnsiTheme="minorEastAsia" w:cstheme="minorEastAsia"/>
          <w:b/>
          <w:bCs/>
          <w:color w:val="000000"/>
          <w:sz w:val="24"/>
          <w:szCs w:val="24"/>
          <w:lang w:val="zh-CN" w:bidi="zh-CN"/>
        </w:rPr>
        <w:t>、违约责任</w:t>
      </w:r>
    </w:p>
    <w:p>
      <w:pPr>
        <w:pStyle w:val="3"/>
        <w:spacing w:before="1" w:line="374" w:lineRule="auto"/>
        <w:ind w:firstLine="420" w:firstLineChars="175"/>
        <w:rPr>
          <w:rFonts w:asciiTheme="minorEastAsia" w:hAnsiTheme="minorEastAsia" w:cstheme="minorEastAsia"/>
          <w:color w:val="000000"/>
          <w:sz w:val="24"/>
          <w:szCs w:val="24"/>
          <w:lang w:bidi="zh-CN"/>
        </w:rPr>
      </w:pPr>
      <w:r>
        <w:rPr>
          <w:rFonts w:hint="eastAsia" w:asciiTheme="minorEastAsia" w:hAnsiTheme="minorEastAsia" w:cstheme="minorEastAsia"/>
          <w:color w:val="000000"/>
          <w:sz w:val="24"/>
          <w:szCs w:val="24"/>
          <w:lang w:val="zh-CN" w:bidi="zh-CN"/>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p>
      <w:pPr>
        <w:pStyle w:val="3"/>
        <w:spacing w:before="1" w:line="374" w:lineRule="auto"/>
        <w:ind w:firstLine="422" w:firstLineChars="175"/>
        <w:rPr>
          <w:rFonts w:asciiTheme="minorEastAsia" w:hAnsiTheme="minorEastAsia" w:cstheme="minorEastAsia"/>
          <w:b/>
          <w:bCs/>
          <w:color w:val="000000"/>
          <w:sz w:val="24"/>
          <w:szCs w:val="24"/>
          <w:lang w:val="zh-CN" w:bidi="zh-CN"/>
        </w:rPr>
      </w:pPr>
      <w:r>
        <w:rPr>
          <w:rFonts w:hint="eastAsia" w:asciiTheme="minorEastAsia" w:hAnsiTheme="minorEastAsia" w:cstheme="minorEastAsia"/>
          <w:b/>
          <w:bCs/>
          <w:color w:val="000000"/>
          <w:sz w:val="24"/>
          <w:szCs w:val="24"/>
          <w:lang w:bidi="zh-CN"/>
        </w:rPr>
        <w:t>九</w:t>
      </w:r>
      <w:r>
        <w:rPr>
          <w:rFonts w:hint="eastAsia" w:asciiTheme="minorEastAsia" w:hAnsiTheme="minorEastAsia" w:cstheme="minorEastAsia"/>
          <w:b/>
          <w:bCs/>
          <w:color w:val="000000"/>
          <w:sz w:val="24"/>
          <w:szCs w:val="24"/>
          <w:lang w:val="zh-CN" w:bidi="zh-CN"/>
        </w:rPr>
        <w:t>、验收</w:t>
      </w:r>
    </w:p>
    <w:p>
      <w:pPr>
        <w:pStyle w:val="3"/>
        <w:spacing w:before="1" w:line="374" w:lineRule="auto"/>
        <w:ind w:firstLine="420" w:firstLineChars="175"/>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val="zh-CN" w:bidi="zh-CN"/>
        </w:rPr>
        <w:t>验收：验收须以合同、招标文件、投标文件、澄清、及国家相应的标准、规范等为依据进行验收。</w:t>
      </w:r>
    </w:p>
    <w:p>
      <w:pPr>
        <w:pStyle w:val="3"/>
        <w:spacing w:before="1" w:line="374" w:lineRule="auto"/>
        <w:ind w:firstLine="422" w:firstLineChars="175"/>
        <w:rPr>
          <w:rFonts w:asciiTheme="minorEastAsia" w:hAnsiTheme="minorEastAsia" w:cstheme="minorEastAsia"/>
          <w:b/>
          <w:bCs/>
          <w:color w:val="000000"/>
          <w:sz w:val="24"/>
          <w:szCs w:val="24"/>
          <w:lang w:val="zh-CN" w:bidi="zh-CN"/>
        </w:rPr>
      </w:pPr>
      <w:r>
        <w:rPr>
          <w:rFonts w:hint="eastAsia" w:asciiTheme="minorEastAsia" w:hAnsiTheme="minorEastAsia" w:cstheme="minorEastAsia"/>
          <w:b/>
          <w:bCs/>
          <w:color w:val="000000"/>
          <w:sz w:val="24"/>
          <w:szCs w:val="24"/>
          <w:lang w:val="zh-CN" w:bidi="zh-CN"/>
        </w:rPr>
        <w:t>十、合同争议解决的方式</w:t>
      </w:r>
    </w:p>
    <w:p>
      <w:pPr>
        <w:pStyle w:val="3"/>
        <w:spacing w:before="1" w:line="374" w:lineRule="auto"/>
        <w:ind w:firstLine="420" w:firstLineChars="175"/>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val="zh-CN" w:bidi="zh-CN"/>
        </w:rPr>
        <w:t>合同执行中发生争议的，当事人双方应协商解决，协商达不成一致时，可向人民法院提请诉讼。</w:t>
      </w:r>
    </w:p>
    <w:p>
      <w:pPr>
        <w:pStyle w:val="3"/>
        <w:spacing w:before="1" w:line="374" w:lineRule="auto"/>
        <w:ind w:firstLine="482" w:firstLineChars="200"/>
        <w:rPr>
          <w:rFonts w:asciiTheme="minorEastAsia" w:hAnsiTheme="minorEastAsia" w:cstheme="minorEastAsia"/>
          <w:b/>
          <w:bCs/>
          <w:color w:val="000000"/>
          <w:sz w:val="24"/>
          <w:szCs w:val="24"/>
          <w:lang w:val="zh-CN" w:bidi="zh-CN"/>
        </w:rPr>
      </w:pPr>
      <w:r>
        <w:rPr>
          <w:rFonts w:hint="eastAsia" w:asciiTheme="minorEastAsia" w:hAnsiTheme="minorEastAsia" w:cstheme="minorEastAsia"/>
          <w:b/>
          <w:bCs/>
          <w:color w:val="000000"/>
          <w:sz w:val="24"/>
          <w:szCs w:val="24"/>
          <w:lang w:val="zh-CN" w:bidi="zh-CN"/>
        </w:rPr>
        <w:t>十</w:t>
      </w:r>
      <w:r>
        <w:rPr>
          <w:rFonts w:hint="eastAsia" w:asciiTheme="minorEastAsia" w:hAnsiTheme="minorEastAsia" w:cstheme="minorEastAsia"/>
          <w:b/>
          <w:bCs/>
          <w:color w:val="000000"/>
          <w:sz w:val="24"/>
          <w:szCs w:val="24"/>
          <w:lang w:bidi="zh-CN"/>
        </w:rPr>
        <w:t>一</w:t>
      </w:r>
      <w:r>
        <w:rPr>
          <w:rFonts w:hint="eastAsia" w:asciiTheme="minorEastAsia" w:hAnsiTheme="minorEastAsia" w:cstheme="minorEastAsia"/>
          <w:b/>
          <w:bCs/>
          <w:color w:val="000000"/>
          <w:sz w:val="24"/>
          <w:szCs w:val="24"/>
          <w:lang w:val="zh-CN" w:bidi="zh-CN"/>
        </w:rPr>
        <w:t>、其他事项</w:t>
      </w:r>
    </w:p>
    <w:p>
      <w:pPr>
        <w:pStyle w:val="3"/>
        <w:spacing w:before="1" w:line="374" w:lineRule="auto"/>
        <w:ind w:firstLine="480" w:firstLineChars="200"/>
        <w:rPr>
          <w:rFonts w:asciiTheme="minorEastAsia" w:hAnsiTheme="minorEastAsia" w:cstheme="minorEastAsia"/>
          <w:color w:val="000000"/>
          <w:sz w:val="24"/>
          <w:szCs w:val="24"/>
          <w:lang w:val="zh-CN" w:bidi="zh-CN"/>
        </w:rPr>
      </w:pPr>
      <w:bookmarkStart w:id="0" w:name="第四章__竞争性磋商内容及服务要求"/>
      <w:bookmarkEnd w:id="0"/>
      <w:bookmarkStart w:id="1" w:name="_bookmark3"/>
      <w:bookmarkEnd w:id="1"/>
      <w:r>
        <w:rPr>
          <w:rFonts w:hint="eastAsia" w:asciiTheme="minorEastAsia" w:hAnsiTheme="minorEastAsia" w:cstheme="minorEastAsia"/>
          <w:color w:val="000000"/>
          <w:sz w:val="24"/>
          <w:szCs w:val="24"/>
          <w:lang w:bidi="zh-CN"/>
        </w:rPr>
        <w:t>1、</w:t>
      </w:r>
      <w:r>
        <w:rPr>
          <w:rFonts w:hint="eastAsia" w:asciiTheme="minorEastAsia" w:hAnsiTheme="minorEastAsia" w:cstheme="minorEastAsia"/>
          <w:color w:val="000000"/>
          <w:sz w:val="24"/>
          <w:szCs w:val="24"/>
          <w:lang w:val="zh-CN" w:bidi="zh-CN"/>
        </w:rPr>
        <w:t>本合同乙方在任何情况下都不得全部或部分转让其应履行的合同义务，乙方不得将本合同分包给他人。</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2、</w:t>
      </w:r>
      <w:r>
        <w:rPr>
          <w:rFonts w:hint="eastAsia" w:asciiTheme="minorEastAsia" w:hAnsiTheme="minorEastAsia" w:cstheme="minorEastAsia"/>
          <w:color w:val="000000"/>
          <w:sz w:val="24"/>
          <w:szCs w:val="24"/>
          <w:lang w:val="zh-CN" w:bidi="zh-CN"/>
        </w:rPr>
        <w:t>在执行本合同的过程中，所有经双方签署确认的文件（包括会议纪要、补充合同、合同修改书、往来信函等）均为本合同的有效组成部分，其生效日期为双方签字盖章或确认之日期。</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3、</w:t>
      </w:r>
      <w:r>
        <w:rPr>
          <w:rFonts w:hint="eastAsia" w:asciiTheme="minorEastAsia" w:hAnsiTheme="minorEastAsia" w:cstheme="minorEastAsia"/>
          <w:color w:val="000000"/>
          <w:sz w:val="24"/>
          <w:szCs w:val="24"/>
          <w:lang w:val="zh-CN" w:bidi="zh-CN"/>
        </w:rPr>
        <w:t>合同一式</w:t>
      </w:r>
      <w:r>
        <w:rPr>
          <w:rFonts w:hint="eastAsia" w:asciiTheme="minorEastAsia" w:hAnsiTheme="minorEastAsia" w:cstheme="minorEastAsia"/>
          <w:color w:val="000000"/>
          <w:sz w:val="24"/>
          <w:szCs w:val="24"/>
          <w:lang w:bidi="zh-CN"/>
        </w:rPr>
        <w:t>捌</w:t>
      </w:r>
      <w:r>
        <w:rPr>
          <w:rFonts w:hint="eastAsia" w:asciiTheme="minorEastAsia" w:hAnsiTheme="minorEastAsia" w:cstheme="minorEastAsia"/>
          <w:color w:val="000000"/>
          <w:sz w:val="24"/>
          <w:szCs w:val="24"/>
          <w:lang w:val="zh-CN" w:bidi="zh-CN"/>
        </w:rPr>
        <w:t>份，采购人肆份，中标供应商贰份、招标代理机构壹份；政府采购监管机构备案一份</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4、</w:t>
      </w:r>
      <w:r>
        <w:rPr>
          <w:rFonts w:hint="eastAsia" w:asciiTheme="minorEastAsia" w:hAnsiTheme="minorEastAsia" w:cstheme="minorEastAsia"/>
          <w:color w:val="000000"/>
          <w:sz w:val="24"/>
          <w:szCs w:val="24"/>
          <w:lang w:val="zh-CN" w:bidi="zh-CN"/>
        </w:rPr>
        <w:t>合同经双方授权代表签字、盖章后生效，生效日以签字日期为准。</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5、</w:t>
      </w:r>
      <w:r>
        <w:rPr>
          <w:rFonts w:hint="eastAsia" w:asciiTheme="minorEastAsia" w:hAnsiTheme="minorEastAsia" w:cstheme="minorEastAsia"/>
          <w:color w:val="000000"/>
          <w:sz w:val="24"/>
          <w:szCs w:val="24"/>
          <w:lang w:val="zh-CN" w:bidi="zh-CN"/>
        </w:rPr>
        <w:t>本合同页眉页脚标有页码，加盖骑缝章，缺页之合同为无效合同。</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6、</w:t>
      </w:r>
      <w:r>
        <w:rPr>
          <w:rFonts w:hint="eastAsia" w:asciiTheme="minorEastAsia" w:hAnsiTheme="minorEastAsia" w:cstheme="minorEastAsia"/>
          <w:color w:val="000000"/>
          <w:sz w:val="24"/>
          <w:szCs w:val="24"/>
          <w:lang w:val="zh-CN" w:bidi="zh-CN"/>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7、</w:t>
      </w:r>
      <w:r>
        <w:rPr>
          <w:rFonts w:hint="eastAsia" w:asciiTheme="minorEastAsia" w:hAnsiTheme="minorEastAsia" w:cstheme="minorEastAsia"/>
          <w:color w:val="000000"/>
          <w:sz w:val="24"/>
          <w:szCs w:val="24"/>
          <w:lang w:val="zh-CN" w:bidi="zh-CN"/>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pPr>
        <w:pStyle w:val="3"/>
        <w:spacing w:before="1" w:line="374" w:lineRule="auto"/>
        <w:ind w:firstLine="480" w:firstLineChars="200"/>
        <w:rPr>
          <w:rFonts w:asciiTheme="minorEastAsia" w:hAnsiTheme="minorEastAsia" w:cstheme="minorEastAsia"/>
          <w:color w:val="000000"/>
          <w:sz w:val="24"/>
          <w:szCs w:val="24"/>
          <w:lang w:val="zh-CN" w:bidi="zh-CN"/>
        </w:rPr>
      </w:pPr>
      <w:r>
        <w:rPr>
          <w:rFonts w:hint="eastAsia" w:asciiTheme="minorEastAsia" w:hAnsiTheme="minorEastAsia" w:cstheme="minorEastAsia"/>
          <w:color w:val="000000"/>
          <w:sz w:val="24"/>
          <w:szCs w:val="24"/>
          <w:lang w:bidi="zh-CN"/>
        </w:rPr>
        <w:t>8、</w:t>
      </w:r>
      <w:r>
        <w:rPr>
          <w:rFonts w:hint="eastAsia" w:asciiTheme="minorEastAsia" w:hAnsiTheme="minorEastAsia" w:cstheme="minorEastAsia"/>
          <w:color w:val="000000"/>
          <w:sz w:val="24"/>
          <w:szCs w:val="24"/>
          <w:lang w:val="zh-CN" w:bidi="zh-CN"/>
        </w:rPr>
        <w:t>未详尽之处双方协商解决。</w:t>
      </w:r>
    </w:p>
    <w:tbl>
      <w:tblPr>
        <w:tblStyle w:val="4"/>
        <w:tblW w:w="971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90"/>
        <w:gridCol w:w="512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5" w:hRule="atLeast"/>
          <w:jc w:val="center"/>
        </w:trPr>
        <w:tc>
          <w:tcPr>
            <w:tcW w:w="4590" w:type="dxa"/>
            <w:vAlign w:val="center"/>
          </w:tcPr>
          <w:p>
            <w:pP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甲  方</w:t>
            </w:r>
          </w:p>
        </w:tc>
        <w:tc>
          <w:tcPr>
            <w:tcW w:w="5129" w:type="dxa"/>
            <w:vAlign w:val="center"/>
          </w:tcPr>
          <w:p>
            <w:pP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乙  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jc w:val="center"/>
        </w:trPr>
        <w:tc>
          <w:tcPr>
            <w:tcW w:w="4590" w:type="dxa"/>
            <w:vAlign w:val="center"/>
          </w:tcPr>
          <w:p>
            <w:pPr>
              <w:rPr>
                <w:rFonts w:asciiTheme="minorEastAsia" w:hAnsiTheme="minorEastAsia" w:cstheme="minorEastAsia"/>
                <w:color w:val="000000"/>
                <w:sz w:val="24"/>
                <w:szCs w:val="24"/>
              </w:rPr>
            </w:pPr>
            <w:r>
              <w:rPr>
                <w:rFonts w:hint="eastAsia" w:asciiTheme="minorEastAsia" w:hAnsiTheme="minorEastAsia" w:cstheme="minorEastAsia"/>
                <w:color w:val="000000"/>
                <w:sz w:val="24"/>
                <w:szCs w:val="24"/>
              </w:rPr>
              <w:t>西安市大学南路小学（盖章）</w:t>
            </w:r>
          </w:p>
        </w:tc>
        <w:tc>
          <w:tcPr>
            <w:tcW w:w="5129" w:type="dxa"/>
            <w:vAlign w:val="center"/>
          </w:tcPr>
          <w:p>
            <w:pPr>
              <w:jc w:val="right"/>
              <w:rPr>
                <w:rFonts w:asciiTheme="minorEastAsia" w:hAnsiTheme="minorEastAsia" w:cstheme="minorEastAsia"/>
                <w:color w:val="FF0000"/>
                <w:sz w:val="24"/>
                <w:szCs w:val="24"/>
              </w:rPr>
            </w:pPr>
            <w:r>
              <w:rPr>
                <w:rFonts w:hint="eastAsia" w:asciiTheme="minorEastAsia" w:hAnsiTheme="minorEastAsia" w:cstheme="minorEastAsia"/>
                <w:snapToGrid w:val="0"/>
                <w:sz w:val="24"/>
                <w:szCs w:val="24"/>
              </w:rPr>
              <w:t xml:space="preserve">   </w:t>
            </w:r>
            <w:r>
              <w:rPr>
                <w:rFonts w:hint="eastAsia" w:asciiTheme="minorEastAsia" w:hAnsiTheme="minorEastAsia" w:cstheme="minorEastAsia"/>
                <w:color w:val="000000"/>
                <w:sz w:val="24"/>
                <w:szCs w:val="24"/>
              </w:rPr>
              <w:t>（盖章）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地址：</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地址：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邮编：</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邮编：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tcBorders>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法定代表人：</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法定代表人：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tcBorders>
              <w:top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被授权代表：（签字）</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被授权代表：（签字）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电话：</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tcBorders>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传真：</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传真：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开户银行：</w:t>
            </w:r>
          </w:p>
        </w:tc>
        <w:tc>
          <w:tcPr>
            <w:tcW w:w="5129" w:type="dxa"/>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开户银行：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9" w:hRule="atLeast"/>
          <w:jc w:val="center"/>
        </w:trPr>
        <w:tc>
          <w:tcPr>
            <w:tcW w:w="4590" w:type="dxa"/>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账户名称：</w:t>
            </w:r>
          </w:p>
        </w:tc>
        <w:tc>
          <w:tcPr>
            <w:tcW w:w="5129" w:type="dxa"/>
            <w:tcBorders>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账户名称：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590" w:type="dxa"/>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账号:  </w:t>
            </w:r>
          </w:p>
        </w:tc>
        <w:tc>
          <w:tcPr>
            <w:tcW w:w="5129" w:type="dxa"/>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账号: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9719" w:type="dxa"/>
            <w:gridSpan w:val="2"/>
            <w:tcBorders>
              <w:top w:val="single" w:color="auto" w:sz="4" w:space="0"/>
              <w:bottom w:val="single" w:color="auto" w:sz="4" w:space="0"/>
            </w:tcBorders>
            <w:vAlign w:val="center"/>
          </w:tcPr>
          <w:p>
            <w:pPr>
              <w:rPr>
                <w:rFonts w:asciiTheme="minorEastAsia" w:hAnsiTheme="minorEastAsia" w:cstheme="minorEastAsia"/>
                <w:sz w:val="24"/>
                <w:szCs w:val="24"/>
                <w:lang w:val="zh-CN" w:bidi="zh-CN"/>
              </w:rPr>
            </w:pPr>
            <w:bookmarkStart w:id="2" w:name="_Toc30893"/>
            <w:r>
              <w:rPr>
                <w:rFonts w:hint="eastAsia" w:asciiTheme="minorEastAsia" w:hAnsiTheme="minorEastAsia" w:cstheme="minorEastAsia"/>
                <w:b/>
                <w:sz w:val="24"/>
                <w:szCs w:val="24"/>
              </w:rPr>
              <w:t>陕西卓佲项目管理有限公司</w:t>
            </w:r>
            <w:r>
              <w:rPr>
                <w:rFonts w:hint="eastAsia" w:asciiTheme="minorEastAsia" w:hAnsiTheme="minorEastAsia" w:cstheme="minorEastAsia"/>
                <w:sz w:val="24"/>
                <w:szCs w:val="24"/>
              </w:rPr>
              <w:t>（盖章）</w:t>
            </w:r>
            <w:bookmarkEnd w:id="2"/>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9719" w:type="dxa"/>
            <w:gridSpan w:val="2"/>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lang w:val="zh-CN" w:bidi="zh-CN"/>
              </w:rPr>
            </w:pPr>
            <w:r>
              <w:rPr>
                <w:rFonts w:hint="eastAsia" w:asciiTheme="minorEastAsia" w:hAnsiTheme="minorEastAsia" w:cstheme="minorEastAsia"/>
                <w:sz w:val="24"/>
                <w:szCs w:val="24"/>
              </w:rPr>
              <w:t>地址：西安市雁塔区科技路10号华奥大厦A座20层2002室</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9719" w:type="dxa"/>
            <w:gridSpan w:val="2"/>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lang w:bidi="zh-CN"/>
              </w:rPr>
            </w:pPr>
            <w:r>
              <w:rPr>
                <w:rFonts w:hint="eastAsia" w:asciiTheme="minorEastAsia" w:hAnsiTheme="minorEastAsia" w:cstheme="minorEastAsia"/>
                <w:sz w:val="24"/>
                <w:szCs w:val="24"/>
              </w:rPr>
              <w:t>被授权代表：（签字）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9719" w:type="dxa"/>
            <w:gridSpan w:val="2"/>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lang w:bidi="zh-CN"/>
              </w:rPr>
            </w:pPr>
            <w:r>
              <w:rPr>
                <w:rFonts w:hint="eastAsia" w:asciiTheme="minorEastAsia" w:hAnsiTheme="minorEastAsia" w:cstheme="minorEastAsia"/>
                <w:sz w:val="24"/>
                <w:szCs w:val="24"/>
              </w:rPr>
              <w:t>电话：029-88440695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9719" w:type="dxa"/>
            <w:gridSpan w:val="2"/>
            <w:tcBorders>
              <w:top w:val="single" w:color="auto" w:sz="4" w:space="0"/>
              <w:bottom w:val="single" w:color="auto" w:sz="4" w:space="0"/>
            </w:tcBorders>
            <w:vAlign w:val="center"/>
          </w:tcPr>
          <w:p>
            <w:pPr>
              <w:spacing w:line="360" w:lineRule="auto"/>
              <w:rPr>
                <w:rFonts w:asciiTheme="minorEastAsia" w:hAnsiTheme="minorEastAsia" w:cstheme="minorEastAsia"/>
                <w:sz w:val="24"/>
                <w:szCs w:val="24"/>
                <w:lang w:val="zh-CN" w:bidi="zh-CN"/>
              </w:rPr>
            </w:pPr>
            <w:r>
              <w:rPr>
                <w:rFonts w:hint="eastAsia" w:asciiTheme="minorEastAsia" w:hAnsiTheme="minorEastAsia" w:cstheme="minorEastAsia"/>
                <w:sz w:val="24"/>
                <w:szCs w:val="24"/>
              </w:rPr>
              <w:t>传真：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7" w:hRule="atLeast"/>
          <w:jc w:val="center"/>
        </w:trPr>
        <w:tc>
          <w:tcPr>
            <w:tcW w:w="9719" w:type="dxa"/>
            <w:gridSpan w:val="2"/>
            <w:tcBorders>
              <w:top w:val="single" w:color="auto" w:sz="4" w:space="0"/>
            </w:tcBorders>
            <w:vAlign w:val="center"/>
          </w:tcPr>
          <w:p>
            <w:pPr>
              <w:spacing w:line="360" w:lineRule="auto"/>
              <w:ind w:firstLine="5760" w:firstLineChars="2400"/>
              <w:rPr>
                <w:rFonts w:asciiTheme="minorEastAsia" w:hAnsiTheme="minorEastAsia" w:cstheme="minorEastAsia"/>
                <w:sz w:val="24"/>
                <w:szCs w:val="24"/>
                <w:lang w:val="zh-CN" w:bidi="zh-CN"/>
              </w:rPr>
            </w:pPr>
            <w:r>
              <w:rPr>
                <w:rFonts w:hint="eastAsia" w:asciiTheme="minorEastAsia" w:hAnsiTheme="minorEastAsia" w:cstheme="minorEastAsia"/>
                <w:sz w:val="24"/>
                <w:szCs w:val="24"/>
              </w:rPr>
              <w:t>日期：     年   月   日</w:t>
            </w:r>
          </w:p>
        </w:tc>
      </w:tr>
    </w:tbl>
    <w:p>
      <w:pPr>
        <w:rPr>
          <w:rFonts w:asciiTheme="minorEastAsia" w:hAnsiTheme="minorEastAsia" w:cstheme="minorEastAsia"/>
          <w:sz w:val="24"/>
          <w:szCs w:val="24"/>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6ECD0C81"/>
    <w:rsid w:val="6ECD0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customStyle="1" w:styleId="6">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2023-07-20T07:39:00Z</dcterms:created>
  <dc:creator>米文浩</dc:creator>
  <cp:lastModifiedBy>米文浩</cp:lastModifiedBy>
  <dcterms:modified xsi:type="dcterms:W3CDTF">2023-07-20T07:40:31Z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39627319F14245D3884E2212CBD7D5B2_11</vt:lpwstr>
  </property>
</Properties>
</file>