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120" w:line="240" w:lineRule="auto"/>
        <w:ind w:firstLine="28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碑林区妇幼保健计划生育服务中心免费两癌筛查试剂购置项目政府</w:t>
      </w:r>
      <w:r>
        <w:rPr>
          <w:rFonts w:hint="eastAsia" w:asciiTheme="minorEastAsia" w:hAnsiTheme="minorEastAsia" w:eastAsiaTheme="minorEastAsia" w:cstheme="minorEastAsia"/>
          <w:b/>
          <w:bCs/>
          <w:sz w:val="32"/>
          <w:szCs w:val="32"/>
          <w:lang w:val="en-US" w:eastAsia="zh-CN"/>
        </w:rPr>
        <w:t>采</w:t>
      </w:r>
      <w:r>
        <w:rPr>
          <w:rFonts w:hint="eastAsia" w:asciiTheme="minorEastAsia" w:hAnsiTheme="minorEastAsia" w:eastAsiaTheme="minorEastAsia" w:cstheme="minorEastAsia"/>
          <w:b/>
          <w:bCs/>
          <w:sz w:val="32"/>
          <w:szCs w:val="32"/>
        </w:rPr>
        <w:t>购需求书</w:t>
      </w:r>
    </w:p>
    <w:tbl>
      <w:tblPr>
        <w:tblStyle w:val="11"/>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序号</w:t>
            </w:r>
          </w:p>
        </w:tc>
        <w:tc>
          <w:tcPr>
            <w:tcW w:w="1559" w:type="dxa"/>
            <w:vAlign w:val="center"/>
          </w:tcPr>
          <w:p>
            <w:pPr>
              <w:pStyle w:val="14"/>
              <w:keepNext w:val="0"/>
              <w:keepLines w:val="0"/>
              <w:suppressLineNumbers w:val="0"/>
              <w:spacing w:before="0" w:beforeAutospacing="0" w:after="0" w:afterAutospacing="0" w:line="360" w:lineRule="auto"/>
              <w:ind w:left="0" w:right="0" w:firstLine="28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关键事项</w:t>
            </w:r>
          </w:p>
        </w:tc>
        <w:tc>
          <w:tcPr>
            <w:tcW w:w="642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1</w:t>
            </w:r>
          </w:p>
        </w:tc>
        <w:tc>
          <w:tcPr>
            <w:tcW w:w="1559" w:type="dxa"/>
            <w:vAlign w:val="center"/>
          </w:tcPr>
          <w:p>
            <w:pPr>
              <w:pStyle w:val="14"/>
              <w:keepNext w:val="0"/>
              <w:keepLines w:val="0"/>
              <w:suppressLineNumbers w:val="0"/>
              <w:spacing w:before="0" w:beforeAutospacing="0" w:after="0" w:afterAutospacing="0" w:line="360" w:lineRule="auto"/>
              <w:ind w:left="0" w:right="0" w:firstLine="28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釆购预算</w:t>
            </w:r>
          </w:p>
        </w:tc>
        <w:tc>
          <w:tcPr>
            <w:tcW w:w="6429" w:type="dxa"/>
            <w:vAlign w:val="center"/>
          </w:tcPr>
          <w:p>
            <w:pPr>
              <w:pStyle w:val="14"/>
              <w:keepNext w:val="0"/>
              <w:keepLines w:val="0"/>
              <w:suppressLineNumbers w:val="0"/>
              <w:tabs>
                <w:tab w:val="left" w:leader="underscore" w:pos="2026"/>
              </w:tabs>
              <w:spacing w:before="0" w:beforeAutospacing="0" w:after="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人民币</w:t>
            </w:r>
            <w:r>
              <w:rPr>
                <w:rFonts w:hint="eastAsia" w:asciiTheme="minorEastAsia" w:hAnsiTheme="minorEastAsia" w:eastAsiaTheme="minorEastAsia" w:cstheme="minorEastAsia"/>
                <w:kern w:val="2"/>
                <w:sz w:val="21"/>
                <w:szCs w:val="22"/>
                <w:u w:val="single"/>
              </w:rPr>
              <w:t>350000.00元</w:t>
            </w:r>
          </w:p>
          <w:p>
            <w:pPr>
              <w:pStyle w:val="14"/>
              <w:keepNext w:val="0"/>
              <w:keepLines w:val="0"/>
              <w:suppressLineNumbers w:val="0"/>
              <w:spacing w:before="0" w:beforeAutospacing="0" w:after="0" w:afterAutospacing="0" w:line="360" w:lineRule="auto"/>
              <w:ind w:left="0" w:right="0" w:firstLine="0"/>
              <w:jc w:val="both"/>
              <w:rPr>
                <w:rFonts w:hint="eastAsia" w:asciiTheme="minorEastAsia" w:hAnsiTheme="minorEastAsia" w:eastAsiaTheme="minorEastAsia"/>
                <w:kern w:val="2"/>
                <w:sz w:val="21"/>
                <w:szCs w:val="22"/>
                <w:lang w:eastAsia="zh-CN"/>
              </w:rPr>
            </w:pPr>
            <w:r>
              <w:rPr>
                <w:rFonts w:hint="eastAsia" w:asciiTheme="minorEastAsia" w:hAnsiTheme="minorEastAsia" w:eastAsiaTheme="minorEastAsia" w:cstheme="minorEastAsia"/>
                <w:kern w:val="2"/>
                <w:sz w:val="21"/>
                <w:szCs w:val="22"/>
              </w:rPr>
              <w:t>仅指与</w:t>
            </w:r>
            <w:r>
              <w:rPr>
                <w:rFonts w:hint="eastAsia" w:asciiTheme="minorEastAsia" w:hAnsiTheme="minorEastAsia" w:eastAsiaTheme="minorEastAsia" w:cstheme="minorEastAsia"/>
                <w:kern w:val="2"/>
                <w:sz w:val="21"/>
                <w:szCs w:val="22"/>
                <w:highlight w:val="none"/>
              </w:rPr>
              <w:t>本次采购标的直接相关的费用</w:t>
            </w:r>
            <w:r>
              <w:rPr>
                <w:rFonts w:hint="eastAsia" w:asciiTheme="minorEastAsia" w:hAnsiTheme="minorEastAsia" w:eastAsiaTheme="minorEastAsia" w:cstheme="minorEastAsia"/>
                <w:kern w:val="2"/>
                <w:sz w:val="21"/>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2</w:t>
            </w:r>
          </w:p>
        </w:tc>
        <w:tc>
          <w:tcPr>
            <w:tcW w:w="1559" w:type="dxa"/>
            <w:vAlign w:val="center"/>
          </w:tcPr>
          <w:p>
            <w:pPr>
              <w:pStyle w:val="14"/>
              <w:keepNext w:val="0"/>
              <w:keepLines w:val="0"/>
              <w:suppressLineNumbers w:val="0"/>
              <w:spacing w:before="0" w:beforeAutospacing="0" w:after="0" w:afterAutospacing="0" w:line="360" w:lineRule="auto"/>
              <w:ind w:left="0" w:right="0" w:firstLine="28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最高限价</w:t>
            </w:r>
          </w:p>
        </w:tc>
        <w:tc>
          <w:tcPr>
            <w:tcW w:w="6429" w:type="dxa"/>
            <w:vAlign w:val="bottom"/>
          </w:tcPr>
          <w:p>
            <w:pPr>
              <w:pStyle w:val="14"/>
              <w:keepNext w:val="0"/>
              <w:keepLines w:val="0"/>
              <w:suppressLineNumbers w:val="0"/>
              <w:tabs>
                <w:tab w:val="left" w:leader="underscore" w:pos="2035"/>
              </w:tabs>
              <w:spacing w:before="0" w:beforeAutospacing="0" w:after="12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人民币</w:t>
            </w:r>
            <w:r>
              <w:rPr>
                <w:rFonts w:hint="eastAsia" w:asciiTheme="minorEastAsia" w:hAnsiTheme="minorEastAsia" w:eastAsiaTheme="minorEastAsia" w:cstheme="minorEastAsia"/>
                <w:kern w:val="2"/>
                <w:sz w:val="21"/>
                <w:szCs w:val="22"/>
                <w:u w:val="single"/>
              </w:rPr>
              <w:t>350000.00</w:t>
            </w:r>
            <w:r>
              <w:rPr>
                <w:rFonts w:hint="eastAsia" w:asciiTheme="minorEastAsia" w:hAnsiTheme="minorEastAsia" w:eastAsiaTheme="minorEastAsia" w:cstheme="minorEastAsia"/>
                <w:kern w:val="2"/>
                <w:sz w:val="21"/>
                <w:szCs w:val="22"/>
              </w:rPr>
              <w:t>元</w:t>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3</w:t>
            </w:r>
          </w:p>
        </w:tc>
        <w:tc>
          <w:tcPr>
            <w:tcW w:w="1559" w:type="dxa"/>
            <w:vAlign w:val="center"/>
          </w:tcPr>
          <w:p>
            <w:pPr>
              <w:pStyle w:val="14"/>
              <w:keepNext w:val="0"/>
              <w:keepLines w:val="0"/>
              <w:suppressLineNumbers w:val="0"/>
              <w:spacing w:before="0" w:beforeAutospacing="0" w:after="0" w:afterAutospacing="0" w:line="360" w:lineRule="auto"/>
              <w:ind w:left="0" w:right="0" w:firstLine="280"/>
              <w:jc w:val="both"/>
              <w:rPr>
                <w:rFonts w:asciiTheme="minorEastAsia" w:hAnsiTheme="minorEastAsia" w:eastAsiaTheme="minorEastAsia"/>
                <w:kern w:val="2"/>
                <w:sz w:val="21"/>
                <w:szCs w:val="22"/>
                <w:highlight w:val="none"/>
              </w:rPr>
            </w:pPr>
            <w:r>
              <w:rPr>
                <w:rFonts w:hint="eastAsia" w:asciiTheme="minorEastAsia" w:hAnsiTheme="minorEastAsia" w:eastAsiaTheme="minorEastAsia" w:cstheme="minorEastAsia"/>
                <w:kern w:val="2"/>
                <w:sz w:val="21"/>
                <w:szCs w:val="22"/>
                <w:highlight w:val="none"/>
              </w:rPr>
              <w:t>项目性质</w:t>
            </w:r>
          </w:p>
        </w:tc>
        <w:tc>
          <w:tcPr>
            <w:tcW w:w="6429" w:type="dxa"/>
          </w:tcPr>
          <w:p>
            <w:pPr>
              <w:pStyle w:val="14"/>
              <w:keepNext w:val="0"/>
              <w:keepLines w:val="0"/>
              <w:suppressLineNumbers w:val="0"/>
              <w:spacing w:before="0" w:beforeAutospacing="0" w:after="60" w:afterAutospacing="0" w:line="360" w:lineRule="auto"/>
              <w:ind w:left="0" w:right="0" w:firstLine="0"/>
              <w:jc w:val="both"/>
              <w:rPr>
                <w:rFonts w:asciiTheme="minorEastAsia" w:hAnsiTheme="minorEastAsia" w:eastAsiaTheme="minorEastAsia" w:cstheme="minorEastAsia"/>
                <w:kern w:val="2"/>
                <w:sz w:val="21"/>
                <w:szCs w:val="22"/>
                <w:highlight w:val="none"/>
              </w:rPr>
            </w:pPr>
            <w:r>
              <w:rPr>
                <w:rFonts w:hint="eastAsia" w:asciiTheme="minorEastAsia" w:hAnsiTheme="minorEastAsia" w:eastAsiaTheme="minorEastAsia" w:cstheme="minorEastAsia"/>
                <w:kern w:val="2"/>
                <w:sz w:val="21"/>
                <w:szCs w:val="22"/>
                <w:highlight w:val="none"/>
              </w:rPr>
              <w:t>√专门面向中小企业釆购</w:t>
            </w:r>
          </w:p>
          <w:p>
            <w:pPr>
              <w:pStyle w:val="14"/>
              <w:keepNext w:val="0"/>
              <w:keepLines w:val="0"/>
              <w:suppressLineNumbers w:val="0"/>
              <w:spacing w:before="0" w:beforeAutospacing="0" w:after="60" w:afterAutospacing="0" w:line="360" w:lineRule="auto"/>
              <w:ind w:left="0" w:right="0" w:firstLine="0"/>
              <w:jc w:val="both"/>
              <w:rPr>
                <w:rFonts w:asciiTheme="minorEastAsia" w:hAnsiTheme="minorEastAsia" w:eastAsiaTheme="minorEastAsia" w:cstheme="minorEastAsia"/>
                <w:kern w:val="2"/>
                <w:sz w:val="21"/>
                <w:szCs w:val="22"/>
                <w:highlight w:val="none"/>
              </w:rPr>
            </w:pPr>
            <w:r>
              <w:rPr>
                <w:rFonts w:hint="eastAsia" w:asciiTheme="minorEastAsia" w:hAnsiTheme="minorEastAsia" w:eastAsiaTheme="minorEastAsia" w:cstheme="minorEastAsia"/>
                <w:kern w:val="2"/>
                <w:sz w:val="21"/>
                <w:szCs w:val="22"/>
                <w:highlight w:val="none"/>
              </w:rPr>
              <w:t>仅允许中小企业或小型、微型企业参与投标。</w:t>
            </w:r>
          </w:p>
          <w:p>
            <w:pPr>
              <w:pStyle w:val="14"/>
              <w:keepNext w:val="0"/>
              <w:keepLines w:val="0"/>
              <w:suppressLineNumbers w:val="0"/>
              <w:spacing w:before="0" w:beforeAutospacing="0" w:after="60" w:afterAutospacing="0" w:line="360" w:lineRule="auto"/>
              <w:ind w:left="0" w:right="0" w:firstLine="0"/>
              <w:jc w:val="both"/>
              <w:rPr>
                <w:rFonts w:asciiTheme="minorEastAsia" w:hAnsiTheme="minorEastAsia" w:eastAsiaTheme="minorEastAsia" w:cstheme="minorEastAsia"/>
                <w:kern w:val="2"/>
                <w:sz w:val="21"/>
                <w:szCs w:val="22"/>
                <w:highlight w:val="none"/>
              </w:rPr>
            </w:pPr>
            <w:r>
              <w:rPr>
                <w:rFonts w:hint="eastAsia" w:asciiTheme="minorEastAsia" w:hAnsiTheme="minorEastAsia" w:eastAsiaTheme="minorEastAsia" w:cstheme="minorEastAsia"/>
                <w:kern w:val="2"/>
                <w:sz w:val="21"/>
                <w:szCs w:val="22"/>
                <w:highlight w:val="none"/>
                <w:lang w:val="en-US" w:eastAsia="zh-CN" w:bidi="en-US"/>
              </w:rPr>
              <w:t>○</w:t>
            </w:r>
            <w:r>
              <w:rPr>
                <w:rFonts w:hint="eastAsia" w:asciiTheme="minorEastAsia" w:hAnsiTheme="minorEastAsia" w:eastAsiaTheme="minorEastAsia" w:cstheme="minorEastAsia"/>
                <w:kern w:val="2"/>
                <w:sz w:val="21"/>
                <w:szCs w:val="22"/>
                <w:highlight w:val="none"/>
              </w:rPr>
              <w:t>非专门面向中小企业釆购</w:t>
            </w:r>
          </w:p>
          <w:p>
            <w:pPr>
              <w:pStyle w:val="14"/>
              <w:keepNext w:val="0"/>
              <w:keepLines w:val="0"/>
              <w:suppressLineNumbers w:val="0"/>
              <w:spacing w:before="0" w:beforeAutospacing="0" w:after="60" w:afterAutospacing="0" w:line="360" w:lineRule="auto"/>
              <w:ind w:left="0" w:right="0" w:firstLine="0"/>
              <w:jc w:val="both"/>
              <w:rPr>
                <w:rFonts w:asciiTheme="minorEastAsia" w:hAnsiTheme="minorEastAsia" w:eastAsiaTheme="minorEastAsia"/>
                <w:kern w:val="2"/>
                <w:sz w:val="21"/>
                <w:szCs w:val="22"/>
                <w:highlight w:val="none"/>
              </w:rPr>
            </w:pPr>
            <w:r>
              <w:rPr>
                <w:rFonts w:hint="eastAsia" w:asciiTheme="minorEastAsia" w:hAnsiTheme="minorEastAsia" w:eastAsiaTheme="minorEastAsia" w:cstheme="minorEastAsia"/>
                <w:kern w:val="2"/>
                <w:sz w:val="21"/>
                <w:szCs w:val="22"/>
                <w:highlight w:val="none"/>
              </w:rPr>
              <w:t>对符合（财库</w:t>
            </w:r>
            <w:r>
              <w:rPr>
                <w:rFonts w:hint="eastAsia" w:asciiTheme="minorEastAsia" w:hAnsiTheme="minorEastAsia" w:eastAsiaTheme="minorEastAsia" w:cstheme="minorEastAsia"/>
                <w:kern w:val="2"/>
                <w:sz w:val="21"/>
                <w:szCs w:val="22"/>
                <w:highlight w:val="none"/>
                <w:lang w:val="en-US" w:eastAsia="en-US" w:bidi="en-US"/>
              </w:rPr>
              <w:t xml:space="preserve">[2020] </w:t>
            </w:r>
            <w:r>
              <w:rPr>
                <w:rFonts w:hint="eastAsia" w:asciiTheme="minorEastAsia" w:hAnsiTheme="minorEastAsia" w:eastAsiaTheme="minorEastAsia" w:cstheme="minorEastAsia"/>
                <w:kern w:val="2"/>
                <w:sz w:val="21"/>
                <w:szCs w:val="22"/>
                <w:highlight w:val="none"/>
              </w:rPr>
              <w:t>46号）规定的小微企业（监狱企业视同小型、微型企业） 的报价给予%的扣除，用扣除后的价格参加评审。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4</w:t>
            </w:r>
          </w:p>
        </w:tc>
        <w:tc>
          <w:tcPr>
            <w:tcW w:w="155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对供应商的资 格要求</w:t>
            </w:r>
          </w:p>
        </w:tc>
        <w:tc>
          <w:tcPr>
            <w:tcW w:w="6429" w:type="dxa"/>
            <w:vAlign w:val="bottom"/>
          </w:tcPr>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1、满足《中华人民共和国政府采购法》第二十二条规定；</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2、落实政府采购政策需满足的资格要求：</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（1）《政府采购促进中小企业发展暂行办法》（财库〔2020〕46号）；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（2）《财政部 司法部关于政府采购支持监狱企业发展有关问题的通知》（财库〔2014〕68号）；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（3）《关于促进残疾人就业政府采购政策的通知》（财库〔2017〕141号）；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（4）《节能产品政府采购实施意见》（财库[2004]185号）；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（5）《环境标志产品政府采购实施的意见》（财库[2006]90号）；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（6）《国务院办公厅关于建立政府强制采购节能产品制度的通知》（国办发〔2007〕51号）；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（7）《财政部发展改革委生态环境部市场监管总局关于调整优化节能产品、环境标志产品政府采购执行机制的通知》--（财库〔2019〕9号）；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（8）《关于印发环境标志产品政府采购品目清单的通知》--（财库〔2019〕18号）；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（9）《关于印发节能产品政府采购品目清单的通知》--（财库〔2019〕19号）；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（10）《市场监督总局关于发布参与实施政府采购节能产品、环境标志产品认证机构名录的公告》—2019年第16号；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（11）《关于运用政府采购政策支持乡村产业振兴的通知》（财库〔2021〕19号）；</w:t>
            </w:r>
          </w:p>
          <w:p>
            <w:pPr>
              <w:pStyle w:val="14"/>
              <w:keepNext w:val="0"/>
              <w:keepLines w:val="0"/>
              <w:suppressLineNumbers w:val="0"/>
              <w:spacing w:before="0" w:beforeAutospacing="0" w:after="60" w:afterAutospacing="0" w:line="360" w:lineRule="auto"/>
              <w:ind w:left="0" w:right="0" w:firstLine="0"/>
              <w:jc w:val="left"/>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（12）陕西省财政厅关于印发《陕西省中小企业政府采购信用融资办法》（陕财办采〔2018〕23号），相关政策、业务流程、办理平台（详见http://www.ccgp-shaanxi.gov.cn/zcdservice/zcd/shanxi/）；</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（13）《陕西省财政厅关于加快推进我省中小企业政府采购信用融资工作的通知》（陕财办采〔2020〕15号）；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（14）《关于进一步加强政府绿色采购有关问题的通知》（陕财办采〔2021〕29号）；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（15）《陕西省财政厅 陕西省工业和信息化厅关于运用政府采购政策支持首台（套）及创新产品有关事项的通知》（陕财办采〔2021〕17号）；</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（16）其他需要落实的政府采购政策。</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本项目专门面向中小企业采购。</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3、本项目的特定资格要求：</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val="zh-TW" w:eastAsia="zh-CN"/>
              </w:rPr>
            </w:pPr>
            <w:r>
              <w:rPr>
                <w:rFonts w:hint="eastAsia" w:asciiTheme="minorEastAsia" w:hAnsiTheme="minorEastAsia" w:eastAsiaTheme="minorEastAsia" w:cstheme="minorEastAsia"/>
                <w:kern w:val="2"/>
                <w:sz w:val="21"/>
                <w:szCs w:val="22"/>
                <w:lang w:val="zh-TW" w:eastAsia="zh-CN"/>
              </w:rPr>
              <w:t>合同包1(碑林区妇幼保健计划生育服务中心免费两癌筛查试剂购置项目)特定资格要求如下:</w:t>
            </w:r>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eastAsia="zh-CN"/>
              </w:rPr>
            </w:pPr>
            <w:r>
              <w:rPr>
                <w:rFonts w:hint="eastAsia" w:asciiTheme="minorEastAsia" w:hAnsiTheme="minorEastAsia" w:eastAsiaTheme="minorEastAsia" w:cstheme="minorEastAsia"/>
                <w:kern w:val="2"/>
                <w:sz w:val="21"/>
                <w:szCs w:val="22"/>
                <w:lang w:eastAsia="zh-CN"/>
              </w:rPr>
              <w:t>（1）供应商为具有独立承担民事责任能力的法人或其他组织或自然人，并提供法人或者其他组织合法有效的营业执照等证明文件，自然人应提供身份证明文件；</w:t>
            </w:r>
            <w:bookmarkStart w:id="0" w:name="_GoBack"/>
            <w:bookmarkEnd w:id="0"/>
          </w:p>
          <w:p>
            <w:pPr>
              <w:pStyle w:val="14"/>
              <w:keepNext w:val="0"/>
              <w:keepLines w:val="0"/>
              <w:suppressLineNumbers w:val="0"/>
              <w:spacing w:before="0" w:beforeAutospacing="0" w:after="60" w:afterAutospacing="0" w:line="360" w:lineRule="auto"/>
              <w:ind w:left="0" w:right="0" w:firstLine="0"/>
              <w:jc w:val="both"/>
              <w:rPr>
                <w:rFonts w:hint="eastAsia" w:asciiTheme="minorEastAsia" w:hAnsiTheme="minorEastAsia" w:eastAsiaTheme="minorEastAsia" w:cstheme="minorEastAsia"/>
                <w:kern w:val="2"/>
                <w:sz w:val="21"/>
                <w:szCs w:val="22"/>
                <w:lang w:eastAsia="zh-CN"/>
              </w:rPr>
            </w:pPr>
            <w:r>
              <w:rPr>
                <w:rFonts w:hint="eastAsia" w:asciiTheme="minorEastAsia" w:hAnsiTheme="minorEastAsia" w:eastAsiaTheme="minorEastAsia" w:cstheme="minorEastAsia"/>
                <w:kern w:val="2"/>
                <w:sz w:val="21"/>
                <w:szCs w:val="22"/>
                <w:lang w:eastAsia="zh-CN"/>
              </w:rPr>
              <w:t>（2）供应商应授权合法的人员参加谈判全过程，其中法定代表人直接参加谈判的，须出具法人身份证原件及复印件。法定代表人授权他人参加谈判的，须出具法定代表人授权书及被授权人身份证原件及复印件；</w:t>
            </w:r>
          </w:p>
          <w:p>
            <w:pPr>
              <w:keepNext w:val="0"/>
              <w:keepLines w:val="0"/>
              <w:widowControl/>
              <w:suppressLineNumbers w:val="0"/>
              <w:spacing w:before="0" w:beforeAutospacing="0" w:after="0" w:afterAutospacing="0" w:line="360" w:lineRule="auto"/>
              <w:ind w:left="0" w:right="0"/>
              <w:jc w:val="left"/>
              <w:rPr>
                <w:rFonts w:hint="default" w:asciiTheme="minorEastAsia" w:hAnsiTheme="minorEastAsia" w:eastAsiaTheme="minorEastAsia" w:cstheme="minorEastAsia"/>
                <w:kern w:val="2"/>
                <w:sz w:val="21"/>
                <w:szCs w:val="21"/>
                <w:highlight w:val="none"/>
                <w:lang w:val="en-US"/>
              </w:rPr>
            </w:pPr>
            <w:r>
              <w:rPr>
                <w:rFonts w:hint="eastAsia" w:asciiTheme="minorEastAsia" w:hAnsiTheme="minorEastAsia" w:eastAsiaTheme="minorEastAsia" w:cstheme="minorEastAsia"/>
                <w:kern w:val="2"/>
                <w:sz w:val="21"/>
                <w:szCs w:val="22"/>
                <w:highlight w:val="none"/>
                <w:lang w:val="en-US" w:eastAsia="zh-CN"/>
              </w:rPr>
              <w:t>（3）</w:t>
            </w:r>
            <w:r>
              <w:rPr>
                <w:rFonts w:hint="eastAsia" w:asciiTheme="minorEastAsia" w:hAnsiTheme="minorEastAsia" w:eastAsiaTheme="minorEastAsia" w:cstheme="minorEastAsia"/>
                <w:kern w:val="2"/>
                <w:sz w:val="21"/>
                <w:szCs w:val="21"/>
                <w:highlight w:val="none"/>
                <w:lang w:val="en-US" w:eastAsia="zh-CN"/>
              </w:rPr>
              <w:t>供应商</w:t>
            </w:r>
            <w:r>
              <w:rPr>
                <w:rFonts w:hint="eastAsia" w:asciiTheme="minorEastAsia" w:hAnsiTheme="minorEastAsia" w:eastAsiaTheme="minorEastAsia" w:cstheme="minorEastAsia"/>
                <w:color w:val="000000"/>
                <w:kern w:val="0"/>
                <w:sz w:val="21"/>
                <w:szCs w:val="21"/>
                <w:highlight w:val="none"/>
                <w:lang w:val="en-US" w:eastAsia="zh-CN" w:bidi="ar"/>
              </w:rPr>
              <w:t>所投产品属于医疗器械：投标人为代理商应提供《营业执照》、《医疗器械经营许可证》含三类许可范围或《医疗器械经营备案凭证》及所投产品医疗器械注册证(含附件和附页)；投标人为制造厂商的应提供《营业执照》、《医疗器械生产许可证》或《医疗器械生产备案凭证》及所投产品医疗器械注册证(含附件和附页)，并具有适合所投产品运输的冷链运输系统及证明文件。</w:t>
            </w:r>
          </w:p>
          <w:p>
            <w:pPr>
              <w:pStyle w:val="14"/>
              <w:keepNext w:val="0"/>
              <w:keepLines w:val="0"/>
              <w:suppressLineNumbers w:val="0"/>
              <w:spacing w:before="0" w:beforeAutospacing="0" w:after="60" w:afterAutospacing="0" w:line="360" w:lineRule="auto"/>
              <w:ind w:left="0" w:right="0" w:firstLine="0"/>
              <w:jc w:val="both"/>
              <w:rPr>
                <w:rFonts w:asciiTheme="minorEastAsia" w:hAnsiTheme="minorEastAsia" w:eastAsiaTheme="minorEastAsia"/>
                <w:color w:val="333333"/>
                <w:kern w:val="2"/>
                <w:sz w:val="21"/>
                <w:szCs w:val="28"/>
                <w:lang w:eastAsia="zh-CN"/>
              </w:rPr>
            </w:pPr>
            <w:r>
              <w:rPr>
                <w:rFonts w:hint="eastAsia" w:asciiTheme="minorEastAsia" w:hAnsiTheme="minorEastAsia" w:eastAsiaTheme="minorEastAsia" w:cstheme="minorEastAsia"/>
                <w:kern w:val="2"/>
                <w:sz w:val="21"/>
                <w:szCs w:val="22"/>
                <w:lang w:eastAsia="zh-CN"/>
              </w:rPr>
              <w:t>（4）根据《财政部关于在政府采购活动中查询及使用信用记录有关问题的通知》（财库〔2016〕125号）文件要求，采购代理机构将通过“中国执行信息公开网”（http://zxgk.court.gov.cn）、“信用中国”网站（www.creditchina.gov.cn）和“中国政府采购网”（www.ccgp.gov.cn）在谈判时查询供应商信用记录，被列入失信被执行人、重大税收违法失信主体、经营异常名录信息查询、政府采购严重违法失信行为记录名单的单位将被拒绝参与本项目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5</w:t>
            </w:r>
          </w:p>
        </w:tc>
        <w:tc>
          <w:tcPr>
            <w:tcW w:w="1559" w:type="dxa"/>
            <w:vMerge w:val="restart"/>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是否允许进口 产品</w:t>
            </w:r>
          </w:p>
        </w:tc>
        <w:tc>
          <w:tcPr>
            <w:tcW w:w="6429" w:type="dxa"/>
          </w:tcPr>
          <w:p>
            <w:pPr>
              <w:pStyle w:val="14"/>
              <w:keepNext w:val="0"/>
              <w:keepLines w:val="0"/>
              <w:suppressLineNumbers w:val="0"/>
              <w:spacing w:before="0" w:beforeAutospacing="0" w:after="4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允许（须提供财政部门审核通过的复印件）</w:t>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根据《政府釆购进口产品管理办法》（财库</w:t>
            </w:r>
            <w:r>
              <w:rPr>
                <w:rFonts w:hint="eastAsia" w:asciiTheme="minorEastAsia" w:hAnsiTheme="minorEastAsia" w:eastAsiaTheme="minorEastAsia" w:cstheme="minorEastAsia"/>
                <w:kern w:val="2"/>
                <w:sz w:val="21"/>
                <w:szCs w:val="22"/>
                <w:lang w:val="en-US" w:eastAsia="en-US" w:bidi="en-US"/>
              </w:rPr>
              <w:t xml:space="preserve">[2007] </w:t>
            </w:r>
            <w:r>
              <w:rPr>
                <w:rFonts w:hint="eastAsia" w:asciiTheme="minorEastAsia" w:hAnsiTheme="minorEastAsia" w:eastAsiaTheme="minorEastAsia" w:cstheme="minorEastAsia"/>
                <w:kern w:val="2"/>
                <w:sz w:val="21"/>
                <w:szCs w:val="22"/>
              </w:rPr>
              <w:t>119号）的规定，釆购人釆购进口产品时，必须在釆购活动开始前向财政部门提出申请并获得财政部门审核同 意后，才能开展釆购活动。且不得因此排斥国产产品，满足需求的国产产品依然 可以参与竞争。</w:t>
            </w:r>
            <w:r>
              <w:rPr>
                <w:rFonts w:hint="eastAsia" w:asciiTheme="minorEastAsia" w:hAnsiTheme="minorEastAsia" w:eastAsiaTheme="minorEastAsia" w:cstheme="minorEastAsia"/>
                <w:kern w:val="2"/>
                <w:sz w:val="21"/>
                <w:szCs w:val="22"/>
                <w:lang w:val="zh-CN" w:eastAsia="zh-CN" w:bidi="zh-CN"/>
              </w:rPr>
              <w:t>“进口</w:t>
            </w:r>
            <w:r>
              <w:rPr>
                <w:rFonts w:hint="eastAsia" w:asciiTheme="minorEastAsia" w:hAnsiTheme="minorEastAsia" w:eastAsiaTheme="minorEastAsia" w:cstheme="minorEastAsia"/>
                <w:kern w:val="2"/>
                <w:sz w:val="21"/>
                <w:szCs w:val="22"/>
              </w:rPr>
              <w:t>产品的认定"参见《关于政府釆购进口产品管理有关问题 的通知》（财办库</w:t>
            </w:r>
            <w:r>
              <w:rPr>
                <w:rFonts w:hint="eastAsia" w:asciiTheme="minorEastAsia" w:hAnsiTheme="minorEastAsia" w:eastAsiaTheme="minorEastAsia" w:cstheme="minorEastAsia"/>
                <w:kern w:val="2"/>
                <w:sz w:val="21"/>
                <w:szCs w:val="22"/>
                <w:lang w:val="en-US" w:eastAsia="en-US" w:bidi="en-US"/>
              </w:rPr>
              <w:t xml:space="preserve">[2008] </w:t>
            </w:r>
            <w:r>
              <w:rPr>
                <w:rFonts w:hint="eastAsia" w:asciiTheme="minorEastAsia" w:hAnsiTheme="minorEastAsia" w:eastAsiaTheme="minorEastAsia" w:cstheme="minorEastAsia"/>
                <w:kern w:val="2"/>
                <w:sz w:val="21"/>
                <w:szCs w:val="22"/>
              </w:rPr>
              <w:t>248号）文件有关规定。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suppressLineNumbers w:val="0"/>
              <w:spacing w:before="0" w:beforeAutospacing="0" w:after="0" w:afterAutospacing="0" w:line="360" w:lineRule="auto"/>
              <w:ind w:left="0" w:right="0"/>
              <w:jc w:val="center"/>
              <w:rPr>
                <w:rFonts w:asciiTheme="minorEastAsia" w:hAnsiTheme="minorEastAsia" w:eastAsiaTheme="minorEastAsia"/>
                <w:kern w:val="2"/>
                <w:sz w:val="21"/>
                <w:szCs w:val="22"/>
              </w:rPr>
            </w:pPr>
          </w:p>
        </w:tc>
        <w:tc>
          <w:tcPr>
            <w:tcW w:w="1559" w:type="dxa"/>
            <w:vMerge w:val="continue"/>
            <w:vAlign w:val="center"/>
          </w:tcPr>
          <w:p>
            <w:pPr>
              <w:keepNext w:val="0"/>
              <w:keepLines w:val="0"/>
              <w:suppressLineNumbers w:val="0"/>
              <w:spacing w:before="0" w:beforeAutospacing="0" w:after="0" w:afterAutospacing="0" w:line="360" w:lineRule="auto"/>
              <w:ind w:left="0" w:right="0"/>
              <w:jc w:val="both"/>
              <w:rPr>
                <w:rFonts w:asciiTheme="minorEastAsia" w:hAnsiTheme="minorEastAsia" w:eastAsiaTheme="minorEastAsia"/>
                <w:kern w:val="2"/>
                <w:sz w:val="21"/>
                <w:szCs w:val="22"/>
              </w:rPr>
            </w:pPr>
          </w:p>
        </w:tc>
        <w:tc>
          <w:tcPr>
            <w:tcW w:w="6429" w:type="dxa"/>
          </w:tcPr>
          <w:p>
            <w:pPr>
              <w:pStyle w:val="14"/>
              <w:keepNext w:val="0"/>
              <w:keepLines w:val="0"/>
              <w:suppressLineNumbers w:val="0"/>
              <w:spacing w:before="0" w:beforeAutospacing="0" w:after="12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√不允许</w:t>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所投产品为进口产品时，将被视为无效投标。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6</w:t>
            </w:r>
          </w:p>
        </w:tc>
        <w:tc>
          <w:tcPr>
            <w:tcW w:w="1559" w:type="dxa"/>
            <w:vMerge w:val="restart"/>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是否接受联合 体投标</w:t>
            </w:r>
          </w:p>
        </w:tc>
        <w:tc>
          <w:tcPr>
            <w:tcW w:w="6429" w:type="dxa"/>
          </w:tcPr>
          <w:p>
            <w:pPr>
              <w:pStyle w:val="14"/>
              <w:keepNext w:val="0"/>
              <w:keepLines w:val="0"/>
              <w:suppressLineNumbers w:val="0"/>
              <w:spacing w:before="0" w:beforeAutospacing="0" w:after="14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接受</w:t>
            </w:r>
          </w:p>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highlight w:val="none"/>
              </w:rPr>
              <w:t>对于联合体协议或者分包意向协议约定小微企业的合同份额占到合同总金额30%以上的，对联合体或者大中型企业的报价给予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kern w:val="2"/>
                <w:sz w:val="21"/>
                <w:szCs w:val="22"/>
                <w:highlight w:val="none"/>
                <w:u w:val="single"/>
                <w:lang w:val="en-US" w:eastAsia="zh-CN"/>
              </w:rPr>
              <w:t xml:space="preserve"> 2</w:t>
            </w:r>
            <w:r>
              <w:rPr>
                <w:rFonts w:hint="eastAsia" w:asciiTheme="minorEastAsia" w:hAnsiTheme="minorEastAsia" w:eastAsiaTheme="minorEastAsia" w:cstheme="minorEastAsia"/>
                <w:kern w:val="2"/>
                <w:sz w:val="21"/>
                <w:szCs w:val="22"/>
                <w:highlight w:val="none"/>
                <w:u w:val="single"/>
              </w:rPr>
              <w:tab/>
            </w:r>
            <w:r>
              <w:rPr>
                <w:rFonts w:hint="eastAsia" w:asciiTheme="minorEastAsia" w:hAnsiTheme="minorEastAsia" w:eastAsiaTheme="minorEastAsia" w:cstheme="minorEastAsia"/>
                <w:kern w:val="2"/>
                <w:sz w:val="21"/>
                <w:szCs w:val="22"/>
                <w:highlight w:val="none"/>
              </w:rPr>
              <w:t>% （2%-3%）的扣除，用扣除</w:t>
            </w:r>
            <w:r>
              <w:rPr>
                <w:rFonts w:hint="eastAsia" w:asciiTheme="minorEastAsia" w:hAnsiTheme="minorEastAsia" w:eastAsiaTheme="minorEastAsia" w:cstheme="minorEastAsia"/>
                <w:kern w:val="2"/>
                <w:sz w:val="21"/>
                <w:szCs w:val="22"/>
              </w:rPr>
              <w:t>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keepNext w:val="0"/>
              <w:keepLines w:val="0"/>
              <w:suppressLineNumbers w:val="0"/>
              <w:spacing w:before="0" w:beforeAutospacing="0" w:after="0" w:afterAutospacing="0" w:line="360" w:lineRule="auto"/>
              <w:ind w:left="0" w:right="0"/>
              <w:jc w:val="center"/>
              <w:rPr>
                <w:rFonts w:asciiTheme="minorEastAsia" w:hAnsiTheme="minorEastAsia" w:eastAsiaTheme="minorEastAsia"/>
                <w:kern w:val="2"/>
                <w:sz w:val="21"/>
                <w:szCs w:val="22"/>
              </w:rPr>
            </w:pPr>
          </w:p>
        </w:tc>
        <w:tc>
          <w:tcPr>
            <w:tcW w:w="1559" w:type="dxa"/>
            <w:vMerge w:val="continue"/>
            <w:vAlign w:val="center"/>
          </w:tcPr>
          <w:p>
            <w:pPr>
              <w:keepNext w:val="0"/>
              <w:keepLines w:val="0"/>
              <w:suppressLineNumbers w:val="0"/>
              <w:spacing w:before="0" w:beforeAutospacing="0" w:after="0" w:afterAutospacing="0" w:line="360" w:lineRule="auto"/>
              <w:ind w:left="0" w:right="0"/>
              <w:jc w:val="both"/>
              <w:rPr>
                <w:rFonts w:asciiTheme="minorEastAsia" w:hAnsiTheme="minorEastAsia" w:eastAsiaTheme="minorEastAsia"/>
                <w:kern w:val="2"/>
                <w:sz w:val="21"/>
                <w:szCs w:val="22"/>
              </w:rPr>
            </w:pPr>
          </w:p>
        </w:tc>
        <w:tc>
          <w:tcPr>
            <w:tcW w:w="6429" w:type="dxa"/>
            <w:vAlign w:val="bottom"/>
          </w:tcPr>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7</w:t>
            </w:r>
          </w:p>
        </w:tc>
        <w:tc>
          <w:tcPr>
            <w:tcW w:w="155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履约保证金</w:t>
            </w:r>
          </w:p>
        </w:tc>
        <w:tc>
          <w:tcPr>
            <w:tcW w:w="6429" w:type="dxa"/>
          </w:tcPr>
          <w:p>
            <w:pPr>
              <w:keepNext w:val="0"/>
              <w:keepLines w:val="0"/>
              <w:suppressLineNumbers w:val="0"/>
              <w:spacing w:before="0" w:beforeAutospacing="0" w:after="0" w:afterAutospacing="0"/>
              <w:ind w:left="0" w:right="0"/>
              <w:jc w:val="both"/>
              <w:rPr>
                <w:rFonts w:asciiTheme="minorEastAsia" w:hAnsiTheme="minorEastAsia" w:eastAsiaTheme="minorEastAsia"/>
                <w:kern w:val="2"/>
                <w:sz w:val="21"/>
                <w:szCs w:val="22"/>
                <w:lang w:eastAsia="zh-CN"/>
              </w:rPr>
            </w:pPr>
            <w:r>
              <w:rPr>
                <w:rFonts w:hint="eastAsia" w:asciiTheme="minorEastAsia" w:hAnsiTheme="minorEastAsia" w:eastAsiaTheme="minorEastAsia"/>
                <w:kern w:val="2"/>
                <w:sz w:val="21"/>
                <w:szCs w:val="2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2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8</w:t>
            </w:r>
          </w:p>
        </w:tc>
        <w:tc>
          <w:tcPr>
            <w:tcW w:w="1559" w:type="dxa"/>
            <w:vAlign w:val="bottom"/>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现场踏勘和集中答疑</w:t>
            </w:r>
          </w:p>
        </w:tc>
        <w:tc>
          <w:tcPr>
            <w:tcW w:w="6429" w:type="dxa"/>
            <w:vAlign w:val="bottom"/>
          </w:tcPr>
          <w:p>
            <w:pPr>
              <w:pStyle w:val="14"/>
              <w:keepNext w:val="0"/>
              <w:keepLines w:val="0"/>
              <w:suppressLineNumbers w:val="0"/>
              <w:tabs>
                <w:tab w:val="left" w:leader="underscore" w:pos="4013"/>
              </w:tabs>
              <w:spacing w:before="0" w:beforeAutospacing="0" w:after="10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组织，集结地点为：</w:t>
            </w:r>
            <w:r>
              <w:rPr>
                <w:rFonts w:hint="eastAsia" w:asciiTheme="minorEastAsia" w:hAnsiTheme="minorEastAsia" w:eastAsiaTheme="minorEastAsia" w:cstheme="minorEastAsia"/>
                <w:kern w:val="2"/>
                <w:sz w:val="21"/>
                <w:szCs w:val="22"/>
              </w:rPr>
              <w:tab/>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8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9</w:t>
            </w:r>
          </w:p>
        </w:tc>
        <w:tc>
          <w:tcPr>
            <w:tcW w:w="155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价格分比重</w:t>
            </w:r>
          </w:p>
        </w:tc>
        <w:tc>
          <w:tcPr>
            <w:tcW w:w="6429" w:type="dxa"/>
          </w:tcPr>
          <w:p>
            <w:pPr>
              <w:pStyle w:val="14"/>
              <w:keepNext w:val="0"/>
              <w:keepLines w:val="0"/>
              <w:suppressLineNumbers w:val="0"/>
              <w:tabs>
                <w:tab w:val="left" w:leader="underscore" w:pos="1862"/>
              </w:tabs>
              <w:spacing w:before="0" w:beforeAutospacing="0" w:after="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占总分值的</w:t>
            </w:r>
            <w:r>
              <w:rPr>
                <w:rFonts w:hint="eastAsia" w:asciiTheme="minorEastAsia" w:hAnsiTheme="minorEastAsia" w:eastAsiaTheme="minorEastAsia" w:cstheme="minorEastAsia"/>
                <w:kern w:val="2"/>
                <w:sz w:val="21"/>
                <w:szCs w:val="22"/>
                <w:highlight w:val="none"/>
                <w:u w:val="single"/>
                <w:lang w:val="en-US" w:eastAsia="zh-CN"/>
              </w:rPr>
              <w:t xml:space="preserve">  30   </w:t>
            </w:r>
            <w:r>
              <w:rPr>
                <w:rFonts w:hint="eastAsia" w:asciiTheme="minorEastAsia" w:hAnsiTheme="minorEastAsia" w:eastAsiaTheme="minorEastAsia" w:cstheme="minorEastAsia"/>
                <w:kern w:val="2"/>
                <w:sz w:val="21"/>
                <w:szCs w:val="22"/>
                <w:highlight w:val="none"/>
              </w:rPr>
              <w:t>%</w:t>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［招标］根据《政府釆购货物和服务招标投标管理办法》（财政部87号令）的规 定，综合评分法货物项目的价格分值占总分值的比重不得低于30%。执行国家统 一定价标准和釆用固定价格釆购的项目，其价格不列为评审因素。</w:t>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［磋商］根据《政府釆购竞争性磋商釆购方式管理暂行办法》（财库</w:t>
            </w:r>
            <w:r>
              <w:rPr>
                <w:rFonts w:hint="eastAsia" w:asciiTheme="minorEastAsia" w:hAnsiTheme="minorEastAsia" w:eastAsiaTheme="minorEastAsia" w:cstheme="minorEastAsia"/>
                <w:kern w:val="2"/>
                <w:sz w:val="21"/>
                <w:szCs w:val="22"/>
                <w:lang w:val="en-US" w:eastAsia="en-US" w:bidi="en-US"/>
              </w:rPr>
              <w:t xml:space="preserve">［2014］ </w:t>
            </w:r>
            <w:r>
              <w:rPr>
                <w:rFonts w:hint="eastAsia" w:asciiTheme="minorEastAsia" w:hAnsiTheme="minorEastAsia" w:eastAsiaTheme="minorEastAsia" w:cstheme="minorEastAsia"/>
                <w:kern w:val="2"/>
                <w:sz w:val="21"/>
                <w:szCs w:val="22"/>
              </w:rPr>
              <w:t>214 号）的规定，货物项目的价格分值占总分值的比重（即权值）为30%。</w:t>
            </w:r>
          </w:p>
          <w:p>
            <w:pPr>
              <w:pStyle w:val="14"/>
              <w:keepNext w:val="0"/>
              <w:keepLines w:val="0"/>
              <w:suppressLineNumbers w:val="0"/>
              <w:spacing w:before="0" w:beforeAutospacing="0" w:after="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［其他釆购方式］无须设置。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2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10</w:t>
            </w:r>
          </w:p>
        </w:tc>
        <w:tc>
          <w:tcPr>
            <w:tcW w:w="155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合同类型</w:t>
            </w:r>
          </w:p>
        </w:tc>
        <w:tc>
          <w:tcPr>
            <w:tcW w:w="6429" w:type="dxa"/>
            <w:vAlign w:val="bottom"/>
          </w:tcPr>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√总价</w:t>
            </w:r>
          </w:p>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固定单价（适用于釆购数量不定的情形）</w:t>
            </w:r>
          </w:p>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4"/>
              <w:keepNext w:val="0"/>
              <w:keepLines w:val="0"/>
              <w:suppressLineNumbers w:val="0"/>
              <w:spacing w:before="0" w:beforeAutospacing="0" w:after="0" w:afterAutospacing="0" w:line="360" w:lineRule="auto"/>
              <w:ind w:left="0" w:right="0" w:firstLine="22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11</w:t>
            </w:r>
          </w:p>
        </w:tc>
        <w:tc>
          <w:tcPr>
            <w:tcW w:w="155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争议解决途径</w:t>
            </w:r>
          </w:p>
        </w:tc>
        <w:tc>
          <w:tcPr>
            <w:tcW w:w="6429" w:type="dxa"/>
            <w:vAlign w:val="center"/>
          </w:tcPr>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rPr>
              <w:t>√</w:t>
            </w:r>
            <w:r>
              <w:rPr>
                <w:rFonts w:hint="eastAsia" w:asciiTheme="minorEastAsia" w:hAnsiTheme="minorEastAsia" w:eastAsiaTheme="minorEastAsia" w:cstheme="minorEastAsia"/>
                <w:kern w:val="2"/>
                <w:sz w:val="21"/>
                <w:szCs w:val="22"/>
                <w:lang w:val="zh-CN" w:eastAsia="zh-CN" w:bidi="zh-CN"/>
              </w:rPr>
              <w:t>向有</w:t>
            </w:r>
            <w:r>
              <w:rPr>
                <w:rFonts w:hint="eastAsia" w:asciiTheme="minorEastAsia" w:hAnsiTheme="minorEastAsia" w:eastAsiaTheme="minorEastAsia" w:cstheme="minorEastAsia"/>
                <w:kern w:val="2"/>
                <w:sz w:val="21"/>
                <w:szCs w:val="22"/>
              </w:rPr>
              <w:t>管辖权的人民法院提起诉讼</w:t>
            </w:r>
          </w:p>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cs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向西安仲裁委员会提请仲裁</w:t>
            </w:r>
          </w:p>
          <w:p>
            <w:pPr>
              <w:pStyle w:val="14"/>
              <w:keepNext w:val="0"/>
              <w:keepLines w:val="0"/>
              <w:suppressLineNumbers w:val="0"/>
              <w:spacing w:before="0" w:beforeAutospacing="0" w:after="80" w:afterAutospacing="0" w:line="360" w:lineRule="auto"/>
              <w:ind w:left="0" w:right="0" w:firstLine="0"/>
              <w:jc w:val="both"/>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lang w:val="en-US" w:eastAsia="zh-CN" w:bidi="en-US"/>
              </w:rPr>
              <w:t>○</w:t>
            </w:r>
            <w:r>
              <w:rPr>
                <w:rFonts w:hint="eastAsia" w:asciiTheme="minorEastAsia" w:hAnsiTheme="minorEastAsia" w:eastAsiaTheme="minorEastAsia" w:cstheme="minorEastAsia"/>
                <w:kern w:val="2"/>
                <w:sz w:val="21"/>
                <w:szCs w:val="22"/>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710" w:type="dxa"/>
            <w:vAlign w:val="center"/>
          </w:tcPr>
          <w:p>
            <w:pPr>
              <w:pStyle w:val="14"/>
              <w:keepNext w:val="0"/>
              <w:keepLines w:val="0"/>
              <w:suppressLineNumbers w:val="0"/>
              <w:spacing w:before="0" w:beforeAutospacing="0" w:after="0" w:afterAutospacing="0" w:line="360" w:lineRule="auto"/>
              <w:ind w:left="0" w:right="0" w:firstLine="22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12</w:t>
            </w:r>
          </w:p>
        </w:tc>
        <w:tc>
          <w:tcPr>
            <w:tcW w:w="1559" w:type="dxa"/>
            <w:vAlign w:val="center"/>
          </w:tcPr>
          <w:p>
            <w:pPr>
              <w:pStyle w:val="14"/>
              <w:keepNext w:val="0"/>
              <w:keepLines w:val="0"/>
              <w:suppressLineNumbers w:val="0"/>
              <w:spacing w:before="0" w:beforeAutospacing="0" w:after="0" w:afterAutospacing="0" w:line="360" w:lineRule="auto"/>
              <w:ind w:left="0" w:right="0" w:firstLine="0"/>
              <w:jc w:val="center"/>
              <w:rPr>
                <w:rFonts w:asciiTheme="minorEastAsia" w:hAnsiTheme="minorEastAsia" w:eastAsiaTheme="minorEastAsia"/>
                <w:kern w:val="2"/>
                <w:sz w:val="21"/>
                <w:szCs w:val="22"/>
              </w:rPr>
            </w:pPr>
            <w:r>
              <w:rPr>
                <w:rFonts w:hint="eastAsia" w:asciiTheme="minorEastAsia" w:hAnsiTheme="minorEastAsia" w:eastAsiaTheme="minorEastAsia" w:cstheme="minorEastAsia"/>
                <w:kern w:val="2"/>
                <w:sz w:val="21"/>
                <w:szCs w:val="22"/>
              </w:rPr>
              <w:t>联系方式</w:t>
            </w:r>
          </w:p>
        </w:tc>
        <w:tc>
          <w:tcPr>
            <w:tcW w:w="6429" w:type="dxa"/>
          </w:tcPr>
          <w:p>
            <w:pPr>
              <w:pStyle w:val="14"/>
              <w:keepNext w:val="0"/>
              <w:keepLines w:val="0"/>
              <w:suppressLineNumbers w:val="0"/>
              <w:spacing w:before="0" w:beforeAutospacing="0" w:after="80" w:afterAutospacing="0" w:line="360" w:lineRule="auto"/>
              <w:ind w:left="0" w:right="0" w:firstLine="0"/>
              <w:jc w:val="both"/>
              <w:rPr>
                <w:rFonts w:hint="default" w:asciiTheme="minorEastAsia" w:hAnsiTheme="minorEastAsia" w:eastAsiaTheme="minorEastAsia" w:cstheme="minorEastAsia"/>
                <w:kern w:val="2"/>
                <w:sz w:val="21"/>
                <w:szCs w:val="22"/>
                <w:lang w:val="en-US" w:eastAsia="zh-CN"/>
              </w:rPr>
            </w:pPr>
            <w:r>
              <w:rPr>
                <w:rFonts w:hint="eastAsia" w:asciiTheme="minorEastAsia" w:hAnsiTheme="minorEastAsia" w:eastAsiaTheme="minorEastAsia" w:cstheme="minorEastAsia"/>
                <w:kern w:val="2"/>
                <w:sz w:val="21"/>
                <w:szCs w:val="22"/>
                <w:lang w:val="en-US"/>
              </w:rPr>
              <w:t>项目对接人：</w:t>
            </w:r>
            <w:r>
              <w:rPr>
                <w:rFonts w:hint="eastAsia" w:asciiTheme="minorEastAsia" w:hAnsiTheme="minorEastAsia" w:eastAsiaTheme="minorEastAsia" w:cstheme="minorEastAsia"/>
                <w:kern w:val="2"/>
                <w:sz w:val="21"/>
                <w:szCs w:val="22"/>
                <w:lang w:val="en-US" w:eastAsia="zh-CN"/>
              </w:rPr>
              <w:t>王老师</w:t>
            </w:r>
          </w:p>
          <w:p>
            <w:pPr>
              <w:pStyle w:val="14"/>
              <w:keepNext w:val="0"/>
              <w:keepLines w:val="0"/>
              <w:suppressLineNumbers w:val="0"/>
              <w:spacing w:before="0" w:beforeAutospacing="0" w:after="80" w:afterAutospacing="0" w:line="360" w:lineRule="auto"/>
              <w:ind w:left="0" w:right="0" w:firstLine="0"/>
              <w:jc w:val="both"/>
              <w:rPr>
                <w:rFonts w:hint="eastAsia" w:asciiTheme="minorEastAsia" w:hAnsiTheme="minorEastAsia" w:eastAsiaTheme="minorEastAsia" w:cstheme="minorEastAsia"/>
                <w:kern w:val="2"/>
                <w:sz w:val="21"/>
                <w:szCs w:val="22"/>
                <w:lang w:val="en-US"/>
              </w:rPr>
            </w:pPr>
            <w:r>
              <w:rPr>
                <w:rFonts w:hint="eastAsia" w:asciiTheme="minorEastAsia" w:hAnsiTheme="minorEastAsia" w:eastAsiaTheme="minorEastAsia" w:cstheme="minorEastAsia"/>
                <w:kern w:val="2"/>
                <w:sz w:val="21"/>
                <w:szCs w:val="22"/>
                <w:lang w:val="en-US"/>
              </w:rPr>
              <w:t>联系电话：029-87884946</w:t>
            </w:r>
          </w:p>
          <w:p>
            <w:pPr>
              <w:pStyle w:val="14"/>
              <w:keepNext w:val="0"/>
              <w:keepLines w:val="0"/>
              <w:suppressLineNumbers w:val="0"/>
              <w:spacing w:before="0" w:beforeAutospacing="0" w:after="80" w:afterAutospacing="0" w:line="360" w:lineRule="auto"/>
              <w:ind w:left="0" w:right="0" w:firstLine="0"/>
              <w:jc w:val="both"/>
              <w:rPr>
                <w:rFonts w:hint="eastAsia" w:eastAsia="宋体" w:asciiTheme="minorEastAsia" w:hAnsiTheme="minorEastAsia"/>
                <w:kern w:val="2"/>
                <w:sz w:val="21"/>
                <w:szCs w:val="22"/>
                <w:lang w:val="en-US" w:eastAsia="zh-CN"/>
              </w:rPr>
            </w:pPr>
            <w:r>
              <w:rPr>
                <w:rFonts w:hint="eastAsia" w:asciiTheme="minorEastAsia" w:hAnsiTheme="minorEastAsia" w:eastAsiaTheme="minorEastAsia" w:cstheme="minorEastAsia"/>
                <w:kern w:val="2"/>
                <w:sz w:val="21"/>
                <w:szCs w:val="22"/>
                <w:lang w:val="en-US"/>
              </w:rPr>
              <w:t>电子邮箱：</w:t>
            </w:r>
            <w:r>
              <w:rPr>
                <w:rFonts w:hint="eastAsia" w:asciiTheme="minorEastAsia" w:hAnsiTheme="minorEastAsia" w:eastAsiaTheme="minorEastAsia" w:cstheme="minorEastAsia"/>
                <w:kern w:val="2"/>
                <w:sz w:val="21"/>
                <w:szCs w:val="22"/>
                <w:lang w:val="en-US" w:eastAsia="zh-CN"/>
              </w:rPr>
              <w:t>/</w:t>
            </w:r>
          </w:p>
        </w:tc>
      </w:tr>
    </w:tbl>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br w:type="page"/>
      </w:r>
    </w:p>
    <w:p>
      <w:pPr>
        <w:pStyle w:val="13"/>
        <w:spacing w:line="636" w:lineRule="exact"/>
        <w:ind w:firstLine="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需</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求</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框</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架</w:t>
      </w:r>
    </w:p>
    <w:p>
      <w:pPr>
        <w:pStyle w:val="13"/>
        <w:numPr>
          <w:ilvl w:val="0"/>
          <w:numId w:val="1"/>
        </w:numPr>
        <w:spacing w:line="360" w:lineRule="auto"/>
        <w:ind w:firstLine="24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项目概况</w:t>
      </w:r>
    </w:p>
    <w:p>
      <w:pPr>
        <w:pStyle w:val="13"/>
        <w:spacing w:line="360" w:lineRule="auto"/>
        <w:ind w:left="240" w:firstLine="0"/>
        <w:jc w:val="both"/>
        <w:rPr>
          <w:lang w:val="en-US" w:eastAsia="zh-CN"/>
        </w:rPr>
      </w:pPr>
      <w:r>
        <w:rPr>
          <w:rFonts w:hint="eastAsia" w:asciiTheme="minorEastAsia" w:hAnsiTheme="minorEastAsia" w:eastAsiaTheme="minorEastAsia" w:cstheme="minorEastAsia"/>
          <w:sz w:val="24"/>
          <w:szCs w:val="24"/>
          <w:lang w:val="en-US" w:eastAsia="zh-CN"/>
        </w:rPr>
        <w:t xml:space="preserve">   碑林区妇幼保健计划生育服务中心免费两癌筛查试剂购置项目</w:t>
      </w:r>
      <w:r>
        <w:rPr>
          <w:rFonts w:hint="eastAsia"/>
          <w:sz w:val="24"/>
          <w:lang w:val="en-US" w:eastAsia="zh-CN"/>
        </w:rPr>
        <w:t>等采购。</w:t>
      </w:r>
    </w:p>
    <w:p>
      <w:pPr>
        <w:pStyle w:val="13"/>
        <w:numPr>
          <w:ilvl w:val="0"/>
          <w:numId w:val="1"/>
        </w:numPr>
        <w:spacing w:line="360" w:lineRule="auto"/>
        <w:ind w:firstLine="240"/>
        <w:rPr>
          <w:rFonts w:hint="eastAsia" w:asciiTheme="minorEastAsia" w:hAnsiTheme="minorEastAsia" w:eastAsiaTheme="minorEastAsia" w:cstheme="minorEastAsia"/>
          <w:b/>
          <w:bCs/>
          <w:color w:val="000000"/>
          <w:sz w:val="24"/>
          <w:szCs w:val="24"/>
          <w:lang w:val="zh-TW" w:eastAsia="zh-TW" w:bidi="zh-TW"/>
        </w:rPr>
      </w:pPr>
      <w:r>
        <w:rPr>
          <w:rFonts w:hint="eastAsia" w:asciiTheme="minorEastAsia" w:hAnsiTheme="minorEastAsia" w:eastAsiaTheme="minorEastAsia" w:cstheme="minorEastAsia"/>
          <w:b/>
          <w:bCs/>
          <w:sz w:val="24"/>
          <w:szCs w:val="24"/>
        </w:rPr>
        <w:t>采购内容</w:t>
      </w:r>
    </w:p>
    <w:tbl>
      <w:tblPr>
        <w:tblStyle w:val="10"/>
        <w:tblW w:w="91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7"/>
        <w:gridCol w:w="2568"/>
        <w:gridCol w:w="5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序号</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名称</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试剂盒名称</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高危型人乳头瘤病毒核酸（分型）检测试剂盒（PCR-荧光探针法）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2</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NMPA注册证</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具有国家三类注册证书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3</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检测技术平台</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基于荧光定量PCR检测技术，适用于StratageneMx3000P荧光定量PCR仪、SLAN-96P全自动医用PCR分析系统、ABI 7500荧光定量PCR仪、Roche LightCycler 480荧光定量PCR仪、MA-6000等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4</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检测样本类型</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宫颈脱落细胞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5</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样本体积</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5UL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6</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微软雅黑" w:hAnsi="微软雅黑" w:eastAsia="微软雅黑" w:cs="微软雅黑"/>
                <w:color w:val="000000"/>
                <w:kern w:val="2"/>
                <w:sz w:val="24"/>
                <w:szCs w:val="24"/>
                <w:lang w:val="en-US" w:eastAsia="zh-CN" w:bidi="zh-TW"/>
              </w:rPr>
              <w:t>★</w:t>
            </w:r>
            <w:r>
              <w:rPr>
                <w:rFonts w:hint="eastAsia" w:asciiTheme="minorEastAsia" w:hAnsiTheme="minorEastAsia" w:eastAsiaTheme="minorEastAsia" w:cstheme="minorEastAsia"/>
                <w:color w:val="000000"/>
                <w:kern w:val="2"/>
                <w:sz w:val="24"/>
                <w:szCs w:val="24"/>
                <w:lang w:val="en-US" w:eastAsia="zh-CN" w:bidi="zh-TW"/>
              </w:rPr>
              <w:t>核酸提取方法</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操作快速简单“一步法/快速核酸释放技术”提取技术，无需转移，直接扩增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7</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核酸提取温度</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常温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8</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96样本处理时间</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≦32min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9</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检测灵敏度/检测下限</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≦420copies/mL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10</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精密度CV</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11</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抗干扰能力</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血红蛋白（≤2g/L）、白细胞（≤1.0E+07cells/mL）、宫颈粘液（≤10%）、避孕胶（≤0.5%）、阴道灌洗液（≤0.5%）、抗真菌软膏（≤0.5%）、阴道润滑剂（≤10%）对检测结果没有影响。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12</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反应体系体积</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≦51 uL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13</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微软雅黑" w:hAnsi="微软雅黑" w:eastAsia="微软雅黑" w:cs="微软雅黑"/>
                <w:color w:val="000000"/>
                <w:kern w:val="2"/>
                <w:sz w:val="24"/>
                <w:szCs w:val="24"/>
                <w:lang w:val="en-US" w:eastAsia="zh-CN" w:bidi="zh-TW"/>
              </w:rPr>
              <w:t>★</w:t>
            </w:r>
            <w:r>
              <w:rPr>
                <w:rFonts w:hint="eastAsia" w:asciiTheme="minorEastAsia" w:hAnsiTheme="minorEastAsia" w:eastAsiaTheme="minorEastAsia" w:cstheme="minorEastAsia"/>
                <w:color w:val="000000"/>
                <w:kern w:val="2"/>
                <w:sz w:val="24"/>
                <w:szCs w:val="24"/>
                <w:lang w:val="en-US" w:eastAsia="zh-CN" w:bidi="zh-TW"/>
              </w:rPr>
              <w:t>防污染体系</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UNG酶+dUTP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14</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微软雅黑" w:hAnsi="微软雅黑" w:eastAsia="微软雅黑" w:cs="微软雅黑"/>
                <w:color w:val="000000"/>
                <w:kern w:val="2"/>
                <w:sz w:val="24"/>
                <w:szCs w:val="24"/>
                <w:lang w:val="en-US" w:eastAsia="zh-CN" w:bidi="zh-TW"/>
              </w:rPr>
              <w:t>★</w:t>
            </w:r>
            <w:r>
              <w:rPr>
                <w:rFonts w:hint="eastAsia" w:asciiTheme="minorEastAsia" w:hAnsiTheme="minorEastAsia" w:eastAsiaTheme="minorEastAsia" w:cstheme="minorEastAsia"/>
                <w:color w:val="000000"/>
                <w:kern w:val="2"/>
                <w:sz w:val="24"/>
                <w:szCs w:val="24"/>
                <w:lang w:val="en-US" w:eastAsia="zh-CN" w:bidi="zh-TW"/>
              </w:rPr>
              <w:t>是否有内标</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有全程参与核酸提取和扩增的内标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15</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是否有内参比荧光ROX</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有校正加样误差和管间差异的内参比荧光ROX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16</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扩增时间</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≤75min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17</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自动化</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可实现全自动化提取操作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18</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保质期</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19</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包装规格（参考）</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24人份/盒、48人份/盒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20</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微软雅黑" w:hAnsi="微软雅黑" w:eastAsia="微软雅黑" w:cs="微软雅黑"/>
                <w:color w:val="000000"/>
                <w:kern w:val="2"/>
                <w:sz w:val="24"/>
                <w:szCs w:val="24"/>
                <w:lang w:val="en-US" w:eastAsia="zh-CN" w:bidi="zh-TW"/>
              </w:rPr>
              <w:t>★</w:t>
            </w:r>
            <w:r>
              <w:rPr>
                <w:rFonts w:hint="eastAsia" w:asciiTheme="minorEastAsia" w:hAnsiTheme="minorEastAsia" w:eastAsiaTheme="minorEastAsia" w:cstheme="minorEastAsia"/>
                <w:color w:val="000000"/>
                <w:kern w:val="2"/>
                <w:sz w:val="24"/>
                <w:szCs w:val="24"/>
                <w:lang w:val="en-US" w:eastAsia="zh-CN" w:bidi="zh-TW"/>
              </w:rPr>
              <w:t>预期用途</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用于体外定性检测女性宫颈脱落上皮细胞样本中的高危型人乳头瘤病毒（HPV）16型、18型、31型、33型、35型、39型、45型、51型、52型、53型、56型、58型、59型、66型、68型这15种型别的核酸DNA，并鉴别基因型。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21</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检验原理</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采用核酸释放剂快速裂解、释放样本中的人乳头瘤病毒DNA，采用人乳头瘤病毒15种型别的特异性引物及荧光探针，应用聚合酶链式反应（PCR）结合Taqman技术，分成4个反应管分别对人乳头瘤病毒15种型的特异性DNA片段进行分型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22</w:t>
            </w:r>
          </w:p>
        </w:tc>
        <w:tc>
          <w:tcPr>
            <w:tcW w:w="2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其他</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Theme="minorEastAsia" w:hAnsiTheme="minorEastAsia" w:eastAsiaTheme="minorEastAsia" w:cstheme="minorEastAsia"/>
                <w:color w:val="000000"/>
                <w:kern w:val="2"/>
                <w:sz w:val="24"/>
                <w:szCs w:val="24"/>
                <w:lang w:val="zh-TW" w:eastAsia="zh-TW" w:bidi="zh-TW"/>
              </w:rPr>
            </w:pPr>
            <w:r>
              <w:rPr>
                <w:rFonts w:hint="eastAsia" w:asciiTheme="minorEastAsia" w:hAnsiTheme="minorEastAsia" w:eastAsiaTheme="minorEastAsia" w:cstheme="minorEastAsia"/>
                <w:color w:val="000000"/>
                <w:kern w:val="2"/>
                <w:sz w:val="24"/>
                <w:szCs w:val="24"/>
                <w:lang w:val="en-US" w:eastAsia="zh-CN" w:bidi="zh-TW"/>
              </w:rPr>
              <w:t>可提供兼容细胞学与HPV检测的细胞保存液及采样拭子。</w:t>
            </w:r>
          </w:p>
        </w:tc>
      </w:tr>
    </w:tbl>
    <w:p>
      <w:pPr>
        <w:widowControl/>
        <w:spacing w:line="360" w:lineRule="auto"/>
        <w:jc w:val="center"/>
        <w:textAlignment w:val="center"/>
        <w:rPr>
          <w:rFonts w:hint="eastAsia" w:asciiTheme="minorEastAsia" w:hAnsiTheme="minorEastAsia" w:eastAsiaTheme="minorEastAsia" w:cstheme="minorEastAsia"/>
          <w:color w:val="000000"/>
          <w:sz w:val="24"/>
          <w:szCs w:val="24"/>
          <w:highlight w:val="yellow"/>
          <w:lang w:val="zh-TW" w:eastAsia="zh-TW" w:bidi="zh-TW"/>
        </w:rPr>
      </w:pPr>
    </w:p>
    <w:p>
      <w:pPr>
        <w:pStyle w:val="15"/>
        <w:spacing w:line="360" w:lineRule="auto"/>
        <w:ind w:firstLine="120" w:firstLineChars="5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三、技术要求</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（1）投标货物（产品）的品牌、型号、配置；</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（2）详细的技术指标和参数；</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（3）技术方案、项目实施方案；</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（4）技术要求偏离表；</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（5）产品彩页资料；</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（6）产品工作环境条件；</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（7）产品验收标准和验收方法；</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（8）产品验收清单（注明各部件的品名、数量、价格、规格型号和原产地或生产厂家）；</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（9）投标人认为需要提供的文件和资料。</w:t>
      </w:r>
    </w:p>
    <w:p>
      <w:pPr>
        <w:pStyle w:val="13"/>
        <w:tabs>
          <w:tab w:val="left" w:pos="1645"/>
        </w:tabs>
        <w:spacing w:line="360" w:lineRule="auto"/>
        <w:ind w:firstLine="241" w:firstLineChars="100"/>
        <w:rPr>
          <w:rFonts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lang w:eastAsia="zh-CN"/>
        </w:rPr>
        <w:t>四、服务要求</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供应商签订合同后，根据采购人的采购需求，在交货时间内在指定地点交接所提供的货物。并积极提供售后服务，包括以下内容：</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（1）产品制造厂家或投标人设立的售后服务机构网点清单、服务电话和维修人员名单（加盖公章）；</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（2）说明投标产品的保修时间、保修期内的保修内容与范围、维修响应时间等。分别提供产品制造厂家和投标人的服务承诺和保障措施；</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（3）培训措施：说明培训内容及培训的时间、地点、目标、培训人数、收费标准和办法。</w:t>
      </w:r>
    </w:p>
    <w:p>
      <w:pPr>
        <w:pStyle w:val="13"/>
        <w:spacing w:line="360" w:lineRule="auto"/>
        <w:ind w:firstLine="24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五、商务要求</w:t>
      </w:r>
    </w:p>
    <w:p>
      <w:pPr>
        <w:pStyle w:val="13"/>
        <w:spacing w:line="360" w:lineRule="auto"/>
        <w:ind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交货期：从签订合同之日起至2023年12月31日</w:t>
      </w:r>
    </w:p>
    <w:p>
      <w:pPr>
        <w:pStyle w:val="13"/>
        <w:spacing w:line="360" w:lineRule="auto"/>
        <w:ind w:left="0" w:leftChars="0" w:firstLine="480" w:firstLineChars="200"/>
        <w:rPr>
          <w:rFonts w:hint="eastAsia" w:ascii="宋体" w:hAnsi="宋体"/>
          <w:bCs/>
          <w:sz w:val="24"/>
          <w:szCs w:val="24"/>
          <w:highlight w:val="none"/>
          <w:lang w:val="en-US"/>
        </w:rPr>
      </w:pPr>
      <w:r>
        <w:rPr>
          <w:rFonts w:hint="eastAsia" w:ascii="宋体" w:hAnsi="宋体" w:eastAsia="宋体"/>
          <w:bCs/>
          <w:sz w:val="24"/>
          <w:szCs w:val="24"/>
          <w:highlight w:val="none"/>
          <w:lang w:eastAsia="zh-CN"/>
        </w:rPr>
        <w:t>2</w:t>
      </w:r>
      <w:r>
        <w:rPr>
          <w:rFonts w:hint="eastAsia" w:ascii="宋体" w:hAnsi="宋体"/>
          <w:bCs/>
          <w:sz w:val="24"/>
          <w:szCs w:val="24"/>
          <w:highlight w:val="none"/>
        </w:rPr>
        <w:t>、</w:t>
      </w:r>
      <w:r>
        <w:rPr>
          <w:rFonts w:hint="eastAsia" w:ascii="宋体" w:hAnsi="宋体"/>
          <w:bCs/>
          <w:sz w:val="24"/>
          <w:szCs w:val="24"/>
          <w:highlight w:val="none"/>
          <w:lang w:val="en-US" w:eastAsia="zh-CN"/>
        </w:rPr>
        <w:t>根据各中标供应商所供试剂的实际数量据实结算。</w:t>
      </w:r>
    </w:p>
    <w:p>
      <w:pPr>
        <w:pStyle w:val="13"/>
        <w:spacing w:line="360" w:lineRule="auto"/>
        <w:ind w:left="0" w:leftChars="0" w:firstLine="241" w:firstLineChars="1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六、其他</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（一）质量验收标准或规范</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质量要求：达到国家现行质量验收规范合格标准。</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二</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质保期：一年</w:t>
      </w:r>
    </w:p>
    <w:p>
      <w:pPr>
        <w:pStyle w:val="13"/>
        <w:tabs>
          <w:tab w:val="left" w:pos="1645"/>
        </w:tabs>
        <w:spacing w:line="360" w:lineRule="auto"/>
        <w:ind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三</w:t>
      </w:r>
      <w:r>
        <w:rPr>
          <w:rFonts w:hint="eastAsia" w:asciiTheme="minorEastAsia" w:hAnsiTheme="minorEastAsia" w:eastAsiaTheme="minorEastAsia" w:cstheme="minorEastAsia"/>
          <w:sz w:val="24"/>
          <w:szCs w:val="24"/>
          <w:highlight w:val="none"/>
          <w:lang w:eastAsia="zh-CN"/>
        </w:rPr>
        <w:t>）违约责任</w:t>
      </w:r>
    </w:p>
    <w:p>
      <w:pPr>
        <w:pStyle w:val="13"/>
        <w:tabs>
          <w:tab w:val="left" w:pos="1645"/>
        </w:tabs>
        <w:spacing w:line="360" w:lineRule="auto"/>
        <w:ind w:firstLine="480" w:firstLineChars="200"/>
        <w:rPr>
          <w:rFonts w:asciiTheme="minorEastAsia" w:hAnsiTheme="minorEastAsia" w:cstheme="minorEastAsia"/>
          <w:sz w:val="24"/>
          <w:highlight w:val="none"/>
          <w:lang w:val="en-US"/>
        </w:rPr>
      </w:pPr>
      <w:r>
        <w:rPr>
          <w:rFonts w:hint="eastAsia" w:asciiTheme="minorEastAsia" w:hAnsiTheme="minorEastAsia" w:cstheme="minorEastAsia"/>
          <w:sz w:val="24"/>
          <w:highlight w:val="none"/>
          <w:lang w:val="en-US"/>
        </w:rPr>
        <w:t>1、甲乙双方必须遵守本合同并执行合同中的各项规定，保证本合同的正常履行。</w:t>
      </w:r>
    </w:p>
    <w:p>
      <w:pPr>
        <w:pStyle w:val="13"/>
        <w:tabs>
          <w:tab w:val="left" w:pos="1645"/>
        </w:tabs>
        <w:spacing w:line="360" w:lineRule="auto"/>
        <w:ind w:firstLine="480" w:firstLineChars="200"/>
        <w:rPr>
          <w:rFonts w:asciiTheme="minorEastAsia" w:hAnsiTheme="minorEastAsia" w:cstheme="minorEastAsia"/>
          <w:sz w:val="24"/>
          <w:highlight w:val="none"/>
          <w:lang w:val="en-US"/>
        </w:rPr>
      </w:pPr>
      <w:r>
        <w:rPr>
          <w:rFonts w:hint="eastAsia" w:asciiTheme="minorEastAsia" w:hAnsiTheme="minorEastAsia" w:cstheme="minorEastAsia"/>
          <w:sz w:val="24"/>
          <w:highlight w:val="none"/>
          <w:lang w:val="en-US"/>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pPr>
    </w:p>
    <w:p>
      <w:pPr>
        <w:pStyle w:val="9"/>
      </w:pPr>
    </w:p>
    <w:p>
      <w:pPr>
        <w:pStyle w:val="9"/>
      </w:pPr>
    </w:p>
    <w:p>
      <w:pPr>
        <w:pStyle w:val="9"/>
        <w:jc w:val="right"/>
        <w:rPr>
          <w:rFonts w:hint="eastAsia" w:ascii="宋体" w:hAnsi="宋体" w:eastAsia="宋体" w:cs="宋体"/>
          <w:color w:val="333333"/>
          <w:kern w:val="2"/>
          <w:sz w:val="28"/>
          <w:szCs w:val="28"/>
          <w:lang w:val="en-US" w:eastAsia="zh-CN" w:bidi="ar"/>
        </w:rPr>
      </w:pPr>
      <w:r>
        <w:rPr>
          <w:rFonts w:hint="eastAsia" w:eastAsia="宋体"/>
          <w:lang w:val="en-US" w:eastAsia="zh-CN"/>
        </w:rPr>
        <w:t xml:space="preserve"> </w:t>
      </w:r>
      <w:r>
        <w:rPr>
          <w:rFonts w:hint="eastAsia" w:eastAsia="宋体"/>
          <w:sz w:val="28"/>
          <w:szCs w:val="28"/>
          <w:lang w:val="en-US" w:eastAsia="zh-CN"/>
        </w:rPr>
        <w:t xml:space="preserve">  </w:t>
      </w:r>
      <w:r>
        <w:rPr>
          <w:rFonts w:hint="eastAsia" w:ascii="宋体" w:hAnsi="宋体" w:eastAsia="宋体" w:cs="宋体"/>
          <w:color w:val="333333"/>
          <w:kern w:val="2"/>
          <w:sz w:val="28"/>
          <w:szCs w:val="28"/>
          <w:lang w:val="en-US" w:eastAsia="zh-CN" w:bidi="ar"/>
        </w:rPr>
        <w:t>西安市碑林区妇幼保健计划生育服务中心</w:t>
      </w:r>
    </w:p>
    <w:p>
      <w:pPr>
        <w:pStyle w:val="9"/>
        <w:jc w:val="right"/>
        <w:rPr>
          <w:rFonts w:hint="default" w:ascii="宋体" w:hAnsi="宋体" w:eastAsia="宋体" w:cs="宋体"/>
          <w:color w:val="333333"/>
          <w:kern w:val="2"/>
          <w:sz w:val="28"/>
          <w:szCs w:val="28"/>
          <w:lang w:val="en-US" w:eastAsia="zh-CN" w:bidi="ar"/>
        </w:rPr>
      </w:pPr>
      <w:r>
        <w:rPr>
          <w:rFonts w:hint="eastAsia" w:ascii="宋体" w:hAnsi="宋体" w:eastAsia="宋体" w:cs="宋体"/>
          <w:color w:val="333333"/>
          <w:kern w:val="2"/>
          <w:sz w:val="28"/>
          <w:szCs w:val="28"/>
          <w:lang w:val="en-US" w:eastAsia="zh-CN" w:bidi="ar"/>
        </w:rPr>
        <w:t>2023年6月1日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F677"/>
    <w:multiLevelType w:val="singleLevel"/>
    <w:tmpl w:val="45C0F6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Dk2NTllNDIyOTNkOGIzNjdhMzQ2OGJmMWM4MjcifQ=="/>
  </w:docVars>
  <w:rsids>
    <w:rsidRoot w:val="4481646D"/>
    <w:rsid w:val="00007D91"/>
    <w:rsid w:val="00134E6D"/>
    <w:rsid w:val="0016743D"/>
    <w:rsid w:val="0017333B"/>
    <w:rsid w:val="001F30A4"/>
    <w:rsid w:val="001F3338"/>
    <w:rsid w:val="002E7F2A"/>
    <w:rsid w:val="00306D25"/>
    <w:rsid w:val="005B044A"/>
    <w:rsid w:val="005E6E68"/>
    <w:rsid w:val="006E0624"/>
    <w:rsid w:val="007114BF"/>
    <w:rsid w:val="008A77F8"/>
    <w:rsid w:val="008D7288"/>
    <w:rsid w:val="00902049"/>
    <w:rsid w:val="009A59C1"/>
    <w:rsid w:val="009F52EA"/>
    <w:rsid w:val="00B37D57"/>
    <w:rsid w:val="00F63D8D"/>
    <w:rsid w:val="065B7390"/>
    <w:rsid w:val="07F910B5"/>
    <w:rsid w:val="0A6F4770"/>
    <w:rsid w:val="0B3C7C36"/>
    <w:rsid w:val="0C544F46"/>
    <w:rsid w:val="10294501"/>
    <w:rsid w:val="10A2678D"/>
    <w:rsid w:val="19573E8D"/>
    <w:rsid w:val="19ED47E1"/>
    <w:rsid w:val="1BCC1BF3"/>
    <w:rsid w:val="1C253AFF"/>
    <w:rsid w:val="1E036392"/>
    <w:rsid w:val="231733B8"/>
    <w:rsid w:val="23C2588F"/>
    <w:rsid w:val="25286D7B"/>
    <w:rsid w:val="2C027C88"/>
    <w:rsid w:val="2CEF7369"/>
    <w:rsid w:val="2F38421D"/>
    <w:rsid w:val="38877E93"/>
    <w:rsid w:val="3EA17ADE"/>
    <w:rsid w:val="40A47108"/>
    <w:rsid w:val="40B74FA1"/>
    <w:rsid w:val="43E6432D"/>
    <w:rsid w:val="445F0F8D"/>
    <w:rsid w:val="4481646D"/>
    <w:rsid w:val="45CC3389"/>
    <w:rsid w:val="489E1A9B"/>
    <w:rsid w:val="489F5D8C"/>
    <w:rsid w:val="49284D7B"/>
    <w:rsid w:val="4A6A13C3"/>
    <w:rsid w:val="4ABB531C"/>
    <w:rsid w:val="50343001"/>
    <w:rsid w:val="528F19C6"/>
    <w:rsid w:val="52CE3A5A"/>
    <w:rsid w:val="531458FF"/>
    <w:rsid w:val="572B714D"/>
    <w:rsid w:val="580D410C"/>
    <w:rsid w:val="58DC348C"/>
    <w:rsid w:val="5B644AC2"/>
    <w:rsid w:val="5CC824B9"/>
    <w:rsid w:val="5DB944DA"/>
    <w:rsid w:val="5F977236"/>
    <w:rsid w:val="62862300"/>
    <w:rsid w:val="63B374DF"/>
    <w:rsid w:val="641066DF"/>
    <w:rsid w:val="659A6BA8"/>
    <w:rsid w:val="6C477830"/>
    <w:rsid w:val="6E4C4AC9"/>
    <w:rsid w:val="71AD65AB"/>
    <w:rsid w:val="73BF0C20"/>
    <w:rsid w:val="7614241F"/>
    <w:rsid w:val="762B1157"/>
    <w:rsid w:val="79C45B4A"/>
    <w:rsid w:val="7A3F1D95"/>
    <w:rsid w:val="7EA4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2">
    <w:name w:val="Default Paragraph Font"/>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adjustRightInd w:val="0"/>
      <w:spacing w:after="0"/>
      <w:ind w:firstLine="420"/>
      <w:textAlignment w:val="baseline"/>
    </w:pPr>
  </w:style>
  <w:style w:type="paragraph" w:styleId="3">
    <w:name w:val="Body Text"/>
    <w:basedOn w:val="1"/>
    <w:next w:val="1"/>
    <w:qFormat/>
    <w:uiPriority w:val="99"/>
    <w:pPr>
      <w:spacing w:after="120"/>
    </w:pPr>
  </w:style>
  <w:style w:type="paragraph" w:styleId="4">
    <w:name w:val="Body Text Indent"/>
    <w:basedOn w:val="1"/>
    <w:next w:val="5"/>
    <w:link w:val="22"/>
    <w:qFormat/>
    <w:uiPriority w:val="0"/>
    <w:pPr>
      <w:spacing w:after="120"/>
      <w:ind w:left="420" w:leftChars="200"/>
    </w:pPr>
  </w:style>
  <w:style w:type="paragraph" w:customStyle="1" w:styleId="5">
    <w:name w:val="正文 A"/>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footer"/>
    <w:basedOn w:val="1"/>
    <w:link w:val="21"/>
    <w:qFormat/>
    <w:uiPriority w:val="0"/>
    <w:pPr>
      <w:tabs>
        <w:tab w:val="center" w:pos="4153"/>
        <w:tab w:val="right" w:pos="8306"/>
      </w:tabs>
      <w:snapToGrid w:val="0"/>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1"/>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4"/>
    <w:link w:val="23"/>
    <w:qFormat/>
    <w:uiPriority w:val="99"/>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Body text|1"/>
    <w:basedOn w:val="1"/>
    <w:qFormat/>
    <w:uiPriority w:val="0"/>
    <w:pPr>
      <w:spacing w:line="396" w:lineRule="auto"/>
      <w:ind w:firstLine="400"/>
    </w:pPr>
    <w:rPr>
      <w:rFonts w:ascii="宋体" w:hAnsi="宋体" w:eastAsia="宋体" w:cs="宋体"/>
      <w:sz w:val="30"/>
      <w:szCs w:val="30"/>
      <w:lang w:val="zh-TW" w:eastAsia="zh-TW" w:bidi="zh-TW"/>
    </w:rPr>
  </w:style>
  <w:style w:type="paragraph" w:customStyle="1" w:styleId="14">
    <w:name w:val="Other|1"/>
    <w:basedOn w:val="1"/>
    <w:qFormat/>
    <w:uiPriority w:val="0"/>
    <w:pPr>
      <w:spacing w:line="396" w:lineRule="auto"/>
      <w:ind w:firstLine="400"/>
    </w:pPr>
    <w:rPr>
      <w:rFonts w:ascii="宋体" w:hAnsi="宋体" w:eastAsia="宋体" w:cs="宋体"/>
      <w:sz w:val="30"/>
      <w:szCs w:val="30"/>
      <w:lang w:val="zh-TW" w:eastAsia="zh-TW" w:bidi="zh-TW"/>
    </w:rPr>
  </w:style>
  <w:style w:type="paragraph" w:customStyle="1" w:styleId="15">
    <w:name w:val="Table caption|1"/>
    <w:basedOn w:val="1"/>
    <w:qFormat/>
    <w:uiPriority w:val="0"/>
    <w:pPr>
      <w:spacing w:line="624" w:lineRule="exact"/>
      <w:ind w:firstLine="640"/>
    </w:pPr>
    <w:rPr>
      <w:rFonts w:ascii="宋体" w:hAnsi="宋体" w:eastAsia="宋体" w:cs="宋体"/>
      <w:sz w:val="30"/>
      <w:szCs w:val="30"/>
      <w:lang w:val="zh-TW" w:eastAsia="zh-TW" w:bidi="zh-TW"/>
    </w:rPr>
  </w:style>
  <w:style w:type="paragraph" w:styleId="16">
    <w:name w:val="List Paragraph"/>
    <w:basedOn w:val="1"/>
    <w:qFormat/>
    <w:uiPriority w:val="0"/>
    <w:pPr>
      <w:ind w:firstLine="420" w:firstLineChars="200"/>
    </w:pPr>
    <w:rPr>
      <w:rFonts w:ascii="Calibri" w:hAnsi="Calibri"/>
      <w:szCs w:val="22"/>
    </w:rPr>
  </w:style>
  <w:style w:type="character" w:customStyle="1" w:styleId="17">
    <w:name w:val="font71"/>
    <w:basedOn w:val="12"/>
    <w:qFormat/>
    <w:uiPriority w:val="0"/>
    <w:rPr>
      <w:rFonts w:hint="eastAsia" w:ascii="宋体" w:hAnsi="宋体" w:eastAsia="宋体" w:cs="宋体"/>
      <w:color w:val="000000"/>
      <w:sz w:val="24"/>
      <w:szCs w:val="24"/>
      <w:u w:val="none"/>
    </w:rPr>
  </w:style>
  <w:style w:type="character" w:customStyle="1" w:styleId="18">
    <w:name w:val="font101"/>
    <w:basedOn w:val="12"/>
    <w:qFormat/>
    <w:uiPriority w:val="0"/>
    <w:rPr>
      <w:rFonts w:hint="default" w:ascii="Times New Roman" w:hAnsi="Times New Roman" w:cs="Times New Roman"/>
      <w:color w:val="000000"/>
      <w:sz w:val="24"/>
      <w:szCs w:val="24"/>
      <w:u w:val="none"/>
    </w:rPr>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0">
    <w:name w:val="页眉 Char"/>
    <w:basedOn w:val="12"/>
    <w:link w:val="7"/>
    <w:qFormat/>
    <w:uiPriority w:val="0"/>
    <w:rPr>
      <w:rFonts w:ascii="Times New Roman" w:hAnsi="Times New Roman" w:eastAsia="Times New Roman" w:cs="Times New Roman"/>
      <w:color w:val="000000"/>
      <w:sz w:val="18"/>
      <w:szCs w:val="18"/>
      <w:lang w:eastAsia="en-US" w:bidi="en-US"/>
    </w:rPr>
  </w:style>
  <w:style w:type="character" w:customStyle="1" w:styleId="21">
    <w:name w:val="页脚 Char"/>
    <w:basedOn w:val="12"/>
    <w:link w:val="6"/>
    <w:qFormat/>
    <w:uiPriority w:val="0"/>
    <w:rPr>
      <w:rFonts w:ascii="Times New Roman" w:hAnsi="Times New Roman" w:eastAsia="Times New Roman" w:cs="Times New Roman"/>
      <w:color w:val="000000"/>
      <w:sz w:val="18"/>
      <w:szCs w:val="18"/>
      <w:lang w:eastAsia="en-US" w:bidi="en-US"/>
    </w:rPr>
  </w:style>
  <w:style w:type="character" w:customStyle="1" w:styleId="22">
    <w:name w:val="正文文本缩进 Char"/>
    <w:basedOn w:val="12"/>
    <w:link w:val="4"/>
    <w:qFormat/>
    <w:uiPriority w:val="0"/>
    <w:rPr>
      <w:kern w:val="2"/>
      <w:sz w:val="21"/>
      <w:szCs w:val="24"/>
    </w:rPr>
  </w:style>
  <w:style w:type="character" w:customStyle="1" w:styleId="23">
    <w:name w:val="正文首行缩进 2 Char"/>
    <w:basedOn w:val="22"/>
    <w:link w:val="9"/>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3447</Words>
  <Characters>3901</Characters>
  <Lines>57</Lines>
  <Paragraphs>16</Paragraphs>
  <TotalTime>3</TotalTime>
  <ScaleCrop>false</ScaleCrop>
  <LinksUpToDate>false</LinksUpToDate>
  <CharactersWithSpaces>3940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2021-10-20T01:19:00Z</dcterms:created>
  <dc:creator>Administrator</dc:creator>
  <cp:lastModifiedBy>vous</cp:lastModifiedBy>
  <dcterms:modified xsi:type="dcterms:W3CDTF">2023-06-16T08:12:01Z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D8FCF385380F41698BD5BDA10C7F4FC4_13</vt:lpwstr>
  </property>
</Properties>
</file>