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一、工程概况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1、工程名称：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西安市新城区朝阳幼儿园教学楼外立面改造及新建学生接送室项目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2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2、工程地点：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西安市新城区朝阳幼儿园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2" w:firstLineChars="200"/>
        <w:jc w:val="left"/>
        <w:textAlignment w:val="auto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3、工程内容：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本项目位于西安市新城区朝阳幼儿园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主要建设内容包含教学楼外立面改造及新建学生接送室等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（具体建设内容详见本项目工程量清单及施工图纸）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二、编制依据：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  <w:t>1、《陕西省建设工程工程量清单计价规则》（2009）；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  <w:t>2、《陕西省建筑工程、安装工程、装饰工程、市政工程、园林绿化工程消耗量定额》（2004）、（陕西省价目表2009）、《陕西省建设工程工程量清单计价费率》及其配套计价文件；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  <w:t>3、施工设计图、招标文件、工程量清单及答疑纪要；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  <w:t>4、与建设工程项目有关的标准、规范、技术资料；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  <w:t>5、现场情况及常规的施工组织及方案；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  <w:t>6、本工程扬尘治理专项措施费执行陕建发【2017】270号文件、计价程序及税金执行陕建发【2019】45号文件、建筑工人实名制管理费执行陕建发【2019】1246号文件、安全生产责任保险执行陕建发【2020】1097号、建筑业劳保费用停止统一收缴按陕建发【2021】1021号文件、人工费执行陕建发【2021】1097号文，其他规费按现行《计价规则》及配套计价文件计取；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  <w:t>8、主要材料价格依据《陕西工程造价信息》2023第4期信息价及市场价；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  <w:t>9、工程量清单计价软件使用“广联达云计价平台GCCP6.0-6.4000.23.118”</w:t>
      </w:r>
      <w:r>
        <w:rPr>
          <w:rFonts w:hint="eastAsia" w:ascii="宋体" w:hAnsi="宋体" w:cs="宋体"/>
          <w:b w:val="0"/>
          <w:bCs w:val="0"/>
          <w:kern w:val="0"/>
          <w:sz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highlight w:val="none"/>
          <w:lang w:val="en-US" w:eastAsia="zh-CN"/>
        </w:rPr>
        <w:t>10、本项目招标预算含暂列金额：200000。00元。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三、施工计划：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 xml:space="preserve">施工顺序由施工单位确定，施工过程中应及时清理建筑垃圾。                 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yellow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四、工期要求：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施工合同签订之日起30日历天内完成。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五、工程质量要求：</w:t>
      </w:r>
      <w:r>
        <w:rPr>
          <w:rFonts w:hint="eastAsia" w:ascii="宋体" w:hAnsi="宋体" w:eastAsia="宋体" w:cs="仿宋_GB2312"/>
          <w:color w:val="auto"/>
          <w:kern w:val="0"/>
          <w:sz w:val="24"/>
          <w:highlight w:val="none"/>
        </w:rPr>
        <w:t>按国家有关验收规范和验评标准，工程质量达到合格标准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六、施工要求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479" w:leftChars="228" w:right="-195" w:rightChars="-93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1.严格执行国家现行规范及标准，严格按照设计要求组织施工。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479" w:leftChars="228" w:right="-195" w:rightChars="-93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2.严格岗位责任，明确职责，齐心协力做好工作，确保工程按计划进行。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3.加强管理，确保施工过程中的安全。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/>
        <w:jc w:val="left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七、工程量清单：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另附电子版。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/>
        <w:jc w:val="left"/>
        <w:textAlignment w:val="auto"/>
        <w:rPr>
          <w:rFonts w:hint="default"/>
          <w:b/>
          <w:bCs/>
          <w:lang w:val="en-US" w:eastAsia="zh-CN"/>
        </w:rPr>
        <w:sectPr>
          <w:pgSz w:w="11906" w:h="16838"/>
          <w:pgMar w:top="1418" w:right="1418" w:bottom="1418" w:left="1418" w:header="851" w:footer="992" w:gutter="0"/>
          <w:pgNumType w:fmt="decimal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八、图纸：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另附电子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版。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OWNhZDQ2YmY4NWJlZjI3NTVmYmRiZmZjMzgxZTMifQ=="/>
  </w:docVars>
  <w:rsids>
    <w:rsidRoot w:val="00000000"/>
    <w:rsid w:val="3D69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  <w:style w:type="paragraph" w:styleId="3">
    <w:name w:val="Body Text Indent"/>
    <w:basedOn w:val="1"/>
    <w:qFormat/>
    <w:uiPriority w:val="0"/>
    <w:pPr>
      <w:ind w:firstLine="480"/>
    </w:pPr>
    <w:rPr>
      <w:rFonts w:ascii="宋体" w:hAnsi="宋体"/>
    </w:rPr>
  </w:style>
  <w:style w:type="paragraph" w:styleId="4">
    <w:name w:val="Body Text First Indent"/>
    <w:basedOn w:val="2"/>
    <w:next w:val="5"/>
    <w:unhideWhenUsed/>
    <w:qFormat/>
    <w:uiPriority w:val="0"/>
    <w:pPr>
      <w:spacing w:line="240" w:lineRule="auto"/>
      <w:ind w:firstLine="420" w:firstLineChars="100"/>
    </w:pPr>
    <w:rPr>
      <w:rFonts w:ascii="Times New Roman" w:hAnsi="Times New Roman"/>
      <w:sz w:val="18"/>
      <w:szCs w:val="18"/>
    </w:rPr>
  </w:style>
  <w:style w:type="paragraph" w:styleId="5">
    <w:name w:val="Body Text First Indent 2"/>
    <w:basedOn w:val="3"/>
    <w:next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490</Characters>
  <Lines>0</Lines>
  <Paragraphs>0</Paragraphs>
  <TotalTime>2</TotalTime>
  <ScaleCrop>false</ScaleCrop>
  <LinksUpToDate>false</LinksUpToDate>
  <CharactersWithSpaces>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2023-06-01T12:08:18Z</dcterms:created>
  <dc:creator>赵磊</dc:creator>
  <cp:lastModifiedBy>赵磊</cp:lastModifiedBy>
  <dcterms:modified xsi:type="dcterms:W3CDTF">2023-06-01T12:10:49Z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B9EE6BA732D84114ADBA58BD95281BD7_12</vt:lpwstr>
  </property>
</Properties>
</file>