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highlight w:val="none"/>
          <w:lang w:val="zh-CN"/>
        </w:rPr>
      </w:pPr>
      <w:bookmarkStart w:id="0" w:name="_Toc28548"/>
      <w:r>
        <w:rPr>
          <w:rFonts w:hint="eastAsia" w:ascii="仿宋" w:hAnsi="仿宋" w:eastAsia="仿宋" w:cs="仿宋"/>
          <w:color w:val="auto"/>
          <w:sz w:val="32"/>
          <w:szCs w:val="32"/>
          <w:highlight w:val="none"/>
          <w:lang w:val="zh-CN"/>
        </w:rPr>
        <w:t>采购内容</w:t>
      </w:r>
      <w:bookmarkEnd w:id="0"/>
      <w:r>
        <w:rPr>
          <w:rFonts w:hint="eastAsia" w:ascii="仿宋" w:hAnsi="仿宋" w:eastAsia="仿宋" w:cs="仿宋"/>
          <w:color w:val="auto"/>
          <w:sz w:val="32"/>
          <w:szCs w:val="32"/>
          <w:highlight w:val="none"/>
          <w:lang w:val="zh-CN"/>
        </w:rPr>
        <w:t>及要求</w:t>
      </w:r>
      <w:bookmarkStart w:id="1" w:name="_GoBack"/>
      <w:bookmarkEnd w:id="1"/>
    </w:p>
    <w:p>
      <w:pPr>
        <w:pBdr>
          <w:top w:val="none" w:color="auto" w:sz="0" w:space="0"/>
          <w:left w:val="none" w:color="auto" w:sz="0" w:space="0"/>
          <w:bottom w:val="none" w:color="auto" w:sz="0" w:space="0"/>
          <w:right w:val="none" w:color="auto" w:sz="0" w:space="0"/>
          <w:between w:val="none" w:color="auto" w:sz="0" w:space="0"/>
        </w:pBdr>
        <w:spacing w:beforeLines="100" w:line="360" w:lineRule="auto"/>
        <w:ind w:left="105" w:leftChars="50"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、技术要求（包括对产品的认证、检验报告等）</w:t>
      </w:r>
    </w:p>
    <w:tbl>
      <w:tblPr>
        <w:tblStyle w:val="8"/>
        <w:tblW w:w="8883" w:type="dxa"/>
        <w:jc w:val="center"/>
        <w:tblLayout w:type="fixed"/>
        <w:tblCellMar>
          <w:top w:w="0" w:type="dxa"/>
          <w:left w:w="108" w:type="dxa"/>
          <w:bottom w:w="0" w:type="dxa"/>
          <w:right w:w="108" w:type="dxa"/>
        </w:tblCellMar>
      </w:tblPr>
      <w:tblGrid>
        <w:gridCol w:w="456"/>
        <w:gridCol w:w="984"/>
        <w:gridCol w:w="464"/>
        <w:gridCol w:w="875"/>
        <w:gridCol w:w="1036"/>
        <w:gridCol w:w="5068"/>
      </w:tblGrid>
      <w:tr>
        <w:tblPrEx>
          <w:tblCellMar>
            <w:top w:w="0" w:type="dxa"/>
            <w:left w:w="108" w:type="dxa"/>
            <w:bottom w:w="0" w:type="dxa"/>
            <w:right w:w="108" w:type="dxa"/>
          </w:tblCellMar>
        </w:tblPrEx>
        <w:trPr>
          <w:trHeight w:val="660" w:hRule="atLeast"/>
          <w:jc w:val="center"/>
        </w:trPr>
        <w:tc>
          <w:tcPr>
            <w:tcW w:w="8883" w:type="dxa"/>
            <w:gridSpan w:val="6"/>
            <w:tcBorders>
              <w:top w:val="nil"/>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eastAsia="zh-CN"/>
              </w:rPr>
              <w:t>医院防护物资（口罩、帽子等耗材）</w:t>
            </w:r>
          </w:p>
        </w:tc>
      </w:tr>
      <w:tr>
        <w:tblPrEx>
          <w:tblCellMar>
            <w:top w:w="0" w:type="dxa"/>
            <w:left w:w="108" w:type="dxa"/>
            <w:bottom w:w="0" w:type="dxa"/>
            <w:right w:w="108" w:type="dxa"/>
          </w:tblCellMar>
        </w:tblPrEx>
        <w:trPr>
          <w:trHeight w:val="930"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98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物资名称</w:t>
            </w:r>
          </w:p>
        </w:tc>
        <w:tc>
          <w:tcPr>
            <w:tcW w:w="46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87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规格</w:t>
            </w:r>
          </w:p>
        </w:tc>
        <w:tc>
          <w:tcPr>
            <w:tcW w:w="103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最高限价（元）</w:t>
            </w:r>
          </w:p>
        </w:tc>
        <w:tc>
          <w:tcPr>
            <w:tcW w:w="50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技术参数</w:t>
            </w:r>
          </w:p>
        </w:tc>
      </w:tr>
      <w:tr>
        <w:tblPrEx>
          <w:tblCellMar>
            <w:top w:w="0" w:type="dxa"/>
            <w:left w:w="108" w:type="dxa"/>
            <w:bottom w:w="0" w:type="dxa"/>
            <w:right w:w="108" w:type="dxa"/>
          </w:tblCellMar>
        </w:tblPrEx>
        <w:trPr>
          <w:trHeight w:val="660" w:hRule="atLeast"/>
          <w:jc w:val="center"/>
        </w:trPr>
        <w:tc>
          <w:tcPr>
            <w:tcW w:w="456" w:type="dxa"/>
            <w:vMerge w:val="restart"/>
            <w:tcBorders>
              <w:top w:val="nil"/>
              <w:left w:val="single" w:color="auto" w:sz="4" w:space="0"/>
              <w:bottom w:val="nil"/>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医用外科口罩</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个</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挂耳/系带</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0.52</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*1、符合国家标准YY 0469-2011《医用外科口罩技术要求》。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2、由罩体、鼻夹、口罩带组成。产品应无菌，经环氧乙烷灭菌后，环氧乙烷残留量应不大于10ug/g。一次性使用。                                                       3、口罩外观应整洁、形状完好，表面不得有破洞、污渍。每根口罩带与口罩体连接点处的断裂强力应不小于10N，口罩的细菌过滤率应不小于95%。</w:t>
            </w:r>
          </w:p>
        </w:tc>
      </w:tr>
      <w:tr>
        <w:tblPrEx>
          <w:tblCellMar>
            <w:top w:w="0" w:type="dxa"/>
            <w:left w:w="108" w:type="dxa"/>
            <w:bottom w:w="0" w:type="dxa"/>
            <w:right w:w="108" w:type="dxa"/>
          </w:tblCellMar>
        </w:tblPrEx>
        <w:trPr>
          <w:trHeight w:val="1620" w:hRule="atLeast"/>
          <w:jc w:val="center"/>
        </w:trPr>
        <w:tc>
          <w:tcPr>
            <w:tcW w:w="456" w:type="dxa"/>
            <w:vMerge w:val="continue"/>
            <w:tcBorders>
              <w:top w:val="nil"/>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582"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医用普通口罩</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个</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挂耳/系带</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0.22</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1、符合国家标准YY/T0969-2013《一次性使用医用口罩》。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2、由口罩体、鼻夹、口罩带组成。产品应无菌，经环氧乙烷灭菌后，环氧乙烷残留量应不大于10ug/g。一次性使用。                                          3、口罩应整洁、形状完好、表面不得有破损、污渍。口罩的细菌过滤率应不小于95%。</w:t>
            </w:r>
          </w:p>
        </w:tc>
      </w:tr>
      <w:tr>
        <w:tblPrEx>
          <w:tblCellMar>
            <w:top w:w="0" w:type="dxa"/>
            <w:left w:w="108" w:type="dxa"/>
            <w:bottom w:w="0" w:type="dxa"/>
            <w:right w:w="108" w:type="dxa"/>
          </w:tblCellMar>
        </w:tblPrEx>
        <w:trPr>
          <w:trHeight w:val="1035"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312"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840"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医用防护口罩</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个</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折叠式</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5.5</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*1、符合国家标准GB19083-2010《医用防护口罩技术要求》。                                                   2、产品由罩体、鼻夹和口罩带组成。每根口罩带与口罩体连接点处的断裂强力应不小于10N。产品包装标志有灭菌或无菌字样的口罩应无菌。经环氧乙烷灭菌后，环氧乙烷残留量应不大于10ug/g。一次性使用。                               3、口罩有良好的面部密合性，表面不得有破洞、污渍、不应有呼气阀。鼻夹具有可调节性，口罩带调节方便，有足够强度固定口罩位置。</w:t>
            </w:r>
          </w:p>
        </w:tc>
      </w:tr>
      <w:tr>
        <w:tblPrEx>
          <w:tblCellMar>
            <w:top w:w="0" w:type="dxa"/>
            <w:left w:w="108" w:type="dxa"/>
            <w:bottom w:w="0" w:type="dxa"/>
            <w:right w:w="108" w:type="dxa"/>
          </w:tblCellMar>
        </w:tblPrEx>
        <w:trPr>
          <w:trHeight w:val="390"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1635"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540"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9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隔离衣</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提供规格需大于等于6种</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19</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*1、符合国家标准GB/T38462-2020《纺织品 隔离衣用非织造布》。                                               2、本产品由具有一定防护特性的无纺布复合材料制成；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3、隔离衣外观应洁净、无杂质、无破洞，色泽均匀一致；若热合，热合部位应牢固，成型整齐，平整无开裂。胀破强度≥40kPa,透湿率≥3600g/(m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·24h)。</w:t>
            </w:r>
          </w:p>
        </w:tc>
      </w:tr>
      <w:tr>
        <w:tblPrEx>
          <w:tblCellMar>
            <w:top w:w="0" w:type="dxa"/>
            <w:left w:w="108" w:type="dxa"/>
            <w:bottom w:w="0" w:type="dxa"/>
            <w:right w:w="108" w:type="dxa"/>
          </w:tblCellMar>
        </w:tblPrEx>
        <w:trPr>
          <w:trHeight w:val="540"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1140"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900" w:hRule="atLeast"/>
          <w:jc w:val="center"/>
        </w:trPr>
        <w:tc>
          <w:tcPr>
            <w:tcW w:w="456" w:type="dxa"/>
            <w:vMerge w:val="restart"/>
            <w:tcBorders>
              <w:top w:val="nil"/>
              <w:left w:val="single" w:color="auto" w:sz="4" w:space="0"/>
              <w:bottom w:val="nil"/>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医用防护服</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170、175、180、185</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60</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*1.符合国家标准GB19082-2009《医用一次性防护服技术要求》。                                                  2、防护服应干燥、清洁、无霉斑，表面不允许有粘连、裂缝、孔洞等缺陷。装有拉链的防护服拉链不能外露，拉头应能自锁。防护服的结构应合理，穿脱方便，结合部位严密。袖口、脚踝口采用弹性收口，帽子面部收口及腰部采用弹性收口。                                                 3、防护服经环氧乙烷灭菌，其环氧乙烷残留量应不超过10ug/g。一次性使用。断裂强度应≥45N，透湿率≥2500g/(m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·24h)。</w:t>
            </w:r>
          </w:p>
        </w:tc>
      </w:tr>
      <w:tr>
        <w:tblPrEx>
          <w:tblCellMar>
            <w:top w:w="0" w:type="dxa"/>
            <w:left w:w="108" w:type="dxa"/>
            <w:bottom w:w="0" w:type="dxa"/>
            <w:right w:w="108" w:type="dxa"/>
          </w:tblCellMar>
        </w:tblPrEx>
        <w:trPr>
          <w:trHeight w:val="2025" w:hRule="atLeast"/>
          <w:jc w:val="center"/>
        </w:trPr>
        <w:tc>
          <w:tcPr>
            <w:tcW w:w="456" w:type="dxa"/>
            <w:vMerge w:val="continue"/>
            <w:tcBorders>
              <w:top w:val="nil"/>
              <w:left w:val="single" w:color="auto" w:sz="4" w:space="0"/>
              <w:bottom w:val="nil"/>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525"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帽子</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个</w:t>
            </w:r>
          </w:p>
        </w:tc>
        <w:tc>
          <w:tcPr>
            <w:tcW w:w="8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平顶帽</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0.45</w:t>
            </w:r>
          </w:p>
        </w:tc>
        <w:tc>
          <w:tcPr>
            <w:tcW w:w="5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1、执行团标标准T/CSBME015-2019《一次性使用无菌医用帽》。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2、本产品采用非织造布为主要原材料热合或缝制而成。                                          3、帽子应无菌，经环氧乙烷灭菌后，环氧乙烷残留量应不大于10ug/g。一次性使用。</w:t>
            </w:r>
          </w:p>
        </w:tc>
      </w:tr>
      <w:tr>
        <w:tblPrEx>
          <w:tblCellMar>
            <w:top w:w="0" w:type="dxa"/>
            <w:left w:w="108" w:type="dxa"/>
            <w:bottom w:w="0" w:type="dxa"/>
            <w:right w:w="108" w:type="dxa"/>
          </w:tblCellMar>
        </w:tblPrEx>
        <w:trPr>
          <w:trHeight w:val="675"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420"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1095"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9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鞋套</w:t>
            </w:r>
          </w:p>
        </w:tc>
        <w:tc>
          <w:tcPr>
            <w:tcW w:w="46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w:t>
            </w:r>
          </w:p>
        </w:tc>
        <w:tc>
          <w:tcPr>
            <w:tcW w:w="875"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p>
        </w:tc>
        <w:tc>
          <w:tcPr>
            <w:tcW w:w="1036"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0.55</w:t>
            </w:r>
          </w:p>
        </w:tc>
        <w:tc>
          <w:tcPr>
            <w:tcW w:w="506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1.型号规格要求：非织造布制成，聚乙烯薄膜制成。</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2.尺寸要求：鞋套尺寸范围为：长（100-600）mm，宽（100-500）mm；允差±7%。</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3.外观要求：鞋套的外观应洁净平整，色泽均匀一致，无异味、无破洞；缝制或热压应坚固；成型整齐。</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4.克重要求：非织造布型鞋套所用的非织造布的规格不低于18g/㎡。</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5.松紧带要求：聚乙烯薄膜型鞋套采用的松紧带应长至2倍三次不断裂。</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6.聚乙烯薄膜厚度要求：聚乙烯薄膜型鞋套所用的聚乙烯薄膜厚度不得低于0.02mm。</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7.断裂力要求：非织造布型鞋套所用非织造布纵向断裂强力应≥17N，横向断裂强力应≥3.0N。</w:t>
            </w:r>
          </w:p>
          <w:p>
            <w:pPr>
              <w:widowControl/>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8.鞋套若经环氧乙烷灭菌，其环氧乙烷残留量应不大于10ug/g。</w:t>
            </w:r>
          </w:p>
        </w:tc>
      </w:tr>
      <w:tr>
        <w:tblPrEx>
          <w:tblCellMar>
            <w:top w:w="0" w:type="dxa"/>
            <w:left w:w="108" w:type="dxa"/>
            <w:bottom w:w="0" w:type="dxa"/>
            <w:right w:w="108" w:type="dxa"/>
          </w:tblCellMar>
        </w:tblPrEx>
        <w:trPr>
          <w:trHeight w:val="1245"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98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靴套</w:t>
            </w:r>
          </w:p>
        </w:tc>
        <w:tc>
          <w:tcPr>
            <w:tcW w:w="464"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w:t>
            </w:r>
          </w:p>
        </w:tc>
        <w:tc>
          <w:tcPr>
            <w:tcW w:w="875"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p>
        </w:tc>
        <w:tc>
          <w:tcPr>
            <w:tcW w:w="1036"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5.7</w:t>
            </w:r>
          </w:p>
        </w:tc>
        <w:tc>
          <w:tcPr>
            <w:tcW w:w="50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1.型号规格要求：非织造布制成，聚乙烯薄膜制成。</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2.尺寸：隔离鞋套单规格尺寸：高：</w:t>
            </w:r>
            <w:r>
              <w:rPr>
                <w:rFonts w:hint="eastAsia" w:ascii="仿宋" w:hAnsi="仿宋" w:eastAsia="仿宋" w:cs="仿宋"/>
                <w:color w:val="000000"/>
                <w:kern w:val="0"/>
                <w:sz w:val="24"/>
                <w:szCs w:val="24"/>
                <w:highlight w:val="none"/>
                <w:lang w:val="en-US" w:eastAsia="zh-CN"/>
              </w:rPr>
              <w:t>30</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150</w:t>
            </w:r>
            <w:r>
              <w:rPr>
                <w:rFonts w:hint="eastAsia" w:ascii="仿宋" w:hAnsi="仿宋" w:eastAsia="仿宋" w:cs="仿宋"/>
                <w:color w:val="000000"/>
                <w:kern w:val="0"/>
                <w:sz w:val="24"/>
                <w:szCs w:val="24"/>
                <w:highlight w:val="none"/>
              </w:rPr>
              <w:t>cm；长：</w:t>
            </w:r>
            <w:r>
              <w:rPr>
                <w:rFonts w:hint="eastAsia" w:ascii="仿宋" w:hAnsi="仿宋" w:eastAsia="仿宋" w:cs="仿宋"/>
                <w:color w:val="000000"/>
                <w:kern w:val="0"/>
                <w:sz w:val="24"/>
                <w:szCs w:val="24"/>
                <w:highlight w:val="none"/>
                <w:lang w:val="en-US" w:eastAsia="zh-CN"/>
              </w:rPr>
              <w:t>20</w:t>
            </w:r>
            <w:r>
              <w:rPr>
                <w:rFonts w:hint="eastAsia" w:ascii="仿宋" w:hAnsi="仿宋" w:eastAsia="仿宋" w:cs="仿宋"/>
                <w:color w:val="000000"/>
                <w:kern w:val="0"/>
                <w:sz w:val="24"/>
                <w:szCs w:val="24"/>
                <w:highlight w:val="none"/>
              </w:rPr>
              <w:t>-50cm 允差±10%。</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3.外观：医用隔离鞋套应干燥、清洁、无霉斑，表面不允许有粘连、裂缝、孔洞等 缺陷。医用隔离鞋套连接部位可釆用针缝、热合等加工方式。缝制的针距40mm 不少于7针，线迹应均匀、平直，不得有跳针；热合应均匀，牢固、无毛边。</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4.非织造布制成的医用隔离鞋套材料外侧面占水等级应不低于3级的要求。 </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5.非织造布制成的医用隔离鞋套材料的断裂强力应不小于30N。</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6.聚乙烯薄膜制成的医用隔离鞋套材料的断裂强力应不小于5N</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7.非织造布制成的医用隔离鞋套材料的断裂伸长率应不小于15%o</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8.聚乙烯薄膜制成的医用隔离鞋套材料的断裂伸长率应不小于5%。</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9.弹力带：弹力带弹性应良好，伸长比应不小于1.7。</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10.鞋套所用的聚乙烯薄膜的厚度应不少于0.015mm。</w:t>
            </w:r>
          </w:p>
        </w:tc>
      </w:tr>
      <w:tr>
        <w:tblPrEx>
          <w:tblCellMar>
            <w:top w:w="0" w:type="dxa"/>
            <w:left w:w="108" w:type="dxa"/>
            <w:bottom w:w="0" w:type="dxa"/>
            <w:right w:w="108" w:type="dxa"/>
          </w:tblCellMar>
        </w:tblPrEx>
        <w:trPr>
          <w:trHeight w:val="582"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9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检查手套</w:t>
            </w:r>
          </w:p>
        </w:tc>
        <w:tc>
          <w:tcPr>
            <w:tcW w:w="46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w:t>
            </w:r>
          </w:p>
        </w:tc>
        <w:tc>
          <w:tcPr>
            <w:tcW w:w="8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小号、中号、大号无粉</w:t>
            </w:r>
          </w:p>
        </w:tc>
        <w:tc>
          <w:tcPr>
            <w:tcW w:w="10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0.8</w:t>
            </w:r>
          </w:p>
        </w:tc>
        <w:tc>
          <w:tcPr>
            <w:tcW w:w="50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 xml:space="preserve">1、符合国家标准GB10213-2006《一次性使用医用橡胶检查手套》。 </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2、材质由天然橡胶乳制造；灭菌包装，应有灭菌、一次性使用、检查手套字样。</w:t>
            </w:r>
          </w:p>
        </w:tc>
      </w:tr>
      <w:tr>
        <w:tblPrEx>
          <w:tblCellMar>
            <w:top w:w="0" w:type="dxa"/>
            <w:left w:w="108" w:type="dxa"/>
            <w:bottom w:w="0" w:type="dxa"/>
            <w:right w:w="108" w:type="dxa"/>
          </w:tblCellMar>
        </w:tblPrEx>
        <w:trPr>
          <w:trHeight w:val="765"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98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4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8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c>
          <w:tcPr>
            <w:tcW w:w="50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highlight w:val="none"/>
              </w:rPr>
            </w:pPr>
          </w:p>
        </w:tc>
      </w:tr>
      <w:tr>
        <w:tblPrEx>
          <w:tblCellMar>
            <w:top w:w="0" w:type="dxa"/>
            <w:left w:w="108" w:type="dxa"/>
            <w:bottom w:w="0" w:type="dxa"/>
            <w:right w:w="108" w:type="dxa"/>
          </w:tblCellMar>
        </w:tblPrEx>
        <w:trPr>
          <w:trHeight w:val="85" w:hRule="atLeast"/>
          <w:jc w:val="center"/>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98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防护面屏</w:t>
            </w:r>
          </w:p>
        </w:tc>
        <w:tc>
          <w:tcPr>
            <w:tcW w:w="46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个</w:t>
            </w:r>
          </w:p>
        </w:tc>
        <w:tc>
          <w:tcPr>
            <w:tcW w:w="87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036"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50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由面罩片、海绵条、不干胶、弹力橡筋等组成。</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面屏材质无毒、无害、无味、无刺激性和致敏性，且应具有防护隔离效果，其设计结构合理，适合各种头型。</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医用隔离面屏大小应完全覆盖整个面部，对眼睛、鼻腔、口腔形成有效防护，能够有效阻挡血液、体液及有害物质的飞溅。</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医用隔离面罩表面应洁净，无污点、污物，面屏应完整，不得有破损或分离，表面应光滑、无毛刺、划痕。</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面屏片与海绵条应粘连牢固，不易脱落。</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规格:长:10-60cm;宽:5-50cm，厚度0.2mm头箍宽度应大于1cm。</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海绵条应做到均匀、紧实、高弹、柔软、舒适、不掉屑、不易变形。</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面屏与弹力橡筋应链接牢固（使用扣子固定，固定装置与防护罩连接处的断裂强力不小于10N），不易脱落。橡筋弹性强（弹力带延伸率应不小于50%），松紧可调节，且不易断裂及松弛。</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本品为一次性使用，不可重复使用，不可水洗。</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面屏颜色应透明，佩戴时应视线清晰可见。</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11、</w:t>
            </w:r>
            <w:r>
              <w:rPr>
                <w:rFonts w:hint="eastAsia" w:ascii="仿宋" w:hAnsi="仿宋" w:eastAsia="仿宋" w:cs="仿宋"/>
                <w:color w:val="000000"/>
                <w:kern w:val="0"/>
                <w:sz w:val="24"/>
                <w:szCs w:val="24"/>
                <w:highlight w:val="none"/>
              </w:rPr>
              <w:t>具有良好的防雾功能，能有效的避免因长时间佩戴等引起屏面雾化，影响视觉。</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面屏应做到轻便、舒适，适宜较长时间佩戴使用。</w:t>
            </w:r>
          </w:p>
          <w:p>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13、</w:t>
            </w:r>
            <w:r>
              <w:rPr>
                <w:rFonts w:hint="eastAsia" w:ascii="仿宋" w:hAnsi="仿宋" w:eastAsia="仿宋" w:cs="仿宋"/>
                <w:color w:val="000000"/>
                <w:kern w:val="0"/>
                <w:sz w:val="24"/>
                <w:szCs w:val="24"/>
                <w:highlight w:val="none"/>
              </w:rPr>
              <w:t>面屏片内外两侧均应覆盖保护膜。</w:t>
            </w:r>
          </w:p>
        </w:tc>
      </w:tr>
      <w:tr>
        <w:tblPrEx>
          <w:tblCellMar>
            <w:top w:w="0" w:type="dxa"/>
            <w:left w:w="108" w:type="dxa"/>
            <w:bottom w:w="0" w:type="dxa"/>
            <w:right w:w="108" w:type="dxa"/>
          </w:tblCellMar>
        </w:tblPrEx>
        <w:trPr>
          <w:trHeight w:val="285" w:hRule="atLeast"/>
          <w:jc w:val="center"/>
        </w:trPr>
        <w:tc>
          <w:tcPr>
            <w:tcW w:w="456" w:type="dxa"/>
            <w:tcBorders>
              <w:top w:val="nil"/>
              <w:left w:val="nil"/>
              <w:bottom w:val="nil"/>
              <w:right w:val="nil"/>
            </w:tcBorders>
            <w:shd w:val="clear" w:color="auto" w:fill="auto"/>
            <w:noWrap/>
            <w:vAlign w:val="center"/>
          </w:tcPr>
          <w:p>
            <w:pPr>
              <w:widowControl/>
              <w:spacing w:line="240" w:lineRule="auto"/>
              <w:jc w:val="left"/>
              <w:rPr>
                <w:rFonts w:hint="eastAsia" w:ascii="仿宋" w:hAnsi="仿宋" w:eastAsia="仿宋" w:cs="仿宋"/>
                <w:color w:val="000000"/>
                <w:kern w:val="0"/>
                <w:sz w:val="24"/>
                <w:szCs w:val="24"/>
                <w:highlight w:val="none"/>
              </w:rPr>
            </w:pPr>
          </w:p>
        </w:tc>
        <w:tc>
          <w:tcPr>
            <w:tcW w:w="8427" w:type="dxa"/>
            <w:gridSpan w:val="5"/>
            <w:tcBorders>
              <w:top w:val="nil"/>
              <w:left w:val="nil"/>
              <w:bottom w:val="nil"/>
              <w:right w:val="nil"/>
            </w:tcBorders>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tc>
      </w:tr>
      <w:tr>
        <w:tblPrEx>
          <w:tblCellMar>
            <w:top w:w="0" w:type="dxa"/>
            <w:left w:w="108" w:type="dxa"/>
            <w:bottom w:w="0" w:type="dxa"/>
            <w:right w:w="108" w:type="dxa"/>
          </w:tblCellMar>
        </w:tblPrEx>
        <w:trPr>
          <w:trHeight w:val="344" w:hRule="atLeast"/>
          <w:jc w:val="center"/>
        </w:trPr>
        <w:tc>
          <w:tcPr>
            <w:tcW w:w="456" w:type="dxa"/>
            <w:tcBorders>
              <w:top w:val="nil"/>
              <w:left w:val="nil"/>
              <w:bottom w:val="nil"/>
              <w:right w:val="nil"/>
            </w:tcBorders>
            <w:shd w:val="clear" w:color="auto" w:fill="auto"/>
            <w:noWrap/>
            <w:vAlign w:val="center"/>
          </w:tcPr>
          <w:p>
            <w:pPr>
              <w:spacing w:line="240" w:lineRule="auto"/>
              <w:ind w:firstLine="420" w:firstLineChars="200"/>
              <w:rPr>
                <w:rFonts w:hint="eastAsia"/>
                <w:highlight w:val="none"/>
              </w:rPr>
            </w:pPr>
          </w:p>
        </w:tc>
        <w:tc>
          <w:tcPr>
            <w:tcW w:w="8427" w:type="dxa"/>
            <w:gridSpan w:val="5"/>
            <w:tcBorders>
              <w:top w:val="nil"/>
              <w:left w:val="nil"/>
              <w:bottom w:val="nil"/>
              <w:right w:val="nil"/>
            </w:tcBorders>
            <w:shd w:val="clear" w:color="auto" w:fill="auto"/>
            <w:noWrap/>
            <w:vAlign w:val="center"/>
          </w:tcPr>
          <w:p>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60" w:leftChars="0" w:firstLine="48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项为废标项</w:t>
            </w:r>
            <w:r>
              <w:rPr>
                <w:rFonts w:hint="eastAsia" w:ascii="仿宋" w:hAnsi="仿宋" w:eastAsia="仿宋" w:cs="仿宋"/>
                <w:sz w:val="24"/>
                <w:szCs w:val="24"/>
                <w:highlight w:val="none"/>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60" w:leftChars="0" w:firstLine="48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每一项产品必须满足或优于技术参数中要求的国家标准或行业标准。</w:t>
            </w:r>
          </w:p>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3、公司投标时耗材名称书写格式：招标名称（注册证名称）。</w:t>
            </w:r>
          </w:p>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b/>
                <w:bCs/>
                <w:sz w:val="24"/>
                <w:szCs w:val="24"/>
                <w:highlight w:val="none"/>
                <w:lang w:val="en-US" w:eastAsia="zh-CN"/>
              </w:rPr>
              <w:t>本项目核心产品为3、4、5项。</w:t>
            </w:r>
          </w:p>
        </w:tc>
      </w:tr>
    </w:tbl>
    <w:p>
      <w:pPr>
        <w:pBdr>
          <w:top w:val="none" w:color="auto" w:sz="0" w:space="0"/>
          <w:left w:val="none" w:color="auto" w:sz="0" w:space="0"/>
          <w:bottom w:val="none" w:color="auto" w:sz="0" w:space="0"/>
          <w:right w:val="none" w:color="auto" w:sz="0" w:space="0"/>
          <w:between w:val="none" w:color="auto" w:sz="0" w:space="0"/>
        </w:pBdr>
        <w:spacing w:beforeLines="100"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、服务要求</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乙方承诺所提供的医疗卫生耗材必须是符合药监部门质量标准的合格产品，进货渠道正常，并具备正规的产品注册证登记表、生产许可证，配送耗材时须提供配送批次产品的合格证明资料、检测报告、卫生安全评价报告等</w:t>
      </w:r>
    </w:p>
    <w:p>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2、乙方不仅应随耗材向甲方提供使用说明书、质量标准或甲方所要求的相关资料，同时乙方须保证甲方在使用过程中的技术支持及售后服务，否则，甲方有权拒收耗材或则退货，责任由乙方承担。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3、乙方配送的耗材日期距离其出厂日期不得超过该耗材有效期的三分之一时间段。如过该耗材有效期超过三分之一时间段，甲方有权拒收或选择退货，由此造成的损失由乙方承担。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4、包装及其他要求：符合出厂要求、包装完整无破损；包装标识清楚，进口设备应具有原产国标识及中文标识且标识必须清楚，配送产品必须为全新未拆封产品且渠道合法。</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5、乙方所提供的医用卫生耗材在有效期内出现质量问题，甲方有权利要求乙方退货或换货，退换货时间不超过72小时。</w:t>
      </w:r>
    </w:p>
    <w:p>
      <w:pPr>
        <w:pBdr>
          <w:top w:val="none" w:color="auto" w:sz="0" w:space="0"/>
          <w:left w:val="none" w:color="auto" w:sz="0" w:space="0"/>
          <w:bottom w:val="none" w:color="auto" w:sz="0" w:space="0"/>
          <w:right w:val="none" w:color="auto" w:sz="0" w:space="0"/>
          <w:between w:val="none" w:color="auto" w:sz="0" w:space="0"/>
        </w:pBdr>
        <w:spacing w:beforeLines="100"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、商务要求</w:t>
      </w:r>
    </w:p>
    <w:p>
      <w:pPr>
        <w:pBdr>
          <w:top w:val="none" w:color="auto" w:sz="0" w:space="0"/>
          <w:left w:val="none" w:color="auto" w:sz="0" w:space="0"/>
          <w:bottom w:val="none" w:color="auto" w:sz="0" w:space="0"/>
          <w:right w:val="none" w:color="auto" w:sz="0" w:space="0"/>
          <w:between w:val="none" w:color="auto" w:sz="0" w:space="0"/>
        </w:pBdr>
        <w:tabs>
          <w:tab w:val="left" w:pos="48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1、供货期：合同有效期为一年，在合同有效期内，如果甲方按照合同项采购货物，当采购金额达预算金额后，合同自动终止。</w:t>
      </w:r>
    </w:p>
    <w:p>
      <w:pPr>
        <w:tabs>
          <w:tab w:val="left" w:pos="4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2、交货期：</w:t>
      </w:r>
      <w:r>
        <w:rPr>
          <w:rFonts w:hint="eastAsia" w:ascii="仿宋" w:hAnsi="仿宋" w:eastAsia="仿宋" w:cs="仿宋"/>
          <w:sz w:val="24"/>
          <w:szCs w:val="24"/>
          <w:highlight w:val="none"/>
          <w:u w:val="single"/>
        </w:rPr>
        <w:t>72</w:t>
      </w:r>
      <w:r>
        <w:rPr>
          <w:rFonts w:hint="eastAsia" w:ascii="仿宋" w:hAnsi="仿宋" w:eastAsia="仿宋" w:cs="仿宋"/>
          <w:sz w:val="24"/>
          <w:szCs w:val="24"/>
          <w:highlight w:val="none"/>
        </w:rPr>
        <w:t>小时。乙方接到甲方订货通知</w:t>
      </w:r>
      <w:r>
        <w:rPr>
          <w:rFonts w:hint="eastAsia" w:ascii="仿宋" w:hAnsi="仿宋" w:eastAsia="仿宋" w:cs="仿宋"/>
          <w:sz w:val="24"/>
          <w:szCs w:val="24"/>
          <w:highlight w:val="none"/>
          <w:u w:val="single"/>
        </w:rPr>
        <w:t>72小时</w:t>
      </w:r>
      <w:r>
        <w:rPr>
          <w:rFonts w:hint="eastAsia" w:ascii="仿宋" w:hAnsi="仿宋" w:eastAsia="仿宋" w:cs="仿宋"/>
          <w:sz w:val="24"/>
          <w:szCs w:val="24"/>
          <w:highlight w:val="none"/>
        </w:rPr>
        <w:t>内负责将货物运送至甲方指定的地点，由甲方负责按照相关标准进行验收，乙方在运送过程中所产生的一切费用由乙方负责承担。</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r>
        <w:rPr>
          <w:rFonts w:hint="eastAsia" w:ascii="仿宋" w:hAnsi="仿宋" w:eastAsia="仿宋" w:cs="仿宋"/>
          <w:bCs/>
          <w:sz w:val="24"/>
          <w:szCs w:val="24"/>
          <w:highlight w:val="none"/>
        </w:rPr>
        <w:t>付款方式和结算条件</w:t>
      </w:r>
    </w:p>
    <w:p>
      <w:pPr>
        <w:tabs>
          <w:tab w:val="left" w:pos="4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1、付款方式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通过银行转账方式将款项转入乙方银行账户。乙方银行账户信息如下：</w:t>
      </w:r>
    </w:p>
    <w:p>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账户全称：</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u w:val="singl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甲方仅认可上述指定账户并向该账户付款，甲方有权拒绝向指定账户之外的任何账户付款，并且由此导致的付款延迟责任由乙方承担。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乙方要如实开具发票，不得变更开票内容，乙方开具发票出现税务争议时，乙方需承担税款、滞纳金、罚款等赔偿责任以及其他相关责任。</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2、结算条件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货验收入库时，乙方向甲方开具正规发票，并提供所供货品的进货发票，进货发票金额不得遮盖，确保“两票制”，乙方要如实开具发票，不得变更开票内容，乙方开具发票出现税务争议时，乙方需承担税款、滞纳金、罚款等赔偿责任以及其他相关责任，6个月后甲方向乙方据实结算转账支付货款。</w:t>
      </w:r>
    </w:p>
    <w:p>
      <w:pPr>
        <w:pBdr>
          <w:top w:val="none" w:color="auto" w:sz="0" w:space="0"/>
          <w:left w:val="none" w:color="auto" w:sz="0" w:space="0"/>
          <w:bottom w:val="none" w:color="auto" w:sz="0" w:space="0"/>
          <w:right w:val="none" w:color="auto" w:sz="0" w:space="0"/>
          <w:between w:val="none" w:color="auto" w:sz="0" w:space="0"/>
        </w:pBdr>
        <w:spacing w:beforeLines="100"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（1）货物</w:t>
      </w:r>
      <w:r>
        <w:rPr>
          <w:rFonts w:hint="eastAsia" w:ascii="仿宋" w:hAnsi="仿宋" w:eastAsia="仿宋" w:cs="仿宋"/>
          <w:sz w:val="24"/>
          <w:szCs w:val="24"/>
          <w:highlight w:val="none"/>
        </w:rPr>
        <w:t>到达甲方指定地点后，甲乙双方根据合同要求，进行外观验收，确认产地、规格、型号和数量。验收无误，双方在货物清单上签字确认。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乙方向甲方提交货物实施过程中的所有资料。以便甲方日后管理和维护。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按《政府采购法》、《民法典》中的相关条款执行。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未按合同要求提供货物或质量不能满足招标技术要求，乙方必须无条件更换，提高技术，完善质量，否则，甲方有权终止合同，并对乙方的违约行为报监管机构进行相应的处罚，要求乙方赔偿甲方质量不合格产品价款的2倍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乙方不能按期交货，每延迟一天，乙方应偿付甲方总货款的0.5%的迟延违约金，违约金可累计计算。超过30天未交货，甲方有权解除合同。乙方违反合同约定应赔偿甲方总货款的30%作为违约金。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076C1"/>
    <w:multiLevelType w:val="singleLevel"/>
    <w:tmpl w:val="A40076C1"/>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TIwNTRjYmJiMzcwOTU5NWY2NGMwNWE2NWZkZGMifQ=="/>
  </w:docVars>
  <w:rsids>
    <w:rsidRoot w:val="278A676D"/>
    <w:rsid w:val="025832D3"/>
    <w:rsid w:val="0C1B2876"/>
    <w:rsid w:val="0DFC4EFB"/>
    <w:rsid w:val="24747FE9"/>
    <w:rsid w:val="278A676D"/>
    <w:rsid w:val="27A1228D"/>
    <w:rsid w:val="317B0E62"/>
    <w:rsid w:val="44A906F3"/>
    <w:rsid w:val="4A39325E"/>
    <w:rsid w:val="4DB4130B"/>
    <w:rsid w:val="537A0008"/>
    <w:rsid w:val="60540AE2"/>
    <w:rsid w:val="6E7E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0"/>
    <w:qFormat/>
    <w:uiPriority w:val="0"/>
    <w:pPr>
      <w:keepNext/>
      <w:keepLines/>
      <w:spacing w:before="340" w:beforeLines="0" w:beforeAutospacing="0" w:after="330" w:afterLines="0" w:afterAutospacing="0" w:line="240" w:lineRule="auto"/>
      <w:jc w:val="center"/>
      <w:outlineLvl w:val="0"/>
    </w:pPr>
    <w:rPr>
      <w:rFonts w:eastAsia="宋体" w:cs="宋体" w:asciiTheme="minorAscii" w:hAnsiTheme="minorAscii"/>
      <w:b/>
      <w:kern w:val="44"/>
      <w:sz w:val="36"/>
      <w:szCs w:val="36"/>
    </w:rPr>
  </w:style>
  <w:style w:type="paragraph" w:styleId="5">
    <w:name w:val="heading 2"/>
    <w:basedOn w:val="1"/>
    <w:next w:val="1"/>
    <w:link w:val="11"/>
    <w:semiHidden/>
    <w:unhideWhenUsed/>
    <w:qFormat/>
    <w:uiPriority w:val="0"/>
    <w:pPr>
      <w:keepNext/>
      <w:keepLines/>
      <w:spacing w:before="260" w:beforeLines="0" w:beforeAutospacing="0" w:after="260" w:afterLines="0" w:afterAutospacing="0" w:line="240" w:lineRule="auto"/>
      <w:jc w:val="left"/>
      <w:outlineLvl w:val="1"/>
    </w:pPr>
    <w:rPr>
      <w:rFonts w:ascii="宋体" w:hAnsi="宋体" w:eastAsia="宋体" w:cs="宋体"/>
      <w:b/>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jc w:val="center"/>
      <w:outlineLvl w:val="2"/>
    </w:pPr>
    <w:rPr>
      <w:rFonts w:ascii="Times New Roman" w:hAnsi="Times New Roman" w:eastAsia="宋体" w:cs="Times New Roman"/>
      <w:b/>
      <w:sz w:val="32"/>
    </w:rPr>
  </w:style>
  <w:style w:type="paragraph" w:styleId="7">
    <w:name w:val="heading 5"/>
    <w:basedOn w:val="1"/>
    <w:next w:val="1"/>
    <w:semiHidden/>
    <w:unhideWhenUsed/>
    <w:qFormat/>
    <w:uiPriority w:val="0"/>
    <w:pPr>
      <w:keepNext/>
      <w:keepLines/>
      <w:spacing w:before="280" w:beforeLines="0" w:beforeAutospacing="0" w:after="290" w:afterLines="0" w:afterAutospacing="0" w:line="360" w:lineRule="auto"/>
      <w:outlineLvl w:val="4"/>
    </w:pPr>
    <w:rPr>
      <w:rFonts w:asciiTheme="minorAscii" w:hAnsiTheme="minorAscii"/>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Body Text"/>
    <w:basedOn w:val="1"/>
    <w:next w:val="1"/>
    <w:qFormat/>
    <w:uiPriority w:val="0"/>
    <w:pPr>
      <w:spacing w:after="120" w:afterLines="0"/>
    </w:pPr>
    <w:rPr>
      <w:rFonts w:ascii="Times New Roman"/>
      <w:kern w:val="2"/>
      <w:sz w:val="21"/>
    </w:rPr>
  </w:style>
  <w:style w:type="character" w:customStyle="1" w:styleId="10">
    <w:name w:val="标题 1 Char"/>
    <w:link w:val="4"/>
    <w:qFormat/>
    <w:uiPriority w:val="0"/>
    <w:rPr>
      <w:rFonts w:eastAsia="宋体" w:cs="宋体" w:asciiTheme="minorAscii" w:hAnsiTheme="minorAscii"/>
      <w:b/>
      <w:kern w:val="44"/>
      <w:sz w:val="36"/>
      <w:szCs w:val="36"/>
    </w:rPr>
  </w:style>
  <w:style w:type="character" w:customStyle="1" w:styleId="11">
    <w:name w:val="标题 2 Char"/>
    <w:link w:val="5"/>
    <w:uiPriority w:val="0"/>
    <w:rPr>
      <w:rFonts w:ascii="宋体" w:hAnsi="宋体" w:eastAsia="宋体" w:cs="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3374</Words>
  <Characters>3677</Characters>
  <Lines>0</Lines>
  <Paragraphs>0</Paragraphs>
  <TotalTime>0</TotalTime>
  <ScaleCrop>false</ScaleCrop>
  <LinksUpToDate>false</LinksUpToDate>
  <CharactersWithSpaces>4367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2023-06-29T01:48:00Z</dcterms:created>
  <dc:creator>张亚娜</dc:creator>
  <cp:lastModifiedBy>张亚娜</cp:lastModifiedBy>
  <dcterms:modified xsi:type="dcterms:W3CDTF">2023-06-29T01:49:14Z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0F17F5D2BD6B4DC58964CC3B80DE3CFD_11</vt:lpwstr>
  </property>
</Properties>
</file>