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Ansi="宋体" w:cs="宋体"/>
          <w:b/>
          <w:bCs/>
          <w:color w:val="auto"/>
          <w:sz w:val="36"/>
          <w:szCs w:val="36"/>
          <w:highlight w:val="none"/>
        </w:rPr>
      </w:pPr>
    </w:p>
    <w:p>
      <w:pPr>
        <w:rPr>
          <w:rFonts w:hAnsi="宋体" w:cs="宋体"/>
          <w:b/>
          <w:color w:val="auto"/>
          <w:sz w:val="36"/>
          <w:highlight w:val="none"/>
        </w:rPr>
      </w:pPr>
      <w:r>
        <w:rPr>
          <w:rFonts w:hint="eastAsia" w:hAnsi="宋体" w:cs="宋体"/>
          <w:b/>
          <w:bCs/>
          <w:color w:val="auto"/>
          <w:sz w:val="36"/>
          <w:szCs w:val="36"/>
          <w:highlight w:val="none"/>
        </w:rPr>
        <w:t>项目编号:SXZHZB2023-ZC0</w:t>
      </w:r>
      <w:r>
        <w:rPr>
          <w:rFonts w:hint="eastAsia" w:hAnsi="宋体" w:cs="宋体"/>
          <w:b/>
          <w:bCs/>
          <w:color w:val="auto"/>
          <w:sz w:val="36"/>
          <w:szCs w:val="36"/>
          <w:highlight w:val="none"/>
          <w:lang w:val="en-US" w:eastAsia="zh-CN"/>
        </w:rPr>
        <w:t>38</w:t>
      </w:r>
      <w:r>
        <w:rPr>
          <w:rFonts w:hint="eastAsia" w:hAnsi="宋体" w:cs="宋体"/>
          <w:b/>
          <w:bCs/>
          <w:color w:val="auto"/>
          <w:sz w:val="36"/>
          <w:szCs w:val="36"/>
          <w:highlight w:val="none"/>
        </w:rPr>
        <w:t>-GK</w:t>
      </w:r>
    </w:p>
    <w:p>
      <w:pPr>
        <w:tabs>
          <w:tab w:val="left" w:pos="3375"/>
        </w:tabs>
        <w:rPr>
          <w:rFonts w:hAnsi="宋体" w:cs="宋体"/>
          <w:color w:val="auto"/>
          <w:highlight w:val="none"/>
        </w:rPr>
      </w:pPr>
    </w:p>
    <w:p>
      <w:pPr>
        <w:pStyle w:val="31"/>
      </w:pPr>
    </w:p>
    <w:p>
      <w:pPr>
        <w:tabs>
          <w:tab w:val="left" w:pos="3375"/>
        </w:tabs>
        <w:rPr>
          <w:rFonts w:hAnsi="宋体" w:cs="宋体"/>
          <w:color w:val="auto"/>
          <w:highlight w:val="none"/>
        </w:rPr>
      </w:pPr>
    </w:p>
    <w:p>
      <w:pPr>
        <w:tabs>
          <w:tab w:val="left" w:pos="3375"/>
        </w:tabs>
        <w:rPr>
          <w:rFonts w:hAnsi="宋体" w:cs="宋体"/>
          <w:color w:val="auto"/>
          <w:highlight w:val="none"/>
        </w:rPr>
      </w:pPr>
      <w:r>
        <w:rPr>
          <w:rFonts w:hint="eastAsia" w:hAnsi="宋体" w:cs="宋体"/>
          <w:color w:val="auto"/>
          <w:highlight w:val="none"/>
        </w:rPr>
        <w:tab/>
      </w:r>
    </w:p>
    <w:p>
      <w:pPr>
        <w:spacing w:line="780" w:lineRule="auto"/>
        <w:jc w:val="center"/>
        <w:rPr>
          <w:rFonts w:hint="eastAsia" w:hAnsi="宋体" w:eastAsia="宋体" w:cs="宋体"/>
          <w:b/>
          <w:color w:val="auto"/>
          <w:sz w:val="88"/>
          <w:szCs w:val="88"/>
          <w:highlight w:val="none"/>
          <w:lang w:eastAsia="zh-CN"/>
        </w:rPr>
      </w:pPr>
      <w:r>
        <w:rPr>
          <w:rFonts w:hint="eastAsia" w:hAnsi="宋体" w:cs="宋体"/>
          <w:b/>
          <w:color w:val="auto"/>
          <w:sz w:val="52"/>
          <w:szCs w:val="52"/>
          <w:highlight w:val="none"/>
          <w:lang w:eastAsia="zh-CN"/>
        </w:rPr>
        <w:t>西安铁路职业技术学院无纸化会议视频系统升级建设项目</w:t>
      </w:r>
    </w:p>
    <w:p>
      <w:pPr>
        <w:spacing w:line="780" w:lineRule="auto"/>
        <w:jc w:val="center"/>
        <w:rPr>
          <w:rFonts w:hAnsi="宋体" w:cs="宋体"/>
          <w:b/>
          <w:color w:val="auto"/>
          <w:sz w:val="88"/>
          <w:szCs w:val="88"/>
          <w:highlight w:val="none"/>
        </w:rPr>
      </w:pPr>
    </w:p>
    <w:p>
      <w:pPr>
        <w:spacing w:line="780" w:lineRule="auto"/>
        <w:jc w:val="center"/>
        <w:rPr>
          <w:rFonts w:hAnsi="宋体" w:cs="宋体"/>
          <w:b/>
          <w:color w:val="auto"/>
          <w:sz w:val="88"/>
          <w:szCs w:val="88"/>
          <w:highlight w:val="none"/>
        </w:rPr>
      </w:pPr>
      <w:r>
        <w:rPr>
          <w:rFonts w:hint="eastAsia" w:hAnsi="宋体" w:cs="宋体"/>
          <w:b/>
          <w:color w:val="auto"/>
          <w:sz w:val="88"/>
          <w:szCs w:val="88"/>
          <w:highlight w:val="none"/>
        </w:rPr>
        <w:t>招 标 文 件</w:t>
      </w:r>
    </w:p>
    <w:p>
      <w:pPr>
        <w:rPr>
          <w:rFonts w:hAnsi="宋体" w:cs="宋体"/>
          <w:color w:val="auto"/>
          <w:highlight w:val="none"/>
        </w:rPr>
      </w:pPr>
      <w:bookmarkStart w:id="0" w:name="_Toc363463325"/>
    </w:p>
    <w:p>
      <w:pPr>
        <w:rPr>
          <w:rFonts w:hAnsi="宋体" w:cs="宋体"/>
          <w:color w:val="auto"/>
          <w:highlight w:val="none"/>
        </w:rPr>
      </w:pPr>
    </w:p>
    <w:p>
      <w:pPr>
        <w:pStyle w:val="43"/>
        <w:ind w:firstLine="210"/>
        <w:rPr>
          <w:rFonts w:ascii="宋体" w:hAnsi="宋体" w:cs="宋体"/>
          <w:color w:val="auto"/>
          <w:highlight w:val="none"/>
        </w:rPr>
      </w:pPr>
    </w:p>
    <w:p>
      <w:pPr>
        <w:pStyle w:val="43"/>
        <w:ind w:firstLine="210"/>
        <w:rPr>
          <w:rFonts w:ascii="宋体" w:hAnsi="宋体" w:cs="宋体"/>
          <w:color w:val="auto"/>
          <w:highlight w:val="none"/>
        </w:rPr>
      </w:pPr>
    </w:p>
    <w:bookmarkEnd w:id="0"/>
    <w:p>
      <w:pPr>
        <w:rPr>
          <w:rFonts w:hAnsi="宋体" w:cs="宋体"/>
          <w:color w:val="auto"/>
          <w:sz w:val="18"/>
          <w:szCs w:val="18"/>
          <w:highlight w:val="none"/>
        </w:rPr>
      </w:pPr>
    </w:p>
    <w:p>
      <w:pPr>
        <w:rPr>
          <w:rFonts w:hAnsi="宋体" w:cs="宋体"/>
          <w:color w:val="auto"/>
          <w:sz w:val="18"/>
          <w:szCs w:val="18"/>
          <w:highlight w:val="none"/>
        </w:rPr>
      </w:pPr>
    </w:p>
    <w:p>
      <w:pPr>
        <w:pStyle w:val="20"/>
        <w:rPr>
          <w:rFonts w:ascii="宋体" w:hAnsi="宋体" w:cs="宋体"/>
          <w:color w:val="auto"/>
          <w:highlight w:val="none"/>
        </w:rPr>
      </w:pPr>
    </w:p>
    <w:p>
      <w:pPr>
        <w:pStyle w:val="20"/>
        <w:adjustRightInd w:val="0"/>
        <w:spacing w:after="0" w:line="360" w:lineRule="auto"/>
        <w:textAlignment w:val="baseline"/>
        <w:rPr>
          <w:rFonts w:ascii="宋体" w:hAnsi="宋体" w:cs="宋体"/>
          <w:b/>
          <w:bCs/>
          <w:color w:val="auto"/>
          <w:kern w:val="0"/>
          <w:sz w:val="36"/>
          <w:szCs w:val="36"/>
          <w:highlight w:val="none"/>
        </w:rPr>
      </w:pPr>
    </w:p>
    <w:p>
      <w:pPr>
        <w:jc w:val="center"/>
        <w:rPr>
          <w:rFonts w:hAnsi="宋体" w:cs="宋体"/>
          <w:b/>
          <w:bCs/>
          <w:color w:val="auto"/>
          <w:sz w:val="36"/>
          <w:szCs w:val="36"/>
          <w:highlight w:val="none"/>
        </w:rPr>
      </w:pPr>
      <w:r>
        <w:rPr>
          <w:rFonts w:hint="eastAsia" w:hAnsi="宋体" w:cs="宋体"/>
          <w:b/>
          <w:bCs/>
          <w:color w:val="auto"/>
          <w:sz w:val="36"/>
          <w:szCs w:val="36"/>
          <w:highlight w:val="none"/>
        </w:rPr>
        <w:t>陕西纵横项目管理有限公司</w:t>
      </w:r>
    </w:p>
    <w:p>
      <w:pPr>
        <w:tabs>
          <w:tab w:val="left" w:pos="525"/>
        </w:tabs>
        <w:jc w:val="center"/>
        <w:rPr>
          <w:rFonts w:hAnsi="宋体" w:cs="宋体"/>
          <w:b/>
          <w:bCs/>
          <w:color w:val="auto"/>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hAnsi="宋体" w:cs="宋体"/>
          <w:b/>
          <w:bCs/>
          <w:color w:val="auto"/>
          <w:sz w:val="36"/>
          <w:szCs w:val="36"/>
          <w:highlight w:val="none"/>
        </w:rPr>
        <w:t>二零二三年</w:t>
      </w:r>
      <w:r>
        <w:rPr>
          <w:rFonts w:hint="eastAsia" w:hAnsi="宋体" w:cs="宋体"/>
          <w:b/>
          <w:bCs/>
          <w:color w:val="auto"/>
          <w:sz w:val="36"/>
          <w:szCs w:val="36"/>
          <w:highlight w:val="none"/>
          <w:lang w:eastAsia="zh-CN"/>
        </w:rPr>
        <w:t>六</w:t>
      </w:r>
      <w:r>
        <w:rPr>
          <w:rFonts w:hint="eastAsia" w:hAnsi="宋体" w:cs="宋体"/>
          <w:b/>
          <w:bCs/>
          <w:color w:val="auto"/>
          <w:sz w:val="36"/>
          <w:szCs w:val="36"/>
          <w:highlight w:val="none"/>
        </w:rPr>
        <w:t>月</w:t>
      </w:r>
    </w:p>
    <w:p>
      <w:pPr>
        <w:pStyle w:val="20"/>
        <w:rPr>
          <w:rFonts w:ascii="宋体" w:hAnsi="宋体" w:cs="宋体"/>
          <w:b/>
          <w:color w:val="auto"/>
          <w:sz w:val="44"/>
          <w:szCs w:val="44"/>
          <w:highlight w:val="none"/>
        </w:rPr>
      </w:pPr>
    </w:p>
    <w:p>
      <w:pPr>
        <w:pStyle w:val="20"/>
        <w:jc w:val="center"/>
        <w:rPr>
          <w:rFonts w:ascii="宋体" w:hAnsi="宋体" w:cs="宋体"/>
          <w:color w:val="auto"/>
          <w:sz w:val="36"/>
          <w:szCs w:val="36"/>
          <w:highlight w:val="none"/>
        </w:rPr>
      </w:pPr>
      <w:r>
        <w:rPr>
          <w:rFonts w:hint="eastAsia" w:ascii="宋体" w:hAnsi="宋体" w:cs="宋体"/>
          <w:b/>
          <w:color w:val="auto"/>
          <w:sz w:val="44"/>
          <w:szCs w:val="44"/>
          <w:highlight w:val="none"/>
        </w:rPr>
        <w:t>目   录</w:t>
      </w:r>
      <w:bookmarkStart w:id="1" w:name="_Toc5293"/>
      <w:bookmarkStart w:id="2" w:name="_Toc19886"/>
      <w:bookmarkStart w:id="3" w:name="_Toc16218"/>
      <w:bookmarkStart w:id="4" w:name="_Toc20652"/>
      <w:bookmarkStart w:id="5" w:name="_Toc20858"/>
      <w:bookmarkStart w:id="6" w:name="_Toc21518"/>
      <w:bookmarkStart w:id="7" w:name="_Toc389582033"/>
      <w:bookmarkStart w:id="8" w:name="_Toc28504"/>
      <w:bookmarkStart w:id="9" w:name="_Toc26849"/>
      <w:bookmarkStart w:id="10" w:name="_Toc10751"/>
      <w:bookmarkStart w:id="11" w:name="_Toc426457691"/>
      <w:bookmarkStart w:id="12" w:name="_Toc31289"/>
      <w:bookmarkStart w:id="13" w:name="_Toc20670"/>
      <w:bookmarkStart w:id="14" w:name="_Toc363473971"/>
      <w:bookmarkStart w:id="15" w:name="_Toc403077638"/>
      <w:bookmarkStart w:id="16" w:name="_Toc363474016"/>
    </w:p>
    <w:p>
      <w:pPr>
        <w:pStyle w:val="31"/>
        <w:tabs>
          <w:tab w:val="right" w:leader="dot" w:pos="9355"/>
          <w:tab w:val="clear" w:pos="1418"/>
          <w:tab w:val="clear" w:pos="8302"/>
        </w:tabs>
        <w:spacing w:line="480" w:lineRule="auto"/>
        <w:rPr>
          <w:rFonts w:hAnsi="宋体" w:cs="宋体"/>
          <w:color w:val="auto"/>
          <w:szCs w:val="24"/>
          <w:highlight w:val="none"/>
        </w:rPr>
      </w:pPr>
      <w:bookmarkStart w:id="17" w:name="_Toc30163"/>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TOC \o "1-1" \h \u </w:instrText>
      </w:r>
      <w:r>
        <w:rPr>
          <w:rFonts w:hint="eastAsia" w:hAnsi="宋体" w:cs="宋体"/>
          <w:b/>
          <w:bCs/>
          <w:color w:val="auto"/>
          <w:szCs w:val="24"/>
          <w:highlight w:val="none"/>
        </w:rPr>
        <w:fldChar w:fldCharType="separate"/>
      </w:r>
      <w:r>
        <w:rPr>
          <w:color w:val="auto"/>
          <w:highlight w:val="none"/>
        </w:rPr>
        <w:fldChar w:fldCharType="begin"/>
      </w:r>
      <w:r>
        <w:rPr>
          <w:color w:val="auto"/>
          <w:highlight w:val="none"/>
        </w:rPr>
        <w:instrText xml:space="preserve"> HYPERLINK \l "_Toc29567" </w:instrText>
      </w:r>
      <w:r>
        <w:rPr>
          <w:color w:val="auto"/>
          <w:highlight w:val="none"/>
        </w:rPr>
        <w:fldChar w:fldCharType="separate"/>
      </w:r>
      <w:r>
        <w:rPr>
          <w:rFonts w:hint="eastAsia" w:hAnsi="宋体" w:cs="宋体"/>
          <w:bCs/>
          <w:color w:val="auto"/>
          <w:szCs w:val="24"/>
          <w:highlight w:val="none"/>
        </w:rPr>
        <w:t>第一章  招标公告</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_Toc29567 \h </w:instrText>
      </w:r>
      <w:r>
        <w:rPr>
          <w:rFonts w:hint="eastAsia" w:hAnsi="宋体" w:cs="宋体"/>
          <w:color w:val="auto"/>
          <w:szCs w:val="24"/>
          <w:highlight w:val="none"/>
        </w:rPr>
        <w:fldChar w:fldCharType="separate"/>
      </w:r>
      <w:r>
        <w:rPr>
          <w:rFonts w:hint="eastAsia" w:hAnsi="宋体" w:cs="宋体"/>
          <w:color w:val="auto"/>
          <w:szCs w:val="24"/>
          <w:highlight w:val="none"/>
        </w:rPr>
        <w:t>- 1 -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pPr>
        <w:pStyle w:val="31"/>
        <w:tabs>
          <w:tab w:val="right" w:leader="dot" w:pos="9355"/>
          <w:tab w:val="clear" w:pos="1418"/>
          <w:tab w:val="clear" w:pos="8302"/>
        </w:tabs>
        <w:spacing w:line="480" w:lineRule="auto"/>
        <w:rPr>
          <w:rFonts w:hAnsi="宋体" w:cs="宋体"/>
          <w:color w:val="auto"/>
          <w:szCs w:val="24"/>
          <w:highlight w:val="none"/>
        </w:rPr>
      </w:pPr>
      <w:r>
        <w:rPr>
          <w:color w:val="auto"/>
          <w:highlight w:val="none"/>
        </w:rPr>
        <w:fldChar w:fldCharType="begin"/>
      </w:r>
      <w:r>
        <w:rPr>
          <w:color w:val="auto"/>
          <w:highlight w:val="none"/>
        </w:rPr>
        <w:instrText xml:space="preserve"> HYPERLINK \l "_Toc12235" </w:instrText>
      </w:r>
      <w:r>
        <w:rPr>
          <w:color w:val="auto"/>
          <w:highlight w:val="none"/>
        </w:rPr>
        <w:fldChar w:fldCharType="separate"/>
      </w:r>
      <w:r>
        <w:rPr>
          <w:rFonts w:hint="eastAsia" w:hAnsi="宋体" w:cs="宋体"/>
          <w:color w:val="auto"/>
          <w:szCs w:val="24"/>
          <w:highlight w:val="none"/>
        </w:rPr>
        <w:t>第二章  供应商须知</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_Toc12235 \h </w:instrText>
      </w:r>
      <w:r>
        <w:rPr>
          <w:rFonts w:hint="eastAsia" w:hAnsi="宋体" w:cs="宋体"/>
          <w:color w:val="auto"/>
          <w:szCs w:val="24"/>
          <w:highlight w:val="none"/>
        </w:rPr>
        <w:fldChar w:fldCharType="separate"/>
      </w:r>
      <w:r>
        <w:rPr>
          <w:rFonts w:hint="eastAsia" w:hAnsi="宋体" w:cs="宋体"/>
          <w:color w:val="auto"/>
          <w:szCs w:val="24"/>
          <w:highlight w:val="none"/>
        </w:rPr>
        <w:t>- 5 -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pPr>
        <w:pStyle w:val="31"/>
        <w:tabs>
          <w:tab w:val="right" w:leader="dot" w:pos="9355"/>
          <w:tab w:val="clear" w:pos="1418"/>
          <w:tab w:val="clear" w:pos="8302"/>
        </w:tabs>
        <w:spacing w:line="480" w:lineRule="auto"/>
        <w:rPr>
          <w:rFonts w:hint="default" w:hAnsi="宋体" w:eastAsia="宋体" w:cs="宋体"/>
          <w:color w:val="auto"/>
          <w:szCs w:val="24"/>
          <w:highlight w:val="none"/>
          <w:lang w:val="en-US" w:eastAsia="zh-CN"/>
        </w:rPr>
      </w:pPr>
      <w:r>
        <w:rPr>
          <w:color w:val="auto"/>
          <w:highlight w:val="none"/>
        </w:rPr>
        <w:fldChar w:fldCharType="begin"/>
      </w:r>
      <w:r>
        <w:rPr>
          <w:color w:val="auto"/>
          <w:highlight w:val="none"/>
        </w:rPr>
        <w:instrText xml:space="preserve"> HYPERLINK \l "_Toc14670" </w:instrText>
      </w:r>
      <w:r>
        <w:rPr>
          <w:color w:val="auto"/>
          <w:highlight w:val="none"/>
        </w:rPr>
        <w:fldChar w:fldCharType="separate"/>
      </w:r>
      <w:r>
        <w:rPr>
          <w:rFonts w:hint="eastAsia" w:hAnsi="宋体" w:cs="宋体"/>
          <w:bCs/>
          <w:color w:val="auto"/>
          <w:szCs w:val="24"/>
          <w:highlight w:val="none"/>
        </w:rPr>
        <w:t>第三章  合同条款及格式</w:t>
      </w:r>
      <w:r>
        <w:rPr>
          <w:rFonts w:hint="eastAsia" w:hAnsi="宋体" w:cs="宋体"/>
          <w:color w:val="auto"/>
          <w:szCs w:val="24"/>
          <w:highlight w:val="none"/>
        </w:rPr>
        <w:tab/>
      </w:r>
      <w:r>
        <w:rPr>
          <w:rFonts w:hint="eastAsia" w:hAnsi="宋体" w:cs="宋体"/>
          <w:color w:val="auto"/>
          <w:szCs w:val="24"/>
          <w:highlight w:val="none"/>
          <w:lang w:val="en-US" w:eastAsia="zh-CN"/>
        </w:rPr>
        <w:t xml:space="preserve">- </w:t>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_Toc14670 \h </w:instrText>
      </w:r>
      <w:r>
        <w:rPr>
          <w:rFonts w:hint="eastAsia" w:hAnsi="宋体" w:cs="宋体"/>
          <w:color w:val="auto"/>
          <w:szCs w:val="24"/>
          <w:highlight w:val="none"/>
        </w:rPr>
        <w:fldChar w:fldCharType="separate"/>
      </w:r>
      <w:r>
        <w:rPr>
          <w:rFonts w:hint="eastAsia" w:hAnsi="宋体" w:cs="宋体"/>
          <w:color w:val="auto"/>
          <w:szCs w:val="24"/>
          <w:highlight w:val="none"/>
        </w:rPr>
        <w:t>23</w:t>
      </w:r>
      <w:r>
        <w:rPr>
          <w:rFonts w:hint="eastAsia" w:hAnsi="宋体" w:cs="宋体"/>
          <w:color w:val="auto"/>
          <w:szCs w:val="24"/>
          <w:highlight w:val="none"/>
        </w:rPr>
        <w:fldChar w:fldCharType="end"/>
      </w:r>
      <w:r>
        <w:rPr>
          <w:rFonts w:hint="eastAsia" w:hAnsi="宋体" w:cs="宋体"/>
          <w:color w:val="auto"/>
          <w:szCs w:val="24"/>
          <w:highlight w:val="none"/>
        </w:rPr>
        <w:fldChar w:fldCharType="end"/>
      </w:r>
      <w:r>
        <w:rPr>
          <w:rFonts w:hint="eastAsia" w:hAnsi="宋体" w:cs="宋体"/>
          <w:color w:val="auto"/>
          <w:szCs w:val="24"/>
          <w:highlight w:val="none"/>
          <w:lang w:val="en-US" w:eastAsia="zh-CN"/>
        </w:rPr>
        <w:t xml:space="preserve"> -</w:t>
      </w:r>
    </w:p>
    <w:p>
      <w:pPr>
        <w:pStyle w:val="31"/>
        <w:tabs>
          <w:tab w:val="right" w:leader="dot" w:pos="9355"/>
          <w:tab w:val="clear" w:pos="1418"/>
          <w:tab w:val="clear" w:pos="8302"/>
        </w:tabs>
        <w:spacing w:line="480" w:lineRule="auto"/>
        <w:rPr>
          <w:rFonts w:hAnsi="宋体" w:cs="宋体"/>
          <w:color w:val="auto"/>
          <w:szCs w:val="24"/>
          <w:highlight w:val="none"/>
        </w:rPr>
      </w:pPr>
      <w:r>
        <w:rPr>
          <w:color w:val="auto"/>
          <w:highlight w:val="none"/>
        </w:rPr>
        <w:fldChar w:fldCharType="begin"/>
      </w:r>
      <w:r>
        <w:rPr>
          <w:color w:val="auto"/>
          <w:highlight w:val="none"/>
        </w:rPr>
        <w:instrText xml:space="preserve"> HYPERLINK \l "_Toc15305" </w:instrText>
      </w:r>
      <w:r>
        <w:rPr>
          <w:color w:val="auto"/>
          <w:highlight w:val="none"/>
        </w:rPr>
        <w:fldChar w:fldCharType="separate"/>
      </w:r>
      <w:r>
        <w:rPr>
          <w:rFonts w:hint="eastAsia" w:hAnsi="宋体" w:cs="宋体"/>
          <w:bCs/>
          <w:color w:val="auto"/>
          <w:szCs w:val="24"/>
          <w:highlight w:val="none"/>
        </w:rPr>
        <w:t>第四章  采购内容及技术要求</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_Toc15305 \h </w:instrText>
      </w:r>
      <w:r>
        <w:rPr>
          <w:rFonts w:hint="eastAsia" w:hAnsi="宋体" w:cs="宋体"/>
          <w:color w:val="auto"/>
          <w:szCs w:val="24"/>
          <w:highlight w:val="none"/>
        </w:rPr>
        <w:fldChar w:fldCharType="separate"/>
      </w:r>
      <w:r>
        <w:rPr>
          <w:rFonts w:hint="eastAsia" w:hAnsi="宋体" w:cs="宋体"/>
          <w:color w:val="auto"/>
          <w:szCs w:val="24"/>
          <w:highlight w:val="none"/>
        </w:rPr>
        <w:t>- 33 -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pPr>
        <w:pStyle w:val="31"/>
        <w:tabs>
          <w:tab w:val="right" w:leader="dot" w:pos="9355"/>
          <w:tab w:val="clear" w:pos="1418"/>
          <w:tab w:val="clear" w:pos="8302"/>
        </w:tabs>
        <w:spacing w:line="480" w:lineRule="auto"/>
        <w:rPr>
          <w:rFonts w:hAnsi="宋体" w:cs="宋体"/>
          <w:color w:val="auto"/>
          <w:szCs w:val="24"/>
          <w:highlight w:val="none"/>
        </w:rPr>
      </w:pPr>
      <w:r>
        <w:rPr>
          <w:color w:val="auto"/>
          <w:highlight w:val="none"/>
        </w:rPr>
        <w:fldChar w:fldCharType="begin"/>
      </w:r>
      <w:r>
        <w:rPr>
          <w:color w:val="auto"/>
          <w:highlight w:val="none"/>
        </w:rPr>
        <w:instrText xml:space="preserve"> HYPERLINK \l "_Toc25782" </w:instrText>
      </w:r>
      <w:r>
        <w:rPr>
          <w:color w:val="auto"/>
          <w:highlight w:val="none"/>
        </w:rPr>
        <w:fldChar w:fldCharType="separate"/>
      </w:r>
      <w:r>
        <w:rPr>
          <w:rFonts w:hint="eastAsia" w:hAnsi="宋体" w:cs="宋体"/>
          <w:bCs/>
          <w:color w:val="auto"/>
          <w:szCs w:val="24"/>
          <w:highlight w:val="none"/>
        </w:rPr>
        <w:t>第五章  评 标 方 法</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_Toc25782 \h </w:instrText>
      </w:r>
      <w:r>
        <w:rPr>
          <w:rFonts w:hint="eastAsia" w:hAnsi="宋体" w:cs="宋体"/>
          <w:color w:val="auto"/>
          <w:szCs w:val="24"/>
          <w:highlight w:val="none"/>
        </w:rPr>
        <w:fldChar w:fldCharType="separate"/>
      </w:r>
      <w:r>
        <w:rPr>
          <w:rFonts w:hint="eastAsia" w:hAnsi="宋体" w:cs="宋体"/>
          <w:color w:val="auto"/>
          <w:szCs w:val="24"/>
          <w:highlight w:val="none"/>
        </w:rPr>
        <w:t>- 84 -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pPr>
        <w:pStyle w:val="31"/>
        <w:tabs>
          <w:tab w:val="right" w:leader="dot" w:pos="9355"/>
          <w:tab w:val="clear" w:pos="1418"/>
          <w:tab w:val="clear" w:pos="8302"/>
        </w:tabs>
        <w:spacing w:line="480" w:lineRule="auto"/>
        <w:rPr>
          <w:rFonts w:hAnsi="宋体" w:cs="宋体"/>
          <w:color w:val="auto"/>
          <w:szCs w:val="24"/>
          <w:highlight w:val="none"/>
        </w:rPr>
      </w:pPr>
      <w:r>
        <w:rPr>
          <w:color w:val="auto"/>
          <w:highlight w:val="none"/>
        </w:rPr>
        <w:fldChar w:fldCharType="begin"/>
      </w:r>
      <w:r>
        <w:rPr>
          <w:color w:val="auto"/>
          <w:highlight w:val="none"/>
        </w:rPr>
        <w:instrText xml:space="preserve"> HYPERLINK \l "_Toc8782" </w:instrText>
      </w:r>
      <w:r>
        <w:rPr>
          <w:color w:val="auto"/>
          <w:highlight w:val="none"/>
        </w:rPr>
        <w:fldChar w:fldCharType="separate"/>
      </w:r>
      <w:r>
        <w:rPr>
          <w:rFonts w:hint="eastAsia" w:hAnsi="宋体" w:cs="宋体"/>
          <w:color w:val="auto"/>
          <w:szCs w:val="24"/>
          <w:highlight w:val="none"/>
        </w:rPr>
        <w:t>第六章  投标文件构成及格式</w:t>
      </w:r>
      <w:r>
        <w:rPr>
          <w:rFonts w:hint="eastAsia" w:hAnsi="宋体" w:cs="宋体"/>
          <w:color w:val="auto"/>
          <w:szCs w:val="24"/>
          <w:highlight w:val="none"/>
        </w:rPr>
        <w:tab/>
      </w:r>
      <w:r>
        <w:rPr>
          <w:rFonts w:hint="eastAsia" w:hAnsi="宋体" w:cs="宋体"/>
          <w:color w:val="auto"/>
          <w:szCs w:val="24"/>
          <w:highlight w:val="none"/>
        </w:rPr>
        <w:fldChar w:fldCharType="begin"/>
      </w:r>
      <w:r>
        <w:rPr>
          <w:rFonts w:hint="eastAsia" w:hAnsi="宋体" w:cs="宋体"/>
          <w:color w:val="auto"/>
          <w:szCs w:val="24"/>
          <w:highlight w:val="none"/>
        </w:rPr>
        <w:instrText xml:space="preserve"> PAGEREF _Toc8782 \h </w:instrText>
      </w:r>
      <w:r>
        <w:rPr>
          <w:rFonts w:hint="eastAsia" w:hAnsi="宋体" w:cs="宋体"/>
          <w:color w:val="auto"/>
          <w:szCs w:val="24"/>
          <w:highlight w:val="none"/>
        </w:rPr>
        <w:fldChar w:fldCharType="separate"/>
      </w:r>
      <w:r>
        <w:rPr>
          <w:rFonts w:hint="eastAsia" w:hAnsi="宋体" w:cs="宋体"/>
          <w:color w:val="auto"/>
          <w:szCs w:val="24"/>
          <w:highlight w:val="none"/>
        </w:rPr>
        <w:t>- 96 -</w:t>
      </w:r>
      <w:r>
        <w:rPr>
          <w:rFonts w:hint="eastAsia" w:hAnsi="宋体" w:cs="宋体"/>
          <w:color w:val="auto"/>
          <w:szCs w:val="24"/>
          <w:highlight w:val="none"/>
        </w:rPr>
        <w:fldChar w:fldCharType="end"/>
      </w:r>
      <w:r>
        <w:rPr>
          <w:rFonts w:hint="eastAsia" w:hAnsi="宋体" w:cs="宋体"/>
          <w:color w:val="auto"/>
          <w:szCs w:val="24"/>
          <w:highlight w:val="none"/>
        </w:rPr>
        <w:fldChar w:fldCharType="end"/>
      </w:r>
    </w:p>
    <w:p>
      <w:pPr>
        <w:spacing w:before="166" w:beforeLines="50" w:after="166" w:afterLines="50" w:line="480" w:lineRule="auto"/>
        <w:outlineLvl w:val="0"/>
        <w:rPr>
          <w:rFonts w:hAnsi="宋体" w:cs="宋体"/>
          <w:b/>
          <w:bCs/>
          <w:color w:val="auto"/>
          <w:sz w:val="36"/>
          <w:szCs w:val="36"/>
          <w:highlight w:val="none"/>
        </w:rPr>
        <w:sectPr>
          <w:headerReference r:id="rId8" w:type="first"/>
          <w:footerReference r:id="rId10" w:type="first"/>
          <w:headerReference r:id="rId7" w:type="default"/>
          <w:footerReference r:id="rId9" w:type="default"/>
          <w:pgSz w:w="11906" w:h="16838"/>
          <w:pgMar w:top="1417" w:right="1134" w:bottom="1417" w:left="1417" w:header="1134" w:footer="992" w:gutter="0"/>
          <w:pgNumType w:fmt="numberInDash" w:start="1"/>
          <w:cols w:space="720" w:num="1"/>
          <w:titlePg/>
          <w:docGrid w:type="lines" w:linePitch="333" w:charSpace="0"/>
        </w:sectPr>
      </w:pPr>
      <w:r>
        <w:rPr>
          <w:rFonts w:hint="eastAsia" w:hAnsi="宋体" w:cs="宋体"/>
          <w:bCs/>
          <w:color w:val="auto"/>
          <w:szCs w:val="24"/>
          <w:highlight w:val="none"/>
        </w:rPr>
        <w:fldChar w:fldCharType="end"/>
      </w:r>
      <w:bookmarkStart w:id="18" w:name="_Toc24904"/>
    </w:p>
    <w:p>
      <w:pPr>
        <w:spacing w:before="166" w:beforeLines="50" w:after="166" w:afterLines="50" w:line="360" w:lineRule="auto"/>
        <w:jc w:val="center"/>
        <w:outlineLvl w:val="0"/>
        <w:rPr>
          <w:rFonts w:hAnsi="宋体" w:cs="宋体"/>
          <w:b/>
          <w:bCs/>
          <w:color w:val="auto"/>
          <w:sz w:val="36"/>
          <w:szCs w:val="36"/>
          <w:highlight w:val="none"/>
        </w:rPr>
      </w:pPr>
      <w:bookmarkStart w:id="19" w:name="_Toc29567"/>
      <w:r>
        <w:rPr>
          <w:rFonts w:hint="eastAsia" w:hAnsi="宋体" w:cs="宋体"/>
          <w:b/>
          <w:bCs/>
          <w:color w:val="auto"/>
          <w:sz w:val="36"/>
          <w:szCs w:val="36"/>
          <w:highlight w:val="none"/>
        </w:rPr>
        <w:t xml:space="preserve">第一章  </w:t>
      </w:r>
      <w:bookmarkEnd w:id="1"/>
      <w:bookmarkEnd w:id="2"/>
      <w:bookmarkEnd w:id="3"/>
      <w:bookmarkEnd w:id="4"/>
      <w:bookmarkEnd w:id="5"/>
      <w:bookmarkEnd w:id="6"/>
      <w:bookmarkEnd w:id="7"/>
      <w:r>
        <w:rPr>
          <w:rFonts w:hint="eastAsia" w:hAnsi="宋体" w:cs="宋体"/>
          <w:b/>
          <w:bCs/>
          <w:color w:val="auto"/>
          <w:sz w:val="36"/>
          <w:szCs w:val="36"/>
          <w:highlight w:val="none"/>
        </w:rPr>
        <w:t>招标公告</w:t>
      </w:r>
      <w:bookmarkEnd w:id="8"/>
      <w:bookmarkEnd w:id="9"/>
      <w:bookmarkEnd w:id="10"/>
      <w:bookmarkEnd w:id="11"/>
      <w:bookmarkEnd w:id="12"/>
      <w:bookmarkEnd w:id="13"/>
      <w:bookmarkEnd w:id="17"/>
      <w:bookmarkEnd w:id="18"/>
      <w:bookmarkEnd w:id="19"/>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cs="宋体"/>
          <w:b/>
          <w:color w:val="auto"/>
          <w:highlight w:val="none"/>
          <w:shd w:val="clear" w:color="auto" w:fill="FFFFFF"/>
        </w:rPr>
      </w:pPr>
      <w:r>
        <w:rPr>
          <w:rFonts w:hint="eastAsia" w:cs="宋体"/>
          <w:b/>
          <w:color w:val="auto"/>
          <w:highlight w:val="none"/>
          <w:shd w:val="clear" w:color="auto" w:fill="FFFFFF"/>
        </w:rPr>
        <w:t>项目概况</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cs="宋体"/>
          <w:bCs/>
          <w:color w:val="auto"/>
          <w:highlight w:val="none"/>
        </w:rPr>
      </w:pPr>
      <w:r>
        <w:rPr>
          <w:rFonts w:hint="eastAsia" w:cs="宋体"/>
          <w:bCs/>
          <w:color w:val="auto"/>
          <w:highlight w:val="none"/>
          <w:shd w:val="clear" w:color="auto" w:fill="FFFFFF"/>
          <w:lang w:eastAsia="zh-CN"/>
        </w:rPr>
        <w:t>西安铁路职业技术学院无纸化会议视频系统升级建设项目</w:t>
      </w:r>
      <w:r>
        <w:rPr>
          <w:rFonts w:hint="eastAsia" w:cs="宋体"/>
          <w:bCs/>
          <w:color w:val="auto"/>
          <w:highlight w:val="none"/>
          <w:shd w:val="clear" w:color="auto" w:fill="FFFFFF"/>
        </w:rPr>
        <w:t>招标项目的潜在投标人可在西安市经开区凤城五路赛高街区A座902室获取招标文件，并于2023年</w:t>
      </w:r>
      <w:r>
        <w:rPr>
          <w:rFonts w:hint="eastAsia" w:cs="宋体"/>
          <w:bCs/>
          <w:color w:val="auto"/>
          <w:highlight w:val="none"/>
          <w:shd w:val="clear" w:color="auto" w:fill="FFFFFF"/>
          <w:lang w:val="en-US" w:eastAsia="zh-CN"/>
        </w:rPr>
        <w:t>07</w:t>
      </w:r>
      <w:r>
        <w:rPr>
          <w:rFonts w:hint="eastAsia" w:cs="宋体"/>
          <w:bCs/>
          <w:color w:val="auto"/>
          <w:highlight w:val="none"/>
          <w:shd w:val="clear" w:color="auto" w:fill="FFFFFF"/>
        </w:rPr>
        <w:t>月</w:t>
      </w:r>
      <w:r>
        <w:rPr>
          <w:rFonts w:hint="eastAsia" w:cs="宋体"/>
          <w:bCs/>
          <w:color w:val="auto"/>
          <w:highlight w:val="none"/>
          <w:shd w:val="clear" w:color="auto" w:fill="FFFFFF"/>
          <w:lang w:val="en-US" w:eastAsia="zh-CN"/>
        </w:rPr>
        <w:t>03</w:t>
      </w:r>
      <w:r>
        <w:rPr>
          <w:rFonts w:hint="eastAsia" w:cs="宋体"/>
          <w:bCs/>
          <w:color w:val="auto"/>
          <w:highlight w:val="none"/>
          <w:shd w:val="clear" w:color="auto" w:fill="FFFFFF"/>
        </w:rPr>
        <w:t>日</w:t>
      </w:r>
      <w:r>
        <w:rPr>
          <w:rFonts w:hint="eastAsia" w:cs="宋体"/>
          <w:bCs/>
          <w:color w:val="auto"/>
          <w:highlight w:val="none"/>
          <w:shd w:val="clear" w:color="auto" w:fill="FFFFFF"/>
          <w:lang w:val="en-US" w:eastAsia="zh-CN"/>
        </w:rPr>
        <w:t>15</w:t>
      </w:r>
      <w:r>
        <w:rPr>
          <w:rFonts w:hint="eastAsia" w:cs="宋体"/>
          <w:bCs/>
          <w:color w:val="auto"/>
          <w:highlight w:val="none"/>
          <w:shd w:val="clear" w:color="auto" w:fill="FFFFFF"/>
        </w:rPr>
        <w:t>时</w:t>
      </w:r>
      <w:r>
        <w:rPr>
          <w:rFonts w:hint="eastAsia" w:cs="宋体"/>
          <w:bCs/>
          <w:color w:val="auto"/>
          <w:highlight w:val="none"/>
          <w:shd w:val="clear" w:color="auto" w:fill="FFFFFF"/>
          <w:lang w:val="en-US" w:eastAsia="zh-CN"/>
        </w:rPr>
        <w:t>00</w:t>
      </w:r>
      <w:r>
        <w:rPr>
          <w:rFonts w:hint="eastAsia" w:cs="宋体"/>
          <w:bCs/>
          <w:color w:val="auto"/>
          <w:highlight w:val="none"/>
          <w:shd w:val="clear" w:color="auto" w:fill="FFFFFF"/>
        </w:rPr>
        <w:t>分（北京时间）前递交投标文件。</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rFonts w:cs="宋体"/>
          <w:bCs/>
          <w:color w:val="auto"/>
          <w:highlight w:val="none"/>
        </w:rPr>
      </w:pPr>
      <w:r>
        <w:rPr>
          <w:rFonts w:hint="eastAsia" w:cs="宋体"/>
          <w:bCs/>
          <w:color w:val="auto"/>
          <w:highlight w:val="none"/>
          <w:shd w:val="clear" w:color="auto" w:fill="FFFFFF"/>
        </w:rPr>
        <w:t>一、项目基本情况：</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cs="宋体"/>
          <w:color w:val="auto"/>
          <w:highlight w:val="none"/>
        </w:rPr>
      </w:pPr>
      <w:r>
        <w:rPr>
          <w:rFonts w:hint="eastAsia" w:cs="宋体"/>
          <w:color w:val="auto"/>
          <w:highlight w:val="none"/>
          <w:shd w:val="clear" w:color="auto" w:fill="FFFFFF"/>
        </w:rPr>
        <w:t>项目编号：SXZHZB2023-ZC038-GK</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hint="eastAsia" w:eastAsia="宋体" w:cs="宋体"/>
          <w:color w:val="auto"/>
          <w:highlight w:val="none"/>
          <w:shd w:val="clear" w:color="auto" w:fill="FFFFFF"/>
          <w:lang w:eastAsia="zh-CN"/>
        </w:rPr>
      </w:pPr>
      <w:r>
        <w:rPr>
          <w:rFonts w:hint="eastAsia" w:cs="宋体"/>
          <w:color w:val="auto"/>
          <w:highlight w:val="none"/>
          <w:shd w:val="clear" w:color="auto" w:fill="FFFFFF"/>
        </w:rPr>
        <w:t>项目名称：</w:t>
      </w:r>
      <w:r>
        <w:rPr>
          <w:rFonts w:hint="eastAsia" w:cs="宋体"/>
          <w:color w:val="auto"/>
          <w:highlight w:val="none"/>
          <w:shd w:val="clear" w:color="auto" w:fill="FFFFFF"/>
          <w:lang w:eastAsia="zh-CN"/>
        </w:rPr>
        <w:t>西安铁路职业技术学院无纸化会议视频系统升级建设项目</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cs="宋体"/>
          <w:color w:val="auto"/>
          <w:highlight w:val="none"/>
          <w:shd w:val="clear" w:color="auto" w:fill="FFFFFF"/>
        </w:rPr>
      </w:pPr>
      <w:r>
        <w:rPr>
          <w:rFonts w:hint="eastAsia" w:cs="宋体"/>
          <w:color w:val="auto"/>
          <w:highlight w:val="none"/>
          <w:shd w:val="clear" w:color="auto" w:fill="FFFFFF"/>
        </w:rPr>
        <w:t>采购方式：公开招标</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cs="宋体"/>
          <w:color w:val="auto"/>
          <w:highlight w:val="none"/>
        </w:rPr>
      </w:pPr>
      <w:r>
        <w:rPr>
          <w:rFonts w:hint="eastAsia" w:cs="宋体"/>
          <w:color w:val="auto"/>
          <w:highlight w:val="none"/>
          <w:shd w:val="clear" w:color="auto" w:fill="FFFFFF"/>
        </w:rPr>
        <w:t>预算金额：</w:t>
      </w:r>
      <w:r>
        <w:rPr>
          <w:rFonts w:hint="eastAsia" w:cs="宋体"/>
          <w:color w:val="auto"/>
          <w:highlight w:val="none"/>
          <w:shd w:val="clear" w:color="auto" w:fill="FFFFFF"/>
          <w:lang w:val="en-US" w:eastAsia="zh-CN"/>
        </w:rPr>
        <w:t>12</w:t>
      </w:r>
      <w:r>
        <w:rPr>
          <w:rFonts w:hint="eastAsia" w:cs="宋体"/>
          <w:color w:val="auto"/>
          <w:highlight w:val="none"/>
          <w:shd w:val="clear" w:color="auto" w:fill="FFFFFF"/>
        </w:rPr>
        <w:t>0</w:t>
      </w:r>
      <w:r>
        <w:rPr>
          <w:rFonts w:hint="eastAsia" w:cs="宋体"/>
          <w:color w:val="auto"/>
          <w:highlight w:val="none"/>
          <w:shd w:val="clear" w:color="auto" w:fill="FFFFFF"/>
          <w:lang w:val="en-US" w:eastAsia="zh-CN"/>
        </w:rPr>
        <w:t>0</w:t>
      </w:r>
      <w:r>
        <w:rPr>
          <w:rFonts w:hint="eastAsia" w:cs="宋体"/>
          <w:color w:val="auto"/>
          <w:highlight w:val="none"/>
          <w:shd w:val="clear" w:color="auto" w:fill="FFFFFF"/>
        </w:rPr>
        <w:t>000.00元</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cs="宋体"/>
          <w:color w:val="auto"/>
          <w:highlight w:val="none"/>
          <w:shd w:val="clear" w:color="auto" w:fill="FFFFFF"/>
        </w:rPr>
      </w:pPr>
      <w:r>
        <w:rPr>
          <w:rFonts w:hint="eastAsia" w:cs="宋体"/>
          <w:color w:val="auto"/>
          <w:highlight w:val="none"/>
          <w:shd w:val="clear" w:color="auto" w:fill="FFFFFF"/>
        </w:rPr>
        <w:t>采购需求：</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cs="宋体"/>
          <w:color w:val="auto"/>
          <w:highlight w:val="none"/>
          <w:shd w:val="clear" w:color="auto" w:fill="FFFFFF"/>
        </w:rPr>
      </w:pPr>
      <w:r>
        <w:rPr>
          <w:rFonts w:hint="eastAsia" w:cs="宋体"/>
          <w:color w:val="auto"/>
          <w:highlight w:val="none"/>
          <w:shd w:val="clear" w:color="auto" w:fill="FFFFFF"/>
        </w:rPr>
        <w:t>合同包1(</w:t>
      </w:r>
      <w:r>
        <w:rPr>
          <w:rFonts w:hint="eastAsia" w:cs="宋体"/>
          <w:color w:val="auto"/>
          <w:highlight w:val="none"/>
          <w:shd w:val="clear" w:color="auto" w:fill="FFFFFF"/>
          <w:lang w:eastAsia="zh-CN"/>
        </w:rPr>
        <w:t>无纸化会议视频系统升级建设</w:t>
      </w:r>
      <w:r>
        <w:rPr>
          <w:rFonts w:hint="eastAsia" w:cs="宋体"/>
          <w:color w:val="auto"/>
          <w:highlight w:val="none"/>
          <w:shd w:val="clear" w:color="auto" w:fill="FFFFFF"/>
        </w:rPr>
        <w:t>）；</w:t>
      </w:r>
    </w:p>
    <w:p>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textAlignment w:val="auto"/>
        <w:rPr>
          <w:rFonts w:cs="宋体"/>
          <w:color w:val="auto"/>
          <w:highlight w:val="none"/>
        </w:rPr>
      </w:pPr>
      <w:r>
        <w:rPr>
          <w:rFonts w:hint="eastAsia" w:cs="宋体"/>
          <w:color w:val="auto"/>
          <w:highlight w:val="none"/>
          <w:shd w:val="clear" w:color="auto" w:fill="FFFFFF"/>
        </w:rPr>
        <w:t>合同包预算金额：</w:t>
      </w:r>
      <w:r>
        <w:rPr>
          <w:rFonts w:hint="eastAsia" w:cs="宋体"/>
          <w:color w:val="auto"/>
          <w:highlight w:val="none"/>
          <w:shd w:val="clear" w:color="auto" w:fill="FFFFFF"/>
          <w:lang w:val="en-US" w:eastAsia="zh-CN"/>
        </w:rPr>
        <w:t>12</w:t>
      </w:r>
      <w:r>
        <w:rPr>
          <w:rFonts w:hint="eastAsia" w:cs="宋体"/>
          <w:color w:val="auto"/>
          <w:highlight w:val="none"/>
          <w:shd w:val="clear" w:color="auto" w:fill="FFFFFF"/>
        </w:rPr>
        <w:t>0</w:t>
      </w:r>
      <w:r>
        <w:rPr>
          <w:rFonts w:hint="eastAsia" w:cs="宋体"/>
          <w:color w:val="auto"/>
          <w:highlight w:val="none"/>
          <w:shd w:val="clear" w:color="auto" w:fill="FFFFFF"/>
          <w:lang w:val="en-US" w:eastAsia="zh-CN"/>
        </w:rPr>
        <w:t>0</w:t>
      </w:r>
      <w:r>
        <w:rPr>
          <w:rFonts w:hint="eastAsia" w:cs="宋体"/>
          <w:color w:val="auto"/>
          <w:highlight w:val="none"/>
          <w:shd w:val="clear" w:color="auto" w:fill="FFFFFF"/>
        </w:rPr>
        <w:t>000.00元</w:t>
      </w:r>
    </w:p>
    <w:tbl>
      <w:tblPr>
        <w:tblStyle w:val="44"/>
        <w:tblW w:w="4996"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65"/>
        <w:gridCol w:w="1474"/>
        <w:gridCol w:w="1474"/>
        <w:gridCol w:w="1190"/>
        <w:gridCol w:w="1748"/>
        <w:gridCol w:w="1464"/>
        <w:gridCol w:w="14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99"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品目号</w:t>
            </w:r>
          </w:p>
        </w:tc>
        <w:tc>
          <w:tcPr>
            <w:tcW w:w="76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品目名称</w:t>
            </w:r>
          </w:p>
        </w:tc>
        <w:tc>
          <w:tcPr>
            <w:tcW w:w="76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采购标的</w:t>
            </w:r>
          </w:p>
        </w:tc>
        <w:tc>
          <w:tcPr>
            <w:tcW w:w="620"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数量</w:t>
            </w:r>
          </w:p>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（单位）</w:t>
            </w:r>
          </w:p>
        </w:tc>
        <w:tc>
          <w:tcPr>
            <w:tcW w:w="91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技术规格、参数及要求</w:t>
            </w:r>
          </w:p>
        </w:tc>
        <w:tc>
          <w:tcPr>
            <w:tcW w:w="76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品目预算(元)</w:t>
            </w:r>
          </w:p>
        </w:tc>
        <w:tc>
          <w:tcPr>
            <w:tcW w:w="767"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99"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1-1</w:t>
            </w:r>
          </w:p>
        </w:tc>
        <w:tc>
          <w:tcPr>
            <w:tcW w:w="76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int="eastAsia" w:hAnsi="宋体" w:cs="宋体"/>
                <w:color w:val="auto"/>
                <w:kern w:val="2"/>
                <w:szCs w:val="24"/>
                <w:highlight w:val="none"/>
              </w:rPr>
            </w:pPr>
            <w:r>
              <w:rPr>
                <w:rFonts w:hint="eastAsia" w:hAnsi="宋体" w:cs="宋体"/>
                <w:color w:val="auto"/>
                <w:kern w:val="2"/>
                <w:szCs w:val="24"/>
                <w:highlight w:val="none"/>
              </w:rPr>
              <w:t>会议、广播及音乐欣赏系统</w:t>
            </w:r>
          </w:p>
        </w:tc>
        <w:tc>
          <w:tcPr>
            <w:tcW w:w="76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int="eastAsia" w:hAnsi="宋体" w:cs="宋体"/>
                <w:color w:val="auto"/>
                <w:kern w:val="2"/>
                <w:szCs w:val="24"/>
                <w:highlight w:val="none"/>
              </w:rPr>
            </w:pPr>
            <w:r>
              <w:rPr>
                <w:rFonts w:hint="eastAsia" w:hAnsi="宋体" w:cs="宋体"/>
                <w:color w:val="auto"/>
                <w:kern w:val="2"/>
                <w:szCs w:val="24"/>
                <w:highlight w:val="none"/>
              </w:rPr>
              <w:t>无纸化会议视频系统升级建设</w:t>
            </w:r>
          </w:p>
        </w:tc>
        <w:tc>
          <w:tcPr>
            <w:tcW w:w="620"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1(</w:t>
            </w:r>
            <w:r>
              <w:rPr>
                <w:rFonts w:hint="eastAsia" w:hAnsi="宋体" w:cs="宋体"/>
                <w:color w:val="auto"/>
                <w:kern w:val="2"/>
                <w:szCs w:val="24"/>
                <w:highlight w:val="none"/>
                <w:lang w:eastAsia="zh-CN"/>
              </w:rPr>
              <w:t>项</w:t>
            </w:r>
            <w:r>
              <w:rPr>
                <w:rFonts w:hint="eastAsia" w:hAnsi="宋体" w:cs="宋体"/>
                <w:color w:val="auto"/>
                <w:kern w:val="2"/>
                <w:szCs w:val="24"/>
                <w:highlight w:val="none"/>
              </w:rPr>
              <w:t>)</w:t>
            </w:r>
          </w:p>
        </w:tc>
        <w:tc>
          <w:tcPr>
            <w:tcW w:w="91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uto"/>
              <w:jc w:val="center"/>
              <w:rPr>
                <w:rFonts w:hint="eastAsia" w:hAnsi="宋体" w:eastAsia="宋体" w:cs="宋体"/>
                <w:color w:val="auto"/>
                <w:kern w:val="2"/>
                <w:szCs w:val="24"/>
                <w:highlight w:val="none"/>
                <w:lang w:eastAsia="zh-CN"/>
              </w:rPr>
            </w:pPr>
            <w:r>
              <w:rPr>
                <w:rFonts w:hint="eastAsia" w:hAnsi="宋体" w:cs="宋体"/>
                <w:color w:val="auto"/>
                <w:kern w:val="2"/>
                <w:szCs w:val="24"/>
                <w:highlight w:val="none"/>
              </w:rPr>
              <w:t>详见</w:t>
            </w:r>
            <w:r>
              <w:rPr>
                <w:rFonts w:hint="eastAsia" w:hAnsi="宋体" w:cs="宋体"/>
                <w:color w:val="auto"/>
                <w:kern w:val="2"/>
                <w:szCs w:val="24"/>
                <w:highlight w:val="none"/>
                <w:lang w:eastAsia="zh-CN"/>
              </w:rPr>
              <w:t>采购</w:t>
            </w:r>
          </w:p>
          <w:p>
            <w:pPr>
              <w:widowControl/>
              <w:wordWrap w:val="0"/>
              <w:spacing w:line="360" w:lineRule="auto"/>
              <w:jc w:val="center"/>
              <w:rPr>
                <w:rFonts w:hAnsi="宋体" w:cs="宋体"/>
                <w:color w:val="auto"/>
                <w:kern w:val="2"/>
                <w:szCs w:val="24"/>
                <w:highlight w:val="none"/>
              </w:rPr>
            </w:pPr>
            <w:r>
              <w:rPr>
                <w:rFonts w:hint="eastAsia" w:hAnsi="宋体" w:cs="宋体"/>
                <w:color w:val="auto"/>
                <w:kern w:val="2"/>
                <w:szCs w:val="24"/>
                <w:highlight w:val="none"/>
              </w:rPr>
              <w:t>文件</w:t>
            </w:r>
          </w:p>
        </w:tc>
        <w:tc>
          <w:tcPr>
            <w:tcW w:w="76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360" w:lineRule="auto"/>
              <w:jc w:val="center"/>
              <w:rPr>
                <w:rFonts w:hAnsi="宋体" w:cs="宋体"/>
                <w:color w:val="auto"/>
                <w:kern w:val="2"/>
                <w:szCs w:val="24"/>
                <w:highlight w:val="none"/>
              </w:rPr>
            </w:pPr>
            <w:r>
              <w:rPr>
                <w:rFonts w:hint="eastAsia" w:cs="宋体"/>
                <w:color w:val="auto"/>
                <w:highlight w:val="none"/>
                <w:shd w:val="clear" w:color="auto" w:fill="FFFFFF"/>
                <w:lang w:val="en-US" w:eastAsia="zh-CN"/>
              </w:rPr>
              <w:t>12</w:t>
            </w:r>
            <w:r>
              <w:rPr>
                <w:rFonts w:hint="eastAsia" w:cs="宋体"/>
                <w:color w:val="auto"/>
                <w:highlight w:val="none"/>
                <w:shd w:val="clear" w:color="auto" w:fill="FFFFFF"/>
              </w:rPr>
              <w:t>0</w:t>
            </w:r>
            <w:r>
              <w:rPr>
                <w:rFonts w:hint="eastAsia" w:cs="宋体"/>
                <w:color w:val="auto"/>
                <w:highlight w:val="none"/>
                <w:shd w:val="clear" w:color="auto" w:fill="FFFFFF"/>
                <w:lang w:val="en-US" w:eastAsia="zh-CN"/>
              </w:rPr>
              <w:t>0</w:t>
            </w:r>
            <w:r>
              <w:rPr>
                <w:rFonts w:hint="eastAsia" w:cs="宋体"/>
                <w:color w:val="auto"/>
                <w:highlight w:val="none"/>
                <w:shd w:val="clear" w:color="auto" w:fill="FFFFFF"/>
              </w:rPr>
              <w:t>000.00</w:t>
            </w:r>
          </w:p>
        </w:tc>
        <w:tc>
          <w:tcPr>
            <w:tcW w:w="767"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360" w:lineRule="auto"/>
              <w:jc w:val="center"/>
              <w:rPr>
                <w:rFonts w:hAnsi="宋体" w:cs="宋体"/>
                <w:color w:val="auto"/>
                <w:kern w:val="2"/>
                <w:szCs w:val="24"/>
                <w:highlight w:val="none"/>
              </w:rPr>
            </w:pPr>
            <w:r>
              <w:rPr>
                <w:rFonts w:hint="eastAsia" w:cs="宋体"/>
                <w:color w:val="auto"/>
                <w:highlight w:val="none"/>
                <w:shd w:val="clear" w:color="auto" w:fill="FFFFFF"/>
                <w:lang w:val="en-US" w:eastAsia="zh-CN"/>
              </w:rPr>
              <w:t>12</w:t>
            </w:r>
            <w:r>
              <w:rPr>
                <w:rFonts w:hint="eastAsia" w:cs="宋体"/>
                <w:color w:val="auto"/>
                <w:highlight w:val="none"/>
                <w:shd w:val="clear" w:color="auto" w:fill="FFFFFF"/>
              </w:rPr>
              <w:t>0</w:t>
            </w:r>
            <w:r>
              <w:rPr>
                <w:rFonts w:hint="eastAsia" w:cs="宋体"/>
                <w:color w:val="auto"/>
                <w:highlight w:val="none"/>
                <w:shd w:val="clear" w:color="auto" w:fill="FFFFFF"/>
                <w:lang w:val="en-US" w:eastAsia="zh-CN"/>
              </w:rPr>
              <w:t>0</w:t>
            </w:r>
            <w:r>
              <w:rPr>
                <w:rFonts w:hint="eastAsia" w:cs="宋体"/>
                <w:color w:val="auto"/>
                <w:highlight w:val="none"/>
                <w:shd w:val="clear" w:color="auto" w:fill="FFFFFF"/>
              </w:rPr>
              <w:t>000.00</w:t>
            </w:r>
          </w:p>
        </w:tc>
      </w:tr>
    </w:tbl>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本合同包不接受联合体投标</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合同履行期限：</w:t>
      </w:r>
      <w:r>
        <w:rPr>
          <w:rFonts w:hint="eastAsia" w:cs="宋体"/>
          <w:color w:val="auto"/>
          <w:highlight w:val="none"/>
        </w:rPr>
        <w:t>自合同签订之日起</w:t>
      </w:r>
      <w:r>
        <w:rPr>
          <w:rFonts w:hint="eastAsia" w:cs="宋体"/>
          <w:color w:val="auto"/>
          <w:highlight w:val="none"/>
          <w:lang w:val="en-US" w:eastAsia="zh-CN"/>
        </w:rPr>
        <w:t>30</w:t>
      </w:r>
      <w:r>
        <w:rPr>
          <w:rFonts w:hint="eastAsia" w:cs="宋体"/>
          <w:color w:val="auto"/>
          <w:highlight w:val="none"/>
        </w:rPr>
        <w:t>个日历日。</w:t>
      </w:r>
    </w:p>
    <w:p>
      <w:pPr>
        <w:pStyle w:val="40"/>
        <w:spacing w:before="0" w:beforeAutospacing="0" w:after="0" w:afterAutospacing="0" w:line="360" w:lineRule="auto"/>
        <w:rPr>
          <w:rFonts w:cs="宋体"/>
          <w:b/>
          <w:color w:val="auto"/>
          <w:highlight w:val="none"/>
        </w:rPr>
      </w:pPr>
      <w:r>
        <w:rPr>
          <w:rFonts w:hint="eastAsia" w:cs="宋体"/>
          <w:b/>
          <w:color w:val="auto"/>
          <w:highlight w:val="none"/>
          <w:shd w:val="clear" w:color="auto" w:fill="FFFFFF"/>
        </w:rPr>
        <w:t>二、申请人的资格要求</w:t>
      </w:r>
    </w:p>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1.满足《中华人民共和国政府釆购法》第二十二条规定;</w:t>
      </w:r>
    </w:p>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2.落实政府采购政策需满足的资格要求：</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合同包1(</w:t>
      </w:r>
      <w:r>
        <w:rPr>
          <w:rFonts w:hint="eastAsia" w:cs="宋体"/>
          <w:color w:val="auto"/>
          <w:highlight w:val="none"/>
          <w:shd w:val="clear" w:color="auto" w:fill="FFFFFF"/>
          <w:lang w:eastAsia="zh-CN"/>
        </w:rPr>
        <w:t>无纸化会议视频系统升级建设</w:t>
      </w:r>
      <w:r>
        <w:rPr>
          <w:rFonts w:hint="eastAsia" w:cs="宋体"/>
          <w:color w:val="auto"/>
          <w:highlight w:val="none"/>
          <w:shd w:val="clear" w:color="auto" w:fill="FFFFFF"/>
        </w:rPr>
        <w:t>)落实政府采购政策需满足的资格要求如下:/</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3.本项目的特定资格要求：</w:t>
      </w:r>
    </w:p>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合同包1(</w:t>
      </w:r>
      <w:r>
        <w:rPr>
          <w:rFonts w:hint="eastAsia" w:cs="宋体"/>
          <w:color w:val="auto"/>
          <w:highlight w:val="none"/>
          <w:shd w:val="clear" w:color="auto" w:fill="FFFFFF"/>
          <w:lang w:eastAsia="zh-CN"/>
        </w:rPr>
        <w:t>无纸化会议视频系统升级建设</w:t>
      </w:r>
      <w:r>
        <w:rPr>
          <w:rFonts w:hint="eastAsia" w:cs="宋体"/>
          <w:color w:val="auto"/>
          <w:highlight w:val="none"/>
          <w:shd w:val="clear" w:color="auto" w:fill="FFFFFF"/>
        </w:rPr>
        <w:t>)特定资格要求如下:</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（1）法定代表人授权书（附法定代表人、被授权人身份证复印件）及被授权人身份证（法定代表人直接参加投标，须提供法定代表人身份证明及身份证原件）；</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（3）控股管理关系：单位负责人为同一人或者存在直接控股、管理关系的供应商，不得参加同一合同下的政府采购活动;</w:t>
      </w:r>
    </w:p>
    <w:p>
      <w:pPr>
        <w:pStyle w:val="40"/>
        <w:spacing w:before="0" w:beforeAutospacing="0" w:after="0" w:afterAutospacing="0" w:line="360" w:lineRule="auto"/>
        <w:ind w:firstLine="480" w:firstLineChars="200"/>
        <w:rPr>
          <w:rFonts w:hint="eastAsia" w:cs="宋体"/>
          <w:color w:val="auto"/>
          <w:highlight w:val="none"/>
          <w:shd w:val="clear" w:color="auto" w:fill="FFFFFF"/>
        </w:rPr>
      </w:pPr>
      <w:r>
        <w:rPr>
          <w:rFonts w:hint="eastAsia" w:cs="宋体"/>
          <w:color w:val="auto"/>
          <w:highlight w:val="none"/>
          <w:shd w:val="clear" w:color="auto" w:fill="FFFFFF"/>
        </w:rPr>
        <w:t>（4）为本项目提供过整体设计、规范编制或者项目管理、监理、检测等服务的供应商，不得再参加本项目采购活动。</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（5）本项目不接受联合体投标，不允许分包。</w:t>
      </w:r>
    </w:p>
    <w:p>
      <w:pPr>
        <w:pStyle w:val="40"/>
        <w:spacing w:before="0" w:beforeAutospacing="0" w:after="0" w:afterAutospacing="0" w:line="360" w:lineRule="auto"/>
        <w:rPr>
          <w:rFonts w:cs="宋体"/>
          <w:b/>
          <w:color w:val="auto"/>
          <w:highlight w:val="none"/>
        </w:rPr>
      </w:pPr>
      <w:r>
        <w:rPr>
          <w:rFonts w:hint="eastAsia" w:cs="宋体"/>
          <w:b/>
          <w:color w:val="auto"/>
          <w:highlight w:val="none"/>
          <w:shd w:val="clear" w:color="auto" w:fill="FFFFFF"/>
        </w:rPr>
        <w:t>三、获取招标文件</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时间：2023年</w:t>
      </w:r>
      <w:r>
        <w:rPr>
          <w:rFonts w:hint="eastAsia" w:cs="宋体"/>
          <w:color w:val="auto"/>
          <w:highlight w:val="none"/>
          <w:shd w:val="clear" w:color="auto" w:fill="FFFFFF"/>
          <w:lang w:val="en-US" w:eastAsia="zh-CN"/>
        </w:rPr>
        <w:t>06</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13</w:t>
      </w:r>
      <w:r>
        <w:rPr>
          <w:rFonts w:hint="eastAsia" w:cs="宋体"/>
          <w:color w:val="auto"/>
          <w:highlight w:val="none"/>
          <w:shd w:val="clear" w:color="auto" w:fill="FFFFFF"/>
        </w:rPr>
        <w:t>日至2023年</w:t>
      </w:r>
      <w:r>
        <w:rPr>
          <w:rFonts w:hint="eastAsia" w:cs="宋体"/>
          <w:color w:val="auto"/>
          <w:highlight w:val="none"/>
          <w:shd w:val="clear" w:color="auto" w:fill="FFFFFF"/>
          <w:lang w:val="en-US" w:eastAsia="zh-CN"/>
        </w:rPr>
        <w:t>06</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19</w:t>
      </w:r>
      <w:r>
        <w:rPr>
          <w:rFonts w:hint="eastAsia" w:cs="宋体"/>
          <w:color w:val="auto"/>
          <w:highlight w:val="none"/>
          <w:shd w:val="clear" w:color="auto" w:fill="FFFFFF"/>
        </w:rPr>
        <w:t>日，每天上午09:00:00至12:00:00 ，下午14:00:00至17:00:00（北京时间,法定节假日除外）</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地点：西安市经开区凤城五路赛高街区A座902室</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方式：现场</w:t>
      </w:r>
      <w:r>
        <w:rPr>
          <w:rFonts w:hint="eastAsia" w:cs="宋体"/>
          <w:color w:val="auto"/>
          <w:kern w:val="2"/>
          <w:highlight w:val="none"/>
        </w:rPr>
        <w:t>获取</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售价：0元</w:t>
      </w:r>
    </w:p>
    <w:p>
      <w:pPr>
        <w:pStyle w:val="40"/>
        <w:spacing w:before="0" w:beforeAutospacing="0" w:after="0" w:afterAutospacing="0" w:line="360" w:lineRule="auto"/>
        <w:rPr>
          <w:rFonts w:cs="宋体"/>
          <w:b/>
          <w:color w:val="auto"/>
          <w:highlight w:val="none"/>
        </w:rPr>
      </w:pPr>
      <w:r>
        <w:rPr>
          <w:rFonts w:hint="eastAsia" w:cs="宋体"/>
          <w:b/>
          <w:color w:val="auto"/>
          <w:highlight w:val="none"/>
          <w:shd w:val="clear" w:color="auto" w:fill="FFFFFF"/>
        </w:rPr>
        <w:t>四、投标文件提交</w:t>
      </w:r>
    </w:p>
    <w:p>
      <w:pPr>
        <w:pStyle w:val="40"/>
        <w:spacing w:before="0" w:beforeAutospacing="0" w:after="0" w:afterAutospacing="0" w:line="360" w:lineRule="auto"/>
        <w:ind w:left="480"/>
        <w:jc w:val="both"/>
        <w:rPr>
          <w:rFonts w:cs="宋体"/>
          <w:color w:val="auto"/>
          <w:highlight w:val="none"/>
          <w:shd w:val="clear" w:color="auto" w:fill="FFFFFF"/>
        </w:rPr>
      </w:pPr>
      <w:r>
        <w:rPr>
          <w:rFonts w:hint="eastAsia" w:cs="宋体"/>
          <w:color w:val="auto"/>
          <w:highlight w:val="none"/>
          <w:shd w:val="clear" w:color="auto" w:fill="FFFFFF"/>
        </w:rPr>
        <w:t>时间：2023年</w:t>
      </w:r>
      <w:r>
        <w:rPr>
          <w:rFonts w:hint="eastAsia" w:cs="宋体"/>
          <w:color w:val="auto"/>
          <w:highlight w:val="none"/>
          <w:shd w:val="clear" w:color="auto" w:fill="FFFFFF"/>
          <w:lang w:val="en-US" w:eastAsia="zh-CN"/>
        </w:rPr>
        <w:t>07</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03</w:t>
      </w:r>
      <w:r>
        <w:rPr>
          <w:rFonts w:hint="eastAsia" w:cs="宋体"/>
          <w:color w:val="auto"/>
          <w:highlight w:val="none"/>
          <w:shd w:val="clear" w:color="auto" w:fill="FFFFFF"/>
        </w:rPr>
        <w:t>日</w:t>
      </w:r>
      <w:r>
        <w:rPr>
          <w:rFonts w:hint="eastAsia" w:cs="宋体"/>
          <w:color w:val="auto"/>
          <w:highlight w:val="none"/>
          <w:shd w:val="clear" w:color="auto" w:fill="FFFFFF"/>
          <w:lang w:val="en-US" w:eastAsia="zh-CN"/>
        </w:rPr>
        <w:t>15</w:t>
      </w:r>
      <w:r>
        <w:rPr>
          <w:rFonts w:hint="eastAsia" w:cs="宋体"/>
          <w:color w:val="auto"/>
          <w:highlight w:val="none"/>
          <w:shd w:val="clear" w:color="auto" w:fill="FFFFFF"/>
        </w:rPr>
        <w:t>时</w:t>
      </w:r>
      <w:r>
        <w:rPr>
          <w:rFonts w:hint="eastAsia" w:cs="宋体"/>
          <w:color w:val="auto"/>
          <w:highlight w:val="none"/>
          <w:shd w:val="clear" w:color="auto" w:fill="FFFFFF"/>
          <w:lang w:val="en-US" w:eastAsia="zh-CN"/>
        </w:rPr>
        <w:t>00</w:t>
      </w:r>
      <w:r>
        <w:rPr>
          <w:rFonts w:hint="eastAsia" w:cs="宋体"/>
          <w:color w:val="auto"/>
          <w:highlight w:val="none"/>
          <w:shd w:val="clear" w:color="auto" w:fill="FFFFFF"/>
        </w:rPr>
        <w:t>分00秒（北京时间）</w:t>
      </w:r>
    </w:p>
    <w:p>
      <w:pPr>
        <w:pStyle w:val="40"/>
        <w:spacing w:before="0" w:beforeAutospacing="0" w:after="0" w:afterAutospacing="0" w:line="360" w:lineRule="auto"/>
        <w:ind w:left="480"/>
        <w:jc w:val="both"/>
        <w:rPr>
          <w:rFonts w:cs="宋体"/>
          <w:color w:val="auto"/>
          <w:highlight w:val="none"/>
          <w:shd w:val="clear" w:color="auto" w:fill="FFFFFF"/>
        </w:rPr>
      </w:pPr>
      <w:r>
        <w:rPr>
          <w:rFonts w:hint="eastAsia" w:cs="宋体"/>
          <w:color w:val="auto"/>
          <w:highlight w:val="none"/>
          <w:shd w:val="clear" w:color="auto" w:fill="FFFFFF"/>
        </w:rPr>
        <w:t>提交投标文件地点：西安市经开区凤城五路赛高街区A座902室开标一室</w:t>
      </w:r>
    </w:p>
    <w:p>
      <w:pPr>
        <w:pStyle w:val="40"/>
        <w:spacing w:before="0" w:beforeAutospacing="0" w:after="0" w:afterAutospacing="0" w:line="360" w:lineRule="auto"/>
        <w:ind w:left="480"/>
        <w:jc w:val="both"/>
        <w:rPr>
          <w:rFonts w:cs="宋体"/>
          <w:color w:val="auto"/>
          <w:highlight w:val="none"/>
          <w:shd w:val="clear" w:color="auto" w:fill="FFFFFF"/>
        </w:rPr>
      </w:pPr>
      <w:r>
        <w:rPr>
          <w:rFonts w:hint="eastAsia" w:cs="宋体"/>
          <w:color w:val="auto"/>
          <w:highlight w:val="none"/>
          <w:shd w:val="clear" w:color="auto" w:fill="FFFFFF"/>
        </w:rPr>
        <w:t>开标地点：西安市经开区凤城五路赛高街区A座902室开标一室</w:t>
      </w:r>
    </w:p>
    <w:p>
      <w:pPr>
        <w:pStyle w:val="40"/>
        <w:spacing w:before="0" w:beforeAutospacing="0" w:after="0" w:afterAutospacing="0" w:line="360" w:lineRule="auto"/>
        <w:rPr>
          <w:rFonts w:cs="宋体"/>
          <w:b/>
          <w:color w:val="auto"/>
          <w:highlight w:val="none"/>
        </w:rPr>
      </w:pPr>
      <w:r>
        <w:rPr>
          <w:rFonts w:hint="eastAsia" w:cs="宋体"/>
          <w:b/>
          <w:color w:val="auto"/>
          <w:highlight w:val="none"/>
          <w:shd w:val="clear" w:color="auto" w:fill="FFFFFF"/>
        </w:rPr>
        <w:t>五、公告期限</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自本公告发布之日起5个工作日。</w:t>
      </w:r>
    </w:p>
    <w:p>
      <w:pPr>
        <w:pStyle w:val="40"/>
        <w:spacing w:before="0" w:beforeAutospacing="0" w:after="0" w:afterAutospacing="0" w:line="360" w:lineRule="auto"/>
        <w:rPr>
          <w:rFonts w:cs="宋体"/>
          <w:b/>
          <w:color w:val="auto"/>
          <w:highlight w:val="none"/>
          <w:shd w:val="clear" w:color="auto" w:fill="FFFFFF"/>
        </w:rPr>
      </w:pPr>
      <w:r>
        <w:rPr>
          <w:rFonts w:hint="eastAsia" w:cs="宋体"/>
          <w:b/>
          <w:color w:val="auto"/>
          <w:highlight w:val="none"/>
          <w:shd w:val="clear" w:color="auto" w:fill="FFFFFF"/>
        </w:rPr>
        <w:t>六、其他补充事宜</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1、</w:t>
      </w:r>
      <w:r>
        <w:rPr>
          <w:rFonts w:hint="eastAsia" w:cs="宋体"/>
          <w:b/>
          <w:bCs/>
          <w:color w:val="auto"/>
          <w:highlight w:val="none"/>
          <w:shd w:val="clear" w:color="auto" w:fill="FFFFFF"/>
        </w:rPr>
        <w:t>本项目非专门面向中小企业。</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2、领取招标文件请携带单位介绍信原件，经办人身份证原件及加盖供应商公章的身份证复印件。(提示:请供应商按照陕西省财政厅关于政府采购供应商注册登记有关事项的通知中的要求，通过陕西省政府采购网（http://www.ccgp-shaanxi.gov.cn/）注册登记加入陕西省政府采购供应商库。)</w:t>
      </w:r>
    </w:p>
    <w:p>
      <w:pPr>
        <w:pStyle w:val="40"/>
        <w:spacing w:before="0" w:beforeAutospacing="0" w:after="0" w:afterAutospacing="0" w:line="360" w:lineRule="auto"/>
        <w:ind w:firstLine="480" w:firstLineChars="200"/>
        <w:rPr>
          <w:rFonts w:cs="宋体"/>
          <w:color w:val="auto"/>
          <w:highlight w:val="none"/>
          <w:shd w:val="clear" w:color="auto" w:fill="FFFFFF"/>
        </w:rPr>
      </w:pPr>
      <w:r>
        <w:rPr>
          <w:rFonts w:hint="eastAsia" w:cs="宋体"/>
          <w:color w:val="auto"/>
          <w:highlight w:val="none"/>
          <w:shd w:val="clear" w:color="auto" w:fill="FFFFFF"/>
        </w:rPr>
        <w:t>3、需要落实的政府采购政策：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（1）《政府采购促进中小企业发展管理办法》（财库〔2020〕46号）；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（2） 《财政部司法部关于政府采购支持监狱企业发展有关问题的通知》（财库〔2014〕68 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（3）《国务院办公厅关于建立政府强制采购节能产品制度的通知》（国发办〔2007〕51号）；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（4）《节能产品政府采购实施意见》（财库〔2004〕185号）；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（5）《环境标志产品政府采购实施的意见》（财库〔2006〕90号）；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（6）《三部门联合发布关于促进残疾人就业政府采购政策的通知》（财库〔2017〕141号）；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（7）《财政部发展改革委生态环境部市场监管总局关于调整优化节能产品、环境标志产品政府采购执行机制的通知》（财库〔2019〕9号）；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（8）陕西省财政厅关于印发《陕西省中小企业政府采购信用融资办法》（陕财办采〔2018〕23号）； </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（9）《财政部 农业农村部 国家乡村振兴局关于运用政府采购政策支持乡村产业振兴的通知》（财库〔2021〕19号）； </w:t>
      </w:r>
    </w:p>
    <w:p>
      <w:pPr>
        <w:pStyle w:val="40"/>
        <w:snapToGrid w:val="0"/>
        <w:spacing w:before="0" w:beforeAutospacing="0" w:after="0" w:afterAutospacing="0" w:line="360" w:lineRule="auto"/>
        <w:ind w:firstLine="240" w:firstLineChars="100"/>
        <w:jc w:val="both"/>
        <w:rPr>
          <w:rFonts w:cs="宋体"/>
          <w:color w:val="auto"/>
          <w:kern w:val="2"/>
          <w:highlight w:val="none"/>
        </w:rPr>
      </w:pPr>
      <w:r>
        <w:rPr>
          <w:rFonts w:hint="eastAsia" w:cs="宋体"/>
          <w:color w:val="auto"/>
          <w:kern w:val="2"/>
          <w:highlight w:val="none"/>
        </w:rPr>
        <w:t>（10）《财政部农业农村部国家乡村振兴局 中华全国供销合作总社关于印发&lt;关于深入开展政府采购脱贫地区农副产品工作推进乡村产业振兴的实施意见&gt;的通知》（财库〔2021〕20 号）；</w:t>
      </w:r>
    </w:p>
    <w:p>
      <w:pPr>
        <w:pStyle w:val="40"/>
        <w:snapToGrid w:val="0"/>
        <w:spacing w:before="0" w:beforeAutospacing="0" w:after="0" w:afterAutospacing="0" w:line="360" w:lineRule="auto"/>
        <w:ind w:firstLine="240" w:firstLineChars="100"/>
        <w:jc w:val="both"/>
        <w:rPr>
          <w:rFonts w:cs="宋体"/>
          <w:color w:val="auto"/>
          <w:kern w:val="2"/>
          <w:highlight w:val="none"/>
        </w:rPr>
      </w:pPr>
      <w:r>
        <w:rPr>
          <w:rFonts w:hint="eastAsia" w:cs="宋体"/>
          <w:color w:val="auto"/>
          <w:kern w:val="2"/>
          <w:highlight w:val="none"/>
        </w:rPr>
        <w:t xml:space="preserve">（11）《陕西省财政厅关于进一步加强政府绿色采购有关问题的通知》（陕财办采〔2021〕29 号）； </w:t>
      </w:r>
    </w:p>
    <w:p>
      <w:pPr>
        <w:pStyle w:val="40"/>
        <w:snapToGrid w:val="0"/>
        <w:spacing w:before="0" w:beforeAutospacing="0" w:after="0" w:afterAutospacing="0" w:line="360" w:lineRule="auto"/>
        <w:ind w:firstLine="240" w:firstLineChars="100"/>
        <w:jc w:val="both"/>
        <w:rPr>
          <w:rFonts w:cs="宋体"/>
          <w:color w:val="auto"/>
          <w:kern w:val="2"/>
          <w:highlight w:val="none"/>
        </w:rPr>
      </w:pPr>
      <w:r>
        <w:rPr>
          <w:rFonts w:hint="eastAsia" w:cs="宋体"/>
          <w:color w:val="auto"/>
          <w:kern w:val="2"/>
          <w:highlight w:val="none"/>
        </w:rPr>
        <w:t>（12）《财政部关于在政府采购活动中落实平等对待内外资企业有关政策的通知》（财 库〔2021〕35 号）；</w:t>
      </w:r>
    </w:p>
    <w:p>
      <w:pPr>
        <w:pStyle w:val="40"/>
        <w:snapToGrid w:val="0"/>
        <w:spacing w:before="0" w:beforeAutospacing="0" w:after="0" w:afterAutospacing="0" w:line="360" w:lineRule="auto"/>
        <w:ind w:firstLine="240" w:firstLineChars="100"/>
        <w:jc w:val="both"/>
        <w:rPr>
          <w:rFonts w:cs="宋体"/>
          <w:color w:val="auto"/>
          <w:kern w:val="2"/>
          <w:highlight w:val="none"/>
        </w:rPr>
      </w:pPr>
      <w:r>
        <w:rPr>
          <w:rFonts w:hint="eastAsia" w:cs="宋体"/>
          <w:color w:val="auto"/>
          <w:kern w:val="2"/>
          <w:highlight w:val="none"/>
        </w:rPr>
        <w:t>（13）陕西省财政厅《关于加快推进我省中小企业政府采购信用融资工作的通知》（陕财办采〔2020〕15 号）；</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（14）《西安市财政局关于进一步加大政府采购支持中小企业力度的通知》（市财函</w:t>
      </w:r>
      <w:r>
        <w:rPr>
          <w:rFonts w:hint="eastAsia" w:cs="宋体"/>
          <w:color w:val="auto"/>
          <w:kern w:val="2"/>
          <w:highlight w:val="none"/>
        </w:rPr>
        <w:t>〔2022〕867号</w:t>
      </w:r>
      <w:r>
        <w:rPr>
          <w:rFonts w:hint="eastAsia" w:cs="宋体"/>
          <w:color w:val="auto"/>
          <w:highlight w:val="none"/>
          <w:shd w:val="clear" w:color="auto" w:fill="FFFFFF"/>
        </w:rPr>
        <w:t>）；</w:t>
      </w:r>
    </w:p>
    <w:p>
      <w:pPr>
        <w:pStyle w:val="40"/>
        <w:spacing w:before="0" w:beforeAutospacing="0" w:after="0" w:afterAutospacing="0" w:line="360" w:lineRule="auto"/>
        <w:ind w:firstLine="240" w:firstLineChars="100"/>
        <w:rPr>
          <w:rFonts w:cs="宋体"/>
          <w:color w:val="auto"/>
          <w:highlight w:val="none"/>
          <w:shd w:val="clear" w:color="auto" w:fill="FFFFFF"/>
        </w:rPr>
      </w:pPr>
      <w:r>
        <w:rPr>
          <w:rFonts w:hint="eastAsia" w:cs="宋体"/>
          <w:color w:val="auto"/>
          <w:highlight w:val="none"/>
          <w:shd w:val="clear" w:color="auto" w:fill="FFFFFF"/>
        </w:rPr>
        <w:t>（15）</w:t>
      </w:r>
      <w:r>
        <w:rPr>
          <w:rFonts w:hint="eastAsia" w:cs="宋体"/>
          <w:color w:val="auto"/>
          <w:kern w:val="2"/>
          <w:highlight w:val="none"/>
        </w:rPr>
        <w:t>其他需要落实的政府采购政策，详见招标文件。</w:t>
      </w:r>
    </w:p>
    <w:p>
      <w:pPr>
        <w:pStyle w:val="40"/>
        <w:spacing w:before="0" w:beforeAutospacing="0" w:after="0" w:afterAutospacing="0" w:line="360" w:lineRule="auto"/>
        <w:rPr>
          <w:rFonts w:cs="宋体"/>
          <w:b/>
          <w:color w:val="auto"/>
          <w:highlight w:val="none"/>
        </w:rPr>
      </w:pPr>
      <w:r>
        <w:rPr>
          <w:rFonts w:hint="eastAsia" w:cs="宋体"/>
          <w:b/>
          <w:color w:val="auto"/>
          <w:highlight w:val="none"/>
          <w:shd w:val="clear" w:color="auto" w:fill="FFFFFF"/>
        </w:rPr>
        <w:t>七、凡对本次招标提出询问，请按以下方式联系。</w:t>
      </w:r>
    </w:p>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1、采购人信息</w:t>
      </w:r>
    </w:p>
    <w:p>
      <w:pPr>
        <w:pStyle w:val="40"/>
        <w:spacing w:before="0" w:beforeAutospacing="0" w:after="0" w:afterAutospacing="0" w:line="360" w:lineRule="auto"/>
        <w:ind w:firstLine="480"/>
        <w:jc w:val="both"/>
        <w:rPr>
          <w:rFonts w:cs="宋体"/>
          <w:color w:val="auto"/>
          <w:kern w:val="2"/>
          <w:highlight w:val="none"/>
        </w:rPr>
      </w:pPr>
      <w:r>
        <w:rPr>
          <w:rFonts w:hint="eastAsia" w:cs="宋体"/>
          <w:color w:val="auto"/>
          <w:kern w:val="2"/>
          <w:highlight w:val="none"/>
        </w:rPr>
        <w:t>名称：</w:t>
      </w:r>
      <w:r>
        <w:rPr>
          <w:rFonts w:hint="eastAsia" w:cs="宋体"/>
          <w:color w:val="auto"/>
          <w:highlight w:val="none"/>
          <w:shd w:val="clear" w:color="auto" w:fill="FFFFFF"/>
        </w:rPr>
        <w:t>西安铁路职业技术学院</w:t>
      </w:r>
    </w:p>
    <w:p>
      <w:pPr>
        <w:pStyle w:val="40"/>
        <w:spacing w:before="0" w:beforeAutospacing="0" w:after="0" w:afterAutospacing="0" w:line="360" w:lineRule="auto"/>
        <w:ind w:firstLine="480"/>
        <w:jc w:val="both"/>
        <w:rPr>
          <w:rFonts w:cs="宋体"/>
          <w:color w:val="auto"/>
          <w:kern w:val="2"/>
          <w:highlight w:val="none"/>
        </w:rPr>
      </w:pPr>
      <w:r>
        <w:rPr>
          <w:rFonts w:hint="eastAsia" w:cs="宋体"/>
          <w:color w:val="auto"/>
          <w:kern w:val="2"/>
          <w:highlight w:val="none"/>
        </w:rPr>
        <w:t>地址：西安国际港务区港务大道396号</w:t>
      </w:r>
    </w:p>
    <w:p>
      <w:pPr>
        <w:pStyle w:val="40"/>
        <w:spacing w:before="0" w:beforeAutospacing="0" w:after="0" w:afterAutospacing="0" w:line="360" w:lineRule="auto"/>
        <w:ind w:firstLine="480"/>
        <w:jc w:val="both"/>
        <w:rPr>
          <w:rFonts w:hint="eastAsia" w:eastAsia="宋体" w:cs="宋体"/>
          <w:color w:val="auto"/>
          <w:kern w:val="2"/>
          <w:highlight w:val="none"/>
          <w:lang w:eastAsia="zh-CN"/>
        </w:rPr>
      </w:pPr>
      <w:r>
        <w:rPr>
          <w:rFonts w:hint="eastAsia" w:cs="宋体"/>
          <w:color w:val="auto"/>
          <w:kern w:val="2"/>
          <w:highlight w:val="none"/>
        </w:rPr>
        <w:t>联系方式：</w:t>
      </w:r>
      <w:r>
        <w:rPr>
          <w:rFonts w:hint="eastAsia" w:cs="宋体"/>
          <w:color w:val="auto"/>
          <w:highlight w:val="none"/>
          <w:shd w:val="clear" w:color="auto" w:fill="FFFFFF"/>
          <w:lang w:eastAsia="zh-CN"/>
        </w:rPr>
        <w:t>029-88092116</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2、采购代理机构信息</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名称：陕西纵横项目管理有限公司</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地址：西安市经开区凤城五路赛高街区A座902室</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联系方式：029-86252018</w:t>
      </w:r>
    </w:p>
    <w:p>
      <w:pPr>
        <w:pStyle w:val="40"/>
        <w:spacing w:before="0" w:beforeAutospacing="0" w:after="0" w:afterAutospacing="0" w:line="360" w:lineRule="auto"/>
        <w:ind w:firstLine="420"/>
        <w:rPr>
          <w:rFonts w:cs="宋体"/>
          <w:color w:val="auto"/>
          <w:highlight w:val="none"/>
        </w:rPr>
      </w:pPr>
      <w:r>
        <w:rPr>
          <w:rFonts w:hint="eastAsia" w:cs="宋体"/>
          <w:color w:val="auto"/>
          <w:highlight w:val="none"/>
          <w:shd w:val="clear" w:color="auto" w:fill="FFFFFF"/>
        </w:rPr>
        <w:t>3、项目联系方式</w:t>
      </w:r>
    </w:p>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项目联系人：</w:t>
      </w:r>
      <w:r>
        <w:rPr>
          <w:rFonts w:hint="eastAsia" w:cs="宋体"/>
          <w:color w:val="auto"/>
          <w:highlight w:val="none"/>
          <w:shd w:val="clear" w:color="auto" w:fill="FFFFFF"/>
          <w:lang w:eastAsia="zh-CN"/>
        </w:rPr>
        <w:t>郭</w:t>
      </w:r>
      <w:r>
        <w:rPr>
          <w:rFonts w:hint="eastAsia" w:cs="宋体"/>
          <w:color w:val="auto"/>
          <w:highlight w:val="none"/>
          <w:shd w:val="clear" w:color="auto" w:fill="FFFFFF"/>
        </w:rPr>
        <w:t>工</w:t>
      </w:r>
    </w:p>
    <w:p>
      <w:pPr>
        <w:pStyle w:val="40"/>
        <w:spacing w:before="0" w:beforeAutospacing="0" w:after="0" w:afterAutospacing="0" w:line="360" w:lineRule="auto"/>
        <w:ind w:firstLine="420"/>
        <w:rPr>
          <w:rFonts w:cs="宋体"/>
          <w:color w:val="auto"/>
          <w:highlight w:val="none"/>
          <w:shd w:val="clear" w:color="auto" w:fill="FFFFFF"/>
        </w:rPr>
      </w:pPr>
      <w:r>
        <w:rPr>
          <w:rFonts w:hint="eastAsia" w:cs="宋体"/>
          <w:color w:val="auto"/>
          <w:highlight w:val="none"/>
          <w:shd w:val="clear" w:color="auto" w:fill="FFFFFF"/>
        </w:rPr>
        <w:t>电 话：029-86252018</w:t>
      </w:r>
    </w:p>
    <w:p>
      <w:pPr>
        <w:pStyle w:val="40"/>
        <w:spacing w:before="0" w:beforeAutospacing="0" w:after="0" w:afterAutospacing="0" w:line="360" w:lineRule="auto"/>
        <w:ind w:firstLine="420"/>
        <w:jc w:val="center"/>
        <w:rPr>
          <w:rFonts w:cs="宋体"/>
          <w:color w:val="auto"/>
          <w:highlight w:val="none"/>
          <w:shd w:val="clear" w:color="auto" w:fill="FFFFFF"/>
        </w:rPr>
      </w:pPr>
      <w:r>
        <w:rPr>
          <w:rFonts w:hint="eastAsia" w:cs="宋体"/>
          <w:color w:val="auto"/>
          <w:highlight w:val="none"/>
          <w:shd w:val="clear" w:color="auto" w:fill="FFFFFF"/>
        </w:rPr>
        <w:t xml:space="preserve">                                陕西纵横项目管理有限公司</w:t>
      </w:r>
    </w:p>
    <w:p>
      <w:pPr>
        <w:pStyle w:val="40"/>
        <w:spacing w:before="0" w:beforeAutospacing="0" w:after="0" w:afterAutospacing="0" w:line="360" w:lineRule="auto"/>
        <w:rPr>
          <w:rFonts w:cs="宋体"/>
          <w:b/>
          <w:color w:val="auto"/>
          <w:highlight w:val="none"/>
        </w:rPr>
      </w:pPr>
      <w:r>
        <w:rPr>
          <w:rFonts w:hint="eastAsia" w:cs="宋体"/>
          <w:color w:val="auto"/>
          <w:highlight w:val="none"/>
          <w:shd w:val="clear" w:color="auto" w:fill="FFFFFF"/>
        </w:rPr>
        <w:t xml:space="preserve">                                                2023年</w:t>
      </w:r>
      <w:r>
        <w:rPr>
          <w:rFonts w:hint="eastAsia" w:cs="宋体"/>
          <w:color w:val="auto"/>
          <w:highlight w:val="none"/>
          <w:shd w:val="clear" w:color="auto" w:fill="FFFFFF"/>
          <w:lang w:val="en-US" w:eastAsia="zh-CN"/>
        </w:rPr>
        <w:t>6</w:t>
      </w:r>
      <w:r>
        <w:rPr>
          <w:rFonts w:hint="eastAsia" w:cs="宋体"/>
          <w:color w:val="auto"/>
          <w:highlight w:val="none"/>
          <w:shd w:val="clear" w:color="auto" w:fill="FFFFFF"/>
        </w:rPr>
        <w:t>月</w:t>
      </w:r>
      <w:r>
        <w:rPr>
          <w:rFonts w:hint="eastAsia" w:cs="宋体"/>
          <w:color w:val="auto"/>
          <w:highlight w:val="none"/>
          <w:shd w:val="clear" w:color="auto" w:fill="FFFFFF"/>
          <w:lang w:val="en-US" w:eastAsia="zh-CN"/>
        </w:rPr>
        <w:t>12</w:t>
      </w:r>
      <w:r>
        <w:rPr>
          <w:rFonts w:hint="eastAsia" w:cs="宋体"/>
          <w:color w:val="auto"/>
          <w:highlight w:val="none"/>
          <w:shd w:val="clear" w:color="auto" w:fill="FFFFFF"/>
        </w:rPr>
        <w:t>日</w:t>
      </w:r>
    </w:p>
    <w:p>
      <w:pPr>
        <w:spacing w:line="360" w:lineRule="auto"/>
        <w:outlineLvl w:val="0"/>
        <w:rPr>
          <w:rStyle w:val="67"/>
          <w:rFonts w:ascii="宋体" w:eastAsia="宋体" w:cs="宋体"/>
          <w:color w:val="auto"/>
          <w:sz w:val="36"/>
          <w:szCs w:val="36"/>
          <w:highlight w:val="none"/>
        </w:rPr>
        <w:sectPr>
          <w:pgSz w:w="11906" w:h="16838"/>
          <w:pgMar w:top="1417" w:right="1134" w:bottom="1417" w:left="1417" w:header="1134" w:footer="992" w:gutter="0"/>
          <w:pgNumType w:fmt="numberInDash" w:start="1"/>
          <w:cols w:space="720" w:num="1"/>
          <w:titlePg/>
          <w:docGrid w:type="lines" w:linePitch="333" w:charSpace="0"/>
        </w:sectPr>
      </w:pPr>
      <w:bookmarkStart w:id="20" w:name="_Toc389582035"/>
      <w:bookmarkStart w:id="21" w:name="_Toc2929"/>
      <w:bookmarkStart w:id="22" w:name="_Toc426457692"/>
      <w:bookmarkStart w:id="23" w:name="_Toc5776"/>
      <w:bookmarkStart w:id="24" w:name="_Toc30304"/>
      <w:bookmarkStart w:id="25" w:name="_Toc20220"/>
    </w:p>
    <w:p>
      <w:pPr>
        <w:jc w:val="center"/>
        <w:outlineLvl w:val="0"/>
        <w:rPr>
          <w:rStyle w:val="67"/>
          <w:rFonts w:ascii="宋体" w:eastAsia="宋体" w:cs="宋体"/>
          <w:color w:val="auto"/>
          <w:sz w:val="36"/>
          <w:szCs w:val="36"/>
          <w:highlight w:val="none"/>
        </w:rPr>
      </w:pPr>
      <w:bookmarkStart w:id="26" w:name="_Toc19781"/>
      <w:bookmarkStart w:id="27" w:name="_Toc12235"/>
      <w:bookmarkStart w:id="28" w:name="_Toc13129"/>
      <w:r>
        <w:rPr>
          <w:rStyle w:val="67"/>
          <w:rFonts w:hint="eastAsia" w:ascii="宋体" w:eastAsia="宋体" w:cs="宋体"/>
          <w:color w:val="auto"/>
          <w:sz w:val="36"/>
          <w:szCs w:val="36"/>
          <w:highlight w:val="none"/>
        </w:rPr>
        <w:t xml:space="preserve">第二章  </w:t>
      </w:r>
      <w:bookmarkEnd w:id="20"/>
      <w:bookmarkEnd w:id="21"/>
      <w:r>
        <w:rPr>
          <w:rStyle w:val="67"/>
          <w:rFonts w:hint="eastAsia" w:ascii="宋体" w:eastAsia="宋体" w:cs="宋体"/>
          <w:color w:val="auto"/>
          <w:sz w:val="36"/>
          <w:szCs w:val="36"/>
          <w:highlight w:val="none"/>
        </w:rPr>
        <w:t>供应商须知</w:t>
      </w:r>
      <w:bookmarkEnd w:id="22"/>
      <w:bookmarkEnd w:id="23"/>
      <w:bookmarkEnd w:id="26"/>
      <w:bookmarkEnd w:id="27"/>
      <w:bookmarkEnd w:id="28"/>
    </w:p>
    <w:bookmarkEnd w:id="24"/>
    <w:bookmarkEnd w:id="25"/>
    <w:p>
      <w:pPr>
        <w:ind w:left="283"/>
        <w:jc w:val="center"/>
        <w:rPr>
          <w:rFonts w:hAnsi="宋体" w:cs="宋体"/>
          <w:color w:val="auto"/>
          <w:sz w:val="32"/>
          <w:highlight w:val="none"/>
        </w:rPr>
      </w:pPr>
      <w:bookmarkStart w:id="29" w:name="_Toc15251"/>
      <w:bookmarkStart w:id="30" w:name="_Toc426457693"/>
      <w:bookmarkStart w:id="31" w:name="_Toc19343"/>
      <w:bookmarkStart w:id="32" w:name="_Toc30222"/>
      <w:bookmarkStart w:id="33" w:name="_Toc23108"/>
      <w:bookmarkStart w:id="34" w:name="_Toc11975"/>
      <w:r>
        <w:rPr>
          <w:rFonts w:hint="eastAsia" w:hAnsi="宋体" w:cs="宋体"/>
          <w:b/>
          <w:bCs/>
          <w:color w:val="auto"/>
          <w:sz w:val="24"/>
          <w:szCs w:val="16"/>
          <w:highlight w:val="none"/>
        </w:rPr>
        <w:t>供应商须知前附表</w:t>
      </w:r>
      <w:bookmarkEnd w:id="29"/>
      <w:bookmarkEnd w:id="30"/>
      <w:bookmarkEnd w:id="31"/>
      <w:bookmarkEnd w:id="32"/>
      <w:bookmarkEnd w:id="33"/>
      <w:bookmarkEnd w:id="34"/>
    </w:p>
    <w:tbl>
      <w:tblPr>
        <w:tblStyle w:val="44"/>
        <w:tblW w:w="849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0"/>
        <w:gridCol w:w="1059"/>
        <w:gridCol w:w="68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jc w:val="center"/>
        </w:trPr>
        <w:tc>
          <w:tcPr>
            <w:tcW w:w="590" w:type="dxa"/>
          </w:tcPr>
          <w:p>
            <w:pPr>
              <w:spacing w:before="156"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1059" w:type="dxa"/>
            <w:vAlign w:val="center"/>
          </w:tcPr>
          <w:p>
            <w:pPr>
              <w:spacing w:before="156"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6845" w:type="dxa"/>
          </w:tcPr>
          <w:p>
            <w:pPr>
              <w:spacing w:before="156"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3"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6845" w:type="dxa"/>
          </w:tcPr>
          <w:p>
            <w:pPr>
              <w:spacing w:line="360" w:lineRule="auto"/>
              <w:rPr>
                <w:rFonts w:hAnsi="宋体" w:cs="宋体"/>
                <w:color w:val="auto"/>
                <w:szCs w:val="24"/>
                <w:highlight w:val="none"/>
              </w:rPr>
            </w:pPr>
            <w:r>
              <w:rPr>
                <w:rFonts w:hint="eastAsia" w:hAnsi="宋体" w:cs="宋体"/>
                <w:color w:val="auto"/>
                <w:szCs w:val="24"/>
                <w:highlight w:val="none"/>
              </w:rPr>
              <w:t>采购代理机构：陕西纵横项目管理有限公司</w:t>
            </w:r>
          </w:p>
          <w:p>
            <w:pPr>
              <w:spacing w:line="360" w:lineRule="auto"/>
              <w:rPr>
                <w:rFonts w:hAnsi="宋体" w:cs="宋体"/>
                <w:color w:val="auto"/>
                <w:szCs w:val="24"/>
                <w:highlight w:val="none"/>
              </w:rPr>
            </w:pPr>
            <w:r>
              <w:rPr>
                <w:rFonts w:hint="eastAsia" w:hAnsi="宋体" w:cs="宋体"/>
                <w:color w:val="auto"/>
                <w:szCs w:val="24"/>
                <w:highlight w:val="none"/>
              </w:rPr>
              <w:t>地        址：西安市经开区凤城五路赛高街区A座902室</w:t>
            </w:r>
          </w:p>
          <w:p>
            <w:pPr>
              <w:spacing w:line="360" w:lineRule="auto"/>
              <w:rPr>
                <w:rFonts w:hAnsi="宋体" w:cs="宋体"/>
                <w:color w:val="auto"/>
                <w:szCs w:val="24"/>
                <w:highlight w:val="none"/>
              </w:rPr>
            </w:pPr>
            <w:r>
              <w:rPr>
                <w:rFonts w:hint="eastAsia" w:hAnsi="宋体" w:cs="宋体"/>
                <w:color w:val="auto"/>
                <w:szCs w:val="24"/>
                <w:highlight w:val="none"/>
              </w:rPr>
              <w:t>联   系   人：</w:t>
            </w:r>
            <w:r>
              <w:rPr>
                <w:rFonts w:hint="eastAsia" w:hAnsi="宋体" w:cs="宋体"/>
                <w:color w:val="auto"/>
                <w:szCs w:val="24"/>
                <w:highlight w:val="none"/>
                <w:lang w:eastAsia="zh-CN"/>
              </w:rPr>
              <w:t>郭</w:t>
            </w:r>
            <w:r>
              <w:rPr>
                <w:rFonts w:hint="eastAsia" w:hAnsi="宋体" w:cs="宋体"/>
                <w:color w:val="auto"/>
                <w:szCs w:val="24"/>
                <w:highlight w:val="none"/>
              </w:rPr>
              <w:t xml:space="preserve">工 </w:t>
            </w:r>
          </w:p>
          <w:p>
            <w:pPr>
              <w:spacing w:line="360" w:lineRule="auto"/>
              <w:rPr>
                <w:rFonts w:hAnsi="宋体" w:cs="宋体"/>
                <w:color w:val="auto"/>
                <w:szCs w:val="24"/>
                <w:highlight w:val="none"/>
              </w:rPr>
            </w:pPr>
            <w:r>
              <w:rPr>
                <w:rFonts w:hint="eastAsia" w:hAnsi="宋体" w:cs="宋体"/>
                <w:color w:val="auto"/>
                <w:szCs w:val="24"/>
                <w:highlight w:val="none"/>
              </w:rPr>
              <w:t>电        话：029-86252018</w:t>
            </w:r>
          </w:p>
          <w:p>
            <w:pPr>
              <w:spacing w:line="360" w:lineRule="auto"/>
              <w:rPr>
                <w:rFonts w:hAnsi="宋体" w:cs="宋体"/>
                <w:color w:val="auto"/>
                <w:szCs w:val="24"/>
                <w:highlight w:val="none"/>
              </w:rPr>
            </w:pPr>
            <w:r>
              <w:rPr>
                <w:rFonts w:hint="eastAsia" w:hAnsi="宋体" w:cs="宋体"/>
                <w:color w:val="auto"/>
                <w:szCs w:val="24"/>
                <w:highlight w:val="none"/>
              </w:rPr>
              <w:t>邮        箱：</w:t>
            </w:r>
            <w:r>
              <w:rPr>
                <w:rFonts w:hint="eastAsia" w:hAnsi="宋体" w:cs="宋体"/>
                <w:color w:val="auto"/>
                <w:szCs w:val="21"/>
                <w:highlight w:val="none"/>
              </w:rPr>
              <w:t>sxzh@shaanxizongheng.com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6845" w:type="dxa"/>
            <w:vAlign w:val="center"/>
          </w:tcPr>
          <w:p>
            <w:pPr>
              <w:spacing w:line="360" w:lineRule="auto"/>
              <w:rPr>
                <w:rFonts w:hAnsi="宋体" w:cs="宋体"/>
                <w:color w:val="auto"/>
                <w:szCs w:val="24"/>
                <w:highlight w:val="none"/>
              </w:rPr>
            </w:pPr>
            <w:r>
              <w:rPr>
                <w:rFonts w:hint="eastAsia" w:hAnsi="宋体" w:cs="宋体"/>
                <w:color w:val="auto"/>
                <w:szCs w:val="24"/>
                <w:highlight w:val="none"/>
              </w:rPr>
              <w:t>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6845" w:type="dxa"/>
            <w:vAlign w:val="center"/>
          </w:tcPr>
          <w:p>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33"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6845" w:type="dxa"/>
            <w:vAlign w:val="center"/>
          </w:tcPr>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本次投标的最小单元为“项目”，供应商可根据自身的资质情况和经营范围进行投标，但不得将其各包子目自行分解或针对该项目各包品目进行不完全投标，任何不完全的投标将按无效投标处理。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784" w:hRule="atLeast"/>
          <w:jc w:val="center"/>
        </w:trPr>
        <w:tc>
          <w:tcPr>
            <w:tcW w:w="590"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5</w:t>
            </w:r>
          </w:p>
        </w:tc>
        <w:tc>
          <w:tcPr>
            <w:tcW w:w="1059"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11.1</w:t>
            </w:r>
          </w:p>
        </w:tc>
        <w:tc>
          <w:tcPr>
            <w:tcW w:w="6845" w:type="dxa"/>
          </w:tcPr>
          <w:p>
            <w:pPr>
              <w:spacing w:line="360" w:lineRule="auto"/>
              <w:ind w:firstLine="480" w:firstLineChars="200"/>
              <w:rPr>
                <w:rFonts w:hAnsi="宋体" w:cs="宋体"/>
                <w:color w:val="auto"/>
                <w:szCs w:val="24"/>
                <w:highlight w:val="none"/>
              </w:rPr>
            </w:pPr>
            <w:r>
              <w:rPr>
                <w:rFonts w:hint="eastAsia" w:hAnsi="宋体" w:cs="宋体"/>
                <w:color w:val="auto"/>
                <w:kern w:val="2"/>
                <w:szCs w:val="24"/>
                <w:highlight w:val="none"/>
              </w:rPr>
              <w:t>投标报价：</w:t>
            </w:r>
            <w:bookmarkStart w:id="35" w:name="OLE_LINK11"/>
            <w:r>
              <w:rPr>
                <w:rFonts w:hint="eastAsia" w:hAnsi="宋体" w:cs="宋体"/>
                <w:color w:val="auto"/>
                <w:kern w:val="2"/>
                <w:szCs w:val="24"/>
                <w:highlight w:val="none"/>
              </w:rPr>
              <w:t>供应商应在投标报价表中标明完成本次招标所要求的货物、服务且验收合格的所有费用，包括但不限于设备费</w:t>
            </w:r>
            <w:r>
              <w:rPr>
                <w:rFonts w:hint="eastAsia" w:hAnsi="宋体" w:cs="宋体"/>
                <w:color w:val="auto"/>
                <w:szCs w:val="24"/>
                <w:highlight w:val="none"/>
              </w:rPr>
              <w:t>（含相关配件、附件、安装材料）、产品费、安装调试费、运输费、税后服务费、技术培训费、伴随费用、运杂费（含保险）、仓储保管费、运维期、检测费、招标代理服务费、税金等其他一切相关费用。</w:t>
            </w:r>
            <w:r>
              <w:rPr>
                <w:rFonts w:hint="eastAsia" w:hAnsi="宋体" w:cs="宋体"/>
                <w:color w:val="auto"/>
                <w:kern w:val="2"/>
                <w:szCs w:val="24"/>
                <w:highlight w:val="none"/>
              </w:rPr>
              <w:t>投标报价表中标明本次货物、服务的所有单项价格和总价，任何有选择的报价将不予接受，否则按无效投标处理。</w:t>
            </w:r>
            <w:bookmarkEnd w:id="3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6845" w:type="dxa"/>
          </w:tcPr>
          <w:p>
            <w:pPr>
              <w:spacing w:line="360" w:lineRule="auto"/>
              <w:rPr>
                <w:rFonts w:hAnsi="宋体" w:cs="宋体"/>
                <w:b/>
                <w:bCs/>
                <w:color w:val="auto"/>
                <w:szCs w:val="24"/>
                <w:highlight w:val="none"/>
              </w:rPr>
            </w:pPr>
            <w:r>
              <w:rPr>
                <w:rFonts w:hint="eastAsia" w:hAnsi="宋体" w:cs="宋体"/>
                <w:b/>
                <w:bCs/>
                <w:color w:val="auto"/>
                <w:szCs w:val="24"/>
                <w:highlight w:val="none"/>
              </w:rPr>
              <w:t>供应商资格要求：</w:t>
            </w:r>
          </w:p>
          <w:p>
            <w:pPr>
              <w:spacing w:line="360" w:lineRule="auto"/>
              <w:rPr>
                <w:rFonts w:hAnsi="宋体" w:cs="宋体"/>
                <w:color w:val="auto"/>
                <w:highlight w:val="none"/>
              </w:rPr>
            </w:pPr>
            <w:r>
              <w:rPr>
                <w:rFonts w:hint="eastAsia" w:hAnsi="宋体" w:cs="宋体"/>
                <w:b/>
                <w:bCs/>
                <w:color w:val="auto"/>
                <w:szCs w:val="24"/>
                <w:highlight w:val="none"/>
              </w:rPr>
              <w:t>1、基本资格条件：</w:t>
            </w:r>
          </w:p>
          <w:p>
            <w:pPr>
              <w:spacing w:line="360" w:lineRule="auto"/>
              <w:rPr>
                <w:rFonts w:hAnsi="宋体" w:cs="宋体"/>
                <w:b/>
                <w:bCs/>
                <w:color w:val="auto"/>
                <w:kern w:val="2"/>
                <w:szCs w:val="24"/>
                <w:highlight w:val="none"/>
              </w:rPr>
            </w:pPr>
            <w:r>
              <w:rPr>
                <w:rFonts w:hint="eastAsia" w:hAnsi="宋体" w:cs="宋体"/>
                <w:b/>
                <w:bCs/>
                <w:color w:val="auto"/>
                <w:kern w:val="2"/>
                <w:szCs w:val="24"/>
                <w:highlight w:val="none"/>
              </w:rPr>
              <w:t>（1）提供合格有效的法人或者其他组织的营业执照等证明文件，自然人的身份证明；</w:t>
            </w:r>
          </w:p>
          <w:p>
            <w:pPr>
              <w:spacing w:line="360" w:lineRule="auto"/>
              <w:rPr>
                <w:rFonts w:hAnsi="宋体" w:cs="宋体"/>
                <w:b/>
                <w:bCs/>
                <w:color w:val="auto"/>
                <w:kern w:val="2"/>
                <w:szCs w:val="24"/>
                <w:highlight w:val="none"/>
              </w:rPr>
            </w:pPr>
            <w:r>
              <w:rPr>
                <w:rFonts w:hint="eastAsia" w:hAnsi="宋体" w:cs="宋体"/>
                <w:b/>
                <w:bCs/>
                <w:color w:val="auto"/>
                <w:kern w:val="2"/>
                <w:szCs w:val="24"/>
                <w:highlight w:val="none"/>
              </w:rPr>
              <w:t>（2）财务状况报告：提供2022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p>
          <w:p>
            <w:pPr>
              <w:spacing w:line="360" w:lineRule="auto"/>
              <w:rPr>
                <w:rFonts w:hAnsi="宋体" w:cs="宋体"/>
                <w:b/>
                <w:bCs/>
                <w:color w:val="auto"/>
                <w:kern w:val="2"/>
                <w:szCs w:val="24"/>
                <w:highlight w:val="none"/>
              </w:rPr>
            </w:pPr>
            <w:r>
              <w:rPr>
                <w:rFonts w:hint="eastAsia" w:hAnsi="宋体" w:cs="宋体"/>
                <w:b/>
                <w:bCs/>
                <w:color w:val="auto"/>
                <w:kern w:val="2"/>
                <w:szCs w:val="24"/>
                <w:highlight w:val="none"/>
              </w:rPr>
              <w:t>（3）税收缴纳证明：提供投标截止时间前6个月内至少一个月的纳税证明或完税证明（任意税种），依法免税的单位应提供相关证明材料；</w:t>
            </w:r>
          </w:p>
          <w:p>
            <w:pPr>
              <w:spacing w:line="360" w:lineRule="auto"/>
              <w:rPr>
                <w:rFonts w:hAnsi="宋体" w:cs="宋体"/>
                <w:b/>
                <w:bCs/>
                <w:color w:val="auto"/>
                <w:kern w:val="2"/>
                <w:szCs w:val="24"/>
                <w:highlight w:val="none"/>
              </w:rPr>
            </w:pPr>
            <w:r>
              <w:rPr>
                <w:rFonts w:hint="eastAsia" w:hAnsi="宋体" w:cs="宋体"/>
                <w:b/>
                <w:bCs/>
                <w:color w:val="auto"/>
                <w:kern w:val="2"/>
                <w:szCs w:val="24"/>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pPr>
              <w:spacing w:line="360" w:lineRule="auto"/>
              <w:rPr>
                <w:rFonts w:hAnsi="宋体" w:cs="宋体"/>
                <w:b/>
                <w:bCs/>
                <w:color w:val="auto"/>
                <w:kern w:val="2"/>
                <w:szCs w:val="24"/>
                <w:highlight w:val="none"/>
              </w:rPr>
            </w:pPr>
            <w:r>
              <w:rPr>
                <w:rFonts w:hint="eastAsia" w:hAnsi="宋体" w:cs="宋体"/>
                <w:b/>
                <w:bCs/>
                <w:color w:val="auto"/>
                <w:kern w:val="2"/>
                <w:szCs w:val="24"/>
                <w:highlight w:val="none"/>
              </w:rPr>
              <w:t>（5）承诺：供应商须提供具有履行合同所必需的设备和专业技术能力的承诺；</w:t>
            </w:r>
          </w:p>
          <w:p>
            <w:pPr>
              <w:spacing w:line="360" w:lineRule="auto"/>
              <w:rPr>
                <w:rFonts w:hAnsi="宋体" w:cs="宋体"/>
                <w:b/>
                <w:bCs/>
                <w:color w:val="auto"/>
                <w:kern w:val="2"/>
                <w:szCs w:val="24"/>
                <w:highlight w:val="none"/>
              </w:rPr>
            </w:pPr>
            <w:r>
              <w:rPr>
                <w:rFonts w:hint="eastAsia" w:hAnsi="宋体" w:cs="宋体"/>
                <w:b/>
                <w:bCs/>
                <w:color w:val="auto"/>
                <w:kern w:val="2"/>
                <w:szCs w:val="24"/>
                <w:highlight w:val="none"/>
              </w:rPr>
              <w:t>（6）书面声明：参加政府采购活动前3年内，在经营活动中没有重大违法记录的书面声明。</w:t>
            </w:r>
          </w:p>
          <w:p>
            <w:pPr>
              <w:spacing w:line="360" w:lineRule="auto"/>
              <w:rPr>
                <w:rFonts w:hAnsi="宋体" w:cs="宋体"/>
                <w:b/>
                <w:color w:val="auto"/>
                <w:highlight w:val="none"/>
              </w:rPr>
            </w:pPr>
            <w:r>
              <w:rPr>
                <w:rFonts w:hint="eastAsia" w:hAnsi="宋体" w:cs="宋体"/>
                <w:b/>
                <w:bCs/>
                <w:color w:val="auto"/>
                <w:szCs w:val="24"/>
                <w:highlight w:val="none"/>
              </w:rPr>
              <w:t>2、</w:t>
            </w:r>
            <w:r>
              <w:rPr>
                <w:rFonts w:hint="eastAsia" w:hAnsi="宋体" w:cs="宋体"/>
                <w:b/>
                <w:color w:val="auto"/>
                <w:highlight w:val="none"/>
              </w:rPr>
              <w:t>特定资格条件：</w:t>
            </w:r>
          </w:p>
          <w:p>
            <w:pPr>
              <w:spacing w:line="360" w:lineRule="auto"/>
              <w:rPr>
                <w:rFonts w:hAnsi="宋体" w:cs="宋体"/>
                <w:b/>
                <w:bCs/>
                <w:color w:val="auto"/>
                <w:szCs w:val="24"/>
                <w:highlight w:val="none"/>
              </w:rPr>
            </w:pPr>
            <w:r>
              <w:rPr>
                <w:rFonts w:hint="eastAsia" w:hAnsi="宋体" w:cs="宋体"/>
                <w:b/>
                <w:bCs/>
                <w:color w:val="auto"/>
                <w:szCs w:val="24"/>
                <w:highlight w:val="none"/>
              </w:rPr>
              <w:t>（1）法定代表人授权书（附法定代表人、被授权人身份证复印件）及被授权人身份证（法定代表人直接参加投标，须提供法定代表人身份证明及身份证原件）；</w:t>
            </w:r>
          </w:p>
          <w:p>
            <w:pPr>
              <w:spacing w:line="360" w:lineRule="auto"/>
              <w:rPr>
                <w:rFonts w:hAnsi="宋体" w:cs="宋体"/>
                <w:b/>
                <w:bCs/>
                <w:color w:val="auto"/>
                <w:szCs w:val="24"/>
                <w:highlight w:val="none"/>
              </w:rPr>
            </w:pPr>
            <w:r>
              <w:rPr>
                <w:rFonts w:hint="eastAsia" w:hAnsi="宋体" w:cs="宋体"/>
                <w:b/>
                <w:bCs/>
                <w:color w:val="auto"/>
                <w:szCs w:val="24"/>
                <w:highlight w:val="none"/>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pPr>
              <w:spacing w:line="360" w:lineRule="auto"/>
              <w:ind w:right="119"/>
              <w:jc w:val="left"/>
              <w:outlineLvl w:val="0"/>
              <w:rPr>
                <w:rFonts w:hAnsi="宋体" w:cs="宋体"/>
                <w:b/>
                <w:color w:val="auto"/>
                <w:highlight w:val="none"/>
              </w:rPr>
            </w:pPr>
            <w:bookmarkStart w:id="36" w:name="_Toc20102"/>
            <w:bookmarkStart w:id="37" w:name="_Toc16022"/>
            <w:bookmarkStart w:id="38" w:name="_Toc26968"/>
            <w:r>
              <w:rPr>
                <w:rFonts w:hint="eastAsia" w:hAnsi="宋体" w:cs="宋体"/>
                <w:b/>
                <w:bCs/>
                <w:color w:val="auto"/>
                <w:szCs w:val="24"/>
                <w:highlight w:val="none"/>
              </w:rPr>
              <w:t>（3）</w:t>
            </w:r>
            <w:r>
              <w:rPr>
                <w:rFonts w:hint="eastAsia" w:hAnsi="宋体" w:cs="宋体"/>
                <w:b/>
                <w:color w:val="auto"/>
                <w:highlight w:val="none"/>
              </w:rPr>
              <w:t>控股管理关系：单位负责人为同一人或者存在直接控股、管理关系的供应商，不得参加同一合同下的政府采购活动;</w:t>
            </w:r>
            <w:bookmarkEnd w:id="36"/>
            <w:bookmarkEnd w:id="37"/>
            <w:bookmarkEnd w:id="38"/>
          </w:p>
          <w:p>
            <w:pPr>
              <w:spacing w:line="360" w:lineRule="auto"/>
              <w:jc w:val="left"/>
              <w:rPr>
                <w:rFonts w:hAnsi="宋体" w:cs="宋体"/>
                <w:b/>
                <w:bCs/>
                <w:color w:val="auto"/>
                <w:szCs w:val="24"/>
                <w:highlight w:val="none"/>
                <w:shd w:val="clear" w:color="auto" w:fill="FFFFFF"/>
              </w:rPr>
            </w:pPr>
            <w:r>
              <w:rPr>
                <w:rFonts w:hint="eastAsia" w:hAnsi="宋体" w:cs="宋体"/>
                <w:b/>
                <w:color w:val="auto"/>
                <w:highlight w:val="none"/>
              </w:rPr>
              <w:t>（4）为本项目提供过整体设计、规范编制或者项目管理、监理、检测等服务的供应商，不得再参加本项目采购活动；</w:t>
            </w:r>
            <w:r>
              <w:rPr>
                <w:rFonts w:hint="eastAsia" w:hAnsi="宋体" w:cs="宋体"/>
                <w:b/>
                <w:bCs/>
                <w:color w:val="auto"/>
                <w:szCs w:val="24"/>
                <w:highlight w:val="none"/>
                <w:shd w:val="clear" w:color="auto" w:fill="FFFFFF"/>
              </w:rPr>
              <w:t xml:space="preserve"> </w:t>
            </w:r>
          </w:p>
          <w:p>
            <w:pPr>
              <w:spacing w:line="360" w:lineRule="auto"/>
              <w:jc w:val="left"/>
              <w:rPr>
                <w:rFonts w:hAnsi="宋体" w:cs="宋体"/>
                <w:b/>
                <w:bCs/>
                <w:color w:val="auto"/>
                <w:szCs w:val="24"/>
                <w:highlight w:val="none"/>
                <w:shd w:val="clear" w:color="auto" w:fill="FFFFFF"/>
              </w:rPr>
            </w:pPr>
            <w:r>
              <w:rPr>
                <w:rFonts w:hint="eastAsia" w:hAnsi="宋体" w:cs="宋体"/>
                <w:b/>
                <w:bCs/>
                <w:color w:val="auto"/>
                <w:szCs w:val="24"/>
                <w:highlight w:val="none"/>
                <w:shd w:val="clear" w:color="auto" w:fill="FFFFFF"/>
              </w:rPr>
              <w:t>（5</w:t>
            </w:r>
            <w:r>
              <w:rPr>
                <w:rFonts w:hint="eastAsia" w:hAnsi="宋体" w:cs="宋体"/>
                <w:b/>
                <w:color w:val="auto"/>
                <w:highlight w:val="none"/>
              </w:rPr>
              <w:t>）本项目不接受联合体投标，不允许分包。</w:t>
            </w:r>
            <w:r>
              <w:rPr>
                <w:rFonts w:hint="eastAsia" w:hAnsi="宋体" w:cs="宋体"/>
                <w:b/>
                <w:bCs/>
                <w:color w:val="auto"/>
                <w:szCs w:val="24"/>
                <w:highlight w:val="none"/>
                <w:shd w:val="clear" w:color="auto" w:fill="FFFFFF"/>
              </w:rPr>
              <w:t xml:space="preserve">       </w:t>
            </w:r>
          </w:p>
          <w:p>
            <w:pPr>
              <w:spacing w:line="360" w:lineRule="auto"/>
              <w:ind w:firstLine="482" w:firstLineChars="200"/>
              <w:rPr>
                <w:rFonts w:hAnsi="宋体" w:cs="宋体"/>
                <w:b/>
                <w:color w:val="auto"/>
                <w:highlight w:val="none"/>
              </w:rPr>
            </w:pPr>
            <w:r>
              <w:rPr>
                <w:rFonts w:hint="eastAsia" w:hAnsi="宋体" w:cs="宋体"/>
                <w:b/>
                <w:color w:val="auto"/>
                <w:highlight w:val="none"/>
              </w:rPr>
              <w:t>以上为必备资质，缺一项或某项达不到要求，按无效投标处理。以上资质在投标文件正本中附一套复印件加盖公章（其中投标文件正本中的法定代表人身份证明或</w:t>
            </w:r>
            <w:r>
              <w:rPr>
                <w:rFonts w:hint="eastAsia" w:hAnsi="宋体" w:cs="宋体"/>
                <w:b/>
                <w:color w:val="auto"/>
                <w:szCs w:val="24"/>
                <w:highlight w:val="none"/>
              </w:rPr>
              <w:t xml:space="preserve">法定代表人授权书及相关声明或承诺均为原件），资格审查时以投标文件中所附证明材料为准，原件备查。 </w:t>
            </w:r>
          </w:p>
          <w:p>
            <w:pPr>
              <w:spacing w:line="360" w:lineRule="auto"/>
              <w:ind w:firstLine="480"/>
              <w:rPr>
                <w:rFonts w:hAnsi="宋体" w:cs="宋体"/>
                <w:color w:val="auto"/>
                <w:szCs w:val="24"/>
                <w:highlight w:val="none"/>
              </w:rPr>
            </w:pPr>
            <w:r>
              <w:rPr>
                <w:rFonts w:hint="eastAsia" w:hAnsi="宋体" w:cs="宋体"/>
                <w:b/>
                <w:bCs/>
                <w:color w:val="auto"/>
                <w:szCs w:val="24"/>
                <w:highlight w:val="none"/>
              </w:rPr>
              <w:t>未注明要求原件的资格证明文件，在开标后的任何时间，评标委员会都有权随时要求审查原件，如果不能按规定时间提供，按无效投标处理。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14.1</w:t>
            </w:r>
          </w:p>
        </w:tc>
        <w:tc>
          <w:tcPr>
            <w:tcW w:w="6845" w:type="dxa"/>
          </w:tcPr>
          <w:p>
            <w:pPr>
              <w:spacing w:line="360" w:lineRule="auto"/>
              <w:rPr>
                <w:rFonts w:hAnsi="宋体" w:cs="宋体"/>
                <w:color w:val="auto"/>
                <w:szCs w:val="24"/>
                <w:highlight w:val="none"/>
              </w:rPr>
            </w:pPr>
            <w:r>
              <w:rPr>
                <w:rFonts w:hint="eastAsia" w:hAnsi="宋体" w:cs="宋体"/>
                <w:color w:val="auto"/>
                <w:szCs w:val="24"/>
                <w:highlight w:val="none"/>
              </w:rPr>
              <w:t>投标有效期：投标文件的截止之日起90天。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5" w:hRule="atLeast"/>
          <w:jc w:val="center"/>
        </w:trPr>
        <w:tc>
          <w:tcPr>
            <w:tcW w:w="590"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8</w:t>
            </w:r>
          </w:p>
        </w:tc>
        <w:tc>
          <w:tcPr>
            <w:tcW w:w="1059"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15.1</w:t>
            </w:r>
          </w:p>
        </w:tc>
        <w:tc>
          <w:tcPr>
            <w:tcW w:w="6845" w:type="dxa"/>
            <w:vAlign w:val="center"/>
          </w:tcPr>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正本的份数：壹份；副本的份数：贰份；电子版（U盘）：壹份（需在盘面上标注供应商全称）。</w:t>
            </w:r>
          </w:p>
          <w:p>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电子版为Word版本和正本签字盖章后的PDF格式扫描件，PDF格式扫描件与正本具有同等法律效力。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58" w:hRule="atLeast"/>
          <w:jc w:val="center"/>
        </w:trPr>
        <w:tc>
          <w:tcPr>
            <w:tcW w:w="590"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9</w:t>
            </w:r>
          </w:p>
        </w:tc>
        <w:tc>
          <w:tcPr>
            <w:tcW w:w="1059"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16.2</w:t>
            </w:r>
          </w:p>
        </w:tc>
        <w:tc>
          <w:tcPr>
            <w:tcW w:w="6845" w:type="dxa"/>
            <w:vAlign w:val="center"/>
          </w:tcPr>
          <w:p>
            <w:pPr>
              <w:spacing w:line="360" w:lineRule="auto"/>
              <w:rPr>
                <w:rFonts w:hAnsi="宋体" w:cs="宋体"/>
                <w:color w:val="auto"/>
                <w:kern w:val="2"/>
                <w:szCs w:val="24"/>
                <w:highlight w:val="none"/>
              </w:rPr>
            </w:pPr>
            <w:r>
              <w:rPr>
                <w:rFonts w:hint="eastAsia" w:hAnsi="宋体" w:cs="宋体"/>
                <w:color w:val="auto"/>
                <w:kern w:val="2"/>
                <w:szCs w:val="24"/>
                <w:highlight w:val="none"/>
              </w:rPr>
              <w:t xml:space="preserve">1.投标文件正本、所有的副本、电子版本表需分开密封装在单独的封袋中（封袋不得有破损），且在封袋正面标明“正本”“副本”“电子版本”字样。封袋应加贴封条，并在封线处加盖供应商公章，封袋正面要粘贴供应商全称、项目名称、编号等标识。 </w:t>
            </w:r>
          </w:p>
          <w:p>
            <w:pPr>
              <w:spacing w:line="360" w:lineRule="auto"/>
              <w:rPr>
                <w:rFonts w:hAnsi="宋体" w:cs="宋体"/>
                <w:color w:val="auto"/>
                <w:kern w:val="2"/>
                <w:szCs w:val="24"/>
                <w:highlight w:val="none"/>
              </w:rPr>
            </w:pPr>
            <w:r>
              <w:rPr>
                <w:rFonts w:hint="eastAsia" w:hAnsi="宋体" w:cs="宋体"/>
                <w:color w:val="auto"/>
                <w:kern w:val="2"/>
                <w:szCs w:val="24"/>
                <w:highlight w:val="none"/>
              </w:rPr>
              <w:t>2.封袋请按以下要求标记：</w:t>
            </w:r>
          </w:p>
          <w:p>
            <w:pPr>
              <w:spacing w:line="360" w:lineRule="auto"/>
              <w:ind w:firstLine="480" w:firstLineChars="200"/>
              <w:rPr>
                <w:rFonts w:hAnsi="宋体" w:cs="宋体"/>
                <w:color w:val="auto"/>
                <w:kern w:val="2"/>
                <w:szCs w:val="24"/>
                <w:highlight w:val="none"/>
              </w:rPr>
            </w:pPr>
            <w:r>
              <w:rPr>
                <w:rFonts w:hint="eastAsia" w:hAnsi="宋体" w:cs="宋体"/>
                <w:color w:val="auto"/>
                <w:kern w:val="2"/>
                <w:szCs w:val="24"/>
                <w:highlight w:val="none"/>
              </w:rPr>
              <w:t>（1) 供应商的全称；</w:t>
            </w:r>
          </w:p>
          <w:p>
            <w:pPr>
              <w:spacing w:line="360" w:lineRule="auto"/>
              <w:ind w:firstLine="480" w:firstLineChars="200"/>
              <w:rPr>
                <w:rFonts w:hAnsi="宋体" w:cs="宋体"/>
                <w:color w:val="auto"/>
                <w:kern w:val="2"/>
                <w:szCs w:val="24"/>
                <w:highlight w:val="none"/>
              </w:rPr>
            </w:pPr>
            <w:r>
              <w:rPr>
                <w:rFonts w:hint="eastAsia" w:hAnsi="宋体" w:cs="宋体"/>
                <w:color w:val="auto"/>
                <w:kern w:val="2"/>
                <w:szCs w:val="24"/>
                <w:highlight w:val="none"/>
              </w:rPr>
              <w:t>（2) 投标项目名称、项目编号；</w:t>
            </w:r>
          </w:p>
          <w:p>
            <w:pPr>
              <w:spacing w:line="360" w:lineRule="auto"/>
              <w:ind w:firstLine="480" w:firstLineChars="200"/>
              <w:rPr>
                <w:rFonts w:hAnsi="宋体" w:cs="宋体"/>
                <w:color w:val="auto"/>
                <w:szCs w:val="24"/>
                <w:highlight w:val="none"/>
              </w:rPr>
            </w:pPr>
            <w:r>
              <w:rPr>
                <w:rFonts w:hint="eastAsia" w:hAnsi="宋体" w:cs="宋体"/>
                <w:color w:val="auto"/>
                <w:kern w:val="2"/>
                <w:szCs w:val="24"/>
                <w:highlight w:val="none"/>
              </w:rPr>
              <w:t>（3）正本或副本、电子版本“请勿在＿＿＿＿(开标时间)之前启封”。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590"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1059"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17.1</w:t>
            </w:r>
          </w:p>
        </w:tc>
        <w:tc>
          <w:tcPr>
            <w:tcW w:w="6845" w:type="dxa"/>
          </w:tcPr>
          <w:p>
            <w:pPr>
              <w:spacing w:line="360" w:lineRule="auto"/>
              <w:rPr>
                <w:rFonts w:hAnsi="宋体" w:cs="宋体"/>
                <w:color w:val="auto"/>
                <w:w w:val="95"/>
                <w:szCs w:val="24"/>
                <w:highlight w:val="none"/>
              </w:rPr>
            </w:pPr>
            <w:r>
              <w:rPr>
                <w:rFonts w:hint="eastAsia" w:hAnsi="宋体" w:cs="宋体"/>
                <w:color w:val="auto"/>
                <w:szCs w:val="24"/>
                <w:highlight w:val="none"/>
              </w:rPr>
              <w:t>投标文件递交截止时间</w:t>
            </w:r>
            <w:bookmarkStart w:id="39" w:name="OLE_LINK12"/>
            <w:r>
              <w:rPr>
                <w:rFonts w:hint="eastAsia" w:hAnsi="宋体" w:cs="宋体"/>
                <w:color w:val="auto"/>
                <w:szCs w:val="24"/>
                <w:highlight w:val="none"/>
              </w:rPr>
              <w:t>：</w:t>
            </w:r>
            <w:bookmarkEnd w:id="39"/>
            <w:r>
              <w:rPr>
                <w:rFonts w:hint="eastAsia" w:hAnsi="宋体" w:cs="宋体"/>
                <w:color w:val="auto"/>
                <w:szCs w:val="24"/>
                <w:highlight w:val="none"/>
              </w:rPr>
              <w:t>详见招标公告</w:t>
            </w:r>
          </w:p>
          <w:p>
            <w:pPr>
              <w:spacing w:line="360" w:lineRule="auto"/>
              <w:rPr>
                <w:rFonts w:hAnsi="宋体" w:cs="宋体"/>
                <w:color w:val="auto"/>
                <w:szCs w:val="24"/>
                <w:highlight w:val="none"/>
              </w:rPr>
            </w:pPr>
            <w:r>
              <w:rPr>
                <w:rFonts w:hint="eastAsia" w:hAnsi="宋体" w:cs="宋体"/>
                <w:color w:val="auto"/>
                <w:szCs w:val="24"/>
                <w:highlight w:val="none"/>
              </w:rPr>
              <w:t>投标文件递交地址：详见招标公告</w:t>
            </w:r>
          </w:p>
          <w:p>
            <w:pPr>
              <w:spacing w:line="360" w:lineRule="auto"/>
              <w:rPr>
                <w:rFonts w:hAnsi="宋体" w:cs="宋体"/>
                <w:color w:val="auto"/>
                <w:szCs w:val="24"/>
                <w:highlight w:val="none"/>
              </w:rPr>
            </w:pPr>
            <w:r>
              <w:rPr>
                <w:rFonts w:hint="eastAsia" w:hAnsi="宋体" w:cs="宋体"/>
                <w:color w:val="auto"/>
                <w:szCs w:val="24"/>
                <w:highlight w:val="none"/>
              </w:rPr>
              <w:t>投标文件接收人：陕西纵横项目管理有限公司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590"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1059" w:type="dxa"/>
            <w:vAlign w:val="center"/>
          </w:tcPr>
          <w:p>
            <w:pPr>
              <w:spacing w:after="156" w:afterLines="50" w:line="360" w:lineRule="auto"/>
              <w:jc w:val="center"/>
              <w:rPr>
                <w:rFonts w:hAnsi="宋体" w:cs="宋体"/>
                <w:color w:val="auto"/>
                <w:szCs w:val="24"/>
                <w:highlight w:val="none"/>
              </w:rPr>
            </w:pPr>
            <w:r>
              <w:rPr>
                <w:rFonts w:hint="eastAsia" w:hAnsi="宋体" w:cs="宋体"/>
                <w:color w:val="auto"/>
                <w:szCs w:val="24"/>
                <w:highlight w:val="none"/>
              </w:rPr>
              <w:t>20.1</w:t>
            </w:r>
          </w:p>
        </w:tc>
        <w:tc>
          <w:tcPr>
            <w:tcW w:w="6845" w:type="dxa"/>
          </w:tcPr>
          <w:p>
            <w:pPr>
              <w:spacing w:line="360" w:lineRule="auto"/>
              <w:rPr>
                <w:rFonts w:hAnsi="宋体" w:cs="宋体"/>
                <w:color w:val="auto"/>
                <w:szCs w:val="24"/>
                <w:highlight w:val="none"/>
              </w:rPr>
            </w:pPr>
            <w:r>
              <w:rPr>
                <w:rFonts w:hint="eastAsia" w:hAnsi="宋体" w:cs="宋体"/>
                <w:color w:val="auto"/>
                <w:szCs w:val="24"/>
                <w:highlight w:val="none"/>
              </w:rPr>
              <w:t>开标时间：详见招标公告</w:t>
            </w:r>
          </w:p>
          <w:p>
            <w:pPr>
              <w:spacing w:line="360" w:lineRule="auto"/>
              <w:rPr>
                <w:rFonts w:hAnsi="宋体" w:cs="宋体"/>
                <w:color w:val="auto"/>
                <w:szCs w:val="24"/>
                <w:highlight w:val="none"/>
              </w:rPr>
            </w:pPr>
            <w:r>
              <w:rPr>
                <w:rFonts w:hint="eastAsia" w:hAnsi="宋体" w:cs="宋体"/>
                <w:color w:val="auto"/>
                <w:szCs w:val="24"/>
                <w:highlight w:val="none"/>
              </w:rPr>
              <w:t>开标地点：详见招标公告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0"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12</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23.1</w:t>
            </w:r>
          </w:p>
        </w:tc>
        <w:tc>
          <w:tcPr>
            <w:tcW w:w="6845" w:type="dxa"/>
            <w:vAlign w:val="center"/>
          </w:tcPr>
          <w:p>
            <w:pPr>
              <w:spacing w:line="360" w:lineRule="auto"/>
              <w:jc w:val="left"/>
              <w:rPr>
                <w:rFonts w:hAnsi="宋体" w:cs="宋体"/>
                <w:b/>
                <w:bCs/>
                <w:color w:val="auto"/>
                <w:szCs w:val="24"/>
                <w:highlight w:val="none"/>
              </w:rPr>
            </w:pPr>
            <w:r>
              <w:rPr>
                <w:rFonts w:hint="eastAsia" w:hAnsi="宋体" w:cs="宋体"/>
                <w:b/>
                <w:bCs/>
                <w:color w:val="auto"/>
                <w:szCs w:val="24"/>
                <w:highlight w:val="none"/>
              </w:rPr>
              <w:t>评标方法：综合评分法（详见第五章）。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13</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28</w:t>
            </w:r>
          </w:p>
        </w:tc>
        <w:tc>
          <w:tcPr>
            <w:tcW w:w="6845" w:type="dxa"/>
            <w:vAlign w:val="center"/>
          </w:tcPr>
          <w:p>
            <w:pPr>
              <w:spacing w:line="360" w:lineRule="auto"/>
              <w:rPr>
                <w:rFonts w:hAnsi="宋体" w:cs="宋体"/>
                <w:color w:val="auto"/>
                <w:highlight w:val="none"/>
              </w:rPr>
            </w:pPr>
            <w:r>
              <w:rPr>
                <w:rFonts w:hint="eastAsia" w:hAnsi="宋体" w:cs="宋体"/>
                <w:color w:val="auto"/>
                <w:highlight w:val="none"/>
              </w:rPr>
              <w:t xml:space="preserve">招标代理服务费： </w:t>
            </w:r>
          </w:p>
          <w:p>
            <w:pPr>
              <w:spacing w:line="360" w:lineRule="auto"/>
              <w:rPr>
                <w:rFonts w:hAnsi="宋体" w:cs="宋体"/>
                <w:color w:val="auto"/>
                <w:highlight w:val="none"/>
              </w:rPr>
            </w:pPr>
            <w:r>
              <w:rPr>
                <w:rFonts w:hint="eastAsia" w:hAnsi="宋体" w:cs="宋体"/>
                <w:color w:val="auto"/>
                <w:highlight w:val="none"/>
              </w:rPr>
              <w:t>28.1</w:t>
            </w:r>
            <w:r>
              <w:rPr>
                <w:rFonts w:hint="eastAsia" w:hAnsi="宋体" w:cs="宋体"/>
                <w:color w:val="auto"/>
                <w:highlight w:val="none"/>
                <w:lang w:val="zh-CN"/>
              </w:rPr>
              <w:t>参照国家计委关于印发《采购代理服务收费管理暂行办法的通知》（计价格[2002]1980号）、《国家发展改革委员会办公厅关于招标代理服务收费有关问题的通知》（发改办价格〔2003〕857号）以及《国家发展改革委关于降低部分建设项目收费标准规范收费行为等有关问题的通知》(发改价格〔2011〕534号)规定的标准收取。</w:t>
            </w:r>
          </w:p>
          <w:p>
            <w:pPr>
              <w:spacing w:line="360" w:lineRule="auto"/>
              <w:jc w:val="left"/>
              <w:rPr>
                <w:rFonts w:hAnsi="宋体" w:cs="宋体"/>
                <w:b/>
                <w:bCs/>
                <w:color w:val="auto"/>
                <w:szCs w:val="24"/>
                <w:highlight w:val="none"/>
              </w:rPr>
            </w:pPr>
            <w:r>
              <w:rPr>
                <w:rFonts w:hint="eastAsia" w:hAnsi="宋体" w:cs="宋体"/>
                <w:color w:val="auto"/>
                <w:highlight w:val="none"/>
              </w:rPr>
              <w:t>28.2由</w:t>
            </w:r>
            <w:r>
              <w:rPr>
                <w:rFonts w:hint="eastAsia" w:hAnsi="宋体" w:cs="宋体"/>
                <w:color w:val="auto"/>
                <w:szCs w:val="24"/>
                <w:highlight w:val="none"/>
              </w:rPr>
              <w:t xml:space="preserve">中标人承担招标代理服务费，中标人在领取中标通知书前，须向采购代理机构一次性支付招标代理服务费。               </w:t>
            </w:r>
            <w:r>
              <w:rPr>
                <w:rFonts w:hint="eastAsia" w:hAnsi="宋体" w:cs="宋体"/>
                <w:b/>
                <w:bCs/>
                <w:color w:val="auto"/>
                <w:szCs w:val="24"/>
                <w:highlight w:val="none"/>
              </w:rPr>
              <w:t>开户名称：陕西纵横项目管理有限公司</w:t>
            </w:r>
          </w:p>
          <w:p>
            <w:pPr>
              <w:spacing w:line="360" w:lineRule="auto"/>
              <w:jc w:val="left"/>
              <w:rPr>
                <w:rFonts w:hAnsi="宋体" w:cs="宋体"/>
                <w:b/>
                <w:bCs/>
                <w:color w:val="auto"/>
                <w:highlight w:val="none"/>
              </w:rPr>
            </w:pPr>
            <w:r>
              <w:rPr>
                <w:rFonts w:hint="eastAsia" w:hAnsi="宋体" w:cs="宋体"/>
                <w:b/>
                <w:bCs/>
                <w:color w:val="auto"/>
                <w:szCs w:val="24"/>
                <w:highlight w:val="none"/>
              </w:rPr>
              <w:t>开户银行：浙商银行股份有限公司西安未央路支行</w:t>
            </w:r>
          </w:p>
          <w:p>
            <w:pPr>
              <w:spacing w:line="360" w:lineRule="auto"/>
              <w:rPr>
                <w:rFonts w:hAnsi="宋体" w:cs="宋体"/>
                <w:color w:val="auto"/>
                <w:highlight w:val="none"/>
              </w:rPr>
            </w:pPr>
            <w:r>
              <w:rPr>
                <w:rFonts w:hint="eastAsia" w:hAnsi="宋体" w:cs="宋体"/>
                <w:b/>
                <w:bCs/>
                <w:color w:val="auto"/>
                <w:szCs w:val="24"/>
                <w:highlight w:val="none"/>
              </w:rPr>
              <w:t>账 号：7910000610120100029478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9"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14</w:t>
            </w:r>
          </w:p>
        </w:tc>
        <w:tc>
          <w:tcPr>
            <w:tcW w:w="1059" w:type="dxa"/>
            <w:vAlign w:val="center"/>
          </w:tcPr>
          <w:p>
            <w:pPr>
              <w:spacing w:line="360" w:lineRule="auto"/>
              <w:jc w:val="center"/>
              <w:rPr>
                <w:rFonts w:hint="eastAsia" w:hAnsi="宋体" w:eastAsia="宋体" w:cs="宋体"/>
                <w:color w:val="auto"/>
                <w:highlight w:val="none"/>
                <w:lang w:val="en-US" w:eastAsia="zh-CN"/>
              </w:rPr>
            </w:pPr>
            <w:r>
              <w:rPr>
                <w:rFonts w:hint="eastAsia" w:hAnsi="宋体" w:cs="宋体"/>
                <w:color w:val="auto"/>
                <w:highlight w:val="none"/>
                <w:lang w:val="en-US" w:eastAsia="zh-CN"/>
              </w:rPr>
              <w:t>履约担保</w:t>
            </w:r>
          </w:p>
        </w:tc>
        <w:tc>
          <w:tcPr>
            <w:tcW w:w="6845" w:type="dxa"/>
            <w:vAlign w:val="center"/>
          </w:tcPr>
          <w:p>
            <w:pPr>
              <w:shd w:val="clear" w:color="auto" w:fill="auto"/>
              <w:spacing w:beforeLines="0" w:afterLines="0" w:line="36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t>履约担保的形式：银行履约保函、履约担保书</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履约担保金</w:t>
            </w:r>
          </w:p>
          <w:p>
            <w:pPr>
              <w:spacing w:line="360" w:lineRule="auto"/>
              <w:rPr>
                <w:rFonts w:hint="eastAsia" w:hAnsi="宋体" w:cs="宋体"/>
                <w:color w:val="auto"/>
                <w:highlight w:val="none"/>
                <w:lang w:val="zh-CN"/>
              </w:rPr>
            </w:pPr>
            <w:r>
              <w:rPr>
                <w:rFonts w:hint="eastAsia" w:ascii="宋体" w:hAnsi="宋体" w:eastAsia="宋体" w:cs="宋体"/>
                <w:color w:val="auto"/>
                <w:highlight w:val="none"/>
              </w:rPr>
              <w:t>履约担保的金额：</w:t>
            </w:r>
            <w:r>
              <w:rPr>
                <w:rFonts w:hint="eastAsia" w:hAnsi="宋体" w:cs="宋体"/>
                <w:color w:val="auto"/>
                <w:highlight w:val="none"/>
              </w:rPr>
              <w:t>合同总金额</w:t>
            </w:r>
            <w:r>
              <w:rPr>
                <w:rFonts w:hint="eastAsia" w:hAnsi="宋体" w:cs="宋体"/>
                <w:color w:val="auto"/>
                <w:highlight w:val="none"/>
                <w:lang w:eastAsia="zh-CN"/>
              </w:rPr>
              <w:t>的</w:t>
            </w:r>
            <w:r>
              <w:rPr>
                <w:rFonts w:hint="eastAsia" w:ascii="宋体" w:hAnsi="宋体" w:eastAsia="宋体" w:cs="宋体"/>
                <w:color w:val="auto"/>
                <w:highlight w:val="none"/>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9"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15</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投标保证金</w:t>
            </w:r>
          </w:p>
        </w:tc>
        <w:tc>
          <w:tcPr>
            <w:tcW w:w="6845" w:type="dxa"/>
            <w:vAlign w:val="center"/>
          </w:tcPr>
          <w:p>
            <w:pPr>
              <w:spacing w:line="360" w:lineRule="auto"/>
              <w:rPr>
                <w:rFonts w:hAnsi="宋体" w:cs="宋体"/>
                <w:b/>
                <w:color w:val="auto"/>
                <w:highlight w:val="none"/>
              </w:rPr>
            </w:pPr>
            <w:r>
              <w:rPr>
                <w:rFonts w:hint="eastAsia" w:hAnsi="宋体" w:cs="宋体"/>
                <w:bCs/>
                <w:color w:val="auto"/>
                <w:highlight w:val="none"/>
              </w:rPr>
              <w:t>本项目不收取投标保证金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1"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16</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是否专门面向中小企业</w:t>
            </w:r>
          </w:p>
        </w:tc>
        <w:tc>
          <w:tcPr>
            <w:tcW w:w="6845" w:type="dxa"/>
            <w:vAlign w:val="center"/>
          </w:tcPr>
          <w:p>
            <w:pPr>
              <w:spacing w:line="360" w:lineRule="auto"/>
              <w:rPr>
                <w:rFonts w:hAnsi="宋体" w:cs="宋体"/>
                <w:color w:val="auto"/>
                <w:highlight w:val="none"/>
              </w:rPr>
            </w:pPr>
            <w:r>
              <w:rPr>
                <w:rFonts w:hint="eastAsia" w:hAnsi="宋体" w:cs="宋体"/>
                <w:color w:val="auto"/>
                <w:szCs w:val="24"/>
                <w:highlight w:val="none"/>
              </w:rPr>
              <w:t xml:space="preserve"> 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1"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17</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交货</w:t>
            </w:r>
          </w:p>
          <w:p>
            <w:pPr>
              <w:spacing w:line="360" w:lineRule="auto"/>
              <w:jc w:val="center"/>
              <w:rPr>
                <w:rFonts w:hAnsi="宋体" w:cs="宋体"/>
                <w:color w:val="auto"/>
                <w:szCs w:val="24"/>
                <w:highlight w:val="none"/>
              </w:rPr>
            </w:pPr>
            <w:r>
              <w:rPr>
                <w:rFonts w:hint="eastAsia" w:hAnsi="宋体" w:cs="宋体"/>
                <w:color w:val="auto"/>
                <w:szCs w:val="24"/>
                <w:highlight w:val="none"/>
              </w:rPr>
              <w:t>地点</w:t>
            </w:r>
          </w:p>
        </w:tc>
        <w:tc>
          <w:tcPr>
            <w:tcW w:w="6845" w:type="dxa"/>
            <w:vAlign w:val="center"/>
          </w:tcPr>
          <w:p>
            <w:pPr>
              <w:spacing w:line="360" w:lineRule="auto"/>
              <w:rPr>
                <w:rFonts w:hAnsi="宋体" w:cs="宋体"/>
                <w:color w:val="auto"/>
                <w:highlight w:val="none"/>
              </w:rPr>
            </w:pPr>
            <w:r>
              <w:rPr>
                <w:rFonts w:hint="eastAsia" w:hAnsi="宋体" w:cs="宋体"/>
                <w:color w:val="auto"/>
                <w:highlight w:val="none"/>
                <w:shd w:val="clear" w:color="auto" w:fill="FFFFFF"/>
              </w:rPr>
              <w:t>西安铁路职业技术学院</w:t>
            </w:r>
            <w:r>
              <w:rPr>
                <w:rFonts w:hint="eastAsia" w:hAnsi="宋体" w:cs="宋体"/>
                <w:color w:val="auto"/>
                <w:highlight w:val="none"/>
              </w:rPr>
              <w:t>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9" w:hRule="atLeast"/>
          <w:jc w:val="center"/>
        </w:trPr>
        <w:tc>
          <w:tcPr>
            <w:tcW w:w="590" w:type="dxa"/>
            <w:vAlign w:val="center"/>
          </w:tcPr>
          <w:p>
            <w:pPr>
              <w:spacing w:line="360" w:lineRule="auto"/>
              <w:jc w:val="center"/>
              <w:rPr>
                <w:rFonts w:hAnsi="宋体" w:cs="宋体"/>
                <w:color w:val="auto"/>
                <w:highlight w:val="none"/>
              </w:rPr>
            </w:pPr>
            <w:r>
              <w:rPr>
                <w:rFonts w:hint="eastAsia" w:hAnsi="宋体" w:cs="宋体"/>
                <w:color w:val="auto"/>
                <w:highlight w:val="none"/>
              </w:rPr>
              <w:t>18</w:t>
            </w:r>
          </w:p>
        </w:tc>
        <w:tc>
          <w:tcPr>
            <w:tcW w:w="1059" w:type="dxa"/>
            <w:vAlign w:val="center"/>
          </w:tcPr>
          <w:p>
            <w:pPr>
              <w:spacing w:line="360" w:lineRule="auto"/>
              <w:jc w:val="center"/>
              <w:rPr>
                <w:rFonts w:hAnsi="宋体" w:cs="宋体"/>
                <w:color w:val="auto"/>
                <w:szCs w:val="22"/>
                <w:highlight w:val="none"/>
              </w:rPr>
            </w:pPr>
            <w:r>
              <w:rPr>
                <w:rFonts w:hint="eastAsia" w:hAnsi="宋体" w:cs="宋体"/>
                <w:color w:val="auto"/>
                <w:szCs w:val="22"/>
                <w:highlight w:val="none"/>
              </w:rPr>
              <w:t>核心</w:t>
            </w:r>
          </w:p>
          <w:p>
            <w:pPr>
              <w:spacing w:line="360" w:lineRule="auto"/>
              <w:jc w:val="center"/>
              <w:rPr>
                <w:rFonts w:hAnsi="宋体" w:cs="宋体"/>
                <w:color w:val="auto"/>
                <w:szCs w:val="22"/>
                <w:highlight w:val="none"/>
              </w:rPr>
            </w:pPr>
            <w:r>
              <w:rPr>
                <w:rFonts w:hint="eastAsia" w:hAnsi="宋体" w:cs="宋体"/>
                <w:color w:val="auto"/>
                <w:szCs w:val="22"/>
                <w:highlight w:val="none"/>
              </w:rPr>
              <w:t>产品</w:t>
            </w:r>
          </w:p>
        </w:tc>
        <w:tc>
          <w:tcPr>
            <w:tcW w:w="6845" w:type="dxa"/>
            <w:vAlign w:val="center"/>
          </w:tcPr>
          <w:p>
            <w:pPr>
              <w:spacing w:line="360" w:lineRule="auto"/>
              <w:jc w:val="left"/>
              <w:rPr>
                <w:rFonts w:hAnsi="宋体" w:cs="宋体"/>
                <w:color w:val="auto"/>
                <w:szCs w:val="22"/>
                <w:highlight w:val="none"/>
              </w:rPr>
            </w:pPr>
            <w:r>
              <w:rPr>
                <w:rFonts w:hint="eastAsia" w:hAnsi="宋体" w:cs="宋体"/>
                <w:color w:val="auto"/>
                <w:szCs w:val="24"/>
                <w:highlight w:val="none"/>
              </w:rPr>
              <w:t xml:space="preserve">无纸化主机、会议系统主机、网络中控主机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3"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19</w:t>
            </w:r>
          </w:p>
        </w:tc>
        <w:tc>
          <w:tcPr>
            <w:tcW w:w="1059"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交货完工期</w:t>
            </w:r>
          </w:p>
        </w:tc>
        <w:tc>
          <w:tcPr>
            <w:tcW w:w="6845" w:type="dxa"/>
            <w:vAlign w:val="center"/>
          </w:tcPr>
          <w:p>
            <w:pPr>
              <w:spacing w:line="360" w:lineRule="auto"/>
              <w:rPr>
                <w:rFonts w:hAnsi="宋体" w:cs="宋体"/>
                <w:color w:val="auto"/>
                <w:highlight w:val="none"/>
              </w:rPr>
            </w:pPr>
            <w:r>
              <w:rPr>
                <w:rFonts w:hint="eastAsia" w:hAnsi="宋体" w:cs="宋体"/>
                <w:color w:val="auto"/>
                <w:szCs w:val="24"/>
                <w:highlight w:val="none"/>
              </w:rPr>
              <w:t>自合同签订之日起</w:t>
            </w:r>
            <w:r>
              <w:rPr>
                <w:rFonts w:hint="eastAsia" w:hAnsi="宋体" w:cs="宋体"/>
                <w:color w:val="auto"/>
                <w:szCs w:val="24"/>
                <w:highlight w:val="none"/>
                <w:lang w:val="en-US" w:eastAsia="zh-CN"/>
              </w:rPr>
              <w:t>30</w:t>
            </w:r>
            <w:r>
              <w:rPr>
                <w:rFonts w:hint="eastAsia" w:hAnsi="宋体" w:cs="宋体"/>
                <w:color w:val="auto"/>
                <w:szCs w:val="24"/>
                <w:highlight w:val="none"/>
              </w:rPr>
              <w:t>个日历日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7"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20</w:t>
            </w:r>
          </w:p>
        </w:tc>
        <w:tc>
          <w:tcPr>
            <w:tcW w:w="1059" w:type="dxa"/>
            <w:vAlign w:val="center"/>
          </w:tcPr>
          <w:p>
            <w:pPr>
              <w:spacing w:line="360" w:lineRule="auto"/>
              <w:rPr>
                <w:rFonts w:hAnsi="宋体" w:cs="宋体"/>
                <w:color w:val="auto"/>
                <w:szCs w:val="24"/>
                <w:highlight w:val="none"/>
              </w:rPr>
            </w:pPr>
            <w:r>
              <w:rPr>
                <w:rFonts w:hint="eastAsia" w:hAnsi="宋体" w:cs="宋体"/>
                <w:color w:val="auto"/>
                <w:szCs w:val="24"/>
                <w:highlight w:val="none"/>
              </w:rPr>
              <w:t>质保期</w:t>
            </w:r>
          </w:p>
        </w:tc>
        <w:tc>
          <w:tcPr>
            <w:tcW w:w="6845" w:type="dxa"/>
            <w:vAlign w:val="center"/>
          </w:tcPr>
          <w:p>
            <w:pPr>
              <w:spacing w:line="360" w:lineRule="auto"/>
              <w:rPr>
                <w:rFonts w:hAnsi="宋体" w:cs="宋体"/>
                <w:color w:val="auto"/>
                <w:szCs w:val="24"/>
                <w:highlight w:val="none"/>
              </w:rPr>
            </w:pPr>
            <w:r>
              <w:rPr>
                <w:rFonts w:hint="eastAsia" w:hAnsi="宋体" w:cs="宋体"/>
                <w:color w:val="auto"/>
                <w:szCs w:val="24"/>
                <w:highlight w:val="none"/>
              </w:rPr>
              <w:t>自验收合格之日起36个月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95"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21</w:t>
            </w:r>
          </w:p>
        </w:tc>
        <w:tc>
          <w:tcPr>
            <w:tcW w:w="1059" w:type="dxa"/>
            <w:vAlign w:val="center"/>
          </w:tcPr>
          <w:p>
            <w:pPr>
              <w:spacing w:line="360" w:lineRule="auto"/>
              <w:jc w:val="center"/>
              <w:rPr>
                <w:rFonts w:hAnsi="宋体" w:cs="宋体"/>
                <w:bCs/>
                <w:color w:val="auto"/>
                <w:szCs w:val="24"/>
                <w:highlight w:val="none"/>
              </w:rPr>
            </w:pPr>
            <w:r>
              <w:rPr>
                <w:rFonts w:hint="eastAsia" w:hAnsi="宋体" w:cs="宋体"/>
                <w:bCs/>
                <w:color w:val="auto"/>
                <w:kern w:val="2"/>
                <w:szCs w:val="24"/>
                <w:highlight w:val="none"/>
              </w:rPr>
              <w:t>项目属性</w:t>
            </w:r>
          </w:p>
        </w:tc>
        <w:tc>
          <w:tcPr>
            <w:tcW w:w="6845" w:type="dxa"/>
            <w:vAlign w:val="center"/>
          </w:tcPr>
          <w:p>
            <w:pPr>
              <w:spacing w:line="360" w:lineRule="auto"/>
              <w:jc w:val="left"/>
              <w:rPr>
                <w:rFonts w:hAnsi="宋体" w:cs="宋体"/>
                <w:bCs/>
                <w:color w:val="auto"/>
                <w:szCs w:val="24"/>
                <w:highlight w:val="none"/>
              </w:rPr>
            </w:pPr>
            <w:r>
              <w:rPr>
                <w:rFonts w:hint="eastAsia" w:hAnsi="宋体" w:cs="宋体"/>
                <w:bCs/>
                <w:color w:val="auto"/>
                <w:kern w:val="2"/>
                <w:szCs w:val="24"/>
                <w:highlight w:val="none"/>
              </w:rPr>
              <w:t>货物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6"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22</w:t>
            </w:r>
          </w:p>
        </w:tc>
        <w:tc>
          <w:tcPr>
            <w:tcW w:w="1059" w:type="dxa"/>
            <w:vAlign w:val="center"/>
          </w:tcPr>
          <w:p>
            <w:pPr>
              <w:spacing w:line="360" w:lineRule="auto"/>
              <w:jc w:val="center"/>
              <w:rPr>
                <w:rFonts w:hAnsi="宋体" w:cs="宋体"/>
                <w:color w:val="auto"/>
                <w:kern w:val="2"/>
                <w:szCs w:val="24"/>
                <w:highlight w:val="none"/>
              </w:rPr>
            </w:pPr>
            <w:r>
              <w:rPr>
                <w:rFonts w:hint="eastAsia" w:hAnsi="宋体" w:cs="宋体"/>
                <w:bCs/>
                <w:color w:val="auto"/>
                <w:kern w:val="2"/>
                <w:szCs w:val="24"/>
                <w:highlight w:val="none"/>
              </w:rPr>
              <w:t>本项目所属行业</w:t>
            </w:r>
          </w:p>
        </w:tc>
        <w:tc>
          <w:tcPr>
            <w:tcW w:w="6845" w:type="dxa"/>
            <w:vAlign w:val="center"/>
          </w:tcPr>
          <w:p>
            <w:pPr>
              <w:spacing w:line="360" w:lineRule="auto"/>
              <w:jc w:val="left"/>
              <w:rPr>
                <w:rFonts w:hAnsi="宋体" w:cs="宋体"/>
                <w:color w:val="auto"/>
                <w:kern w:val="2"/>
                <w:szCs w:val="24"/>
                <w:highlight w:val="none"/>
              </w:rPr>
            </w:pPr>
            <w:r>
              <w:rPr>
                <w:rFonts w:hint="eastAsia" w:ascii="宋体" w:hAnsi="宋体" w:eastAsia="宋体" w:cs="宋体"/>
                <w:kern w:val="2"/>
                <w:sz w:val="24"/>
                <w:szCs w:val="24"/>
                <w:highlight w:val="none"/>
                <w:lang w:val="en-US" w:eastAsia="zh-CN"/>
              </w:rPr>
              <w:t>详见第四章采购内容及技术要求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2"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1059" w:type="dxa"/>
            <w:vAlign w:val="center"/>
          </w:tcPr>
          <w:p>
            <w:pPr>
              <w:spacing w:line="360" w:lineRule="auto"/>
              <w:jc w:val="center"/>
              <w:rPr>
                <w:rFonts w:hAnsi="宋体" w:cs="宋体"/>
                <w:bCs/>
                <w:color w:val="auto"/>
                <w:szCs w:val="24"/>
                <w:highlight w:val="none"/>
              </w:rPr>
            </w:pPr>
            <w:r>
              <w:rPr>
                <w:rFonts w:hint="eastAsia" w:hAnsi="宋体" w:cs="宋体"/>
                <w:color w:val="auto"/>
                <w:kern w:val="2"/>
                <w:szCs w:val="24"/>
                <w:highlight w:val="none"/>
              </w:rPr>
              <w:t>分包</w:t>
            </w:r>
          </w:p>
        </w:tc>
        <w:tc>
          <w:tcPr>
            <w:tcW w:w="6845" w:type="dxa"/>
            <w:vAlign w:val="center"/>
          </w:tcPr>
          <w:p>
            <w:pPr>
              <w:spacing w:line="360" w:lineRule="auto"/>
              <w:jc w:val="left"/>
              <w:rPr>
                <w:rFonts w:hAnsi="宋体" w:cs="宋体"/>
                <w:bCs/>
                <w:color w:val="auto"/>
                <w:szCs w:val="24"/>
                <w:highlight w:val="none"/>
              </w:rPr>
            </w:pPr>
            <w:r>
              <w:rPr>
                <w:rFonts w:hint="eastAsia" w:hAnsi="宋体" w:cs="宋体"/>
                <w:color w:val="auto"/>
                <w:kern w:val="2"/>
                <w:szCs w:val="24"/>
                <w:highlight w:val="none"/>
              </w:rPr>
              <w:t>本采购项目不允许分包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2" w:hRule="atLeast"/>
          <w:jc w:val="center"/>
        </w:trPr>
        <w:tc>
          <w:tcPr>
            <w:tcW w:w="590" w:type="dxa"/>
            <w:vAlign w:val="center"/>
          </w:tcPr>
          <w:p>
            <w:pPr>
              <w:spacing w:line="360" w:lineRule="auto"/>
              <w:jc w:val="center"/>
              <w:rPr>
                <w:rFonts w:hAnsi="宋体" w:cs="宋体"/>
                <w:color w:val="auto"/>
                <w:szCs w:val="24"/>
                <w:highlight w:val="none"/>
              </w:rPr>
            </w:pPr>
            <w:r>
              <w:rPr>
                <w:rFonts w:hint="eastAsia" w:hAnsi="宋体" w:cs="宋体"/>
                <w:color w:val="auto"/>
                <w:szCs w:val="24"/>
                <w:highlight w:val="none"/>
              </w:rPr>
              <w:t>24</w:t>
            </w:r>
          </w:p>
        </w:tc>
        <w:tc>
          <w:tcPr>
            <w:tcW w:w="1059" w:type="dxa"/>
            <w:vAlign w:val="center"/>
          </w:tcPr>
          <w:p>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进口</w:t>
            </w:r>
          </w:p>
          <w:p>
            <w:pPr>
              <w:spacing w:line="360" w:lineRule="auto"/>
              <w:jc w:val="center"/>
              <w:rPr>
                <w:rFonts w:hAnsi="宋体" w:cs="宋体"/>
                <w:bCs/>
                <w:color w:val="auto"/>
                <w:szCs w:val="24"/>
                <w:highlight w:val="none"/>
              </w:rPr>
            </w:pPr>
            <w:r>
              <w:rPr>
                <w:rFonts w:hint="eastAsia" w:hAnsi="宋体" w:cs="宋体"/>
                <w:color w:val="auto"/>
                <w:kern w:val="2"/>
                <w:szCs w:val="24"/>
                <w:highlight w:val="none"/>
              </w:rPr>
              <w:t>产品</w:t>
            </w:r>
          </w:p>
        </w:tc>
        <w:tc>
          <w:tcPr>
            <w:tcW w:w="6845" w:type="dxa"/>
            <w:vAlign w:val="center"/>
          </w:tcPr>
          <w:p>
            <w:pPr>
              <w:spacing w:line="360" w:lineRule="auto"/>
              <w:jc w:val="left"/>
              <w:rPr>
                <w:rFonts w:hAnsi="宋体" w:cs="宋体"/>
                <w:bCs/>
                <w:color w:val="auto"/>
                <w:szCs w:val="24"/>
                <w:highlight w:val="none"/>
              </w:rPr>
            </w:pPr>
            <w:r>
              <w:rPr>
                <w:rFonts w:hint="eastAsia" w:hAnsi="宋体" w:cs="宋体"/>
                <w:color w:val="auto"/>
                <w:kern w:val="2"/>
                <w:szCs w:val="24"/>
                <w:highlight w:val="none"/>
              </w:rPr>
              <w:t>本采购项目拒绝进口产品参加投标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95" w:hRule="atLeast"/>
          <w:jc w:val="center"/>
        </w:trPr>
        <w:tc>
          <w:tcPr>
            <w:tcW w:w="590" w:type="dxa"/>
            <w:vAlign w:val="center"/>
          </w:tcPr>
          <w:p>
            <w:pPr>
              <w:spacing w:line="360" w:lineRule="auto"/>
              <w:jc w:val="center"/>
              <w:rPr>
                <w:rFonts w:hint="default" w:hAnsi="宋体" w:eastAsia="宋体" w:cs="宋体"/>
                <w:color w:val="auto"/>
                <w:szCs w:val="24"/>
                <w:highlight w:val="none"/>
                <w:lang w:val="en-US" w:eastAsia="zh-CN"/>
              </w:rPr>
            </w:pPr>
            <w:r>
              <w:rPr>
                <w:rFonts w:hint="eastAsia" w:hAnsi="宋体" w:cs="宋体"/>
                <w:color w:val="auto"/>
                <w:szCs w:val="24"/>
                <w:highlight w:val="none"/>
                <w:lang w:val="en-US" w:eastAsia="zh-CN"/>
              </w:rPr>
              <w:t>25</w:t>
            </w:r>
          </w:p>
        </w:tc>
        <w:tc>
          <w:tcPr>
            <w:tcW w:w="1059" w:type="dxa"/>
            <w:vAlign w:val="center"/>
          </w:tcPr>
          <w:p>
            <w:pPr>
              <w:spacing w:line="360" w:lineRule="auto"/>
              <w:jc w:val="center"/>
              <w:rPr>
                <w:rFonts w:hAnsi="宋体" w:cs="宋体"/>
                <w:b/>
                <w:bCs/>
                <w:color w:val="auto"/>
                <w:szCs w:val="24"/>
                <w:highlight w:val="none"/>
              </w:rPr>
            </w:pPr>
            <w:r>
              <w:rPr>
                <w:rFonts w:hint="eastAsia" w:hAnsi="宋体" w:cs="宋体"/>
                <w:b/>
                <w:bCs/>
                <w:color w:val="auto"/>
                <w:szCs w:val="24"/>
                <w:highlight w:val="none"/>
              </w:rPr>
              <w:t>其他</w:t>
            </w:r>
          </w:p>
          <w:p>
            <w:pPr>
              <w:spacing w:line="360" w:lineRule="auto"/>
              <w:jc w:val="center"/>
              <w:rPr>
                <w:rFonts w:hAnsi="宋体" w:cs="宋体"/>
                <w:b/>
                <w:bCs/>
                <w:color w:val="auto"/>
                <w:szCs w:val="24"/>
                <w:highlight w:val="none"/>
              </w:rPr>
            </w:pPr>
            <w:r>
              <w:rPr>
                <w:rFonts w:hint="eastAsia" w:hAnsi="宋体" w:cs="宋体"/>
                <w:b/>
                <w:bCs/>
                <w:color w:val="auto"/>
                <w:szCs w:val="24"/>
                <w:highlight w:val="none"/>
              </w:rPr>
              <w:t>说明</w:t>
            </w:r>
          </w:p>
        </w:tc>
        <w:tc>
          <w:tcPr>
            <w:tcW w:w="6845" w:type="dxa"/>
            <w:vAlign w:val="center"/>
          </w:tcPr>
          <w:p>
            <w:pPr>
              <w:spacing w:line="360" w:lineRule="auto"/>
              <w:jc w:val="left"/>
              <w:rPr>
                <w:rFonts w:hAnsi="宋体" w:cs="宋体"/>
                <w:b/>
                <w:bCs/>
                <w:color w:val="auto"/>
                <w:szCs w:val="24"/>
                <w:highlight w:val="none"/>
              </w:rPr>
            </w:pPr>
            <w:r>
              <w:rPr>
                <w:rFonts w:hint="eastAsia" w:hAnsi="宋体" w:cs="宋体"/>
                <w:b/>
                <w:bCs/>
                <w:color w:val="auto"/>
                <w:szCs w:val="24"/>
                <w:highlight w:val="none"/>
              </w:rPr>
              <w:t>按照西安市财政局关于促进政府采购公平竞争优化营商环境的通知&gt;(市财函(2021)431号)规定:供应商登记免费领取招标文件的，如不参与项目投标，应在递交投标文件截止时间前一日以书面形式告知采购代理机构。否则，采购代理机构可以向财政部门反映情况并提供相应的佐证。供应商一年内累计出现三次该情形，将被监管部门记录为失信行为。</w:t>
            </w:r>
          </w:p>
        </w:tc>
      </w:tr>
    </w:tbl>
    <w:p>
      <w:pPr>
        <w:rPr>
          <w:rFonts w:hAnsi="宋体" w:cs="宋体"/>
          <w:color w:val="auto"/>
          <w:highlight w:val="none"/>
        </w:rPr>
      </w:pPr>
    </w:p>
    <w:p>
      <w:pPr>
        <w:spacing w:line="360" w:lineRule="auto"/>
        <w:jc w:val="center"/>
        <w:rPr>
          <w:rFonts w:hAnsi="宋体" w:cs="宋体"/>
          <w:color w:val="auto"/>
          <w:sz w:val="32"/>
          <w:szCs w:val="32"/>
          <w:highlight w:val="none"/>
        </w:rPr>
      </w:pPr>
      <w:r>
        <w:rPr>
          <w:rFonts w:hint="eastAsia" w:hAnsi="宋体" w:cs="宋体"/>
          <w:color w:val="auto"/>
          <w:highlight w:val="none"/>
        </w:rPr>
        <w:br w:type="page"/>
      </w:r>
      <w:bookmarkEnd w:id="14"/>
      <w:bookmarkEnd w:id="15"/>
      <w:bookmarkEnd w:id="16"/>
      <w:bookmarkStart w:id="40" w:name="_Toc363473972"/>
      <w:bookmarkStart w:id="41" w:name="_Toc363474017"/>
      <w:bookmarkStart w:id="42" w:name="_Toc403077639"/>
      <w:r>
        <w:rPr>
          <w:rFonts w:hint="eastAsia" w:hAnsi="宋体" w:cs="宋体"/>
          <w:b/>
          <w:color w:val="auto"/>
          <w:sz w:val="24"/>
          <w:szCs w:val="24"/>
          <w:highlight w:val="none"/>
        </w:rPr>
        <w:t>一.总  则</w:t>
      </w:r>
      <w:bookmarkEnd w:id="40"/>
      <w:bookmarkEnd w:id="41"/>
      <w:bookmarkEnd w:id="42"/>
    </w:p>
    <w:p>
      <w:pPr>
        <w:spacing w:line="360" w:lineRule="auto"/>
        <w:rPr>
          <w:rFonts w:hAnsi="宋体" w:cs="宋体"/>
          <w:b/>
          <w:color w:val="auto"/>
          <w:szCs w:val="24"/>
          <w:highlight w:val="none"/>
        </w:rPr>
      </w:pPr>
      <w:r>
        <w:rPr>
          <w:rFonts w:hint="eastAsia" w:hAnsi="宋体" w:cs="宋体"/>
          <w:b/>
          <w:color w:val="auto"/>
          <w:szCs w:val="24"/>
          <w:highlight w:val="none"/>
        </w:rPr>
        <w:t>1.资金来源</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1.1本次招标采购所签合同使用财政资金支付，资金已落实到位。</w:t>
      </w:r>
    </w:p>
    <w:p>
      <w:pPr>
        <w:numPr>
          <w:ilvl w:val="0"/>
          <w:numId w:val="5"/>
        </w:numPr>
        <w:spacing w:line="360" w:lineRule="auto"/>
        <w:rPr>
          <w:rFonts w:hAnsi="宋体" w:cs="宋体"/>
          <w:b/>
          <w:color w:val="auto"/>
          <w:szCs w:val="24"/>
          <w:highlight w:val="none"/>
        </w:rPr>
      </w:pPr>
      <w:r>
        <w:rPr>
          <w:rFonts w:hint="eastAsia" w:hAnsi="宋体" w:cs="宋体"/>
          <w:b/>
          <w:color w:val="auto"/>
          <w:szCs w:val="24"/>
          <w:highlight w:val="none"/>
        </w:rPr>
        <w:t>名词解释</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2.1采购人：西安铁路职业技术学院</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2.2监督机构：同级财政监管部门</w:t>
      </w:r>
    </w:p>
    <w:p>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2.3采购代理机构：陕西纵横项目管理有限公司</w:t>
      </w:r>
    </w:p>
    <w:p>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2.4供应商：是指响应和符合招标文件规定资格条件且参与投标竞争的法人、其他组织或者自然人。</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2.5产品是指本招标文件中第四章所述所有产品。</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2.6服务是指供应商为满足招标文件要求而提供的服务。</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2.7节能产品或者环保产品是指财政部发布的《节能产品政府采购清单》或《环境标志产品政府采购清单》的产品。</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pPr>
        <w:spacing w:line="360" w:lineRule="auto"/>
        <w:rPr>
          <w:rFonts w:hAnsi="宋体" w:cs="宋体"/>
          <w:b/>
          <w:color w:val="auto"/>
          <w:szCs w:val="24"/>
          <w:highlight w:val="none"/>
        </w:rPr>
      </w:pPr>
      <w:r>
        <w:rPr>
          <w:rFonts w:hint="eastAsia" w:hAnsi="宋体" w:cs="宋体"/>
          <w:b/>
          <w:color w:val="auto"/>
          <w:szCs w:val="24"/>
          <w:highlight w:val="none"/>
        </w:rPr>
        <w:t>3.合格的供应商</w:t>
      </w:r>
    </w:p>
    <w:p>
      <w:pPr>
        <w:tabs>
          <w:tab w:val="left" w:pos="851"/>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3.1满足《中华人民共和国政府采购法》第二十二条规定，并提供下列材料：见供应商须知前附表</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3.2落实政府采购政策需满足的资格要求：见供应商须知前附表。</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3.3本项目的特定资格要求：见供应商须知前附表。</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3.4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否则均为无效投标。</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3.5供应商不得直接或间接地与采购人或采购代理机构有任何关联，亦不得是采购人或采购代理机构的附属机构。如果供应商在投标中隐瞒了上述关系，一经证实，则该投标无效。</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3.6供应商必须在陕西纵横项目管理有限公司领取招标文件，方可参加投标。</w:t>
      </w:r>
      <w:bookmarkStart w:id="43" w:name="OLE_LINK33"/>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w:t>
      </w:r>
      <w:bookmarkEnd w:id="43"/>
      <w:r>
        <w:rPr>
          <w:rFonts w:hint="eastAsia" w:hAnsi="宋体" w:cs="宋体"/>
          <w:color w:val="auto"/>
          <w:szCs w:val="24"/>
          <w:highlight w:val="none"/>
        </w:rPr>
        <w:t>7联合体投标</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3.7.1如果在招标文件中接受联合体投标（见供应商须知前附表），则两个以上供应商可以组成一个投标联合体，以一个供应商的身份投标。以联合体形式参加投标的，联合体各方均应当符合</w:t>
      </w:r>
      <w:r>
        <w:rPr>
          <w:rFonts w:hint="eastAsia" w:hAnsi="宋体" w:cs="宋体"/>
          <w:color w:val="auto"/>
          <w:highlight w:val="none"/>
        </w:rPr>
        <w:t>《中华人民共和国政府采购法》及实施条例规定的条件</w:t>
      </w:r>
      <w:r>
        <w:rPr>
          <w:rFonts w:hint="eastAsia" w:hAnsi="宋体" w:cs="宋体"/>
          <w:color w:val="auto"/>
          <w:szCs w:val="24"/>
          <w:highlight w:val="none"/>
        </w:rPr>
        <w:t>。采购人根据采购项目的特殊要求规定供应商特定条件的，联合体各方中至少应当有一方符合采购人规定的特定条件。</w:t>
      </w:r>
    </w:p>
    <w:p>
      <w:pPr>
        <w:spacing w:line="360" w:lineRule="auto"/>
        <w:ind w:firstLine="468" w:firstLineChars="195"/>
        <w:rPr>
          <w:rFonts w:hAnsi="宋体" w:cs="宋体"/>
          <w:color w:val="auto"/>
          <w:szCs w:val="24"/>
          <w:highlight w:val="none"/>
        </w:rPr>
      </w:pPr>
      <w:r>
        <w:rPr>
          <w:rFonts w:hint="eastAsia" w:hAnsi="宋体" w:cs="宋体"/>
          <w:color w:val="auto"/>
          <w:szCs w:val="24"/>
          <w:highlight w:val="none"/>
        </w:rPr>
        <w:t>3.7.2联合体各方之间应当签订共同投标协议，明确约定联合体各方承担的工作和相应的责任，并将共同投标协议连同投标文件一并提交</w:t>
      </w:r>
      <w:r>
        <w:rPr>
          <w:rFonts w:hint="eastAsia" w:hAnsi="宋体" w:cs="宋体"/>
          <w:color w:val="auto"/>
          <w:highlight w:val="none"/>
        </w:rPr>
        <w:t>采购代理机构</w:t>
      </w:r>
      <w:r>
        <w:rPr>
          <w:rFonts w:hint="eastAsia" w:hAnsi="宋体" w:cs="宋体"/>
          <w:color w:val="auto"/>
          <w:szCs w:val="24"/>
          <w:highlight w:val="none"/>
        </w:rPr>
        <w:t>。联合体各方签订共同投标协议后，不得再以自己名义单独在同一项目中投标，也不得组成新的联合体参加同一项目投标。</w:t>
      </w:r>
    </w:p>
    <w:p>
      <w:pPr>
        <w:pStyle w:val="3"/>
        <w:spacing w:line="360" w:lineRule="auto"/>
        <w:ind w:firstLine="480" w:firstLineChars="200"/>
        <w:rPr>
          <w:rFonts w:ascii="宋体" w:hAnsi="宋体" w:cs="宋体"/>
          <w:color w:val="auto"/>
          <w:szCs w:val="24"/>
          <w:highlight w:val="none"/>
        </w:rPr>
      </w:pPr>
      <w:r>
        <w:rPr>
          <w:rFonts w:hint="eastAsia" w:ascii="宋体" w:hAnsi="宋体" w:cs="宋体"/>
          <w:color w:val="auto"/>
          <w:sz w:val="24"/>
          <w:szCs w:val="24"/>
          <w:highlight w:val="none"/>
        </w:rPr>
        <w:t>3.7.3联合体各方应当共同与采购人签订采购合同，就采购合同约定的事项对采购人承担连带责任。</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3.8投标费用自理。不论投标的结果如何，供应商均应自行承担所有与参加投标有关的费用。</w:t>
      </w:r>
    </w:p>
    <w:p>
      <w:pPr>
        <w:tabs>
          <w:tab w:val="left" w:pos="747"/>
        </w:tabs>
        <w:snapToGrid w:val="0"/>
        <w:spacing w:line="360" w:lineRule="auto"/>
        <w:rPr>
          <w:rFonts w:hAnsi="宋体" w:cs="宋体"/>
          <w:b/>
          <w:bCs/>
          <w:color w:val="auto"/>
          <w:highlight w:val="none"/>
        </w:rPr>
      </w:pPr>
      <w:r>
        <w:rPr>
          <w:rFonts w:hint="eastAsia" w:hAnsi="宋体" w:cs="宋体"/>
          <w:b/>
          <w:bCs/>
          <w:color w:val="auto"/>
          <w:highlight w:val="none"/>
        </w:rPr>
        <w:t>4.合格的货物（产品）和服务</w:t>
      </w:r>
    </w:p>
    <w:p>
      <w:pPr>
        <w:tabs>
          <w:tab w:val="left" w:pos="747"/>
        </w:tabs>
        <w:snapToGrid w:val="0"/>
        <w:spacing w:line="360" w:lineRule="auto"/>
        <w:ind w:firstLine="480" w:firstLineChars="200"/>
        <w:rPr>
          <w:rFonts w:hAnsi="宋体" w:cs="宋体"/>
          <w:color w:val="auto"/>
          <w:highlight w:val="none"/>
        </w:rPr>
      </w:pPr>
      <w:r>
        <w:rPr>
          <w:rFonts w:hint="eastAsia" w:hAnsi="宋体" w:cs="宋体"/>
          <w:color w:val="auto"/>
          <w:highlight w:val="none"/>
        </w:rPr>
        <w:t>4.1供应商提供的所有货物和服务，必须是合法生产、合法来源，符合国家有关标准要求，并满足招标文件规定的规格、参数、质量、有效期、售后服务及供应商须承担的运输、安装、技术具备、培训和招标文件规定的其它伴随服务等要求。</w:t>
      </w:r>
    </w:p>
    <w:p>
      <w:pPr>
        <w:tabs>
          <w:tab w:val="left" w:pos="747"/>
        </w:tabs>
        <w:snapToGrid w:val="0"/>
        <w:spacing w:line="360" w:lineRule="auto"/>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pPr>
        <w:spacing w:line="360" w:lineRule="auto"/>
        <w:rPr>
          <w:rFonts w:hAnsi="宋体" w:cs="宋体"/>
          <w:b/>
          <w:color w:val="auto"/>
          <w:szCs w:val="24"/>
          <w:highlight w:val="none"/>
        </w:rPr>
      </w:pPr>
      <w:r>
        <w:rPr>
          <w:rFonts w:hint="eastAsia" w:hAnsi="宋体" w:cs="宋体"/>
          <w:b/>
          <w:color w:val="auto"/>
          <w:szCs w:val="24"/>
          <w:highlight w:val="none"/>
        </w:rPr>
        <w:t>5.投标文件内容的真实性</w:t>
      </w:r>
    </w:p>
    <w:p>
      <w:pPr>
        <w:spacing w:line="360" w:lineRule="auto"/>
        <w:ind w:firstLine="480" w:firstLineChars="200"/>
        <w:rPr>
          <w:rFonts w:hAnsi="宋体" w:cs="宋体"/>
          <w:color w:val="auto"/>
          <w:highlight w:val="none"/>
        </w:rPr>
      </w:pPr>
      <w:r>
        <w:rPr>
          <w:rFonts w:hint="eastAsia" w:hAnsi="宋体" w:cs="宋体"/>
          <w:color w:val="auto"/>
          <w:szCs w:val="24"/>
          <w:highlight w:val="none"/>
        </w:rPr>
        <w:t>5.1供应商应保证其投标文件中所提供的所有投标资料、信息是真实的，并且来源于合法的渠道。因投标文件中所提供的投标资料、信息不真实或者其来源不合法而导致的所有法律责任，由供应商自行承担。</w:t>
      </w:r>
    </w:p>
    <w:p>
      <w:pPr>
        <w:spacing w:line="360" w:lineRule="auto"/>
        <w:jc w:val="center"/>
        <w:rPr>
          <w:rFonts w:hAnsi="宋体" w:cs="宋体"/>
          <w:b/>
          <w:color w:val="auto"/>
          <w:sz w:val="32"/>
          <w:szCs w:val="32"/>
          <w:highlight w:val="none"/>
        </w:rPr>
      </w:pPr>
      <w:bookmarkStart w:id="44" w:name="_Toc403077640"/>
      <w:bookmarkStart w:id="45" w:name="_Toc363474018"/>
      <w:bookmarkStart w:id="46" w:name="_Toc363473973"/>
      <w:r>
        <w:rPr>
          <w:rFonts w:hint="eastAsia" w:hAnsi="宋体" w:cs="宋体"/>
          <w:b/>
          <w:color w:val="auto"/>
          <w:sz w:val="24"/>
          <w:szCs w:val="24"/>
          <w:highlight w:val="none"/>
        </w:rPr>
        <w:t>二.招标文件</w:t>
      </w:r>
      <w:bookmarkEnd w:id="44"/>
      <w:bookmarkEnd w:id="45"/>
      <w:bookmarkEnd w:id="46"/>
    </w:p>
    <w:p>
      <w:pPr>
        <w:spacing w:line="360" w:lineRule="auto"/>
        <w:rPr>
          <w:rFonts w:hAnsi="宋体" w:cs="宋体"/>
          <w:b/>
          <w:color w:val="auto"/>
          <w:szCs w:val="24"/>
          <w:highlight w:val="none"/>
        </w:rPr>
      </w:pPr>
      <w:r>
        <w:rPr>
          <w:rFonts w:hint="eastAsia" w:hAnsi="宋体" w:cs="宋体"/>
          <w:b/>
          <w:color w:val="auto"/>
          <w:szCs w:val="24"/>
          <w:highlight w:val="none"/>
        </w:rPr>
        <w:t>6.招标文件构成</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招标文件要求提供的货物、服务，招标程序和合同条件在招标文件中均有说明。招标文件共六章，内容如下：</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招标公告</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合同条款及格式</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采购内容及技术要求</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评标方法</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 xml:space="preserve">第六章 投标文件构成及格式  </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招标文件中所有的事项、格式、条款和规范等要求。如果供应商没有按照招标文件要求提交全部资料，或者投标文件没有对招标文件在各方面都做出实质性响应，由此带来不利于供应商的评标结果，其风险由供应商承担。</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6.3本招标文件的解释权归陕西纵横项目管理有限公司，如发现招标文件内容与现行法律法规不相符的情况，以现行法律法规为准。</w:t>
      </w:r>
    </w:p>
    <w:p>
      <w:pPr>
        <w:spacing w:line="360" w:lineRule="auto"/>
        <w:rPr>
          <w:rFonts w:hAnsi="宋体" w:cs="宋体"/>
          <w:b/>
          <w:color w:val="auto"/>
          <w:szCs w:val="24"/>
          <w:highlight w:val="none"/>
        </w:rPr>
      </w:pPr>
      <w:r>
        <w:rPr>
          <w:rFonts w:hint="eastAsia" w:hAnsi="宋体" w:cs="宋体"/>
          <w:b/>
          <w:color w:val="auto"/>
          <w:szCs w:val="24"/>
          <w:highlight w:val="none"/>
        </w:rPr>
        <w:t>7.招标文件的修改和澄清</w:t>
      </w:r>
    </w:p>
    <w:p>
      <w:pPr>
        <w:tabs>
          <w:tab w:val="left" w:pos="720"/>
        </w:tabs>
        <w:spacing w:line="360" w:lineRule="auto"/>
        <w:ind w:firstLine="480" w:firstLineChars="200"/>
        <w:rPr>
          <w:rFonts w:hAnsi="宋体" w:cs="宋体"/>
          <w:color w:val="auto"/>
          <w:highlight w:val="none"/>
        </w:rPr>
      </w:pPr>
      <w:r>
        <w:rPr>
          <w:rFonts w:hint="eastAsia" w:hAnsi="宋体" w:cs="宋体"/>
          <w:color w:val="auto"/>
          <w:highlight w:val="none"/>
        </w:rPr>
        <w:t>7.1 在投标截止时间前，采购代理机构无论出于何种原因，可以对已发出招标文件进行必要的澄清或者修改，但不得修改采购标的和资格条件。</w:t>
      </w:r>
    </w:p>
    <w:p>
      <w:pPr>
        <w:spacing w:line="360" w:lineRule="auto"/>
        <w:ind w:firstLine="480" w:firstLineChars="200"/>
        <w:rPr>
          <w:rFonts w:hAnsi="宋体" w:cs="宋体"/>
          <w:color w:val="auto"/>
          <w:highlight w:val="none"/>
        </w:rPr>
      </w:pPr>
      <w:r>
        <w:rPr>
          <w:rFonts w:hint="eastAsia" w:hAnsi="宋体" w:cs="宋体"/>
          <w:color w:val="auto"/>
          <w:highlight w:val="none"/>
        </w:rPr>
        <w:t>7.2 澄清或者修改的内容可能影响投标文件编制的，采购代理机构应当在投标文件截止时间</w:t>
      </w:r>
      <w:r>
        <w:rPr>
          <w:rFonts w:hint="eastAsia" w:hAnsi="宋体" w:cs="宋体"/>
          <w:b/>
          <w:color w:val="auto"/>
          <w:highlight w:val="none"/>
        </w:rPr>
        <w:t>15</w:t>
      </w:r>
      <w:r>
        <w:rPr>
          <w:rFonts w:hint="eastAsia" w:hAnsi="宋体" w:cs="宋体"/>
          <w:color w:val="auto"/>
          <w:highlight w:val="none"/>
        </w:rPr>
        <w:t>日前，以书面形式将澄清或者修改的内容通知所有获取招标文件的潜在供应商，同时在原信息发布媒体上发布变更公告。该澄清或者修改的内容为招标文件的组成部分。如果澄清或者修改发出的时间距规定的投标截止时间不足</w:t>
      </w:r>
      <w:r>
        <w:rPr>
          <w:rFonts w:hint="eastAsia" w:hAnsi="宋体" w:cs="宋体"/>
          <w:b/>
          <w:color w:val="auto"/>
          <w:highlight w:val="none"/>
        </w:rPr>
        <w:t>15</w:t>
      </w:r>
      <w:r>
        <w:rPr>
          <w:rFonts w:hint="eastAsia" w:hAnsi="宋体" w:cs="宋体"/>
          <w:color w:val="auto"/>
          <w:highlight w:val="none"/>
        </w:rPr>
        <w:t>日，将相应顺延投标截止时间。</w:t>
      </w:r>
    </w:p>
    <w:p>
      <w:pPr>
        <w:pStyle w:val="20"/>
        <w:spacing w:line="360" w:lineRule="auto"/>
        <w:ind w:firstLine="480" w:firstLineChars="200"/>
        <w:rPr>
          <w:rFonts w:ascii="宋体" w:hAnsi="宋体" w:cs="宋体"/>
          <w:color w:val="auto"/>
          <w:kern w:val="0"/>
          <w:sz w:val="24"/>
          <w:szCs w:val="22"/>
          <w:highlight w:val="none"/>
        </w:rPr>
      </w:pPr>
      <w:r>
        <w:rPr>
          <w:rFonts w:hint="eastAsia" w:ascii="宋体" w:hAnsi="宋体" w:cs="宋体"/>
          <w:color w:val="auto"/>
          <w:kern w:val="0"/>
          <w:sz w:val="24"/>
          <w:szCs w:val="22"/>
          <w:highlight w:val="none"/>
        </w:rPr>
        <w:t>7.3在投标文件递交截止时间前，采购代理机构可以视采购具体情况，延长投标截止时间和开标时间并在财政部门指定的媒体上发布变更公告，同时将变更时间书面通知获取招标文件的潜在供应商。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已经领取招标文件的供应商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供应商，且作为招标文件的组成部分。</w:t>
      </w:r>
    </w:p>
    <w:p>
      <w:pPr>
        <w:spacing w:line="360" w:lineRule="auto"/>
        <w:ind w:firstLine="480" w:firstLineChars="200"/>
        <w:rPr>
          <w:rFonts w:hAnsi="宋体" w:cs="宋体"/>
          <w:color w:val="auto"/>
          <w:highlight w:val="none"/>
        </w:rPr>
      </w:pPr>
      <w:r>
        <w:rPr>
          <w:rFonts w:hint="eastAsia" w:hAnsi="宋体" w:cs="宋体"/>
          <w:color w:val="auto"/>
          <w:szCs w:val="24"/>
          <w:highlight w:val="none"/>
        </w:rPr>
        <w:t>7.5</w:t>
      </w:r>
      <w:r>
        <w:rPr>
          <w:rFonts w:hint="eastAsia" w:hAnsi="宋体" w:cs="宋体"/>
          <w:color w:val="auto"/>
          <w:highlight w:val="none"/>
        </w:rPr>
        <w:t>供应商在收到上述通知后，应立即向采购代理机构回函确认。</w:t>
      </w:r>
    </w:p>
    <w:p>
      <w:pPr>
        <w:spacing w:line="360" w:lineRule="auto"/>
        <w:jc w:val="center"/>
        <w:rPr>
          <w:rFonts w:hAnsi="宋体" w:cs="宋体"/>
          <w:b/>
          <w:color w:val="auto"/>
          <w:sz w:val="24"/>
          <w:szCs w:val="24"/>
          <w:highlight w:val="none"/>
        </w:rPr>
      </w:pPr>
      <w:bookmarkStart w:id="47" w:name="_Toc363474019"/>
      <w:bookmarkStart w:id="48" w:name="_Toc403077641"/>
      <w:bookmarkStart w:id="49" w:name="_Toc363473974"/>
      <w:r>
        <w:rPr>
          <w:rFonts w:hint="eastAsia" w:hAnsi="宋体" w:cs="宋体"/>
          <w:b/>
          <w:color w:val="auto"/>
          <w:sz w:val="24"/>
          <w:szCs w:val="24"/>
          <w:highlight w:val="none"/>
        </w:rPr>
        <w:t>三.投标文件的编制</w:t>
      </w:r>
      <w:bookmarkEnd w:id="47"/>
      <w:bookmarkEnd w:id="48"/>
      <w:bookmarkEnd w:id="49"/>
    </w:p>
    <w:p>
      <w:pPr>
        <w:spacing w:line="360" w:lineRule="auto"/>
        <w:rPr>
          <w:rFonts w:hAnsi="宋体" w:cs="宋体"/>
          <w:b/>
          <w:color w:val="auto"/>
          <w:szCs w:val="24"/>
          <w:highlight w:val="none"/>
        </w:rPr>
      </w:pPr>
      <w:r>
        <w:rPr>
          <w:rFonts w:hint="eastAsia" w:hAnsi="宋体" w:cs="宋体"/>
          <w:b/>
          <w:color w:val="auto"/>
          <w:szCs w:val="24"/>
          <w:highlight w:val="none"/>
        </w:rPr>
        <w:t>8. 投标语言和投标货币</w:t>
      </w:r>
    </w:p>
    <w:p>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8.1供应商提交的投标文件以及供应商与采购代理机构就有关投标的所有来往函电均应使用中文。</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8.2投标应以人民币报价。任何包含非人民币报价的投标将按无效投标处理。</w:t>
      </w:r>
    </w:p>
    <w:p>
      <w:pPr>
        <w:spacing w:line="360" w:lineRule="auto"/>
        <w:rPr>
          <w:rFonts w:hAnsi="宋体" w:cs="宋体"/>
          <w:b/>
          <w:color w:val="auto"/>
          <w:szCs w:val="24"/>
          <w:highlight w:val="none"/>
        </w:rPr>
      </w:pPr>
      <w:r>
        <w:rPr>
          <w:rFonts w:hint="eastAsia" w:hAnsi="宋体" w:cs="宋体"/>
          <w:b/>
          <w:color w:val="auto"/>
          <w:szCs w:val="24"/>
          <w:highlight w:val="none"/>
        </w:rPr>
        <w:t>9.投标文件的构成</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供应商提交的投标文件应包括下列部分的内容：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（1）按照供应商须知的要求和招标文件规定的格式填写的投标函、投标报价表、法定代表人授权书。</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（2）按照招标文件的要求编制的投标方案说明书。</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 xml:space="preserve">（3）按照招标文件供应商须知前附表的要求提交的资格证明文件；  </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（4）招标文件中要求的其他证明文件。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如果在招标文件中没有允许提供备选方案，则每个供应商只允许提交一个投标方案，否则，其投标将按照无效投标处理。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 本次投标的最小单元为“项目”，供应商可根据自身的资质情况和经营范围对本次项目进行投标，不得将其各包子目再行分解或只对本次项目中的各包品目进行不完全投标，任何不完全的响应将会被拒绝。</w:t>
      </w:r>
    </w:p>
    <w:p>
      <w:pPr>
        <w:spacing w:line="360" w:lineRule="auto"/>
        <w:rPr>
          <w:rFonts w:hAnsi="宋体" w:cs="宋体"/>
          <w:b/>
          <w:color w:val="auto"/>
          <w:szCs w:val="24"/>
          <w:highlight w:val="none"/>
        </w:rPr>
      </w:pPr>
      <w:r>
        <w:rPr>
          <w:rFonts w:hint="eastAsia" w:hAnsi="宋体" w:cs="宋体"/>
          <w:b/>
          <w:color w:val="auto"/>
          <w:szCs w:val="24"/>
          <w:highlight w:val="none"/>
        </w:rPr>
        <w:t>10.投标文件格式</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供应商应按照招标文件中第六章所提供的格式和要求制作投标文件，明确表达投标意愿，详细说明投标方案、承诺及价格。</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10.2按招标文件第9条的内容及要求和第六章提供的格式和要求编写其投标文件，供应商不得缺少或留空任何招标文件要求填写的表格或提交的资料。</w:t>
      </w:r>
    </w:p>
    <w:p>
      <w:pPr>
        <w:spacing w:line="360" w:lineRule="auto"/>
        <w:rPr>
          <w:rFonts w:hAnsi="宋体" w:cs="宋体"/>
          <w:b/>
          <w:color w:val="auto"/>
          <w:szCs w:val="24"/>
          <w:highlight w:val="none"/>
        </w:rPr>
      </w:pPr>
      <w:r>
        <w:rPr>
          <w:rFonts w:hint="eastAsia" w:hAnsi="宋体" w:cs="宋体"/>
          <w:b/>
          <w:color w:val="auto"/>
          <w:szCs w:val="24"/>
          <w:highlight w:val="none"/>
        </w:rPr>
        <w:t>11.投标报价</w:t>
      </w:r>
    </w:p>
    <w:p>
      <w:pPr>
        <w:spacing w:line="360" w:lineRule="auto"/>
        <w:ind w:firstLine="480" w:firstLineChars="200"/>
        <w:rPr>
          <w:rFonts w:hAnsi="宋体" w:cs="宋体"/>
          <w:color w:val="auto"/>
          <w:kern w:val="2"/>
          <w:szCs w:val="24"/>
          <w:highlight w:val="none"/>
        </w:rPr>
      </w:pPr>
      <w:r>
        <w:rPr>
          <w:rFonts w:hint="eastAsia" w:hAnsi="宋体" w:cs="宋体"/>
          <w:color w:val="auto"/>
          <w:szCs w:val="24"/>
          <w:highlight w:val="none"/>
        </w:rPr>
        <w:t>11.1投标报价：</w:t>
      </w:r>
      <w:r>
        <w:rPr>
          <w:rFonts w:hint="eastAsia" w:hAnsi="宋体" w:cs="宋体"/>
          <w:color w:val="auto"/>
          <w:kern w:val="2"/>
          <w:szCs w:val="24"/>
          <w:highlight w:val="none"/>
        </w:rPr>
        <w:t>供应商应在投标报价表中标明完成本次招标所要求的货物、服务且验收合格的所有费用，包括但不限于设备费</w:t>
      </w:r>
      <w:r>
        <w:rPr>
          <w:rFonts w:hint="eastAsia" w:hAnsi="宋体" w:cs="宋体"/>
          <w:color w:val="auto"/>
          <w:szCs w:val="24"/>
          <w:highlight w:val="none"/>
        </w:rPr>
        <w:t>（含相关配件、附件、安装材料）、产品费、安装调试费、运输费、税后服务费、技术培训费、伴随费用、运杂费（含保险）、仓储保管费、运维期、检测费、招标代理服务费、税金等其他一切相关费用。</w:t>
      </w:r>
      <w:r>
        <w:rPr>
          <w:rFonts w:hint="eastAsia" w:hAnsi="宋体" w:cs="宋体"/>
          <w:color w:val="auto"/>
          <w:kern w:val="2"/>
          <w:szCs w:val="24"/>
          <w:highlight w:val="none"/>
        </w:rPr>
        <w:t>投标报价表中标明本次货物、服务的所有单项价格和总价，任何有选择的报价将不予接受，否则按无效投标处理。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11.2投标报价表中标明的价格应为履行合同的固定价格，不得以任何理由予以变更。以可调整的价格提交的投标文件将按无效投标处理。</w:t>
      </w:r>
    </w:p>
    <w:p>
      <w:pPr>
        <w:spacing w:line="360" w:lineRule="auto"/>
        <w:ind w:right="617" w:rightChars="257" w:firstLine="480" w:firstLineChars="200"/>
        <w:rPr>
          <w:rFonts w:hAnsi="宋体" w:cs="宋体"/>
          <w:color w:val="auto"/>
          <w:szCs w:val="24"/>
          <w:highlight w:val="none"/>
        </w:rPr>
      </w:pPr>
      <w:r>
        <w:rPr>
          <w:rFonts w:hint="eastAsia" w:hAnsi="宋体" w:cs="宋体"/>
          <w:color w:val="auto"/>
          <w:szCs w:val="24"/>
          <w:highlight w:val="none"/>
        </w:rPr>
        <w:t>11.3投标报价：总价（精确到小数点后二位）。</w:t>
      </w:r>
    </w:p>
    <w:p>
      <w:pPr>
        <w:spacing w:line="360" w:lineRule="auto"/>
        <w:rPr>
          <w:rFonts w:hAnsi="宋体" w:cs="宋体"/>
          <w:b/>
          <w:color w:val="auto"/>
          <w:szCs w:val="24"/>
          <w:highlight w:val="none"/>
        </w:rPr>
      </w:pPr>
      <w:r>
        <w:rPr>
          <w:rFonts w:hint="eastAsia" w:hAnsi="宋体" w:cs="宋体"/>
          <w:b/>
          <w:color w:val="auto"/>
          <w:szCs w:val="24"/>
          <w:highlight w:val="none"/>
        </w:rPr>
        <w:t>12.证明供应商合格和资格的文件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12.1供应商应按照招标文件“供应商须知前附表”的要求，在投标文件中提交合格的资格证明文件。如果资格证明文件不齐全或不合格的，其投标将按无效投标处理。</w:t>
      </w:r>
    </w:p>
    <w:p>
      <w:pPr>
        <w:spacing w:line="360" w:lineRule="auto"/>
        <w:rPr>
          <w:rFonts w:hAnsi="宋体" w:cs="宋体"/>
          <w:color w:val="auto"/>
          <w:highlight w:val="none"/>
        </w:rPr>
      </w:pPr>
      <w:r>
        <w:rPr>
          <w:rFonts w:hint="eastAsia" w:hAnsi="宋体" w:cs="宋体"/>
          <w:b/>
          <w:color w:val="auto"/>
          <w:szCs w:val="24"/>
          <w:highlight w:val="none"/>
        </w:rPr>
        <w:t>13.证明货物（含伴随服务）符合招标文件规定的文件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13.1供应商应在投标文件中提交产品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13.2上述证明文件可以是文字资料、图纸、图片、数据、宣传彩页等，所有证明文件表达意思必须统一（如需供应商提供样品，样品必须与投标文件的表述完全符合）。包括：</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(1)产品的详细说明；</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(2)逐条对招标文件提出的技术要求和商务要求进行应答，说明所提供的产品和服务对招标的技术和商务要求是否做出了实质性响应并提供具备文件；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(3)供货范围和服务内容的详细说明。</w:t>
      </w:r>
    </w:p>
    <w:p>
      <w:pPr>
        <w:spacing w:line="360" w:lineRule="auto"/>
        <w:rPr>
          <w:rFonts w:hAnsi="宋体" w:cs="宋体"/>
          <w:b/>
          <w:color w:val="auto"/>
          <w:szCs w:val="24"/>
          <w:highlight w:val="none"/>
        </w:rPr>
      </w:pPr>
      <w:r>
        <w:rPr>
          <w:rFonts w:hint="eastAsia" w:hAnsi="宋体" w:cs="宋体"/>
          <w:b/>
          <w:color w:val="auto"/>
          <w:szCs w:val="24"/>
          <w:highlight w:val="none"/>
        </w:rPr>
        <w:t>14.投标有效期</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14.1投标有效期从递交投标文件的截止之日起90天。投标文件应在投标有效期内保持有效。投标有效期不满足规定有效期的投标文件将被视为无效投标而拒绝。</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14.2特殊情况下，在原投标有效期期满之前，采购代理机构可向供应商提出延长投标有效期的要求。这种要求与答复均应以书面的形式。同意延长的供应商既不能要求也不允许修改其投标文件。</w:t>
      </w:r>
    </w:p>
    <w:p>
      <w:pPr>
        <w:spacing w:line="360" w:lineRule="auto"/>
        <w:rPr>
          <w:rFonts w:hAnsi="宋体" w:cs="宋体"/>
          <w:b/>
          <w:color w:val="auto"/>
          <w:szCs w:val="24"/>
          <w:highlight w:val="none"/>
        </w:rPr>
      </w:pPr>
      <w:r>
        <w:rPr>
          <w:rFonts w:hint="eastAsia" w:hAnsi="宋体" w:cs="宋体"/>
          <w:b/>
          <w:color w:val="auto"/>
          <w:szCs w:val="24"/>
          <w:highlight w:val="none"/>
        </w:rPr>
        <w:t>15.投标文件的式样和签署</w:t>
      </w:r>
    </w:p>
    <w:p>
      <w:pPr>
        <w:spacing w:line="360" w:lineRule="auto"/>
        <w:ind w:firstLine="480" w:firstLineChars="200"/>
        <w:rPr>
          <w:rFonts w:hAnsi="宋体" w:cs="宋体"/>
          <w:b/>
          <w:bCs/>
          <w:color w:val="auto"/>
          <w:spacing w:val="-2"/>
          <w:highlight w:val="none"/>
        </w:rPr>
      </w:pPr>
      <w:r>
        <w:rPr>
          <w:rFonts w:hint="eastAsia" w:hAnsi="宋体" w:cs="宋体"/>
          <w:color w:val="auto"/>
          <w:szCs w:val="24"/>
          <w:highlight w:val="none"/>
        </w:rPr>
        <w:t>15.1供应商应按照本章供应商须知的要求,提交壹份投标文件正本和“供应商须知前附表”中规定数量的副本，每套投标文件封面须清楚地标明“正本”或“副本”。</w:t>
      </w:r>
      <w:r>
        <w:rPr>
          <w:rFonts w:hint="eastAsia" w:hAnsi="宋体" w:cs="宋体"/>
          <w:color w:val="auto"/>
          <w:spacing w:val="4"/>
          <w:highlight w:val="none"/>
        </w:rPr>
        <w:t>同时提供与投标文件正本内容一致的电子版（U盘）一份，并标注供应商全称，与投标文件同时递交。</w:t>
      </w:r>
      <w:r>
        <w:rPr>
          <w:rFonts w:hint="eastAsia" w:hAnsi="宋体" w:cs="宋体"/>
          <w:b/>
          <w:bCs/>
          <w:color w:val="auto"/>
          <w:szCs w:val="24"/>
          <w:highlight w:val="none"/>
        </w:rPr>
        <w:t>电子版为Word版本和正本签字盖章后的PDF格式扫描件，PDF格式扫描件与正本具有同等法律效力。</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投标文件的正本和副本均需打印或用不褪色、不变质的墨水书写，必须按招标文件第六章投标文件构成及格式的要求由供应商法定代表人或其授权代表在规定处签字或盖章。投标文件副本可采用正本的复印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15.3任何行间插字、涂改和增删，必须由供应商的法定代表人或其授权代表在旁边签字方有效。</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15.4供应商名称应填写全称，投标文件按招标文件要求加盖供应商公章。</w:t>
      </w:r>
    </w:p>
    <w:p>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15.5投标文件正本和副本按照招标文件第六章规定的顺序编排、并应</w:t>
      </w:r>
      <w:r>
        <w:rPr>
          <w:rFonts w:hint="eastAsia" w:hAnsi="宋体" w:cs="宋体"/>
          <w:b/>
          <w:bCs/>
          <w:color w:val="auto"/>
          <w:szCs w:val="24"/>
          <w:highlight w:val="none"/>
          <w:lang w:val="zh-CN"/>
        </w:rPr>
        <w:t>编制目录，</w:t>
      </w:r>
      <w:r>
        <w:rPr>
          <w:rFonts w:hint="eastAsia" w:hAnsi="宋体" w:cs="宋体"/>
          <w:b/>
          <w:bCs/>
          <w:color w:val="auto"/>
          <w:szCs w:val="24"/>
          <w:highlight w:val="none"/>
        </w:rPr>
        <w:t>逐页标注连续页码，并分别</w:t>
      </w:r>
      <w:r>
        <w:rPr>
          <w:rFonts w:hint="eastAsia" w:hAnsi="宋体" w:cs="宋体"/>
          <w:b/>
          <w:bCs/>
          <w:color w:val="auto"/>
          <w:szCs w:val="24"/>
          <w:highlight w:val="none"/>
          <w:lang w:val="zh-CN"/>
        </w:rPr>
        <w:t>胶装成册</w:t>
      </w:r>
      <w:r>
        <w:rPr>
          <w:rFonts w:hint="eastAsia" w:hAnsi="宋体" w:cs="宋体"/>
          <w:b/>
          <w:bCs/>
          <w:color w:val="auto"/>
          <w:szCs w:val="24"/>
          <w:highlight w:val="none"/>
        </w:rPr>
        <w:t>。</w:t>
      </w:r>
    </w:p>
    <w:p>
      <w:pPr>
        <w:spacing w:line="360" w:lineRule="auto"/>
        <w:ind w:firstLine="360" w:firstLineChars="150"/>
        <w:rPr>
          <w:rFonts w:hAnsi="宋体" w:cs="宋体"/>
          <w:color w:val="auto"/>
          <w:szCs w:val="24"/>
          <w:highlight w:val="none"/>
        </w:rPr>
      </w:pPr>
      <w:r>
        <w:rPr>
          <w:rFonts w:hint="eastAsia" w:hAnsi="宋体" w:cs="宋体"/>
          <w:color w:val="auto"/>
          <w:szCs w:val="24"/>
          <w:highlight w:val="none"/>
        </w:rPr>
        <w:t xml:space="preserve"> 15.6因字迹潦草、表述不清或不按招标文件格式编制的投标文件，所引起的对供应商不利的后果，由供应商自行负责。</w:t>
      </w:r>
    </w:p>
    <w:p>
      <w:pPr>
        <w:tabs>
          <w:tab w:val="left" w:pos="1080"/>
        </w:tabs>
        <w:spacing w:line="360" w:lineRule="auto"/>
        <w:ind w:firstLine="460" w:firstLineChars="192"/>
        <w:rPr>
          <w:rFonts w:hAnsi="宋体" w:cs="宋体"/>
          <w:color w:val="auto"/>
          <w:highlight w:val="none"/>
        </w:rPr>
      </w:pPr>
      <w:r>
        <w:rPr>
          <w:rFonts w:hint="eastAsia" w:hAnsi="宋体" w:cs="宋体"/>
          <w:color w:val="auto"/>
          <w:szCs w:val="24"/>
          <w:highlight w:val="none"/>
        </w:rPr>
        <w:t>15.7投标文件的副本、电子版须和正本保持一致。</w:t>
      </w:r>
      <w:r>
        <w:rPr>
          <w:rFonts w:hint="eastAsia" w:hAnsi="宋体" w:cs="宋体"/>
          <w:color w:val="auto"/>
          <w:highlight w:val="none"/>
        </w:rPr>
        <w:t>若正本、副本和电子版有不一致的内容，以正本为准。</w:t>
      </w:r>
    </w:p>
    <w:p>
      <w:pPr>
        <w:spacing w:line="360" w:lineRule="auto"/>
        <w:jc w:val="center"/>
        <w:rPr>
          <w:rFonts w:hAnsi="宋体" w:cs="宋体"/>
          <w:b/>
          <w:color w:val="auto"/>
          <w:sz w:val="24"/>
          <w:szCs w:val="24"/>
          <w:highlight w:val="none"/>
        </w:rPr>
      </w:pPr>
      <w:bookmarkStart w:id="50" w:name="_Toc363474020"/>
      <w:bookmarkStart w:id="51" w:name="_Toc363473975"/>
      <w:bookmarkStart w:id="52" w:name="_Toc403077642"/>
      <w:r>
        <w:rPr>
          <w:rFonts w:hint="eastAsia" w:hAnsi="宋体" w:cs="宋体"/>
          <w:b/>
          <w:color w:val="auto"/>
          <w:sz w:val="24"/>
          <w:szCs w:val="24"/>
          <w:highlight w:val="none"/>
        </w:rPr>
        <w:t>四.投标文件的递交</w:t>
      </w:r>
      <w:bookmarkEnd w:id="50"/>
      <w:bookmarkEnd w:id="51"/>
      <w:bookmarkEnd w:id="52"/>
    </w:p>
    <w:p>
      <w:pPr>
        <w:spacing w:line="360" w:lineRule="auto"/>
        <w:rPr>
          <w:rFonts w:hAnsi="宋体" w:cs="宋体"/>
          <w:b/>
          <w:color w:val="auto"/>
          <w:szCs w:val="24"/>
          <w:highlight w:val="none"/>
        </w:rPr>
      </w:pPr>
      <w:r>
        <w:rPr>
          <w:rFonts w:hint="eastAsia" w:hAnsi="宋体" w:cs="宋体"/>
          <w:b/>
          <w:color w:val="auto"/>
          <w:szCs w:val="24"/>
          <w:highlight w:val="none"/>
        </w:rPr>
        <w:t>16.投标文件的密封和标记</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将投标文件正本、所有的副本、电子版本分别单独密封装在封袋中（封袋不得有破损），且在封袋正面标明“正本”“副本”“电子版本”字样。封袋应加贴封条，并在封线处加盖供应商公章，封袋正面要粘贴供应商全称、项目名称、项目编号等标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16.2外层包装请按以下要求标记：</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 xml:space="preserve">   （1) 供应商的全称；</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 xml:space="preserve">   （2) 投标项目名称、项目编号；</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 xml:space="preserve">   （3）正本或副本、电子版本“请勿在＿＿＿＿(开标时间)之前启封”。</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16.3如果供应商未对投标文件按上述要求进行完好密封，由此产生的不利后果由供应商自行承担。</w:t>
      </w:r>
    </w:p>
    <w:p>
      <w:pPr>
        <w:spacing w:line="360" w:lineRule="auto"/>
        <w:rPr>
          <w:rFonts w:hAnsi="宋体" w:cs="宋体"/>
          <w:b/>
          <w:color w:val="auto"/>
          <w:szCs w:val="24"/>
          <w:highlight w:val="none"/>
        </w:rPr>
      </w:pPr>
      <w:r>
        <w:rPr>
          <w:rFonts w:hint="eastAsia" w:hAnsi="宋体" w:cs="宋体"/>
          <w:b/>
          <w:color w:val="auto"/>
          <w:szCs w:val="24"/>
          <w:highlight w:val="none"/>
        </w:rPr>
        <w:t>17．投标文件的递交</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17.1供应商应按照招标公告中规定的时间、地点，在规定的投标文件递交截止时间前将全部投标文件和投标资料递交至采购代理机构投标文件接收人。</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17.2采购代理机构在招标文件规定的投标文件递交截止时间前，只负责投标文件的接收、清点、造册登记工作，并请递交人签字确认，对其有效性不负任何责任；</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17.3采购代理机构收到投标文件后，向供应商出具签收回执。</w:t>
      </w:r>
    </w:p>
    <w:p>
      <w:pPr>
        <w:spacing w:line="360" w:lineRule="auto"/>
        <w:ind w:firstLine="480" w:firstLineChars="200"/>
        <w:rPr>
          <w:rFonts w:hAnsi="宋体" w:cs="宋体"/>
          <w:color w:val="auto"/>
          <w:spacing w:val="-2"/>
          <w:highlight w:val="none"/>
        </w:rPr>
      </w:pPr>
      <w:r>
        <w:rPr>
          <w:rFonts w:hint="eastAsia" w:hAnsi="宋体" w:cs="宋体"/>
          <w:color w:val="auto"/>
          <w:szCs w:val="24"/>
          <w:highlight w:val="none"/>
        </w:rPr>
        <w:t>17.4无论供应商中标与否，其投标文件</w:t>
      </w:r>
      <w:r>
        <w:rPr>
          <w:rFonts w:hint="eastAsia" w:hAnsi="宋体" w:cs="宋体"/>
          <w:color w:val="auto"/>
          <w:highlight w:val="none"/>
        </w:rPr>
        <w:t>恕不退还。</w:t>
      </w:r>
    </w:p>
    <w:p>
      <w:pPr>
        <w:spacing w:line="360" w:lineRule="auto"/>
        <w:rPr>
          <w:rFonts w:hAnsi="宋体" w:cs="宋体"/>
          <w:b/>
          <w:color w:val="auto"/>
          <w:szCs w:val="24"/>
          <w:highlight w:val="none"/>
        </w:rPr>
      </w:pPr>
      <w:r>
        <w:rPr>
          <w:rFonts w:hint="eastAsia" w:hAnsi="宋体" w:cs="宋体"/>
          <w:b/>
          <w:color w:val="auto"/>
          <w:szCs w:val="24"/>
          <w:highlight w:val="none"/>
        </w:rPr>
        <w:t>18．迟交的投标文件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18.1按照招标文件的规定，在递交投标文件的截止时间之后送达的投标文件，为无效投标文件，采购代理机构将拒绝接收。</w:t>
      </w:r>
    </w:p>
    <w:p>
      <w:pPr>
        <w:spacing w:line="360" w:lineRule="auto"/>
        <w:rPr>
          <w:rFonts w:hAnsi="宋体" w:cs="宋体"/>
          <w:b/>
          <w:color w:val="auto"/>
          <w:szCs w:val="24"/>
          <w:highlight w:val="none"/>
        </w:rPr>
      </w:pPr>
      <w:r>
        <w:rPr>
          <w:rFonts w:hint="eastAsia" w:hAnsi="宋体" w:cs="宋体"/>
          <w:b/>
          <w:color w:val="auto"/>
          <w:szCs w:val="24"/>
          <w:highlight w:val="none"/>
        </w:rPr>
        <w:t>19．投标的修改与撤回</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 供应商在递交投标文件后，可以修改或撤回其投标文件，也可以提出价格变动声明，但供应商必须在规定的投标文件递交截止时间之前将修改或撤回或变动价格的书面通知文件递交到采购代理机构。</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19.2 供应商的修改或撤回或变动价格的通知应按本须知第16条的规定编制、密封、标记和递交。</w:t>
      </w:r>
    </w:p>
    <w:p>
      <w:pPr>
        <w:spacing w:line="360" w:lineRule="auto"/>
        <w:ind w:firstLine="480" w:firstLineChars="200"/>
        <w:rPr>
          <w:rFonts w:hAnsi="宋体" w:cs="宋体"/>
          <w:color w:val="auto"/>
          <w:highlight w:val="none"/>
        </w:rPr>
      </w:pPr>
      <w:r>
        <w:rPr>
          <w:rFonts w:hint="eastAsia" w:hAnsi="宋体" w:cs="宋体"/>
          <w:color w:val="auto"/>
          <w:szCs w:val="24"/>
          <w:highlight w:val="none"/>
        </w:rPr>
        <w:t>19.3 在投标文件递交截止时间之后，供应商不得对其投标做任何修改或撤回。</w:t>
      </w:r>
    </w:p>
    <w:p>
      <w:pPr>
        <w:spacing w:line="360" w:lineRule="auto"/>
        <w:jc w:val="center"/>
        <w:rPr>
          <w:rFonts w:hAnsi="宋体" w:cs="宋体"/>
          <w:b/>
          <w:color w:val="auto"/>
          <w:sz w:val="32"/>
          <w:szCs w:val="32"/>
          <w:highlight w:val="none"/>
        </w:rPr>
      </w:pPr>
      <w:bookmarkStart w:id="53" w:name="_Toc363474021"/>
      <w:bookmarkStart w:id="54" w:name="_Toc403077643"/>
      <w:bookmarkStart w:id="55" w:name="_Toc363473976"/>
      <w:r>
        <w:rPr>
          <w:rFonts w:hint="eastAsia" w:hAnsi="宋体" w:cs="宋体"/>
          <w:b/>
          <w:color w:val="auto"/>
          <w:sz w:val="24"/>
          <w:szCs w:val="24"/>
          <w:highlight w:val="none"/>
        </w:rPr>
        <w:t>五.开标与评标</w:t>
      </w:r>
      <w:bookmarkEnd w:id="53"/>
      <w:bookmarkEnd w:id="54"/>
      <w:bookmarkEnd w:id="55"/>
    </w:p>
    <w:p>
      <w:pPr>
        <w:spacing w:line="360" w:lineRule="auto"/>
        <w:rPr>
          <w:rFonts w:hAnsi="宋体" w:cs="宋体"/>
          <w:b/>
          <w:color w:val="auto"/>
          <w:szCs w:val="24"/>
          <w:highlight w:val="none"/>
        </w:rPr>
      </w:pPr>
      <w:r>
        <w:rPr>
          <w:rFonts w:hint="eastAsia" w:hAnsi="宋体" w:cs="宋体"/>
          <w:b/>
          <w:color w:val="auto"/>
          <w:szCs w:val="24"/>
          <w:highlight w:val="none"/>
        </w:rPr>
        <w:t>20.开标</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采购代理机构在规定的时间和地点组织公开开标。开标时所有供应商代表自愿参加，参加开标的代表应签名报到以证明其出席。</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开标时，由监标人和供应商或者其推选的代表检查投标文件的密封情况。检查完毕后，采购代理机构当众宣读供应商名称、投标价格、价格折扣、修改或撤回或变动价格的书面通知（如果有），以及采购代理机构认为合适的其他内容。未在开标时宣读的投标价格和价格折扣，评标时不予承认。</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20.3只有在开标时唱出的价格和价格变动声明，评标时才能考虑。</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20.4在开标时没有启封和宣读的投标文件将原封退回给供应商。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20.5 采购代理机构将做开标记录，存档备查。</w:t>
      </w:r>
    </w:p>
    <w:p>
      <w:pPr>
        <w:spacing w:line="360" w:lineRule="auto"/>
        <w:rPr>
          <w:rFonts w:hAnsi="宋体" w:cs="宋体"/>
          <w:b/>
          <w:color w:val="auto"/>
          <w:szCs w:val="24"/>
          <w:highlight w:val="none"/>
        </w:rPr>
      </w:pPr>
      <w:r>
        <w:rPr>
          <w:rFonts w:hint="eastAsia" w:hAnsi="宋体" w:cs="宋体"/>
          <w:b/>
          <w:color w:val="auto"/>
          <w:szCs w:val="24"/>
          <w:highlight w:val="none"/>
        </w:rPr>
        <w:t>21．评标组织及评标原则</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21.2 评标委员会负责具体评标事务，并独立履行下列职责：</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（1）审查、评价投标文件是否符合招标文件的商务、技术、服务等实质性要求；</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（2）要求供应商对投标文件有关事项作出澄清或者说明；</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（3）对投标文件进行比较和评价；</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（4）确定中标候选人名单，以及根据采购人委托直接确定中标人；</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（5）向采购人、采购代理机构或者有关部门报告评标中发现的违法行为。</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21.3 采购代理机构负责组织评标工作并履行下列职责：</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（2）宣布评标纪律；</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（3）公布供应商名单，告知评标专家应当回避的情形；</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（4）组织评标委员会推选评标组长，采购人代表不得担任组长；</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（5）在评标期间采取必要的通讯管理措施，保证评标活动不受外界干扰；</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（6）根据评标委员会的要求介绍政府采购相关政策法规、招标文件；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 xml:space="preserve">（7）维护评标秩序，监督评标委员会依照评标文件规定的评审程序、方法和标准进行独立评审，及时制止和纠正采购人代表、评审专家的倾向性言论或违法违规行为； </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（8）核对评标结果，有《政府采购货物和服务招标投标管理办法》第六十四条规定情形的，要求评标委员会复核或书面说明理由，评标委员会拒绝的，应予记录并向本级财政部门报告；</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（9）评审工作完成后，按照规定向评审专家支付劳务报酬和异地评审差旅费；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（10）处理与评标有关的其他事项。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21.4招标文件和投标文件是评标的依据。在评标中，不得改变招标文件中规定的评标标准、方法和中标条件。供应商不得在开标后使用任何方式对投标文件的实质性内容做任何更改。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21.5在评标期间，对投标文件中含义不明确、同类问题表述不一致或者有明显文字和计算错误的内容，评标委员会可以书面形式</w:t>
      </w:r>
      <w:r>
        <w:rPr>
          <w:rFonts w:hint="eastAsia" w:hAnsi="宋体" w:cs="宋体"/>
          <w:color w:val="auto"/>
          <w:highlight w:val="none"/>
        </w:rPr>
        <w:t>（由评标委员会专家签字）</w:t>
      </w:r>
      <w:r>
        <w:rPr>
          <w:rFonts w:hint="eastAsia" w:hAnsi="宋体" w:cs="宋体"/>
          <w:color w:val="auto"/>
          <w:szCs w:val="24"/>
          <w:highlight w:val="none"/>
        </w:rPr>
        <w:t>要求供应商作出必要的澄清、说明或者纠正。供应商的澄清、说明或者补正应当采用书面形式，由其授权的代表签字，并不得超出投标文件的范围或者改变投标文件的实质性内容。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21.6如果供应商在澄清规定期限内，未能答复或拒绝答复评委会提出的澄清要求，将由评委会根据其投标文件按最大风险进行评标。</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21.7投标文件的初审（含资格性、符合性审查）</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21.7.1采购人或采购代理机构将审查资格证明文件是否合格齐全，评标委员会审查投标文件是否完整等。</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21.7.2投标文件报价出现前后不一致的，按照下列规定修正：</w:t>
      </w:r>
    </w:p>
    <w:p>
      <w:pPr>
        <w:numPr>
          <w:ilvl w:val="0"/>
          <w:numId w:val="6"/>
        </w:numPr>
        <w:spacing w:line="360" w:lineRule="auto"/>
        <w:ind w:firstLine="480" w:firstLineChars="200"/>
        <w:rPr>
          <w:rFonts w:hAnsi="宋体" w:cs="宋体"/>
          <w:color w:val="auto"/>
          <w:szCs w:val="24"/>
          <w:highlight w:val="none"/>
        </w:rPr>
      </w:pPr>
      <w:r>
        <w:rPr>
          <w:rFonts w:hint="eastAsia" w:hAnsi="宋体" w:cs="宋体"/>
          <w:color w:val="auto"/>
          <w:szCs w:val="24"/>
          <w:highlight w:val="none"/>
        </w:rPr>
        <w:t>投标文件中开标一览表(报价表)内容与投标文件中相应内容不一致的，以投标文件正本中开标一览表(报价表)为准。</w:t>
      </w:r>
    </w:p>
    <w:p>
      <w:pPr>
        <w:numPr>
          <w:ilvl w:val="0"/>
          <w:numId w:val="6"/>
        </w:numPr>
        <w:spacing w:line="360" w:lineRule="auto"/>
        <w:ind w:firstLine="480" w:firstLineChars="200"/>
        <w:rPr>
          <w:rFonts w:hAnsi="宋体" w:cs="宋体"/>
          <w:color w:val="auto"/>
          <w:szCs w:val="24"/>
          <w:highlight w:val="none"/>
        </w:rPr>
      </w:pPr>
      <w:r>
        <w:rPr>
          <w:rFonts w:hint="eastAsia" w:hAnsi="宋体" w:cs="宋体"/>
          <w:color w:val="auto"/>
          <w:szCs w:val="24"/>
          <w:highlight w:val="none"/>
        </w:rPr>
        <w:t>投标文件的大写金额和小写金额不一致的，以大写金额为准；</w:t>
      </w:r>
    </w:p>
    <w:p>
      <w:pPr>
        <w:numPr>
          <w:ilvl w:val="0"/>
          <w:numId w:val="6"/>
        </w:numPr>
        <w:spacing w:line="360" w:lineRule="auto"/>
        <w:ind w:firstLine="480" w:firstLineChars="200"/>
        <w:rPr>
          <w:rFonts w:hAnsi="宋体" w:cs="宋体"/>
          <w:color w:val="auto"/>
          <w:szCs w:val="24"/>
          <w:highlight w:val="none"/>
        </w:rPr>
      </w:pPr>
      <w:r>
        <w:rPr>
          <w:rFonts w:hint="eastAsia" w:hAnsi="宋体" w:cs="宋体"/>
          <w:color w:val="auto"/>
          <w:szCs w:val="24"/>
          <w:highlight w:val="none"/>
        </w:rPr>
        <w:t>单价金额小数点或者百分比有明显错位的，以投标文件正本中的开标一览表的总价为准，并修改单价；</w:t>
      </w:r>
    </w:p>
    <w:p>
      <w:pPr>
        <w:numPr>
          <w:ilvl w:val="0"/>
          <w:numId w:val="6"/>
        </w:numPr>
        <w:spacing w:line="360" w:lineRule="auto"/>
        <w:ind w:firstLine="480" w:firstLineChars="200"/>
        <w:rPr>
          <w:rFonts w:hAnsi="宋体" w:cs="宋体"/>
          <w:color w:val="auto"/>
          <w:szCs w:val="24"/>
          <w:highlight w:val="none"/>
        </w:rPr>
      </w:pPr>
      <w:r>
        <w:rPr>
          <w:rFonts w:hint="eastAsia" w:hAnsi="宋体" w:cs="宋体"/>
          <w:color w:val="auto"/>
          <w:szCs w:val="24"/>
          <w:highlight w:val="none"/>
        </w:rPr>
        <w:t>总价金额与按单价汇总金额不一致的，以单价金额计算结果为准。</w:t>
      </w:r>
    </w:p>
    <w:p>
      <w:pPr>
        <w:widowControl/>
        <w:autoSpaceDE w:val="0"/>
        <w:autoSpaceDN w:val="0"/>
        <w:spacing w:line="360" w:lineRule="auto"/>
        <w:ind w:right="51" w:firstLine="482" w:firstLineChars="200"/>
        <w:textAlignment w:val="bottom"/>
        <w:rPr>
          <w:rFonts w:hAnsi="宋体" w:cs="宋体"/>
          <w:color w:val="auto"/>
          <w:szCs w:val="24"/>
          <w:highlight w:val="none"/>
        </w:rPr>
      </w:pPr>
      <w:r>
        <w:rPr>
          <w:rFonts w:hint="eastAsia" w:hAnsi="宋体" w:cs="宋体"/>
          <w:b/>
          <w:color w:val="auto"/>
          <w:highlight w:val="none"/>
        </w:rPr>
        <w:t>按上述修正的顺序和方法调整的投标报价应对供应商具有约束力。如果供应商不接受修正后的价格，其投标将按无效投标处理。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21.7.3在详细评标之前，根据本须知第21.7.4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21.7.4实质上没有响应招标文件要求的投标将按无效投标处理。供应商不得通过修正或撤销不合要求的偏离从而使其投标成为实质性响应的投标。如发现下列情况之一的，其投标将构成非实质性响应，按无效投标处理：</w:t>
      </w:r>
    </w:p>
    <w:p>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1）没有按照招标文件要求提供投标文件或投标文件构成有重大缺项；</w:t>
      </w:r>
    </w:p>
    <w:p>
      <w:pPr>
        <w:kinsoku w:val="0"/>
        <w:spacing w:line="360" w:lineRule="auto"/>
        <w:ind w:firstLine="480" w:firstLineChars="200"/>
        <w:rPr>
          <w:rFonts w:hAnsi="宋体" w:cs="宋体"/>
          <w:color w:val="auto"/>
          <w:spacing w:val="-6"/>
          <w:highlight w:val="none"/>
        </w:rPr>
      </w:pPr>
      <w:r>
        <w:rPr>
          <w:rFonts w:hint="eastAsia" w:hAnsi="宋体" w:cs="宋体"/>
          <w:color w:val="auto"/>
          <w:highlight w:val="none"/>
        </w:rPr>
        <w:t>2）投标</w:t>
      </w:r>
      <w:r>
        <w:rPr>
          <w:rFonts w:hint="eastAsia" w:hAnsi="宋体" w:cs="宋体"/>
          <w:color w:val="auto"/>
          <w:spacing w:val="-6"/>
          <w:highlight w:val="none"/>
        </w:rPr>
        <w:t>文件</w:t>
      </w:r>
      <w:r>
        <w:rPr>
          <w:rFonts w:hint="eastAsia" w:hAnsi="宋体" w:cs="宋体"/>
          <w:color w:val="auto"/>
          <w:highlight w:val="none"/>
        </w:rPr>
        <w:t>未按招标文件要求签署、盖章的；</w:t>
      </w:r>
    </w:p>
    <w:p>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3）不具备招标文件中规定的资格要求的；</w:t>
      </w:r>
    </w:p>
    <w:p>
      <w:pPr>
        <w:tabs>
          <w:tab w:val="left" w:pos="1260"/>
        </w:tabs>
        <w:spacing w:line="360" w:lineRule="auto"/>
        <w:rPr>
          <w:rFonts w:hAnsi="宋体" w:cs="宋体"/>
          <w:color w:val="auto"/>
          <w:szCs w:val="24"/>
          <w:highlight w:val="none"/>
        </w:rPr>
      </w:pPr>
      <w:r>
        <w:rPr>
          <w:rFonts w:hint="eastAsia" w:hAnsi="宋体" w:cs="宋体"/>
          <w:color w:val="auto"/>
          <w:szCs w:val="24"/>
          <w:highlight w:val="none"/>
        </w:rPr>
        <w:t xml:space="preserve">    4）</w:t>
      </w:r>
      <w:r>
        <w:rPr>
          <w:rFonts w:hint="eastAsia" w:hAnsi="宋体" w:cs="宋体"/>
          <w:color w:val="auto"/>
          <w:spacing w:val="-6"/>
          <w:highlight w:val="none"/>
        </w:rPr>
        <w:t>无投标有效期或有效期达不到招标文件要求的</w:t>
      </w:r>
      <w:r>
        <w:rPr>
          <w:rFonts w:hint="eastAsia" w:hAnsi="宋体" w:cs="宋体"/>
          <w:color w:val="auto"/>
          <w:szCs w:val="24"/>
          <w:highlight w:val="none"/>
        </w:rPr>
        <w:t>；</w:t>
      </w:r>
    </w:p>
    <w:p>
      <w:pPr>
        <w:tabs>
          <w:tab w:val="left" w:pos="1260"/>
        </w:tabs>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5）存在有重大缺漏项和重大技术偏离的投标</w:t>
      </w:r>
      <w:r>
        <w:rPr>
          <w:rFonts w:hint="eastAsia" w:hAnsi="宋体" w:cs="宋体"/>
          <w:color w:val="auto"/>
          <w:highlight w:val="none"/>
        </w:rPr>
        <w:t>货物（产品）</w:t>
      </w:r>
      <w:r>
        <w:rPr>
          <w:rFonts w:hint="eastAsia" w:hAnsi="宋体" w:cs="宋体"/>
          <w:color w:val="auto"/>
          <w:szCs w:val="24"/>
          <w:highlight w:val="none"/>
        </w:rPr>
        <w:t>；</w:t>
      </w:r>
    </w:p>
    <w:p>
      <w:pPr>
        <w:tabs>
          <w:tab w:val="left" w:pos="1260"/>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6）供应商有串通投标、以他人名义投标、弄虚作假、行贿等违法行为的；</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7）投标总报价超过招标文件公布的最高限价的；</w:t>
      </w:r>
    </w:p>
    <w:p>
      <w:pPr>
        <w:pStyle w:val="40"/>
        <w:spacing w:before="0" w:beforeAutospacing="0" w:after="0" w:afterAutospacing="0" w:line="360" w:lineRule="auto"/>
        <w:ind w:firstLine="480" w:firstLineChars="200"/>
        <w:jc w:val="both"/>
        <w:rPr>
          <w:rFonts w:cs="宋体"/>
          <w:color w:val="auto"/>
          <w:highlight w:val="none"/>
        </w:rPr>
      </w:pPr>
      <w:r>
        <w:rPr>
          <w:rFonts w:hint="eastAsia" w:cs="宋体"/>
          <w:color w:val="auto"/>
          <w:highlight w:val="none"/>
        </w:rPr>
        <w:t>8）投标文件含有采购人不能接受的附加条件的；</w:t>
      </w:r>
    </w:p>
    <w:p>
      <w:pPr>
        <w:pStyle w:val="40"/>
        <w:spacing w:before="0" w:beforeAutospacing="0" w:after="0" w:afterAutospacing="0" w:line="360" w:lineRule="auto"/>
        <w:ind w:firstLine="480" w:firstLineChars="200"/>
        <w:jc w:val="both"/>
        <w:rPr>
          <w:rFonts w:cs="宋体"/>
          <w:color w:val="auto"/>
          <w:highlight w:val="none"/>
        </w:rPr>
      </w:pPr>
      <w:r>
        <w:rPr>
          <w:rFonts w:hint="eastAsia" w:cs="宋体"/>
          <w:color w:val="auto"/>
          <w:highlight w:val="none"/>
        </w:rPr>
        <w:t>9）供应商被列入失信被执行人、</w:t>
      </w:r>
      <w:r>
        <w:rPr>
          <w:rFonts w:hint="eastAsia" w:cs="宋体"/>
          <w:color w:val="auto"/>
          <w:highlight w:val="none"/>
          <w:shd w:val="clear" w:color="auto" w:fill="FFFFFF"/>
        </w:rPr>
        <w:t>重大税收违法失信主体</w:t>
      </w:r>
      <w:r>
        <w:rPr>
          <w:rFonts w:hint="eastAsia" w:cs="宋体"/>
          <w:color w:val="auto"/>
          <w:highlight w:val="none"/>
        </w:rPr>
        <w:t>、政府采购严重违法失信行为记录名单的；</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10）法律、法规规定的其他无效情形。</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21.8投标文件的详细评审</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21.8.1评标委员会将按照本须知第21.7.4条规定，只对确定为实质性响应招标文件要求的投标进行详细评审。</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21.8.2详细评审按照第五章“评标方法”的评标方法进行。</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21.9中标候选人的确定</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评标委员会完成评标后，向采购人提出书面评标报告，并推荐三名中标候选人，标明排列顺序。</w:t>
      </w:r>
    </w:p>
    <w:p>
      <w:pPr>
        <w:spacing w:line="360" w:lineRule="auto"/>
        <w:rPr>
          <w:rFonts w:hAnsi="宋体" w:cs="宋体"/>
          <w:b/>
          <w:color w:val="auto"/>
          <w:szCs w:val="24"/>
          <w:highlight w:val="none"/>
        </w:rPr>
      </w:pPr>
      <w:r>
        <w:rPr>
          <w:rFonts w:hint="eastAsia" w:hAnsi="宋体" w:cs="宋体"/>
          <w:b/>
          <w:color w:val="auto"/>
          <w:szCs w:val="24"/>
          <w:highlight w:val="none"/>
        </w:rPr>
        <w:t>22．评标过程的保密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22.1评标委员会成员和与评标活动有关的工作人员不得泄露有关投标文件的评审和比较、中标候选人的推荐以及与评标有关的其他情况。</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22.2在评标过程中，如果供应商试图在投标文件的评审和比较、中标候选人的推荐以及与评标有关的其他方面，向评标人、采购人和采购代理机构施加任何影响，其投标应做无效投标处理。</w:t>
      </w:r>
    </w:p>
    <w:p>
      <w:pPr>
        <w:spacing w:line="360" w:lineRule="auto"/>
        <w:rPr>
          <w:rFonts w:hAnsi="宋体" w:cs="宋体"/>
          <w:b/>
          <w:color w:val="auto"/>
          <w:szCs w:val="24"/>
          <w:highlight w:val="none"/>
        </w:rPr>
      </w:pPr>
      <w:r>
        <w:rPr>
          <w:rFonts w:hint="eastAsia" w:hAnsi="宋体" w:cs="宋体"/>
          <w:b/>
          <w:color w:val="auto"/>
          <w:szCs w:val="24"/>
          <w:highlight w:val="none"/>
        </w:rPr>
        <w:t>23．评标方法</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23.1按照中华人民共和国财政部令第87号--《政府采购货物和服务招标投标管理办法》的规定，本次评标采用以下评标方法中的一种：具体见“供应商须知前附表”。</w:t>
      </w:r>
    </w:p>
    <w:p>
      <w:pPr>
        <w:pStyle w:val="40"/>
        <w:spacing w:before="0" w:beforeAutospacing="0" w:after="0" w:afterAutospacing="0" w:line="360" w:lineRule="auto"/>
        <w:ind w:firstLine="480" w:firstLineChars="200"/>
        <w:jc w:val="both"/>
        <w:rPr>
          <w:rFonts w:cs="宋体"/>
          <w:color w:val="auto"/>
          <w:highlight w:val="none"/>
        </w:rPr>
      </w:pPr>
      <w:r>
        <w:rPr>
          <w:rFonts w:hint="eastAsia" w:cs="宋体"/>
          <w:color w:val="auto"/>
          <w:highlight w:val="none"/>
        </w:rPr>
        <w:t>1） 最低评标价法，即在全部满足招标文件实质性要求前提下，且投标报价最低的供应商为中标候选人的评标方法。</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供应商作为中标候选人并依次排序。</w:t>
      </w:r>
    </w:p>
    <w:p>
      <w:pPr>
        <w:spacing w:line="360" w:lineRule="auto"/>
        <w:rPr>
          <w:rFonts w:hAnsi="宋体" w:cs="宋体"/>
          <w:b/>
          <w:color w:val="auto"/>
          <w:szCs w:val="24"/>
          <w:highlight w:val="none"/>
        </w:rPr>
      </w:pPr>
      <w:r>
        <w:rPr>
          <w:rFonts w:hint="eastAsia" w:hAnsi="宋体" w:cs="宋体"/>
          <w:b/>
          <w:color w:val="auto"/>
          <w:szCs w:val="24"/>
          <w:highlight w:val="none"/>
        </w:rPr>
        <w:t>24．评标程序</w:t>
      </w:r>
    </w:p>
    <w:p>
      <w:pPr>
        <w:spacing w:line="360" w:lineRule="auto"/>
        <w:ind w:firstLine="480" w:firstLineChars="200"/>
        <w:rPr>
          <w:rFonts w:hAnsi="宋体" w:cs="宋体"/>
          <w:color w:val="auto"/>
          <w:highlight w:val="none"/>
        </w:rPr>
      </w:pPr>
      <w:r>
        <w:rPr>
          <w:rFonts w:hint="eastAsia" w:hAnsi="宋体" w:cs="宋体"/>
          <w:color w:val="auto"/>
          <w:szCs w:val="24"/>
          <w:highlight w:val="none"/>
        </w:rPr>
        <w:t>按照投标文件初审、澄清有关问题、比较与评价、推荐中标候选人名单的工作程序进行评标。在上一步评审中供应商被认定无效投标者，不进入下一步的评审。</w:t>
      </w:r>
    </w:p>
    <w:p>
      <w:pPr>
        <w:spacing w:line="360" w:lineRule="auto"/>
        <w:jc w:val="center"/>
        <w:rPr>
          <w:rFonts w:hAnsi="宋体" w:cs="宋体"/>
          <w:b/>
          <w:color w:val="auto"/>
          <w:sz w:val="32"/>
          <w:szCs w:val="32"/>
          <w:highlight w:val="none"/>
        </w:rPr>
      </w:pPr>
      <w:bookmarkStart w:id="56" w:name="_Toc363473977"/>
      <w:bookmarkStart w:id="57" w:name="_Toc403077644"/>
      <w:bookmarkStart w:id="58" w:name="_Toc363474022"/>
      <w:r>
        <w:rPr>
          <w:rFonts w:hint="eastAsia" w:hAnsi="宋体" w:cs="宋体"/>
          <w:b/>
          <w:color w:val="auto"/>
          <w:sz w:val="24"/>
          <w:szCs w:val="24"/>
          <w:highlight w:val="none"/>
        </w:rPr>
        <w:t>六.定标、中标通知与签约</w:t>
      </w:r>
      <w:bookmarkEnd w:id="56"/>
      <w:bookmarkEnd w:id="57"/>
      <w:bookmarkEnd w:id="58"/>
    </w:p>
    <w:p>
      <w:pPr>
        <w:spacing w:line="360" w:lineRule="auto"/>
        <w:rPr>
          <w:rFonts w:hAnsi="宋体" w:cs="宋体"/>
          <w:b/>
          <w:color w:val="auto"/>
          <w:szCs w:val="24"/>
          <w:highlight w:val="none"/>
        </w:rPr>
      </w:pPr>
      <w:r>
        <w:rPr>
          <w:rFonts w:hint="eastAsia" w:hAnsi="宋体" w:cs="宋体"/>
          <w:b/>
          <w:color w:val="auto"/>
          <w:szCs w:val="24"/>
          <w:highlight w:val="none"/>
        </w:rPr>
        <w:t>25．定标程序</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25.1评标委员会根据评标方法的规定对供应商进行评审排序，推荐3名中标候选人，作为评标结果。评标结果由评标委员会成员签字确认。</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25.2</w:t>
      </w:r>
      <w:r>
        <w:rPr>
          <w:rFonts w:hint="eastAsia" w:hAnsi="宋体" w:cs="宋体"/>
          <w:color w:val="auto"/>
          <w:highlight w:val="none"/>
        </w:rPr>
        <w:t>采购代理机构在评标结束后1个工作日内将评标报告送采购人。采购人应当在收到评标报告后4个工作日内，按照评标报告中推荐的中标候选人顺序和有关规定确定中标人。</w:t>
      </w:r>
    </w:p>
    <w:p>
      <w:pPr>
        <w:spacing w:line="360" w:lineRule="auto"/>
        <w:ind w:firstLine="480" w:firstLineChars="200"/>
        <w:rPr>
          <w:rFonts w:hint="eastAsia" w:hAnsi="宋体" w:cs="宋体"/>
          <w:color w:val="auto"/>
          <w:highlight w:val="none"/>
        </w:rPr>
      </w:pPr>
      <w:r>
        <w:rPr>
          <w:rFonts w:hint="eastAsia" w:hAnsi="宋体" w:cs="宋体"/>
          <w:color w:val="auto"/>
          <w:szCs w:val="24"/>
          <w:highlight w:val="none"/>
        </w:rPr>
        <w:t>25.3</w:t>
      </w:r>
      <w:r>
        <w:rPr>
          <w:rFonts w:hint="eastAsia" w:hAnsi="宋体" w:cs="宋体"/>
          <w:color w:val="auto"/>
          <w:highlight w:val="none"/>
        </w:rPr>
        <w:t>确定的中标候选人放弃中标、在规定期限内未能签订合同、因不可抗力不能履行合同、不按照招标文件要求提交履约保证金，或者被查实存在影响中标结果的违法行为等情形，不符合中标条件的，采购人可以按照评标委员会提出的中标候选人名单排序依次确定其他中标候选人为中标人，也可以重新招标。</w:t>
      </w:r>
    </w:p>
    <w:p>
      <w:pPr>
        <w:spacing w:line="360" w:lineRule="auto"/>
        <w:ind w:firstLine="480" w:firstLineChars="200"/>
        <w:rPr>
          <w:rFonts w:hAnsi="宋体" w:cs="宋体"/>
          <w:color w:val="auto"/>
          <w:szCs w:val="24"/>
          <w:highlight w:val="none"/>
        </w:rPr>
      </w:pPr>
      <w:r>
        <w:rPr>
          <w:rFonts w:hint="eastAsia" w:hAnsi="宋体" w:cs="宋体"/>
          <w:color w:val="auto"/>
          <w:highlight w:val="none"/>
        </w:rPr>
        <w:t>2</w:t>
      </w:r>
      <w:r>
        <w:rPr>
          <w:rFonts w:hint="eastAsia" w:hAnsi="宋体" w:cs="宋体"/>
          <w:color w:val="auto"/>
          <w:szCs w:val="24"/>
          <w:highlight w:val="none"/>
        </w:rPr>
        <w:t>5.4采购人也可以授权评标委员会评标后直接确定中标人。</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25.5中标人确定之后，中标结果将在财政部门指定的政府采购信息发布媒体上公告。</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25.6供应商或者其他利害关系人对评标结果有异议的，应当在法律规定的时间内提出。</w:t>
      </w:r>
    </w:p>
    <w:p>
      <w:pPr>
        <w:spacing w:line="360" w:lineRule="auto"/>
        <w:rPr>
          <w:rFonts w:hAnsi="宋体" w:cs="宋体"/>
          <w:b/>
          <w:color w:val="auto"/>
          <w:szCs w:val="24"/>
          <w:highlight w:val="none"/>
        </w:rPr>
      </w:pPr>
      <w:r>
        <w:rPr>
          <w:rFonts w:hint="eastAsia" w:hAnsi="宋体" w:cs="宋体"/>
          <w:b/>
          <w:color w:val="auto"/>
          <w:szCs w:val="24"/>
          <w:highlight w:val="none"/>
        </w:rPr>
        <w:t>26．中标通知</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 采购代理机构在发布中标公告后，向中标人发出《中标通知书》。</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26.2中标通知书对采购人和中标人具有同等法律效力。中标通知书发出之后，采购人改变中标结果，或者中标人放弃中标，应当承担相应的法律责任。</w:t>
      </w:r>
    </w:p>
    <w:p>
      <w:pPr>
        <w:spacing w:line="360" w:lineRule="auto"/>
        <w:rPr>
          <w:rFonts w:hAnsi="宋体" w:cs="宋体"/>
          <w:b/>
          <w:color w:val="auto"/>
          <w:szCs w:val="24"/>
          <w:highlight w:val="none"/>
        </w:rPr>
      </w:pPr>
      <w:r>
        <w:rPr>
          <w:rFonts w:hint="eastAsia" w:hAnsi="宋体" w:cs="宋体"/>
          <w:b/>
          <w:color w:val="auto"/>
          <w:szCs w:val="24"/>
          <w:highlight w:val="none"/>
        </w:rPr>
        <w:t>27. 中标合同的签订</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人应当自中标通知书发出之日起二十五日内，按照招标文件和中标人投标文件（包括评标中形成的澄清文件）的约定，与中标人签订书面合同。所签订的合同不得对招标文件和中标人的投标文件（包括评标中形成的澄清文件）作实质性修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27.2中标人拒绝与采购人签订合同的，采购人可以按照评审报告推荐的中标候选人名单排序，确定下一候选投标人为中标人，也可以重新开展政府采购活动。</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27.3政府采购合同应当包括采购人与中标人的名称和住所、标的、数量、质量、价款或者报酬、履行期限及地点和方式、验收要求、违约责任、解决争议的方法等内容。</w:t>
      </w:r>
    </w:p>
    <w:p>
      <w:pPr>
        <w:spacing w:line="360" w:lineRule="auto"/>
        <w:ind w:firstLine="480" w:firstLineChars="200"/>
        <w:rPr>
          <w:rFonts w:hAnsi="宋体" w:cs="宋体"/>
          <w:color w:val="auto"/>
          <w:highlight w:val="none"/>
        </w:rPr>
      </w:pPr>
      <w:r>
        <w:rPr>
          <w:rFonts w:hint="eastAsia" w:hAnsi="宋体" w:cs="宋体"/>
          <w:color w:val="auto"/>
          <w:szCs w:val="24"/>
          <w:highlight w:val="none"/>
        </w:rPr>
        <w:t>27.4采购人自政府采购合同签订之日起 2 个工作日内，将政府采购合同在省级以上人民政府财政部门指定的媒体上公告，但政府采购合同中涉及国家秘密、商业秘密的内容除外。自采购合同签订之日起七个工作日内，将采购合同副本报同级人民政府财政部门备案。</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27.5采购人与中标人应当根据合同的约定依法履行合同义务。政府采购合同的履行、违约责任和解决争议的方法等适用《中华人民共和国民法典》。</w:t>
      </w:r>
    </w:p>
    <w:p>
      <w:pPr>
        <w:spacing w:line="360" w:lineRule="auto"/>
        <w:rPr>
          <w:rFonts w:hAnsi="宋体" w:cs="宋体"/>
          <w:b/>
          <w:color w:val="auto"/>
          <w:szCs w:val="24"/>
          <w:highlight w:val="none"/>
        </w:rPr>
      </w:pPr>
      <w:r>
        <w:rPr>
          <w:rFonts w:hint="eastAsia" w:hAnsi="宋体" w:cs="宋体"/>
          <w:b/>
          <w:color w:val="auto"/>
          <w:szCs w:val="24"/>
          <w:highlight w:val="none"/>
        </w:rPr>
        <w:t>28．招标代理服务费</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w:t>
      </w:r>
      <w:r>
        <w:rPr>
          <w:rFonts w:hint="eastAsia" w:hAnsi="宋体" w:cs="宋体"/>
          <w:color w:val="auto"/>
          <w:highlight w:val="none"/>
          <w:lang w:eastAsia="zh-CN"/>
        </w:rPr>
        <w:t>参照</w:t>
      </w:r>
      <w:r>
        <w:rPr>
          <w:rFonts w:hint="eastAsia" w:hAnsi="宋体" w:cs="宋体"/>
          <w:color w:val="auto"/>
          <w:highlight w:val="none"/>
        </w:rPr>
        <w:t>国家计委关于印发《采购代理服务收费管理暂行办法的通知》（计价格[2002]1980号）、《国家发展改革委员会办公厅关于招标代理服务收费有关问题的通知》（发改办价格〔2003〕857号）以及《国家发展改革委关于降低部分建设项目收费标准规范收费行为等有关问题的通知》(发改价格〔2011〕534号)规定的标准收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w:t>
      </w:r>
      <w:r>
        <w:rPr>
          <w:rFonts w:hint="eastAsia" w:hAnsi="宋体" w:cs="宋体"/>
          <w:color w:val="auto"/>
          <w:highlight w:val="none"/>
        </w:rPr>
        <w:t>.2由</w:t>
      </w:r>
      <w:r>
        <w:rPr>
          <w:rFonts w:hint="eastAsia" w:hAnsi="宋体" w:cs="宋体"/>
          <w:color w:val="auto"/>
          <w:szCs w:val="24"/>
          <w:highlight w:val="none"/>
        </w:rPr>
        <w:t>中标人承担招标代理服务费，中标人在领取中标通知书前，须向采购代理机构一次性支付招标代理服务费。</w:t>
      </w:r>
    </w:p>
    <w:p>
      <w:pPr>
        <w:spacing w:line="360" w:lineRule="auto"/>
        <w:rPr>
          <w:rFonts w:hAnsi="宋体" w:cs="宋体"/>
          <w:b/>
          <w:bCs/>
          <w:color w:val="auto"/>
          <w:szCs w:val="24"/>
          <w:highlight w:val="none"/>
        </w:rPr>
      </w:pPr>
      <w:r>
        <w:rPr>
          <w:rFonts w:hint="eastAsia" w:hAnsi="宋体" w:cs="宋体"/>
          <w:b/>
          <w:bCs/>
          <w:color w:val="auto"/>
          <w:szCs w:val="24"/>
          <w:highlight w:val="none"/>
        </w:rPr>
        <w:t>29.履约验收</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29.1采购人应及时对采购项目进行验收。采购人可以邀请参加本项目的其他供应商或者第三方机构参与验收。参与验收的供应商或者第三方机构的意见作为验收书的参考资料一并存档。</w:t>
      </w:r>
    </w:p>
    <w:p>
      <w:pPr>
        <w:spacing w:line="360" w:lineRule="auto"/>
        <w:rPr>
          <w:rFonts w:hAnsi="宋体" w:cs="宋体"/>
          <w:b/>
          <w:bCs/>
          <w:color w:val="auto"/>
          <w:szCs w:val="24"/>
          <w:highlight w:val="none"/>
        </w:rPr>
      </w:pPr>
      <w:r>
        <w:rPr>
          <w:rFonts w:hint="eastAsia" w:hAnsi="宋体" w:cs="宋体"/>
          <w:b/>
          <w:bCs/>
          <w:color w:val="auto"/>
          <w:szCs w:val="24"/>
          <w:highlight w:val="none"/>
        </w:rPr>
        <w:t>30.质疑</w:t>
      </w:r>
    </w:p>
    <w:p>
      <w:pPr>
        <w:spacing w:line="360" w:lineRule="auto"/>
        <w:ind w:right="12" w:firstLine="480"/>
        <w:rPr>
          <w:rFonts w:hAnsi="宋体" w:cs="宋体"/>
          <w:color w:val="auto"/>
          <w:szCs w:val="24"/>
          <w:highlight w:val="none"/>
        </w:rPr>
      </w:pPr>
      <w:r>
        <w:rPr>
          <w:rFonts w:hint="eastAsia" w:hAnsi="宋体" w:cs="宋体"/>
          <w:color w:val="auto"/>
          <w:szCs w:val="24"/>
          <w:highlight w:val="none"/>
        </w:rPr>
        <w:t>30.1供应商认为招标文件、招标过程、中标结果使自己的权益受到损害的，可以在知道或者应知其权益受到损害之日起7个工作日内，以书面形式向采购人、采购代理机构提出质疑。</w:t>
      </w:r>
    </w:p>
    <w:p>
      <w:pPr>
        <w:spacing w:line="360" w:lineRule="auto"/>
        <w:ind w:right="12" w:firstLine="480"/>
        <w:rPr>
          <w:rStyle w:val="47"/>
          <w:rFonts w:hAnsi="宋体" w:cs="宋体"/>
          <w:bCs w:val="0"/>
          <w:color w:val="auto"/>
          <w:szCs w:val="24"/>
          <w:highlight w:val="none"/>
          <w:shd w:val="clear" w:color="auto" w:fill="FFFFFF"/>
        </w:rPr>
      </w:pPr>
      <w:r>
        <w:rPr>
          <w:rFonts w:hint="eastAsia" w:hAnsi="宋体" w:cs="宋体"/>
          <w:color w:val="auto"/>
          <w:szCs w:val="24"/>
          <w:highlight w:val="none"/>
        </w:rPr>
        <w:t>30.2供应商必须在法定质疑期内一次性提出针对同一采购程序环节的质疑。</w:t>
      </w:r>
    </w:p>
    <w:p>
      <w:pPr>
        <w:spacing w:line="360" w:lineRule="auto"/>
        <w:ind w:firstLine="480" w:firstLineChars="200"/>
        <w:rPr>
          <w:rStyle w:val="47"/>
          <w:rFonts w:hAnsi="宋体" w:cs="宋体"/>
          <w:b w:val="0"/>
          <w:color w:val="auto"/>
          <w:szCs w:val="24"/>
          <w:highlight w:val="none"/>
          <w:shd w:val="clear" w:color="auto" w:fill="FFFFFF"/>
        </w:rPr>
      </w:pPr>
      <w:r>
        <w:rPr>
          <w:rStyle w:val="47"/>
          <w:rFonts w:hint="eastAsia" w:hAnsi="宋体" w:cs="宋体"/>
          <w:b w:val="0"/>
          <w:color w:val="auto"/>
          <w:szCs w:val="24"/>
          <w:highlight w:val="none"/>
          <w:shd w:val="clear" w:color="auto" w:fill="FFFFFF"/>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360" w:lineRule="auto"/>
        <w:ind w:left="3" w:firstLine="518" w:firstLineChars="216"/>
        <w:rPr>
          <w:rStyle w:val="47"/>
          <w:rFonts w:hAnsi="宋体" w:cs="宋体"/>
          <w:b w:val="0"/>
          <w:color w:val="auto"/>
          <w:szCs w:val="24"/>
          <w:highlight w:val="none"/>
          <w:shd w:val="clear" w:color="auto" w:fill="FFFFFF"/>
        </w:rPr>
      </w:pPr>
      <w:r>
        <w:rPr>
          <w:rStyle w:val="47"/>
          <w:rFonts w:hint="eastAsia" w:hAnsi="宋体" w:cs="宋体"/>
          <w:b w:val="0"/>
          <w:color w:val="auto"/>
          <w:szCs w:val="24"/>
          <w:highlight w:val="none"/>
          <w:shd w:val="clear" w:color="auto" w:fill="FFFFFF"/>
        </w:rPr>
        <w:t>30.4以联合体形式参加政府采购活动的，其质疑应当由组成联合体的所有供应商共同提出。</w:t>
      </w:r>
    </w:p>
    <w:p>
      <w:pPr>
        <w:spacing w:line="360" w:lineRule="auto"/>
        <w:ind w:right="12"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pPr>
        <w:spacing w:line="360" w:lineRule="auto"/>
        <w:ind w:right="12"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pPr>
        <w:spacing w:line="360" w:lineRule="auto"/>
        <w:ind w:right="12"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pPr>
        <w:spacing w:line="360" w:lineRule="auto"/>
        <w:ind w:right="12"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pPr>
        <w:spacing w:line="360" w:lineRule="auto"/>
        <w:ind w:right="12" w:firstLine="480" w:firstLineChars="200"/>
        <w:rPr>
          <w:rFonts w:hAnsi="宋体" w:cs="宋体"/>
          <w:color w:val="auto"/>
          <w:szCs w:val="24"/>
          <w:highlight w:val="none"/>
        </w:rPr>
      </w:pPr>
      <w:r>
        <w:rPr>
          <w:rFonts w:hint="eastAsia" w:hAnsi="宋体" w:cs="宋体"/>
          <w:color w:val="auto"/>
          <w:szCs w:val="24"/>
          <w:highlight w:val="none"/>
        </w:rPr>
        <w:t>30.5.4事实依据；</w:t>
      </w:r>
    </w:p>
    <w:p>
      <w:pPr>
        <w:spacing w:line="360" w:lineRule="auto"/>
        <w:ind w:right="12" w:firstLine="480" w:firstLineChars="200"/>
        <w:rPr>
          <w:rFonts w:hAnsi="宋体" w:cs="宋体"/>
          <w:color w:val="auto"/>
          <w:szCs w:val="24"/>
          <w:highlight w:val="none"/>
        </w:rPr>
      </w:pPr>
      <w:r>
        <w:rPr>
          <w:rFonts w:hint="eastAsia" w:hAnsi="宋体" w:cs="宋体"/>
          <w:color w:val="auto"/>
          <w:szCs w:val="24"/>
          <w:highlight w:val="none"/>
        </w:rPr>
        <w:t>30.5.5必要的法律依据；</w:t>
      </w:r>
    </w:p>
    <w:p>
      <w:pPr>
        <w:spacing w:line="360" w:lineRule="auto"/>
        <w:ind w:right="12" w:firstLine="480" w:firstLineChars="200"/>
        <w:rPr>
          <w:rStyle w:val="47"/>
          <w:rFonts w:hAnsi="宋体" w:cs="宋体"/>
          <w:b w:val="0"/>
          <w:color w:val="auto"/>
          <w:szCs w:val="24"/>
          <w:highlight w:val="none"/>
          <w:shd w:val="clear" w:color="auto" w:fill="FFFFFF"/>
        </w:rPr>
      </w:pPr>
      <w:r>
        <w:rPr>
          <w:rFonts w:hint="eastAsia" w:hAnsi="宋体" w:cs="宋体"/>
          <w:color w:val="auto"/>
          <w:szCs w:val="24"/>
          <w:highlight w:val="none"/>
        </w:rPr>
        <w:t>30.5.6提出质疑的日期。</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30.6有下列情形之一的，属于无效质疑，采购代理机构和采购人不予受理：</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30.6.1质疑供应商不是参与本次政府采购项目的供应商；</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30.6.2质疑供应商与质疑事项不存在利害关系的；</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30.6.3未在法定期限内提出质疑的；</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30.6.4质疑未以书面形式提出，或质疑函主要内容构成不完整的；</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30.6.5应当提交授权书而未提交的；</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30.6.6以非法手段取得证据、材料的；</w:t>
      </w:r>
    </w:p>
    <w:p>
      <w:pPr>
        <w:widowControl/>
        <w:spacing w:line="360" w:lineRule="auto"/>
        <w:ind w:firstLine="480" w:firstLineChars="200"/>
        <w:rPr>
          <w:rFonts w:hAnsi="宋体" w:cs="宋体"/>
          <w:color w:val="auto"/>
          <w:highlight w:val="none"/>
        </w:rPr>
      </w:pPr>
      <w:r>
        <w:rPr>
          <w:rFonts w:hint="eastAsia" w:hAnsi="宋体" w:cs="宋体"/>
          <w:color w:val="auto"/>
          <w:highlight w:val="none"/>
        </w:rPr>
        <w:t>30.6.7质疑答复后，同一质疑人就同一事项或同一采购程序环节再次提出质疑的；</w:t>
      </w:r>
    </w:p>
    <w:p>
      <w:pPr>
        <w:widowControl/>
        <w:spacing w:line="360" w:lineRule="auto"/>
        <w:ind w:firstLine="480" w:firstLineChars="200"/>
        <w:rPr>
          <w:rStyle w:val="47"/>
          <w:rFonts w:hAnsi="宋体" w:cs="宋体"/>
          <w:b w:val="0"/>
          <w:color w:val="auto"/>
          <w:szCs w:val="24"/>
          <w:highlight w:val="none"/>
          <w:shd w:val="clear" w:color="auto" w:fill="FFFFFF"/>
        </w:rPr>
      </w:pPr>
      <w:r>
        <w:rPr>
          <w:rFonts w:hint="eastAsia" w:hAnsi="宋体" w:cs="宋体"/>
          <w:color w:val="auto"/>
          <w:highlight w:val="none"/>
        </w:rPr>
        <w:t>30.6.8不符合法律、法规、规章和政府采购监管机构规定的其他条件的。</w:t>
      </w:r>
    </w:p>
    <w:p>
      <w:pPr>
        <w:spacing w:line="360" w:lineRule="auto"/>
        <w:ind w:right="12"/>
        <w:rPr>
          <w:rFonts w:hAnsi="宋体" w:cs="宋体"/>
          <w:color w:val="auto"/>
          <w:szCs w:val="24"/>
          <w:highlight w:val="none"/>
        </w:rPr>
      </w:pPr>
      <w:r>
        <w:rPr>
          <w:rFonts w:hint="eastAsia" w:hAnsi="宋体" w:cs="宋体"/>
          <w:color w:val="auto"/>
          <w:szCs w:val="24"/>
          <w:highlight w:val="none"/>
        </w:rPr>
        <w:t xml:space="preserve">    30.7质疑答复</w:t>
      </w:r>
    </w:p>
    <w:p>
      <w:pPr>
        <w:pStyle w:val="88"/>
        <w:spacing w:line="360" w:lineRule="auto"/>
        <w:ind w:firstLine="480"/>
        <w:jc w:val="left"/>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pPr>
        <w:pStyle w:val="88"/>
        <w:spacing w:line="360" w:lineRule="auto"/>
        <w:ind w:firstLine="480" w:firstLineChars="0"/>
        <w:jc w:val="left"/>
        <w:rPr>
          <w:rFonts w:hAnsi="宋体" w:cs="宋体"/>
          <w:color w:val="auto"/>
          <w:szCs w:val="24"/>
          <w:highlight w:val="none"/>
        </w:rPr>
      </w:pPr>
      <w:r>
        <w:rPr>
          <w:rFonts w:hint="eastAsia" w:hAnsi="宋体" w:cs="宋体"/>
          <w:color w:val="auto"/>
          <w:szCs w:val="24"/>
          <w:highlight w:val="none"/>
        </w:rPr>
        <w:t>30.7.2质疑供应商对采购人、采购代理机构的答复不满意，或者采购人、采购代理机构未在规定时间内作出答复的，可以在答复期满后15个工作日内向</w:t>
      </w:r>
      <w:r>
        <w:rPr>
          <w:rFonts w:hint="eastAsia" w:hAnsi="宋体" w:cs="宋体"/>
          <w:b/>
          <w:bCs/>
          <w:color w:val="auto"/>
          <w:szCs w:val="24"/>
          <w:highlight w:val="none"/>
        </w:rPr>
        <w:t>同级财政监管部门</w:t>
      </w:r>
      <w:r>
        <w:rPr>
          <w:rFonts w:hint="eastAsia" w:hAnsi="宋体" w:cs="宋体"/>
          <w:color w:val="auto"/>
          <w:szCs w:val="24"/>
          <w:highlight w:val="none"/>
        </w:rPr>
        <w:t>提起投诉。</w:t>
      </w:r>
    </w:p>
    <w:p>
      <w:pPr>
        <w:pStyle w:val="88"/>
        <w:spacing w:line="360" w:lineRule="auto"/>
        <w:ind w:firstLine="480" w:firstLineChars="0"/>
        <w:jc w:val="left"/>
        <w:rPr>
          <w:rFonts w:hAnsi="宋体" w:cs="宋体"/>
          <w:color w:val="auto"/>
          <w:szCs w:val="24"/>
          <w:highlight w:val="none"/>
        </w:rPr>
      </w:pPr>
      <w:r>
        <w:rPr>
          <w:rFonts w:hint="eastAsia" w:hAnsi="宋体" w:cs="宋体"/>
          <w:color w:val="auto"/>
          <w:szCs w:val="24"/>
          <w:highlight w:val="none"/>
        </w:rPr>
        <w:t>30.8.1质疑函须按财政部《质疑函范本》给定的格式进行填写，范本下载详见【财政部国库司（gks.mof.gov.cn）】网站〖首页·政府采购管理〗栏目中的《政府采购供应商质疑函范本》。《政府采购供应商质疑函范本》链接地址：</w:t>
      </w:r>
    </w:p>
    <w:p>
      <w:pPr>
        <w:pStyle w:val="88"/>
        <w:spacing w:line="360" w:lineRule="auto"/>
        <w:ind w:firstLine="480" w:firstLineChars="0"/>
        <w:jc w:val="left"/>
        <w:rPr>
          <w:rFonts w:hAnsi="宋体" w:cs="宋体"/>
          <w:color w:val="auto"/>
          <w:szCs w:val="24"/>
          <w:highlight w:val="none"/>
        </w:rPr>
      </w:pPr>
      <w:r>
        <w:rPr>
          <w:color w:val="auto"/>
          <w:highlight w:val="none"/>
        </w:rPr>
        <w:fldChar w:fldCharType="begin"/>
      </w:r>
      <w:r>
        <w:rPr>
          <w:color w:val="auto"/>
          <w:highlight w:val="none"/>
        </w:rPr>
        <w:instrText xml:space="preserve"> HYPERLINK "http://www.mof.gov.cn/gp/xxgkml/gks/201802/t20180201_2804585.htm" </w:instrText>
      </w:r>
      <w:r>
        <w:rPr>
          <w:color w:val="auto"/>
          <w:highlight w:val="none"/>
        </w:rPr>
        <w:fldChar w:fldCharType="separate"/>
      </w:r>
      <w:r>
        <w:rPr>
          <w:rFonts w:hint="eastAsia" w:hAnsi="宋体" w:cs="宋体"/>
          <w:color w:val="auto"/>
          <w:szCs w:val="24"/>
          <w:highlight w:val="none"/>
        </w:rPr>
        <w:t>http://www.mof.gov.cn/gp/xxgkml/gks/201802/t20180201_2804585.htm</w:t>
      </w:r>
      <w:r>
        <w:rPr>
          <w:rFonts w:hint="eastAsia" w:hAnsi="宋体" w:cs="宋体"/>
          <w:color w:val="auto"/>
          <w:szCs w:val="24"/>
          <w:highlight w:val="none"/>
        </w:rPr>
        <w:fldChar w:fldCharType="end"/>
      </w:r>
    </w:p>
    <w:p>
      <w:pPr>
        <w:pStyle w:val="88"/>
        <w:spacing w:line="360" w:lineRule="auto"/>
        <w:ind w:firstLine="480" w:firstLineChars="0"/>
        <w:jc w:val="left"/>
        <w:rPr>
          <w:rFonts w:hAnsi="宋体" w:cs="宋体"/>
          <w:color w:val="auto"/>
          <w:szCs w:val="24"/>
          <w:highlight w:val="none"/>
        </w:rPr>
      </w:pPr>
      <w:r>
        <w:rPr>
          <w:rFonts w:hint="eastAsia" w:hAnsi="宋体" w:cs="宋体"/>
          <w:color w:val="auto"/>
          <w:szCs w:val="24"/>
          <w:highlight w:val="none"/>
        </w:rPr>
        <w:t>30.8.2接收质疑函的方式：书面形式</w:t>
      </w:r>
    </w:p>
    <w:p>
      <w:pPr>
        <w:pStyle w:val="88"/>
        <w:spacing w:line="360" w:lineRule="auto"/>
        <w:ind w:firstLine="480" w:firstLineChars="0"/>
        <w:jc w:val="left"/>
        <w:rPr>
          <w:rFonts w:hAnsi="宋体" w:cs="宋体"/>
          <w:color w:val="auto"/>
          <w:szCs w:val="24"/>
          <w:highlight w:val="none"/>
        </w:rPr>
      </w:pPr>
      <w:r>
        <w:rPr>
          <w:rFonts w:hint="eastAsia" w:hAnsi="宋体" w:cs="宋体"/>
          <w:color w:val="auto"/>
          <w:szCs w:val="24"/>
          <w:highlight w:val="none"/>
        </w:rPr>
        <w:t>30.8.3联系部门：陕西纵横项目管理有限公司前台</w:t>
      </w:r>
    </w:p>
    <w:p>
      <w:pPr>
        <w:pStyle w:val="88"/>
        <w:spacing w:line="360" w:lineRule="auto"/>
        <w:ind w:firstLine="480" w:firstLineChars="0"/>
        <w:jc w:val="left"/>
        <w:rPr>
          <w:rFonts w:hAnsi="宋体" w:cs="宋体"/>
          <w:color w:val="auto"/>
          <w:szCs w:val="24"/>
          <w:highlight w:val="none"/>
        </w:rPr>
      </w:pPr>
      <w:r>
        <w:rPr>
          <w:rFonts w:hint="eastAsia" w:hAnsi="宋体" w:cs="宋体"/>
          <w:color w:val="auto"/>
          <w:szCs w:val="24"/>
          <w:highlight w:val="none"/>
        </w:rPr>
        <w:t>30.8.4联系电话：029-86252018</w:t>
      </w:r>
    </w:p>
    <w:p>
      <w:pPr>
        <w:pStyle w:val="88"/>
        <w:spacing w:line="360" w:lineRule="auto"/>
        <w:ind w:firstLine="480" w:firstLineChars="0"/>
        <w:jc w:val="left"/>
        <w:rPr>
          <w:rFonts w:hAnsi="宋体" w:cs="宋体"/>
          <w:color w:val="auto"/>
          <w:szCs w:val="24"/>
          <w:highlight w:val="none"/>
        </w:rPr>
      </w:pPr>
      <w:r>
        <w:rPr>
          <w:rFonts w:hint="eastAsia" w:hAnsi="宋体" w:cs="宋体"/>
          <w:color w:val="auto"/>
          <w:szCs w:val="24"/>
          <w:highlight w:val="none"/>
        </w:rPr>
        <w:t>30.8.5通讯地址：西安市经开区凤城五路赛高街区A座902室</w:t>
      </w:r>
    </w:p>
    <w:p>
      <w:pPr>
        <w:spacing w:line="360" w:lineRule="auto"/>
        <w:rPr>
          <w:rFonts w:hAnsi="宋体" w:cs="宋体"/>
          <w:color w:val="auto"/>
          <w:szCs w:val="24"/>
          <w:highlight w:val="none"/>
        </w:rPr>
      </w:pPr>
      <w:r>
        <w:rPr>
          <w:rFonts w:hint="eastAsia" w:hAnsi="宋体" w:cs="宋体"/>
          <w:b/>
          <w:bCs/>
          <w:color w:val="auto"/>
          <w:szCs w:val="24"/>
          <w:highlight w:val="none"/>
        </w:rPr>
        <w:t>31.其他</w:t>
      </w:r>
    </w:p>
    <w:p>
      <w:pPr>
        <w:spacing w:line="360" w:lineRule="auto"/>
        <w:ind w:firstLine="480" w:firstLineChars="200"/>
        <w:rPr>
          <w:rFonts w:hAnsi="宋体" w:cs="宋体"/>
          <w:color w:val="auto"/>
          <w:highlight w:val="none"/>
        </w:rPr>
      </w:pPr>
      <w:r>
        <w:rPr>
          <w:rFonts w:hint="eastAsia" w:hAnsi="宋体" w:cs="宋体"/>
          <w:color w:val="auto"/>
          <w:highlight w:val="none"/>
        </w:rPr>
        <w:t>31.1 无效投标的情形</w:t>
      </w:r>
    </w:p>
    <w:p>
      <w:pPr>
        <w:spacing w:line="360" w:lineRule="auto"/>
        <w:ind w:firstLine="480" w:firstLineChars="200"/>
        <w:rPr>
          <w:rFonts w:hAnsi="宋体" w:cs="宋体"/>
          <w:color w:val="auto"/>
          <w:highlight w:val="none"/>
        </w:rPr>
      </w:pPr>
      <w:r>
        <w:rPr>
          <w:rFonts w:hint="eastAsia" w:hAnsi="宋体" w:cs="宋体"/>
          <w:color w:val="auto"/>
          <w:highlight w:val="none"/>
        </w:rPr>
        <w:t>31.1.1招标采购中，出现下列情形之一的，应予以无效投标：</w:t>
      </w:r>
    </w:p>
    <w:p>
      <w:pPr>
        <w:spacing w:line="360" w:lineRule="auto"/>
        <w:ind w:firstLine="480" w:firstLineChars="200"/>
        <w:rPr>
          <w:rFonts w:hAnsi="宋体" w:cs="宋体"/>
          <w:color w:val="auto"/>
          <w:highlight w:val="none"/>
        </w:rPr>
      </w:pPr>
      <w:r>
        <w:rPr>
          <w:rFonts w:hint="eastAsia" w:hAnsi="宋体" w:cs="宋体"/>
          <w:color w:val="auto"/>
          <w:highlight w:val="none"/>
        </w:rPr>
        <w:t>（1）符合专业条件的供应商或者对招标文件作实质响应的供应商不足3家的；</w:t>
      </w:r>
    </w:p>
    <w:p>
      <w:pPr>
        <w:spacing w:line="360" w:lineRule="auto"/>
        <w:ind w:firstLine="480" w:firstLineChars="200"/>
        <w:rPr>
          <w:rFonts w:hAnsi="宋体" w:cs="宋体"/>
          <w:color w:val="auto"/>
          <w:highlight w:val="none"/>
        </w:rPr>
      </w:pPr>
      <w:r>
        <w:rPr>
          <w:rFonts w:hint="eastAsia" w:hAnsi="宋体" w:cs="宋体"/>
          <w:color w:val="auto"/>
          <w:highlight w:val="none"/>
        </w:rPr>
        <w:t>（2）出现影响采购公正的违法、违规行为的；</w:t>
      </w:r>
    </w:p>
    <w:p>
      <w:pPr>
        <w:spacing w:line="360" w:lineRule="auto"/>
        <w:ind w:firstLine="480" w:firstLineChars="200"/>
        <w:rPr>
          <w:rFonts w:hAnsi="宋体" w:cs="宋体"/>
          <w:color w:val="auto"/>
          <w:highlight w:val="none"/>
        </w:rPr>
      </w:pPr>
      <w:r>
        <w:rPr>
          <w:rFonts w:hint="eastAsia" w:hAnsi="宋体" w:cs="宋体"/>
          <w:color w:val="auto"/>
          <w:highlight w:val="none"/>
        </w:rPr>
        <w:t>（3）供应商的报价均超过了采购预算，采购人不能支付的；</w:t>
      </w:r>
    </w:p>
    <w:p>
      <w:pPr>
        <w:spacing w:line="360" w:lineRule="auto"/>
        <w:ind w:firstLine="480" w:firstLineChars="200"/>
        <w:rPr>
          <w:rFonts w:hAnsi="宋体" w:cs="宋体"/>
          <w:color w:val="auto"/>
          <w:highlight w:val="none"/>
        </w:rPr>
      </w:pPr>
      <w:r>
        <w:rPr>
          <w:rFonts w:hint="eastAsia" w:hAnsi="宋体" w:cs="宋体"/>
          <w:color w:val="auto"/>
          <w:highlight w:val="none"/>
        </w:rPr>
        <w:t>（4）因重大变故，采购任务取消的。</w:t>
      </w:r>
    </w:p>
    <w:p>
      <w:pPr>
        <w:spacing w:line="360" w:lineRule="auto"/>
        <w:ind w:firstLine="480" w:firstLineChars="200"/>
        <w:rPr>
          <w:rFonts w:hAnsi="宋体" w:cs="宋体"/>
          <w:color w:val="auto"/>
          <w:highlight w:val="none"/>
        </w:rPr>
      </w:pPr>
      <w:r>
        <w:rPr>
          <w:rFonts w:hint="eastAsia" w:hAnsi="宋体" w:cs="宋体"/>
          <w:color w:val="auto"/>
          <w:highlight w:val="none"/>
        </w:rPr>
        <w:t>31.1.2无效投标后，采购代理机构应在财政部门指定采购网上公告，并公告无效投标的详细理由。</w:t>
      </w:r>
    </w:p>
    <w:p>
      <w:pPr>
        <w:spacing w:line="360" w:lineRule="auto"/>
        <w:ind w:firstLine="480" w:firstLineChars="200"/>
        <w:rPr>
          <w:rFonts w:hAnsi="宋体" w:cs="宋体"/>
          <w:color w:val="auto"/>
          <w:highlight w:val="none"/>
        </w:rPr>
      </w:pPr>
      <w:r>
        <w:rPr>
          <w:rFonts w:hint="eastAsia" w:hAnsi="宋体" w:cs="宋体"/>
          <w:color w:val="auto"/>
          <w:highlight w:val="none"/>
        </w:rPr>
        <w:t>31.2变更采购方式</w:t>
      </w:r>
    </w:p>
    <w:p>
      <w:pPr>
        <w:spacing w:line="360" w:lineRule="auto"/>
        <w:ind w:firstLine="480" w:firstLineChars="200"/>
        <w:rPr>
          <w:rFonts w:hAnsi="宋体" w:cs="宋体"/>
          <w:color w:val="auto"/>
          <w:highlight w:val="none"/>
        </w:rPr>
      </w:pPr>
      <w:r>
        <w:rPr>
          <w:rFonts w:hint="eastAsia" w:hAnsi="宋体" w:cs="宋体"/>
          <w:color w:val="auto"/>
          <w:highlight w:val="none"/>
        </w:rPr>
        <w:t>31.2.1存在下列情形之一的，除采购任务取消情形外，采购人经同级财政部门同意后，可按《政府采购货物和服务招标投标管理办法》（财政部87号令）第四十三条规定的方式处理：</w:t>
      </w:r>
    </w:p>
    <w:p>
      <w:pPr>
        <w:spacing w:line="360" w:lineRule="auto"/>
        <w:ind w:firstLine="480" w:firstLineChars="200"/>
        <w:rPr>
          <w:rFonts w:hAnsi="宋体" w:cs="宋体"/>
          <w:color w:val="auto"/>
          <w:highlight w:val="none"/>
        </w:rPr>
      </w:pPr>
      <w:r>
        <w:rPr>
          <w:rFonts w:hint="eastAsia" w:hAnsi="宋体" w:cs="宋体"/>
          <w:color w:val="auto"/>
          <w:highlight w:val="none"/>
        </w:rPr>
        <w:t>（1）投标截止后参加投标的人不足3家的；</w:t>
      </w:r>
    </w:p>
    <w:p>
      <w:pPr>
        <w:spacing w:line="360" w:lineRule="auto"/>
        <w:ind w:firstLine="480" w:firstLineChars="200"/>
        <w:rPr>
          <w:rFonts w:hAnsi="宋体" w:cs="宋体"/>
          <w:color w:val="auto"/>
          <w:highlight w:val="none"/>
        </w:rPr>
      </w:pPr>
      <w:r>
        <w:rPr>
          <w:rFonts w:hint="eastAsia" w:hAnsi="宋体" w:cs="宋体"/>
          <w:color w:val="auto"/>
          <w:highlight w:val="none"/>
        </w:rPr>
        <w:t>（2）通过资格审查的供应商不足3家的；</w:t>
      </w:r>
    </w:p>
    <w:p>
      <w:pPr>
        <w:spacing w:line="360" w:lineRule="auto"/>
        <w:ind w:firstLine="480" w:firstLineChars="200"/>
        <w:rPr>
          <w:rFonts w:hAnsi="宋体" w:cs="宋体"/>
          <w:color w:val="auto"/>
          <w:highlight w:val="none"/>
        </w:rPr>
      </w:pPr>
      <w:r>
        <w:rPr>
          <w:rFonts w:hint="eastAsia" w:hAnsi="宋体" w:cs="宋体"/>
          <w:color w:val="auto"/>
          <w:highlight w:val="none"/>
        </w:rPr>
        <w:t>（3）通过符合性审查的供应商不足3家的。</w:t>
      </w:r>
    </w:p>
    <w:p>
      <w:pPr>
        <w:spacing w:line="360" w:lineRule="auto"/>
        <w:ind w:firstLine="480" w:firstLineChars="200"/>
        <w:rPr>
          <w:rFonts w:hAnsi="宋体" w:cs="宋体"/>
          <w:color w:val="auto"/>
          <w:highlight w:val="none"/>
        </w:rPr>
      </w:pPr>
      <w:r>
        <w:rPr>
          <w:rFonts w:hint="eastAsia" w:hAnsi="宋体" w:cs="宋体"/>
          <w:color w:val="auto"/>
          <w:highlight w:val="none"/>
        </w:rPr>
        <w:t>31.2.2通过符合性审查的供应商只有2家时，采购人经同级财政部门同意后，可以按《政府采购非招标采购方式管理办法》（财政部第74号令）的规定与该2家供应商进行竞争性谈判采购。</w:t>
      </w:r>
    </w:p>
    <w:p>
      <w:pPr>
        <w:spacing w:line="360" w:lineRule="auto"/>
        <w:rPr>
          <w:rFonts w:hAnsi="宋体" w:cs="宋体"/>
          <w:b/>
          <w:color w:val="auto"/>
          <w:sz w:val="36"/>
          <w:szCs w:val="36"/>
          <w:highlight w:val="none"/>
        </w:rPr>
      </w:pPr>
      <w:bookmarkStart w:id="59" w:name="_Toc3798"/>
      <w:bookmarkStart w:id="60" w:name="_Toc426457694"/>
      <w:bookmarkStart w:id="61" w:name="_Toc403077645"/>
      <w:bookmarkStart w:id="62" w:name="_Toc11810"/>
      <w:bookmarkStart w:id="63" w:name="_Toc14670"/>
      <w:bookmarkStart w:id="64" w:name="_Toc30090"/>
      <w:bookmarkStart w:id="65" w:name="_Toc15898"/>
      <w:bookmarkStart w:id="66" w:name="_Toc2614"/>
      <w:bookmarkStart w:id="67" w:name="_Toc19874"/>
      <w:bookmarkStart w:id="68" w:name="_Toc15134"/>
      <w:bookmarkStart w:id="69" w:name="_Toc363474023"/>
      <w:r>
        <w:rPr>
          <w:rFonts w:hint="eastAsia" w:hAnsi="宋体" w:cs="宋体"/>
          <w:b/>
          <w:bCs/>
          <w:color w:val="auto"/>
          <w:szCs w:val="24"/>
          <w:highlight w:val="none"/>
        </w:rPr>
        <w:t>32.</w:t>
      </w:r>
      <w:r>
        <w:rPr>
          <w:rFonts w:hint="eastAsia" w:hAnsi="宋体" w:cs="宋体"/>
          <w:b/>
          <w:color w:val="auto"/>
          <w:szCs w:val="24"/>
          <w:highlight w:val="none"/>
        </w:rPr>
        <w:t>信用担保及信用融资</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32.1本项目是否属于信用担保试点范围见投标须知前附表。</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32.2 如属于政府采购信用担保试点范围内，中小型企业供应商可以自由按照财政部门的规定，采用履约担保和融资担保。</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32.2.1供应商递交的履约担保函应符合本磋商文件的规定。</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32.2.2成交人可以采取融资担保的形式为政府采购项目履约进行融资。</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32.2.3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32.2.4陕西政府采购供应商信用融资信息服务平台操作手册</w:t>
      </w:r>
    </w:p>
    <w:p>
      <w:pPr>
        <w:widowControl/>
        <w:spacing w:line="360" w:lineRule="auto"/>
        <w:ind w:firstLine="480" w:firstLineChars="200"/>
        <w:rPr>
          <w:rFonts w:hAnsi="宋体" w:cs="宋体"/>
          <w:color w:val="auto"/>
          <w:szCs w:val="24"/>
          <w:highlight w:val="none"/>
        </w:rPr>
      </w:pPr>
      <w:r>
        <w:rPr>
          <w:rFonts w:hint="eastAsia" w:hAnsi="宋体" w:cs="宋体"/>
          <w:color w:val="auto"/>
          <w:szCs w:val="24"/>
          <w:highlight w:val="none"/>
        </w:rPr>
        <w:t>陕西政府采购供应商信用融资信息服务平台主要功能为：供应商凭中标项目或成交合提交融资意向，查看融资申请进度等功能，本操作手册将详细说明这些功能。</w:t>
      </w:r>
    </w:p>
    <w:p>
      <w:pPr>
        <w:spacing w:line="360" w:lineRule="auto"/>
        <w:rPr>
          <w:rFonts w:hAnsi="宋体" w:cs="宋体"/>
          <w:color w:val="auto"/>
          <w:highlight w:val="none"/>
        </w:rPr>
      </w:pPr>
      <w:r>
        <w:rPr>
          <w:rFonts w:hint="eastAsia" w:hAnsi="宋体" w:cs="宋体"/>
          <w:color w:val="auto"/>
          <w:highlight w:val="none"/>
        </w:rPr>
        <w:drawing>
          <wp:inline distT="0" distB="0" distL="114300" distR="114300">
            <wp:extent cx="5682615" cy="3492500"/>
            <wp:effectExtent l="0" t="0" r="13335"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682615" cy="3492500"/>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40070" cy="3791585"/>
            <wp:effectExtent l="0" t="0" r="17780" b="184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5640070" cy="3791585"/>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22290" cy="3918585"/>
            <wp:effectExtent l="0" t="0" r="16510"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622290" cy="3918585"/>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94045" cy="3963670"/>
            <wp:effectExtent l="0" t="0" r="1905" b="177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5694045" cy="3963670"/>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83250" cy="4401820"/>
            <wp:effectExtent l="0" t="0" r="1270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a:stretch>
                      <a:fillRect/>
                    </a:stretch>
                  </pic:blipFill>
                  <pic:spPr>
                    <a:xfrm>
                      <a:off x="0" y="0"/>
                      <a:ext cx="5683250" cy="4401820"/>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36895" cy="4514215"/>
            <wp:effectExtent l="0" t="0" r="1905"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0"/>
                    <a:stretch>
                      <a:fillRect/>
                    </a:stretch>
                  </pic:blipFill>
                  <pic:spPr>
                    <a:xfrm>
                      <a:off x="0" y="0"/>
                      <a:ext cx="5636895" cy="4514215"/>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22290" cy="4121785"/>
            <wp:effectExtent l="0" t="0" r="16510" b="120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a:stretch>
                      <a:fillRect/>
                    </a:stretch>
                  </pic:blipFill>
                  <pic:spPr>
                    <a:xfrm>
                      <a:off x="0" y="0"/>
                      <a:ext cx="5622290" cy="4121785"/>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91505" cy="3209290"/>
            <wp:effectExtent l="0" t="0" r="4445" b="1016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2"/>
                    <a:stretch>
                      <a:fillRect/>
                    </a:stretch>
                  </pic:blipFill>
                  <pic:spPr>
                    <a:xfrm>
                      <a:off x="0" y="0"/>
                      <a:ext cx="5691505" cy="3209290"/>
                    </a:xfrm>
                    <a:prstGeom prst="rect">
                      <a:avLst/>
                    </a:prstGeom>
                    <a:noFill/>
                    <a:ln>
                      <a:noFill/>
                    </a:ln>
                  </pic:spPr>
                </pic:pic>
              </a:graphicData>
            </a:graphic>
          </wp:inline>
        </w:drawing>
      </w:r>
      <w:r>
        <w:rPr>
          <w:rFonts w:hint="eastAsia" w:hAnsi="宋体" w:cs="宋体"/>
          <w:color w:val="auto"/>
          <w:highlight w:val="none"/>
        </w:rPr>
        <w:drawing>
          <wp:inline distT="0" distB="0" distL="114300" distR="114300">
            <wp:extent cx="5681980" cy="4131310"/>
            <wp:effectExtent l="0" t="0" r="13970" b="254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3"/>
                    <a:stretch>
                      <a:fillRect/>
                    </a:stretch>
                  </pic:blipFill>
                  <pic:spPr>
                    <a:xfrm>
                      <a:off x="0" y="0"/>
                      <a:ext cx="5681980" cy="4131310"/>
                    </a:xfrm>
                    <a:prstGeom prst="rect">
                      <a:avLst/>
                    </a:prstGeom>
                    <a:noFill/>
                    <a:ln>
                      <a:noFill/>
                    </a:ln>
                  </pic:spPr>
                </pic:pic>
              </a:graphicData>
            </a:graphic>
          </wp:inline>
        </w:drawing>
      </w:r>
    </w:p>
    <w:p>
      <w:pPr>
        <w:spacing w:line="360" w:lineRule="auto"/>
        <w:rPr>
          <w:rFonts w:hAnsi="宋体" w:cs="宋体"/>
          <w:color w:val="auto"/>
          <w:highlight w:val="none"/>
        </w:rPr>
      </w:pPr>
      <w:r>
        <w:rPr>
          <w:rFonts w:hint="eastAsia" w:hAnsi="宋体" w:cs="宋体"/>
          <w:b/>
          <w:bCs/>
          <w:color w:val="auto"/>
          <w:szCs w:val="24"/>
          <w:highlight w:val="none"/>
        </w:rPr>
        <w:br w:type="page"/>
      </w:r>
      <w:r>
        <w:rPr>
          <w:rFonts w:hint="eastAsia" w:hAnsi="宋体" w:cs="宋体"/>
          <w:b/>
          <w:bCs/>
          <w:color w:val="auto"/>
          <w:szCs w:val="24"/>
          <w:highlight w:val="none"/>
        </w:rPr>
        <w:t xml:space="preserve">33、落实政府采购政策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（1）根据《政府采购促进中小企业发展管理办法》（财库〔2020〕46 号）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6%-10%的价格扣除，工程项目给予 3%-5%的价格扣除，用扣除后的价格参与评审。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在货物采购项目中，供应商提供的货物既有小微企业制造货物，也有大型、中型企业制造货物的，不享受政府采购价格扣除优惠政策。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2%-3%的扣除，工程项目为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参加政府采购活动的中小企业应提供《中小企业声明函》原件。未提供上述声明函原件的，不能享受招标文件规定的价格扣除，但不影响投标文件的有效性。实际价格扣除比例以本章组织评标中的约定为准。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（2）监狱企业应符合《财政部 司法部关于政府采购支持监狱企业发展有关问题的 通知》（财库〔2014〕68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在政府采购活动中，监狱企业视同小型、微型企业，享受预留份额、评审中价格扣除等政府采购促进中小企业发展的政府采购政策。向监狱企业采购的金额，计入面向中小企业采购的统计数据。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（3）根据国务院办公厅《关于建立政府强制采购节能产品制度的通知》（国办发 〔2007〕51号）的有关规定，采购人需购买的产品属于政府强制采购节能产品范围应当 在清单之内采购。节能清单中无对应细化分类且节能清单中的产品确实无法满足工作需 要的，允许在节能清单之外采购。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（4）根据财政部、国家发展改革委《关于印发〈节能产品政府采购实施意见〉的通知》（财库〔2004〕185号）规定“政府采购属于节能产品品目清单的，在技术、服务 等指标同等条件下，应当优先采购节能品目清单的节能产品。”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5）根据财政部、国家环保总局联合印发《关于环境标志产品政府采购实施的意见》（财库〔2006〕90号）规定“采购人采购的产品属于环境标志产品政府采购清单中品目的，在性能、技术、服务等指标同等条件下，应当优先采购清单中的产品”。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6）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（7） 根据财政部、国家发改委、生态环境部、市场监管总局联合印发《关于调整优化节能产品、环境标志产品政府采购执行机制的通知》（财库〔2019〕9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（8）根据陕西省财政厅关于印发《陕西省中小企业政府采购信用融资办法》（陕财办采〔2018〕23号）的有关规定，银行为参与政府采购融资的中小企业提供的产品，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（9）根据财政部 农业农村部 国家乡村振兴局《关于运用政府采购政策支持乡村产业振兴的通知》（财库〔2021〕19号）的有关规定，自2021年起，各级预算单位应当按照不低于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（14）《关于进一步加大政府采购支持中小企业力度的通知》（财库〔2022〕19号）有关规定如下：</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（15）《陕西省财政厅关于落实政府采购支持中小企业政策有关事项的通知 》 陕财办采函〔2022〕10号 有关规定如下：</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（16）《西安市财政局关于进一步加大政府采购支持中小企业力度的通知》（市财函〔2022〕867号）本通知自2022年7月1日起执行。有关规定如下：</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pStyle w:val="20"/>
        <w:spacing w:after="0"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pPr>
        <w:jc w:val="center"/>
        <w:outlineLvl w:val="0"/>
        <w:rPr>
          <w:rFonts w:hAnsi="宋体" w:cs="宋体"/>
          <w:b/>
          <w:color w:val="auto"/>
          <w:sz w:val="36"/>
          <w:szCs w:val="36"/>
          <w:highlight w:val="none"/>
        </w:rPr>
        <w:sectPr>
          <w:footerReference r:id="rId11" w:type="default"/>
          <w:pgSz w:w="11906" w:h="16838"/>
          <w:pgMar w:top="1417" w:right="1418" w:bottom="1417" w:left="1417" w:header="851" w:footer="992" w:gutter="0"/>
          <w:pgNumType w:fmt="numberInDash"/>
          <w:cols w:space="720" w:num="1"/>
          <w:docGrid w:type="lines" w:linePitch="312" w:charSpace="0"/>
        </w:sectPr>
      </w:pPr>
    </w:p>
    <w:p>
      <w:pPr>
        <w:jc w:val="center"/>
        <w:outlineLvl w:val="0"/>
        <w:rPr>
          <w:rFonts w:hAnsi="宋体" w:cs="宋体"/>
          <w:color w:val="auto"/>
          <w:sz w:val="36"/>
          <w:szCs w:val="36"/>
          <w:highlight w:val="none"/>
        </w:rPr>
      </w:pPr>
      <w:r>
        <w:rPr>
          <w:rFonts w:hint="eastAsia" w:hAnsi="宋体" w:cs="宋体"/>
          <w:b/>
          <w:bCs/>
          <w:color w:val="auto"/>
          <w:sz w:val="36"/>
          <w:szCs w:val="36"/>
          <w:highlight w:val="none"/>
        </w:rPr>
        <w:t>第三章  合同条款及格式</w:t>
      </w:r>
      <w:bookmarkEnd w:id="59"/>
      <w:bookmarkEnd w:id="60"/>
      <w:bookmarkEnd w:id="61"/>
      <w:bookmarkEnd w:id="62"/>
      <w:bookmarkEnd w:id="63"/>
      <w:bookmarkEnd w:id="64"/>
      <w:bookmarkEnd w:id="65"/>
      <w:bookmarkEnd w:id="66"/>
      <w:bookmarkEnd w:id="67"/>
      <w:bookmarkEnd w:id="68"/>
    </w:p>
    <w:p>
      <w:pPr>
        <w:jc w:val="right"/>
        <w:rPr>
          <w:rFonts w:hAnsi="宋体" w:cs="宋体"/>
          <w:b/>
          <w:color w:val="auto"/>
          <w:sz w:val="32"/>
          <w:szCs w:val="32"/>
          <w:highlight w:val="none"/>
          <w:bdr w:val="single" w:color="auto" w:sz="4" w:space="0"/>
          <w:shd w:val="pct10" w:color="auto" w:fill="FFFFFF"/>
        </w:rPr>
      </w:pPr>
      <w:bookmarkStart w:id="70" w:name="_Toc426457696"/>
      <w:bookmarkStart w:id="71" w:name="_Toc19017"/>
      <w:bookmarkStart w:id="72" w:name="_Toc20230"/>
      <w:bookmarkStart w:id="73" w:name="_Toc15305"/>
      <w:bookmarkStart w:id="74" w:name="_Toc17182"/>
      <w:bookmarkStart w:id="75" w:name="_Toc9053"/>
      <w:bookmarkStart w:id="76" w:name="_Toc19199"/>
      <w:bookmarkStart w:id="77" w:name="_Toc8333"/>
      <w:bookmarkStart w:id="78" w:name="_Toc31683"/>
      <w:bookmarkStart w:id="79" w:name="_Toc29888"/>
      <w:bookmarkStart w:id="80" w:name="_Toc15046"/>
      <w:bookmarkStart w:id="81" w:name="_Toc26466"/>
      <w:bookmarkStart w:id="82" w:name="_Toc26595"/>
      <w:bookmarkStart w:id="83" w:name="_Toc389582037"/>
      <w:bookmarkStart w:id="84" w:name="_Toc19246"/>
      <w:bookmarkStart w:id="85" w:name="_Toc31520"/>
    </w:p>
    <w:p>
      <w:pPr>
        <w:jc w:val="right"/>
        <w:rPr>
          <w:rFonts w:hAnsi="宋体" w:cs="宋体"/>
          <w:b/>
          <w:color w:val="auto"/>
          <w:sz w:val="32"/>
          <w:szCs w:val="32"/>
          <w:highlight w:val="none"/>
          <w:bdr w:val="single" w:color="auto" w:sz="4" w:space="0"/>
          <w:shd w:val="pct10" w:color="auto" w:fill="FFFFFF"/>
        </w:rPr>
      </w:pPr>
      <w:r>
        <w:rPr>
          <w:rFonts w:hint="eastAsia" w:hAnsi="宋体" w:cs="宋体"/>
          <w:b/>
          <w:color w:val="auto"/>
          <w:sz w:val="32"/>
          <w:szCs w:val="32"/>
          <w:highlight w:val="none"/>
          <w:bdr w:val="single" w:color="auto" w:sz="4" w:space="0"/>
          <w:shd w:val="pct10" w:color="auto" w:fill="FFFFFF"/>
        </w:rPr>
        <w:t>政府采购项目</w:t>
      </w:r>
    </w:p>
    <w:p>
      <w:pPr>
        <w:jc w:val="center"/>
        <w:rPr>
          <w:rFonts w:hAnsi="宋体" w:cs="宋体"/>
          <w:color w:val="auto"/>
          <w:sz w:val="44"/>
          <w:szCs w:val="44"/>
          <w:highlight w:val="none"/>
        </w:rPr>
      </w:pPr>
    </w:p>
    <w:p>
      <w:pPr>
        <w:jc w:val="center"/>
        <w:rPr>
          <w:rFonts w:hAnsi="宋体" w:cs="宋体"/>
          <w:color w:val="auto"/>
          <w:sz w:val="44"/>
          <w:szCs w:val="44"/>
          <w:highlight w:val="none"/>
        </w:rPr>
      </w:pPr>
    </w:p>
    <w:p>
      <w:pPr>
        <w:jc w:val="center"/>
        <w:rPr>
          <w:rFonts w:hAnsi="宋体" w:cs="宋体"/>
          <w:b/>
          <w:color w:val="auto"/>
          <w:spacing w:val="-42"/>
          <w:sz w:val="52"/>
          <w:szCs w:val="52"/>
          <w:highlight w:val="none"/>
        </w:rPr>
      </w:pPr>
      <w:r>
        <w:rPr>
          <w:rFonts w:hint="eastAsia" w:hAnsi="宋体" w:cs="宋体"/>
          <w:b/>
          <w:color w:val="auto"/>
          <w:spacing w:val="42"/>
          <w:kern w:val="0"/>
          <w:sz w:val="52"/>
          <w:szCs w:val="52"/>
          <w:highlight w:val="none"/>
          <w:fitText w:val="5957" w:id="1858764153"/>
        </w:rPr>
        <w:t>西安铁路职业技术学</w:t>
      </w:r>
      <w:r>
        <w:rPr>
          <w:rFonts w:hint="eastAsia" w:hAnsi="宋体" w:cs="宋体"/>
          <w:b/>
          <w:color w:val="auto"/>
          <w:spacing w:val="0"/>
          <w:kern w:val="0"/>
          <w:sz w:val="52"/>
          <w:szCs w:val="52"/>
          <w:highlight w:val="none"/>
          <w:fitText w:val="5957" w:id="1858764153"/>
        </w:rPr>
        <w:t>院</w:t>
      </w:r>
    </w:p>
    <w:p>
      <w:pPr>
        <w:jc w:val="center"/>
        <w:rPr>
          <w:rFonts w:hAnsi="宋体" w:cs="宋体"/>
          <w:b/>
          <w:color w:val="auto"/>
          <w:spacing w:val="-42"/>
          <w:sz w:val="52"/>
          <w:szCs w:val="52"/>
          <w:highlight w:val="none"/>
        </w:rPr>
      </w:pPr>
      <w:r>
        <w:rPr>
          <w:rFonts w:hint="eastAsia" w:hAnsi="宋体" w:cs="宋体"/>
          <w:b/>
          <w:color w:val="auto"/>
          <w:spacing w:val="-42"/>
          <w:sz w:val="52"/>
          <w:szCs w:val="52"/>
          <w:highlight w:val="none"/>
          <w:u w:val="none"/>
        </w:rPr>
        <w:t xml:space="preserve"> 无纸化会议视频系统升级建设</w:t>
      </w:r>
      <w:r>
        <w:rPr>
          <w:rFonts w:hint="eastAsia" w:hAnsi="宋体" w:cs="宋体"/>
          <w:b/>
          <w:color w:val="auto"/>
          <w:spacing w:val="-42"/>
          <w:sz w:val="52"/>
          <w:szCs w:val="52"/>
          <w:highlight w:val="none"/>
        </w:rPr>
        <w:t>项目</w:t>
      </w:r>
    </w:p>
    <w:p>
      <w:pPr>
        <w:spacing w:line="560" w:lineRule="exact"/>
        <w:ind w:left="-1026" w:leftChars="-428" w:hanging="1"/>
        <w:jc w:val="center"/>
        <w:rPr>
          <w:rFonts w:hAnsi="宋体" w:cs="宋体"/>
          <w:b/>
          <w:color w:val="auto"/>
          <w:sz w:val="52"/>
          <w:szCs w:val="52"/>
          <w:highlight w:val="none"/>
        </w:rPr>
      </w:pPr>
    </w:p>
    <w:p>
      <w:pPr>
        <w:spacing w:line="360" w:lineRule="auto"/>
        <w:jc w:val="center"/>
        <w:rPr>
          <w:rFonts w:hint="eastAsia" w:hAnsi="宋体" w:cs="宋体"/>
          <w:b/>
          <w:color w:val="auto"/>
          <w:spacing w:val="243"/>
          <w:kern w:val="0"/>
          <w:sz w:val="72"/>
          <w:szCs w:val="72"/>
          <w:highlight w:val="none"/>
          <w:fitText w:val="4338" w:id="1589665692"/>
        </w:rPr>
      </w:pPr>
    </w:p>
    <w:p>
      <w:pPr>
        <w:spacing w:line="360" w:lineRule="auto"/>
        <w:jc w:val="center"/>
        <w:rPr>
          <w:rFonts w:hAnsi="宋体" w:cs="宋体"/>
          <w:b/>
          <w:color w:val="auto"/>
          <w:sz w:val="32"/>
          <w:szCs w:val="32"/>
          <w:highlight w:val="none"/>
        </w:rPr>
      </w:pPr>
      <w:r>
        <w:rPr>
          <w:rFonts w:hint="eastAsia" w:hAnsi="宋体" w:cs="宋体"/>
          <w:b/>
          <w:color w:val="auto"/>
          <w:spacing w:val="243"/>
          <w:kern w:val="0"/>
          <w:sz w:val="72"/>
          <w:szCs w:val="72"/>
          <w:highlight w:val="none"/>
          <w:fitText w:val="4338" w:id="1589665692"/>
        </w:rPr>
        <w:t>供货合</w:t>
      </w:r>
      <w:r>
        <w:rPr>
          <w:rFonts w:hint="eastAsia" w:hAnsi="宋体" w:cs="宋体"/>
          <w:b/>
          <w:color w:val="auto"/>
          <w:spacing w:val="0"/>
          <w:kern w:val="0"/>
          <w:sz w:val="72"/>
          <w:szCs w:val="72"/>
          <w:highlight w:val="none"/>
          <w:fitText w:val="4338" w:id="1589665692"/>
        </w:rPr>
        <w:t>同</w:t>
      </w:r>
    </w:p>
    <w:p>
      <w:pPr>
        <w:spacing w:line="360" w:lineRule="auto"/>
        <w:rPr>
          <w:rFonts w:hAnsi="宋体" w:cs="宋体"/>
          <w:b/>
          <w:color w:val="auto"/>
          <w:sz w:val="32"/>
          <w:szCs w:val="32"/>
          <w:highlight w:val="none"/>
        </w:rPr>
      </w:pPr>
    </w:p>
    <w:p>
      <w:pPr>
        <w:spacing w:line="360" w:lineRule="auto"/>
        <w:ind w:firstLine="1928" w:firstLineChars="600"/>
        <w:rPr>
          <w:rFonts w:hAnsi="宋体" w:cs="宋体"/>
          <w:b/>
          <w:color w:val="auto"/>
          <w:sz w:val="32"/>
          <w:szCs w:val="32"/>
          <w:highlight w:val="none"/>
        </w:rPr>
      </w:pPr>
      <w:r>
        <w:rPr>
          <w:rFonts w:hint="eastAsia" w:hAnsi="宋体" w:cs="宋体"/>
          <w:b/>
          <w:color w:val="auto"/>
          <w:sz w:val="32"/>
          <w:szCs w:val="32"/>
          <w:highlight w:val="none"/>
        </w:rPr>
        <w:t>项目编号：SXZHZB2023-ZC038-GK</w:t>
      </w:r>
    </w:p>
    <w:p>
      <w:pPr>
        <w:spacing w:line="360" w:lineRule="auto"/>
        <w:ind w:firstLine="1928" w:firstLineChars="600"/>
        <w:rPr>
          <w:rFonts w:hint="default" w:hAnsi="宋体" w:eastAsia="宋体" w:cs="宋体"/>
          <w:b/>
          <w:color w:val="auto"/>
          <w:sz w:val="32"/>
          <w:szCs w:val="32"/>
          <w:highlight w:val="none"/>
          <w:lang w:val="en-US" w:eastAsia="zh-CN"/>
        </w:rPr>
      </w:pPr>
      <w:r>
        <w:rPr>
          <w:rFonts w:hint="eastAsia" w:hAnsi="宋体" w:cs="宋体"/>
          <w:b/>
          <w:color w:val="auto"/>
          <w:sz w:val="32"/>
          <w:szCs w:val="32"/>
          <w:highlight w:val="none"/>
        </w:rPr>
        <w:t>合同编号：</w:t>
      </w:r>
      <w:r>
        <w:rPr>
          <w:rFonts w:hint="eastAsia" w:hAnsi="宋体" w:cs="宋体"/>
          <w:b/>
          <w:color w:val="auto"/>
          <w:sz w:val="32"/>
          <w:szCs w:val="32"/>
          <w:highlight w:val="none"/>
          <w:lang w:eastAsia="zh-CN"/>
        </w:rPr>
        <w:t>政采</w:t>
      </w:r>
      <w:r>
        <w:rPr>
          <w:rFonts w:hint="eastAsia" w:hAnsi="宋体" w:cs="宋体"/>
          <w:b/>
          <w:color w:val="auto"/>
          <w:sz w:val="32"/>
          <w:szCs w:val="32"/>
          <w:highlight w:val="none"/>
          <w:lang w:val="en-US" w:eastAsia="zh-CN"/>
        </w:rPr>
        <w:t>-西安市-2023-02685</w:t>
      </w:r>
    </w:p>
    <w:p>
      <w:pPr>
        <w:spacing w:line="360" w:lineRule="auto"/>
        <w:ind w:left="3521" w:leftChars="798" w:hanging="1606" w:hangingChars="500"/>
        <w:rPr>
          <w:rFonts w:hint="eastAsia" w:hAnsi="宋体" w:eastAsia="宋体" w:cs="宋体"/>
          <w:b/>
          <w:color w:val="auto"/>
          <w:sz w:val="32"/>
          <w:szCs w:val="32"/>
          <w:highlight w:val="none"/>
          <w:lang w:eastAsia="zh-CN"/>
        </w:rPr>
      </w:pPr>
      <w:r>
        <w:rPr>
          <w:rFonts w:hint="eastAsia" w:hAnsi="宋体" w:cs="宋体"/>
          <w:b/>
          <w:color w:val="auto"/>
          <w:sz w:val="32"/>
          <w:szCs w:val="32"/>
          <w:highlight w:val="none"/>
        </w:rPr>
        <w:t>项目名称：西安铁路职业技术学院无纸化会议视频系统升级建设项目</w:t>
      </w:r>
    </w:p>
    <w:p>
      <w:pPr>
        <w:spacing w:line="360" w:lineRule="auto"/>
        <w:ind w:firstLine="1928" w:firstLineChars="600"/>
        <w:rPr>
          <w:rFonts w:hAnsi="宋体" w:cs="宋体"/>
          <w:b/>
          <w:color w:val="auto"/>
          <w:sz w:val="32"/>
          <w:szCs w:val="32"/>
          <w:highlight w:val="none"/>
        </w:rPr>
      </w:pPr>
      <w:r>
        <w:rPr>
          <w:rFonts w:hint="eastAsia" w:hAnsi="宋体" w:cs="宋体"/>
          <w:b/>
          <w:color w:val="auto"/>
          <w:sz w:val="32"/>
          <w:szCs w:val="32"/>
          <w:highlight w:val="none"/>
        </w:rPr>
        <w:t>买    方：西安铁路职业技术学院</w:t>
      </w:r>
    </w:p>
    <w:p>
      <w:pPr>
        <w:spacing w:line="360" w:lineRule="auto"/>
        <w:ind w:firstLine="1928" w:firstLineChars="600"/>
        <w:rPr>
          <w:rFonts w:hAnsi="宋体" w:cs="宋体"/>
          <w:b/>
          <w:color w:val="auto"/>
          <w:sz w:val="32"/>
          <w:szCs w:val="32"/>
          <w:highlight w:val="none"/>
        </w:rPr>
      </w:pPr>
      <w:r>
        <w:rPr>
          <w:rFonts w:hint="eastAsia" w:hAnsi="宋体" w:cs="宋体"/>
          <w:b/>
          <w:color w:val="auto"/>
          <w:sz w:val="32"/>
          <w:szCs w:val="32"/>
          <w:highlight w:val="none"/>
        </w:rPr>
        <w:t>卖    方：</w:t>
      </w:r>
    </w:p>
    <w:p>
      <w:pPr>
        <w:spacing w:line="360" w:lineRule="auto"/>
        <w:ind w:firstLine="1928" w:firstLineChars="600"/>
        <w:rPr>
          <w:rFonts w:hAnsi="宋体" w:cs="宋体"/>
          <w:b/>
          <w:color w:val="auto"/>
          <w:sz w:val="32"/>
          <w:szCs w:val="32"/>
          <w:highlight w:val="none"/>
        </w:rPr>
      </w:pPr>
      <w:r>
        <w:rPr>
          <w:rFonts w:hint="eastAsia" w:hAnsi="宋体" w:cs="宋体"/>
          <w:b/>
          <w:color w:val="auto"/>
          <w:sz w:val="32"/>
          <w:szCs w:val="32"/>
          <w:highlight w:val="none"/>
        </w:rPr>
        <w:t>鉴 证 方：</w:t>
      </w:r>
    </w:p>
    <w:p>
      <w:pPr>
        <w:pStyle w:val="61"/>
        <w:rPr>
          <w:rFonts w:ascii="宋体" w:hAnsi="宋体" w:cs="宋体"/>
          <w:color w:val="auto"/>
          <w:highlight w:val="none"/>
        </w:rPr>
      </w:pPr>
    </w:p>
    <w:p>
      <w:pPr>
        <w:pStyle w:val="61"/>
        <w:rPr>
          <w:rFonts w:ascii="宋体" w:hAnsi="宋体" w:cs="宋体"/>
          <w:color w:val="auto"/>
          <w:highlight w:val="none"/>
        </w:rPr>
      </w:pPr>
    </w:p>
    <w:p>
      <w:pPr>
        <w:spacing w:line="480" w:lineRule="exact"/>
        <w:ind w:firstLine="3534" w:firstLineChars="800"/>
        <w:outlineLvl w:val="1"/>
        <w:rPr>
          <w:rFonts w:hint="eastAsia" w:hAnsi="宋体" w:cs="宋体"/>
          <w:b/>
          <w:color w:val="auto"/>
          <w:sz w:val="44"/>
          <w:szCs w:val="44"/>
          <w:highlight w:val="none"/>
        </w:rPr>
      </w:pPr>
    </w:p>
    <w:p>
      <w:pPr>
        <w:spacing w:line="480" w:lineRule="exact"/>
        <w:ind w:firstLine="3534" w:firstLineChars="800"/>
        <w:outlineLvl w:val="1"/>
        <w:rPr>
          <w:rFonts w:hint="eastAsia" w:hAnsi="宋体" w:cs="宋体"/>
          <w:b/>
          <w:color w:val="auto"/>
          <w:sz w:val="44"/>
          <w:szCs w:val="44"/>
          <w:highlight w:val="none"/>
        </w:rPr>
      </w:pPr>
    </w:p>
    <w:p>
      <w:pPr>
        <w:spacing w:line="480" w:lineRule="exact"/>
        <w:ind w:firstLine="3534" w:firstLineChars="800"/>
        <w:outlineLvl w:val="1"/>
        <w:rPr>
          <w:rFonts w:hAnsi="宋体" w:cs="宋体"/>
          <w:b/>
          <w:color w:val="auto"/>
          <w:sz w:val="30"/>
          <w:szCs w:val="30"/>
          <w:highlight w:val="none"/>
        </w:rPr>
      </w:pPr>
      <w:r>
        <w:rPr>
          <w:rFonts w:hint="eastAsia" w:hAnsi="宋体" w:cs="宋体"/>
          <w:b/>
          <w:color w:val="auto"/>
          <w:sz w:val="44"/>
          <w:szCs w:val="44"/>
          <w:highlight w:val="none"/>
        </w:rPr>
        <w:t>供货合同</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供货合同格式</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Ansi="宋体" w:cs="宋体"/>
          <w:color w:val="auto"/>
          <w:spacing w:val="-2"/>
          <w:highlight w:val="none"/>
        </w:rPr>
      </w:pPr>
      <w:r>
        <w:rPr>
          <w:rFonts w:hint="eastAsia" w:hAnsi="宋体" w:cs="宋体"/>
          <w:color w:val="auto"/>
          <w:highlight w:val="none"/>
        </w:rPr>
        <w:t>西安铁路职业技术学院</w:t>
      </w:r>
      <w:r>
        <w:rPr>
          <w:rFonts w:hint="eastAsia" w:hAnsi="宋体" w:cs="宋体"/>
          <w:color w:val="auto"/>
          <w:highlight w:val="none"/>
          <w:u w:val="single"/>
        </w:rPr>
        <w:t xml:space="preserve"> 无纸化会议视频系统升级建设  </w:t>
      </w:r>
      <w:r>
        <w:rPr>
          <w:rFonts w:hint="eastAsia" w:hAnsi="宋体" w:cs="宋体"/>
          <w:color w:val="auto"/>
          <w:highlight w:val="none"/>
        </w:rPr>
        <w:t>项目</w:t>
      </w:r>
      <w:r>
        <w:rPr>
          <w:rFonts w:hint="eastAsia" w:hAnsi="宋体" w:cs="宋体"/>
          <w:color w:val="auto"/>
          <w:spacing w:val="-2"/>
          <w:highlight w:val="none"/>
        </w:rPr>
        <w:t>(项目编号：</w:t>
      </w:r>
      <w:r>
        <w:rPr>
          <w:rFonts w:hint="eastAsia" w:hAnsi="宋体" w:cs="宋体"/>
          <w:color w:val="auto"/>
          <w:spacing w:val="-2"/>
          <w:highlight w:val="none"/>
          <w:u w:val="single"/>
        </w:rPr>
        <w:t xml:space="preserve"> SXZHZB2023-ZC0</w:t>
      </w:r>
      <w:r>
        <w:rPr>
          <w:rFonts w:hint="eastAsia" w:hAnsi="宋体" w:cs="宋体"/>
          <w:color w:val="auto"/>
          <w:spacing w:val="-2"/>
          <w:highlight w:val="none"/>
          <w:u w:val="single"/>
          <w:lang w:val="en-US" w:eastAsia="zh-CN"/>
        </w:rPr>
        <w:t>38</w:t>
      </w:r>
      <w:r>
        <w:rPr>
          <w:rFonts w:hint="eastAsia" w:hAnsi="宋体" w:cs="宋体"/>
          <w:color w:val="auto"/>
          <w:spacing w:val="-2"/>
          <w:highlight w:val="none"/>
          <w:u w:val="single"/>
        </w:rPr>
        <w:t xml:space="preserve">-GK </w:t>
      </w:r>
      <w:r>
        <w:rPr>
          <w:rFonts w:hint="eastAsia" w:hAnsi="宋体" w:cs="宋体"/>
          <w:color w:val="auto"/>
          <w:spacing w:val="-2"/>
          <w:highlight w:val="none"/>
        </w:rPr>
        <w:t>)，在西安市财政局政府采购管理处的监督管理下，由</w:t>
      </w:r>
      <w:r>
        <w:rPr>
          <w:rFonts w:hint="eastAsia" w:hAnsi="宋体" w:cs="宋体"/>
          <w:color w:val="auto"/>
          <w:spacing w:val="-2"/>
          <w:highlight w:val="none"/>
          <w:u w:val="single"/>
        </w:rPr>
        <w:t xml:space="preserve">  陕西纵横项目管理有限公司  </w:t>
      </w:r>
      <w:r>
        <w:rPr>
          <w:rFonts w:hint="eastAsia" w:hAnsi="宋体" w:cs="宋体"/>
          <w:color w:val="auto"/>
          <w:spacing w:val="-2"/>
          <w:highlight w:val="none"/>
        </w:rPr>
        <w:t>组织依法招标。</w:t>
      </w:r>
      <w:r>
        <w:rPr>
          <w:rFonts w:hint="eastAsia" w:hAnsi="宋体" w:cs="宋体"/>
          <w:color w:val="auto"/>
          <w:spacing w:val="-2"/>
          <w:highlight w:val="none"/>
          <w:u w:val="single"/>
        </w:rPr>
        <w:t>西安铁路职业技术学院</w:t>
      </w:r>
      <w:r>
        <w:rPr>
          <w:rFonts w:hint="eastAsia" w:hAnsi="宋体" w:cs="宋体"/>
          <w:color w:val="auto"/>
          <w:spacing w:val="-2"/>
          <w:highlight w:val="none"/>
        </w:rPr>
        <w:t>(以下简称“买方”)确定</w:t>
      </w:r>
      <w:r>
        <w:rPr>
          <w:rFonts w:hint="eastAsia" w:hAnsi="宋体" w:cs="宋体"/>
          <w:color w:val="auto"/>
          <w:highlight w:val="none"/>
          <w:u w:val="single"/>
        </w:rPr>
        <w:t xml:space="preserve">                </w:t>
      </w:r>
      <w:r>
        <w:rPr>
          <w:rFonts w:hint="eastAsia" w:hAnsi="宋体" w:cs="宋体"/>
          <w:color w:val="auto"/>
          <w:spacing w:val="-2"/>
          <w:highlight w:val="none"/>
        </w:rPr>
        <w:t>（以下简称“卖方”）为成交供应商。</w:t>
      </w:r>
    </w:p>
    <w:p>
      <w:pPr>
        <w:keepNext w:val="0"/>
        <w:keepLines w:val="0"/>
        <w:pageBreakBefore w:val="0"/>
        <w:widowControl w:val="0"/>
        <w:kinsoku/>
        <w:wordWrap/>
        <w:overflowPunct/>
        <w:topLinePunct w:val="0"/>
        <w:autoSpaceDE/>
        <w:autoSpaceDN/>
        <w:bidi w:val="0"/>
        <w:adjustRightInd/>
        <w:snapToGrid/>
        <w:spacing w:line="560" w:lineRule="exact"/>
        <w:ind w:firstLine="472" w:firstLineChars="200"/>
        <w:textAlignment w:val="auto"/>
        <w:rPr>
          <w:rFonts w:hAnsi="宋体" w:cs="宋体"/>
          <w:color w:val="auto"/>
          <w:spacing w:val="-2"/>
          <w:highlight w:val="none"/>
        </w:rPr>
      </w:pPr>
      <w:r>
        <w:rPr>
          <w:rFonts w:hint="eastAsia" w:hAnsi="宋体" w:cs="宋体"/>
          <w:color w:val="auto"/>
          <w:spacing w:val="-2"/>
          <w:highlight w:val="none"/>
        </w:rPr>
        <w:t>依据《中华人民共和国民法典》和《中华人民共和国政府采购法》等规定，买方通过依法采购接受了卖方以价格</w:t>
      </w:r>
      <w:r>
        <w:rPr>
          <w:rFonts w:hint="eastAsia" w:hAnsi="宋体" w:cs="宋体"/>
          <w:color w:val="auto"/>
          <w:highlight w:val="none"/>
          <w:u w:val="single"/>
        </w:rPr>
        <w:t xml:space="preserve">              </w:t>
      </w:r>
      <w:r>
        <w:rPr>
          <w:rFonts w:hint="eastAsia" w:hAnsi="宋体" w:cs="宋体"/>
          <w:color w:val="auto"/>
          <w:highlight w:val="none"/>
        </w:rPr>
        <w:t>元整（¥</w:t>
      </w:r>
      <w:r>
        <w:rPr>
          <w:rFonts w:hint="eastAsia" w:hAnsi="宋体" w:cs="宋体"/>
          <w:color w:val="auto"/>
          <w:highlight w:val="none"/>
          <w:u w:val="single"/>
        </w:rPr>
        <w:t xml:space="preserve">          </w:t>
      </w:r>
      <w:r>
        <w:rPr>
          <w:rFonts w:hint="eastAsia" w:hAnsi="宋体" w:cs="宋体"/>
          <w:color w:val="auto"/>
          <w:highlight w:val="none"/>
        </w:rPr>
        <w:t>）</w:t>
      </w:r>
      <w:r>
        <w:rPr>
          <w:rFonts w:hint="eastAsia" w:hAnsi="宋体" w:cs="宋体"/>
          <w:color w:val="auto"/>
          <w:spacing w:val="-2"/>
          <w:highlight w:val="none"/>
        </w:rPr>
        <w:t>(以下简称“合同价”)提供的货物及配套服务、施工。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本合同在此声明如下：</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1、本合同中的词语和术语的含义与合同条款中定义的相同。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2、下述文件是本合同的一部分，并与本合同一起阅读和解释：</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1）合同条款</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2）合同条款附件</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50"/>
        <w:textAlignment w:val="auto"/>
        <w:rPr>
          <w:rFonts w:hAnsi="宋体" w:cs="宋体"/>
          <w:color w:val="auto"/>
          <w:highlight w:val="none"/>
        </w:rPr>
      </w:pPr>
      <w:r>
        <w:rPr>
          <w:rFonts w:hint="eastAsia" w:hAnsi="宋体" w:cs="宋体"/>
          <w:color w:val="auto"/>
          <w:highlight w:val="none"/>
        </w:rPr>
        <w:t>附件1—货物清单（必须提供）</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50"/>
        <w:textAlignment w:val="auto"/>
        <w:rPr>
          <w:rFonts w:hAnsi="宋体" w:cs="宋体"/>
          <w:color w:val="auto"/>
          <w:highlight w:val="none"/>
        </w:rPr>
      </w:pPr>
      <w:r>
        <w:rPr>
          <w:rFonts w:hint="eastAsia" w:hAnsi="宋体" w:cs="宋体"/>
          <w:color w:val="auto"/>
          <w:highlight w:val="none"/>
        </w:rPr>
        <w:t>附件2—质量保证承诺（必须提供）</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50"/>
        <w:textAlignment w:val="auto"/>
        <w:rPr>
          <w:rFonts w:hAnsi="宋体" w:cs="宋体"/>
          <w:color w:val="auto"/>
          <w:highlight w:val="none"/>
        </w:rPr>
      </w:pPr>
      <w:r>
        <w:rPr>
          <w:rFonts w:hint="eastAsia" w:hAnsi="宋体" w:cs="宋体"/>
          <w:color w:val="auto"/>
          <w:highlight w:val="none"/>
        </w:rPr>
        <w:t>附件3—售后服务方案（必须提供）</w:t>
      </w:r>
    </w:p>
    <w:p>
      <w:pPr>
        <w:keepNext w:val="0"/>
        <w:keepLines w:val="0"/>
        <w:pageBreakBefore w:val="0"/>
        <w:widowControl w:val="0"/>
        <w:kinsoku/>
        <w:wordWrap/>
        <w:overflowPunct/>
        <w:topLinePunct w:val="0"/>
        <w:autoSpaceDE/>
        <w:autoSpaceDN/>
        <w:bidi w:val="0"/>
        <w:adjustRightInd/>
        <w:snapToGrid/>
        <w:spacing w:line="560" w:lineRule="exact"/>
        <w:ind w:firstLine="840" w:firstLineChars="350"/>
        <w:textAlignment w:val="auto"/>
        <w:rPr>
          <w:rFonts w:hAnsi="宋体" w:cs="宋体"/>
          <w:color w:val="auto"/>
          <w:highlight w:val="none"/>
        </w:rPr>
      </w:pPr>
      <w:r>
        <w:rPr>
          <w:rFonts w:hint="eastAsia" w:hAnsi="宋体" w:cs="宋体"/>
          <w:color w:val="auto"/>
          <w:highlight w:val="none"/>
        </w:rPr>
        <w:t>附件4—培训计划（若需培训，必须提供）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3）成交通知书</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4）买方招标文件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5）卖方投标文件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3、考虑到买方将按照本合同向卖方支付货款，卖方在此保证全部按照合同的规定向买方提供货物和服务，并修补缺陷。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4、考虑到卖方提供的货物和服务并修补缺陷，买方在此保证按照合同规定的时间和方式向卖方支付合同价或其他按合同规定应支付的金额。</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5、履约保证金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1）</w:t>
      </w:r>
      <w:r>
        <w:rPr>
          <w:rFonts w:hint="eastAsia" w:hAnsi="宋体" w:cs="宋体"/>
          <w:color w:val="auto"/>
          <w:highlight w:val="none"/>
          <w:lang w:eastAsia="zh-CN"/>
        </w:rPr>
        <w:t>卖方</w:t>
      </w:r>
      <w:r>
        <w:rPr>
          <w:rFonts w:hint="eastAsia" w:hAnsi="宋体" w:cs="宋体"/>
          <w:color w:val="auto"/>
          <w:highlight w:val="none"/>
        </w:rPr>
        <w:t>在签订合同前须向</w:t>
      </w:r>
      <w:r>
        <w:rPr>
          <w:rFonts w:hint="eastAsia" w:hAnsi="宋体" w:cs="宋体"/>
          <w:color w:val="auto"/>
          <w:highlight w:val="none"/>
          <w:lang w:eastAsia="zh-CN"/>
        </w:rPr>
        <w:t>买方</w:t>
      </w:r>
      <w:r>
        <w:rPr>
          <w:rFonts w:hint="eastAsia" w:hAnsi="宋体" w:cs="宋体"/>
          <w:color w:val="auto"/>
          <w:highlight w:val="none"/>
        </w:rPr>
        <w:t>交纳合同总金额5%的履约保证金。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供应商应在领取成交通知书后5个工作日内将履约保证金交至采购方账户，其数额为合同金额的5%，供应商可通过支票、本票、汇票、网上银行支付等非现金形式交纳。项目验收合格后，30日内向供应商无息退还。</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2）承包人无正当理由不与发包人订立合同，在签订合同时向发包人提出附加条件，或者不按照招标文件要求提交履约保证金的，取消其成交资格，投标保证金（若有）不予退还。</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3）项目验收合格</w:t>
      </w:r>
      <w:r>
        <w:rPr>
          <w:rFonts w:hint="eastAsia" w:hAnsi="宋体" w:cs="宋体"/>
          <w:color w:val="auto"/>
          <w:highlight w:val="none"/>
          <w:lang w:val="en-US" w:eastAsia="zh-CN"/>
        </w:rPr>
        <w:t>30天内</w:t>
      </w:r>
      <w:r>
        <w:rPr>
          <w:rFonts w:hint="eastAsia" w:hAnsi="宋体" w:cs="宋体"/>
          <w:color w:val="auto"/>
          <w:highlight w:val="none"/>
        </w:rPr>
        <w:t>，</w:t>
      </w:r>
      <w:r>
        <w:rPr>
          <w:rFonts w:hint="eastAsia" w:hAnsi="宋体" w:cs="宋体"/>
          <w:color w:val="auto"/>
          <w:highlight w:val="none"/>
          <w:lang w:eastAsia="zh-CN"/>
        </w:rPr>
        <w:t>卖方</w:t>
      </w:r>
      <w:r>
        <w:rPr>
          <w:rFonts w:hint="eastAsia" w:hAnsi="宋体" w:cs="宋体"/>
          <w:color w:val="auto"/>
          <w:highlight w:val="none"/>
        </w:rPr>
        <w:t>持申请支付履约保证金的函，到</w:t>
      </w:r>
      <w:r>
        <w:rPr>
          <w:rFonts w:hint="eastAsia" w:hAnsi="宋体" w:cs="宋体"/>
          <w:color w:val="auto"/>
          <w:highlight w:val="none"/>
          <w:lang w:eastAsia="zh-CN"/>
        </w:rPr>
        <w:t>买方</w:t>
      </w:r>
      <w:r>
        <w:rPr>
          <w:rFonts w:hint="eastAsia" w:hAnsi="宋体" w:cs="宋体"/>
          <w:color w:val="auto"/>
          <w:highlight w:val="none"/>
        </w:rPr>
        <w:t>办理相关手续后，发包人向承包人无息退还。</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注：履约保证金转账信息</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名称：西安铁路职业技术学院</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纳税人识别号：12610100437202545W</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地址、电话：西安国际港务区港务大道396号   029-88092203</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开户行及账号：建行西安经济技术开发区支行 61001930041052515973</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hAnsi="宋体" w:cs="宋体"/>
          <w:color w:val="auto"/>
          <w:highlight w:val="none"/>
          <w:lang w:val="en-US" w:eastAsia="zh-CN"/>
        </w:rPr>
      </w:pPr>
      <w:r>
        <w:rPr>
          <w:rFonts w:hint="eastAsia" w:hAnsi="宋体" w:cs="宋体"/>
          <w:color w:val="auto"/>
          <w:highlight w:val="none"/>
          <w:lang w:val="en-US" w:eastAsia="zh-CN"/>
        </w:rPr>
        <w:t>6、</w:t>
      </w:r>
      <w:r>
        <w:rPr>
          <w:rFonts w:hint="eastAsia" w:hAnsi="宋体" w:cs="宋体"/>
          <w:color w:val="auto"/>
          <w:highlight w:val="none"/>
        </w:rPr>
        <w:t>付款方式：</w:t>
      </w:r>
      <w:r>
        <w:rPr>
          <w:rFonts w:hint="eastAsia" w:hAnsi="宋体" w:cs="宋体"/>
          <w:color w:val="auto"/>
          <w:highlight w:val="none"/>
          <w:lang w:val="en-US" w:eastAsia="zh-CN"/>
        </w:rPr>
        <w:t>合同签订后，供应商持履约保证金交纳凭证、合同、预付款发票，至采购方处办理合同总价款的40%预付款项。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hAnsi="宋体" w:cs="宋体"/>
          <w:color w:val="auto"/>
          <w:highlight w:val="none"/>
          <w:lang w:val="en-US" w:eastAsia="zh-CN"/>
        </w:rPr>
      </w:pPr>
      <w:r>
        <w:rPr>
          <w:rFonts w:hint="eastAsia" w:hAnsi="宋体" w:cs="宋体"/>
          <w:color w:val="auto"/>
          <w:highlight w:val="none"/>
          <w:lang w:val="en-US" w:eastAsia="zh-CN"/>
        </w:rPr>
        <w:t>项目完成并验收合格（达到使用标准）后，采购方在30日内支付供应商合同总价款的60％剩余款项。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hAnsi="宋体" w:cs="宋体"/>
          <w:color w:val="auto"/>
          <w:highlight w:val="none"/>
          <w:lang w:val="en-US" w:eastAsia="zh-CN"/>
        </w:rPr>
      </w:pPr>
      <w:r>
        <w:rPr>
          <w:rFonts w:hint="eastAsia" w:hAnsi="宋体" w:cs="宋体"/>
          <w:color w:val="auto"/>
          <w:highlight w:val="none"/>
          <w:lang w:val="en-US" w:eastAsia="zh-CN"/>
        </w:rPr>
        <w:t>结算资料：验收合格后填写政府采购项目验收单（一式伍份），供应商持成交通知书、供货合同、发票、政府采购项目验收单，与采购人结算。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hAnsi="宋体" w:cs="宋体"/>
          <w:color w:val="auto"/>
          <w:highlight w:val="none"/>
        </w:rPr>
      </w:pPr>
      <w:r>
        <w:rPr>
          <w:rFonts w:hint="eastAsia" w:hAnsi="宋体" w:cs="宋体"/>
          <w:color w:val="auto"/>
          <w:highlight w:val="none"/>
          <w:lang w:val="en-US" w:eastAsia="zh-CN"/>
        </w:rPr>
        <w:t xml:space="preserve"> </w:t>
      </w:r>
      <w:r>
        <w:rPr>
          <w:rFonts w:hint="eastAsia" w:hAnsi="宋体" w:cs="宋体"/>
          <w:color w:val="auto"/>
          <w:highlight w:val="none"/>
        </w:rPr>
        <w:t>7、</w:t>
      </w:r>
      <w:r>
        <w:rPr>
          <w:rFonts w:hint="eastAsia" w:hAnsi="宋体" w:cs="宋体"/>
          <w:color w:val="auto"/>
          <w:szCs w:val="24"/>
          <w:highlight w:val="none"/>
        </w:rPr>
        <w:t>交货完工期</w:t>
      </w:r>
      <w:r>
        <w:rPr>
          <w:rFonts w:hint="eastAsia" w:hAnsi="宋体" w:cs="宋体"/>
          <w:color w:val="auto"/>
          <w:highlight w:val="none"/>
        </w:rPr>
        <w:t>：</w:t>
      </w:r>
      <w:r>
        <w:rPr>
          <w:rFonts w:hint="eastAsia" w:cs="宋体"/>
          <w:color w:val="auto"/>
          <w:highlight w:val="none"/>
        </w:rPr>
        <w:t>自合同签订之日起</w:t>
      </w:r>
      <w:r>
        <w:rPr>
          <w:rFonts w:hint="eastAsia" w:cs="宋体"/>
          <w:color w:val="auto"/>
          <w:highlight w:val="none"/>
          <w:u w:val="single"/>
          <w:lang w:val="en-US" w:eastAsia="zh-CN"/>
        </w:rPr>
        <w:t xml:space="preserve">     </w:t>
      </w:r>
      <w:r>
        <w:rPr>
          <w:rFonts w:hint="eastAsia" w:cs="宋体"/>
          <w:color w:val="auto"/>
          <w:highlight w:val="none"/>
        </w:rPr>
        <w:t>个日历日</w:t>
      </w:r>
      <w:r>
        <w:rPr>
          <w:rFonts w:hint="eastAsia" w:hAnsi="宋体" w:cs="宋体"/>
          <w:color w:val="auto"/>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 xml:space="preserve">   </w:t>
      </w:r>
      <w:r>
        <w:rPr>
          <w:rFonts w:hint="eastAsia" w:hAnsi="宋体" w:cs="宋体"/>
          <w:color w:val="auto"/>
          <w:highlight w:val="none"/>
          <w:lang w:val="en-US" w:eastAsia="zh-CN"/>
        </w:rPr>
        <w:t xml:space="preserve"> </w:t>
      </w:r>
      <w:r>
        <w:rPr>
          <w:rFonts w:hint="eastAsia" w:hAnsi="宋体" w:cs="宋体"/>
          <w:color w:val="auto"/>
          <w:highlight w:val="none"/>
        </w:rPr>
        <w:t>交货地点：西安铁路职业技术学院指定地点</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480" w:firstLineChars="200"/>
        <w:textAlignment w:val="auto"/>
        <w:rPr>
          <w:rFonts w:hint="eastAsia" w:hAnsi="宋体" w:cs="宋体"/>
          <w:color w:val="auto"/>
          <w:highlight w:val="none"/>
        </w:rPr>
      </w:pPr>
      <w:r>
        <w:rPr>
          <w:rFonts w:hint="eastAsia" w:hAnsi="宋体" w:cs="宋体"/>
          <w:color w:val="auto"/>
          <w:highlight w:val="none"/>
        </w:rPr>
        <w:t>本合同一式柒份，其中，买方伍份，卖方壹份，鉴证方备案壹份。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Ansi="宋体" w:cs="宋体"/>
          <w:color w:val="auto"/>
          <w:highlight w:val="none"/>
        </w:rPr>
      </w:pPr>
      <w:r>
        <w:rPr>
          <w:rFonts w:hint="eastAsia" w:hAnsi="宋体" w:cs="宋体"/>
          <w:color w:val="auto"/>
          <w:highlight w:val="none"/>
        </w:rPr>
        <w:t>9、本合同由买卖双方及鉴证方共同签字盖章，自最后一方签字盖章之日起生效。</w:t>
      </w:r>
    </w:p>
    <w:tbl>
      <w:tblPr>
        <w:tblStyle w:val="44"/>
        <w:tblpPr w:leftFromText="180" w:rightFromText="180" w:vertAnchor="text" w:horzAnchor="page" w:tblpX="1352" w:tblpY="510"/>
        <w:tblOverlap w:val="never"/>
        <w:tblW w:w="9418" w:type="dxa"/>
        <w:tblInd w:w="0" w:type="dxa"/>
        <w:tblLayout w:type="fixed"/>
        <w:tblCellMar>
          <w:top w:w="0" w:type="dxa"/>
          <w:left w:w="108" w:type="dxa"/>
          <w:bottom w:w="0" w:type="dxa"/>
          <w:right w:w="108" w:type="dxa"/>
        </w:tblCellMar>
      </w:tblPr>
      <w:tblGrid>
        <w:gridCol w:w="4803"/>
        <w:gridCol w:w="4615"/>
      </w:tblGrid>
      <w:tr>
        <w:tblPrEx>
          <w:tblCellMar>
            <w:top w:w="0" w:type="dxa"/>
            <w:left w:w="108" w:type="dxa"/>
            <w:bottom w:w="0" w:type="dxa"/>
            <w:right w:w="108" w:type="dxa"/>
          </w:tblCellMar>
        </w:tblPrEx>
        <w:trPr>
          <w:trHeight w:val="4962" w:hRule="atLeast"/>
        </w:trPr>
        <w:tc>
          <w:tcPr>
            <w:tcW w:w="4803" w:type="dxa"/>
            <w:tcMar>
              <w:top w:w="113" w:type="dxa"/>
              <w:left w:w="113" w:type="dxa"/>
              <w:bottom w:w="113" w:type="dxa"/>
              <w:right w:w="113" w:type="dxa"/>
            </w:tcMar>
          </w:tcPr>
          <w:p>
            <w:pPr>
              <w:spacing w:line="480" w:lineRule="exact"/>
              <w:rPr>
                <w:rFonts w:hAnsi="宋体" w:cs="宋体"/>
                <w:color w:val="auto"/>
                <w:highlight w:val="none"/>
              </w:rPr>
            </w:pPr>
            <w:r>
              <w:rPr>
                <w:rFonts w:hint="eastAsia" w:hAnsi="宋体" w:cs="宋体"/>
                <w:color w:val="auto"/>
                <w:highlight w:val="none"/>
              </w:rPr>
              <w:t xml:space="preserve">买方名称：西安铁路职业技术学院 </w:t>
            </w:r>
          </w:p>
          <w:p>
            <w:pPr>
              <w:spacing w:line="480" w:lineRule="exact"/>
              <w:rPr>
                <w:rFonts w:hAnsi="宋体" w:cs="宋体"/>
                <w:color w:val="auto"/>
                <w:highlight w:val="none"/>
              </w:rPr>
            </w:pPr>
            <w:r>
              <w:rPr>
                <w:rFonts w:hint="eastAsia" w:hAnsi="宋体" w:cs="宋体"/>
                <w:color w:val="auto"/>
                <w:highlight w:val="none"/>
              </w:rPr>
              <w:t xml:space="preserve">地  址：西安市国际港务区港务大道396号 </w:t>
            </w:r>
          </w:p>
          <w:p>
            <w:pPr>
              <w:spacing w:line="480" w:lineRule="exact"/>
              <w:rPr>
                <w:rFonts w:hint="eastAsia" w:hAnsi="宋体" w:cs="宋体"/>
                <w:color w:val="auto"/>
                <w:highlight w:val="none"/>
              </w:rPr>
            </w:pPr>
          </w:p>
          <w:p>
            <w:pPr>
              <w:spacing w:line="480" w:lineRule="exact"/>
              <w:rPr>
                <w:rFonts w:hAnsi="宋体" w:cs="宋体"/>
                <w:color w:val="auto"/>
                <w:highlight w:val="none"/>
              </w:rPr>
            </w:pPr>
            <w:r>
              <w:rPr>
                <w:rFonts w:hint="eastAsia" w:hAnsi="宋体" w:cs="宋体"/>
                <w:color w:val="auto"/>
                <w:highlight w:val="none"/>
              </w:rPr>
              <w:t>邮    编：</w:t>
            </w:r>
          </w:p>
          <w:p>
            <w:pPr>
              <w:spacing w:line="480" w:lineRule="exact"/>
              <w:rPr>
                <w:rFonts w:hAnsi="宋体" w:cs="宋体"/>
                <w:color w:val="auto"/>
                <w:highlight w:val="none"/>
              </w:rPr>
            </w:pPr>
            <w:r>
              <w:rPr>
                <w:rFonts w:hint="eastAsia" w:hAnsi="宋体" w:cs="宋体"/>
                <w:color w:val="auto"/>
                <w:highlight w:val="none"/>
              </w:rPr>
              <w:t>电    话：029-</w:t>
            </w:r>
          </w:p>
          <w:p>
            <w:pPr>
              <w:spacing w:line="480" w:lineRule="exact"/>
              <w:rPr>
                <w:rFonts w:hAnsi="宋体" w:cs="宋体"/>
                <w:color w:val="auto"/>
                <w:highlight w:val="none"/>
              </w:rPr>
            </w:pPr>
            <w:r>
              <w:rPr>
                <w:rFonts w:hint="eastAsia" w:hAnsi="宋体" w:cs="宋体"/>
                <w:color w:val="auto"/>
                <w:highlight w:val="none"/>
              </w:rPr>
              <w:t>传    真：</w:t>
            </w:r>
          </w:p>
          <w:p>
            <w:pPr>
              <w:spacing w:line="480" w:lineRule="exact"/>
              <w:rPr>
                <w:rFonts w:hAnsi="宋体" w:cs="宋体"/>
                <w:color w:val="auto"/>
                <w:highlight w:val="none"/>
              </w:rPr>
            </w:pPr>
            <w:r>
              <w:rPr>
                <w:rFonts w:hint="eastAsia" w:hAnsi="宋体" w:cs="宋体"/>
                <w:color w:val="auto"/>
                <w:highlight w:val="none"/>
              </w:rPr>
              <w:t xml:space="preserve">开户银行：建行西安经济技术开发区支行 </w:t>
            </w:r>
          </w:p>
          <w:p>
            <w:pPr>
              <w:spacing w:line="480" w:lineRule="exact"/>
              <w:rPr>
                <w:rFonts w:hAnsi="宋体" w:cs="宋体"/>
                <w:color w:val="auto"/>
                <w:highlight w:val="none"/>
              </w:rPr>
            </w:pPr>
            <w:r>
              <w:rPr>
                <w:rFonts w:hint="eastAsia" w:hAnsi="宋体" w:cs="宋体"/>
                <w:color w:val="auto"/>
                <w:highlight w:val="none"/>
              </w:rPr>
              <w:t>帐    号：61001930041052515973</w:t>
            </w:r>
          </w:p>
          <w:p>
            <w:pPr>
              <w:spacing w:line="480" w:lineRule="exact"/>
              <w:ind w:firstLine="480" w:firstLineChars="200"/>
              <w:rPr>
                <w:rFonts w:hAnsi="宋体" w:cs="宋体"/>
                <w:color w:val="auto"/>
                <w:highlight w:val="none"/>
              </w:rPr>
            </w:pPr>
          </w:p>
          <w:p>
            <w:pPr>
              <w:spacing w:line="480" w:lineRule="exact"/>
              <w:rPr>
                <w:rFonts w:hAnsi="宋体" w:cs="宋体"/>
                <w:color w:val="auto"/>
                <w:highlight w:val="none"/>
              </w:rPr>
            </w:pPr>
            <w:r>
              <w:rPr>
                <w:rFonts w:hint="eastAsia" w:hAnsi="宋体" w:cs="宋体"/>
                <w:color w:val="auto"/>
                <w:highlight w:val="none"/>
              </w:rPr>
              <w:t>代表签字：</w:t>
            </w:r>
          </w:p>
          <w:p>
            <w:pPr>
              <w:spacing w:line="480" w:lineRule="exact"/>
              <w:rPr>
                <w:rFonts w:hAnsi="宋体" w:cs="宋体"/>
                <w:color w:val="auto"/>
                <w:highlight w:val="none"/>
              </w:rPr>
            </w:pPr>
            <w:r>
              <w:rPr>
                <w:rFonts w:hint="eastAsia" w:hAnsi="宋体" w:cs="宋体"/>
                <w:color w:val="auto"/>
                <w:highlight w:val="none"/>
              </w:rPr>
              <w:t>盖章：</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            </w:t>
            </w:r>
          </w:p>
          <w:p>
            <w:pPr>
              <w:spacing w:line="480" w:lineRule="exact"/>
              <w:rPr>
                <w:rFonts w:hAnsi="宋体" w:cs="宋体"/>
                <w:color w:val="auto"/>
                <w:highlight w:val="none"/>
              </w:rPr>
            </w:pPr>
            <w:r>
              <w:rPr>
                <w:rFonts w:hint="eastAsia" w:hAnsi="宋体" w:cs="宋体"/>
                <w:color w:val="auto"/>
                <w:highlight w:val="none"/>
              </w:rPr>
              <w:t xml:space="preserve">年  月  日      </w:t>
            </w:r>
          </w:p>
        </w:tc>
        <w:tc>
          <w:tcPr>
            <w:tcW w:w="4615" w:type="dxa"/>
            <w:tcMar>
              <w:top w:w="113" w:type="dxa"/>
              <w:left w:w="113" w:type="dxa"/>
              <w:bottom w:w="113" w:type="dxa"/>
              <w:right w:w="113" w:type="dxa"/>
            </w:tcMar>
          </w:tcPr>
          <w:p>
            <w:pPr>
              <w:spacing w:line="480" w:lineRule="exact"/>
              <w:ind w:firstLine="480" w:firstLineChars="200"/>
              <w:rPr>
                <w:rFonts w:hAnsi="宋体" w:cs="宋体"/>
                <w:color w:val="auto"/>
                <w:highlight w:val="none"/>
              </w:rPr>
            </w:pPr>
            <w:r>
              <w:rPr>
                <w:rFonts w:hint="eastAsia" w:hAnsi="宋体" w:cs="宋体"/>
                <w:color w:val="auto"/>
                <w:highlight w:val="none"/>
              </w:rPr>
              <w:t xml:space="preserve">卖方名称： </w:t>
            </w:r>
          </w:p>
          <w:p>
            <w:pPr>
              <w:spacing w:line="480" w:lineRule="exact"/>
              <w:ind w:firstLine="480" w:firstLineChars="200"/>
              <w:rPr>
                <w:rFonts w:hAnsi="宋体" w:cs="宋体"/>
                <w:color w:val="auto"/>
                <w:highlight w:val="none"/>
              </w:rPr>
            </w:pPr>
            <w:r>
              <w:rPr>
                <w:rFonts w:hint="eastAsia" w:hAnsi="宋体" w:cs="宋体"/>
                <w:color w:val="auto"/>
                <w:highlight w:val="none"/>
              </w:rPr>
              <w:t>地    址：</w:t>
            </w:r>
          </w:p>
          <w:p>
            <w:pPr>
              <w:spacing w:line="480" w:lineRule="exact"/>
              <w:ind w:firstLine="480" w:firstLineChars="200"/>
              <w:rPr>
                <w:rFonts w:hAnsi="宋体" w:cs="宋体"/>
                <w:color w:val="auto"/>
                <w:highlight w:val="none"/>
              </w:rPr>
            </w:pPr>
          </w:p>
          <w:p>
            <w:pPr>
              <w:spacing w:line="480" w:lineRule="exact"/>
              <w:ind w:firstLine="480" w:firstLineChars="200"/>
              <w:rPr>
                <w:rFonts w:hAnsi="宋体" w:cs="宋体"/>
                <w:color w:val="auto"/>
                <w:highlight w:val="none"/>
              </w:rPr>
            </w:pPr>
            <w:r>
              <w:rPr>
                <w:rFonts w:hint="eastAsia" w:hAnsi="宋体" w:cs="宋体"/>
                <w:color w:val="auto"/>
                <w:highlight w:val="none"/>
              </w:rPr>
              <w:t xml:space="preserve">邮    编： </w:t>
            </w:r>
          </w:p>
          <w:p>
            <w:pPr>
              <w:spacing w:line="480" w:lineRule="exact"/>
              <w:ind w:firstLine="480" w:firstLineChars="200"/>
              <w:rPr>
                <w:rFonts w:hAnsi="宋体" w:cs="宋体"/>
                <w:color w:val="auto"/>
                <w:highlight w:val="none"/>
              </w:rPr>
            </w:pPr>
            <w:r>
              <w:rPr>
                <w:rFonts w:hint="eastAsia" w:hAnsi="宋体" w:cs="宋体"/>
                <w:color w:val="auto"/>
                <w:highlight w:val="none"/>
              </w:rPr>
              <w:t>电    话：</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传    真：  </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开户银行： </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帐    号： </w:t>
            </w:r>
          </w:p>
          <w:p>
            <w:pPr>
              <w:spacing w:line="480" w:lineRule="exact"/>
              <w:ind w:firstLine="480" w:firstLineChars="200"/>
              <w:rPr>
                <w:rFonts w:hAnsi="宋体" w:cs="宋体"/>
                <w:color w:val="auto"/>
                <w:highlight w:val="none"/>
              </w:rPr>
            </w:pPr>
            <w:r>
              <w:rPr>
                <w:rFonts w:hint="eastAsia" w:hAnsi="宋体" w:cs="宋体"/>
                <w:color w:val="auto"/>
                <w:highlight w:val="none"/>
              </w:rPr>
              <w:t>代表签字</w:t>
            </w:r>
          </w:p>
          <w:p>
            <w:pPr>
              <w:spacing w:line="480" w:lineRule="exact"/>
              <w:ind w:firstLine="480" w:firstLineChars="200"/>
              <w:rPr>
                <w:rFonts w:hAnsi="宋体" w:cs="宋体"/>
                <w:color w:val="auto"/>
                <w:highlight w:val="none"/>
              </w:rPr>
            </w:pPr>
            <w:r>
              <w:rPr>
                <w:rFonts w:hint="eastAsia" w:hAnsi="宋体" w:cs="宋体"/>
                <w:color w:val="auto"/>
                <w:highlight w:val="none"/>
              </w:rPr>
              <w:t>盖章：</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          </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   年  月  日</w:t>
            </w:r>
          </w:p>
        </w:tc>
      </w:tr>
      <w:tr>
        <w:tblPrEx>
          <w:tblCellMar>
            <w:top w:w="0" w:type="dxa"/>
            <w:left w:w="108" w:type="dxa"/>
            <w:bottom w:w="0" w:type="dxa"/>
            <w:right w:w="108" w:type="dxa"/>
          </w:tblCellMar>
        </w:tblPrEx>
        <w:trPr>
          <w:trHeight w:val="4962" w:hRule="atLeast"/>
        </w:trPr>
        <w:tc>
          <w:tcPr>
            <w:tcW w:w="4803" w:type="dxa"/>
            <w:tcMar>
              <w:top w:w="113" w:type="dxa"/>
              <w:left w:w="113" w:type="dxa"/>
              <w:bottom w:w="113" w:type="dxa"/>
              <w:right w:w="113" w:type="dxa"/>
            </w:tcMar>
          </w:tcPr>
          <w:p>
            <w:pPr>
              <w:spacing w:line="480" w:lineRule="exact"/>
              <w:rPr>
                <w:rFonts w:hint="eastAsia" w:hAnsi="宋体" w:cs="宋体"/>
                <w:color w:val="auto"/>
                <w:highlight w:val="none"/>
              </w:rPr>
            </w:pPr>
            <w:r>
              <w:rPr>
                <w:rFonts w:hint="eastAsia" w:hAnsi="宋体" w:cs="宋体"/>
                <w:color w:val="auto"/>
                <w:highlight w:val="none"/>
              </w:rPr>
              <w:t xml:space="preserve">鉴证方名称： </w:t>
            </w:r>
          </w:p>
          <w:p>
            <w:pPr>
              <w:spacing w:line="480" w:lineRule="exact"/>
              <w:rPr>
                <w:rFonts w:hAnsi="宋体" w:cs="宋体"/>
                <w:color w:val="auto"/>
                <w:highlight w:val="none"/>
              </w:rPr>
            </w:pPr>
            <w:r>
              <w:rPr>
                <w:rFonts w:hint="eastAsia" w:hAnsi="宋体" w:cs="宋体"/>
                <w:color w:val="auto"/>
                <w:highlight w:val="none"/>
              </w:rPr>
              <w:t>地      址：</w:t>
            </w:r>
          </w:p>
          <w:p>
            <w:pPr>
              <w:spacing w:line="480" w:lineRule="exact"/>
              <w:rPr>
                <w:rFonts w:hAnsi="宋体" w:cs="宋体"/>
                <w:color w:val="auto"/>
                <w:highlight w:val="none"/>
              </w:rPr>
            </w:pPr>
            <w:r>
              <w:rPr>
                <w:rFonts w:hint="eastAsia" w:hAnsi="宋体" w:cs="宋体"/>
                <w:color w:val="auto"/>
                <w:highlight w:val="none"/>
              </w:rPr>
              <w:t>邮      编：</w:t>
            </w:r>
          </w:p>
          <w:p>
            <w:pPr>
              <w:spacing w:line="480" w:lineRule="exact"/>
              <w:rPr>
                <w:rFonts w:hAnsi="宋体" w:cs="宋体"/>
                <w:color w:val="auto"/>
                <w:highlight w:val="none"/>
              </w:rPr>
            </w:pPr>
            <w:r>
              <w:rPr>
                <w:rFonts w:hint="eastAsia" w:hAnsi="宋体" w:cs="宋体"/>
                <w:color w:val="auto"/>
                <w:highlight w:val="none"/>
              </w:rPr>
              <w:t>鉴证方代表签字：</w:t>
            </w:r>
          </w:p>
          <w:p>
            <w:pPr>
              <w:spacing w:line="480" w:lineRule="exact"/>
              <w:rPr>
                <w:rFonts w:hint="eastAsia" w:hAnsi="宋体" w:cs="宋体"/>
                <w:color w:val="auto"/>
                <w:highlight w:val="none"/>
              </w:rPr>
            </w:pPr>
            <w:r>
              <w:rPr>
                <w:rFonts w:hint="eastAsia" w:hAnsi="宋体" w:cs="宋体"/>
                <w:color w:val="auto"/>
                <w:highlight w:val="none"/>
              </w:rPr>
              <w:t xml:space="preserve">鉴证方盖章： </w:t>
            </w:r>
          </w:p>
          <w:p>
            <w:pPr>
              <w:spacing w:line="480" w:lineRule="exact"/>
              <w:ind w:firstLine="1680" w:firstLineChars="700"/>
              <w:rPr>
                <w:rFonts w:hAnsi="宋体" w:cs="宋体"/>
                <w:color w:val="auto"/>
                <w:highlight w:val="none"/>
              </w:rPr>
            </w:pPr>
            <w:r>
              <w:rPr>
                <w:rFonts w:hint="eastAsia" w:hAnsi="宋体" w:cs="宋体"/>
                <w:color w:val="auto"/>
                <w:highlight w:val="none"/>
              </w:rPr>
              <w:t xml:space="preserve"> 年  月  日</w:t>
            </w:r>
          </w:p>
          <w:p>
            <w:pPr>
              <w:spacing w:line="480" w:lineRule="exact"/>
              <w:rPr>
                <w:rFonts w:hint="eastAsia" w:hAnsi="宋体" w:cs="宋体"/>
                <w:color w:val="auto"/>
                <w:highlight w:val="none"/>
              </w:rPr>
            </w:pPr>
            <w:r>
              <w:rPr>
                <w:rFonts w:hint="eastAsia" w:hAnsi="宋体" w:cs="宋体"/>
                <w:color w:val="auto"/>
                <w:highlight w:val="none"/>
              </w:rPr>
              <w:t xml:space="preserve"> </w:t>
            </w:r>
          </w:p>
        </w:tc>
        <w:tc>
          <w:tcPr>
            <w:tcW w:w="4615" w:type="dxa"/>
            <w:tcMar>
              <w:top w:w="113" w:type="dxa"/>
              <w:left w:w="113" w:type="dxa"/>
              <w:bottom w:w="113" w:type="dxa"/>
              <w:right w:w="113" w:type="dxa"/>
            </w:tcMar>
          </w:tcPr>
          <w:p>
            <w:pPr>
              <w:spacing w:line="480" w:lineRule="exact"/>
              <w:ind w:firstLine="480" w:firstLineChars="200"/>
              <w:rPr>
                <w:rFonts w:hint="eastAsia" w:hAnsi="宋体" w:cs="宋体"/>
                <w:color w:val="auto"/>
                <w:highlight w:val="none"/>
              </w:rPr>
            </w:pPr>
          </w:p>
        </w:tc>
      </w:tr>
    </w:tbl>
    <w:p>
      <w:pPr>
        <w:spacing w:line="360" w:lineRule="auto"/>
        <w:ind w:firstLine="480" w:firstLineChars="200"/>
        <w:rPr>
          <w:rFonts w:hAnsi="宋体" w:cs="宋体"/>
          <w:color w:val="auto"/>
          <w:highlight w:val="none"/>
        </w:rPr>
      </w:pPr>
    </w:p>
    <w:p>
      <w:pPr>
        <w:spacing w:line="480" w:lineRule="exact"/>
        <w:ind w:firstLine="480" w:firstLineChars="200"/>
        <w:rPr>
          <w:rFonts w:hAnsi="宋体" w:cs="宋体"/>
          <w:color w:val="auto"/>
          <w:highlight w:val="none"/>
        </w:rPr>
      </w:pPr>
      <w:r>
        <w:rPr>
          <w:rFonts w:hint="eastAsia" w:hAnsi="宋体" w:cs="宋体"/>
          <w:color w:val="auto"/>
          <w:highlight w:val="none"/>
        </w:rPr>
        <w:t xml:space="preserve">   </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                                </w:t>
      </w:r>
    </w:p>
    <w:p>
      <w:pPr>
        <w:spacing w:line="480" w:lineRule="exact"/>
        <w:ind w:firstLine="480" w:firstLineChars="200"/>
        <w:rPr>
          <w:rFonts w:hAnsi="宋体" w:cs="宋体"/>
          <w:color w:val="auto"/>
          <w:highlight w:val="none"/>
        </w:rPr>
      </w:pPr>
      <w:r>
        <w:rPr>
          <w:rFonts w:hint="eastAsia" w:hAnsi="宋体" w:cs="宋体"/>
          <w:color w:val="auto"/>
          <w:highlight w:val="none"/>
        </w:rPr>
        <w:t xml:space="preserve">                     </w:t>
      </w:r>
    </w:p>
    <w:p>
      <w:pPr>
        <w:rPr>
          <w:rFonts w:hAnsi="宋体" w:cs="宋体"/>
          <w:color w:val="auto"/>
          <w:highlight w:val="none"/>
        </w:rPr>
      </w:pPr>
    </w:p>
    <w:p>
      <w:pPr>
        <w:pStyle w:val="61"/>
        <w:rPr>
          <w:rFonts w:ascii="宋体" w:hAnsi="宋体" w:cs="宋体"/>
          <w:color w:val="auto"/>
          <w:highlight w:val="none"/>
        </w:rPr>
      </w:pP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二、合同条款</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1、定义</w:t>
      </w:r>
    </w:p>
    <w:p>
      <w:pPr>
        <w:keepNext w:val="0"/>
        <w:keepLines w:val="0"/>
        <w:pageBreakBefore w:val="0"/>
        <w:widowControl w:val="0"/>
        <w:kinsoku/>
        <w:wordWrap/>
        <w:overflowPunct/>
        <w:topLinePunct w:val="0"/>
        <w:autoSpaceDE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本合同下列术语应解释为：</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1-1、“合同”系指买卖双方及鉴证方签署的、合同格式中载明的买卖双方所达成的协议，包括所有的附件、附录和招、投标文件所提到的构成合同的所有文件。</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1-2、“合同价”系指根据本合同规定卖方在正确地完全履行合同义务后买方应支付给卖方的价款。</w:t>
      </w:r>
    </w:p>
    <w:p>
      <w:pPr>
        <w:keepNext w:val="0"/>
        <w:keepLines w:val="0"/>
        <w:pageBreakBefore w:val="0"/>
        <w:widowControl w:val="0"/>
        <w:kinsoku/>
        <w:wordWrap/>
        <w:overflowPunct/>
        <w:topLinePunct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1-3、“货物”系指卖方根据本合同规定须向买方提供的一切产品、部件或其它材料。</w:t>
      </w:r>
    </w:p>
    <w:p>
      <w:pPr>
        <w:keepNext w:val="0"/>
        <w:keepLines w:val="0"/>
        <w:pageBreakBefore w:val="0"/>
        <w:widowControl w:val="0"/>
        <w:kinsoku/>
        <w:wordWrap/>
        <w:overflowPunct/>
        <w:topLinePunct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1-4、“配套服务”系指根据本合同规定卖方承担与供货有关的辅助服务如运输、保险以及其它的伴随服务，例如调试、提供技术援助、培训和合同中规定卖方应承担的其它义务。</w:t>
      </w:r>
    </w:p>
    <w:p>
      <w:pPr>
        <w:keepNext w:val="0"/>
        <w:keepLines w:val="0"/>
        <w:pageBreakBefore w:val="0"/>
        <w:widowControl w:val="0"/>
        <w:kinsoku/>
        <w:wordWrap/>
        <w:overflowPunct/>
        <w:topLinePunct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1-5、“配套施工”系指根据本合同规定卖方承担与供货有关的辅助施工，例如布线、装饰装修、修缮和合同中规定卖方应承担的其它义务。</w:t>
      </w:r>
    </w:p>
    <w:p>
      <w:pPr>
        <w:keepNext w:val="0"/>
        <w:keepLines w:val="0"/>
        <w:pageBreakBefore w:val="0"/>
        <w:widowControl w:val="0"/>
        <w:kinsoku/>
        <w:wordWrap/>
        <w:overflowPunct/>
        <w:topLinePunct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1-6、“项目现场”系指本合同项下货物安装、运行的场地。</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1-7、“合同条款”系指本合同条款。</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1-8、“买方”是指购买货物及配套服务的单位即西安铁路职业技术学院。</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1-9、“卖方”是指提供本合同内的货物及配套服务的公司或其它实体即</w:t>
      </w:r>
      <w:r>
        <w:rPr>
          <w:rFonts w:hint="eastAsia" w:hAnsi="宋体" w:cs="宋体"/>
          <w:b/>
          <w:bCs/>
          <w:color w:val="auto"/>
          <w:highlight w:val="none"/>
          <w:u w:val="single"/>
        </w:rPr>
        <w:t xml:space="preserve">          </w:t>
      </w:r>
      <w:r>
        <w:rPr>
          <w:rFonts w:hint="eastAsia" w:hAnsi="宋体" w:cs="宋体"/>
          <w:color w:val="auto"/>
          <w:highlight w:val="none"/>
        </w:rPr>
        <w:t>。</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1-10、“天”指日历天数。</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2、使用合同文件和资料</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-1、没有买方事先书面同意，卖方不得将买方或代表买方提供的有关合同或任何合同条文、规格、计划、图纸、模型、资料提供给与履行本合同无关的任何其他人，即使向与履行本合同有关的人员提供，也应注意保密并限于履行合同必须的范围。</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2-2、没有买方事先书面同意，除了履行本合同之外，卖方不应使用合同条款第2-1条所列举的任何文件和资料。</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2-3、除了合同本身以外，合同条款第2-1条所列举的任何文件是买方的财产。如果买方有要求，卖方在完成合同后应将这些文件及全部复制件还给买方。</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3、专利权</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卖方应保证，买方在使用该货物或货物的任何一部分，免受第三方提出的侵犯（其专利权）、商标权、著作权或其它知识产权的起诉。</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4、技术规格</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本合同下交付的产品必须等同或优于本项目招标文件《技术规格与要求》所述的标准。若卖方在其投标文件中承诺的技术标准优于本项目招标文件《技术规格与要求》所述标准的，按投标文件的承诺执行。</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5、检验和测试</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5-1、买方或其代表应有权检验和测试货物及其部件，以确认所供货物是否符合合同规格的要求，并且不承担额外的费用。买方要求进行的检验和测试，以及在何处进行这些检验和测试，以书面形式通知卖方。</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5-2、检验和测试在买方指定的交货地点进行。</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5-3、如果任何被检验或测试的货物或部件不能满足招标文件及合同的要求，买方可以拒绝接受该货物或部件，卖方应更换被拒绝的货物或部件，或者免费进行必要的修改以满足规格的要求。</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-4、在交货前，卖方应让制造商对货物及其部件的质量、规格、性能、数量和重量等进行详细而全面的检验，并出具一份证明符合合同规定的检验证书，检验证书是验收文件的一个组成部分，但不能作为有关质量、规格、性能、数量和重量的最终检验，制造商检验的结果和细节应附在质量检验证书后面。</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5-5、如果在货物使用寿命期内，根据检验结果，发现货物的质量或规格与合同要求不符，或被证实有缺陷，包含潜在的缺陷或使用不合适的材料，买方应向卖方提出索赔。</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6、包装及运输</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6-1、卖方负责货物到达交货地点前的所有包装、运输、装卸及保险事项，相关费用应包括在合同总价中。</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6-2、卖方应提供货物运至合同规定的最终目的地所需要的包装，以防止货物在运转中损坏。这类包装应采取防漏、防晒、防腐蚀、防震动及防止其它损坏的必要保护措施。卖方应承担由于其包装或其防护措施不妥而引起货物锈蚀、损坏和丢失的任何损失责任和费用。</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6-3、货物的运输方式由卖方自行选择，但包装必须满足货物运输和装卸的要求，保证买方收到的是无任何损伤的货物。否则，因此造成的损失由卖方自行承担。 </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7、伴随服务</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7-1、卖方必须在合同生效后三十 (30)天内向买方提交所供货物的技术文件（中文技术文件），例如：货物说明、图纸、操作手册、使用说明、维护手册和／或服务指南等。</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7-2、卖方应向买方提供下列所有服务，包括本项目招标文件“商务条款”与“技术规格与要求”中规定的附加服务（如果有的话）：</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（1）实施或监督所供货物的现场组装和试运行；</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（2）提供货物组装和维修所需的工具；</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（3）为所供货物的每一适当的单台货物提供详细的操作和维护手册；</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（4）在双方商定的一定期限内对所供货物实施运行进行监督、维护、修理，但前提条件是该服务并不能免除卖方在合同保证期内所承担的义务；  </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（5）卖方或制造厂在项目现场就所供货物的组装、试运行、运行、维护和修理、软硬件升级对买方人员进行培训。</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7-3、卖方应提供本项目招标文件“商务条款”和“技术规格与要求”中规定的所有服务。为履行要求的伴随服务的报价或双方商定的费用应包括在合同价中。</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7-4、如果卖方或制造厂提供的伴随服务的费用未含在货物的合同价中，双方应事先就其达成协议，但其费用单价不应超过卖方向其他人提供类似服务所收取的现行市场价。</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8、备品备件</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8-1、卖方可能被要求提供下列与备品备件有关的材料、通知和资料：</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（1）买方从卖方选购备品备件，但前提条件是该选择并不能免除卖方在合同保证期内所承担的义务；</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（2）在备品备件停止生产的情况下，卖方应事先将要停止生产的计划通知买方使买方有足够的时间采购所需的备品备件；</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（3）在备品备件停止生产后，如果买方要求，卖方应免费向买方提供备品备件的蓝图、图纸和规格。</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8-2、卖方应按照本项目招标文件“商务条款”和“技术规格与要求”中的规定提供所需的备品备件。</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9、质量保证</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9-1、质量保证期为终验合格之日起</w:t>
      </w:r>
      <w:r>
        <w:rPr>
          <w:rFonts w:hint="eastAsia" w:hAnsi="宋体" w:cs="宋体"/>
          <w:color w:val="auto"/>
          <w:highlight w:val="none"/>
          <w:u w:val="single"/>
        </w:rPr>
        <w:t xml:space="preserve">     </w:t>
      </w:r>
      <w:r>
        <w:rPr>
          <w:rFonts w:hint="eastAsia" w:hAnsi="宋体" w:cs="宋体"/>
          <w:color w:val="auto"/>
          <w:highlight w:val="none"/>
        </w:rPr>
        <w:t>个月。</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9-2、卖方应保证合同项下所供货物是合同规定厂家制造的、全新的、未使用过的，并完全符合合同规定的质量、规格和性能要求的合格货物。卖方应保证其货物在正确安装、正常使用和保养条件下，在其使用寿命期内应具有满意的性能。在货物的质量保证期内，卖方对由于设计、工艺或材料等的缺陷而产生的故障负责。</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9-3、根据检验结果或者在质量保证期内，如果货物的数量、质量或规格与合同不符，或证实货物是有缺陷的，包括潜在的缺陷，买方应尽快以书面形式向卖方提出所发现的缺陷。</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9-4、卖方收到通知后应在招标文件规定的时间内以合理的速度免费维修或更换有缺陷的货物或部件。</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9-5、如果卖方收到通知后在招标文件规定的时间内没有及时修补缺陷，买方可提出索赔，并可采取必要的补救措施，但其风险和费用将由卖方承担，买方根据合同规定对卖方行使的其他权力不受影响。</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10、索赔</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10-1、如果卖方对偏差负有责任，而买方在安装、调试、验收和质量保证期内提出了索赔，卖方应按照买方同意的下列一种或几种方式结合起来解决索赔事宜：</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1）卖方同意退货并用合同规定的货币将货款退还给买方，并承担由此发生的一切损失和费用，包括利息、银行手续费、运费、保险费、检验费、仓储费、装卸费以及为看管和保护退回货物所需的其它必要费用。</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（2）根据货物的偏差情况、损坏程度、以及买方所遭受损失的金额，经买卖双方商定降低货物的价格。</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3）用符合合同规定的规格、质量和性能要求的新零件、部件和/或货物来更换有缺陷的部分和/或修补缺陷部分，卖方应承担一切费用和风险并负担买方蒙受的全部直接损失费用。同时，卖方应按合同条款第9-1条规定，相应延长所更换货物的质量保证期。</w:t>
      </w:r>
    </w:p>
    <w:p>
      <w:pPr>
        <w:keepNext w:val="0"/>
        <w:keepLines w:val="0"/>
        <w:pageBreakBefore w:val="0"/>
        <w:widowControl w:val="0"/>
        <w:kinsoku/>
        <w:wordWrap/>
        <w:overflowPunct/>
        <w:topLinePunct w:val="0"/>
        <w:autoSpaceDE w:val="0"/>
        <w:autoSpaceDN w:val="0"/>
        <w:bidi w:val="0"/>
        <w:spacing w:line="560" w:lineRule="exact"/>
        <w:textAlignment w:val="auto"/>
        <w:rPr>
          <w:rFonts w:hAnsi="宋体" w:cs="宋体"/>
          <w:color w:val="auto"/>
          <w:highlight w:val="none"/>
        </w:rPr>
      </w:pPr>
      <w:r>
        <w:rPr>
          <w:rFonts w:hint="eastAsia" w:hAnsi="宋体" w:cs="宋体"/>
          <w:color w:val="auto"/>
          <w:highlight w:val="none"/>
        </w:rPr>
        <w:t xml:space="preserve">    10-2、如果在买方发出索赔通知后三十（30）天内，卖方未作答复，上述索赔应视为已被卖方接受。如卖方未能在买方发出索赔通知后三十（30）天内或买方同意的延长期限内，按照买方同意的上述规定的任何一种方法解决索赔事宜，买方将从未付货款或从卖方交纳的履约保证金中扣回索赔金额。若索赔金额超过未付货款或履约保证金的，卖方必须用已收货款进行弥补。</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11、变更指令</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11-1、买方可以在任何时候书面向卖方发出指令，在本合同的一般范围内变更下述一项或几项：</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spacing w:val="-4"/>
          <w:highlight w:val="none"/>
        </w:rPr>
      </w:pPr>
      <w:r>
        <w:rPr>
          <w:rFonts w:hint="eastAsia" w:hAnsi="宋体" w:cs="宋体"/>
          <w:color w:val="auto"/>
          <w:highlight w:val="none"/>
        </w:rPr>
        <w:t>（1）</w:t>
      </w:r>
      <w:r>
        <w:rPr>
          <w:rFonts w:hint="eastAsia" w:hAnsi="宋体" w:cs="宋体"/>
          <w:color w:val="auto"/>
          <w:spacing w:val="-4"/>
          <w:highlight w:val="none"/>
        </w:rPr>
        <w:t>本合同项下提供的货物是专为买方制造时，变更图纸、设计或规格；</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（2）运输或包装的方法；</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（3）交货地点；</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（4）卖方提供的服务。</w:t>
      </w:r>
    </w:p>
    <w:p>
      <w:pPr>
        <w:keepNext w:val="0"/>
        <w:keepLines w:val="0"/>
        <w:pageBreakBefore w:val="0"/>
        <w:widowControl w:val="0"/>
        <w:kinsoku/>
        <w:wordWrap/>
        <w:overflowPunct/>
        <w:topLinePunct w:val="0"/>
        <w:autoSpaceDN w:val="0"/>
        <w:bidi w:val="0"/>
        <w:adjustRightInd w:val="0"/>
        <w:spacing w:line="560" w:lineRule="exact"/>
        <w:ind w:firstLine="464" w:firstLineChars="200"/>
        <w:textAlignment w:val="auto"/>
        <w:rPr>
          <w:rFonts w:hAnsi="宋体" w:cs="宋体"/>
          <w:color w:val="auto"/>
          <w:spacing w:val="-4"/>
          <w:highlight w:val="none"/>
        </w:rPr>
      </w:pPr>
      <w:r>
        <w:rPr>
          <w:rFonts w:hint="eastAsia" w:hAnsi="宋体" w:cs="宋体"/>
          <w:color w:val="auto"/>
          <w:spacing w:val="-4"/>
          <w:highlight w:val="none"/>
        </w:rPr>
        <w:t>11-2、</w:t>
      </w:r>
      <w:r>
        <w:rPr>
          <w:rFonts w:hint="eastAsia" w:hAnsi="宋体" w:cs="宋体"/>
          <w:color w:val="auto"/>
          <w:highlight w:val="none"/>
        </w:rPr>
        <w:t>如果上述变更使卖方履行合同义务的费用或时间增加或减少，将对合同价或交货时间或两者进行公平的调整，同时相应修改合同。卖方根据本条进行调整的要求必须在收到买方的变更指令后七（7）天内提出。</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12、合同修改</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除了合同条款第11条的情况，不应对合同条款进行任何变更或修改，除非双方同意并签订书面的合同修改书。</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13、转让</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未经买方事先书面同意，卖方不得部分转让或全部转让其应履行的合同义务。</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14、卖方履约延误</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14-1、卖方应按照本项目招标文件“商务条款”中规定的交货时间交货和提供服务。</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14-2、在履行合同过程中，如果卖方遇到妨碍按时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pPr>
        <w:keepNext w:val="0"/>
        <w:keepLines w:val="0"/>
        <w:pageBreakBefore w:val="0"/>
        <w:widowControl w:val="0"/>
        <w:kinsoku/>
        <w:wordWrap/>
        <w:overflowPunct/>
        <w:topLinePunct w:val="0"/>
        <w:autoSpaceDN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14-3、除合同条款第19条规定的情况外,除非拖延是根据合同条款第14-2条的规定取得同意而不收取误期赔偿费之外，卖方延误交货，将按合同条款第16条的规定被收取误期赔偿费。</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15、验收</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15-1、项目验收分初验和终验:</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初验：货物到达交货地点后，由使用单位（买方）根据合同对货物的名称、品牌、规格、型号、产地、数量进行检查。</w:t>
      </w:r>
    </w:p>
    <w:p>
      <w:pPr>
        <w:keepNext w:val="0"/>
        <w:keepLines w:val="0"/>
        <w:pageBreakBefore w:val="0"/>
        <w:widowControl w:val="0"/>
        <w:kinsoku/>
        <w:wordWrap/>
        <w:overflowPunct/>
        <w:topLinePunct w:val="0"/>
        <w:bidi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终验：所有货物安装完毕，正常使用10个日历日后，由采购人（买方）、使用单位进行验收，合格后签发《验收合格单》。</w:t>
      </w:r>
      <w:r>
        <w:rPr>
          <w:rFonts w:hint="eastAsia" w:hAnsi="宋体" w:cs="宋体"/>
          <w:color w:val="auto"/>
          <w:highlight w:val="none"/>
        </w:rPr>
        <w:cr/>
      </w:r>
      <w:r>
        <w:rPr>
          <w:rFonts w:hint="eastAsia" w:hAnsi="宋体" w:cs="宋体"/>
          <w:color w:val="auto"/>
          <w:highlight w:val="none"/>
        </w:rPr>
        <w:t xml:space="preserve">    15-2、验收不合格的成交供应商，必须在接到通知后7个日历日内确保货物通过验收。如接到通知后7个日历日内验收仍不合格，采购人（买方）可提出索赔或取消其供货合同。采购代理机构将把成交资格授予评审排序下一名的成交供应商，或终止合同。</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15-3、验收依据</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 xml:space="preserve">（1）合同文本及合同补充文件（条款）。 </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（2）产品的合法来源渠道证明文件。</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（3）买方招标文件。</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（4）成交供应商的投标文件。</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（5）合同货物清单。</w:t>
      </w:r>
    </w:p>
    <w:p>
      <w:pPr>
        <w:keepNext w:val="0"/>
        <w:keepLines w:val="0"/>
        <w:pageBreakBefore w:val="0"/>
        <w:widowControl w:val="0"/>
        <w:kinsoku/>
        <w:wordWrap/>
        <w:overflowPunct/>
        <w:topLinePunct w:val="0"/>
        <w:bidi w:val="0"/>
        <w:adjustRightInd w:val="0"/>
        <w:snapToGrid w:val="0"/>
        <w:spacing w:line="560" w:lineRule="exact"/>
        <w:ind w:firstLine="470" w:firstLineChars="196"/>
        <w:textAlignment w:val="auto"/>
        <w:rPr>
          <w:rFonts w:hAnsi="宋体" w:cs="宋体"/>
          <w:color w:val="auto"/>
          <w:highlight w:val="none"/>
        </w:rPr>
      </w:pPr>
      <w:r>
        <w:rPr>
          <w:rFonts w:hint="eastAsia" w:hAnsi="宋体" w:cs="宋体"/>
          <w:color w:val="auto"/>
          <w:highlight w:val="none"/>
        </w:rPr>
        <w:t>（6）生产厂家的企业资质、货物的执行标准。</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16、误期赔偿费</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除合同条款第19条规定的情况外，如果卖方没有按照合同规定的时间交货和提供服务，买方应在不影响合同项下的其他补救措施的情况下，从合同价中扣除误期赔偿费。每延误一周的赔偿费按合同价的0.5％计收，直至交货或提供服务为止。误期赔偿费的最高限额为合同价格的百分之五（5%）。一旦达到误期赔偿费的最高限额，买方可考虑根据合同条款18条的规定终止合同。</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17、违约终止合同</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17-1、在买方对卖方违约而采取的任何补救措施不受影响的情况下，买方可向卖方发出书面违约通知书，提出终止部分或全部合同：</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（1）如果卖方未能在合同规定的期限内或买方根据合同条款第14-2条的规定同意延长的期限内提供部分或全部货物；或误期赔偿费达到最高限额。</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（2）如果卖方未能履行合同规定的其它任何义务，则应承担合同约定价20%的违约金。</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（3）如果买方认为卖方在本合同的竞争和实施过程中有腐败和欺诈行为。为此目的，定义下述条件：</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“腐败行为”是指提供、给予、接受或索取任何有价值的物品来影响买方在采购过程或合同实施过程中的行为。</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“欺诈行为”是指为了影响采购过程或合同实施过程而谎报或隐瞒事实，损害买方利益的行为。</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17-2、如果买方根据上述第17-1条的规定，终止了全部或部分合同，买方可以依其认为适当的条件和方法购买与未交货物类似的货物或服务，卖方应承担买方因购买类似货物或服务而产生的额外支出。但是，卖方应继续执行合同中未终止的部分。</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18、不可抗力</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18-1、签约买卖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战争、严重火灾、洪水、台风、地震等。</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18-2、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18-3、因合同一方迟延履行合同后发生不可抗力的，不能免除迟延履行方的相应责任。</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19、因破产而终止合同</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如果卖方破产或无清偿能力，买方可在任何时候以书面形式通知卖方，提出终止合同而不给卖方补偿。该合同的终止将不损害或影响买方已经采取或将要采取的任何行动或补救措施的权力。</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20、因买方的便利而终止合同</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20-1、买方可在任何时候出于自身的便利向卖方发出书面通知全部或部分终止合同，终止通知应明确该终止合同是出于买方的便利，并明确合同终止的程度，以及终止的生效日期。</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20-2、对卖方收到终止通知后十（10）天内已完成并准备装运的货物，买方应按原合同价格和条款予以接收，对于剩下的货物，买方可：</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（1）仅对部分货物按照原来的合同价格和条款予以接受；</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（2）取消对所剩货物的采购，并按双方商定的金额向卖方支付部分完成的货物和服务以及卖方以前已采购的材料和部件的费用。</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21、争议的解决</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因执行本合同所发生的或与本合同有关的一切争议,双方应通过友好协商解决。如果协商开始后三十（30）天还不能解决，双方可依以下一种方式解决：</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21-1、双方达成仲裁协议，向约定的仲裁委员会申请仲裁。</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21-2、向买方有管辖权的人民法院起诉。</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22、适用法律</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本合同应按照中华人民共和国的现行法律进行解释。</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23、通知</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23-1、本合同一方给对方的通知应用书面形式送到合同专用条款中规定的对方的地址。传真要经书面确认。</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23-2、通知以送到日期或通知书的生效日期为生效日期，两者中以晚的一个日期为准。</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24、税款</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24-1、按照中华人民共和国税法和有关部门的规定，买方需交纳的与本合同有关的一切税费均应由买方负担。</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24-2、按照中华人民共和国税法和有关部门的规定，卖方需交纳的与本合同有关的一切税费均应由卖方负担。</w:t>
      </w:r>
    </w:p>
    <w:p>
      <w:pPr>
        <w:keepNext w:val="0"/>
        <w:keepLines w:val="0"/>
        <w:pageBreakBefore w:val="0"/>
        <w:widowControl w:val="0"/>
        <w:kinsoku/>
        <w:wordWrap/>
        <w:overflowPunct/>
        <w:topLinePunct w:val="0"/>
        <w:autoSpaceDN w:val="0"/>
        <w:bidi w:val="0"/>
        <w:adjustRightInd w:val="0"/>
        <w:spacing w:line="560" w:lineRule="exact"/>
        <w:ind w:firstLine="480" w:firstLineChars="200"/>
        <w:textAlignment w:val="auto"/>
        <w:rPr>
          <w:rFonts w:hAnsi="宋体" w:cs="宋体"/>
          <w:color w:val="auto"/>
          <w:highlight w:val="none"/>
        </w:rPr>
      </w:pPr>
      <w:r>
        <w:rPr>
          <w:rFonts w:hint="eastAsia" w:hAnsi="宋体" w:cs="宋体"/>
          <w:color w:val="auto"/>
          <w:highlight w:val="none"/>
        </w:rPr>
        <w:t>25、合同生效</w:t>
      </w:r>
    </w:p>
    <w:p>
      <w:pPr>
        <w:keepNext w:val="0"/>
        <w:keepLines w:val="0"/>
        <w:pageBreakBefore w:val="0"/>
        <w:widowControl w:val="0"/>
        <w:kinsoku/>
        <w:wordWrap/>
        <w:overflowPunct/>
        <w:topLinePunct w:val="0"/>
        <w:bidi w:val="0"/>
        <w:spacing w:line="560" w:lineRule="exact"/>
        <w:ind w:firstLine="424" w:firstLineChars="177"/>
        <w:textAlignment w:val="auto"/>
        <w:rPr>
          <w:rFonts w:hAnsi="宋体" w:cs="宋体"/>
          <w:color w:val="auto"/>
          <w:highlight w:val="none"/>
        </w:rPr>
      </w:pPr>
      <w:r>
        <w:rPr>
          <w:rFonts w:hint="eastAsia" w:hAnsi="宋体" w:cs="宋体"/>
          <w:color w:val="auto"/>
          <w:highlight w:val="none"/>
        </w:rPr>
        <w:t>本合同由买卖双方及鉴证方共同签字盖章，自最后一方签字盖章之日起生效。</w:t>
      </w:r>
    </w:p>
    <w:p>
      <w:pPr>
        <w:pStyle w:val="61"/>
        <w:keepNext w:val="0"/>
        <w:keepLines w:val="0"/>
        <w:pageBreakBefore w:val="0"/>
        <w:widowControl w:val="0"/>
        <w:kinsoku/>
        <w:wordWrap/>
        <w:overflowPunct/>
        <w:topLinePunct w:val="0"/>
        <w:bidi w:val="0"/>
        <w:spacing w:line="560" w:lineRule="exact"/>
        <w:textAlignment w:val="auto"/>
        <w:rPr>
          <w:rFonts w:ascii="宋体" w:hAnsi="宋体" w:cs="宋体"/>
          <w:color w:val="auto"/>
          <w:kern w:val="0"/>
          <w:sz w:val="24"/>
          <w:highlight w:val="none"/>
        </w:rPr>
        <w:sectPr>
          <w:headerReference r:id="rId12" w:type="default"/>
          <w:footerReference r:id="rId13" w:type="default"/>
          <w:pgSz w:w="11906" w:h="16838"/>
          <w:pgMar w:top="1418" w:right="1418" w:bottom="1418" w:left="1134" w:header="907" w:footer="1021" w:gutter="567"/>
          <w:cols w:space="720" w:num="1"/>
          <w:docGrid w:linePitch="312" w:charSpace="0"/>
        </w:sectPr>
      </w:pPr>
    </w:p>
    <w:p>
      <w:pPr>
        <w:spacing w:line="480" w:lineRule="exact"/>
        <w:rPr>
          <w:rFonts w:hAnsi="宋体" w:cs="宋体"/>
          <w:b/>
          <w:bCs/>
          <w:color w:val="auto"/>
          <w:highlight w:val="none"/>
        </w:rPr>
      </w:pPr>
      <w:r>
        <w:rPr>
          <w:rFonts w:hint="eastAsia" w:hAnsi="宋体" w:cs="宋体"/>
          <w:b/>
          <w:bCs/>
          <w:color w:val="auto"/>
          <w:highlight w:val="none"/>
        </w:rPr>
        <w:t>附件1—货物清单</w:t>
      </w:r>
    </w:p>
    <w:p>
      <w:pPr>
        <w:pStyle w:val="61"/>
        <w:rPr>
          <w:rFonts w:ascii="宋体" w:hAnsi="宋体" w:cs="宋体"/>
          <w:color w:val="auto"/>
          <w:highlight w:val="none"/>
        </w:rPr>
      </w:pPr>
    </w:p>
    <w:tbl>
      <w:tblPr>
        <w:tblStyle w:val="44"/>
        <w:tblW w:w="14965" w:type="dxa"/>
        <w:jc w:val="center"/>
        <w:tblLayout w:type="fixed"/>
        <w:tblCellMar>
          <w:top w:w="0" w:type="dxa"/>
          <w:left w:w="0" w:type="dxa"/>
          <w:bottom w:w="0" w:type="dxa"/>
          <w:right w:w="0" w:type="dxa"/>
        </w:tblCellMar>
      </w:tblPr>
      <w:tblGrid>
        <w:gridCol w:w="824"/>
        <w:gridCol w:w="1380"/>
        <w:gridCol w:w="1211"/>
        <w:gridCol w:w="1207"/>
        <w:gridCol w:w="4389"/>
        <w:gridCol w:w="1073"/>
        <w:gridCol w:w="774"/>
        <w:gridCol w:w="911"/>
        <w:gridCol w:w="1765"/>
        <w:gridCol w:w="1431"/>
      </w:tblGrid>
      <w:tr>
        <w:tblPrEx>
          <w:tblCellMar>
            <w:top w:w="0" w:type="dxa"/>
            <w:left w:w="0" w:type="dxa"/>
            <w:bottom w:w="0" w:type="dxa"/>
            <w:right w:w="0" w:type="dxa"/>
          </w:tblCellMar>
        </w:tblPrEx>
        <w:trPr>
          <w:trHeight w:val="510"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序号</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名 称</w:t>
            </w: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品牌/型号</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制造厂家</w:t>
            </w: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规格和说明</w:t>
            </w: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单位</w:t>
            </w: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数量</w:t>
            </w: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lang w:bidi="ar"/>
              </w:rPr>
            </w:pPr>
            <w:r>
              <w:rPr>
                <w:rFonts w:hint="eastAsia" w:hAnsi="宋体" w:cs="宋体"/>
                <w:b/>
                <w:color w:val="auto"/>
                <w:highlight w:val="none"/>
                <w:lang w:bidi="ar"/>
              </w:rPr>
              <w:t>单价</w:t>
            </w:r>
          </w:p>
          <w:p>
            <w:pPr>
              <w:widowControl/>
              <w:jc w:val="center"/>
              <w:textAlignment w:val="center"/>
              <w:rPr>
                <w:rFonts w:hAnsi="宋体" w:cs="宋体"/>
                <w:b/>
                <w:color w:val="auto"/>
                <w:highlight w:val="none"/>
              </w:rPr>
            </w:pPr>
            <w:r>
              <w:rPr>
                <w:rFonts w:hint="eastAsia" w:hAnsi="宋体" w:cs="宋体"/>
                <w:b/>
                <w:color w:val="auto"/>
                <w:highlight w:val="none"/>
                <w:lang w:bidi="ar"/>
              </w:rPr>
              <w:t>（人民币元）</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lang w:bidi="ar"/>
              </w:rPr>
            </w:pPr>
            <w:r>
              <w:rPr>
                <w:rFonts w:hint="eastAsia" w:hAnsi="宋体" w:cs="宋体"/>
                <w:b/>
                <w:color w:val="auto"/>
                <w:highlight w:val="none"/>
                <w:lang w:bidi="ar"/>
              </w:rPr>
              <w:t>总价</w:t>
            </w:r>
          </w:p>
          <w:p>
            <w:pPr>
              <w:widowControl/>
              <w:jc w:val="center"/>
              <w:textAlignment w:val="center"/>
              <w:rPr>
                <w:rFonts w:hAnsi="宋体" w:cs="宋体"/>
                <w:b/>
                <w:color w:val="auto"/>
                <w:highlight w:val="none"/>
              </w:rPr>
            </w:pPr>
            <w:r>
              <w:rPr>
                <w:rFonts w:hint="eastAsia" w:hAnsi="宋体" w:cs="宋体"/>
                <w:b/>
                <w:color w:val="auto"/>
                <w:highlight w:val="none"/>
                <w:lang w:bidi="ar"/>
              </w:rPr>
              <w:t>（人民币元）</w:t>
            </w: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1</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lang w:bidi="ar"/>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2</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lang w:bidi="ar"/>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3</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4</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5</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6</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7</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283" w:hRule="atLeast"/>
          <w:jc w:val="center"/>
        </w:trPr>
        <w:tc>
          <w:tcPr>
            <w:tcW w:w="8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8</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54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7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7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hAnsi="宋体" w:cs="宋体"/>
                <w:color w:val="auto"/>
                <w:highlight w:val="none"/>
              </w:rPr>
            </w:pPr>
          </w:p>
        </w:tc>
      </w:tr>
      <w:tr>
        <w:tblPrEx>
          <w:tblCellMar>
            <w:top w:w="0" w:type="dxa"/>
            <w:left w:w="0" w:type="dxa"/>
            <w:bottom w:w="0" w:type="dxa"/>
            <w:right w:w="0" w:type="dxa"/>
          </w:tblCellMar>
        </w:tblPrEx>
        <w:trPr>
          <w:trHeight w:val="632" w:hRule="atLeast"/>
          <w:jc w:val="center"/>
        </w:trPr>
        <w:tc>
          <w:tcPr>
            <w:tcW w:w="220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货物合计（人民币元）</w:t>
            </w:r>
          </w:p>
        </w:tc>
        <w:tc>
          <w:tcPr>
            <w:tcW w:w="11330"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 xml:space="preserve"> 元整</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r>
              <w:rPr>
                <w:rFonts w:hint="eastAsia" w:hAnsi="宋体" w:cs="宋体"/>
                <w:color w:val="auto"/>
                <w:highlight w:val="none"/>
                <w:lang w:bidi="ar"/>
              </w:rPr>
              <w:t>￥：</w:t>
            </w:r>
          </w:p>
        </w:tc>
      </w:tr>
      <w:tr>
        <w:tblPrEx>
          <w:tblCellMar>
            <w:top w:w="0" w:type="dxa"/>
            <w:left w:w="0" w:type="dxa"/>
            <w:bottom w:w="0" w:type="dxa"/>
            <w:right w:w="0" w:type="dxa"/>
          </w:tblCellMar>
        </w:tblPrEx>
        <w:trPr>
          <w:trHeight w:val="510" w:hRule="atLeast"/>
          <w:jc w:val="center"/>
        </w:trPr>
        <w:tc>
          <w:tcPr>
            <w:tcW w:w="220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安装调试费</w:t>
            </w:r>
          </w:p>
        </w:tc>
        <w:tc>
          <w:tcPr>
            <w:tcW w:w="68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275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r>
              <w:rPr>
                <w:rFonts w:hint="eastAsia" w:hAnsi="宋体" w:cs="宋体"/>
                <w:color w:val="auto"/>
                <w:highlight w:val="none"/>
                <w:lang w:bidi="ar"/>
              </w:rPr>
              <w:t>售后服务费</w:t>
            </w:r>
          </w:p>
        </w:tc>
        <w:tc>
          <w:tcPr>
            <w:tcW w:w="31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r>
      <w:tr>
        <w:tblPrEx>
          <w:tblCellMar>
            <w:top w:w="0" w:type="dxa"/>
            <w:left w:w="0" w:type="dxa"/>
            <w:bottom w:w="0" w:type="dxa"/>
            <w:right w:w="0" w:type="dxa"/>
          </w:tblCellMar>
        </w:tblPrEx>
        <w:trPr>
          <w:trHeight w:val="510" w:hRule="atLeast"/>
          <w:jc w:val="center"/>
        </w:trPr>
        <w:tc>
          <w:tcPr>
            <w:tcW w:w="220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运输费（含保险）</w:t>
            </w:r>
          </w:p>
        </w:tc>
        <w:tc>
          <w:tcPr>
            <w:tcW w:w="68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275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r>
              <w:rPr>
                <w:rFonts w:hint="eastAsia" w:hAnsi="宋体" w:cs="宋体"/>
                <w:color w:val="auto"/>
                <w:highlight w:val="none"/>
                <w:lang w:bidi="ar"/>
              </w:rPr>
              <w:t>技术培训费</w:t>
            </w:r>
          </w:p>
        </w:tc>
        <w:tc>
          <w:tcPr>
            <w:tcW w:w="31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r>
      <w:tr>
        <w:tblPrEx>
          <w:tblCellMar>
            <w:top w:w="0" w:type="dxa"/>
            <w:left w:w="0" w:type="dxa"/>
            <w:bottom w:w="0" w:type="dxa"/>
            <w:right w:w="0" w:type="dxa"/>
          </w:tblCellMar>
        </w:tblPrEx>
        <w:trPr>
          <w:trHeight w:val="510" w:hRule="atLeast"/>
          <w:jc w:val="center"/>
        </w:trPr>
        <w:tc>
          <w:tcPr>
            <w:tcW w:w="220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税费</w:t>
            </w:r>
          </w:p>
        </w:tc>
        <w:tc>
          <w:tcPr>
            <w:tcW w:w="680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c>
          <w:tcPr>
            <w:tcW w:w="275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r>
              <w:rPr>
                <w:rFonts w:hint="eastAsia" w:hAnsi="宋体" w:cs="宋体"/>
                <w:color w:val="auto"/>
                <w:highlight w:val="none"/>
                <w:lang w:bidi="ar"/>
              </w:rPr>
              <w:t>伴随费用等</w:t>
            </w:r>
          </w:p>
        </w:tc>
        <w:tc>
          <w:tcPr>
            <w:tcW w:w="31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p>
        </w:tc>
      </w:tr>
      <w:tr>
        <w:tblPrEx>
          <w:tblCellMar>
            <w:top w:w="0" w:type="dxa"/>
            <w:left w:w="0" w:type="dxa"/>
            <w:bottom w:w="0" w:type="dxa"/>
            <w:right w:w="0" w:type="dxa"/>
          </w:tblCellMar>
        </w:tblPrEx>
        <w:trPr>
          <w:trHeight w:val="632" w:hRule="atLeast"/>
          <w:jc w:val="center"/>
        </w:trPr>
        <w:tc>
          <w:tcPr>
            <w:tcW w:w="220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总 计（人民币元）</w:t>
            </w:r>
          </w:p>
        </w:tc>
        <w:tc>
          <w:tcPr>
            <w:tcW w:w="11330"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color w:val="auto"/>
                <w:highlight w:val="none"/>
              </w:rPr>
            </w:pPr>
            <w:r>
              <w:rPr>
                <w:rFonts w:hint="eastAsia" w:hAnsi="宋体" w:cs="宋体"/>
                <w:color w:val="auto"/>
                <w:highlight w:val="none"/>
                <w:lang w:bidi="ar"/>
              </w:rPr>
              <w:t xml:space="preserve"> 元整</w:t>
            </w:r>
          </w:p>
        </w:tc>
        <w:tc>
          <w:tcPr>
            <w:tcW w:w="14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textAlignment w:val="center"/>
              <w:rPr>
                <w:rFonts w:hAnsi="宋体" w:cs="宋体"/>
                <w:color w:val="auto"/>
                <w:highlight w:val="none"/>
              </w:rPr>
            </w:pPr>
            <w:r>
              <w:rPr>
                <w:rFonts w:hint="eastAsia" w:hAnsi="宋体" w:cs="宋体"/>
                <w:color w:val="auto"/>
                <w:highlight w:val="none"/>
                <w:lang w:bidi="ar"/>
              </w:rPr>
              <w:t xml:space="preserve">￥： </w:t>
            </w:r>
          </w:p>
        </w:tc>
      </w:tr>
      <w:tr>
        <w:tblPrEx>
          <w:tblCellMar>
            <w:top w:w="0" w:type="dxa"/>
            <w:left w:w="0" w:type="dxa"/>
            <w:bottom w:w="0" w:type="dxa"/>
            <w:right w:w="0" w:type="dxa"/>
          </w:tblCellMar>
        </w:tblPrEx>
        <w:trPr>
          <w:trHeight w:val="285" w:hRule="atLeast"/>
          <w:jc w:val="center"/>
        </w:trPr>
        <w:tc>
          <w:tcPr>
            <w:tcW w:w="14965"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Ansi="宋体" w:cs="宋体"/>
                <w:b/>
                <w:color w:val="auto"/>
                <w:highlight w:val="none"/>
              </w:rPr>
            </w:pPr>
            <w:r>
              <w:rPr>
                <w:rFonts w:hint="eastAsia" w:hAnsi="宋体" w:cs="宋体"/>
                <w:b/>
                <w:color w:val="auto"/>
                <w:highlight w:val="none"/>
                <w:lang w:bidi="ar"/>
              </w:rPr>
              <w:t>总报价含（安装调试、运输费、税费、售后服务费、技术培训费、伴随费用等）</w:t>
            </w:r>
          </w:p>
        </w:tc>
      </w:tr>
    </w:tbl>
    <w:p>
      <w:pPr>
        <w:adjustRightInd w:val="0"/>
        <w:snapToGrid w:val="0"/>
        <w:spacing w:line="480" w:lineRule="exact"/>
        <w:rPr>
          <w:rFonts w:hAnsi="宋体" w:cs="宋体"/>
          <w:b/>
          <w:bCs/>
          <w:color w:val="auto"/>
          <w:highlight w:val="none"/>
        </w:rPr>
      </w:pPr>
      <w:r>
        <w:rPr>
          <w:rFonts w:hint="eastAsia" w:hAnsi="宋体" w:cs="宋体"/>
          <w:b/>
          <w:bCs/>
          <w:color w:val="auto"/>
          <w:highlight w:val="none"/>
        </w:rPr>
        <w:t>交货期：自合同签订后</w:t>
      </w:r>
      <w:r>
        <w:rPr>
          <w:rFonts w:hint="eastAsia" w:hAnsi="宋体" w:cs="宋体"/>
          <w:b/>
          <w:bCs/>
          <w:color w:val="auto"/>
          <w:highlight w:val="none"/>
          <w:u w:val="single"/>
        </w:rPr>
        <w:t xml:space="preserve">            </w:t>
      </w:r>
      <w:r>
        <w:rPr>
          <w:rFonts w:hint="eastAsia" w:hAnsi="宋体" w:cs="宋体"/>
          <w:b/>
          <w:bCs/>
          <w:color w:val="auto"/>
          <w:highlight w:val="none"/>
        </w:rPr>
        <w:t>个日历日内</w:t>
      </w:r>
    </w:p>
    <w:p>
      <w:pPr>
        <w:adjustRightInd w:val="0"/>
        <w:snapToGrid w:val="0"/>
        <w:spacing w:line="480" w:lineRule="exact"/>
        <w:rPr>
          <w:rFonts w:hAnsi="宋体" w:cs="宋体"/>
          <w:b/>
          <w:bCs/>
          <w:color w:val="auto"/>
          <w:highlight w:val="none"/>
        </w:rPr>
      </w:pPr>
      <w:r>
        <w:rPr>
          <w:rFonts w:hint="eastAsia" w:hAnsi="宋体" w:cs="宋体"/>
          <w:b/>
          <w:bCs/>
          <w:color w:val="auto"/>
          <w:highlight w:val="none"/>
        </w:rPr>
        <w:t>注：该项目招、投标文件为本合同的附件：详细技术参数详见该项目招、投标文件。</w:t>
      </w:r>
    </w:p>
    <w:p>
      <w:pPr>
        <w:pStyle w:val="61"/>
        <w:rPr>
          <w:rFonts w:ascii="宋体" w:hAnsi="宋体" w:cs="宋体"/>
          <w:color w:val="auto"/>
          <w:highlight w:val="none"/>
        </w:rPr>
        <w:sectPr>
          <w:pgSz w:w="16838" w:h="11906" w:orient="landscape"/>
          <w:pgMar w:top="1134" w:right="1418" w:bottom="1418" w:left="1418" w:header="907" w:footer="1021" w:gutter="567"/>
          <w:cols w:space="720" w:num="1"/>
          <w:docGrid w:linePitch="312" w:charSpace="0"/>
        </w:sectPr>
      </w:pPr>
    </w:p>
    <w:p>
      <w:pPr>
        <w:spacing w:line="360" w:lineRule="auto"/>
        <w:rPr>
          <w:rFonts w:hAnsi="宋体" w:cs="宋体"/>
          <w:b/>
          <w:bCs/>
          <w:color w:val="auto"/>
          <w:highlight w:val="none"/>
        </w:rPr>
      </w:pPr>
      <w:r>
        <w:rPr>
          <w:rFonts w:hint="eastAsia" w:hAnsi="宋体" w:cs="宋体"/>
          <w:b/>
          <w:bCs/>
          <w:color w:val="auto"/>
          <w:highlight w:val="none"/>
        </w:rPr>
        <w:t xml:space="preserve">附件2—质量保证承诺 </w:t>
      </w:r>
    </w:p>
    <w:p>
      <w:pPr>
        <w:spacing w:line="360" w:lineRule="auto"/>
        <w:ind w:firstLine="480" w:firstLineChars="200"/>
        <w:rPr>
          <w:rFonts w:hAnsi="宋体" w:cs="宋体"/>
          <w:color w:val="auto"/>
          <w:highlight w:val="none"/>
        </w:rPr>
      </w:pPr>
      <w:r>
        <w:rPr>
          <w:rFonts w:hint="eastAsia" w:hAnsi="宋体" w:cs="宋体"/>
          <w:color w:val="auto"/>
          <w:highlight w:val="none"/>
        </w:rPr>
        <w:t>我公司对所提供的货物及服务做出如下承诺：</w:t>
      </w:r>
    </w:p>
    <w:p>
      <w:pPr>
        <w:spacing w:line="360" w:lineRule="auto"/>
        <w:ind w:firstLine="480" w:firstLineChars="200"/>
        <w:rPr>
          <w:rFonts w:hAnsi="宋体" w:cs="宋体"/>
          <w:color w:val="auto"/>
          <w:highlight w:val="none"/>
        </w:rPr>
      </w:pPr>
      <w:r>
        <w:rPr>
          <w:rFonts w:hint="eastAsia" w:hAnsi="宋体" w:cs="宋体"/>
          <w:color w:val="auto"/>
          <w:highlight w:val="none"/>
        </w:rPr>
        <w:t>1、保证设备包装符合防潮、防雨、防锈、防腐及防震要求，标识清晰无误，使物品安全、及时运抵现场。</w:t>
      </w:r>
    </w:p>
    <w:p>
      <w:pPr>
        <w:spacing w:line="360" w:lineRule="auto"/>
        <w:ind w:firstLine="480" w:firstLineChars="200"/>
        <w:rPr>
          <w:rFonts w:hAnsi="宋体" w:cs="宋体"/>
          <w:color w:val="auto"/>
          <w:highlight w:val="none"/>
        </w:rPr>
      </w:pPr>
      <w:r>
        <w:rPr>
          <w:rFonts w:hint="eastAsia" w:hAnsi="宋体" w:cs="宋体"/>
          <w:color w:val="auto"/>
          <w:highlight w:val="none"/>
        </w:rPr>
        <w:t>2、优质、快捷的技术服务</w:t>
      </w:r>
    </w:p>
    <w:p>
      <w:pPr>
        <w:spacing w:line="360" w:lineRule="auto"/>
        <w:ind w:firstLine="480" w:firstLineChars="200"/>
        <w:rPr>
          <w:rFonts w:hAnsi="宋体" w:cs="宋体"/>
          <w:color w:val="auto"/>
          <w:highlight w:val="none"/>
        </w:rPr>
      </w:pPr>
      <w:r>
        <w:rPr>
          <w:rFonts w:hint="eastAsia" w:hAnsi="宋体" w:cs="宋体"/>
          <w:color w:val="auto"/>
          <w:highlight w:val="none"/>
        </w:rPr>
        <w:t>为更好地保证设备的正常运行，及时解答用户提出的疑问，帮助用户解决问题，公司的售后中心，负责各地的维护和技术咨询等服务。售后中心由专职工程师负责随时为客户免费提供技术咨询服务。</w:t>
      </w:r>
    </w:p>
    <w:p>
      <w:pPr>
        <w:spacing w:line="360" w:lineRule="auto"/>
        <w:ind w:firstLine="480" w:firstLineChars="200"/>
        <w:rPr>
          <w:rFonts w:hAnsi="宋体" w:cs="宋体"/>
          <w:color w:val="auto"/>
          <w:highlight w:val="none"/>
        </w:rPr>
      </w:pPr>
      <w:r>
        <w:rPr>
          <w:rFonts w:hint="eastAsia" w:hAnsi="宋体" w:cs="宋体"/>
          <w:color w:val="auto"/>
          <w:highlight w:val="none"/>
        </w:rPr>
        <w:t>3、定期巡检</w:t>
      </w:r>
    </w:p>
    <w:p>
      <w:pPr>
        <w:spacing w:line="360" w:lineRule="auto"/>
        <w:ind w:firstLine="480" w:firstLineChars="200"/>
        <w:rPr>
          <w:rFonts w:hAnsi="宋体" w:cs="宋体"/>
          <w:color w:val="auto"/>
          <w:highlight w:val="none"/>
        </w:rPr>
      </w:pPr>
      <w:r>
        <w:rPr>
          <w:rFonts w:hint="eastAsia" w:hAnsi="宋体" w:cs="宋体"/>
          <w:color w:val="auto"/>
          <w:highlight w:val="none"/>
        </w:rPr>
        <w:t>公司组织每年对运行的设备巡检不少于两次。公司巡检工程技术人员为主，有设计人员参与。并听取用户维护人员反映的问题及建议。</w:t>
      </w:r>
    </w:p>
    <w:p>
      <w:pPr>
        <w:spacing w:line="360" w:lineRule="auto"/>
        <w:ind w:firstLine="480" w:firstLineChars="200"/>
        <w:rPr>
          <w:rFonts w:hAnsi="宋体" w:cs="宋体"/>
          <w:color w:val="auto"/>
          <w:highlight w:val="none"/>
        </w:rPr>
      </w:pPr>
      <w:r>
        <w:rPr>
          <w:rFonts w:hint="eastAsia" w:hAnsi="宋体" w:cs="宋体"/>
          <w:color w:val="auto"/>
          <w:highlight w:val="none"/>
        </w:rPr>
        <w:t>4、质保期</w:t>
      </w:r>
    </w:p>
    <w:p>
      <w:pPr>
        <w:spacing w:line="360" w:lineRule="auto"/>
        <w:ind w:firstLine="480" w:firstLineChars="200"/>
        <w:rPr>
          <w:rFonts w:hAnsi="宋体" w:cs="宋体"/>
          <w:color w:val="auto"/>
          <w:highlight w:val="none"/>
        </w:rPr>
      </w:pPr>
      <w:r>
        <w:rPr>
          <w:rFonts w:hint="eastAsia" w:hAnsi="宋体" w:cs="宋体"/>
          <w:color w:val="auto"/>
          <w:highlight w:val="none"/>
        </w:rPr>
        <w:t>质保期：合同项下所有设备保修期为终验合格后</w:t>
      </w:r>
      <w:r>
        <w:rPr>
          <w:rFonts w:hint="eastAsia" w:hAnsi="宋体" w:cs="宋体"/>
          <w:color w:val="auto"/>
          <w:highlight w:val="none"/>
          <w:u w:val="single"/>
        </w:rPr>
        <w:t xml:space="preserve">     </w:t>
      </w:r>
      <w:r>
        <w:rPr>
          <w:rFonts w:hint="eastAsia" w:hAnsi="宋体" w:cs="宋体"/>
          <w:color w:val="auto"/>
          <w:highlight w:val="none"/>
        </w:rPr>
        <w:t>个月保修期内(除天灾及人为损害外)部件、原件费用、出差费用均由供方承担。</w:t>
      </w:r>
    </w:p>
    <w:p>
      <w:pPr>
        <w:spacing w:line="360" w:lineRule="auto"/>
        <w:ind w:firstLine="480" w:firstLineChars="200"/>
        <w:rPr>
          <w:rFonts w:hAnsi="宋体" w:cs="宋体"/>
          <w:color w:val="auto"/>
          <w:highlight w:val="none"/>
        </w:rPr>
      </w:pPr>
      <w:r>
        <w:rPr>
          <w:rFonts w:hint="eastAsia" w:hAnsi="宋体" w:cs="宋体"/>
          <w:color w:val="auto"/>
          <w:highlight w:val="none"/>
        </w:rPr>
        <w:t>5、建立用户档案，完善产品质量</w:t>
      </w:r>
    </w:p>
    <w:p>
      <w:pPr>
        <w:spacing w:line="360" w:lineRule="auto"/>
        <w:ind w:firstLine="480" w:firstLineChars="200"/>
        <w:rPr>
          <w:rFonts w:hAnsi="宋体" w:cs="宋体"/>
          <w:color w:val="auto"/>
          <w:highlight w:val="none"/>
        </w:rPr>
      </w:pPr>
      <w:r>
        <w:rPr>
          <w:rFonts w:hint="eastAsia" w:hAnsi="宋体" w:cs="宋体"/>
          <w:color w:val="auto"/>
          <w:highlight w:val="none"/>
        </w:rPr>
        <w:t>公司售后中心除开展用户技术咨询服务外，还负责受理和收集用户投诉咨询信息，保证用户提出的问题和要求能得到及时处理，并对处理情况进行跟踪和验证。同时建立用户档案记录产品使用情况，为今后产品的质量改进提供依据。我们将不断努力，精益求精，为顾客提供最满意的服务。</w:t>
      </w:r>
    </w:p>
    <w:p>
      <w:pPr>
        <w:spacing w:line="360" w:lineRule="auto"/>
        <w:rPr>
          <w:rFonts w:hAnsi="宋体" w:cs="宋体"/>
          <w:b/>
          <w:bCs/>
          <w:color w:val="auto"/>
          <w:highlight w:val="none"/>
        </w:rPr>
        <w:sectPr>
          <w:pgSz w:w="11906" w:h="16838"/>
          <w:pgMar w:top="1417" w:right="1134" w:bottom="1417" w:left="1417" w:header="1134" w:footer="992" w:gutter="0"/>
          <w:pgNumType w:fmt="numberInDash"/>
          <w:cols w:space="720" w:num="1"/>
          <w:titlePg/>
          <w:docGrid w:type="lines" w:linePitch="333" w:charSpace="0"/>
        </w:sectPr>
      </w:pPr>
    </w:p>
    <w:p>
      <w:pPr>
        <w:spacing w:line="360" w:lineRule="auto"/>
        <w:rPr>
          <w:rFonts w:hAnsi="宋体" w:cs="宋体"/>
          <w:b/>
          <w:bCs/>
          <w:color w:val="auto"/>
          <w:highlight w:val="none"/>
        </w:rPr>
      </w:pPr>
      <w:r>
        <w:rPr>
          <w:rFonts w:hint="eastAsia" w:hAnsi="宋体" w:cs="宋体"/>
          <w:b/>
          <w:bCs/>
          <w:color w:val="auto"/>
          <w:highlight w:val="none"/>
        </w:rPr>
        <w:t xml:space="preserve">附件3—售后服务方案 </w:t>
      </w:r>
    </w:p>
    <w:p>
      <w:pPr>
        <w:spacing w:line="360" w:lineRule="auto"/>
        <w:rPr>
          <w:rFonts w:hAnsi="宋体" w:cs="宋体"/>
          <w:b/>
          <w:bCs/>
          <w:color w:val="auto"/>
          <w:highlight w:val="none"/>
        </w:rPr>
      </w:pPr>
      <w:bookmarkStart w:id="86" w:name="_Toc3972"/>
      <w:bookmarkStart w:id="87" w:name="_Toc5281084"/>
      <w:bookmarkStart w:id="88" w:name="_Toc5819"/>
      <w:bookmarkStart w:id="89" w:name="_Toc6840912"/>
      <w:bookmarkStart w:id="90" w:name="_Toc4751267"/>
      <w:bookmarkStart w:id="91" w:name="_Toc12169"/>
      <w:bookmarkStart w:id="92" w:name="_Toc13928"/>
      <w:bookmarkStart w:id="93" w:name="_Toc24535"/>
      <w:r>
        <w:rPr>
          <w:rFonts w:hint="eastAsia" w:hAnsi="宋体" w:cs="宋体"/>
          <w:b/>
          <w:bCs/>
          <w:color w:val="auto"/>
          <w:highlight w:val="none"/>
        </w:rPr>
        <w:t>一、产品售后服务承诺及有关说明</w:t>
      </w:r>
      <w:bookmarkEnd w:id="86"/>
      <w:bookmarkEnd w:id="87"/>
      <w:bookmarkEnd w:id="88"/>
      <w:bookmarkEnd w:id="89"/>
      <w:bookmarkEnd w:id="90"/>
      <w:bookmarkEnd w:id="91"/>
      <w:bookmarkEnd w:id="92"/>
      <w:bookmarkEnd w:id="93"/>
    </w:p>
    <w:p>
      <w:pPr>
        <w:spacing w:line="360" w:lineRule="auto"/>
        <w:ind w:firstLine="480" w:firstLineChars="200"/>
        <w:rPr>
          <w:rFonts w:hAnsi="宋体" w:cs="宋体"/>
          <w:color w:val="auto"/>
          <w:highlight w:val="none"/>
        </w:rPr>
      </w:pPr>
      <w:r>
        <w:rPr>
          <w:rFonts w:hint="eastAsia" w:hAnsi="宋体" w:cs="宋体"/>
          <w:color w:val="auto"/>
          <w:highlight w:val="none"/>
        </w:rPr>
        <w:t>1、对产品售后服务在规定质保期内属本公司制造、安装质量问题，公司负责无偿维修或退换。</w:t>
      </w:r>
    </w:p>
    <w:p>
      <w:pPr>
        <w:spacing w:line="360" w:lineRule="auto"/>
        <w:ind w:firstLine="480" w:firstLineChars="200"/>
        <w:rPr>
          <w:rFonts w:hAnsi="宋体" w:cs="宋体"/>
          <w:color w:val="auto"/>
          <w:highlight w:val="none"/>
        </w:rPr>
      </w:pPr>
      <w:r>
        <w:rPr>
          <w:rFonts w:hint="eastAsia" w:hAnsi="宋体" w:cs="宋体"/>
          <w:color w:val="auto"/>
          <w:highlight w:val="none"/>
        </w:rPr>
        <w:t>2、保修期为终验合格后</w:t>
      </w:r>
      <w:r>
        <w:rPr>
          <w:rFonts w:hint="eastAsia" w:hAnsi="宋体" w:cs="宋体"/>
          <w:color w:val="auto"/>
          <w:highlight w:val="none"/>
          <w:u w:val="single"/>
        </w:rPr>
        <w:t xml:space="preserve">       </w:t>
      </w:r>
      <w:r>
        <w:rPr>
          <w:rFonts w:hint="eastAsia" w:hAnsi="宋体" w:cs="宋体"/>
          <w:color w:val="auto"/>
          <w:highlight w:val="none"/>
        </w:rPr>
        <w:t>个月</w:t>
      </w:r>
    </w:p>
    <w:p>
      <w:pPr>
        <w:spacing w:line="360" w:lineRule="auto"/>
        <w:ind w:firstLine="480" w:firstLineChars="200"/>
        <w:rPr>
          <w:rFonts w:hAnsi="宋体" w:cs="宋体"/>
          <w:color w:val="auto"/>
          <w:highlight w:val="none"/>
        </w:rPr>
      </w:pPr>
      <w:r>
        <w:rPr>
          <w:rFonts w:hint="eastAsia" w:hAnsi="宋体" w:cs="宋体"/>
          <w:color w:val="auto"/>
          <w:highlight w:val="none"/>
        </w:rPr>
        <w:t>3、货物交付使用后，我公司将对产品进行跟踪服务。商务处专门设立了顾客档案卡和投诉电话，以更好地为顾客提供满意的服务。我公司在每季度派专业维修服务人员到用户方进行回访并协助用户进行产品检修和维修。</w:t>
      </w:r>
    </w:p>
    <w:p>
      <w:pPr>
        <w:spacing w:line="360" w:lineRule="auto"/>
        <w:ind w:firstLine="480" w:firstLineChars="200"/>
        <w:rPr>
          <w:rFonts w:hAnsi="宋体" w:cs="宋体"/>
          <w:color w:val="auto"/>
          <w:highlight w:val="none"/>
        </w:rPr>
      </w:pPr>
      <w:r>
        <w:rPr>
          <w:rFonts w:hint="eastAsia" w:hAnsi="宋体" w:cs="宋体"/>
          <w:color w:val="auto"/>
          <w:highlight w:val="none"/>
        </w:rPr>
        <w:t>4、由于顾客使用不当等原因造成的产品损坏，由公司当事销售人员与顾客签订维修合同，根据维修合同，技术维修组负责如期完成维修任务。</w:t>
      </w:r>
    </w:p>
    <w:p>
      <w:pPr>
        <w:spacing w:line="360" w:lineRule="auto"/>
        <w:ind w:firstLine="480" w:firstLineChars="200"/>
        <w:rPr>
          <w:rFonts w:hAnsi="宋体" w:cs="宋体"/>
          <w:color w:val="auto"/>
          <w:highlight w:val="none"/>
        </w:rPr>
      </w:pPr>
      <w:r>
        <w:rPr>
          <w:rFonts w:hint="eastAsia" w:hAnsi="宋体" w:cs="宋体"/>
          <w:color w:val="auto"/>
          <w:highlight w:val="none"/>
        </w:rPr>
        <w:t>5、除质保期内的售后服务外，本公司同时负责质保期后的设备维修工作，但其售后服务费用由需方承担。</w:t>
      </w:r>
    </w:p>
    <w:p>
      <w:pPr>
        <w:spacing w:line="360" w:lineRule="auto"/>
        <w:rPr>
          <w:rFonts w:hAnsi="宋体" w:cs="宋体"/>
          <w:b/>
          <w:bCs/>
          <w:color w:val="auto"/>
          <w:highlight w:val="none"/>
        </w:rPr>
      </w:pPr>
      <w:bookmarkStart w:id="94" w:name="_Toc277248385"/>
      <w:bookmarkStart w:id="95" w:name="_Toc245883665"/>
      <w:bookmarkStart w:id="96" w:name="_Toc415087029"/>
      <w:bookmarkStart w:id="97" w:name="_Toc22073"/>
      <w:bookmarkStart w:id="98" w:name="_Toc387660032"/>
      <w:bookmarkStart w:id="99" w:name="_Toc217571392"/>
      <w:bookmarkStart w:id="100" w:name="_Toc15269"/>
      <w:bookmarkStart w:id="101" w:name="_Toc6840913"/>
      <w:bookmarkStart w:id="102" w:name="_Toc22846"/>
      <w:bookmarkStart w:id="103" w:name="_Toc370999357"/>
      <w:bookmarkStart w:id="104" w:name="_Toc219621656"/>
      <w:bookmarkStart w:id="105" w:name="_Toc444423909"/>
      <w:bookmarkStart w:id="106" w:name="_Toc6940"/>
      <w:bookmarkStart w:id="107" w:name="_Toc4747813"/>
      <w:bookmarkStart w:id="108" w:name="_Toc357397591"/>
      <w:bookmarkStart w:id="109" w:name="_Toc4751268"/>
      <w:bookmarkStart w:id="110" w:name="_Toc6322"/>
      <w:bookmarkStart w:id="111" w:name="_Toc366082471"/>
      <w:r>
        <w:rPr>
          <w:rFonts w:hint="eastAsia" w:hAnsi="宋体" w:cs="宋体"/>
          <w:b/>
          <w:bCs/>
          <w:color w:val="auto"/>
          <w:highlight w:val="none"/>
        </w:rPr>
        <w:t>二、现场技术服务</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spacing w:line="360" w:lineRule="auto"/>
        <w:ind w:firstLine="480" w:firstLineChars="200"/>
        <w:rPr>
          <w:rFonts w:hAnsi="宋体" w:cs="宋体"/>
          <w:color w:val="auto"/>
          <w:highlight w:val="none"/>
        </w:rPr>
      </w:pPr>
      <w:r>
        <w:rPr>
          <w:rFonts w:hint="eastAsia" w:hAnsi="宋体" w:cs="宋体"/>
          <w:color w:val="auto"/>
          <w:highlight w:val="none"/>
        </w:rPr>
        <w:t>投标设备最终验收前，我公司向招标人提供下列现场技术服务：</w:t>
      </w:r>
    </w:p>
    <w:p>
      <w:pPr>
        <w:spacing w:line="360" w:lineRule="auto"/>
        <w:rPr>
          <w:rFonts w:hAnsi="宋体" w:cs="宋体"/>
          <w:b/>
          <w:bCs/>
          <w:color w:val="auto"/>
          <w:highlight w:val="none"/>
        </w:rPr>
      </w:pPr>
      <w:bookmarkStart w:id="112" w:name="_Toc243980082"/>
      <w:bookmarkStart w:id="113" w:name="_Toc219621657"/>
      <w:bookmarkStart w:id="114" w:name="_Toc217571393"/>
      <w:r>
        <w:rPr>
          <w:rFonts w:hint="eastAsia" w:hAnsi="宋体" w:cs="宋体"/>
          <w:b/>
          <w:bCs/>
          <w:color w:val="auto"/>
          <w:highlight w:val="none"/>
        </w:rPr>
        <w:t>安装督导</w:t>
      </w:r>
      <w:bookmarkEnd w:id="112"/>
      <w:bookmarkEnd w:id="113"/>
      <w:bookmarkEnd w:id="114"/>
    </w:p>
    <w:p>
      <w:pPr>
        <w:spacing w:line="360" w:lineRule="auto"/>
        <w:ind w:firstLine="480" w:firstLineChars="200"/>
        <w:rPr>
          <w:rFonts w:hAnsi="宋体" w:cs="宋体"/>
          <w:color w:val="auto"/>
          <w:highlight w:val="none"/>
        </w:rPr>
      </w:pPr>
      <w:bookmarkStart w:id="115" w:name="_Toc219621658"/>
      <w:r>
        <w:rPr>
          <w:rFonts w:hint="eastAsia" w:hAnsi="宋体" w:cs="宋体"/>
          <w:color w:val="auto"/>
          <w:highlight w:val="none"/>
        </w:rPr>
        <w:t>设备安装的准备工作</w:t>
      </w:r>
      <w:bookmarkEnd w:id="115"/>
    </w:p>
    <w:p>
      <w:pPr>
        <w:spacing w:line="360" w:lineRule="auto"/>
        <w:ind w:firstLine="480" w:firstLineChars="200"/>
        <w:rPr>
          <w:rFonts w:hAnsi="宋体" w:cs="宋体"/>
          <w:color w:val="auto"/>
          <w:highlight w:val="none"/>
        </w:rPr>
      </w:pPr>
      <w:r>
        <w:rPr>
          <w:rFonts w:hint="eastAsia" w:hAnsi="宋体" w:cs="宋体"/>
          <w:color w:val="auto"/>
          <w:highlight w:val="none"/>
        </w:rPr>
        <w:t>我公司负责提供相应的设备安装文件。我公司负责设备的安装督导，安装前应保证人员到位，并具备督导必须的条件。</w:t>
      </w:r>
    </w:p>
    <w:p>
      <w:pPr>
        <w:spacing w:line="360" w:lineRule="auto"/>
        <w:ind w:firstLine="480" w:firstLineChars="200"/>
        <w:rPr>
          <w:rFonts w:hAnsi="宋体" w:cs="宋体"/>
          <w:color w:val="auto"/>
          <w:highlight w:val="none"/>
        </w:rPr>
      </w:pPr>
      <w:bookmarkStart w:id="116" w:name="_Toc219621659"/>
      <w:r>
        <w:rPr>
          <w:rFonts w:hint="eastAsia" w:hAnsi="宋体" w:cs="宋体"/>
          <w:color w:val="auto"/>
          <w:highlight w:val="none"/>
        </w:rPr>
        <w:t>安装和开通期间</w:t>
      </w:r>
      <w:bookmarkEnd w:id="116"/>
    </w:p>
    <w:p>
      <w:pPr>
        <w:spacing w:line="360" w:lineRule="auto"/>
        <w:ind w:firstLine="480" w:firstLineChars="200"/>
        <w:rPr>
          <w:rFonts w:hAnsi="宋体" w:cs="宋体"/>
          <w:color w:val="auto"/>
          <w:highlight w:val="none"/>
        </w:rPr>
      </w:pPr>
      <w:r>
        <w:rPr>
          <w:rFonts w:hint="eastAsia" w:hAnsi="宋体" w:cs="宋体"/>
          <w:color w:val="auto"/>
          <w:highlight w:val="none"/>
        </w:rPr>
        <w:t>我公司会按照已获招标人确认的工程所有工作的实施方法和措施，在合同规定的竣工日期前完成工程的施工安装督导、调试和验收。</w:t>
      </w:r>
    </w:p>
    <w:p>
      <w:pPr>
        <w:spacing w:line="360" w:lineRule="auto"/>
        <w:ind w:firstLine="480" w:firstLineChars="200"/>
        <w:rPr>
          <w:rFonts w:hAnsi="宋体" w:cs="宋体"/>
          <w:color w:val="auto"/>
          <w:highlight w:val="none"/>
        </w:rPr>
      </w:pPr>
      <w:r>
        <w:rPr>
          <w:rFonts w:hint="eastAsia" w:hAnsi="宋体" w:cs="宋体"/>
          <w:color w:val="auto"/>
          <w:highlight w:val="none"/>
        </w:rPr>
        <w:t>我公司派遣足够的、具有适当资质和经验的人员到现场完成施工安装督导、调试和验收的工作。</w:t>
      </w:r>
    </w:p>
    <w:p>
      <w:pPr>
        <w:spacing w:line="360" w:lineRule="auto"/>
        <w:ind w:firstLine="480" w:firstLineChars="200"/>
        <w:rPr>
          <w:rFonts w:hAnsi="宋体" w:cs="宋体"/>
          <w:color w:val="auto"/>
          <w:highlight w:val="none"/>
        </w:rPr>
      </w:pPr>
      <w:r>
        <w:rPr>
          <w:rFonts w:hint="eastAsia" w:hAnsi="宋体" w:cs="宋体"/>
          <w:color w:val="auto"/>
          <w:highlight w:val="none"/>
        </w:rPr>
        <w:t>在安装、调试和验收期间，我公司建立每日现场记录制度，并每周向招标人递交报告，报告包含工作内容、工程进度、事故、存在的不利因素、可能的延误及补救方法的建议等内容。对紧急情况，我公司一定随时向招标人通报。</w:t>
      </w:r>
    </w:p>
    <w:p>
      <w:pPr>
        <w:spacing w:line="360" w:lineRule="auto"/>
        <w:ind w:firstLine="480" w:firstLineChars="200"/>
        <w:rPr>
          <w:rFonts w:hAnsi="宋体" w:cs="宋体"/>
          <w:color w:val="auto"/>
          <w:highlight w:val="none"/>
        </w:rPr>
      </w:pPr>
      <w:bookmarkStart w:id="117" w:name="_Toc219621660"/>
      <w:r>
        <w:rPr>
          <w:rFonts w:hint="eastAsia" w:hAnsi="宋体" w:cs="宋体"/>
          <w:color w:val="auto"/>
          <w:highlight w:val="none"/>
        </w:rPr>
        <w:t>人员</w:t>
      </w:r>
      <w:bookmarkEnd w:id="117"/>
      <w:r>
        <w:rPr>
          <w:rFonts w:hint="eastAsia" w:hAnsi="宋体" w:cs="宋体"/>
          <w:color w:val="auto"/>
          <w:highlight w:val="none"/>
        </w:rPr>
        <w:t>执行安装督导的项目经理具有项目管理经验，具有较强的沟通协调与现场工程管理能力，确保工程实施的进度与质量。</w:t>
      </w:r>
    </w:p>
    <w:p>
      <w:pPr>
        <w:spacing w:line="360" w:lineRule="auto"/>
        <w:ind w:firstLine="480" w:firstLineChars="200"/>
        <w:rPr>
          <w:rFonts w:hAnsi="宋体" w:cs="宋体"/>
          <w:color w:val="auto"/>
          <w:highlight w:val="none"/>
        </w:rPr>
      </w:pPr>
      <w:r>
        <w:rPr>
          <w:rFonts w:hint="eastAsia" w:hAnsi="宋体" w:cs="宋体"/>
          <w:color w:val="auto"/>
          <w:highlight w:val="none"/>
        </w:rPr>
        <w:t>执行安装督导技术人员是受过我公司专业培训的工程师，负责项目建设中所分派的由其执行的安装、指导和测试工作，并且和招标人一起参与开通程序，并根据进度表，达到工程要求和质量标准。</w:t>
      </w:r>
    </w:p>
    <w:p>
      <w:pPr>
        <w:spacing w:line="360" w:lineRule="auto"/>
        <w:ind w:firstLine="480" w:firstLineChars="200"/>
        <w:rPr>
          <w:rFonts w:hAnsi="宋体" w:cs="宋体"/>
          <w:color w:val="auto"/>
          <w:highlight w:val="none"/>
        </w:rPr>
      </w:pPr>
      <w:bookmarkStart w:id="118" w:name="_Toc219621661"/>
      <w:r>
        <w:rPr>
          <w:rFonts w:hint="eastAsia" w:hAnsi="宋体" w:cs="宋体"/>
          <w:color w:val="auto"/>
          <w:highlight w:val="none"/>
        </w:rPr>
        <w:t>施工安装督导工作描述</w:t>
      </w:r>
      <w:bookmarkEnd w:id="118"/>
    </w:p>
    <w:p>
      <w:pPr>
        <w:spacing w:line="360" w:lineRule="auto"/>
        <w:ind w:firstLine="480" w:firstLineChars="200"/>
        <w:rPr>
          <w:rFonts w:hAnsi="宋体" w:cs="宋体"/>
          <w:color w:val="auto"/>
          <w:highlight w:val="none"/>
        </w:rPr>
      </w:pPr>
      <w:r>
        <w:rPr>
          <w:rFonts w:hint="eastAsia" w:hAnsi="宋体" w:cs="宋体"/>
          <w:color w:val="auto"/>
          <w:highlight w:val="none"/>
        </w:rPr>
        <w:t>（1）根据进度表确保所提供系统的安装工作并保证达到质量标准，遵守相关的安装指导原则及经济原则，并对现场的安装人员进行安全指导；</w:t>
      </w:r>
    </w:p>
    <w:p>
      <w:pPr>
        <w:spacing w:line="360" w:lineRule="auto"/>
        <w:ind w:firstLine="480" w:firstLineChars="200"/>
        <w:rPr>
          <w:rFonts w:hAnsi="宋体" w:cs="宋体"/>
          <w:color w:val="auto"/>
          <w:highlight w:val="none"/>
        </w:rPr>
      </w:pPr>
      <w:r>
        <w:rPr>
          <w:rFonts w:hint="eastAsia" w:hAnsi="宋体" w:cs="宋体"/>
          <w:color w:val="auto"/>
          <w:highlight w:val="none"/>
        </w:rPr>
        <w:t>（2）根据工程进度完成测试和开通工作，达到工程和质量要求；</w:t>
      </w:r>
    </w:p>
    <w:p>
      <w:pPr>
        <w:spacing w:line="360" w:lineRule="auto"/>
        <w:ind w:firstLine="480" w:firstLineChars="200"/>
        <w:rPr>
          <w:rFonts w:hAnsi="宋体" w:cs="宋体"/>
          <w:color w:val="auto"/>
          <w:highlight w:val="none"/>
        </w:rPr>
      </w:pPr>
      <w:r>
        <w:rPr>
          <w:rFonts w:hint="eastAsia" w:hAnsi="宋体" w:cs="宋体"/>
          <w:color w:val="auto"/>
          <w:highlight w:val="none"/>
        </w:rPr>
        <w:t>（3）协调与内部的特定部门，外部的公司，业主或业主委托的公司的关系；</w:t>
      </w:r>
    </w:p>
    <w:p>
      <w:pPr>
        <w:spacing w:line="360" w:lineRule="auto"/>
        <w:ind w:firstLine="480" w:firstLineChars="200"/>
        <w:rPr>
          <w:rFonts w:hAnsi="宋体" w:cs="宋体"/>
          <w:color w:val="auto"/>
          <w:highlight w:val="none"/>
        </w:rPr>
      </w:pPr>
      <w:r>
        <w:rPr>
          <w:rFonts w:hint="eastAsia" w:hAnsi="宋体" w:cs="宋体"/>
          <w:color w:val="auto"/>
          <w:highlight w:val="none"/>
        </w:rPr>
        <w:t>（4）指出工程的障碍；</w:t>
      </w:r>
    </w:p>
    <w:p>
      <w:pPr>
        <w:spacing w:line="360" w:lineRule="auto"/>
        <w:ind w:firstLine="480" w:firstLineChars="200"/>
        <w:rPr>
          <w:rFonts w:hAnsi="宋体" w:cs="宋体"/>
          <w:color w:val="auto"/>
          <w:highlight w:val="none"/>
        </w:rPr>
      </w:pPr>
      <w:r>
        <w:rPr>
          <w:rFonts w:hint="eastAsia" w:hAnsi="宋体" w:cs="宋体"/>
          <w:color w:val="auto"/>
          <w:highlight w:val="none"/>
        </w:rPr>
        <w:t>（5）与招标人共同参与有关问题的会议/讨论，澄清；</w:t>
      </w:r>
    </w:p>
    <w:p>
      <w:pPr>
        <w:spacing w:line="360" w:lineRule="auto"/>
        <w:ind w:firstLine="480" w:firstLineChars="200"/>
        <w:rPr>
          <w:rFonts w:hAnsi="宋体" w:cs="宋体"/>
          <w:color w:val="auto"/>
          <w:highlight w:val="none"/>
        </w:rPr>
      </w:pPr>
      <w:r>
        <w:rPr>
          <w:rFonts w:hint="eastAsia" w:hAnsi="宋体" w:cs="宋体"/>
          <w:color w:val="auto"/>
          <w:highlight w:val="none"/>
        </w:rPr>
        <w:t>（6）根据时间进度表，协调安装工作；</w:t>
      </w:r>
    </w:p>
    <w:p>
      <w:pPr>
        <w:spacing w:line="360" w:lineRule="auto"/>
        <w:ind w:firstLine="480" w:firstLineChars="200"/>
        <w:rPr>
          <w:rFonts w:hAnsi="宋体" w:cs="宋体"/>
          <w:color w:val="auto"/>
          <w:highlight w:val="none"/>
        </w:rPr>
      </w:pPr>
      <w:r>
        <w:rPr>
          <w:rFonts w:hint="eastAsia" w:hAnsi="宋体" w:cs="宋体"/>
          <w:color w:val="auto"/>
          <w:highlight w:val="none"/>
        </w:rPr>
        <w:t>（7）参与技术问题的澄清；</w:t>
      </w:r>
    </w:p>
    <w:p>
      <w:pPr>
        <w:spacing w:line="360" w:lineRule="auto"/>
        <w:ind w:firstLine="480" w:firstLineChars="200"/>
        <w:rPr>
          <w:rFonts w:hAnsi="宋体" w:cs="宋体"/>
          <w:color w:val="auto"/>
          <w:highlight w:val="none"/>
        </w:rPr>
      </w:pPr>
      <w:r>
        <w:rPr>
          <w:rFonts w:hint="eastAsia" w:hAnsi="宋体" w:cs="宋体"/>
          <w:color w:val="auto"/>
          <w:highlight w:val="none"/>
        </w:rPr>
        <w:t>（8）负责相关的测试和验收工作；</w:t>
      </w:r>
    </w:p>
    <w:p>
      <w:pPr>
        <w:spacing w:line="360" w:lineRule="auto"/>
        <w:ind w:firstLine="480" w:firstLineChars="200"/>
        <w:rPr>
          <w:rFonts w:hAnsi="宋体" w:cs="宋体"/>
          <w:color w:val="auto"/>
          <w:highlight w:val="none"/>
        </w:rPr>
      </w:pPr>
      <w:r>
        <w:rPr>
          <w:rFonts w:hint="eastAsia" w:hAnsi="宋体" w:cs="宋体"/>
          <w:color w:val="auto"/>
          <w:highlight w:val="none"/>
        </w:rPr>
        <w:t>（9）工作文件的保存；</w:t>
      </w:r>
    </w:p>
    <w:p>
      <w:pPr>
        <w:spacing w:line="360" w:lineRule="auto"/>
        <w:ind w:firstLine="480" w:firstLineChars="200"/>
        <w:rPr>
          <w:rFonts w:hAnsi="宋体" w:cs="宋体"/>
          <w:color w:val="auto"/>
          <w:highlight w:val="none"/>
        </w:rPr>
      </w:pPr>
      <w:r>
        <w:rPr>
          <w:rFonts w:hint="eastAsia" w:hAnsi="宋体" w:cs="宋体"/>
          <w:color w:val="auto"/>
          <w:highlight w:val="none"/>
        </w:rPr>
        <w:t>（10）遵守法律规章和内部指导原则；</w:t>
      </w:r>
    </w:p>
    <w:p>
      <w:pPr>
        <w:spacing w:line="360" w:lineRule="auto"/>
        <w:ind w:firstLine="480" w:firstLineChars="200"/>
        <w:rPr>
          <w:rFonts w:hAnsi="宋体" w:cs="宋体"/>
          <w:color w:val="auto"/>
          <w:highlight w:val="none"/>
        </w:rPr>
      </w:pPr>
      <w:r>
        <w:rPr>
          <w:rFonts w:hint="eastAsia" w:hAnsi="宋体" w:cs="宋体"/>
          <w:color w:val="auto"/>
          <w:highlight w:val="none"/>
        </w:rPr>
        <w:t>（11）工程现场设备安装指导、安装检查；</w:t>
      </w:r>
    </w:p>
    <w:p>
      <w:pPr>
        <w:spacing w:line="360" w:lineRule="auto"/>
        <w:ind w:firstLine="480" w:firstLineChars="200"/>
        <w:rPr>
          <w:rFonts w:hAnsi="宋体" w:cs="宋体"/>
          <w:color w:val="auto"/>
          <w:highlight w:val="none"/>
        </w:rPr>
      </w:pPr>
      <w:r>
        <w:rPr>
          <w:rFonts w:hint="eastAsia" w:hAnsi="宋体" w:cs="宋体"/>
          <w:color w:val="auto"/>
          <w:highlight w:val="none"/>
        </w:rPr>
        <w:t>（12）设备单机加电调试</w:t>
      </w:r>
    </w:p>
    <w:p>
      <w:pPr>
        <w:spacing w:line="360" w:lineRule="auto"/>
        <w:ind w:firstLine="482" w:firstLineChars="200"/>
        <w:rPr>
          <w:rFonts w:hAnsi="宋体" w:cs="宋体"/>
          <w:b/>
          <w:bCs/>
          <w:color w:val="auto"/>
          <w:highlight w:val="none"/>
        </w:rPr>
      </w:pPr>
      <w:bookmarkStart w:id="119" w:name="_Toc243980083"/>
      <w:bookmarkStart w:id="120" w:name="_Toc217571394"/>
      <w:bookmarkStart w:id="121" w:name="_Toc219621663"/>
      <w:r>
        <w:rPr>
          <w:rFonts w:hint="eastAsia" w:hAnsi="宋体" w:cs="宋体"/>
          <w:b/>
          <w:bCs/>
          <w:color w:val="auto"/>
          <w:highlight w:val="none"/>
        </w:rPr>
        <w:t>系统调试</w:t>
      </w:r>
      <w:bookmarkEnd w:id="119"/>
      <w:bookmarkEnd w:id="120"/>
      <w:bookmarkEnd w:id="121"/>
    </w:p>
    <w:p>
      <w:pPr>
        <w:spacing w:line="360" w:lineRule="auto"/>
        <w:ind w:firstLine="480" w:firstLineChars="200"/>
        <w:rPr>
          <w:rFonts w:hAnsi="宋体" w:cs="宋体"/>
          <w:color w:val="auto"/>
          <w:highlight w:val="none"/>
        </w:rPr>
      </w:pPr>
      <w:r>
        <w:rPr>
          <w:rFonts w:hint="eastAsia" w:hAnsi="宋体" w:cs="宋体"/>
          <w:color w:val="auto"/>
          <w:highlight w:val="none"/>
        </w:rPr>
        <w:t>我公司向招标人提出所供系统调试开通方案、调试仪表和工具清单，经招标人进行确认后实施，配合招标人的自验收工作，并对执行系统验收测试提供技术支持。</w:t>
      </w:r>
    </w:p>
    <w:p>
      <w:pPr>
        <w:spacing w:line="360" w:lineRule="auto"/>
        <w:ind w:firstLine="480" w:firstLineChars="200"/>
        <w:rPr>
          <w:rFonts w:hAnsi="宋体" w:cs="宋体"/>
          <w:color w:val="auto"/>
          <w:highlight w:val="none"/>
        </w:rPr>
      </w:pPr>
      <w:r>
        <w:rPr>
          <w:rFonts w:hint="eastAsia" w:hAnsi="宋体" w:cs="宋体"/>
          <w:color w:val="auto"/>
          <w:highlight w:val="none"/>
        </w:rPr>
        <w:t>我公司所供系统调试开通并经招标人确认后，我公司向招标人提供所共系统调试开通文件,包括：</w:t>
      </w:r>
    </w:p>
    <w:p>
      <w:pPr>
        <w:spacing w:line="360" w:lineRule="auto"/>
        <w:ind w:firstLine="480" w:firstLineChars="200"/>
        <w:rPr>
          <w:rFonts w:hAnsi="宋体" w:cs="宋体"/>
          <w:color w:val="auto"/>
          <w:highlight w:val="none"/>
        </w:rPr>
      </w:pPr>
      <w:r>
        <w:rPr>
          <w:rFonts w:hint="eastAsia" w:hAnsi="宋体" w:cs="宋体"/>
          <w:color w:val="auto"/>
          <w:highlight w:val="none"/>
        </w:rPr>
        <w:t>（1）供货设备清单；</w:t>
      </w:r>
    </w:p>
    <w:p>
      <w:pPr>
        <w:spacing w:line="360" w:lineRule="auto"/>
        <w:ind w:firstLine="480" w:firstLineChars="200"/>
        <w:rPr>
          <w:rFonts w:hAnsi="宋体" w:cs="宋体"/>
          <w:color w:val="auto"/>
          <w:highlight w:val="none"/>
        </w:rPr>
      </w:pPr>
      <w:r>
        <w:rPr>
          <w:rFonts w:hint="eastAsia" w:hAnsi="宋体" w:cs="宋体"/>
          <w:color w:val="auto"/>
          <w:highlight w:val="none"/>
        </w:rPr>
        <w:t>（2）设备缺陷处理记录；</w:t>
      </w:r>
    </w:p>
    <w:p>
      <w:pPr>
        <w:spacing w:line="360" w:lineRule="auto"/>
        <w:ind w:firstLine="480" w:firstLineChars="200"/>
        <w:rPr>
          <w:rFonts w:hAnsi="宋体" w:cs="宋体"/>
          <w:color w:val="auto"/>
          <w:highlight w:val="none"/>
        </w:rPr>
      </w:pPr>
      <w:r>
        <w:rPr>
          <w:rFonts w:hint="eastAsia" w:hAnsi="宋体" w:cs="宋体"/>
          <w:color w:val="auto"/>
          <w:highlight w:val="none"/>
        </w:rPr>
        <w:t>（3）系统的测试记录及分析报告；</w:t>
      </w:r>
    </w:p>
    <w:p>
      <w:pPr>
        <w:spacing w:line="360" w:lineRule="auto"/>
        <w:ind w:firstLine="482" w:firstLineChars="200"/>
        <w:rPr>
          <w:rFonts w:hAnsi="宋体" w:cs="宋体"/>
          <w:b/>
          <w:bCs/>
          <w:color w:val="auto"/>
          <w:highlight w:val="none"/>
        </w:rPr>
      </w:pPr>
      <w:bookmarkStart w:id="122" w:name="_Toc219621667"/>
      <w:bookmarkStart w:id="123" w:name="_Toc217571395"/>
      <w:bookmarkStart w:id="124" w:name="_Toc243980084"/>
      <w:r>
        <w:rPr>
          <w:rFonts w:hint="eastAsia" w:hAnsi="宋体" w:cs="宋体"/>
          <w:b/>
          <w:bCs/>
          <w:color w:val="auto"/>
          <w:highlight w:val="none"/>
        </w:rPr>
        <w:t>故障处理</w:t>
      </w:r>
      <w:bookmarkEnd w:id="122"/>
      <w:bookmarkEnd w:id="123"/>
      <w:bookmarkEnd w:id="124"/>
    </w:p>
    <w:p>
      <w:pPr>
        <w:spacing w:line="360" w:lineRule="auto"/>
        <w:ind w:firstLine="480" w:firstLineChars="200"/>
        <w:rPr>
          <w:rFonts w:hAnsi="宋体" w:cs="宋体"/>
          <w:color w:val="auto"/>
          <w:highlight w:val="none"/>
        </w:rPr>
      </w:pPr>
      <w:r>
        <w:rPr>
          <w:rFonts w:hint="eastAsia" w:hAnsi="宋体" w:cs="宋体"/>
          <w:color w:val="auto"/>
          <w:highlight w:val="none"/>
        </w:rPr>
        <w:t>在设备最终验收前，我公司免费提供任何由于系统设计、设备制造、安装等缺陷引起的更换设备及所需工具。</w:t>
      </w:r>
    </w:p>
    <w:p>
      <w:pPr>
        <w:spacing w:line="360" w:lineRule="auto"/>
        <w:ind w:firstLine="480" w:firstLineChars="200"/>
        <w:rPr>
          <w:rFonts w:hAnsi="宋体" w:cs="宋体"/>
          <w:color w:val="auto"/>
          <w:highlight w:val="none"/>
        </w:rPr>
      </w:pPr>
      <w:r>
        <w:rPr>
          <w:rFonts w:hint="eastAsia" w:hAnsi="宋体" w:cs="宋体"/>
          <w:color w:val="auto"/>
          <w:highlight w:val="none"/>
        </w:rPr>
        <w:t>在设备最终验收前，我公司在招标人发出设备故障通知后到达设备安装现场并处理好故障设备，我公司在招标人发出设备故障通知后2日内向招标人提供故障设备测试报告、设备故障分析报告及设备整改方案，整改方案经招标人批准后实施。</w:t>
      </w:r>
    </w:p>
    <w:p>
      <w:pPr>
        <w:spacing w:line="360" w:lineRule="auto"/>
        <w:ind w:firstLine="482" w:firstLineChars="200"/>
        <w:rPr>
          <w:rFonts w:hAnsi="宋体" w:cs="宋体"/>
          <w:b/>
          <w:bCs/>
          <w:color w:val="auto"/>
          <w:highlight w:val="none"/>
        </w:rPr>
      </w:pPr>
      <w:bookmarkStart w:id="125" w:name="_Toc243980085"/>
      <w:bookmarkStart w:id="126" w:name="_Toc219621668"/>
      <w:bookmarkStart w:id="127" w:name="_Toc180248773"/>
      <w:bookmarkStart w:id="128" w:name="_Toc217571396"/>
      <w:r>
        <w:rPr>
          <w:rFonts w:hint="eastAsia" w:hAnsi="宋体" w:cs="宋体"/>
          <w:b/>
          <w:bCs/>
          <w:color w:val="auto"/>
          <w:highlight w:val="none"/>
        </w:rPr>
        <w:t>现场巡检服务</w:t>
      </w:r>
      <w:bookmarkEnd w:id="125"/>
      <w:bookmarkEnd w:id="126"/>
      <w:bookmarkEnd w:id="127"/>
      <w:bookmarkEnd w:id="128"/>
    </w:p>
    <w:p>
      <w:pPr>
        <w:spacing w:line="360" w:lineRule="auto"/>
        <w:ind w:firstLine="480" w:firstLineChars="200"/>
        <w:rPr>
          <w:rFonts w:hAnsi="宋体" w:cs="宋体"/>
          <w:color w:val="auto"/>
          <w:highlight w:val="none"/>
        </w:rPr>
      </w:pPr>
      <w:r>
        <w:rPr>
          <w:rFonts w:hint="eastAsia" w:hAnsi="宋体" w:cs="宋体"/>
          <w:color w:val="auto"/>
          <w:highlight w:val="none"/>
        </w:rPr>
        <w:t>我公司针对设备运行情况进行定期或不定期的巡回检查（包括电话回访与现场回访），了解招标人设备的运行情况，及时处理存在的问题，并进行有关技术指导。</w:t>
      </w:r>
    </w:p>
    <w:p>
      <w:pPr>
        <w:spacing w:line="360" w:lineRule="auto"/>
        <w:ind w:firstLine="480" w:firstLineChars="200"/>
        <w:rPr>
          <w:rFonts w:hAnsi="宋体" w:cs="宋体"/>
          <w:color w:val="auto"/>
          <w:highlight w:val="none"/>
        </w:rPr>
      </w:pPr>
      <w:r>
        <w:rPr>
          <w:rFonts w:hint="eastAsia" w:hAnsi="宋体" w:cs="宋体"/>
          <w:color w:val="auto"/>
          <w:highlight w:val="none"/>
        </w:rPr>
        <w:t>现场巡检服务包括我公司设备系统检查、一般检查、遗留问题处理等三项内容。产品在售销并在现场开通运行后的一星期内，我公司售后服务部将致电招标人，了解招标人对产品的使用情况，及时掌握招标人对我公司工程人员的工作是否满意，并记录在案。</w:t>
      </w:r>
    </w:p>
    <w:p>
      <w:pPr>
        <w:spacing w:line="360" w:lineRule="auto"/>
        <w:ind w:firstLine="480" w:firstLineChars="200"/>
        <w:rPr>
          <w:rFonts w:hAnsi="宋体" w:cs="宋体"/>
          <w:color w:val="auto"/>
          <w:highlight w:val="none"/>
        </w:rPr>
      </w:pPr>
      <w:r>
        <w:rPr>
          <w:rFonts w:hint="eastAsia" w:hAnsi="宋体" w:cs="宋体"/>
          <w:color w:val="auto"/>
          <w:highlight w:val="none"/>
        </w:rPr>
        <w:t>产品在招标人现场使用3个月后将再次进行电话回访，了解设备的使用状况，同时售后服务人员将重新说明设备的特点，及相关注意事项。</w:t>
      </w:r>
    </w:p>
    <w:p>
      <w:pPr>
        <w:spacing w:line="360" w:lineRule="auto"/>
        <w:ind w:firstLine="480" w:firstLineChars="200"/>
        <w:rPr>
          <w:rFonts w:hAnsi="宋体" w:cs="宋体"/>
          <w:color w:val="auto"/>
          <w:highlight w:val="none"/>
        </w:rPr>
      </w:pPr>
      <w:r>
        <w:rPr>
          <w:rFonts w:hint="eastAsia" w:hAnsi="宋体" w:cs="宋体"/>
          <w:color w:val="auto"/>
          <w:highlight w:val="none"/>
        </w:rPr>
        <w:t>每年定期进行招标人现场回访。彻底检查设备关键部位，及时发现设备运行隐患，为招标人免费升级软件，并将新功能告知招标人。</w:t>
      </w:r>
    </w:p>
    <w:p>
      <w:pPr>
        <w:spacing w:line="360" w:lineRule="auto"/>
        <w:ind w:firstLine="480" w:firstLineChars="200"/>
        <w:rPr>
          <w:rFonts w:hAnsi="宋体" w:cs="宋体"/>
          <w:color w:val="auto"/>
          <w:highlight w:val="none"/>
        </w:rPr>
      </w:pPr>
      <w:r>
        <w:rPr>
          <w:rFonts w:hint="eastAsia" w:hAnsi="宋体" w:cs="宋体"/>
          <w:color w:val="auto"/>
          <w:highlight w:val="none"/>
        </w:rPr>
        <w:t>我公司为招标人对系统的巡检提供7*24小时专家电话支持。</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资料服务</w:t>
      </w:r>
    </w:p>
    <w:p>
      <w:pPr>
        <w:spacing w:line="360" w:lineRule="auto"/>
        <w:ind w:firstLine="480" w:firstLineChars="200"/>
        <w:rPr>
          <w:rFonts w:hAnsi="宋体" w:cs="宋体"/>
          <w:color w:val="auto"/>
          <w:highlight w:val="none"/>
        </w:rPr>
      </w:pPr>
      <w:r>
        <w:rPr>
          <w:rFonts w:hint="eastAsia" w:hAnsi="宋体" w:cs="宋体"/>
          <w:color w:val="auto"/>
          <w:highlight w:val="none"/>
        </w:rPr>
        <w:t>用户可以通过设备厂商的技术支持网站或者通过发放的纸面文档、电子邮件、磁盘、光盘等形式，获得我方的有关产品知识、设备运行、维护经验和技巧等方面的资料。资料服务包括以下服务内容：网上资料服务和资料索取服务等。</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故障件维修服务</w:t>
      </w:r>
    </w:p>
    <w:p>
      <w:pPr>
        <w:spacing w:line="360" w:lineRule="auto"/>
        <w:ind w:firstLine="480" w:firstLineChars="200"/>
        <w:rPr>
          <w:rFonts w:hAnsi="宋体" w:cs="宋体"/>
          <w:color w:val="auto"/>
          <w:highlight w:val="none"/>
        </w:rPr>
      </w:pPr>
      <w:r>
        <w:rPr>
          <w:rFonts w:hint="eastAsia" w:hAnsi="宋体" w:cs="宋体"/>
          <w:color w:val="auto"/>
          <w:highlight w:val="none"/>
        </w:rPr>
        <w:t>我方对用户在使用过程中出现的故障板件进行修复以保证设备持续可用的服务。</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备件同步升级服务</w:t>
      </w:r>
    </w:p>
    <w:p>
      <w:pPr>
        <w:spacing w:line="360" w:lineRule="auto"/>
        <w:ind w:firstLine="480" w:firstLineChars="200"/>
        <w:rPr>
          <w:rFonts w:hAnsi="宋体" w:cs="宋体"/>
          <w:color w:val="auto"/>
          <w:highlight w:val="none"/>
        </w:rPr>
      </w:pPr>
      <w:r>
        <w:rPr>
          <w:rFonts w:hint="eastAsia" w:hAnsi="宋体" w:cs="宋体"/>
          <w:color w:val="auto"/>
          <w:highlight w:val="none"/>
        </w:rPr>
        <w:t>网络设备升级后，投标方应提供备件的同步升级服务，使备件与在用系统设备相一致。</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设备巡检及健康检查服务</w:t>
      </w:r>
    </w:p>
    <w:p>
      <w:pPr>
        <w:spacing w:line="360" w:lineRule="auto"/>
        <w:ind w:firstLine="480" w:firstLineChars="200"/>
        <w:rPr>
          <w:rFonts w:hAnsi="宋体" w:cs="宋体"/>
          <w:color w:val="auto"/>
          <w:highlight w:val="none"/>
        </w:rPr>
      </w:pPr>
      <w:r>
        <w:rPr>
          <w:rFonts w:hint="eastAsia" w:hAnsi="宋体" w:cs="宋体"/>
          <w:color w:val="auto"/>
          <w:highlight w:val="none"/>
        </w:rPr>
        <w:t>每年一次对系统设备进行巡检服务，并提出健康检查项目，经用户认可后执行健康检查，检查结束提交健康检查报告。</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第三方设备技术支持服务</w:t>
      </w:r>
    </w:p>
    <w:p>
      <w:pPr>
        <w:spacing w:line="360" w:lineRule="auto"/>
        <w:ind w:firstLine="480" w:firstLineChars="200"/>
        <w:rPr>
          <w:rFonts w:hAnsi="宋体" w:cs="宋体"/>
          <w:color w:val="auto"/>
          <w:highlight w:val="none"/>
        </w:rPr>
      </w:pPr>
      <w:r>
        <w:rPr>
          <w:rFonts w:hint="eastAsia" w:hAnsi="宋体" w:cs="宋体"/>
          <w:color w:val="auto"/>
          <w:highlight w:val="none"/>
        </w:rPr>
        <w:t>我方统一受理系统中的第三方设备的技术支持，包括第三方设备的技术咨询、故障处理、备件升级等。</w:t>
      </w:r>
    </w:p>
    <w:p>
      <w:pPr>
        <w:spacing w:line="360" w:lineRule="auto"/>
        <w:ind w:firstLine="482" w:firstLineChars="200"/>
        <w:rPr>
          <w:rFonts w:hAnsi="宋体" w:cs="宋体"/>
          <w:b/>
          <w:bCs/>
          <w:color w:val="auto"/>
          <w:highlight w:val="none"/>
        </w:rPr>
      </w:pPr>
      <w:r>
        <w:rPr>
          <w:rFonts w:hint="eastAsia" w:hAnsi="宋体" w:cs="宋体"/>
          <w:b/>
          <w:bCs/>
          <w:color w:val="auto"/>
          <w:highlight w:val="none"/>
        </w:rPr>
        <w:t>质保期内（</w:t>
      </w:r>
      <w:r>
        <w:rPr>
          <w:rFonts w:hint="eastAsia" w:hAnsi="宋体" w:cs="宋体"/>
          <w:b/>
          <w:bCs/>
          <w:color w:val="auto"/>
          <w:highlight w:val="none"/>
          <w:u w:val="single"/>
        </w:rPr>
        <w:t xml:space="preserve">     </w:t>
      </w:r>
      <w:r>
        <w:rPr>
          <w:rFonts w:hint="eastAsia" w:hAnsi="宋体" w:cs="宋体"/>
          <w:b/>
          <w:bCs/>
          <w:color w:val="auto"/>
          <w:highlight w:val="none"/>
        </w:rPr>
        <w:t>个月）技术支持服务</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0"/>
        <w:gridCol w:w="1490"/>
        <w:gridCol w:w="1961"/>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5" w:type="dxa"/>
            <w:gridSpan w:val="4"/>
            <w:vAlign w:val="center"/>
          </w:tcPr>
          <w:p>
            <w:pPr>
              <w:spacing w:line="360" w:lineRule="auto"/>
              <w:jc w:val="center"/>
              <w:rPr>
                <w:rFonts w:hAnsi="宋体" w:cs="宋体"/>
                <w:color w:val="auto"/>
                <w:highlight w:val="none"/>
              </w:rPr>
            </w:pPr>
            <w:r>
              <w:rPr>
                <w:rFonts w:hint="eastAsia" w:hAnsi="宋体" w:cs="宋体"/>
                <w:color w:val="auto"/>
                <w:highlight w:val="none"/>
              </w:rPr>
              <w:t>一、缺陷通知期</w:t>
            </w:r>
            <w:r>
              <w:rPr>
                <w:rFonts w:hint="eastAsia" w:hAnsi="宋体" w:cs="宋体"/>
                <w:color w:val="auto"/>
                <w:highlight w:val="none"/>
                <w:u w:val="single"/>
              </w:rPr>
              <w:t xml:space="preserve">     </w:t>
            </w:r>
            <w:r>
              <w:rPr>
                <w:rFonts w:hint="eastAsia" w:hAnsi="宋体" w:cs="宋体"/>
                <w:color w:val="auto"/>
                <w:highlight w:val="none"/>
              </w:rPr>
              <w:t>个月内技术服务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0" w:type="dxa"/>
            <w:vAlign w:val="center"/>
          </w:tcPr>
          <w:p>
            <w:pPr>
              <w:spacing w:line="360" w:lineRule="auto"/>
              <w:jc w:val="center"/>
              <w:rPr>
                <w:rFonts w:hAnsi="宋体" w:cs="宋体"/>
                <w:color w:val="auto"/>
                <w:highlight w:val="none"/>
              </w:rPr>
            </w:pPr>
            <w:r>
              <w:rPr>
                <w:rFonts w:hint="eastAsia" w:hAnsi="宋体" w:cs="宋体"/>
                <w:color w:val="auto"/>
                <w:highlight w:val="none"/>
              </w:rPr>
              <w:t>服务项目内容及服务地点</w:t>
            </w:r>
          </w:p>
        </w:tc>
        <w:tc>
          <w:tcPr>
            <w:tcW w:w="1490" w:type="dxa"/>
            <w:vAlign w:val="center"/>
          </w:tcPr>
          <w:p>
            <w:pPr>
              <w:spacing w:line="360" w:lineRule="auto"/>
              <w:jc w:val="center"/>
              <w:rPr>
                <w:rFonts w:hAnsi="宋体" w:cs="宋体"/>
                <w:color w:val="auto"/>
                <w:highlight w:val="none"/>
              </w:rPr>
            </w:pPr>
            <w:r>
              <w:rPr>
                <w:rFonts w:hint="eastAsia" w:hAnsi="宋体" w:cs="宋体"/>
                <w:color w:val="auto"/>
                <w:highlight w:val="none"/>
              </w:rPr>
              <w:t>响应时间</w:t>
            </w:r>
          </w:p>
        </w:tc>
        <w:tc>
          <w:tcPr>
            <w:tcW w:w="1961" w:type="dxa"/>
            <w:vAlign w:val="center"/>
          </w:tcPr>
          <w:p>
            <w:pPr>
              <w:spacing w:line="360" w:lineRule="auto"/>
              <w:jc w:val="center"/>
              <w:rPr>
                <w:rFonts w:hAnsi="宋体" w:cs="宋体"/>
                <w:color w:val="auto"/>
                <w:highlight w:val="none"/>
              </w:rPr>
            </w:pPr>
            <w:r>
              <w:rPr>
                <w:rFonts w:hint="eastAsia" w:hAnsi="宋体" w:cs="宋体"/>
                <w:color w:val="auto"/>
                <w:highlight w:val="none"/>
              </w:rPr>
              <w:t>人员数量</w:t>
            </w:r>
          </w:p>
        </w:tc>
        <w:tc>
          <w:tcPr>
            <w:tcW w:w="2804" w:type="dxa"/>
            <w:vAlign w:val="center"/>
          </w:tcPr>
          <w:p>
            <w:pPr>
              <w:spacing w:line="360" w:lineRule="auto"/>
              <w:jc w:val="center"/>
              <w:rPr>
                <w:rFonts w:hAnsi="宋体" w:cs="宋体"/>
                <w:color w:val="auto"/>
                <w:highlight w:val="none"/>
              </w:rPr>
            </w:pPr>
            <w:r>
              <w:rPr>
                <w:rFonts w:hint="eastAsia" w:hAnsi="宋体" w:cs="宋体"/>
                <w:color w:val="auto"/>
                <w:highlight w:val="none"/>
              </w:rPr>
              <w:t>人员资质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0" w:type="dxa"/>
            <w:vAlign w:val="center"/>
          </w:tcPr>
          <w:p>
            <w:pPr>
              <w:spacing w:line="360" w:lineRule="auto"/>
              <w:jc w:val="center"/>
              <w:rPr>
                <w:rFonts w:hAnsi="宋体" w:cs="宋体"/>
                <w:color w:val="auto"/>
                <w:highlight w:val="none"/>
              </w:rPr>
            </w:pPr>
            <w:r>
              <w:rPr>
                <w:rFonts w:hint="eastAsia" w:hAnsi="宋体" w:cs="宋体"/>
                <w:color w:val="auto"/>
                <w:highlight w:val="none"/>
              </w:rPr>
              <w:t>远程-电话支持</w:t>
            </w:r>
          </w:p>
        </w:tc>
        <w:tc>
          <w:tcPr>
            <w:tcW w:w="1490" w:type="dxa"/>
            <w:vAlign w:val="center"/>
          </w:tcPr>
          <w:p>
            <w:pPr>
              <w:spacing w:line="360" w:lineRule="auto"/>
              <w:jc w:val="center"/>
              <w:rPr>
                <w:rFonts w:hAnsi="宋体" w:cs="宋体"/>
                <w:color w:val="auto"/>
                <w:highlight w:val="none"/>
              </w:rPr>
            </w:pPr>
            <w:r>
              <w:rPr>
                <w:rFonts w:hint="eastAsia" w:hAnsi="宋体" w:cs="宋体"/>
                <w:color w:val="auto"/>
                <w:highlight w:val="none"/>
              </w:rPr>
              <w:t>1小时内</w:t>
            </w:r>
          </w:p>
        </w:tc>
        <w:tc>
          <w:tcPr>
            <w:tcW w:w="1961" w:type="dxa"/>
            <w:vAlign w:val="center"/>
          </w:tcPr>
          <w:p>
            <w:pPr>
              <w:spacing w:line="360" w:lineRule="auto"/>
              <w:jc w:val="center"/>
              <w:rPr>
                <w:rFonts w:hAnsi="宋体" w:cs="宋体"/>
                <w:color w:val="auto"/>
                <w:highlight w:val="none"/>
              </w:rPr>
            </w:pPr>
            <w:r>
              <w:rPr>
                <w:rFonts w:hint="eastAsia" w:hAnsi="宋体" w:cs="宋体"/>
                <w:color w:val="auto"/>
                <w:highlight w:val="none"/>
              </w:rPr>
              <w:t>2</w:t>
            </w:r>
          </w:p>
        </w:tc>
        <w:tc>
          <w:tcPr>
            <w:tcW w:w="2804" w:type="dxa"/>
            <w:vAlign w:val="center"/>
          </w:tcPr>
          <w:p>
            <w:pPr>
              <w:spacing w:line="360" w:lineRule="auto"/>
              <w:jc w:val="center"/>
              <w:rPr>
                <w:rFonts w:hAnsi="宋体" w:cs="宋体"/>
                <w:color w:val="auto"/>
                <w:highlight w:val="none"/>
              </w:rPr>
            </w:pPr>
            <w:r>
              <w:rPr>
                <w:rFonts w:hint="eastAsia" w:hAnsi="宋体" w:cs="宋体"/>
                <w:color w:val="auto"/>
                <w:highlight w:val="none"/>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0" w:type="dxa"/>
            <w:vAlign w:val="center"/>
          </w:tcPr>
          <w:p>
            <w:pPr>
              <w:spacing w:line="360" w:lineRule="auto"/>
              <w:jc w:val="center"/>
              <w:rPr>
                <w:rFonts w:hAnsi="宋体" w:cs="宋体"/>
                <w:color w:val="auto"/>
                <w:highlight w:val="none"/>
              </w:rPr>
            </w:pPr>
            <w:r>
              <w:rPr>
                <w:rFonts w:hint="eastAsia" w:hAnsi="宋体" w:cs="宋体"/>
                <w:color w:val="auto"/>
                <w:highlight w:val="none"/>
              </w:rPr>
              <w:t>现场-更换故障设备</w:t>
            </w:r>
          </w:p>
        </w:tc>
        <w:tc>
          <w:tcPr>
            <w:tcW w:w="1490" w:type="dxa"/>
            <w:vAlign w:val="center"/>
          </w:tcPr>
          <w:p>
            <w:pPr>
              <w:spacing w:line="360" w:lineRule="auto"/>
              <w:jc w:val="center"/>
              <w:rPr>
                <w:rFonts w:hAnsi="宋体" w:cs="宋体"/>
                <w:color w:val="auto"/>
                <w:highlight w:val="none"/>
              </w:rPr>
            </w:pPr>
            <w:r>
              <w:rPr>
                <w:rFonts w:hint="eastAsia" w:hAnsi="宋体" w:cs="宋体"/>
                <w:color w:val="auto"/>
                <w:highlight w:val="none"/>
              </w:rPr>
              <w:t>3～6小时</w:t>
            </w:r>
          </w:p>
        </w:tc>
        <w:tc>
          <w:tcPr>
            <w:tcW w:w="1961" w:type="dxa"/>
            <w:vAlign w:val="center"/>
          </w:tcPr>
          <w:p>
            <w:pPr>
              <w:spacing w:line="360" w:lineRule="auto"/>
              <w:jc w:val="center"/>
              <w:rPr>
                <w:rFonts w:hAnsi="宋体" w:cs="宋体"/>
                <w:color w:val="auto"/>
                <w:highlight w:val="none"/>
              </w:rPr>
            </w:pPr>
            <w:r>
              <w:rPr>
                <w:rFonts w:hint="eastAsia" w:hAnsi="宋体" w:cs="宋体"/>
                <w:color w:val="auto"/>
                <w:highlight w:val="none"/>
              </w:rPr>
              <w:t>2</w:t>
            </w:r>
          </w:p>
        </w:tc>
        <w:tc>
          <w:tcPr>
            <w:tcW w:w="2804" w:type="dxa"/>
            <w:vAlign w:val="center"/>
          </w:tcPr>
          <w:p>
            <w:pPr>
              <w:spacing w:line="360" w:lineRule="auto"/>
              <w:jc w:val="center"/>
              <w:rPr>
                <w:rFonts w:hAnsi="宋体" w:cs="宋体"/>
                <w:color w:val="auto"/>
                <w:highlight w:val="none"/>
              </w:rPr>
            </w:pPr>
            <w:r>
              <w:rPr>
                <w:rFonts w:hint="eastAsia" w:hAnsi="宋体" w:cs="宋体"/>
                <w:color w:val="auto"/>
                <w:highlight w:val="none"/>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0" w:type="dxa"/>
            <w:vAlign w:val="center"/>
          </w:tcPr>
          <w:p>
            <w:pPr>
              <w:spacing w:line="360" w:lineRule="auto"/>
              <w:jc w:val="center"/>
              <w:rPr>
                <w:rFonts w:hAnsi="宋体" w:cs="宋体"/>
                <w:color w:val="auto"/>
                <w:highlight w:val="none"/>
              </w:rPr>
            </w:pPr>
            <w:r>
              <w:rPr>
                <w:rFonts w:hint="eastAsia" w:hAnsi="宋体" w:cs="宋体"/>
                <w:color w:val="auto"/>
                <w:highlight w:val="none"/>
              </w:rPr>
              <w:t>现场-判断并处理故障</w:t>
            </w:r>
          </w:p>
        </w:tc>
        <w:tc>
          <w:tcPr>
            <w:tcW w:w="1490" w:type="dxa"/>
            <w:vAlign w:val="center"/>
          </w:tcPr>
          <w:p>
            <w:pPr>
              <w:spacing w:line="360" w:lineRule="auto"/>
              <w:jc w:val="center"/>
              <w:rPr>
                <w:rFonts w:hAnsi="宋体" w:cs="宋体"/>
                <w:color w:val="auto"/>
                <w:highlight w:val="none"/>
              </w:rPr>
            </w:pPr>
            <w:r>
              <w:rPr>
                <w:rFonts w:hint="eastAsia" w:hAnsi="宋体" w:cs="宋体"/>
                <w:color w:val="auto"/>
                <w:highlight w:val="none"/>
              </w:rPr>
              <w:t>3～12小时</w:t>
            </w:r>
          </w:p>
        </w:tc>
        <w:tc>
          <w:tcPr>
            <w:tcW w:w="1961" w:type="dxa"/>
            <w:vAlign w:val="center"/>
          </w:tcPr>
          <w:p>
            <w:pPr>
              <w:spacing w:line="360" w:lineRule="auto"/>
              <w:jc w:val="center"/>
              <w:rPr>
                <w:rFonts w:hAnsi="宋体" w:cs="宋体"/>
                <w:color w:val="auto"/>
                <w:highlight w:val="none"/>
              </w:rPr>
            </w:pPr>
            <w:r>
              <w:rPr>
                <w:rFonts w:hint="eastAsia" w:hAnsi="宋体" w:cs="宋体"/>
                <w:color w:val="auto"/>
                <w:highlight w:val="none"/>
              </w:rPr>
              <w:t>2</w:t>
            </w:r>
          </w:p>
        </w:tc>
        <w:tc>
          <w:tcPr>
            <w:tcW w:w="2804" w:type="dxa"/>
            <w:vAlign w:val="center"/>
          </w:tcPr>
          <w:p>
            <w:pPr>
              <w:spacing w:line="360" w:lineRule="auto"/>
              <w:jc w:val="center"/>
              <w:rPr>
                <w:rFonts w:hAnsi="宋体" w:cs="宋体"/>
                <w:color w:val="auto"/>
                <w:highlight w:val="none"/>
              </w:rPr>
            </w:pPr>
            <w:r>
              <w:rPr>
                <w:rFonts w:hint="eastAsia" w:hAnsi="宋体" w:cs="宋体"/>
                <w:color w:val="auto"/>
                <w:highlight w:val="none"/>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5" w:type="dxa"/>
            <w:gridSpan w:val="4"/>
            <w:vAlign w:val="center"/>
          </w:tcPr>
          <w:p>
            <w:pPr>
              <w:spacing w:line="360" w:lineRule="auto"/>
              <w:jc w:val="center"/>
              <w:rPr>
                <w:rFonts w:hAnsi="宋体" w:cs="宋体"/>
                <w:color w:val="auto"/>
                <w:highlight w:val="none"/>
              </w:rPr>
            </w:pPr>
            <w:r>
              <w:rPr>
                <w:rFonts w:hint="eastAsia" w:hAnsi="宋体" w:cs="宋体"/>
                <w:color w:val="auto"/>
                <w:highlight w:val="none"/>
              </w:rPr>
              <w:t>二、与维护单位间详细的工作界面及责任划分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8" w:hRule="atLeast"/>
          <w:jc w:val="center"/>
        </w:trPr>
        <w:tc>
          <w:tcPr>
            <w:tcW w:w="9185" w:type="dxa"/>
            <w:gridSpan w:val="4"/>
            <w:vAlign w:val="center"/>
          </w:tcPr>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（1）远程支持服务</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远程支持服务是指向用户提供关于设备设备日常操作维护的咨询和非紧急情况下的故障处理。服务热线提供7×24小时服务。远程支持服务内容为：</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一般系统咨询；</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产品咨询；</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硬件咨询；</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软件咨询；</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数据咨询；</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获取资料。</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（2）现场支持服务</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现场支持是指用户通过电话或传真等方式寻求技术支持和帮助，在经过双方商议确定需要进行现场支持的情况下，经验丰富的工程师将赴现场提供现场支持服务。</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现场处理用户故障，通过部件的维修或更换等措施将系统在最短时间内修复。</w:t>
            </w:r>
          </w:p>
          <w:p>
            <w:pPr>
              <w:pStyle w:val="221"/>
              <w:widowControl w:val="0"/>
              <w:adjustRightInd w:val="0"/>
              <w:snapToGrid w:val="0"/>
              <w:spacing w:before="0" w:after="0" w:line="360" w:lineRule="auto"/>
              <w:ind w:firstLine="0" w:firstLineChars="0"/>
              <w:jc w:val="both"/>
              <w:rPr>
                <w:rFonts w:hAnsi="宋体" w:cs="宋体"/>
                <w:color w:val="auto"/>
                <w:spacing w:val="0"/>
                <w:w w:val="100"/>
                <w:sz w:val="24"/>
                <w:szCs w:val="24"/>
                <w:highlight w:val="none"/>
              </w:rPr>
            </w:pPr>
            <w:r>
              <w:rPr>
                <w:rFonts w:hint="eastAsia" w:hAnsi="宋体" w:cs="宋体"/>
                <w:color w:val="auto"/>
                <w:spacing w:val="0"/>
                <w:w w:val="100"/>
                <w:sz w:val="24"/>
                <w:szCs w:val="24"/>
                <w:highlight w:val="none"/>
              </w:rPr>
              <w:t>根据不同故障级别，现场支持服务要求如下：</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045"/>
              <w:gridCol w:w="1575"/>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1211"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级别</w:t>
                  </w:r>
                </w:p>
              </w:tc>
              <w:tc>
                <w:tcPr>
                  <w:tcW w:w="3045"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具体现象</w:t>
                  </w:r>
                </w:p>
              </w:tc>
              <w:tc>
                <w:tcPr>
                  <w:tcW w:w="1575"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到达现场时间</w:t>
                  </w:r>
                </w:p>
              </w:tc>
              <w:tc>
                <w:tcPr>
                  <w:tcW w:w="3487"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211"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一级故障</w:t>
                  </w:r>
                </w:p>
              </w:tc>
              <w:tc>
                <w:tcPr>
                  <w:tcW w:w="3045"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整个系统处于完全瘫痪状态，不能运行</w:t>
                  </w:r>
                </w:p>
              </w:tc>
              <w:tc>
                <w:tcPr>
                  <w:tcW w:w="1575"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3-6小时</w:t>
                  </w:r>
                </w:p>
              </w:tc>
              <w:tc>
                <w:tcPr>
                  <w:tcW w:w="3487"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我方迅速及时到达故障现场处理故障。如果不能够定位故障原因，将协调派出资深的专家组奔赴现场。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211"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二级故障</w:t>
                  </w:r>
                </w:p>
              </w:tc>
              <w:tc>
                <w:tcPr>
                  <w:tcW w:w="3045"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系统性能严重下降：包括网络性能明显下降、设备出现故障或软件系统出现非瘫痪性错误等，客户业务运作受到严重影响。</w:t>
                  </w:r>
                </w:p>
              </w:tc>
              <w:tc>
                <w:tcPr>
                  <w:tcW w:w="1575"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rPr>
                    <w:t>8</w:t>
                  </w:r>
                  <w:r>
                    <w:rPr>
                      <w:rFonts w:hint="eastAsia" w:hAnsi="宋体" w:cs="宋体"/>
                      <w:color w:val="auto"/>
                      <w:highlight w:val="none"/>
                      <w:lang w:val="fr-FR"/>
                    </w:rPr>
                    <w:t>小时</w:t>
                  </w:r>
                </w:p>
              </w:tc>
              <w:tc>
                <w:tcPr>
                  <w:tcW w:w="3487"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我方迅速到达故障现场处理故障，并提供全面的设备运行报告和故障现象。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211"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三级故障</w:t>
                  </w:r>
                </w:p>
              </w:tc>
              <w:tc>
                <w:tcPr>
                  <w:tcW w:w="3045"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系统部分设备或者软件出现故障，但整个系统仍可正常运行，客户业务运作受到一定影响。</w:t>
                  </w:r>
                </w:p>
              </w:tc>
              <w:tc>
                <w:tcPr>
                  <w:tcW w:w="1575"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rPr>
                    <w:t>12</w:t>
                  </w:r>
                  <w:r>
                    <w:rPr>
                      <w:rFonts w:hint="eastAsia" w:hAnsi="宋体" w:cs="宋体"/>
                      <w:color w:val="auto"/>
                      <w:highlight w:val="none"/>
                      <w:lang w:val="fr-FR"/>
                    </w:rPr>
                    <w:t>小时</w:t>
                  </w:r>
                </w:p>
              </w:tc>
              <w:tc>
                <w:tcPr>
                  <w:tcW w:w="3487"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我方工程师可以确定故障原因的，协调找出损坏的设备部件并替换掉，使设备正常运行。此事件将被记录在案。除了通过电话交换信息外，还可以通过更为先进的通讯手段进行远端数据采集、远端诊断。若仍不能解决，将会派出资深工程师奔赴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11"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lang w:val="fr-FR"/>
                    </w:rPr>
                    <w:t>四级故障</w:t>
                  </w:r>
                </w:p>
              </w:tc>
              <w:tc>
                <w:tcPr>
                  <w:tcW w:w="3045"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需要硬件、软件产品功能、安装或配置方面的信息和支援，对客户的业务运作几乎没有影响或者根本没有影响</w:t>
                  </w:r>
                </w:p>
              </w:tc>
              <w:tc>
                <w:tcPr>
                  <w:tcW w:w="1575" w:type="dxa"/>
                  <w:vAlign w:val="center"/>
                </w:tcPr>
                <w:p>
                  <w:pPr>
                    <w:spacing w:line="360" w:lineRule="auto"/>
                    <w:ind w:firstLine="24" w:firstLineChars="10"/>
                    <w:rPr>
                      <w:rFonts w:hAnsi="宋体" w:cs="宋体"/>
                      <w:color w:val="auto"/>
                      <w:highlight w:val="none"/>
                      <w:lang w:val="fr-FR"/>
                    </w:rPr>
                  </w:pPr>
                  <w:r>
                    <w:rPr>
                      <w:rFonts w:hint="eastAsia" w:hAnsi="宋体" w:cs="宋体"/>
                      <w:color w:val="auto"/>
                      <w:highlight w:val="none"/>
                    </w:rPr>
                    <w:t>24</w:t>
                  </w:r>
                  <w:r>
                    <w:rPr>
                      <w:rFonts w:hint="eastAsia" w:hAnsi="宋体" w:cs="宋体"/>
                      <w:color w:val="auto"/>
                      <w:highlight w:val="none"/>
                      <w:lang w:val="fr-FR"/>
                    </w:rPr>
                    <w:t>小时</w:t>
                  </w:r>
                </w:p>
              </w:tc>
              <w:tc>
                <w:tcPr>
                  <w:tcW w:w="3487" w:type="dxa"/>
                  <w:vAlign w:val="center"/>
                </w:tcPr>
                <w:p>
                  <w:pPr>
                    <w:spacing w:line="360" w:lineRule="auto"/>
                    <w:ind w:firstLine="24" w:firstLineChars="10"/>
                    <w:rPr>
                      <w:rFonts w:hAnsi="宋体" w:cs="宋体"/>
                      <w:color w:val="auto"/>
                      <w:highlight w:val="none"/>
                      <w:lang w:val="fr-FR"/>
                    </w:rPr>
                  </w:pPr>
                  <w:r>
                    <w:rPr>
                      <w:rFonts w:hint="eastAsia" w:hAnsi="宋体" w:cs="宋体"/>
                      <w:bCs/>
                      <w:color w:val="auto"/>
                      <w:highlight w:val="none"/>
                    </w:rPr>
                    <w:t>我方工程师首先确定故障原因，协调找出损坏的设备部件并替换掉，使设备正常运行。此事件将被记录在案。</w:t>
                  </w:r>
                </w:p>
              </w:tc>
            </w:tr>
          </w:tbl>
          <w:p>
            <w:pPr>
              <w:spacing w:line="360" w:lineRule="auto"/>
              <w:rPr>
                <w:rFonts w:hAnsi="宋体" w:cs="宋体"/>
                <w:color w:val="auto"/>
                <w:highlight w:val="none"/>
              </w:rPr>
            </w:pPr>
          </w:p>
        </w:tc>
      </w:tr>
    </w:tbl>
    <w:p>
      <w:pPr>
        <w:pStyle w:val="109"/>
        <w:tabs>
          <w:tab w:val="left" w:pos="567"/>
          <w:tab w:val="left" w:pos="980"/>
        </w:tabs>
        <w:spacing w:line="360" w:lineRule="auto"/>
        <w:ind w:left="-420" w:firstLine="241" w:firstLineChars="100"/>
        <w:rPr>
          <w:rFonts w:hAnsi="宋体" w:cs="宋体"/>
          <w:b/>
          <w:color w:val="auto"/>
          <w:highlight w:val="none"/>
        </w:rPr>
      </w:pPr>
      <w:r>
        <w:rPr>
          <w:rFonts w:hint="eastAsia" w:hAnsi="宋体" w:cs="宋体"/>
          <w:b/>
          <w:color w:val="auto"/>
          <w:highlight w:val="none"/>
        </w:rPr>
        <w:t>大修周期内技术支持</w:t>
      </w:r>
    </w:p>
    <w:tbl>
      <w:tblPr>
        <w:tblStyle w:val="4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2"/>
        <w:gridCol w:w="3210"/>
        <w:gridCol w:w="2229"/>
        <w:gridCol w:w="2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tblHeader/>
          <w:jc w:val="center"/>
        </w:trPr>
        <w:tc>
          <w:tcPr>
            <w:tcW w:w="892"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序号</w:t>
            </w:r>
          </w:p>
        </w:tc>
        <w:tc>
          <w:tcPr>
            <w:tcW w:w="321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服务项目</w:t>
            </w:r>
          </w:p>
        </w:tc>
        <w:tc>
          <w:tcPr>
            <w:tcW w:w="2229"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服务标准</w:t>
            </w:r>
          </w:p>
        </w:tc>
        <w:tc>
          <w:tcPr>
            <w:tcW w:w="2709"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4" w:hRule="atLeast"/>
          <w:jc w:val="center"/>
        </w:trPr>
        <w:tc>
          <w:tcPr>
            <w:tcW w:w="892"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1</w:t>
            </w:r>
          </w:p>
        </w:tc>
        <w:tc>
          <w:tcPr>
            <w:tcW w:w="321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咨询和电话支持服务7×24小时</w:t>
            </w:r>
          </w:p>
        </w:tc>
        <w:tc>
          <w:tcPr>
            <w:tcW w:w="2229"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支持</w:t>
            </w:r>
          </w:p>
        </w:tc>
        <w:tc>
          <w:tcPr>
            <w:tcW w:w="2709" w:type="dxa"/>
            <w:vAlign w:val="center"/>
          </w:tcPr>
          <w:p>
            <w:pPr>
              <w:spacing w:line="360" w:lineRule="auto"/>
              <w:ind w:firstLine="24" w:firstLineChars="10"/>
              <w:jc w:val="center"/>
              <w:rPr>
                <w:rFonts w:hAnsi="宋体" w:cs="宋体"/>
                <w:color w:val="auto"/>
                <w:highlight w:val="none"/>
                <w:lang w:val="fr-F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892"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2</w:t>
            </w:r>
          </w:p>
        </w:tc>
        <w:tc>
          <w:tcPr>
            <w:tcW w:w="321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远程技术支持服务</w:t>
            </w:r>
          </w:p>
        </w:tc>
        <w:tc>
          <w:tcPr>
            <w:tcW w:w="2229"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支持</w:t>
            </w:r>
          </w:p>
        </w:tc>
        <w:tc>
          <w:tcPr>
            <w:tcW w:w="2709"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电话及网络技术支持</w:t>
            </w:r>
          </w:p>
        </w:tc>
      </w:tr>
    </w:tbl>
    <w:p>
      <w:pPr>
        <w:pStyle w:val="8"/>
        <w:spacing w:before="666" w:line="360" w:lineRule="auto"/>
        <w:jc w:val="left"/>
        <w:rPr>
          <w:rFonts w:ascii="宋体" w:hAnsi="宋体" w:cs="宋体"/>
          <w:color w:val="auto"/>
          <w:highlight w:val="none"/>
        </w:rPr>
      </w:pPr>
      <w:bookmarkStart w:id="129" w:name="_Toc277248386"/>
      <w:bookmarkStart w:id="130" w:name="_Toc19954"/>
      <w:bookmarkStart w:id="131" w:name="_Toc387660033"/>
      <w:bookmarkStart w:id="132" w:name="_Toc243980087"/>
      <w:bookmarkStart w:id="133" w:name="_Toc444423910"/>
      <w:bookmarkStart w:id="134" w:name="_Toc217571398"/>
      <w:bookmarkStart w:id="135" w:name="_Toc357397592"/>
      <w:bookmarkStart w:id="136" w:name="_Toc18698"/>
      <w:bookmarkStart w:id="137" w:name="_Toc6840914"/>
      <w:bookmarkStart w:id="138" w:name="_Toc370999358"/>
      <w:bookmarkStart w:id="139" w:name="_Toc219621670"/>
      <w:bookmarkStart w:id="140" w:name="_Toc4751269"/>
      <w:bookmarkStart w:id="141" w:name="_Toc4747814"/>
      <w:bookmarkStart w:id="142" w:name="_Toc366082472"/>
      <w:bookmarkStart w:id="143" w:name="_Toc25887"/>
      <w:bookmarkStart w:id="144" w:name="_Toc15660"/>
      <w:bookmarkStart w:id="145" w:name="_Toc415087030"/>
      <w:bookmarkStart w:id="146" w:name="_Toc31435"/>
      <w:r>
        <w:rPr>
          <w:rFonts w:hint="eastAsia" w:ascii="宋体" w:hAnsi="宋体" w:cs="宋体"/>
          <w:color w:val="auto"/>
          <w:highlight w:val="none"/>
        </w:rPr>
        <w:t>三、远程技术服务</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远程支持服务是指向招标人提供关于设备日常操作维护的咨询和非紧急情况下的故障处理。</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对于招标人非故障类问题，我公司提供全天侯7×24小时的咨询接收服务和全天侯7×24小时的咨询受理服务。</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对于招标人故障类问题，我公司提供全天侯7×24小时电话技术指导服务，通过电话指导招标人排除设备故障。</w:t>
      </w:r>
    </w:p>
    <w:p>
      <w:pPr>
        <w:tabs>
          <w:tab w:val="left" w:pos="567"/>
        </w:tabs>
        <w:spacing w:line="360" w:lineRule="auto"/>
        <w:ind w:firstLine="482" w:firstLineChars="200"/>
        <w:jc w:val="left"/>
        <w:rPr>
          <w:rFonts w:hAnsi="宋体" w:cs="宋体"/>
          <w:b/>
          <w:bCs/>
          <w:color w:val="auto"/>
          <w:highlight w:val="none"/>
        </w:rPr>
      </w:pPr>
      <w:bookmarkStart w:id="147" w:name="_Toc28329"/>
      <w:bookmarkStart w:id="148" w:name="_Toc26679"/>
      <w:bookmarkStart w:id="149" w:name="_Toc4751270"/>
      <w:bookmarkStart w:id="150" w:name="_Toc19143"/>
      <w:bookmarkStart w:id="151" w:name="_Toc1236"/>
      <w:bookmarkStart w:id="152" w:name="_Toc5281085"/>
      <w:bookmarkStart w:id="153" w:name="_Toc18209"/>
      <w:bookmarkStart w:id="154" w:name="_Toc6840915"/>
      <w:r>
        <w:rPr>
          <w:rFonts w:hint="eastAsia" w:hAnsi="宋体" w:cs="宋体"/>
          <w:b/>
          <w:bCs/>
          <w:color w:val="auto"/>
          <w:highlight w:val="none"/>
        </w:rPr>
        <w:t>四、售后服务的实施方案</w:t>
      </w:r>
      <w:bookmarkEnd w:id="147"/>
      <w:bookmarkEnd w:id="148"/>
      <w:bookmarkEnd w:id="149"/>
      <w:bookmarkEnd w:id="150"/>
      <w:bookmarkEnd w:id="151"/>
      <w:bookmarkEnd w:id="152"/>
      <w:bookmarkEnd w:id="153"/>
      <w:bookmarkEnd w:id="154"/>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(1)、产品售后服务工作程序。</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(2)、本公司对产品出厂后进行的调试验收及运行过程的服务直至产品合格并经需方认可后所做的工作，即为产品的售后服务工作。</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(3)、售后服务部根据客户的要求，详细询问所发生的质量问题及顾客要求填写《售后服务工作联络单》，必要时派技术维修人员到现场了解情况。</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(4)、售后服务部根据维修方案，并视其工作量的大小合理调派售后服务人员立即到达客户现场。</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(5)、售后服务人员到达客户现场后，请需方技术人员对维修方案进行确认。如有异议，由生产技术部组织相关部门协调解决。</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(6)、现场服务时售后服务人员按双方确认的方案组织实施。服务结束后，提请需方对服务项目进行验收认可，并在《售后服务联络单》上签署意见。售后服务人员应主动询问需方对我公司产品质量及服务质量的具体要求或改进意见。</w:t>
      </w:r>
    </w:p>
    <w:p>
      <w:pPr>
        <w:tabs>
          <w:tab w:val="left" w:pos="567"/>
        </w:tabs>
        <w:spacing w:line="360" w:lineRule="auto"/>
        <w:rPr>
          <w:rFonts w:hAnsi="宋体" w:cs="宋体"/>
          <w:b/>
          <w:bCs/>
          <w:color w:val="auto"/>
          <w:highlight w:val="none"/>
        </w:rPr>
      </w:pPr>
      <w:bookmarkStart w:id="155" w:name="_Toc26892"/>
      <w:bookmarkStart w:id="156" w:name="_Toc32555"/>
      <w:bookmarkStart w:id="157" w:name="_Toc28488"/>
      <w:bookmarkStart w:id="158" w:name="_Toc5281086"/>
      <w:bookmarkStart w:id="159" w:name="_Toc6840916"/>
      <w:bookmarkStart w:id="160" w:name="_Toc26550"/>
      <w:bookmarkStart w:id="161" w:name="_Toc4751271"/>
      <w:bookmarkStart w:id="162" w:name="_Toc25966"/>
      <w:r>
        <w:rPr>
          <w:rFonts w:hint="eastAsia" w:hAnsi="宋体" w:cs="宋体"/>
          <w:b/>
          <w:bCs/>
          <w:color w:val="auto"/>
          <w:highlight w:val="none"/>
        </w:rPr>
        <w:t>五、售后服务内容</w:t>
      </w:r>
      <w:bookmarkEnd w:id="155"/>
      <w:bookmarkEnd w:id="156"/>
      <w:bookmarkEnd w:id="157"/>
      <w:bookmarkEnd w:id="158"/>
      <w:bookmarkEnd w:id="159"/>
      <w:bookmarkEnd w:id="160"/>
      <w:bookmarkEnd w:id="161"/>
      <w:bookmarkEnd w:id="162"/>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(1)、包括产品的安装调试工作、设备运行操作和维护保养人员的指导培训工作、保修期内涉及产品质量问题或安装质量问题的维修工作。</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(2)重大项目服务规定</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(3)在用户单位就近设立售后服务联络点，配备具有一定资质、经验丰富的售后服务人员负责进行产品运行前的操作、维护、保养培训工作，并提供在保修期内的维修保养计划书。</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(4)对质保期内的产品进行定期免费保养，同时对产品运行情况进行认真的检查和记录。</w:t>
      </w:r>
    </w:p>
    <w:p>
      <w:pPr>
        <w:tabs>
          <w:tab w:val="left" w:pos="567"/>
        </w:tabs>
        <w:spacing w:line="360" w:lineRule="auto"/>
        <w:rPr>
          <w:rFonts w:hAnsi="宋体" w:cs="宋体"/>
          <w:b/>
          <w:bCs/>
          <w:color w:val="auto"/>
          <w:highlight w:val="none"/>
        </w:rPr>
      </w:pPr>
      <w:bookmarkStart w:id="163" w:name="_Toc6840917"/>
      <w:bookmarkStart w:id="164" w:name="_Toc24731"/>
      <w:bookmarkStart w:id="165" w:name="_Toc19547"/>
      <w:bookmarkStart w:id="166" w:name="_Toc13879"/>
      <w:bookmarkStart w:id="167" w:name="_Toc5281087"/>
      <w:bookmarkStart w:id="168" w:name="_Toc4751272"/>
      <w:bookmarkStart w:id="169" w:name="_Toc1750"/>
      <w:r>
        <w:rPr>
          <w:rFonts w:hint="eastAsia" w:hAnsi="宋体" w:cs="宋体"/>
          <w:b/>
          <w:bCs/>
          <w:color w:val="auto"/>
          <w:highlight w:val="none"/>
        </w:rPr>
        <w:t>六、产品质量回访工作要求</w:t>
      </w:r>
      <w:bookmarkEnd w:id="163"/>
      <w:bookmarkEnd w:id="164"/>
      <w:bookmarkEnd w:id="165"/>
      <w:bookmarkEnd w:id="166"/>
      <w:bookmarkEnd w:id="167"/>
      <w:bookmarkEnd w:id="168"/>
      <w:bookmarkEnd w:id="169"/>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(1)售后服务部每年以信访形式了解产品运行情况及顾客的要求、意见和建议，并把有关信息反馈至公司相关职能部门。</w:t>
      </w:r>
    </w:p>
    <w:p>
      <w:pPr>
        <w:tabs>
          <w:tab w:val="left" w:pos="567"/>
        </w:tabs>
        <w:spacing w:line="360" w:lineRule="auto"/>
        <w:ind w:firstLine="480" w:firstLineChars="200"/>
        <w:rPr>
          <w:rFonts w:hAnsi="宋体" w:cs="宋体"/>
          <w:color w:val="auto"/>
          <w:highlight w:val="none"/>
        </w:rPr>
      </w:pPr>
      <w:r>
        <w:rPr>
          <w:rFonts w:hint="eastAsia" w:hAnsi="宋体" w:cs="宋体"/>
          <w:color w:val="auto"/>
          <w:highlight w:val="none"/>
        </w:rPr>
        <w:t>(2)对于重大工程项目及重点顾客，必要时由售后服务部派专人进行走访，对走访中获得的信息、意见及改进要求进行记录整理。</w:t>
      </w:r>
      <w:bookmarkStart w:id="170" w:name="_Toc29798"/>
      <w:bookmarkStart w:id="171" w:name="_Toc10721"/>
      <w:bookmarkStart w:id="172" w:name="_Toc18029"/>
      <w:bookmarkStart w:id="173" w:name="_Toc4751273"/>
      <w:bookmarkStart w:id="174" w:name="_Toc8501"/>
      <w:bookmarkStart w:id="175" w:name="_Toc6840918"/>
      <w:bookmarkStart w:id="176" w:name="_Toc5281088"/>
      <w:bookmarkStart w:id="177" w:name="_Toc24578"/>
    </w:p>
    <w:p>
      <w:pPr>
        <w:tabs>
          <w:tab w:val="left" w:pos="567"/>
        </w:tabs>
        <w:spacing w:line="360" w:lineRule="auto"/>
        <w:rPr>
          <w:rFonts w:hAnsi="宋体" w:cs="宋体"/>
          <w:b/>
          <w:bCs/>
          <w:color w:val="auto"/>
          <w:highlight w:val="none"/>
        </w:rPr>
      </w:pPr>
      <w:r>
        <w:rPr>
          <w:rFonts w:hint="eastAsia" w:hAnsi="宋体" w:cs="宋体"/>
          <w:b/>
          <w:bCs/>
          <w:color w:val="auto"/>
          <w:highlight w:val="none"/>
        </w:rPr>
        <w:t>七、故障分类</w:t>
      </w:r>
      <w:bookmarkEnd w:id="170"/>
      <w:bookmarkEnd w:id="171"/>
      <w:bookmarkEnd w:id="172"/>
      <w:bookmarkEnd w:id="173"/>
      <w:bookmarkEnd w:id="174"/>
      <w:bookmarkEnd w:id="175"/>
      <w:bookmarkEnd w:id="176"/>
      <w:bookmarkEnd w:id="177"/>
    </w:p>
    <w:p>
      <w:pPr>
        <w:spacing w:line="360" w:lineRule="auto"/>
        <w:ind w:firstLine="480" w:firstLineChars="200"/>
        <w:rPr>
          <w:rFonts w:hAnsi="宋体" w:cs="宋体"/>
          <w:color w:val="auto"/>
          <w:highlight w:val="none"/>
        </w:rPr>
      </w:pPr>
      <w:r>
        <w:rPr>
          <w:rFonts w:hint="eastAsia" w:hAnsi="宋体" w:cs="宋体"/>
          <w:color w:val="auto"/>
          <w:highlight w:val="none"/>
        </w:rPr>
        <w:t>为保证系统可靠运行，达到故障影响最小化，我方根据信息电源系统的实际情况和长期积累的技术服务经验，将信息电源系统故障等级分为四级，具体如下：</w:t>
      </w:r>
    </w:p>
    <w:p>
      <w:pPr>
        <w:widowControl/>
        <w:jc w:val="center"/>
        <w:rPr>
          <w:rFonts w:hAnsi="宋体" w:cs="宋体"/>
          <w:b/>
          <w:color w:val="auto"/>
          <w:spacing w:val="10"/>
          <w:highlight w:val="none"/>
        </w:rPr>
      </w:pPr>
      <w:r>
        <w:rPr>
          <w:rFonts w:hint="eastAsia" w:hAnsi="宋体" w:cs="宋体"/>
          <w:color w:val="auto"/>
          <w:highlight w:val="none"/>
        </w:rPr>
        <w:br w:type="page"/>
      </w:r>
      <w:r>
        <w:rPr>
          <w:rFonts w:hint="eastAsia" w:hAnsi="宋体" w:cs="宋体"/>
          <w:b/>
          <w:color w:val="auto"/>
          <w:spacing w:val="10"/>
          <w:highlight w:val="none"/>
        </w:rPr>
        <w:t>故障分级表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120"/>
        <w:gridCol w:w="1288"/>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blHeader/>
          <w:jc w:val="center"/>
        </w:trPr>
        <w:tc>
          <w:tcPr>
            <w:tcW w:w="126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级别</w:t>
            </w:r>
          </w:p>
        </w:tc>
        <w:tc>
          <w:tcPr>
            <w:tcW w:w="312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具体现象</w:t>
            </w:r>
          </w:p>
        </w:tc>
        <w:tc>
          <w:tcPr>
            <w:tcW w:w="1288"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到达现场时间</w:t>
            </w:r>
          </w:p>
        </w:tc>
        <w:tc>
          <w:tcPr>
            <w:tcW w:w="3539"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126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一级故障</w:t>
            </w:r>
          </w:p>
        </w:tc>
        <w:tc>
          <w:tcPr>
            <w:tcW w:w="3120" w:type="dxa"/>
            <w:vAlign w:val="center"/>
          </w:tcPr>
          <w:p>
            <w:pPr>
              <w:spacing w:line="360" w:lineRule="auto"/>
              <w:ind w:firstLine="24" w:firstLineChars="10"/>
              <w:jc w:val="center"/>
              <w:rPr>
                <w:rFonts w:hAnsi="宋体" w:cs="宋体"/>
                <w:color w:val="auto"/>
                <w:highlight w:val="none"/>
                <w:lang w:val="fr-FR"/>
              </w:rPr>
            </w:pPr>
            <w:r>
              <w:rPr>
                <w:rFonts w:hint="eastAsia" w:hAnsi="宋体" w:cs="宋体"/>
                <w:bCs/>
                <w:color w:val="auto"/>
                <w:highlight w:val="none"/>
              </w:rPr>
              <w:t>整个系统处于完全瘫痪状态，不能运行</w:t>
            </w:r>
          </w:p>
        </w:tc>
        <w:tc>
          <w:tcPr>
            <w:tcW w:w="1288" w:type="dxa"/>
            <w:vAlign w:val="center"/>
          </w:tcPr>
          <w:p>
            <w:pPr>
              <w:spacing w:line="360" w:lineRule="auto"/>
              <w:ind w:firstLine="24" w:firstLineChars="10"/>
              <w:jc w:val="center"/>
              <w:rPr>
                <w:rFonts w:hAnsi="宋体" w:cs="宋体"/>
                <w:color w:val="auto"/>
                <w:highlight w:val="none"/>
                <w:lang w:val="fr-FR"/>
              </w:rPr>
            </w:pPr>
            <w:r>
              <w:rPr>
                <w:rFonts w:hint="eastAsia" w:hAnsi="宋体" w:cs="宋体"/>
                <w:bCs/>
                <w:color w:val="auto"/>
                <w:highlight w:val="none"/>
              </w:rPr>
              <w:t>3-6小时</w:t>
            </w:r>
          </w:p>
        </w:tc>
        <w:tc>
          <w:tcPr>
            <w:tcW w:w="3539" w:type="dxa"/>
            <w:vAlign w:val="center"/>
          </w:tcPr>
          <w:p>
            <w:pPr>
              <w:spacing w:line="360" w:lineRule="auto"/>
              <w:ind w:firstLine="24" w:firstLineChars="10"/>
              <w:jc w:val="left"/>
              <w:rPr>
                <w:rFonts w:hAnsi="宋体" w:cs="宋体"/>
                <w:color w:val="auto"/>
                <w:highlight w:val="none"/>
                <w:lang w:val="fr-FR"/>
              </w:rPr>
            </w:pPr>
            <w:r>
              <w:rPr>
                <w:rFonts w:hint="eastAsia" w:hAnsi="宋体" w:cs="宋体"/>
                <w:bCs/>
                <w:color w:val="auto"/>
                <w:highlight w:val="none"/>
              </w:rPr>
              <w:t>我方迅速及时到达故障现场处理故障。如果不能够定位故障原因，将协调派出资深的专家组奔赴现场。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126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二级故障</w:t>
            </w:r>
          </w:p>
        </w:tc>
        <w:tc>
          <w:tcPr>
            <w:tcW w:w="3120" w:type="dxa"/>
            <w:vAlign w:val="center"/>
          </w:tcPr>
          <w:p>
            <w:pPr>
              <w:spacing w:line="360" w:lineRule="auto"/>
              <w:ind w:firstLine="24" w:firstLineChars="10"/>
              <w:jc w:val="center"/>
              <w:rPr>
                <w:rFonts w:hAnsi="宋体" w:cs="宋体"/>
                <w:color w:val="auto"/>
                <w:highlight w:val="none"/>
                <w:lang w:val="fr-FR"/>
              </w:rPr>
            </w:pPr>
            <w:r>
              <w:rPr>
                <w:rFonts w:hint="eastAsia" w:hAnsi="宋体" w:cs="宋体"/>
                <w:bCs/>
                <w:color w:val="auto"/>
                <w:highlight w:val="none"/>
              </w:rPr>
              <w:t>系统性能严重下降：包括网络性能明显下降、设备出现故障或软件系统出现非瘫痪性错误等，客户业务运作受到严重影响。</w:t>
            </w:r>
          </w:p>
        </w:tc>
        <w:tc>
          <w:tcPr>
            <w:tcW w:w="1288"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rPr>
              <w:t>8</w:t>
            </w:r>
            <w:r>
              <w:rPr>
                <w:rFonts w:hint="eastAsia" w:hAnsi="宋体" w:cs="宋体"/>
                <w:color w:val="auto"/>
                <w:highlight w:val="none"/>
                <w:lang w:val="fr-FR"/>
              </w:rPr>
              <w:t>小时</w:t>
            </w:r>
          </w:p>
        </w:tc>
        <w:tc>
          <w:tcPr>
            <w:tcW w:w="3539" w:type="dxa"/>
            <w:vAlign w:val="center"/>
          </w:tcPr>
          <w:p>
            <w:pPr>
              <w:spacing w:line="360" w:lineRule="auto"/>
              <w:ind w:firstLine="24" w:firstLineChars="10"/>
              <w:jc w:val="left"/>
              <w:rPr>
                <w:rFonts w:hAnsi="宋体" w:cs="宋体"/>
                <w:color w:val="auto"/>
                <w:highlight w:val="none"/>
                <w:lang w:val="fr-FR"/>
              </w:rPr>
            </w:pPr>
            <w:r>
              <w:rPr>
                <w:rFonts w:hint="eastAsia" w:hAnsi="宋体" w:cs="宋体"/>
                <w:bCs/>
                <w:color w:val="auto"/>
                <w:highlight w:val="none"/>
              </w:rPr>
              <w:t>我方迅速到达故障现场处理故障，并提供全面的设备运行报告和故障现象。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6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三级故障</w:t>
            </w:r>
          </w:p>
        </w:tc>
        <w:tc>
          <w:tcPr>
            <w:tcW w:w="3120" w:type="dxa"/>
            <w:vAlign w:val="center"/>
          </w:tcPr>
          <w:p>
            <w:pPr>
              <w:spacing w:line="360" w:lineRule="auto"/>
              <w:ind w:firstLine="24" w:firstLineChars="10"/>
              <w:jc w:val="center"/>
              <w:rPr>
                <w:rFonts w:hAnsi="宋体" w:cs="宋体"/>
                <w:color w:val="auto"/>
                <w:highlight w:val="none"/>
                <w:lang w:val="fr-FR"/>
              </w:rPr>
            </w:pPr>
            <w:r>
              <w:rPr>
                <w:rFonts w:hint="eastAsia" w:hAnsi="宋体" w:cs="宋体"/>
                <w:bCs/>
                <w:color w:val="auto"/>
                <w:highlight w:val="none"/>
              </w:rPr>
              <w:t>系统部分设备或者软件出现故障，但整个系统仍可正常运行，客户业务运作受到一定影响。</w:t>
            </w:r>
          </w:p>
        </w:tc>
        <w:tc>
          <w:tcPr>
            <w:tcW w:w="1288"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rPr>
              <w:t>12</w:t>
            </w:r>
            <w:r>
              <w:rPr>
                <w:rFonts w:hint="eastAsia" w:hAnsi="宋体" w:cs="宋体"/>
                <w:color w:val="auto"/>
                <w:highlight w:val="none"/>
                <w:lang w:val="fr-FR"/>
              </w:rPr>
              <w:t>小时</w:t>
            </w:r>
          </w:p>
        </w:tc>
        <w:tc>
          <w:tcPr>
            <w:tcW w:w="3539" w:type="dxa"/>
            <w:vAlign w:val="center"/>
          </w:tcPr>
          <w:p>
            <w:pPr>
              <w:spacing w:line="360" w:lineRule="auto"/>
              <w:ind w:firstLine="24" w:firstLineChars="10"/>
              <w:jc w:val="left"/>
              <w:rPr>
                <w:rFonts w:hAnsi="宋体" w:cs="宋体"/>
                <w:color w:val="auto"/>
                <w:highlight w:val="none"/>
                <w:lang w:val="fr-FR"/>
              </w:rPr>
            </w:pPr>
            <w:r>
              <w:rPr>
                <w:rFonts w:hint="eastAsia" w:hAnsi="宋体" w:cs="宋体"/>
                <w:bCs/>
                <w:color w:val="auto"/>
                <w:highlight w:val="none"/>
              </w:rPr>
              <w:t>我方工程师可以确定故障原因的，协调找出损坏的设备部件并替换掉，使设备正常运行。此事件将被记录在案。除了通过电话交换信息外，还可以通过更为先进的通讯手段进行远端数据采集、远端诊断。若仍不能解决，将会派出资深工程师奔赴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lang w:val="fr-FR"/>
              </w:rPr>
              <w:t>四级故障</w:t>
            </w:r>
          </w:p>
        </w:tc>
        <w:tc>
          <w:tcPr>
            <w:tcW w:w="3120" w:type="dxa"/>
            <w:vAlign w:val="center"/>
          </w:tcPr>
          <w:p>
            <w:pPr>
              <w:spacing w:line="360" w:lineRule="auto"/>
              <w:ind w:firstLine="24" w:firstLineChars="10"/>
              <w:jc w:val="center"/>
              <w:rPr>
                <w:rFonts w:hAnsi="宋体" w:cs="宋体"/>
                <w:color w:val="auto"/>
                <w:highlight w:val="none"/>
                <w:lang w:val="fr-FR"/>
              </w:rPr>
            </w:pPr>
            <w:r>
              <w:rPr>
                <w:rFonts w:hint="eastAsia" w:hAnsi="宋体" w:cs="宋体"/>
                <w:bCs/>
                <w:color w:val="auto"/>
                <w:highlight w:val="none"/>
              </w:rPr>
              <w:t>需要硬件、软件产品功能、安装或配置方面的信息和支援，对客户的业务运作几乎没有影响或者根本没有影响</w:t>
            </w:r>
          </w:p>
        </w:tc>
        <w:tc>
          <w:tcPr>
            <w:tcW w:w="1288" w:type="dxa"/>
            <w:vAlign w:val="center"/>
          </w:tcPr>
          <w:p>
            <w:pPr>
              <w:spacing w:line="360" w:lineRule="auto"/>
              <w:ind w:firstLine="24" w:firstLineChars="10"/>
              <w:jc w:val="center"/>
              <w:rPr>
                <w:rFonts w:hAnsi="宋体" w:cs="宋体"/>
                <w:color w:val="auto"/>
                <w:highlight w:val="none"/>
                <w:lang w:val="fr-FR"/>
              </w:rPr>
            </w:pPr>
            <w:r>
              <w:rPr>
                <w:rFonts w:hint="eastAsia" w:hAnsi="宋体" w:cs="宋体"/>
                <w:color w:val="auto"/>
                <w:highlight w:val="none"/>
              </w:rPr>
              <w:t>24</w:t>
            </w:r>
            <w:r>
              <w:rPr>
                <w:rFonts w:hint="eastAsia" w:hAnsi="宋体" w:cs="宋体"/>
                <w:color w:val="auto"/>
                <w:highlight w:val="none"/>
                <w:lang w:val="fr-FR"/>
              </w:rPr>
              <w:t>小时</w:t>
            </w:r>
          </w:p>
        </w:tc>
        <w:tc>
          <w:tcPr>
            <w:tcW w:w="3539" w:type="dxa"/>
            <w:vAlign w:val="center"/>
          </w:tcPr>
          <w:p>
            <w:pPr>
              <w:spacing w:line="360" w:lineRule="auto"/>
              <w:ind w:firstLine="24" w:firstLineChars="10"/>
              <w:jc w:val="left"/>
              <w:rPr>
                <w:rFonts w:hAnsi="宋体" w:cs="宋体"/>
                <w:color w:val="auto"/>
                <w:highlight w:val="none"/>
                <w:lang w:val="fr-FR"/>
              </w:rPr>
            </w:pPr>
            <w:r>
              <w:rPr>
                <w:rFonts w:hint="eastAsia" w:hAnsi="宋体" w:cs="宋体"/>
                <w:bCs/>
                <w:color w:val="auto"/>
                <w:highlight w:val="none"/>
              </w:rPr>
              <w:t>我方工程师首先确定故障原因，协调找出损坏的设备部件并替换掉，使设备正常运行。此事件将被记录在案。</w:t>
            </w:r>
          </w:p>
        </w:tc>
      </w:tr>
    </w:tbl>
    <w:p>
      <w:pPr>
        <w:widowControl/>
        <w:jc w:val="left"/>
        <w:rPr>
          <w:rFonts w:hAnsi="宋体" w:cs="宋体"/>
          <w:b/>
          <w:color w:val="auto"/>
          <w:spacing w:val="10"/>
          <w:highlight w:val="none"/>
        </w:rPr>
      </w:pPr>
      <w:bookmarkStart w:id="178" w:name="_Toc5281089"/>
      <w:bookmarkStart w:id="179" w:name="_Toc11940"/>
      <w:bookmarkStart w:id="180" w:name="_Toc6840919"/>
      <w:bookmarkStart w:id="181" w:name="_Toc4751274"/>
      <w:r>
        <w:rPr>
          <w:rFonts w:hint="eastAsia" w:hAnsi="宋体" w:cs="宋体"/>
          <w:b/>
          <w:color w:val="auto"/>
          <w:spacing w:val="10"/>
          <w:highlight w:val="none"/>
        </w:rPr>
        <w:t>八、出现故障响应时间分类表</w:t>
      </w:r>
      <w:bookmarkEnd w:id="178"/>
      <w:bookmarkEnd w:id="179"/>
      <w:bookmarkEnd w:id="180"/>
      <w:bookmarkEnd w:id="181"/>
    </w:p>
    <w:p>
      <w:pPr>
        <w:spacing w:line="360" w:lineRule="auto"/>
        <w:ind w:firstLine="480" w:firstLineChars="200"/>
        <w:rPr>
          <w:rFonts w:hAnsi="宋体" w:cs="宋体"/>
          <w:color w:val="auto"/>
          <w:highlight w:val="none"/>
        </w:rPr>
      </w:pPr>
      <w:r>
        <w:rPr>
          <w:rFonts w:hint="eastAsia" w:hAnsi="宋体" w:cs="宋体"/>
          <w:color w:val="auto"/>
          <w:highlight w:val="none"/>
        </w:rPr>
        <w:t>对于不同级别的故障，我方将进行分级处理，等级越高，处理的时间越短，派出人员的能力也越高。对于不同级别故障的故障响应人和故障处理方案如下：</w:t>
      </w:r>
    </w:p>
    <w:p>
      <w:pPr>
        <w:widowControl/>
        <w:jc w:val="center"/>
        <w:rPr>
          <w:rFonts w:hAnsi="宋体" w:cs="宋体"/>
          <w:b/>
          <w:color w:val="auto"/>
          <w:spacing w:val="10"/>
          <w:highlight w:val="none"/>
        </w:rPr>
      </w:pPr>
      <w:r>
        <w:rPr>
          <w:rFonts w:hint="eastAsia" w:hAnsi="宋体" w:cs="宋体"/>
          <w:color w:val="auto"/>
          <w:highlight w:val="none"/>
        </w:rPr>
        <w:br w:type="page"/>
      </w:r>
      <w:r>
        <w:rPr>
          <w:rFonts w:hint="eastAsia" w:hAnsi="宋体" w:cs="宋体"/>
          <w:b/>
          <w:color w:val="auto"/>
          <w:spacing w:val="10"/>
          <w:highlight w:val="none"/>
        </w:rPr>
        <w:t>故障响应处理表</w:t>
      </w:r>
    </w:p>
    <w:tbl>
      <w:tblPr>
        <w:tblStyle w:val="4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18"/>
        <w:gridCol w:w="2203"/>
        <w:gridCol w:w="549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6" w:hRule="atLeast"/>
          <w:tblHeader/>
          <w:jc w:val="center"/>
        </w:trPr>
        <w:tc>
          <w:tcPr>
            <w:tcW w:w="1218" w:type="dxa"/>
            <w:vAlign w:val="center"/>
          </w:tcPr>
          <w:p>
            <w:pPr>
              <w:pStyle w:val="222"/>
              <w:tabs>
                <w:tab w:val="left" w:pos="567"/>
              </w:tabs>
              <w:spacing w:beforeLines="0" w:afterLines="0" w:line="360" w:lineRule="exact"/>
              <w:jc w:val="center"/>
              <w:rPr>
                <w:rFonts w:ascii="宋体" w:hAnsi="宋体" w:cs="宋体"/>
                <w:b/>
                <w:color w:val="auto"/>
                <w:spacing w:val="10"/>
                <w:szCs w:val="24"/>
                <w:highlight w:val="none"/>
              </w:rPr>
            </w:pPr>
            <w:r>
              <w:rPr>
                <w:rFonts w:hint="eastAsia" w:ascii="宋体" w:hAnsi="宋体" w:cs="宋体"/>
                <w:b/>
                <w:color w:val="auto"/>
                <w:spacing w:val="10"/>
                <w:szCs w:val="24"/>
                <w:highlight w:val="none"/>
              </w:rPr>
              <w:t>故障</w:t>
            </w:r>
          </w:p>
          <w:p>
            <w:pPr>
              <w:pStyle w:val="222"/>
              <w:tabs>
                <w:tab w:val="left" w:pos="567"/>
              </w:tabs>
              <w:spacing w:beforeLines="0" w:afterLines="0" w:line="360" w:lineRule="exact"/>
              <w:jc w:val="center"/>
              <w:rPr>
                <w:rFonts w:ascii="宋体" w:hAnsi="宋体" w:cs="宋体"/>
                <w:b/>
                <w:color w:val="auto"/>
                <w:spacing w:val="10"/>
                <w:szCs w:val="24"/>
                <w:highlight w:val="none"/>
              </w:rPr>
            </w:pPr>
            <w:r>
              <w:rPr>
                <w:rFonts w:hint="eastAsia" w:ascii="宋体" w:hAnsi="宋体" w:cs="宋体"/>
                <w:b/>
                <w:color w:val="auto"/>
                <w:spacing w:val="10"/>
                <w:szCs w:val="24"/>
                <w:highlight w:val="none"/>
              </w:rPr>
              <w:t>级别</w:t>
            </w:r>
          </w:p>
        </w:tc>
        <w:tc>
          <w:tcPr>
            <w:tcW w:w="2203" w:type="dxa"/>
            <w:vAlign w:val="center"/>
          </w:tcPr>
          <w:p>
            <w:pPr>
              <w:pStyle w:val="222"/>
              <w:tabs>
                <w:tab w:val="left" w:pos="567"/>
              </w:tabs>
              <w:spacing w:beforeLines="0" w:afterLines="0" w:line="360" w:lineRule="exact"/>
              <w:jc w:val="center"/>
              <w:rPr>
                <w:rFonts w:ascii="宋体" w:hAnsi="宋体" w:cs="宋体"/>
                <w:b/>
                <w:color w:val="auto"/>
                <w:spacing w:val="10"/>
                <w:szCs w:val="24"/>
                <w:highlight w:val="none"/>
              </w:rPr>
            </w:pPr>
            <w:r>
              <w:rPr>
                <w:rFonts w:hint="eastAsia" w:ascii="宋体" w:hAnsi="宋体" w:cs="宋体"/>
                <w:b/>
                <w:color w:val="auto"/>
                <w:spacing w:val="10"/>
                <w:szCs w:val="24"/>
                <w:highlight w:val="none"/>
              </w:rPr>
              <w:t>故障响应人</w:t>
            </w:r>
          </w:p>
        </w:tc>
        <w:tc>
          <w:tcPr>
            <w:tcW w:w="5492" w:type="dxa"/>
            <w:vAlign w:val="center"/>
          </w:tcPr>
          <w:p>
            <w:pPr>
              <w:pStyle w:val="222"/>
              <w:tabs>
                <w:tab w:val="left" w:pos="567"/>
              </w:tabs>
              <w:spacing w:beforeLines="0" w:afterLines="0" w:line="360" w:lineRule="exact"/>
              <w:jc w:val="center"/>
              <w:rPr>
                <w:rFonts w:ascii="宋体" w:hAnsi="宋体" w:cs="宋体"/>
                <w:b/>
                <w:color w:val="auto"/>
                <w:spacing w:val="10"/>
                <w:szCs w:val="24"/>
                <w:highlight w:val="none"/>
              </w:rPr>
            </w:pPr>
            <w:r>
              <w:rPr>
                <w:rFonts w:hint="eastAsia" w:ascii="宋体" w:hAnsi="宋体" w:cs="宋体"/>
                <w:b/>
                <w:color w:val="auto"/>
                <w:spacing w:val="10"/>
                <w:szCs w:val="24"/>
                <w:highlight w:val="none"/>
              </w:rPr>
              <w:t>故障处理方案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 w:hRule="atLeast"/>
          <w:jc w:val="center"/>
        </w:trPr>
        <w:tc>
          <w:tcPr>
            <w:tcW w:w="1218" w:type="dxa"/>
            <w:vAlign w:val="center"/>
          </w:tcPr>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一级故障</w:t>
            </w:r>
          </w:p>
        </w:tc>
        <w:tc>
          <w:tcPr>
            <w:tcW w:w="2203" w:type="dxa"/>
            <w:vAlign w:val="center"/>
          </w:tcPr>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我方主管领导</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技术服务负责人</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技术中心负责人</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技术骨干工程师</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技术服务工程师</w:t>
            </w:r>
          </w:p>
        </w:tc>
        <w:tc>
          <w:tcPr>
            <w:tcW w:w="5492" w:type="dxa"/>
            <w:vAlign w:val="center"/>
          </w:tcPr>
          <w:p>
            <w:pPr>
              <w:pStyle w:val="222"/>
              <w:widowControl/>
              <w:numPr>
                <w:ilvl w:val="0"/>
                <w:numId w:val="9"/>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电话支持解决；无法远程解决，进行现场技术服务；</w:t>
            </w:r>
          </w:p>
          <w:p>
            <w:pPr>
              <w:pStyle w:val="222"/>
              <w:widowControl/>
              <w:numPr>
                <w:ilvl w:val="0"/>
                <w:numId w:val="9"/>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我方主管领导现场指挥；</w:t>
            </w:r>
          </w:p>
          <w:p>
            <w:pPr>
              <w:pStyle w:val="222"/>
              <w:widowControl/>
              <w:numPr>
                <w:ilvl w:val="0"/>
                <w:numId w:val="9"/>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安排相关部门负责人及技术骨干到场；</w:t>
            </w:r>
          </w:p>
          <w:p>
            <w:pPr>
              <w:pStyle w:val="222"/>
              <w:widowControl/>
              <w:numPr>
                <w:ilvl w:val="0"/>
                <w:numId w:val="9"/>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启用应急方案，恢复系统运行；</w:t>
            </w:r>
          </w:p>
          <w:p>
            <w:pPr>
              <w:pStyle w:val="222"/>
              <w:widowControl/>
              <w:numPr>
                <w:ilvl w:val="0"/>
                <w:numId w:val="9"/>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技术人员查找问题并解决问题；</w:t>
            </w:r>
          </w:p>
          <w:p>
            <w:pPr>
              <w:pStyle w:val="222"/>
              <w:widowControl/>
              <w:numPr>
                <w:ilvl w:val="0"/>
                <w:numId w:val="9"/>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向招标方提交问题调查报告，并提供防止再次发生同类故障的措施和办法。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1218" w:type="dxa"/>
            <w:vAlign w:val="center"/>
          </w:tcPr>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二级故障</w:t>
            </w:r>
          </w:p>
        </w:tc>
        <w:tc>
          <w:tcPr>
            <w:tcW w:w="2203" w:type="dxa"/>
            <w:vAlign w:val="center"/>
          </w:tcPr>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技术服务负责人</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技术中心负责人</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技术骨干工程师</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技术服务工程师</w:t>
            </w:r>
          </w:p>
        </w:tc>
        <w:tc>
          <w:tcPr>
            <w:tcW w:w="5492" w:type="dxa"/>
            <w:vAlign w:val="center"/>
          </w:tcPr>
          <w:p>
            <w:pPr>
              <w:pStyle w:val="222"/>
              <w:widowControl/>
              <w:numPr>
                <w:ilvl w:val="0"/>
                <w:numId w:val="10"/>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电话支持解决；无法远程解决，进行现场技术服务；</w:t>
            </w:r>
          </w:p>
          <w:p>
            <w:pPr>
              <w:pStyle w:val="222"/>
              <w:widowControl/>
              <w:numPr>
                <w:ilvl w:val="0"/>
                <w:numId w:val="10"/>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设备故障，停运出现故障的相关设备，进行隔离，在维修模式下或者接入调试系统诊断问题；</w:t>
            </w:r>
          </w:p>
          <w:p>
            <w:pPr>
              <w:pStyle w:val="222"/>
              <w:widowControl/>
              <w:numPr>
                <w:ilvl w:val="0"/>
                <w:numId w:val="10"/>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网络问题，使用专用工具或者软件进行分析诊断，找到问题，必要时候，要求生产商到场协助解决；</w:t>
            </w:r>
          </w:p>
          <w:p>
            <w:pPr>
              <w:pStyle w:val="222"/>
              <w:widowControl/>
              <w:numPr>
                <w:ilvl w:val="0"/>
                <w:numId w:val="10"/>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向招标方提交问题调查报告，提供防止再次发生同类故障的措施和办法。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 w:hRule="atLeast"/>
          <w:jc w:val="center"/>
        </w:trPr>
        <w:tc>
          <w:tcPr>
            <w:tcW w:w="1218" w:type="dxa"/>
            <w:vAlign w:val="center"/>
          </w:tcPr>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三级故障</w:t>
            </w:r>
          </w:p>
        </w:tc>
        <w:tc>
          <w:tcPr>
            <w:tcW w:w="2203" w:type="dxa"/>
            <w:vAlign w:val="center"/>
          </w:tcPr>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技术服务负责人</w:t>
            </w:r>
          </w:p>
          <w:p>
            <w:pPr>
              <w:pStyle w:val="222"/>
              <w:tabs>
                <w:tab w:val="left" w:pos="567"/>
              </w:tabs>
              <w:spacing w:beforeLines="0" w:afterLines="0" w:line="360" w:lineRule="exact"/>
              <w:jc w:val="center"/>
              <w:rPr>
                <w:rFonts w:ascii="宋体" w:hAnsi="宋体" w:cs="宋体"/>
                <w:color w:val="auto"/>
                <w:szCs w:val="24"/>
                <w:highlight w:val="none"/>
              </w:rPr>
            </w:pPr>
            <w:r>
              <w:rPr>
                <w:rFonts w:hint="eastAsia" w:ascii="宋体" w:hAnsi="宋体" w:cs="宋体"/>
                <w:color w:val="auto"/>
                <w:szCs w:val="24"/>
                <w:highlight w:val="none"/>
              </w:rPr>
              <w:t>技术服务工程师</w:t>
            </w:r>
          </w:p>
        </w:tc>
        <w:tc>
          <w:tcPr>
            <w:tcW w:w="5492" w:type="dxa"/>
            <w:vAlign w:val="center"/>
          </w:tcPr>
          <w:p>
            <w:pPr>
              <w:pStyle w:val="222"/>
              <w:widowControl/>
              <w:numPr>
                <w:ilvl w:val="0"/>
                <w:numId w:val="11"/>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电话支持解决；无法远程解决，进行现场技术服务；</w:t>
            </w:r>
          </w:p>
          <w:p>
            <w:pPr>
              <w:pStyle w:val="222"/>
              <w:widowControl/>
              <w:numPr>
                <w:ilvl w:val="0"/>
                <w:numId w:val="11"/>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停运出现故障的相关设备，进行隔离，在维修模式下或者接入调试系统诊断问题，找到问题并解决问题；</w:t>
            </w:r>
          </w:p>
          <w:p>
            <w:pPr>
              <w:pStyle w:val="222"/>
              <w:widowControl/>
              <w:numPr>
                <w:ilvl w:val="0"/>
                <w:numId w:val="11"/>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向招标方提交问题调查报告，提供防止再次发生同类故障的措施和办法。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9" w:hRule="atLeast"/>
          <w:jc w:val="center"/>
        </w:trPr>
        <w:tc>
          <w:tcPr>
            <w:tcW w:w="1218" w:type="dxa"/>
            <w:vAlign w:val="center"/>
          </w:tcPr>
          <w:p>
            <w:pPr>
              <w:pStyle w:val="223"/>
              <w:tabs>
                <w:tab w:val="left" w:pos="567"/>
              </w:tabs>
              <w:spacing w:line="360" w:lineRule="exact"/>
              <w:jc w:val="center"/>
              <w:rPr>
                <w:rFonts w:cs="宋体"/>
                <w:color w:val="auto"/>
                <w:szCs w:val="24"/>
                <w:highlight w:val="none"/>
              </w:rPr>
            </w:pPr>
            <w:r>
              <w:rPr>
                <w:rFonts w:hint="eastAsia" w:cs="宋体"/>
                <w:color w:val="auto"/>
                <w:szCs w:val="24"/>
                <w:highlight w:val="none"/>
              </w:rPr>
              <w:t>四级故障</w:t>
            </w:r>
          </w:p>
        </w:tc>
        <w:tc>
          <w:tcPr>
            <w:tcW w:w="2203" w:type="dxa"/>
            <w:vAlign w:val="center"/>
          </w:tcPr>
          <w:p>
            <w:pPr>
              <w:pStyle w:val="223"/>
              <w:tabs>
                <w:tab w:val="left" w:pos="567"/>
              </w:tabs>
              <w:spacing w:line="360" w:lineRule="exact"/>
              <w:jc w:val="center"/>
              <w:rPr>
                <w:rFonts w:cs="宋体"/>
                <w:color w:val="auto"/>
                <w:szCs w:val="24"/>
                <w:highlight w:val="none"/>
              </w:rPr>
            </w:pPr>
            <w:r>
              <w:rPr>
                <w:rFonts w:hint="eastAsia" w:cs="宋体"/>
                <w:color w:val="auto"/>
                <w:szCs w:val="24"/>
                <w:highlight w:val="none"/>
              </w:rPr>
              <w:t>技术服务工程师</w:t>
            </w:r>
          </w:p>
        </w:tc>
        <w:tc>
          <w:tcPr>
            <w:tcW w:w="5492" w:type="dxa"/>
            <w:vAlign w:val="center"/>
          </w:tcPr>
          <w:p>
            <w:pPr>
              <w:pStyle w:val="222"/>
              <w:widowControl/>
              <w:numPr>
                <w:ilvl w:val="0"/>
                <w:numId w:val="12"/>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电话支持解决；无法远程解决，进行现场技术服务；</w:t>
            </w:r>
          </w:p>
          <w:p>
            <w:pPr>
              <w:pStyle w:val="222"/>
              <w:widowControl/>
              <w:numPr>
                <w:ilvl w:val="0"/>
                <w:numId w:val="12"/>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现场解决问题；</w:t>
            </w:r>
          </w:p>
          <w:p>
            <w:pPr>
              <w:pStyle w:val="222"/>
              <w:widowControl/>
              <w:numPr>
                <w:ilvl w:val="0"/>
                <w:numId w:val="12"/>
              </w:numPr>
              <w:tabs>
                <w:tab w:val="left" w:pos="567"/>
              </w:tabs>
              <w:adjustRightInd/>
              <w:snapToGrid/>
              <w:spacing w:beforeLines="0" w:afterLines="0" w:line="360" w:lineRule="exact"/>
              <w:jc w:val="both"/>
              <w:rPr>
                <w:rFonts w:ascii="宋体" w:hAnsi="宋体" w:cs="宋体"/>
                <w:color w:val="auto"/>
                <w:szCs w:val="24"/>
                <w:highlight w:val="none"/>
              </w:rPr>
            </w:pPr>
            <w:r>
              <w:rPr>
                <w:rFonts w:hint="eastAsia" w:ascii="宋体" w:hAnsi="宋体" w:cs="宋体"/>
                <w:color w:val="auto"/>
                <w:szCs w:val="24"/>
                <w:highlight w:val="none"/>
              </w:rPr>
              <w:t>记录问题原因、解决方法、时间、负责人等，供查询使用。</w:t>
            </w:r>
          </w:p>
        </w:tc>
      </w:tr>
    </w:tbl>
    <w:p>
      <w:pPr>
        <w:pStyle w:val="224"/>
        <w:tabs>
          <w:tab w:val="left" w:pos="567"/>
        </w:tabs>
        <w:ind w:firstLine="480"/>
        <w:rPr>
          <w:rFonts w:cs="宋体"/>
          <w:color w:val="auto"/>
          <w:szCs w:val="24"/>
          <w:highlight w:val="none"/>
        </w:rPr>
      </w:pPr>
      <w:r>
        <w:rPr>
          <w:rFonts w:hint="eastAsia" w:cs="宋体"/>
          <w:color w:val="auto"/>
          <w:szCs w:val="24"/>
          <w:highlight w:val="none"/>
        </w:rPr>
        <w:t>发现故障后，由故障响应人组织和监控事故处理的过程；调度内部资源；保持与客户的沟通和联系及密切配合；协调其他必需的外部支持。并将在故障处理过程中，注意下列事项：</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我方若发现并希望对系统不符合质量要求之处进行整改和修复，将立即将其修复申请报告提交招标方，指出不合格之处和采取的修复方法。</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如果招标方未对我方按规定所提交的报告发出不合格通知，我方将立即查询此事，在接到通知14天内，提交招标方确认其整改措施和采取这些措施的理由。</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保证故障清查和排除；</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保证更换出现异常而不符合本技术要求或设计文件要求的部件；</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如果发现的异常问题反复出现或其后果影响到安全，则进行调查研究。研究的结果可以导致小或大的整改以使其符合要求；</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提供用于丰富数据库的资料，以便随时了解系统的状态。</w:t>
      </w:r>
    </w:p>
    <w:p>
      <w:pPr>
        <w:pStyle w:val="225"/>
        <w:numPr>
          <w:ilvl w:val="0"/>
          <w:numId w:val="13"/>
        </w:numPr>
        <w:tabs>
          <w:tab w:val="left" w:pos="567"/>
        </w:tabs>
        <w:spacing w:before="0" w:after="0"/>
        <w:ind w:left="0" w:firstLine="480"/>
        <w:jc w:val="left"/>
        <w:rPr>
          <w:rFonts w:ascii="宋体" w:hAnsi="宋体" w:cs="宋体"/>
          <w:color w:val="auto"/>
          <w:kern w:val="2"/>
          <w:szCs w:val="24"/>
          <w:highlight w:val="none"/>
        </w:rPr>
      </w:pPr>
      <w:r>
        <w:rPr>
          <w:rFonts w:hint="eastAsia" w:ascii="宋体" w:hAnsi="宋体" w:cs="宋体"/>
          <w:color w:val="auto"/>
          <w:kern w:val="2"/>
          <w:szCs w:val="24"/>
          <w:highlight w:val="none"/>
        </w:rPr>
        <w:t>如果发现的故障原因属于下述情况，我方将替换相同功能的全部零部件，且费用由我方负担∶</w:t>
      </w:r>
    </w:p>
    <w:p>
      <w:pPr>
        <w:pStyle w:val="225"/>
        <w:tabs>
          <w:tab w:val="left" w:pos="567"/>
        </w:tabs>
        <w:spacing w:before="0" w:after="0"/>
        <w:rPr>
          <w:rFonts w:ascii="宋体" w:hAnsi="宋体" w:cs="宋体"/>
          <w:color w:val="auto"/>
          <w:kern w:val="2"/>
          <w:szCs w:val="24"/>
          <w:highlight w:val="none"/>
        </w:rPr>
      </w:pPr>
      <w:r>
        <w:rPr>
          <w:rFonts w:hint="eastAsia" w:ascii="宋体" w:hAnsi="宋体" w:cs="宋体"/>
          <w:color w:val="auto"/>
          <w:kern w:val="2"/>
          <w:szCs w:val="24"/>
          <w:highlight w:val="none"/>
        </w:rPr>
        <w:t>1）材料质量问题；</w:t>
      </w:r>
    </w:p>
    <w:p>
      <w:pPr>
        <w:pStyle w:val="225"/>
        <w:tabs>
          <w:tab w:val="left" w:pos="567"/>
        </w:tabs>
        <w:spacing w:before="0" w:after="0"/>
        <w:rPr>
          <w:rFonts w:ascii="宋体" w:hAnsi="宋体" w:cs="宋体"/>
          <w:color w:val="auto"/>
          <w:kern w:val="2"/>
          <w:szCs w:val="24"/>
          <w:highlight w:val="none"/>
        </w:rPr>
      </w:pPr>
      <w:r>
        <w:rPr>
          <w:rFonts w:hint="eastAsia" w:ascii="宋体" w:hAnsi="宋体" w:cs="宋体"/>
          <w:color w:val="auto"/>
          <w:kern w:val="2"/>
          <w:szCs w:val="24"/>
          <w:highlight w:val="none"/>
        </w:rPr>
        <w:t>2）零部件设计和生产中出现的严重缺陷；</w:t>
      </w:r>
    </w:p>
    <w:p>
      <w:pPr>
        <w:pStyle w:val="225"/>
        <w:tabs>
          <w:tab w:val="left" w:pos="567"/>
        </w:tabs>
        <w:spacing w:before="0" w:after="0"/>
        <w:rPr>
          <w:rFonts w:ascii="宋体" w:hAnsi="宋体" w:cs="宋体"/>
          <w:color w:val="auto"/>
          <w:kern w:val="2"/>
          <w:szCs w:val="24"/>
          <w:highlight w:val="none"/>
        </w:rPr>
      </w:pPr>
      <w:r>
        <w:rPr>
          <w:rFonts w:hint="eastAsia" w:ascii="宋体" w:hAnsi="宋体" w:cs="宋体"/>
          <w:color w:val="auto"/>
          <w:kern w:val="2"/>
          <w:szCs w:val="24"/>
          <w:highlight w:val="none"/>
        </w:rPr>
        <w:t>3）对某些零部件（最小可更换单元）的更换和修理超过同类产品在同类型号零部件中的更换率（5%）。</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缺陷责任期内的义务包括对有缺陷零部件进行调查研究、拆卸、更换和重新安装。包括我方人员出差费用、包装和运输费用以及进行修复和更换所需的工具费用。</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如果故障清查的原因为软件故障时，我方将进行软件更换。</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缺陷责任期内，如果发生系统运行故障并导致全线或部分停运，我方将赔偿招标方因停运给业主造成的损失。停运的赔偿额，按故障运营前1周的日均运营收入为基础进行计算。</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接到故障报告后，详细了解故障现象和系统状态，分析可能的原因（换版升级、异常操作、软件缺陷、硬件故障等）；</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处理故障前，最大可能地保护并记录事故发生时的现场信息，以便故障原因的分析调查；</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与招标方方确认先恢复系统还是先查清原因；</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处理故障时，分清有关操作的责任范围（对非我方提供的产品，以及涉及招标方方安全权限规定的数据，须得到招标方方的正式授权方可由我方人员操作）；</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处理故障时，涉及业务操作及运行的任何变化，须征得招标方的认可；</w:t>
      </w:r>
    </w:p>
    <w:p>
      <w:pPr>
        <w:pStyle w:val="225"/>
        <w:numPr>
          <w:ilvl w:val="0"/>
          <w:numId w:val="14"/>
        </w:numPr>
        <w:tabs>
          <w:tab w:val="left" w:pos="567"/>
        </w:tabs>
        <w:spacing w:before="0" w:after="0"/>
        <w:ind w:left="0" w:firstLine="480"/>
        <w:rPr>
          <w:rFonts w:ascii="宋体" w:hAnsi="宋体" w:cs="宋体"/>
          <w:color w:val="auto"/>
          <w:kern w:val="2"/>
          <w:szCs w:val="24"/>
          <w:highlight w:val="none"/>
        </w:rPr>
      </w:pPr>
      <w:r>
        <w:rPr>
          <w:rFonts w:hint="eastAsia" w:ascii="宋体" w:hAnsi="宋体" w:cs="宋体"/>
          <w:color w:val="auto"/>
          <w:kern w:val="2"/>
          <w:szCs w:val="24"/>
          <w:highlight w:val="none"/>
        </w:rPr>
        <w:t>处理故障时，严格遵守质量流程和工程规范，严防因处理不当而引发新的故障，或埋下隐患。</w:t>
      </w:r>
    </w:p>
    <w:p>
      <w:pPr>
        <w:pStyle w:val="224"/>
        <w:numPr>
          <w:ilvl w:val="0"/>
          <w:numId w:val="14"/>
        </w:numPr>
        <w:tabs>
          <w:tab w:val="left" w:pos="567"/>
        </w:tabs>
        <w:ind w:left="0" w:firstLine="480"/>
        <w:rPr>
          <w:rFonts w:cs="宋体"/>
          <w:color w:val="auto"/>
          <w:szCs w:val="24"/>
          <w:highlight w:val="none"/>
        </w:rPr>
      </w:pPr>
      <w:r>
        <w:rPr>
          <w:rFonts w:hint="eastAsia" w:cs="宋体"/>
          <w:color w:val="auto"/>
          <w:szCs w:val="24"/>
          <w:highlight w:val="none"/>
        </w:rPr>
        <w:t>在故障得到妥善处理后一天内，故障响应人负责撰写故障处理报告报送招标方。报告的主要内容包括：</w:t>
      </w:r>
    </w:p>
    <w:p>
      <w:pPr>
        <w:pStyle w:val="225"/>
        <w:numPr>
          <w:ilvl w:val="0"/>
          <w:numId w:val="15"/>
        </w:numPr>
        <w:tabs>
          <w:tab w:val="left" w:pos="567"/>
        </w:tabs>
        <w:spacing w:before="0" w:after="0"/>
        <w:ind w:firstLine="0" w:firstLineChars="0"/>
        <w:rPr>
          <w:rFonts w:ascii="宋体" w:hAnsi="宋体" w:cs="宋体"/>
          <w:color w:val="auto"/>
          <w:kern w:val="2"/>
          <w:szCs w:val="24"/>
          <w:highlight w:val="none"/>
        </w:rPr>
      </w:pPr>
      <w:r>
        <w:rPr>
          <w:rFonts w:hint="eastAsia" w:ascii="宋体" w:hAnsi="宋体" w:cs="宋体"/>
          <w:color w:val="auto"/>
          <w:kern w:val="2"/>
          <w:szCs w:val="24"/>
          <w:highlight w:val="none"/>
        </w:rPr>
        <w:t>故障发生的时间和地点；</w:t>
      </w:r>
    </w:p>
    <w:p>
      <w:pPr>
        <w:pStyle w:val="225"/>
        <w:numPr>
          <w:ilvl w:val="0"/>
          <w:numId w:val="15"/>
        </w:numPr>
        <w:tabs>
          <w:tab w:val="left" w:pos="567"/>
        </w:tabs>
        <w:spacing w:before="0" w:after="0"/>
        <w:ind w:firstLine="0" w:firstLineChars="0"/>
        <w:rPr>
          <w:rFonts w:ascii="宋体" w:hAnsi="宋体" w:cs="宋体"/>
          <w:color w:val="auto"/>
          <w:kern w:val="2"/>
          <w:szCs w:val="24"/>
          <w:highlight w:val="none"/>
        </w:rPr>
      </w:pPr>
      <w:r>
        <w:rPr>
          <w:rFonts w:hint="eastAsia" w:ascii="宋体" w:hAnsi="宋体" w:cs="宋体"/>
          <w:color w:val="auto"/>
          <w:kern w:val="2"/>
          <w:szCs w:val="24"/>
          <w:highlight w:val="none"/>
        </w:rPr>
        <w:t>故障发生的简要经过、主要影响和直接经济损失的最终估计；</w:t>
      </w:r>
    </w:p>
    <w:p>
      <w:pPr>
        <w:pStyle w:val="225"/>
        <w:numPr>
          <w:ilvl w:val="0"/>
          <w:numId w:val="15"/>
        </w:numPr>
        <w:tabs>
          <w:tab w:val="left" w:pos="567"/>
        </w:tabs>
        <w:spacing w:before="0" w:after="0"/>
        <w:ind w:firstLine="0" w:firstLineChars="0"/>
        <w:rPr>
          <w:rFonts w:ascii="宋体" w:hAnsi="宋体" w:cs="宋体"/>
          <w:color w:val="auto"/>
          <w:kern w:val="2"/>
          <w:szCs w:val="24"/>
          <w:highlight w:val="none"/>
        </w:rPr>
      </w:pPr>
      <w:r>
        <w:rPr>
          <w:rFonts w:hint="eastAsia" w:ascii="宋体" w:hAnsi="宋体" w:cs="宋体"/>
          <w:color w:val="auto"/>
          <w:kern w:val="2"/>
          <w:szCs w:val="24"/>
          <w:highlight w:val="none"/>
        </w:rPr>
        <w:t>故障发生原因及责任；</w:t>
      </w:r>
    </w:p>
    <w:p>
      <w:pPr>
        <w:pStyle w:val="225"/>
        <w:numPr>
          <w:ilvl w:val="0"/>
          <w:numId w:val="15"/>
        </w:numPr>
        <w:tabs>
          <w:tab w:val="left" w:pos="567"/>
        </w:tabs>
        <w:spacing w:before="0" w:after="0"/>
        <w:ind w:firstLine="0" w:firstLineChars="0"/>
        <w:rPr>
          <w:rFonts w:ascii="宋体" w:hAnsi="宋体" w:cs="宋体"/>
          <w:color w:val="auto"/>
          <w:kern w:val="2"/>
          <w:szCs w:val="24"/>
          <w:highlight w:val="none"/>
        </w:rPr>
      </w:pPr>
      <w:r>
        <w:rPr>
          <w:rFonts w:hint="eastAsia" w:ascii="宋体" w:hAnsi="宋体" w:cs="宋体"/>
          <w:color w:val="auto"/>
          <w:kern w:val="2"/>
          <w:szCs w:val="24"/>
          <w:highlight w:val="none"/>
        </w:rPr>
        <w:t>故障发生后采取的应急措施及故障控制情况；</w:t>
      </w:r>
    </w:p>
    <w:p>
      <w:pPr>
        <w:pStyle w:val="225"/>
        <w:numPr>
          <w:ilvl w:val="0"/>
          <w:numId w:val="15"/>
        </w:numPr>
        <w:tabs>
          <w:tab w:val="left" w:pos="567"/>
        </w:tabs>
        <w:spacing w:before="0" w:after="0"/>
        <w:ind w:firstLine="0" w:firstLineChars="0"/>
        <w:rPr>
          <w:rFonts w:ascii="宋体" w:hAnsi="宋体" w:cs="宋体"/>
          <w:color w:val="auto"/>
          <w:kern w:val="2"/>
          <w:szCs w:val="24"/>
          <w:highlight w:val="none"/>
        </w:rPr>
      </w:pPr>
      <w:r>
        <w:rPr>
          <w:rFonts w:hint="eastAsia" w:ascii="宋体" w:hAnsi="宋体" w:cs="宋体"/>
          <w:color w:val="auto"/>
          <w:kern w:val="2"/>
          <w:szCs w:val="24"/>
          <w:highlight w:val="none"/>
        </w:rPr>
        <w:t>故障处理过程中客户的反应及相应处理情况；</w:t>
      </w:r>
    </w:p>
    <w:p>
      <w:pPr>
        <w:pStyle w:val="225"/>
        <w:numPr>
          <w:ilvl w:val="0"/>
          <w:numId w:val="15"/>
        </w:numPr>
        <w:tabs>
          <w:tab w:val="left" w:pos="567"/>
        </w:tabs>
        <w:spacing w:before="0" w:after="0"/>
        <w:ind w:firstLine="0" w:firstLineChars="0"/>
        <w:rPr>
          <w:rFonts w:ascii="宋体" w:hAnsi="宋体" w:cs="宋体"/>
          <w:color w:val="auto"/>
          <w:kern w:val="2"/>
          <w:szCs w:val="24"/>
          <w:highlight w:val="none"/>
        </w:rPr>
      </w:pPr>
      <w:r>
        <w:rPr>
          <w:rFonts w:hint="eastAsia" w:ascii="宋体" w:hAnsi="宋体" w:cs="宋体"/>
          <w:color w:val="auto"/>
          <w:kern w:val="2"/>
          <w:szCs w:val="24"/>
          <w:highlight w:val="none"/>
        </w:rPr>
        <w:t>采取的预防措施；</w:t>
      </w:r>
    </w:p>
    <w:p>
      <w:pPr>
        <w:spacing w:line="360" w:lineRule="auto"/>
        <w:rPr>
          <w:rFonts w:hAnsi="宋体" w:cs="宋体"/>
          <w:color w:val="auto"/>
          <w:kern w:val="2"/>
          <w:szCs w:val="24"/>
          <w:highlight w:val="none"/>
        </w:rPr>
      </w:pPr>
      <w:r>
        <w:rPr>
          <w:rFonts w:hint="eastAsia" w:hAnsi="宋体" w:cs="宋体"/>
          <w:color w:val="auto"/>
          <w:kern w:val="2"/>
          <w:szCs w:val="24"/>
          <w:highlight w:val="none"/>
        </w:rPr>
        <w:t>对有关责任人的处理意见；</w:t>
      </w:r>
    </w:p>
    <w:p>
      <w:pPr>
        <w:spacing w:line="360" w:lineRule="auto"/>
        <w:jc w:val="left"/>
        <w:rPr>
          <w:rFonts w:hAnsi="宋体" w:cs="宋体"/>
          <w:b/>
          <w:bCs/>
          <w:color w:val="auto"/>
          <w:kern w:val="2"/>
          <w:szCs w:val="24"/>
          <w:highlight w:val="none"/>
        </w:rPr>
      </w:pPr>
      <w:bookmarkStart w:id="182" w:name="_Toc3395"/>
      <w:bookmarkStart w:id="183" w:name="_Toc18278"/>
      <w:bookmarkStart w:id="184" w:name="_Toc364089429"/>
      <w:bookmarkStart w:id="185" w:name="_Toc18499"/>
      <w:bookmarkStart w:id="186" w:name="_Toc6840920"/>
      <w:bookmarkStart w:id="187" w:name="_Toc5281090"/>
      <w:bookmarkStart w:id="188" w:name="_Toc21397"/>
      <w:bookmarkStart w:id="189" w:name="_Toc4751275"/>
      <w:bookmarkStart w:id="190" w:name="_Toc366082377"/>
      <w:r>
        <w:rPr>
          <w:rFonts w:hint="eastAsia" w:hAnsi="宋体" w:cs="宋体"/>
          <w:b/>
          <w:bCs/>
          <w:color w:val="auto"/>
          <w:kern w:val="2"/>
          <w:szCs w:val="24"/>
          <w:highlight w:val="none"/>
        </w:rPr>
        <w:t>九、备品备件服务</w:t>
      </w:r>
      <w:bookmarkEnd w:id="182"/>
      <w:bookmarkEnd w:id="183"/>
      <w:bookmarkEnd w:id="184"/>
      <w:bookmarkEnd w:id="185"/>
      <w:bookmarkEnd w:id="186"/>
      <w:bookmarkEnd w:id="187"/>
      <w:bookmarkEnd w:id="188"/>
      <w:bookmarkEnd w:id="189"/>
      <w:bookmarkEnd w:id="190"/>
    </w:p>
    <w:p>
      <w:pPr>
        <w:spacing w:line="360" w:lineRule="auto"/>
        <w:rPr>
          <w:rFonts w:hAnsi="宋体" w:cs="宋体"/>
          <w:color w:val="auto"/>
          <w:kern w:val="2"/>
          <w:szCs w:val="24"/>
          <w:highlight w:val="none"/>
        </w:rPr>
      </w:pPr>
      <w:r>
        <w:rPr>
          <w:rFonts w:hint="eastAsia" w:hAnsi="宋体" w:cs="宋体"/>
          <w:color w:val="auto"/>
          <w:kern w:val="2"/>
          <w:szCs w:val="24"/>
          <w:highlight w:val="none"/>
        </w:rPr>
        <w:t>充分的备品备件供应是保障系统稳定运营的必要条件，是保障系统出现故障时能够在短时间内恢复运行的物质基础。良好的系统设备、部件及备件管理是提升我方服务质量的前提。因此备品备件的保障非常重要。</w:t>
      </w:r>
    </w:p>
    <w:p>
      <w:pPr>
        <w:spacing w:line="360" w:lineRule="auto"/>
        <w:rPr>
          <w:rFonts w:hAnsi="宋体" w:cs="宋体"/>
          <w:color w:val="auto"/>
          <w:kern w:val="2"/>
          <w:szCs w:val="24"/>
          <w:highlight w:val="none"/>
        </w:rPr>
      </w:pPr>
      <w:r>
        <w:rPr>
          <w:rFonts w:hint="eastAsia" w:hAnsi="宋体" w:cs="宋体"/>
          <w:color w:val="auto"/>
          <w:kern w:val="2"/>
          <w:szCs w:val="24"/>
          <w:highlight w:val="none"/>
        </w:rPr>
        <w:t>我方在备品备件仓库存储充足的备品备件，确保有足够的备品备件，并对备品备件进行必要的维护检查和保养，保证备品备件的性能可靠，随时可以投入应用。</w:t>
      </w:r>
    </w:p>
    <w:p>
      <w:pPr>
        <w:spacing w:line="360" w:lineRule="auto"/>
        <w:jc w:val="left"/>
        <w:rPr>
          <w:rFonts w:hAnsi="宋体" w:cs="宋体"/>
          <w:b/>
          <w:bCs/>
          <w:color w:val="auto"/>
          <w:kern w:val="2"/>
          <w:szCs w:val="24"/>
          <w:highlight w:val="none"/>
        </w:rPr>
      </w:pPr>
      <w:bookmarkStart w:id="191" w:name="_Toc7749"/>
      <w:bookmarkStart w:id="192" w:name="_Toc16600"/>
      <w:bookmarkStart w:id="193" w:name="_Toc6840921"/>
      <w:bookmarkStart w:id="194" w:name="_Toc26056"/>
      <w:bookmarkStart w:id="195" w:name="_Toc4751276"/>
      <w:bookmarkStart w:id="196" w:name="_Toc19162"/>
      <w:bookmarkStart w:id="197" w:name="_Toc5281091"/>
      <w:bookmarkStart w:id="198" w:name="_Toc28680"/>
      <w:r>
        <w:rPr>
          <w:rFonts w:hint="eastAsia" w:hAnsi="宋体" w:cs="宋体"/>
          <w:b/>
          <w:bCs/>
          <w:color w:val="auto"/>
          <w:kern w:val="2"/>
          <w:szCs w:val="24"/>
          <w:highlight w:val="none"/>
        </w:rPr>
        <w:t>十、质保期后的技术服务</w:t>
      </w:r>
      <w:bookmarkEnd w:id="191"/>
      <w:bookmarkEnd w:id="192"/>
      <w:bookmarkEnd w:id="193"/>
      <w:bookmarkEnd w:id="194"/>
      <w:bookmarkEnd w:id="195"/>
      <w:bookmarkEnd w:id="196"/>
      <w:bookmarkEnd w:id="197"/>
      <w:bookmarkEnd w:id="198"/>
    </w:p>
    <w:p>
      <w:pPr>
        <w:spacing w:line="360" w:lineRule="auto"/>
        <w:jc w:val="center"/>
        <w:rPr>
          <w:rFonts w:hAnsi="宋体" w:cs="宋体"/>
          <w:b/>
          <w:bCs/>
          <w:color w:val="auto"/>
          <w:highlight w:val="none"/>
        </w:rPr>
      </w:pPr>
      <w:r>
        <w:rPr>
          <w:rFonts w:hint="eastAsia" w:hAnsi="宋体" w:cs="宋体"/>
          <w:b/>
          <w:bCs/>
          <w:color w:val="auto"/>
          <w:highlight w:val="none"/>
        </w:rPr>
        <w:t>质保期后技术服务</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843"/>
        <w:gridCol w:w="541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9326" w:type="dxa"/>
            <w:gridSpan w:val="4"/>
            <w:vAlign w:val="center"/>
          </w:tcPr>
          <w:p>
            <w:pPr>
              <w:widowControl/>
              <w:tabs>
                <w:tab w:val="left" w:pos="567"/>
              </w:tabs>
              <w:spacing w:line="360" w:lineRule="exact"/>
              <w:jc w:val="center"/>
              <w:rPr>
                <w:rFonts w:hAnsi="宋体" w:cs="宋体"/>
                <w:b/>
                <w:bCs/>
                <w:color w:val="auto"/>
                <w:highlight w:val="none"/>
              </w:rPr>
            </w:pPr>
            <w:r>
              <w:rPr>
                <w:rFonts w:hint="eastAsia" w:hAnsi="宋体" w:cs="宋体"/>
                <w:b/>
                <w:bCs/>
                <w:color w:val="auto"/>
                <w:highlight w:val="none"/>
              </w:rPr>
              <w:t>质保期技术服务清单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96" w:type="dxa"/>
            <w:vAlign w:val="center"/>
          </w:tcPr>
          <w:p>
            <w:pPr>
              <w:widowControl/>
              <w:tabs>
                <w:tab w:val="left" w:pos="567"/>
              </w:tabs>
              <w:spacing w:line="360" w:lineRule="exact"/>
              <w:jc w:val="center"/>
              <w:rPr>
                <w:rFonts w:hAnsi="宋体" w:cs="宋体"/>
                <w:b/>
                <w:color w:val="auto"/>
                <w:highlight w:val="none"/>
              </w:rPr>
            </w:pPr>
            <w:r>
              <w:rPr>
                <w:rFonts w:hint="eastAsia" w:hAnsi="宋体" w:cs="宋体"/>
                <w:b/>
                <w:color w:val="auto"/>
                <w:highlight w:val="none"/>
              </w:rPr>
              <w:t>序号</w:t>
            </w:r>
          </w:p>
        </w:tc>
        <w:tc>
          <w:tcPr>
            <w:tcW w:w="1843" w:type="dxa"/>
            <w:vAlign w:val="center"/>
          </w:tcPr>
          <w:p>
            <w:pPr>
              <w:widowControl/>
              <w:tabs>
                <w:tab w:val="left" w:pos="567"/>
              </w:tabs>
              <w:spacing w:line="360" w:lineRule="exact"/>
              <w:jc w:val="center"/>
              <w:rPr>
                <w:rFonts w:hAnsi="宋体" w:cs="宋体"/>
                <w:b/>
                <w:color w:val="auto"/>
                <w:highlight w:val="none"/>
              </w:rPr>
            </w:pPr>
            <w:r>
              <w:rPr>
                <w:rFonts w:hint="eastAsia" w:hAnsi="宋体" w:cs="宋体"/>
                <w:b/>
                <w:color w:val="auto"/>
                <w:highlight w:val="none"/>
              </w:rPr>
              <w:t>服务项目</w:t>
            </w:r>
          </w:p>
        </w:tc>
        <w:tc>
          <w:tcPr>
            <w:tcW w:w="5415" w:type="dxa"/>
            <w:vAlign w:val="center"/>
          </w:tcPr>
          <w:p>
            <w:pPr>
              <w:widowControl/>
              <w:tabs>
                <w:tab w:val="left" w:pos="567"/>
              </w:tabs>
              <w:spacing w:line="360" w:lineRule="exact"/>
              <w:jc w:val="center"/>
              <w:rPr>
                <w:rFonts w:hAnsi="宋体" w:cs="宋体"/>
                <w:b/>
                <w:color w:val="auto"/>
                <w:highlight w:val="none"/>
              </w:rPr>
            </w:pPr>
            <w:r>
              <w:rPr>
                <w:rFonts w:hint="eastAsia" w:hAnsi="宋体" w:cs="宋体"/>
                <w:b/>
                <w:color w:val="auto"/>
                <w:highlight w:val="none"/>
              </w:rPr>
              <w:t>计算标准</w:t>
            </w:r>
          </w:p>
        </w:tc>
        <w:tc>
          <w:tcPr>
            <w:tcW w:w="1172" w:type="dxa"/>
            <w:vAlign w:val="center"/>
          </w:tcPr>
          <w:p>
            <w:pPr>
              <w:widowControl/>
              <w:tabs>
                <w:tab w:val="left" w:pos="567"/>
              </w:tabs>
              <w:spacing w:line="360" w:lineRule="exact"/>
              <w:jc w:val="center"/>
              <w:rPr>
                <w:rFonts w:hAnsi="宋体" w:cs="宋体"/>
                <w:b/>
                <w:bCs/>
                <w:color w:val="auto"/>
                <w:highlight w:val="none"/>
              </w:rPr>
            </w:pPr>
            <w:r>
              <w:rPr>
                <w:rFonts w:hint="eastAsia" w:hAnsi="宋体" w:cs="宋体"/>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远程支持服务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维护中遇到使用中自己不能解决的设备主要问题和一般问题时，通过电话、传真或电子邮件的方式向我公司提出服务请求。我公司在规定的时间内进行响应，解答用户疑问，指导运维人员排除设备故障。对于此种方式无法解决的问题，升级到远程技术支持或现场技术支持，关键问题直接进入“紧急故障排除服务”。</w:t>
            </w:r>
          </w:p>
        </w:tc>
        <w:tc>
          <w:tcPr>
            <w:tcW w:w="1172" w:type="dxa"/>
            <w:vMerge w:val="restart"/>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质保期内技术服务免费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2</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咨询和电话支持服务7×24小时</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维护中遇到使用中自己不能解决的设备主要问题和一般问题时，通过电话、传真或电子邮件的方式向我公司提出服务请求。我公司在规定的时间内进行响应，解答用户疑问，指导运维人员排除设备故障。对于此种方式无法解决的问题，升级到远程技术支持或现场技术支持，关键问题直接进入“紧急故障排除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3</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现场支持服务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我公司按项目需求派专业工程师进行技术支持服务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4</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现场值守服务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我公司按项目需求派项目工程师进行现场值守服务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5</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重大事件技术支持服务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我公司按项目需求安排资深工程师进行技术支持</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6</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版本升级服务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提供对应的软件版本支持并提供版本升级服务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7</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资料服务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可以通过设备厂商发放的纸面文档、电子邮件、磁盘、光盘等形式，获得设备厂家的有关产品知识、设备运行、维护经验和技巧等方面的资料。资料服务包括以下服务内容：资料索取服务。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8</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故障件维修服务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对用户在使用过程中出现的故障板件进行修复以保证设备持续可用的服务。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9</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备件同步升级服务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根据需要向设备厂家提出备板备件购买要求，设备厂家根据设备使用方的要求和设备系统实际情况提出详细的备板备件方案建议和报价，为设备使用方提供备件销售服务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10</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设备巡检及健康检查服务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按项目需求派项目工程师进行设备巡检及健康检查服务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11</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第三方设备技术支持服务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设备厂家在外购件统一维修服务中全面负责与第三方设备厂商接口。包含由我方集成和采购、并按照设备使用方要求提供统一维保服务的的第三方设备的服务费用；我公司可以提供外购件维修服务单独报价供设备使用方参考。</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12</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配合运用质量分析服务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我公司按项目需求提供配合运用质量分析服务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13</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网络优化服务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我公司按项目需求提供网络优化服务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14</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紧急故障恢复服务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按照故障处理难易程度收费</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15</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备件紧急支持服务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服务免费，硬件按备件报价收费</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16</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备件销售服务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服务免费，硬件按备件报价收费</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17</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备件同步升级服务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根据需要向设备厂家提出备板备件购买要求，设备厂家根据设备使用方的要求和设备系统实际情况提出详细的备板备件方案建议和报价，为设备使用方提供备件销售服务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18</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运维交流会服务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根据需要派专业工程师提供运维交流会服务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19</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维保执行月报服务</w:t>
            </w:r>
          </w:p>
        </w:tc>
        <w:tc>
          <w:tcPr>
            <w:tcW w:w="5415" w:type="dxa"/>
            <w:vAlign w:val="center"/>
          </w:tcPr>
          <w:p>
            <w:pPr>
              <w:widowControl/>
              <w:tabs>
                <w:tab w:val="left" w:pos="567"/>
              </w:tabs>
              <w:spacing w:line="360" w:lineRule="exact"/>
              <w:jc w:val="left"/>
              <w:rPr>
                <w:rFonts w:hAnsi="宋体" w:cs="宋体"/>
                <w:color w:val="auto"/>
                <w:highlight w:val="none"/>
              </w:rPr>
            </w:pPr>
            <w:r>
              <w:rPr>
                <w:rFonts w:hint="eastAsia" w:hAnsi="宋体" w:cs="宋体"/>
                <w:color w:val="auto"/>
                <w:highlight w:val="none"/>
              </w:rPr>
              <w:t>根据需要进行维保服务</w:t>
            </w: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96"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20</w:t>
            </w:r>
          </w:p>
        </w:tc>
        <w:tc>
          <w:tcPr>
            <w:tcW w:w="1843" w:type="dxa"/>
            <w:vAlign w:val="center"/>
          </w:tcPr>
          <w:p>
            <w:pPr>
              <w:widowControl/>
              <w:tabs>
                <w:tab w:val="left" w:pos="567"/>
              </w:tabs>
              <w:spacing w:line="360" w:lineRule="exact"/>
              <w:jc w:val="center"/>
              <w:rPr>
                <w:rFonts w:hAnsi="宋体" w:cs="宋体"/>
                <w:color w:val="auto"/>
                <w:highlight w:val="none"/>
              </w:rPr>
            </w:pPr>
            <w:r>
              <w:rPr>
                <w:rFonts w:hint="eastAsia" w:hAnsi="宋体" w:cs="宋体"/>
                <w:color w:val="auto"/>
                <w:highlight w:val="none"/>
              </w:rPr>
              <w:t>其它服务</w:t>
            </w:r>
          </w:p>
        </w:tc>
        <w:tc>
          <w:tcPr>
            <w:tcW w:w="5415" w:type="dxa"/>
            <w:vAlign w:val="center"/>
          </w:tcPr>
          <w:p>
            <w:pPr>
              <w:widowControl/>
              <w:tabs>
                <w:tab w:val="left" w:pos="567"/>
              </w:tabs>
              <w:spacing w:line="360" w:lineRule="exact"/>
              <w:jc w:val="left"/>
              <w:rPr>
                <w:rFonts w:hAnsi="宋体" w:cs="宋体"/>
                <w:color w:val="auto"/>
                <w:highlight w:val="none"/>
              </w:rPr>
            </w:pPr>
          </w:p>
        </w:tc>
        <w:tc>
          <w:tcPr>
            <w:tcW w:w="1172" w:type="dxa"/>
            <w:vMerge w:val="continue"/>
            <w:vAlign w:val="center"/>
          </w:tcPr>
          <w:p>
            <w:pPr>
              <w:widowControl/>
              <w:tabs>
                <w:tab w:val="left" w:pos="567"/>
              </w:tabs>
              <w:spacing w:line="360" w:lineRule="exact"/>
              <w:jc w:val="left"/>
              <w:rPr>
                <w:rFonts w:hAnsi="宋体" w:cs="宋体"/>
                <w:color w:val="auto"/>
                <w:highlight w:val="none"/>
              </w:rPr>
            </w:pPr>
          </w:p>
        </w:tc>
      </w:tr>
    </w:tbl>
    <w:p>
      <w:pPr>
        <w:rPr>
          <w:rFonts w:hAnsi="宋体" w:cs="宋体"/>
          <w:color w:val="auto"/>
          <w:highlight w:val="none"/>
        </w:rPr>
      </w:pPr>
      <w:bookmarkStart w:id="199" w:name="_Toc20906"/>
      <w:bookmarkStart w:id="200" w:name="_Toc3902"/>
      <w:bookmarkStart w:id="201" w:name="_Toc20859"/>
      <w:bookmarkStart w:id="202" w:name="_Toc14764"/>
      <w:bookmarkStart w:id="203" w:name="_Toc4751277"/>
      <w:bookmarkStart w:id="204" w:name="_Toc20868"/>
      <w:bookmarkStart w:id="205" w:name="_Toc5281092"/>
    </w:p>
    <w:bookmarkEnd w:id="199"/>
    <w:bookmarkEnd w:id="200"/>
    <w:bookmarkEnd w:id="201"/>
    <w:bookmarkEnd w:id="202"/>
    <w:p>
      <w:pPr>
        <w:pStyle w:val="7"/>
        <w:spacing w:before="0" w:after="0" w:line="360" w:lineRule="auto"/>
        <w:rPr>
          <w:rFonts w:ascii="宋体" w:hAnsi="宋体" w:cs="宋体"/>
          <w:color w:val="auto"/>
          <w:sz w:val="24"/>
          <w:szCs w:val="24"/>
          <w:highlight w:val="none"/>
        </w:rPr>
      </w:pPr>
      <w:bookmarkStart w:id="206" w:name="_Toc6840922"/>
      <w:r>
        <w:rPr>
          <w:rFonts w:hint="eastAsia" w:ascii="宋体" w:hAnsi="宋体" w:cs="宋体"/>
          <w:color w:val="auto"/>
          <w:sz w:val="24"/>
          <w:szCs w:val="24"/>
          <w:highlight w:val="none"/>
        </w:rPr>
        <w:t>十一、售后服务人员配置情况</w:t>
      </w:r>
      <w:bookmarkEnd w:id="203"/>
      <w:bookmarkEnd w:id="204"/>
      <w:bookmarkEnd w:id="205"/>
      <w:bookmarkEnd w:id="206"/>
    </w:p>
    <w:tbl>
      <w:tblPr>
        <w:tblStyle w:val="44"/>
        <w:tblpPr w:leftFromText="180" w:rightFromText="180" w:vertAnchor="text" w:horzAnchor="page" w:tblpX="1569" w:tblpY="1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3"/>
        <w:gridCol w:w="1643"/>
        <w:gridCol w:w="2411"/>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853" w:type="dxa"/>
            <w:vAlign w:val="center"/>
          </w:tcPr>
          <w:p>
            <w:pPr>
              <w:spacing w:line="360" w:lineRule="auto"/>
              <w:jc w:val="center"/>
              <w:rPr>
                <w:rFonts w:hAnsi="宋体" w:cs="宋体"/>
                <w:color w:val="auto"/>
                <w:highlight w:val="none"/>
              </w:rPr>
            </w:pPr>
            <w:r>
              <w:rPr>
                <w:rFonts w:hint="eastAsia" w:hAnsi="宋体" w:cs="宋体"/>
                <w:color w:val="auto"/>
                <w:highlight w:val="none"/>
              </w:rPr>
              <w:t>服务机构名称</w:t>
            </w:r>
          </w:p>
        </w:tc>
        <w:tc>
          <w:tcPr>
            <w:tcW w:w="1643" w:type="dxa"/>
            <w:vAlign w:val="center"/>
          </w:tcPr>
          <w:p>
            <w:pPr>
              <w:spacing w:line="360" w:lineRule="auto"/>
              <w:jc w:val="center"/>
              <w:rPr>
                <w:rFonts w:hAnsi="宋体" w:cs="宋体"/>
                <w:color w:val="auto"/>
                <w:highlight w:val="none"/>
              </w:rPr>
            </w:pPr>
            <w:r>
              <w:rPr>
                <w:rFonts w:hint="eastAsia" w:hAnsi="宋体" w:cs="宋体"/>
                <w:color w:val="auto"/>
                <w:highlight w:val="none"/>
              </w:rPr>
              <w:t>联系人</w:t>
            </w:r>
          </w:p>
        </w:tc>
        <w:tc>
          <w:tcPr>
            <w:tcW w:w="2411" w:type="dxa"/>
            <w:vAlign w:val="center"/>
          </w:tcPr>
          <w:p>
            <w:pPr>
              <w:spacing w:line="360" w:lineRule="auto"/>
              <w:jc w:val="center"/>
              <w:rPr>
                <w:rFonts w:hAnsi="宋体" w:cs="宋体"/>
                <w:color w:val="auto"/>
                <w:highlight w:val="none"/>
              </w:rPr>
            </w:pPr>
            <w:r>
              <w:rPr>
                <w:rFonts w:hint="eastAsia" w:hAnsi="宋体" w:cs="宋体"/>
                <w:color w:val="auto"/>
                <w:highlight w:val="none"/>
              </w:rPr>
              <w:t>职责</w:t>
            </w:r>
          </w:p>
        </w:tc>
        <w:tc>
          <w:tcPr>
            <w:tcW w:w="2215" w:type="dxa"/>
            <w:vAlign w:val="center"/>
          </w:tcPr>
          <w:p>
            <w:pPr>
              <w:spacing w:line="360" w:lineRule="auto"/>
              <w:jc w:val="center"/>
              <w:rPr>
                <w:rFonts w:hAnsi="宋体" w:cs="宋体"/>
                <w:color w:val="auto"/>
                <w:highlight w:val="none"/>
              </w:rPr>
            </w:pPr>
            <w:r>
              <w:rPr>
                <w:rFonts w:hint="eastAsia" w:hAnsi="宋体" w:cs="宋体"/>
                <w:color w:val="auto"/>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53" w:type="dxa"/>
            <w:vMerge w:val="restart"/>
            <w:vAlign w:val="center"/>
          </w:tcPr>
          <w:p>
            <w:pPr>
              <w:spacing w:line="360" w:lineRule="auto"/>
              <w:jc w:val="center"/>
              <w:rPr>
                <w:rFonts w:hAnsi="宋体" w:cs="宋体"/>
                <w:color w:val="auto"/>
                <w:highlight w:val="none"/>
              </w:rPr>
            </w:pPr>
          </w:p>
        </w:tc>
        <w:tc>
          <w:tcPr>
            <w:tcW w:w="1643" w:type="dxa"/>
            <w:vAlign w:val="center"/>
          </w:tcPr>
          <w:p>
            <w:pPr>
              <w:spacing w:line="360" w:lineRule="auto"/>
              <w:jc w:val="center"/>
              <w:rPr>
                <w:rFonts w:hAnsi="宋体" w:cs="宋体"/>
                <w:color w:val="auto"/>
                <w:highlight w:val="none"/>
              </w:rPr>
            </w:pPr>
          </w:p>
        </w:tc>
        <w:tc>
          <w:tcPr>
            <w:tcW w:w="2411" w:type="dxa"/>
            <w:vAlign w:val="center"/>
          </w:tcPr>
          <w:p>
            <w:pPr>
              <w:spacing w:line="360" w:lineRule="auto"/>
              <w:jc w:val="center"/>
              <w:rPr>
                <w:rFonts w:hAnsi="宋体" w:cs="宋体"/>
                <w:color w:val="auto"/>
                <w:highlight w:val="none"/>
              </w:rPr>
            </w:pPr>
          </w:p>
        </w:tc>
        <w:tc>
          <w:tcPr>
            <w:tcW w:w="2215" w:type="dxa"/>
            <w:vAlign w:val="center"/>
          </w:tcPr>
          <w:p>
            <w:pPr>
              <w:spacing w:line="360" w:lineRule="auto"/>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53" w:type="dxa"/>
            <w:vMerge w:val="continue"/>
            <w:vAlign w:val="center"/>
          </w:tcPr>
          <w:p>
            <w:pPr>
              <w:spacing w:line="360" w:lineRule="auto"/>
              <w:jc w:val="center"/>
              <w:rPr>
                <w:rFonts w:hAnsi="宋体" w:cs="宋体"/>
                <w:color w:val="auto"/>
                <w:highlight w:val="none"/>
              </w:rPr>
            </w:pPr>
          </w:p>
        </w:tc>
        <w:tc>
          <w:tcPr>
            <w:tcW w:w="1643" w:type="dxa"/>
            <w:vAlign w:val="center"/>
          </w:tcPr>
          <w:p>
            <w:pPr>
              <w:spacing w:line="360" w:lineRule="auto"/>
              <w:jc w:val="center"/>
              <w:rPr>
                <w:rFonts w:hAnsi="宋体" w:cs="宋体"/>
                <w:color w:val="auto"/>
                <w:highlight w:val="none"/>
              </w:rPr>
            </w:pPr>
          </w:p>
        </w:tc>
        <w:tc>
          <w:tcPr>
            <w:tcW w:w="2411" w:type="dxa"/>
            <w:vAlign w:val="center"/>
          </w:tcPr>
          <w:p>
            <w:pPr>
              <w:spacing w:line="360" w:lineRule="auto"/>
              <w:jc w:val="center"/>
              <w:rPr>
                <w:rFonts w:hAnsi="宋体" w:cs="宋体"/>
                <w:color w:val="auto"/>
                <w:highlight w:val="none"/>
              </w:rPr>
            </w:pPr>
          </w:p>
        </w:tc>
        <w:tc>
          <w:tcPr>
            <w:tcW w:w="2215" w:type="dxa"/>
            <w:vAlign w:val="center"/>
          </w:tcPr>
          <w:p>
            <w:pPr>
              <w:spacing w:line="360" w:lineRule="auto"/>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53" w:type="dxa"/>
            <w:vMerge w:val="continue"/>
            <w:vAlign w:val="center"/>
          </w:tcPr>
          <w:p>
            <w:pPr>
              <w:spacing w:line="360" w:lineRule="auto"/>
              <w:jc w:val="center"/>
              <w:rPr>
                <w:rFonts w:hAnsi="宋体" w:cs="宋体"/>
                <w:color w:val="auto"/>
                <w:highlight w:val="none"/>
              </w:rPr>
            </w:pPr>
          </w:p>
        </w:tc>
        <w:tc>
          <w:tcPr>
            <w:tcW w:w="1643" w:type="dxa"/>
            <w:vAlign w:val="center"/>
          </w:tcPr>
          <w:p>
            <w:pPr>
              <w:spacing w:line="360" w:lineRule="auto"/>
              <w:jc w:val="center"/>
              <w:rPr>
                <w:rFonts w:hAnsi="宋体" w:cs="宋体"/>
                <w:color w:val="auto"/>
                <w:highlight w:val="none"/>
              </w:rPr>
            </w:pPr>
          </w:p>
        </w:tc>
        <w:tc>
          <w:tcPr>
            <w:tcW w:w="2411" w:type="dxa"/>
            <w:vAlign w:val="center"/>
          </w:tcPr>
          <w:p>
            <w:pPr>
              <w:spacing w:line="360" w:lineRule="auto"/>
              <w:jc w:val="center"/>
              <w:rPr>
                <w:rFonts w:hAnsi="宋体" w:cs="宋体"/>
                <w:color w:val="auto"/>
                <w:highlight w:val="none"/>
              </w:rPr>
            </w:pPr>
          </w:p>
        </w:tc>
        <w:tc>
          <w:tcPr>
            <w:tcW w:w="2215" w:type="dxa"/>
            <w:vAlign w:val="center"/>
          </w:tcPr>
          <w:p>
            <w:pPr>
              <w:spacing w:line="360" w:lineRule="auto"/>
              <w:jc w:val="center"/>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53" w:type="dxa"/>
            <w:vMerge w:val="continue"/>
            <w:vAlign w:val="center"/>
          </w:tcPr>
          <w:p>
            <w:pPr>
              <w:spacing w:line="360" w:lineRule="auto"/>
              <w:jc w:val="center"/>
              <w:rPr>
                <w:rFonts w:hAnsi="宋体" w:cs="宋体"/>
                <w:color w:val="auto"/>
                <w:highlight w:val="none"/>
              </w:rPr>
            </w:pPr>
          </w:p>
        </w:tc>
        <w:tc>
          <w:tcPr>
            <w:tcW w:w="1643" w:type="dxa"/>
            <w:vAlign w:val="center"/>
          </w:tcPr>
          <w:p>
            <w:pPr>
              <w:spacing w:line="360" w:lineRule="auto"/>
              <w:jc w:val="center"/>
              <w:rPr>
                <w:rFonts w:hAnsi="宋体" w:cs="宋体"/>
                <w:color w:val="auto"/>
                <w:highlight w:val="none"/>
              </w:rPr>
            </w:pPr>
          </w:p>
        </w:tc>
        <w:tc>
          <w:tcPr>
            <w:tcW w:w="2411" w:type="dxa"/>
            <w:vAlign w:val="center"/>
          </w:tcPr>
          <w:p>
            <w:pPr>
              <w:spacing w:line="360" w:lineRule="auto"/>
              <w:jc w:val="center"/>
              <w:rPr>
                <w:rFonts w:hAnsi="宋体" w:cs="宋体"/>
                <w:color w:val="auto"/>
                <w:highlight w:val="none"/>
              </w:rPr>
            </w:pPr>
          </w:p>
        </w:tc>
        <w:tc>
          <w:tcPr>
            <w:tcW w:w="2215" w:type="dxa"/>
            <w:vAlign w:val="center"/>
          </w:tcPr>
          <w:p>
            <w:pPr>
              <w:spacing w:line="360" w:lineRule="auto"/>
              <w:jc w:val="center"/>
              <w:rPr>
                <w:rFonts w:hAnsi="宋体" w:cs="宋体"/>
                <w:color w:val="auto"/>
                <w:highlight w:val="none"/>
              </w:rPr>
            </w:pPr>
          </w:p>
        </w:tc>
      </w:tr>
    </w:tbl>
    <w:p>
      <w:pPr>
        <w:jc w:val="center"/>
        <w:rPr>
          <w:rFonts w:hAnsi="宋体" w:cs="宋体"/>
          <w:b/>
          <w:bCs/>
          <w:color w:val="auto"/>
          <w:highlight w:val="none"/>
        </w:rPr>
      </w:pPr>
      <w:r>
        <w:rPr>
          <w:rFonts w:hint="eastAsia" w:hAnsi="宋体" w:cs="宋体"/>
          <w:b/>
          <w:bCs/>
          <w:color w:val="auto"/>
          <w:highlight w:val="none"/>
        </w:rPr>
        <w:t xml:space="preserve"> </w:t>
      </w:r>
    </w:p>
    <w:p>
      <w:pPr>
        <w:jc w:val="center"/>
        <w:rPr>
          <w:rFonts w:hAnsi="宋体" w:cs="宋体"/>
          <w:color w:val="auto"/>
          <w:szCs w:val="24"/>
          <w:highlight w:val="none"/>
        </w:rPr>
      </w:pPr>
      <w:r>
        <w:rPr>
          <w:rFonts w:hint="eastAsia" w:hAnsi="宋体" w:cs="宋体"/>
          <w:b/>
          <w:bCs/>
          <w:color w:val="auto"/>
          <w:highlight w:val="none"/>
        </w:rPr>
        <w:t>办公地点及服务机构</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990"/>
        <w:gridCol w:w="1140"/>
        <w:gridCol w:w="1545"/>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851" w:type="dxa"/>
            <w:vAlign w:val="center"/>
          </w:tcPr>
          <w:p>
            <w:pPr>
              <w:jc w:val="center"/>
              <w:rPr>
                <w:rFonts w:hAnsi="宋体" w:cs="宋体"/>
                <w:color w:val="auto"/>
                <w:highlight w:val="none"/>
              </w:rPr>
            </w:pPr>
            <w:r>
              <w:rPr>
                <w:rFonts w:hint="eastAsia" w:hAnsi="宋体" w:cs="宋体"/>
                <w:color w:val="auto"/>
                <w:highlight w:val="none"/>
              </w:rPr>
              <w:t>服务机构名称</w:t>
            </w:r>
          </w:p>
        </w:tc>
        <w:tc>
          <w:tcPr>
            <w:tcW w:w="990" w:type="dxa"/>
            <w:vAlign w:val="center"/>
          </w:tcPr>
          <w:p>
            <w:pPr>
              <w:jc w:val="center"/>
              <w:rPr>
                <w:rFonts w:hAnsi="宋体" w:cs="宋体"/>
                <w:color w:val="auto"/>
                <w:highlight w:val="none"/>
              </w:rPr>
            </w:pPr>
            <w:r>
              <w:rPr>
                <w:rFonts w:hint="eastAsia" w:hAnsi="宋体" w:cs="宋体"/>
                <w:color w:val="auto"/>
                <w:highlight w:val="none"/>
              </w:rPr>
              <w:t>所在地</w:t>
            </w:r>
          </w:p>
        </w:tc>
        <w:tc>
          <w:tcPr>
            <w:tcW w:w="1140" w:type="dxa"/>
            <w:vAlign w:val="center"/>
          </w:tcPr>
          <w:p>
            <w:pPr>
              <w:jc w:val="center"/>
              <w:rPr>
                <w:rFonts w:hAnsi="宋体" w:cs="宋体"/>
                <w:color w:val="auto"/>
                <w:highlight w:val="none"/>
              </w:rPr>
            </w:pPr>
            <w:r>
              <w:rPr>
                <w:rFonts w:hint="eastAsia" w:hAnsi="宋体" w:cs="宋体"/>
                <w:color w:val="auto"/>
                <w:highlight w:val="none"/>
              </w:rPr>
              <w:t>部门</w:t>
            </w:r>
          </w:p>
        </w:tc>
        <w:tc>
          <w:tcPr>
            <w:tcW w:w="1545" w:type="dxa"/>
            <w:vAlign w:val="center"/>
          </w:tcPr>
          <w:p>
            <w:pPr>
              <w:jc w:val="center"/>
              <w:rPr>
                <w:rFonts w:hAnsi="宋体" w:cs="宋体"/>
                <w:color w:val="auto"/>
                <w:highlight w:val="none"/>
              </w:rPr>
            </w:pPr>
            <w:r>
              <w:rPr>
                <w:rFonts w:hint="eastAsia" w:hAnsi="宋体" w:cs="宋体"/>
                <w:color w:val="auto"/>
                <w:highlight w:val="none"/>
              </w:rPr>
              <w:t>联系电话</w:t>
            </w:r>
          </w:p>
        </w:tc>
        <w:tc>
          <w:tcPr>
            <w:tcW w:w="2894" w:type="dxa"/>
            <w:vAlign w:val="center"/>
          </w:tcPr>
          <w:p>
            <w:pPr>
              <w:jc w:val="center"/>
              <w:rPr>
                <w:rFonts w:hAnsi="宋体" w:cs="宋体"/>
                <w:color w:val="auto"/>
                <w:highlight w:val="none"/>
              </w:rPr>
            </w:pPr>
            <w:r>
              <w:rPr>
                <w:rFonts w:hint="eastAsia" w:hAnsi="宋体" w:cs="宋体"/>
                <w:color w:val="auto"/>
                <w:highlight w:val="none"/>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2851" w:type="dxa"/>
            <w:vAlign w:val="center"/>
          </w:tcPr>
          <w:p>
            <w:pPr>
              <w:jc w:val="center"/>
              <w:rPr>
                <w:rFonts w:hAnsi="宋体" w:cs="宋体"/>
                <w:color w:val="auto"/>
                <w:highlight w:val="none"/>
              </w:rPr>
            </w:pPr>
          </w:p>
        </w:tc>
        <w:tc>
          <w:tcPr>
            <w:tcW w:w="990" w:type="dxa"/>
            <w:vAlign w:val="center"/>
          </w:tcPr>
          <w:p>
            <w:pPr>
              <w:jc w:val="center"/>
              <w:rPr>
                <w:rFonts w:hAnsi="宋体" w:cs="宋体"/>
                <w:color w:val="auto"/>
                <w:highlight w:val="none"/>
              </w:rPr>
            </w:pPr>
          </w:p>
        </w:tc>
        <w:tc>
          <w:tcPr>
            <w:tcW w:w="1140" w:type="dxa"/>
            <w:vAlign w:val="center"/>
          </w:tcPr>
          <w:p>
            <w:pPr>
              <w:jc w:val="center"/>
              <w:rPr>
                <w:rFonts w:hAnsi="宋体" w:cs="宋体"/>
                <w:color w:val="auto"/>
                <w:highlight w:val="none"/>
              </w:rPr>
            </w:pPr>
          </w:p>
        </w:tc>
        <w:tc>
          <w:tcPr>
            <w:tcW w:w="1545" w:type="dxa"/>
            <w:vAlign w:val="center"/>
          </w:tcPr>
          <w:p>
            <w:pPr>
              <w:jc w:val="center"/>
              <w:rPr>
                <w:rFonts w:hAnsi="宋体" w:cs="宋体"/>
                <w:color w:val="auto"/>
                <w:highlight w:val="none"/>
              </w:rPr>
            </w:pPr>
          </w:p>
        </w:tc>
        <w:tc>
          <w:tcPr>
            <w:tcW w:w="2894" w:type="dxa"/>
            <w:vAlign w:val="center"/>
          </w:tcPr>
          <w:p>
            <w:pPr>
              <w:jc w:val="center"/>
              <w:rPr>
                <w:rFonts w:hAnsi="宋体" w:cs="宋体"/>
                <w:color w:val="auto"/>
                <w:highlight w:val="none"/>
              </w:rPr>
            </w:pPr>
          </w:p>
        </w:tc>
      </w:tr>
    </w:tbl>
    <w:p>
      <w:pPr>
        <w:pStyle w:val="61"/>
        <w:rPr>
          <w:rFonts w:ascii="宋体" w:hAnsi="宋体" w:cs="宋体"/>
          <w:color w:val="auto"/>
          <w:highlight w:val="none"/>
        </w:rPr>
      </w:pPr>
    </w:p>
    <w:p>
      <w:pPr>
        <w:spacing w:line="480" w:lineRule="exact"/>
        <w:rPr>
          <w:rFonts w:hAnsi="宋体" w:cs="宋体"/>
          <w:b/>
          <w:bCs/>
          <w:color w:val="auto"/>
          <w:highlight w:val="none"/>
        </w:rPr>
        <w:sectPr>
          <w:pgSz w:w="11906" w:h="16838"/>
          <w:pgMar w:top="1417" w:right="1134" w:bottom="1417" w:left="1417" w:header="1134" w:footer="992" w:gutter="0"/>
          <w:pgNumType w:fmt="numberInDash"/>
          <w:cols w:space="720" w:num="1"/>
          <w:titlePg/>
          <w:docGrid w:type="lines" w:linePitch="333" w:charSpace="0"/>
        </w:sectPr>
      </w:pPr>
    </w:p>
    <w:p>
      <w:pPr>
        <w:spacing w:line="360" w:lineRule="auto"/>
        <w:rPr>
          <w:rFonts w:hAnsi="宋体" w:cs="宋体"/>
          <w:b/>
          <w:bCs/>
          <w:color w:val="auto"/>
          <w:highlight w:val="none"/>
        </w:rPr>
      </w:pPr>
      <w:r>
        <w:rPr>
          <w:rFonts w:hint="eastAsia" w:hAnsi="宋体" w:cs="宋体"/>
          <w:b/>
          <w:bCs/>
          <w:color w:val="auto"/>
          <w:highlight w:val="none"/>
        </w:rPr>
        <w:t>附件4—培训计划</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经验证明，完善和成功的培训将是系统建设能否成功的决定因素之一。为此，公司根据信息化集成项目的实际情况，制定了完善的培训计划。</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根据系统建设各个阶段的需要，以集中培训(国内)和现场培训等方式实施培训工作。培训工作分为工程实施阶段和系统运行阶段，在不同阶段培训不同类型的人员。培训内容主要系统的管理、使用及维护等。接受培训的人员在培训后能独立完成相应阶段的技术工作，并能达到回本单位后继续做培训的能力。使工程作到“交钥匙”工程“用户满意”工程。</w:t>
      </w:r>
    </w:p>
    <w:p>
      <w:pPr>
        <w:pStyle w:val="7"/>
        <w:spacing w:before="0" w:after="0" w:line="360" w:lineRule="auto"/>
        <w:rPr>
          <w:rFonts w:ascii="宋体" w:hAnsi="宋体" w:cs="宋体"/>
          <w:color w:val="auto"/>
          <w:sz w:val="24"/>
          <w:szCs w:val="24"/>
          <w:highlight w:val="none"/>
        </w:rPr>
      </w:pPr>
      <w:bookmarkStart w:id="207" w:name="_Toc437963674"/>
      <w:bookmarkStart w:id="208" w:name="_Toc455830778"/>
      <w:bookmarkStart w:id="209" w:name="_Toc407132628"/>
      <w:bookmarkStart w:id="210" w:name="_Toc406487122"/>
      <w:bookmarkStart w:id="211" w:name="_Toc4719"/>
      <w:bookmarkStart w:id="212" w:name="_Toc394439056"/>
      <w:bookmarkStart w:id="213" w:name="_Toc435649541"/>
      <w:bookmarkStart w:id="214" w:name="_Toc23382"/>
      <w:bookmarkStart w:id="215" w:name="_Toc29878"/>
      <w:bookmarkStart w:id="216" w:name="_Toc6840926"/>
      <w:bookmarkStart w:id="217" w:name="_Toc5281094"/>
      <w:bookmarkStart w:id="218" w:name="_Toc396225535"/>
      <w:bookmarkStart w:id="219" w:name="_Toc25886"/>
      <w:bookmarkStart w:id="220" w:name="_Toc24722"/>
      <w:bookmarkStart w:id="221" w:name="_Toc11603"/>
      <w:bookmarkStart w:id="222" w:name="_Toc395805591"/>
      <w:bookmarkStart w:id="223" w:name="_Toc449024111"/>
      <w:bookmarkStart w:id="224" w:name="_Toc4751279"/>
      <w:bookmarkStart w:id="225" w:name="_Toc6612"/>
      <w:r>
        <w:rPr>
          <w:rFonts w:hint="eastAsia" w:ascii="宋体" w:hAnsi="宋体" w:cs="宋体"/>
          <w:color w:val="auto"/>
          <w:sz w:val="24"/>
          <w:szCs w:val="24"/>
          <w:highlight w:val="none"/>
        </w:rPr>
        <w:t>1、培训方案及目的</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在项目实施过程中，本公司除贯穿实施全过程对用户进行培训外，还针对本项目的产品提出一整套系统的培训方案，以达到如下目的：</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工程能够按时高质量的完成。如对买方协作人员的培训。</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系统完工后能够正常运转。如：各种软硬件的操作培训等。</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系统能安全无故障的运行。如针对安全性对技术人员进行安全管理的培训。</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此次培训的老师全部为我公司和相关厂商的专职培训人员。使维护工作人员经培训后能够熟练地掌握系统的软件及硬件维护工作，并能及时排除大部分设备故障。</w:t>
      </w:r>
    </w:p>
    <w:p>
      <w:pPr>
        <w:pStyle w:val="7"/>
        <w:spacing w:before="0" w:after="0" w:line="360" w:lineRule="auto"/>
        <w:rPr>
          <w:rFonts w:ascii="宋体" w:hAnsi="宋体" w:cs="宋体"/>
          <w:color w:val="auto"/>
          <w:sz w:val="24"/>
          <w:szCs w:val="24"/>
          <w:highlight w:val="none"/>
        </w:rPr>
      </w:pPr>
      <w:bookmarkStart w:id="226" w:name="_Toc449024112"/>
      <w:bookmarkStart w:id="227" w:name="_Toc396225536"/>
      <w:bookmarkStart w:id="228" w:name="_Toc437963675"/>
      <w:bookmarkStart w:id="229" w:name="_Toc406487123"/>
      <w:bookmarkStart w:id="230" w:name="_Toc407132629"/>
      <w:bookmarkStart w:id="231" w:name="_Toc394439059"/>
      <w:bookmarkStart w:id="232" w:name="_Toc455830779"/>
      <w:bookmarkStart w:id="233" w:name="_Toc395805592"/>
      <w:bookmarkStart w:id="234" w:name="_Toc16695"/>
      <w:bookmarkStart w:id="235" w:name="_Toc17475"/>
      <w:bookmarkStart w:id="236" w:name="_Toc4344"/>
      <w:bookmarkStart w:id="237" w:name="_Toc6840927"/>
      <w:bookmarkStart w:id="238" w:name="_Toc16483"/>
      <w:bookmarkStart w:id="239" w:name="_Toc26198"/>
      <w:bookmarkStart w:id="240" w:name="_Toc30610"/>
      <w:bookmarkStart w:id="241" w:name="_Toc7031"/>
      <w:bookmarkStart w:id="242" w:name="_Toc5281095"/>
      <w:bookmarkStart w:id="243" w:name="_Toc4751280"/>
      <w:r>
        <w:rPr>
          <w:rFonts w:hint="eastAsia" w:ascii="宋体" w:hAnsi="宋体" w:cs="宋体"/>
          <w:color w:val="auto"/>
          <w:sz w:val="24"/>
          <w:szCs w:val="24"/>
          <w:highlight w:val="none"/>
        </w:rPr>
        <w:t>2、培训</w:t>
      </w:r>
      <w:bookmarkEnd w:id="226"/>
      <w:bookmarkEnd w:id="227"/>
      <w:bookmarkEnd w:id="228"/>
      <w:bookmarkEnd w:id="229"/>
      <w:bookmarkEnd w:id="230"/>
      <w:bookmarkEnd w:id="231"/>
      <w:bookmarkEnd w:id="232"/>
      <w:bookmarkEnd w:id="233"/>
      <w:r>
        <w:rPr>
          <w:rFonts w:hint="eastAsia" w:ascii="宋体" w:hAnsi="宋体" w:cs="宋体"/>
          <w:color w:val="auto"/>
          <w:sz w:val="24"/>
          <w:szCs w:val="24"/>
          <w:highlight w:val="none"/>
        </w:rPr>
        <w:t>环境、教材、制度、特色</w:t>
      </w:r>
      <w:bookmarkEnd w:id="234"/>
      <w:bookmarkEnd w:id="235"/>
      <w:bookmarkEnd w:id="236"/>
      <w:bookmarkEnd w:id="237"/>
      <w:bookmarkEnd w:id="238"/>
      <w:bookmarkEnd w:id="239"/>
      <w:bookmarkEnd w:id="240"/>
      <w:bookmarkEnd w:id="241"/>
      <w:bookmarkEnd w:id="242"/>
      <w:bookmarkEnd w:id="243"/>
    </w:p>
    <w:p>
      <w:pPr>
        <w:spacing w:line="360" w:lineRule="auto"/>
        <w:ind w:firstLine="480" w:firstLineChars="200"/>
        <w:contextualSpacing/>
        <w:rPr>
          <w:rFonts w:hAnsi="宋体" w:cs="宋体"/>
          <w:color w:val="auto"/>
          <w:highlight w:val="none"/>
        </w:rPr>
      </w:pPr>
      <w:r>
        <w:rPr>
          <w:rFonts w:hint="eastAsia" w:hAnsi="宋体" w:cs="宋体"/>
          <w:color w:val="auto"/>
          <w:highlight w:val="none"/>
        </w:rPr>
        <w:t>有效的情景展开</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适用的内容剖析</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实用的课程传授</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课程的量身定做</w:t>
      </w:r>
    </w:p>
    <w:p>
      <w:pPr>
        <w:pStyle w:val="7"/>
        <w:spacing w:before="0" w:after="0" w:line="360" w:lineRule="auto"/>
        <w:rPr>
          <w:rFonts w:ascii="宋体" w:hAnsi="宋体" w:cs="宋体"/>
          <w:color w:val="auto"/>
          <w:sz w:val="24"/>
          <w:szCs w:val="24"/>
          <w:highlight w:val="none"/>
        </w:rPr>
      </w:pPr>
      <w:bookmarkStart w:id="244" w:name="_Toc3245"/>
      <w:bookmarkStart w:id="245" w:name="_Toc371082043"/>
      <w:bookmarkStart w:id="246" w:name="_Toc31614"/>
      <w:bookmarkStart w:id="247" w:name="_Toc383526925"/>
      <w:bookmarkStart w:id="248" w:name="_Toc5281096"/>
      <w:bookmarkStart w:id="249" w:name="_Toc1785"/>
      <w:bookmarkStart w:id="250" w:name="_Toc390247417"/>
      <w:bookmarkStart w:id="251" w:name="_Toc388026139"/>
      <w:bookmarkStart w:id="252" w:name="_Toc19400"/>
      <w:bookmarkStart w:id="253" w:name="_Toc4751281"/>
      <w:bookmarkStart w:id="254" w:name="_Toc6840928"/>
      <w:bookmarkStart w:id="255" w:name="_Toc370801222"/>
      <w:bookmarkStart w:id="256" w:name="_Toc449022286"/>
      <w:bookmarkStart w:id="257" w:name="_Toc14111"/>
      <w:bookmarkStart w:id="258" w:name="_Toc18292"/>
      <w:r>
        <w:rPr>
          <w:rFonts w:hint="eastAsia" w:ascii="宋体" w:hAnsi="宋体" w:cs="宋体"/>
          <w:color w:val="auto"/>
          <w:sz w:val="24"/>
          <w:szCs w:val="24"/>
          <w:highlight w:val="none"/>
        </w:rPr>
        <w:t>3、培训环境</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spacing w:line="360" w:lineRule="auto"/>
        <w:ind w:firstLine="480" w:firstLineChars="200"/>
        <w:contextualSpacing/>
        <w:rPr>
          <w:rFonts w:hAnsi="宋体" w:cs="宋体"/>
          <w:color w:val="auto"/>
          <w:highlight w:val="none"/>
        </w:rPr>
      </w:pPr>
      <w:r>
        <w:rPr>
          <w:rFonts w:hint="eastAsia" w:hAnsi="宋体" w:cs="宋体"/>
          <w:color w:val="auto"/>
          <w:highlight w:val="none"/>
        </w:rPr>
        <w:t>硬件环境因不同的培训场地可能有所差异。以下所列为基本培训环境。</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9"/>
        <w:gridCol w:w="5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设备名称</w:t>
            </w:r>
          </w:p>
        </w:tc>
        <w:tc>
          <w:tcPr>
            <w:tcW w:w="51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培训场所（教室）</w:t>
            </w:r>
          </w:p>
        </w:tc>
        <w:tc>
          <w:tcPr>
            <w:tcW w:w="51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可以容纳每班的培训人员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桌椅</w:t>
            </w:r>
          </w:p>
        </w:tc>
        <w:tc>
          <w:tcPr>
            <w:tcW w:w="51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每人一套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计算机</w:t>
            </w:r>
          </w:p>
        </w:tc>
        <w:tc>
          <w:tcPr>
            <w:tcW w:w="51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每人一台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投影设备</w:t>
            </w:r>
          </w:p>
        </w:tc>
        <w:tc>
          <w:tcPr>
            <w:tcW w:w="51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每个教室一个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hAnsi="宋体" w:cs="宋体"/>
                <w:color w:val="auto"/>
                <w:highlight w:val="none"/>
              </w:rPr>
            </w:pPr>
            <w:r>
              <w:rPr>
                <w:rFonts w:hint="eastAsia" w:hAnsi="宋体" w:cs="宋体"/>
                <w:color w:val="auto"/>
                <w:highlight w:val="none"/>
              </w:rPr>
              <w:t>其他必要的条件</w:t>
            </w:r>
          </w:p>
        </w:tc>
        <w:tc>
          <w:tcPr>
            <w:tcW w:w="518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rPr>
                <w:rFonts w:hAnsi="宋体" w:cs="宋体"/>
                <w:color w:val="auto"/>
                <w:highlight w:val="none"/>
              </w:rPr>
            </w:pPr>
            <w:r>
              <w:rPr>
                <w:rFonts w:hint="eastAsia" w:hAnsi="宋体" w:cs="宋体"/>
                <w:color w:val="auto"/>
                <w:highlight w:val="none"/>
              </w:rPr>
              <w:t>比如白板、白板笔，保证培训环境局域网络的畅通等</w:t>
            </w:r>
          </w:p>
        </w:tc>
      </w:tr>
    </w:tbl>
    <w:p>
      <w:pPr>
        <w:pStyle w:val="7"/>
        <w:spacing w:before="0" w:after="0" w:line="360" w:lineRule="auto"/>
        <w:rPr>
          <w:rFonts w:ascii="宋体" w:hAnsi="宋体" w:cs="宋体"/>
          <w:color w:val="auto"/>
          <w:sz w:val="24"/>
          <w:szCs w:val="24"/>
          <w:highlight w:val="none"/>
        </w:rPr>
      </w:pPr>
      <w:bookmarkStart w:id="259" w:name="_Toc388026140"/>
      <w:bookmarkStart w:id="260" w:name="_Toc342296345"/>
      <w:bookmarkStart w:id="261" w:name="_Toc27828"/>
      <w:bookmarkStart w:id="262" w:name="_Toc5281097"/>
      <w:bookmarkStart w:id="263" w:name="_Toc15828"/>
      <w:bookmarkStart w:id="264" w:name="_Toc19056"/>
      <w:bookmarkStart w:id="265" w:name="_Toc11072"/>
      <w:bookmarkStart w:id="266" w:name="_Toc14351"/>
      <w:bookmarkStart w:id="267" w:name="_Toc11888"/>
      <w:bookmarkStart w:id="268" w:name="_Toc449022287"/>
      <w:bookmarkStart w:id="269" w:name="_Toc371082044"/>
      <w:bookmarkStart w:id="270" w:name="_Toc390247419"/>
      <w:bookmarkStart w:id="271" w:name="_Toc341284427"/>
      <w:bookmarkStart w:id="272" w:name="_Toc6840929"/>
      <w:bookmarkStart w:id="273" w:name="_Toc383526926"/>
      <w:bookmarkStart w:id="274" w:name="_Toc370801223"/>
      <w:bookmarkStart w:id="275" w:name="_Toc4751282"/>
      <w:bookmarkStart w:id="276" w:name="_Toc341371358"/>
      <w:r>
        <w:rPr>
          <w:rFonts w:hint="eastAsia" w:ascii="宋体" w:hAnsi="宋体" w:cs="宋体"/>
          <w:color w:val="auto"/>
          <w:sz w:val="24"/>
          <w:szCs w:val="24"/>
          <w:highlight w:val="none"/>
        </w:rPr>
        <w:t>4、培训教材</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spacing w:line="360" w:lineRule="auto"/>
        <w:ind w:firstLine="480" w:firstLineChars="200"/>
        <w:contextualSpacing/>
        <w:rPr>
          <w:rFonts w:hAnsi="宋体" w:cs="宋体"/>
          <w:color w:val="auto"/>
          <w:highlight w:val="none"/>
        </w:rPr>
      </w:pPr>
      <w:r>
        <w:rPr>
          <w:rFonts w:hint="eastAsia" w:hAnsi="宋体" w:cs="宋体"/>
          <w:color w:val="auto"/>
          <w:highlight w:val="none"/>
        </w:rPr>
        <w:t>一整套培训教材包括以下五个组成部分，其中操作使用分册合并成一本、技术资料汇编合并成一本印刷教材，有关标准规范合并成一本教材，原厂培训资料分别合成一本；而培训用PPT、考试试题部分由公司提供电子文档。</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操作分册</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对系统全部功能的概述、指引，引导学员快速了解系统功能，并掌握基本操作方法；针对系统不同功能分别订制的简洁、图文并茂的操作说明文档；</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技术资料汇编</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包括系统的安装、配置、恢复、故障排除、系统原理和技术性能、成功案例等涉及技术人员日常维护工作的、内容全面、详实的技术文档；</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培训用PPT等</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原厂产品培训资料</w:t>
      </w:r>
    </w:p>
    <w:p>
      <w:pPr>
        <w:spacing w:line="360" w:lineRule="auto"/>
        <w:ind w:firstLine="480" w:firstLineChars="200"/>
        <w:contextualSpacing/>
        <w:rPr>
          <w:rFonts w:hAnsi="宋体" w:cs="宋体"/>
          <w:color w:val="auto"/>
          <w:highlight w:val="none"/>
        </w:rPr>
      </w:pPr>
      <w:r>
        <w:rPr>
          <w:rFonts w:hint="eastAsia" w:hAnsi="宋体" w:cs="宋体"/>
          <w:color w:val="auto"/>
          <w:highlight w:val="none"/>
        </w:rPr>
        <w:t>考试试题</w:t>
      </w:r>
    </w:p>
    <w:p>
      <w:pPr>
        <w:pStyle w:val="7"/>
        <w:spacing w:before="0" w:after="0" w:line="360" w:lineRule="auto"/>
        <w:rPr>
          <w:rFonts w:ascii="宋体" w:hAnsi="宋体" w:cs="宋体"/>
          <w:color w:val="auto"/>
          <w:sz w:val="24"/>
          <w:szCs w:val="24"/>
          <w:highlight w:val="none"/>
        </w:rPr>
      </w:pPr>
      <w:bookmarkStart w:id="277" w:name="_Toc8023"/>
      <w:bookmarkStart w:id="278" w:name="_Toc12290"/>
      <w:bookmarkStart w:id="279" w:name="_Toc5524"/>
      <w:bookmarkStart w:id="280" w:name="_Toc383526927"/>
      <w:bookmarkStart w:id="281" w:name="_Toc9373"/>
      <w:bookmarkStart w:id="282" w:name="_Toc6840930"/>
      <w:bookmarkStart w:id="283" w:name="_Toc3349"/>
      <w:bookmarkStart w:id="284" w:name="_Toc5281098"/>
      <w:bookmarkStart w:id="285" w:name="_Toc388026141"/>
      <w:bookmarkStart w:id="286" w:name="_Toc390247420"/>
      <w:bookmarkStart w:id="287" w:name="_Toc449022288"/>
      <w:bookmarkStart w:id="288" w:name="_Toc4751283"/>
      <w:bookmarkStart w:id="289" w:name="_Toc30478"/>
      <w:r>
        <w:rPr>
          <w:rFonts w:hint="eastAsia" w:ascii="宋体" w:hAnsi="宋体" w:cs="宋体"/>
          <w:color w:val="auto"/>
          <w:sz w:val="24"/>
          <w:szCs w:val="24"/>
          <w:highlight w:val="none"/>
        </w:rPr>
        <w:t>5、培训制度</w:t>
      </w:r>
      <w:bookmarkEnd w:id="277"/>
      <w:bookmarkEnd w:id="278"/>
      <w:bookmarkEnd w:id="279"/>
      <w:bookmarkEnd w:id="280"/>
      <w:bookmarkEnd w:id="281"/>
      <w:bookmarkEnd w:id="282"/>
      <w:bookmarkEnd w:id="283"/>
      <w:bookmarkEnd w:id="284"/>
      <w:bookmarkEnd w:id="285"/>
      <w:bookmarkEnd w:id="286"/>
      <w:bookmarkEnd w:id="287"/>
      <w:bookmarkEnd w:id="288"/>
      <w:bookmarkEnd w:id="289"/>
    </w:p>
    <w:p>
      <w:pPr>
        <w:spacing w:line="360" w:lineRule="auto"/>
        <w:ind w:left="480" w:leftChars="200"/>
        <w:contextualSpacing/>
        <w:rPr>
          <w:rFonts w:hAnsi="宋体" w:cs="宋体"/>
          <w:color w:val="auto"/>
          <w:highlight w:val="none"/>
        </w:rPr>
      </w:pPr>
      <w:r>
        <w:rPr>
          <w:rFonts w:hint="eastAsia" w:hAnsi="宋体" w:cs="宋体"/>
          <w:color w:val="auto"/>
          <w:highlight w:val="none"/>
        </w:rPr>
        <w:t>1）严格遵守培训课程表中的作息时间；</w:t>
      </w:r>
    </w:p>
    <w:p>
      <w:pPr>
        <w:spacing w:line="360" w:lineRule="auto"/>
        <w:ind w:left="480" w:leftChars="200"/>
        <w:contextualSpacing/>
        <w:rPr>
          <w:rFonts w:hAnsi="宋体" w:cs="宋体"/>
          <w:color w:val="auto"/>
          <w:highlight w:val="none"/>
        </w:rPr>
      </w:pPr>
      <w:r>
        <w:rPr>
          <w:rFonts w:hint="eastAsia" w:hAnsi="宋体" w:cs="宋体"/>
          <w:color w:val="auto"/>
          <w:highlight w:val="none"/>
        </w:rPr>
        <w:t>2）有例外事情需要向培训负责人请假；</w:t>
      </w:r>
    </w:p>
    <w:p>
      <w:pPr>
        <w:spacing w:line="360" w:lineRule="auto"/>
        <w:ind w:left="480" w:leftChars="200"/>
        <w:contextualSpacing/>
        <w:rPr>
          <w:rFonts w:hAnsi="宋体" w:cs="宋体"/>
          <w:color w:val="auto"/>
          <w:highlight w:val="none"/>
        </w:rPr>
      </w:pPr>
      <w:r>
        <w:rPr>
          <w:rFonts w:hint="eastAsia" w:hAnsi="宋体" w:cs="宋体"/>
          <w:color w:val="auto"/>
          <w:highlight w:val="none"/>
        </w:rPr>
        <w:t>3）上课时请把手机或其他通讯设备调整为震动模式，并到教室外面接听电话；</w:t>
      </w:r>
    </w:p>
    <w:p>
      <w:pPr>
        <w:spacing w:line="360" w:lineRule="auto"/>
        <w:ind w:left="480" w:leftChars="200"/>
        <w:contextualSpacing/>
        <w:rPr>
          <w:rFonts w:hAnsi="宋体" w:cs="宋体"/>
          <w:color w:val="auto"/>
          <w:highlight w:val="none"/>
        </w:rPr>
      </w:pPr>
      <w:r>
        <w:rPr>
          <w:rFonts w:hint="eastAsia" w:hAnsi="宋体" w:cs="宋体"/>
          <w:color w:val="auto"/>
          <w:highlight w:val="none"/>
        </w:rPr>
        <w:t>4）老师讲课时，不能私下里讨论其他问题或窃窃私语，如有疑问先记录下来，课下提交给老师；</w:t>
      </w:r>
    </w:p>
    <w:p>
      <w:pPr>
        <w:spacing w:line="360" w:lineRule="auto"/>
        <w:ind w:left="480" w:leftChars="200"/>
        <w:contextualSpacing/>
        <w:rPr>
          <w:rFonts w:hAnsi="宋体" w:cs="宋体"/>
          <w:color w:val="auto"/>
          <w:highlight w:val="none"/>
        </w:rPr>
      </w:pPr>
      <w:r>
        <w:rPr>
          <w:rFonts w:hint="eastAsia" w:hAnsi="宋体" w:cs="宋体"/>
          <w:color w:val="auto"/>
          <w:highlight w:val="none"/>
        </w:rPr>
        <w:t>5）系统出现暂时故障时，应配合技术人员给予及时排除，而不能以此为由扰乱课堂秩序；</w:t>
      </w:r>
    </w:p>
    <w:p>
      <w:pPr>
        <w:spacing w:line="360" w:lineRule="auto"/>
        <w:ind w:left="480" w:leftChars="200"/>
        <w:contextualSpacing/>
        <w:rPr>
          <w:rFonts w:hAnsi="宋体" w:cs="宋体"/>
          <w:color w:val="auto"/>
          <w:highlight w:val="none"/>
        </w:rPr>
      </w:pPr>
      <w:r>
        <w:rPr>
          <w:rFonts w:hint="eastAsia" w:hAnsi="宋体" w:cs="宋体"/>
          <w:color w:val="auto"/>
          <w:highlight w:val="none"/>
        </w:rPr>
        <w:t>6）遵守培训考试规定，保证严肃性；</w:t>
      </w:r>
    </w:p>
    <w:p>
      <w:pPr>
        <w:pStyle w:val="7"/>
        <w:spacing w:before="0" w:after="0" w:line="360" w:lineRule="auto"/>
        <w:rPr>
          <w:rFonts w:ascii="宋体" w:hAnsi="宋体" w:cs="宋体"/>
          <w:color w:val="auto"/>
          <w:sz w:val="24"/>
          <w:szCs w:val="24"/>
          <w:highlight w:val="none"/>
        </w:rPr>
      </w:pPr>
      <w:bookmarkStart w:id="290" w:name="_Toc10629"/>
      <w:bookmarkStart w:id="291" w:name="_Toc5281099"/>
      <w:bookmarkStart w:id="292" w:name="_Toc5833"/>
      <w:bookmarkStart w:id="293" w:name="_Toc12464"/>
      <w:bookmarkStart w:id="294" w:name="_Toc6840931"/>
      <w:bookmarkStart w:id="295" w:name="_Toc2245"/>
      <w:bookmarkStart w:id="296" w:name="_Toc4751284"/>
      <w:bookmarkStart w:id="297" w:name="_Toc5693"/>
      <w:bookmarkStart w:id="298" w:name="_Toc449022289"/>
      <w:bookmarkStart w:id="299" w:name="_Toc13583"/>
      <w:r>
        <w:rPr>
          <w:rFonts w:hint="eastAsia" w:ascii="宋体" w:hAnsi="宋体" w:cs="宋体"/>
          <w:color w:val="auto"/>
          <w:sz w:val="24"/>
          <w:szCs w:val="24"/>
          <w:highlight w:val="none"/>
        </w:rPr>
        <w:t>6、培训特色</w:t>
      </w:r>
      <w:bookmarkEnd w:id="290"/>
      <w:bookmarkEnd w:id="291"/>
      <w:bookmarkEnd w:id="292"/>
      <w:bookmarkEnd w:id="293"/>
      <w:bookmarkEnd w:id="294"/>
      <w:bookmarkEnd w:id="295"/>
      <w:bookmarkEnd w:id="296"/>
      <w:bookmarkEnd w:id="297"/>
      <w:bookmarkEnd w:id="298"/>
      <w:bookmarkEnd w:id="299"/>
    </w:p>
    <w:p>
      <w:pPr>
        <w:spacing w:line="360" w:lineRule="auto"/>
        <w:rPr>
          <w:rFonts w:hAnsi="宋体" w:cs="宋体"/>
          <w:b/>
          <w:color w:val="auto"/>
          <w:highlight w:val="none"/>
        </w:rPr>
      </w:pPr>
      <w:bookmarkStart w:id="300" w:name="_Ref396812516"/>
      <w:bookmarkStart w:id="301" w:name="_Ref396812515"/>
      <w:bookmarkStart w:id="302" w:name="_Toc388026142"/>
      <w:bookmarkStart w:id="303" w:name="_Toc390247421"/>
      <w:bookmarkStart w:id="304" w:name="_Toc396812488"/>
      <w:r>
        <w:rPr>
          <w:rFonts w:hint="eastAsia" w:hAnsi="宋体" w:cs="宋体"/>
          <w:b/>
          <w:color w:val="auto"/>
          <w:highlight w:val="none"/>
        </w:rPr>
        <w:t>（1）培训策略</w:t>
      </w:r>
      <w:bookmarkEnd w:id="300"/>
      <w:bookmarkEnd w:id="301"/>
      <w:bookmarkEnd w:id="302"/>
      <w:bookmarkEnd w:id="303"/>
      <w:bookmarkEnd w:id="304"/>
    </w:p>
    <w:p>
      <w:pPr>
        <w:spacing w:line="360" w:lineRule="auto"/>
        <w:ind w:firstLine="420" w:firstLineChars="175"/>
        <w:rPr>
          <w:rFonts w:hAnsi="宋体" w:cs="宋体"/>
          <w:color w:val="auto"/>
          <w:highlight w:val="none"/>
          <w:lang w:val="zh-CN"/>
        </w:rPr>
      </w:pPr>
      <w:r>
        <w:rPr>
          <w:rFonts w:hint="eastAsia" w:hAnsi="宋体" w:cs="宋体"/>
          <w:color w:val="auto"/>
          <w:highlight w:val="none"/>
          <w:lang w:val="zh-CN"/>
        </w:rPr>
        <w:t>建议在项目实施过程中种子管理站能制定对口人，保证对口人项目全过程参与，以便保障有效的知识传递和技术服务。</w:t>
      </w:r>
    </w:p>
    <w:p>
      <w:pPr>
        <w:spacing w:line="360" w:lineRule="auto"/>
        <w:rPr>
          <w:rFonts w:hAnsi="宋体" w:cs="宋体"/>
          <w:b/>
          <w:color w:val="auto"/>
          <w:highlight w:val="none"/>
        </w:rPr>
      </w:pPr>
      <w:bookmarkStart w:id="305" w:name="_Toc341284419"/>
      <w:bookmarkStart w:id="306" w:name="_Toc331148837"/>
      <w:bookmarkStart w:id="307" w:name="_Toc236134693"/>
      <w:bookmarkStart w:id="308" w:name="_Toc341371350"/>
      <w:bookmarkStart w:id="309" w:name="_Toc383526940"/>
      <w:bookmarkStart w:id="310" w:name="_Toc388026144"/>
      <w:bookmarkStart w:id="311" w:name="_Toc238441267"/>
      <w:bookmarkStart w:id="312" w:name="_Toc390247423"/>
      <w:bookmarkStart w:id="313" w:name="_Toc229376615"/>
      <w:bookmarkStart w:id="314" w:name="_Toc342296337"/>
      <w:bookmarkStart w:id="315" w:name="_Toc291890666"/>
      <w:bookmarkStart w:id="316" w:name="_Toc236305621"/>
      <w:bookmarkStart w:id="317" w:name="_Toc156927218"/>
      <w:bookmarkStart w:id="318" w:name="_Toc291672680"/>
      <w:r>
        <w:rPr>
          <w:rFonts w:hint="eastAsia" w:hAnsi="宋体" w:cs="宋体"/>
          <w:b/>
          <w:color w:val="auto"/>
          <w:highlight w:val="none"/>
        </w:rPr>
        <w:t>（2）采用授课、练习、考核、领导贴身培训等方式</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spacing w:line="360" w:lineRule="auto"/>
        <w:ind w:firstLine="420"/>
        <w:rPr>
          <w:rFonts w:hAnsi="宋体" w:cs="宋体"/>
          <w:color w:val="auto"/>
          <w:highlight w:val="none"/>
          <w:lang w:val="zh-CN"/>
        </w:rPr>
      </w:pPr>
      <w:r>
        <w:rPr>
          <w:rFonts w:hint="eastAsia" w:hAnsi="宋体" w:cs="宋体"/>
          <w:color w:val="auto"/>
          <w:highlight w:val="none"/>
          <w:lang w:val="zh-CN"/>
        </w:rPr>
        <w:t>每一期培训班的内容将设置多个环节，每一个环节都分为授课、练习和考核三部分，授课部分将按照培训讲义对当期培训班所设置的内容进行详细的介绍，并配有培训教材以做参考。练习部分要求学员按照事先准备好的案例进行实际操作，以加强对所学知识的记忆和理解。并且在练习中还要实现教师和学员的互动，不但对学员的操作进行辅导，还将对学员们提出的疑问予以回答。</w:t>
      </w:r>
    </w:p>
    <w:p>
      <w:pPr>
        <w:spacing w:line="360" w:lineRule="auto"/>
        <w:ind w:firstLine="420"/>
        <w:rPr>
          <w:rFonts w:hAnsi="宋体" w:cs="宋体"/>
          <w:color w:val="auto"/>
          <w:highlight w:val="none"/>
          <w:lang w:val="zh-CN"/>
        </w:rPr>
      </w:pPr>
      <w:r>
        <w:rPr>
          <w:rFonts w:hint="eastAsia" w:hAnsi="宋体" w:cs="宋体"/>
          <w:color w:val="auto"/>
          <w:highlight w:val="none"/>
          <w:lang w:val="zh-CN"/>
        </w:rPr>
        <w:t>之所以增加考核部分有以下两个目标需要完成。所以此部分需要种子管理站支持和配合。</w:t>
      </w:r>
    </w:p>
    <w:p>
      <w:pPr>
        <w:spacing w:line="360" w:lineRule="auto"/>
        <w:ind w:firstLine="420"/>
        <w:rPr>
          <w:rFonts w:hAnsi="宋体" w:cs="宋体"/>
          <w:color w:val="auto"/>
          <w:highlight w:val="none"/>
          <w:lang w:val="zh-CN"/>
        </w:rPr>
      </w:pPr>
      <w:r>
        <w:rPr>
          <w:rFonts w:hint="eastAsia" w:hAnsi="宋体" w:cs="宋体"/>
          <w:color w:val="auto"/>
          <w:highlight w:val="none"/>
          <w:lang w:val="zh-CN"/>
        </w:rPr>
        <w:t>通过培训、练习后的考核，掌握参加培训人员对系统的掌握情况，可以有针对性的安排再培训。以达到参加培训人员全掌握的目标（即便在项目终验、服务期过后，种子管理站人员仍然能够对项目进行高效运维，保证知识传递的有效性）。</w:t>
      </w:r>
    </w:p>
    <w:p>
      <w:pPr>
        <w:spacing w:line="360" w:lineRule="auto"/>
        <w:ind w:firstLine="420"/>
        <w:rPr>
          <w:rFonts w:hAnsi="宋体" w:cs="宋体"/>
          <w:color w:val="auto"/>
          <w:highlight w:val="none"/>
          <w:lang w:val="zh-CN"/>
        </w:rPr>
      </w:pPr>
      <w:r>
        <w:rPr>
          <w:rFonts w:hint="eastAsia" w:hAnsi="宋体" w:cs="宋体"/>
          <w:color w:val="auto"/>
          <w:highlight w:val="none"/>
          <w:lang w:val="zh-CN"/>
        </w:rPr>
        <w:t>通过培训成绩，像种子管理站领导汇报我们项目进行的成果。以达到种子管理站领导及时掌握项目实际实施情况的目标。</w:t>
      </w:r>
    </w:p>
    <w:p>
      <w:pPr>
        <w:spacing w:line="360" w:lineRule="auto"/>
        <w:rPr>
          <w:rFonts w:hAnsi="宋体" w:cs="宋体"/>
          <w:b/>
          <w:color w:val="auto"/>
          <w:highlight w:val="none"/>
        </w:rPr>
      </w:pPr>
      <w:bookmarkStart w:id="319" w:name="_Toc236305622"/>
      <w:bookmarkStart w:id="320" w:name="_Toc341371351"/>
      <w:bookmarkStart w:id="321" w:name="_Toc390247424"/>
      <w:bookmarkStart w:id="322" w:name="_Toc291672681"/>
      <w:bookmarkStart w:id="323" w:name="_Toc156927219"/>
      <w:bookmarkStart w:id="324" w:name="_Toc238441268"/>
      <w:bookmarkStart w:id="325" w:name="_Toc291890667"/>
      <w:bookmarkStart w:id="326" w:name="_Toc229376616"/>
      <w:bookmarkStart w:id="327" w:name="_Toc383526941"/>
      <w:bookmarkStart w:id="328" w:name="_Toc236134694"/>
      <w:bookmarkStart w:id="329" w:name="_Toc388026145"/>
      <w:bookmarkStart w:id="330" w:name="_Toc342296338"/>
      <w:bookmarkStart w:id="331" w:name="_Toc341284420"/>
      <w:bookmarkStart w:id="332" w:name="_Toc331148838"/>
      <w:r>
        <w:rPr>
          <w:rFonts w:hint="eastAsia" w:hAnsi="宋体" w:cs="宋体"/>
          <w:b/>
          <w:color w:val="auto"/>
          <w:highlight w:val="none"/>
        </w:rPr>
        <w:t>（3）提供多种形式的培训教材</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spacing w:line="360" w:lineRule="auto"/>
        <w:ind w:firstLine="420"/>
        <w:rPr>
          <w:rFonts w:hAnsi="宋体" w:cs="宋体"/>
          <w:color w:val="auto"/>
          <w:highlight w:val="none"/>
          <w:lang w:val="zh-CN"/>
        </w:rPr>
      </w:pPr>
      <w:r>
        <w:rPr>
          <w:rFonts w:hint="eastAsia" w:hAnsi="宋体" w:cs="宋体"/>
          <w:color w:val="auto"/>
          <w:highlight w:val="none"/>
          <w:lang w:val="zh-CN"/>
        </w:rPr>
        <w:t>提供多种形式、全面和标准的文档给用户，其形式包括：电子文档、印刷品、光盘，以成为其后续稳定应用系统的保障，其中电子文档将放在系统中供随时下载。</w:t>
      </w:r>
    </w:p>
    <w:p>
      <w:pPr>
        <w:spacing w:line="360" w:lineRule="auto"/>
        <w:rPr>
          <w:rFonts w:hAnsi="宋体" w:cs="宋体"/>
          <w:b/>
          <w:color w:val="auto"/>
          <w:highlight w:val="none"/>
        </w:rPr>
      </w:pPr>
      <w:bookmarkStart w:id="333" w:name="_Toc390247425"/>
      <w:bookmarkStart w:id="334" w:name="_Toc341371352"/>
      <w:bookmarkStart w:id="335" w:name="_Toc342296339"/>
      <w:bookmarkStart w:id="336" w:name="_Toc291672682"/>
      <w:bookmarkStart w:id="337" w:name="_Toc236134695"/>
      <w:bookmarkStart w:id="338" w:name="_Toc156927220"/>
      <w:bookmarkStart w:id="339" w:name="_Toc331148839"/>
      <w:bookmarkStart w:id="340" w:name="_Toc388026146"/>
      <w:bookmarkStart w:id="341" w:name="_Toc291890668"/>
      <w:bookmarkStart w:id="342" w:name="_Toc229376617"/>
      <w:bookmarkStart w:id="343" w:name="_Toc341284421"/>
      <w:bookmarkStart w:id="344" w:name="_Toc238441269"/>
      <w:bookmarkStart w:id="345" w:name="_Toc383526942"/>
      <w:bookmarkStart w:id="346" w:name="_Toc236305623"/>
      <w:r>
        <w:rPr>
          <w:rFonts w:hint="eastAsia" w:hAnsi="宋体" w:cs="宋体"/>
          <w:b/>
          <w:color w:val="auto"/>
          <w:highlight w:val="none"/>
        </w:rPr>
        <w:t>（4）利用考核验收加强学习效果</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spacing w:line="360" w:lineRule="auto"/>
        <w:ind w:firstLine="420"/>
        <w:rPr>
          <w:rFonts w:hAnsi="宋体" w:cs="宋体"/>
          <w:color w:val="auto"/>
          <w:highlight w:val="none"/>
          <w:lang w:val="zh-CN"/>
        </w:rPr>
      </w:pPr>
      <w:r>
        <w:rPr>
          <w:rFonts w:hint="eastAsia" w:hAnsi="宋体" w:cs="宋体"/>
          <w:color w:val="auto"/>
          <w:highlight w:val="none"/>
          <w:lang w:val="zh-CN"/>
        </w:rPr>
        <w:t>为保证最终的学习效果，将为每一期培训班布置考试题目，以验收学员的学习成果。保证培训质量。</w:t>
      </w:r>
    </w:p>
    <w:p>
      <w:pPr>
        <w:spacing w:line="360" w:lineRule="auto"/>
        <w:rPr>
          <w:rFonts w:hAnsi="宋体" w:cs="宋体"/>
          <w:b/>
          <w:color w:val="auto"/>
          <w:highlight w:val="none"/>
        </w:rPr>
      </w:pPr>
      <w:bookmarkStart w:id="347" w:name="_Toc396812490"/>
      <w:r>
        <w:rPr>
          <w:rFonts w:hint="eastAsia" w:hAnsi="宋体" w:cs="宋体"/>
          <w:b/>
          <w:color w:val="auto"/>
          <w:highlight w:val="none"/>
        </w:rPr>
        <w:t>（5）监控培训效果</w:t>
      </w:r>
      <w:bookmarkEnd w:id="347"/>
    </w:p>
    <w:p>
      <w:pPr>
        <w:spacing w:line="360" w:lineRule="auto"/>
        <w:ind w:firstLine="420"/>
        <w:rPr>
          <w:rFonts w:hAnsi="宋体" w:cs="宋体"/>
          <w:color w:val="auto"/>
          <w:highlight w:val="none"/>
          <w:lang w:val="zh-CN"/>
        </w:rPr>
      </w:pPr>
      <w:r>
        <w:rPr>
          <w:rFonts w:hint="eastAsia" w:hAnsi="宋体" w:cs="宋体"/>
          <w:color w:val="auto"/>
          <w:highlight w:val="none"/>
          <w:lang w:val="zh-CN"/>
        </w:rPr>
        <w:t>在以上的培训计划实施的过程中，我们认为最复杂，风险最大的培训工作就是系统上线前阶段最终用户的培训。因为各位最终用户能否具备正常使用系统的操作技能直接影响系统能否上线。同时，由于参与培训的人员很多，为保证好此项培训工作质量，实现培训目标，我们制定了该项培训工作的过程实现方案。</w:t>
      </w:r>
    </w:p>
    <w:p>
      <w:pPr>
        <w:spacing w:line="360" w:lineRule="auto"/>
        <w:ind w:firstLine="420"/>
        <w:rPr>
          <w:rFonts w:hAnsi="宋体" w:cs="宋体"/>
          <w:color w:val="auto"/>
          <w:highlight w:val="none"/>
          <w:lang w:val="zh-CN"/>
        </w:rPr>
      </w:pPr>
      <w:r>
        <w:rPr>
          <w:rFonts w:hint="eastAsia" w:hAnsi="宋体" w:cs="宋体"/>
          <w:color w:val="auto"/>
          <w:highlight w:val="none"/>
          <w:lang w:val="zh-CN"/>
        </w:rPr>
        <w:t>我们把完成该项培训工作的过程分为三步：</w:t>
      </w:r>
    </w:p>
    <w:p>
      <w:pPr>
        <w:numPr>
          <w:ilvl w:val="0"/>
          <w:numId w:val="16"/>
        </w:numPr>
        <w:spacing w:line="360" w:lineRule="auto"/>
        <w:rPr>
          <w:rFonts w:hAnsi="宋体" w:cs="宋体"/>
          <w:color w:val="auto"/>
          <w:highlight w:val="none"/>
          <w:lang w:val="zh-CN"/>
        </w:rPr>
      </w:pPr>
      <w:r>
        <w:rPr>
          <w:rFonts w:hint="eastAsia" w:hAnsi="宋体" w:cs="宋体"/>
          <w:color w:val="auto"/>
          <w:highlight w:val="none"/>
          <w:lang w:val="zh-CN"/>
        </w:rPr>
        <w:t>培训准备</w:t>
      </w:r>
    </w:p>
    <w:p>
      <w:pPr>
        <w:numPr>
          <w:ilvl w:val="0"/>
          <w:numId w:val="16"/>
        </w:numPr>
        <w:spacing w:line="360" w:lineRule="auto"/>
        <w:rPr>
          <w:rFonts w:hAnsi="宋体" w:cs="宋体"/>
          <w:color w:val="auto"/>
          <w:highlight w:val="none"/>
          <w:lang w:val="zh-CN"/>
        </w:rPr>
      </w:pPr>
      <w:r>
        <w:rPr>
          <w:rFonts w:hint="eastAsia" w:hAnsi="宋体" w:cs="宋体"/>
          <w:color w:val="auto"/>
          <w:highlight w:val="none"/>
          <w:lang w:val="zh-CN"/>
        </w:rPr>
        <w:t>培训实施</w:t>
      </w:r>
    </w:p>
    <w:p>
      <w:pPr>
        <w:numPr>
          <w:ilvl w:val="0"/>
          <w:numId w:val="16"/>
        </w:numPr>
        <w:spacing w:line="360" w:lineRule="auto"/>
        <w:rPr>
          <w:rFonts w:hAnsi="宋体" w:cs="宋体"/>
          <w:color w:val="auto"/>
          <w:highlight w:val="none"/>
          <w:lang w:val="zh-CN"/>
        </w:rPr>
      </w:pPr>
      <w:r>
        <w:rPr>
          <w:rFonts w:hint="eastAsia" w:hAnsi="宋体" w:cs="宋体"/>
          <w:color w:val="auto"/>
          <w:highlight w:val="none"/>
          <w:lang w:val="zh-CN"/>
        </w:rPr>
        <w:t>培训评估</w:t>
      </w:r>
    </w:p>
    <w:p>
      <w:pPr>
        <w:pStyle w:val="61"/>
        <w:spacing w:line="360" w:lineRule="auto"/>
        <w:rPr>
          <w:rFonts w:ascii="宋体" w:hAnsi="宋体" w:cs="宋体"/>
          <w:b/>
          <w:color w:val="auto"/>
          <w:sz w:val="24"/>
          <w:szCs w:val="24"/>
          <w:highlight w:val="none"/>
        </w:rPr>
      </w:pPr>
      <w:bookmarkStart w:id="348" w:name="_Toc390247427"/>
      <w:bookmarkStart w:id="349" w:name="_Toc368586711"/>
      <w:bookmarkStart w:id="350" w:name="_Toc370801234"/>
      <w:bookmarkStart w:id="351" w:name="_Toc388026148"/>
      <w:bookmarkStart w:id="352" w:name="_Toc383526944"/>
      <w:r>
        <w:rPr>
          <w:rFonts w:hint="eastAsia" w:ascii="宋体" w:hAnsi="宋体" w:cs="宋体"/>
          <w:b/>
          <w:color w:val="auto"/>
          <w:sz w:val="24"/>
          <w:szCs w:val="24"/>
          <w:highlight w:val="none"/>
        </w:rPr>
        <w:t>A.培训准备</w:t>
      </w:r>
      <w:bookmarkEnd w:id="348"/>
      <w:bookmarkEnd w:id="349"/>
      <w:bookmarkEnd w:id="350"/>
      <w:bookmarkEnd w:id="351"/>
      <w:bookmarkEnd w:id="352"/>
    </w:p>
    <w:p>
      <w:pPr>
        <w:spacing w:line="360" w:lineRule="auto"/>
        <w:ind w:firstLine="420"/>
        <w:rPr>
          <w:rFonts w:hAnsi="宋体" w:cs="宋体"/>
          <w:color w:val="auto"/>
          <w:highlight w:val="none"/>
          <w:lang w:val="zh-CN"/>
        </w:rPr>
      </w:pPr>
      <w:r>
        <w:rPr>
          <w:rFonts w:hint="eastAsia" w:hAnsi="宋体" w:cs="宋体"/>
          <w:color w:val="auto"/>
          <w:highlight w:val="none"/>
          <w:lang w:val="zh-CN"/>
        </w:rPr>
        <w:t>培训准备阶段的工作成果就是要生成正式的培训通知并发放到相关参与培训的人员、确定培训设备与资料的配置清单、安装完成培训系统、确定培训制度、培训人员报到等。具体内容如下：</w:t>
      </w:r>
    </w:p>
    <w:p>
      <w:pPr>
        <w:spacing w:line="360" w:lineRule="auto"/>
        <w:ind w:firstLine="420"/>
        <w:rPr>
          <w:rFonts w:hAnsi="宋体" w:cs="宋体"/>
          <w:color w:val="auto"/>
          <w:highlight w:val="none"/>
          <w:lang w:val="zh-CN"/>
        </w:rPr>
      </w:pPr>
      <w:r>
        <w:rPr>
          <w:rFonts w:hint="eastAsia" w:hAnsi="宋体" w:cs="宋体"/>
          <w:color w:val="auto"/>
          <w:highlight w:val="none"/>
          <w:lang w:val="zh-CN"/>
        </w:rPr>
        <w:t>表一：培训通知</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075"/>
        <w:gridCol w:w="2152"/>
        <w:gridCol w:w="1076"/>
        <w:gridCol w:w="1821"/>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ind w:firstLine="420"/>
              <w:jc w:val="center"/>
              <w:rPr>
                <w:rFonts w:hAnsi="宋体" w:cs="宋体"/>
                <w:color w:val="auto"/>
                <w:highlight w:val="none"/>
                <w:lang w:val="zh-CN"/>
              </w:rPr>
            </w:pPr>
            <w:r>
              <w:rPr>
                <w:rFonts w:hint="eastAsia" w:hAnsi="宋体" w:cs="宋体"/>
                <w:color w:val="auto"/>
                <w:highlight w:val="none"/>
                <w:lang w:val="zh-CN"/>
              </w:rPr>
              <w:t>培训通知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jc w:val="center"/>
        </w:trPr>
        <w:tc>
          <w:tcPr>
            <w:tcW w:w="989"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名称</w:t>
            </w:r>
          </w:p>
        </w:tc>
        <w:tc>
          <w:tcPr>
            <w:tcW w:w="32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544" w:firstLineChars="227"/>
              <w:jc w:val="center"/>
              <w:rPr>
                <w:rFonts w:hAnsi="宋体" w:cs="宋体"/>
                <w:color w:val="auto"/>
                <w:highlight w:val="none"/>
                <w:lang w:val="zh-CN"/>
              </w:rPr>
            </w:pPr>
          </w:p>
        </w:tc>
        <w:tc>
          <w:tcPr>
            <w:tcW w:w="1076"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目的</w:t>
            </w:r>
          </w:p>
        </w:tc>
        <w:tc>
          <w:tcPr>
            <w:tcW w:w="3230"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时间</w:t>
            </w:r>
          </w:p>
        </w:tc>
        <w:tc>
          <w:tcPr>
            <w:tcW w:w="32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firstLine="544" w:firstLineChars="227"/>
              <w:jc w:val="center"/>
              <w:rPr>
                <w:rFonts w:hAnsi="宋体" w:cs="宋体"/>
                <w:color w:val="auto"/>
                <w:highlight w:val="none"/>
                <w:lang w:val="zh-CN"/>
              </w:rPr>
            </w:pPr>
          </w:p>
        </w:tc>
        <w:tc>
          <w:tcPr>
            <w:tcW w:w="1076"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地点</w:t>
            </w:r>
          </w:p>
        </w:tc>
        <w:tc>
          <w:tcPr>
            <w:tcW w:w="3230"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培训对象</w:t>
            </w:r>
          </w:p>
        </w:tc>
        <w:tc>
          <w:tcPr>
            <w:tcW w:w="6458" w:type="dxa"/>
            <w:gridSpan w:val="4"/>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事项</w:t>
            </w:r>
          </w:p>
        </w:tc>
        <w:tc>
          <w:tcPr>
            <w:tcW w:w="2152"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时间</w:t>
            </w:r>
          </w:p>
        </w:tc>
        <w:tc>
          <w:tcPr>
            <w:tcW w:w="2897" w:type="dxa"/>
            <w:gridSpan w:val="2"/>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人员要求</w:t>
            </w:r>
          </w:p>
        </w:tc>
        <w:tc>
          <w:tcPr>
            <w:tcW w:w="1409"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c>
          <w:tcPr>
            <w:tcW w:w="21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c>
          <w:tcPr>
            <w:tcW w:w="289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c>
          <w:tcPr>
            <w:tcW w:w="14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left"/>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Ansi="宋体" w:cs="宋体"/>
                <w:color w:val="auto"/>
                <w:highlight w:val="none"/>
                <w:lang w:val="zh-CN"/>
              </w:rPr>
            </w:pPr>
            <w:r>
              <w:rPr>
                <w:rFonts w:hint="eastAsia" w:hAnsi="宋体" w:cs="宋体"/>
                <w:color w:val="auto"/>
                <w:highlight w:val="none"/>
                <w:lang w:val="zh-CN"/>
              </w:rPr>
              <w:t>其他事项：</w:t>
            </w:r>
          </w:p>
          <w:p>
            <w:pPr>
              <w:widowControl/>
              <w:spacing w:line="360" w:lineRule="auto"/>
              <w:jc w:val="left"/>
              <w:rPr>
                <w:rFonts w:hAnsi="宋体" w:cs="宋体"/>
                <w:color w:val="auto"/>
                <w:highlight w:val="none"/>
                <w:lang w:val="zh-CN"/>
              </w:rPr>
            </w:pPr>
          </w:p>
          <w:p>
            <w:pPr>
              <w:widowControl/>
              <w:spacing w:line="360" w:lineRule="auto"/>
              <w:ind w:firstLine="544" w:firstLineChars="227"/>
              <w:jc w:val="left"/>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rPr>
                <w:rFonts w:hAnsi="宋体" w:cs="宋体"/>
                <w:color w:val="auto"/>
                <w:highlight w:val="none"/>
                <w:lang w:val="zh-CN"/>
              </w:rPr>
            </w:pPr>
            <w:r>
              <w:rPr>
                <w:rFonts w:hint="eastAsia" w:hAnsi="宋体" w:cs="宋体"/>
                <w:color w:val="auto"/>
                <w:highlight w:val="none"/>
                <w:lang w:val="zh-CN"/>
              </w:rPr>
              <w:t xml:space="preserve">联系人：                       </w:t>
            </w:r>
            <w:r>
              <w:rPr>
                <w:rFonts w:hint="eastAsia" w:hAnsi="宋体" w:cs="宋体"/>
                <w:color w:val="auto"/>
                <w:highlight w:val="none"/>
              </w:rPr>
              <w:t xml:space="preserve">     </w:t>
            </w:r>
            <w:r>
              <w:rPr>
                <w:rFonts w:hint="eastAsia" w:hAnsi="宋体" w:cs="宋体"/>
                <w:color w:val="auto"/>
                <w:highlight w:val="none"/>
                <w:lang w:val="zh-CN"/>
              </w:rPr>
              <w:t>联系电话：</w:t>
            </w:r>
          </w:p>
        </w:tc>
      </w:tr>
    </w:tbl>
    <w:p>
      <w:pPr>
        <w:pageBreakBefore/>
        <w:spacing w:line="360" w:lineRule="auto"/>
        <w:ind w:firstLine="420"/>
        <w:rPr>
          <w:rFonts w:hAnsi="宋体" w:cs="宋体"/>
          <w:color w:val="auto"/>
          <w:highlight w:val="none"/>
          <w:lang w:val="zh-CN"/>
        </w:rPr>
      </w:pPr>
      <w:r>
        <w:rPr>
          <w:rFonts w:hint="eastAsia" w:hAnsi="宋体" w:cs="宋体"/>
          <w:color w:val="auto"/>
          <w:highlight w:val="none"/>
          <w:lang w:val="zh-CN"/>
        </w:rPr>
        <w:t>表二：培训配置清单</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2490"/>
        <w:gridCol w:w="1230"/>
        <w:gridCol w:w="1245"/>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847"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配置项</w:t>
            </w:r>
          </w:p>
        </w:tc>
        <w:tc>
          <w:tcPr>
            <w:tcW w:w="2490"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内容要求</w:t>
            </w:r>
          </w:p>
        </w:tc>
        <w:tc>
          <w:tcPr>
            <w:tcW w:w="1230"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责任人</w:t>
            </w:r>
          </w:p>
        </w:tc>
        <w:tc>
          <w:tcPr>
            <w:tcW w:w="1245"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截止时间</w:t>
            </w:r>
          </w:p>
        </w:tc>
        <w:tc>
          <w:tcPr>
            <w:tcW w:w="848" w:type="dxa"/>
            <w:tcBorders>
              <w:top w:val="single" w:color="auto" w:sz="4" w:space="0"/>
              <w:left w:val="single" w:color="auto" w:sz="4" w:space="0"/>
              <w:bottom w:val="single" w:color="auto" w:sz="4" w:space="0"/>
              <w:right w:val="single" w:color="auto" w:sz="4" w:space="0"/>
            </w:tcBorders>
            <w:shd w:val="pct10" w:color="auto" w:fill="auto"/>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完成否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660" w:type="dxa"/>
            <w:gridSpan w:val="5"/>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r>
              <w:rPr>
                <w:rFonts w:hint="eastAsia" w:hAnsi="宋体" w:cs="宋体"/>
                <w:color w:val="auto"/>
                <w:highlight w:val="none"/>
                <w:lang w:val="zh-CN"/>
              </w:rPr>
              <w:t>一、资料部分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《测试培训手册》</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纸质、电子文档</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《应用系统管理手册》</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纸质、电子文档</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《应用系统操作手册》</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纸质、电子文档</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《系统软件管理及使用手册》</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纸质、电子文档</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培训讲义</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上机练习案例</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纸质、电子文档</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测试题目</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纸质</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660" w:type="dxa"/>
            <w:gridSpan w:val="5"/>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420"/>
              <w:jc w:val="center"/>
              <w:rPr>
                <w:rFonts w:hAnsi="宋体" w:cs="宋体"/>
                <w:color w:val="auto"/>
                <w:highlight w:val="none"/>
                <w:lang w:val="zh-CN"/>
              </w:rPr>
            </w:pPr>
            <w:r>
              <w:rPr>
                <w:rFonts w:hint="eastAsia" w:hAnsi="宋体" w:cs="宋体"/>
                <w:color w:val="auto"/>
                <w:highlight w:val="none"/>
                <w:lang w:val="zh-CN"/>
              </w:rPr>
              <w:t>二、其他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系统安装</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完成培训系统的安装与调试</w:t>
            </w:r>
          </w:p>
        </w:tc>
        <w:tc>
          <w:tcPr>
            <w:tcW w:w="1230"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统计学员列表</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统计计划培训的学员名单</w:t>
            </w:r>
          </w:p>
        </w:tc>
        <w:tc>
          <w:tcPr>
            <w:tcW w:w="1230"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培训通知</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发放培训通知</w:t>
            </w:r>
          </w:p>
        </w:tc>
        <w:tc>
          <w:tcPr>
            <w:tcW w:w="1230"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84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学员报到</w:t>
            </w:r>
          </w:p>
        </w:tc>
        <w:tc>
          <w:tcPr>
            <w:tcW w:w="249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color w:val="auto"/>
                <w:highlight w:val="none"/>
                <w:lang w:val="zh-CN"/>
              </w:rPr>
            </w:pPr>
            <w:r>
              <w:rPr>
                <w:rFonts w:hint="eastAsia" w:hAnsi="宋体" w:cs="宋体"/>
                <w:color w:val="auto"/>
                <w:highlight w:val="none"/>
                <w:lang w:val="zh-CN"/>
              </w:rPr>
              <w:t>安排住宿、签到</w:t>
            </w:r>
          </w:p>
        </w:tc>
        <w:tc>
          <w:tcPr>
            <w:tcW w:w="1230"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1245"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c>
          <w:tcPr>
            <w:tcW w:w="848" w:type="dxa"/>
            <w:tcBorders>
              <w:top w:val="single" w:color="auto" w:sz="4" w:space="0"/>
              <w:left w:val="single" w:color="auto" w:sz="4" w:space="0"/>
              <w:bottom w:val="single" w:color="auto" w:sz="4" w:space="0"/>
              <w:right w:val="single" w:color="auto" w:sz="4" w:space="0"/>
            </w:tcBorders>
          </w:tcPr>
          <w:p>
            <w:pPr>
              <w:widowControl/>
              <w:spacing w:line="360" w:lineRule="auto"/>
              <w:ind w:firstLine="544" w:firstLineChars="227"/>
              <w:jc w:val="center"/>
              <w:rPr>
                <w:rFonts w:hAnsi="宋体" w:cs="宋体"/>
                <w:color w:val="auto"/>
                <w:highlight w:val="none"/>
                <w:lang w:val="zh-CN"/>
              </w:rPr>
            </w:pPr>
          </w:p>
        </w:tc>
      </w:tr>
    </w:tbl>
    <w:p>
      <w:pPr>
        <w:spacing w:line="360" w:lineRule="auto"/>
        <w:rPr>
          <w:rFonts w:hAnsi="宋体" w:cs="宋体"/>
          <w:b/>
          <w:color w:val="auto"/>
          <w:highlight w:val="none"/>
        </w:rPr>
      </w:pPr>
      <w:bookmarkStart w:id="353" w:name="_Toc390247428"/>
      <w:bookmarkStart w:id="354" w:name="_Toc368586712"/>
      <w:bookmarkStart w:id="355" w:name="_Toc370801235"/>
      <w:bookmarkStart w:id="356" w:name="_Toc388026149"/>
      <w:bookmarkStart w:id="357" w:name="_Toc383526945"/>
      <w:r>
        <w:rPr>
          <w:rFonts w:hint="eastAsia" w:hAnsi="宋体" w:cs="宋体"/>
          <w:b/>
          <w:color w:val="auto"/>
          <w:highlight w:val="none"/>
        </w:rPr>
        <w:t>B.培训实施</w:t>
      </w:r>
      <w:bookmarkEnd w:id="353"/>
      <w:bookmarkEnd w:id="354"/>
      <w:bookmarkEnd w:id="355"/>
      <w:bookmarkEnd w:id="356"/>
      <w:bookmarkEnd w:id="357"/>
    </w:p>
    <w:p>
      <w:pPr>
        <w:spacing w:line="360" w:lineRule="auto"/>
        <w:ind w:firstLine="420"/>
        <w:rPr>
          <w:rFonts w:hAnsi="宋体" w:cs="宋体"/>
          <w:color w:val="auto"/>
          <w:highlight w:val="none"/>
          <w:lang w:val="zh-CN"/>
        </w:rPr>
      </w:pPr>
      <w:r>
        <w:rPr>
          <w:rFonts w:hint="eastAsia" w:hAnsi="宋体" w:cs="宋体"/>
          <w:color w:val="auto"/>
          <w:highlight w:val="none"/>
          <w:lang w:val="zh-CN"/>
        </w:rPr>
        <w:t>在培训的开始，由每期培训班的课堂负责人，负责考勤及活动组织。要求每天的上午、下午正式上课时需要签到。</w:t>
      </w:r>
    </w:p>
    <w:p>
      <w:pPr>
        <w:spacing w:line="360" w:lineRule="auto"/>
        <w:ind w:firstLine="420"/>
        <w:rPr>
          <w:rFonts w:hAnsi="宋体" w:cs="宋体"/>
          <w:color w:val="auto"/>
          <w:highlight w:val="none"/>
          <w:lang w:val="zh-CN"/>
        </w:rPr>
      </w:pPr>
      <w:r>
        <w:rPr>
          <w:rFonts w:hint="eastAsia" w:hAnsi="宋体" w:cs="宋体"/>
          <w:color w:val="auto"/>
          <w:highlight w:val="none"/>
          <w:lang w:val="zh-CN"/>
        </w:rPr>
        <w:t>在培训的过程中，培训讲师会根据课程表的安排进行讲解。每一期培训班的内容将设置多个环节，每一个环节都分为授课和练习两部分，授课部分将按照培训讲义对当期培训班所设置的内容进行详细的介绍，并配有培训教材以做参考。练习部分要求学员按照事先准备好的案例进行实际操作，以加强对所学知识的记忆和理解。</w:t>
      </w:r>
    </w:p>
    <w:p>
      <w:pPr>
        <w:spacing w:line="360" w:lineRule="auto"/>
        <w:ind w:firstLine="420"/>
        <w:rPr>
          <w:rFonts w:hAnsi="宋体" w:cs="宋体"/>
          <w:color w:val="auto"/>
          <w:highlight w:val="none"/>
          <w:lang w:val="zh-CN"/>
        </w:rPr>
      </w:pPr>
      <w:r>
        <w:rPr>
          <w:rFonts w:hint="eastAsia" w:hAnsi="宋体" w:cs="宋体"/>
          <w:color w:val="auto"/>
          <w:highlight w:val="none"/>
          <w:lang w:val="zh-CN"/>
        </w:rPr>
        <w:t>在课堂上，参与培训人员若有疑问，可先记录下来课下交给讲课老师，讲课老师将在练习阶段或下一个培训环节给予答复。</w:t>
      </w:r>
    </w:p>
    <w:p>
      <w:pPr>
        <w:spacing w:line="360" w:lineRule="auto"/>
        <w:ind w:firstLine="420"/>
        <w:rPr>
          <w:rFonts w:hAnsi="宋体" w:cs="宋体"/>
          <w:color w:val="auto"/>
          <w:highlight w:val="none"/>
          <w:lang w:val="zh-CN"/>
        </w:rPr>
      </w:pPr>
      <w:r>
        <w:rPr>
          <w:rFonts w:hint="eastAsia" w:hAnsi="宋体" w:cs="宋体"/>
          <w:color w:val="auto"/>
          <w:highlight w:val="none"/>
          <w:lang w:val="zh-CN"/>
        </w:rPr>
        <w:t>讲课老师及辅导老师每天把培训人员的疑问进行记录下来，汇总并提炼后形成问题集锦，在培训结束时发放给每一位培训人员。</w:t>
      </w:r>
    </w:p>
    <w:p>
      <w:pPr>
        <w:spacing w:line="360" w:lineRule="auto"/>
        <w:rPr>
          <w:rFonts w:hAnsi="宋体" w:cs="宋体"/>
          <w:b/>
          <w:color w:val="auto"/>
          <w:highlight w:val="none"/>
        </w:rPr>
      </w:pPr>
      <w:bookmarkStart w:id="358" w:name="_Toc368586713"/>
      <w:bookmarkStart w:id="359" w:name="_Toc388219741"/>
      <w:bookmarkStart w:id="360" w:name="_Toc370801236"/>
      <w:bookmarkStart w:id="361" w:name="_Toc390247429"/>
      <w:bookmarkStart w:id="362" w:name="_Toc383526946"/>
      <w:r>
        <w:rPr>
          <w:rFonts w:hint="eastAsia" w:hAnsi="宋体" w:cs="宋体"/>
          <w:b/>
          <w:color w:val="auto"/>
          <w:highlight w:val="none"/>
        </w:rPr>
        <w:t>C.培训评估</w:t>
      </w:r>
      <w:bookmarkEnd w:id="358"/>
      <w:bookmarkEnd w:id="359"/>
      <w:bookmarkEnd w:id="360"/>
      <w:bookmarkEnd w:id="361"/>
      <w:bookmarkEnd w:id="362"/>
    </w:p>
    <w:p>
      <w:pPr>
        <w:spacing w:line="360" w:lineRule="auto"/>
        <w:ind w:firstLine="420"/>
        <w:rPr>
          <w:rFonts w:hAnsi="宋体" w:cs="宋体"/>
          <w:color w:val="auto"/>
          <w:highlight w:val="none"/>
          <w:lang w:val="zh-CN"/>
        </w:rPr>
      </w:pPr>
      <w:r>
        <w:rPr>
          <w:rFonts w:hint="eastAsia" w:hAnsi="宋体" w:cs="宋体"/>
          <w:color w:val="auto"/>
          <w:highlight w:val="none"/>
          <w:lang w:val="zh-CN"/>
        </w:rPr>
        <w:t>培训结束后，需要对培训效果进行及时评估，以检验培训目标能否实现。培训评估由二部分组成：一是各参与培训的人员考试成绩；二是培训人员对培训提交的效果反馈。</w:t>
      </w:r>
    </w:p>
    <w:p>
      <w:pPr>
        <w:spacing w:line="360" w:lineRule="auto"/>
        <w:ind w:firstLine="420"/>
        <w:rPr>
          <w:rFonts w:hAnsi="宋体" w:cs="宋体"/>
          <w:color w:val="auto"/>
          <w:highlight w:val="none"/>
          <w:lang w:val="zh-CN"/>
        </w:rPr>
      </w:pPr>
      <w:r>
        <w:rPr>
          <w:rFonts w:hint="eastAsia" w:hAnsi="宋体" w:cs="宋体"/>
          <w:color w:val="auto"/>
          <w:highlight w:val="none"/>
          <w:lang w:val="zh-CN"/>
        </w:rPr>
        <w:t>对人员进行考试时，要包括二部分内容，理论考试与上机考核。理论考试由项目小组共同出题，类型主要是选择题与问答题。理论考试与上机考试的满分都为100分，70分为合格线。</w:t>
      </w:r>
    </w:p>
    <w:p>
      <w:pPr>
        <w:spacing w:line="360" w:lineRule="auto"/>
        <w:ind w:firstLine="420"/>
        <w:rPr>
          <w:rFonts w:hAnsi="宋体" w:cs="宋体"/>
          <w:color w:val="auto"/>
          <w:highlight w:val="none"/>
          <w:lang w:val="zh-CN"/>
        </w:rPr>
      </w:pPr>
      <w:r>
        <w:rPr>
          <w:rFonts w:hint="eastAsia" w:hAnsi="宋体" w:cs="宋体"/>
          <w:color w:val="auto"/>
          <w:highlight w:val="none"/>
          <w:lang w:val="zh-CN"/>
        </w:rPr>
        <w:t>培训质量反馈，由参与培训的人员填完后并提交后，汇总至项目经理进行分析，特别是应关注其中的改正意见方面，积极采纳合理的反馈意见，作为下次培训工作的改进依据。</w:t>
      </w:r>
    </w:p>
    <w:p>
      <w:pPr>
        <w:spacing w:line="360" w:lineRule="auto"/>
        <w:ind w:firstLine="420"/>
        <w:rPr>
          <w:rFonts w:hAnsi="宋体" w:cs="宋体"/>
          <w:color w:val="auto"/>
          <w:highlight w:val="none"/>
          <w:lang w:val="zh-CN"/>
        </w:rPr>
      </w:pPr>
      <w:r>
        <w:rPr>
          <w:rFonts w:hint="eastAsia" w:hAnsi="宋体" w:cs="宋体"/>
          <w:color w:val="auto"/>
          <w:highlight w:val="none"/>
          <w:lang w:val="zh-CN"/>
        </w:rPr>
        <w:t>培训评估后，培训负责人需将培训工作进行总结，形成培训工作报告并提交项目经理。</w:t>
      </w:r>
      <w:bookmarkStart w:id="363" w:name="_Toc394439060"/>
      <w:bookmarkStart w:id="364" w:name="_Toc395805593"/>
      <w:bookmarkStart w:id="365" w:name="_Toc449024113"/>
      <w:bookmarkStart w:id="366" w:name="_Toc435649542"/>
      <w:bookmarkStart w:id="367" w:name="_Toc12553"/>
      <w:bookmarkStart w:id="368" w:name="_Toc437963676"/>
      <w:bookmarkStart w:id="369" w:name="_Toc3012"/>
      <w:bookmarkStart w:id="370" w:name="_Toc406487124"/>
      <w:bookmarkStart w:id="371" w:name="_Toc407132630"/>
      <w:bookmarkStart w:id="372" w:name="_Toc396225537"/>
      <w:bookmarkStart w:id="373" w:name="_Toc455830780"/>
    </w:p>
    <w:p>
      <w:pPr>
        <w:pStyle w:val="7"/>
        <w:spacing w:before="0" w:after="0" w:line="360" w:lineRule="auto"/>
        <w:rPr>
          <w:rFonts w:ascii="宋体" w:hAnsi="宋体" w:cs="宋体"/>
          <w:color w:val="auto"/>
          <w:sz w:val="24"/>
          <w:szCs w:val="24"/>
          <w:highlight w:val="none"/>
        </w:rPr>
      </w:pPr>
      <w:bookmarkStart w:id="374" w:name="_Toc7260"/>
      <w:bookmarkStart w:id="375" w:name="_Toc17353"/>
      <w:bookmarkStart w:id="376" w:name="_Toc32314"/>
      <w:bookmarkStart w:id="377" w:name="_Toc9548"/>
      <w:bookmarkStart w:id="378" w:name="_Toc5281100"/>
      <w:bookmarkStart w:id="379" w:name="_Toc7440"/>
      <w:bookmarkStart w:id="380" w:name="_Toc4751285"/>
      <w:bookmarkStart w:id="381" w:name="_Toc6840932"/>
      <w:r>
        <w:rPr>
          <w:rFonts w:hint="eastAsia" w:ascii="宋体" w:hAnsi="宋体" w:cs="宋体"/>
          <w:color w:val="auto"/>
          <w:sz w:val="24"/>
          <w:szCs w:val="24"/>
          <w:highlight w:val="none"/>
        </w:rPr>
        <w:t>7、培训内容</w:t>
      </w:r>
      <w:bookmarkEnd w:id="363"/>
      <w:r>
        <w:rPr>
          <w:rFonts w:hint="eastAsia" w:ascii="宋体" w:hAnsi="宋体" w:cs="宋体"/>
          <w:color w:val="auto"/>
          <w:sz w:val="24"/>
          <w:szCs w:val="24"/>
          <w:highlight w:val="none"/>
        </w:rPr>
        <w:t>及安排</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spacing w:line="360" w:lineRule="auto"/>
        <w:rPr>
          <w:rFonts w:hAnsi="宋体" w:cs="宋体"/>
          <w:b/>
          <w:bCs/>
          <w:color w:val="auto"/>
          <w:highlight w:val="none"/>
        </w:rPr>
      </w:pPr>
      <w:bookmarkStart w:id="382" w:name="_Toc455830781"/>
      <w:bookmarkStart w:id="383" w:name="_Toc30563"/>
      <w:r>
        <w:rPr>
          <w:rFonts w:hint="eastAsia" w:hAnsi="宋体" w:cs="宋体"/>
          <w:b/>
          <w:bCs/>
          <w:color w:val="auto"/>
          <w:highlight w:val="none"/>
        </w:rPr>
        <w:t>培训计划表</w:t>
      </w:r>
      <w:bookmarkEnd w:id="382"/>
      <w:bookmarkEnd w:id="383"/>
      <w:r>
        <w:rPr>
          <w:rFonts w:hint="eastAsia" w:hAnsi="宋体" w:cs="宋体"/>
          <w:b/>
          <w:bCs/>
          <w:color w:val="auto"/>
          <w:highlight w:val="none"/>
        </w:rPr>
        <w:t xml:space="preserve"> </w:t>
      </w:r>
    </w:p>
    <w:p>
      <w:pPr>
        <w:spacing w:line="360" w:lineRule="auto"/>
        <w:rPr>
          <w:rFonts w:hAnsi="宋体" w:cs="宋体"/>
          <w:color w:val="auto"/>
          <w:highlight w:val="none"/>
        </w:rPr>
      </w:pPr>
      <w:r>
        <w:rPr>
          <w:rFonts w:hint="eastAsia" w:hAnsi="宋体" w:cs="宋体"/>
          <w:color w:val="auto"/>
          <w:highlight w:val="none"/>
        </w:rPr>
        <w:t>提供3-4名技术工程师现场培训指导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5588"/>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52"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序号</w:t>
            </w:r>
          </w:p>
        </w:tc>
        <w:tc>
          <w:tcPr>
            <w:tcW w:w="5588"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培训内容</w:t>
            </w:r>
          </w:p>
        </w:tc>
        <w:tc>
          <w:tcPr>
            <w:tcW w:w="2080" w:type="dxa"/>
            <w:vAlign w:val="center"/>
          </w:tcPr>
          <w:p>
            <w:pPr>
              <w:spacing w:line="360" w:lineRule="auto"/>
              <w:ind w:right="-17"/>
              <w:textAlignment w:val="bottom"/>
              <w:rPr>
                <w:rFonts w:hAnsi="宋体" w:cs="宋体"/>
                <w:color w:val="auto"/>
                <w:highlight w:val="none"/>
              </w:rPr>
            </w:pPr>
            <w:r>
              <w:rPr>
                <w:rFonts w:hint="eastAsia" w:hAnsi="宋体" w:cs="宋体"/>
                <w:color w:val="auto"/>
                <w:highlight w:val="none"/>
              </w:rPr>
              <w:t>培训课时（日历日）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52"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1</w:t>
            </w:r>
          </w:p>
        </w:tc>
        <w:tc>
          <w:tcPr>
            <w:tcW w:w="5588"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系统设备的安装情况、设备实物介绍</w:t>
            </w:r>
          </w:p>
        </w:tc>
        <w:tc>
          <w:tcPr>
            <w:tcW w:w="2080" w:type="dxa"/>
            <w:vMerge w:val="restart"/>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52"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2</w:t>
            </w:r>
          </w:p>
        </w:tc>
        <w:tc>
          <w:tcPr>
            <w:tcW w:w="5588"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设备操作、设置，系统操作设置、管理</w:t>
            </w:r>
          </w:p>
        </w:tc>
        <w:tc>
          <w:tcPr>
            <w:tcW w:w="2080" w:type="dxa"/>
            <w:vMerge w:val="continue"/>
            <w:vAlign w:val="center"/>
          </w:tcPr>
          <w:p>
            <w:pPr>
              <w:spacing w:line="360" w:lineRule="auto"/>
              <w:ind w:right="-17"/>
              <w:jc w:val="center"/>
              <w:textAlignment w:val="bottom"/>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52"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3</w:t>
            </w:r>
          </w:p>
        </w:tc>
        <w:tc>
          <w:tcPr>
            <w:tcW w:w="5588"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设备的日常维护、保养</w:t>
            </w:r>
          </w:p>
        </w:tc>
        <w:tc>
          <w:tcPr>
            <w:tcW w:w="2080" w:type="dxa"/>
            <w:vMerge w:val="continue"/>
            <w:vAlign w:val="center"/>
          </w:tcPr>
          <w:p>
            <w:pPr>
              <w:spacing w:line="360" w:lineRule="auto"/>
              <w:ind w:right="-17"/>
              <w:jc w:val="center"/>
              <w:textAlignment w:val="bottom"/>
              <w:rPr>
                <w:rFonts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52"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4</w:t>
            </w:r>
          </w:p>
        </w:tc>
        <w:tc>
          <w:tcPr>
            <w:tcW w:w="5588" w:type="dxa"/>
            <w:vAlign w:val="center"/>
          </w:tcPr>
          <w:p>
            <w:pPr>
              <w:spacing w:line="360" w:lineRule="auto"/>
              <w:ind w:right="-17"/>
              <w:jc w:val="center"/>
              <w:textAlignment w:val="bottom"/>
              <w:rPr>
                <w:rFonts w:hAnsi="宋体" w:cs="宋体"/>
                <w:color w:val="auto"/>
                <w:highlight w:val="none"/>
              </w:rPr>
            </w:pPr>
            <w:r>
              <w:rPr>
                <w:rFonts w:hint="eastAsia" w:hAnsi="宋体" w:cs="宋体"/>
                <w:color w:val="auto"/>
                <w:highlight w:val="none"/>
              </w:rPr>
              <w:t>系统故障排查、应急处理</w:t>
            </w:r>
          </w:p>
        </w:tc>
        <w:tc>
          <w:tcPr>
            <w:tcW w:w="2080" w:type="dxa"/>
            <w:vMerge w:val="continue"/>
            <w:vAlign w:val="center"/>
          </w:tcPr>
          <w:p>
            <w:pPr>
              <w:spacing w:line="360" w:lineRule="auto"/>
              <w:ind w:right="-17"/>
              <w:jc w:val="center"/>
              <w:textAlignment w:val="bottom"/>
              <w:rPr>
                <w:rFonts w:hAnsi="宋体" w:cs="宋体"/>
                <w:color w:val="auto"/>
                <w:highlight w:val="none"/>
              </w:rPr>
            </w:pPr>
          </w:p>
        </w:tc>
      </w:tr>
    </w:tbl>
    <w:p>
      <w:pPr>
        <w:spacing w:line="360" w:lineRule="auto"/>
        <w:rPr>
          <w:rFonts w:hAnsi="宋体" w:cs="宋体"/>
          <w:b/>
          <w:bCs/>
          <w:color w:val="auto"/>
          <w:highlight w:val="none"/>
        </w:rPr>
      </w:pPr>
      <w:bookmarkStart w:id="384" w:name="_Toc455830782"/>
      <w:bookmarkStart w:id="385" w:name="_Toc8371"/>
      <w:r>
        <w:rPr>
          <w:rFonts w:hint="eastAsia" w:hAnsi="宋体" w:cs="宋体"/>
          <w:b/>
          <w:bCs/>
          <w:color w:val="auto"/>
          <w:highlight w:val="none"/>
        </w:rPr>
        <w:t>培训费用</w:t>
      </w:r>
      <w:bookmarkEnd w:id="384"/>
      <w:r>
        <w:rPr>
          <w:rFonts w:hint="eastAsia" w:hAnsi="宋体" w:cs="宋体"/>
          <w:b/>
          <w:bCs/>
          <w:color w:val="auto"/>
          <w:highlight w:val="none"/>
        </w:rPr>
        <w:t>及地点</w:t>
      </w:r>
      <w:bookmarkEnd w:id="385"/>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培训费用：免费培训；</w:t>
      </w:r>
      <w:bookmarkStart w:id="386" w:name="_Toc342062509"/>
      <w:bookmarkStart w:id="387" w:name="_Toc342082811"/>
      <w:bookmarkStart w:id="388" w:name="_Toc390247431"/>
      <w:bookmarkStart w:id="389" w:name="_Toc368586702"/>
      <w:bookmarkStart w:id="390" w:name="_Toc353204688"/>
      <w:bookmarkStart w:id="391" w:name="_Toc341284429"/>
      <w:bookmarkStart w:id="392" w:name="_Toc341371360"/>
      <w:bookmarkStart w:id="393" w:name="_Toc361673049"/>
      <w:bookmarkStart w:id="394" w:name="_Toc342083405"/>
      <w:bookmarkStart w:id="395" w:name="_Toc383526953"/>
      <w:bookmarkStart w:id="396" w:name="_Toc343678863"/>
      <w:bookmarkStart w:id="397" w:name="_Toc352749114"/>
      <w:bookmarkStart w:id="398" w:name="_Toc388219743"/>
    </w:p>
    <w:p>
      <w:pPr>
        <w:spacing w:line="360" w:lineRule="auto"/>
        <w:rPr>
          <w:rFonts w:hAnsi="宋体" w:cs="宋体"/>
          <w:b/>
          <w:bCs/>
          <w:color w:val="auto"/>
          <w:highlight w:val="none"/>
        </w:rPr>
      </w:pPr>
      <w:r>
        <w:rPr>
          <w:rFonts w:hint="eastAsia" w:hAnsi="宋体" w:cs="宋体"/>
          <w:b/>
          <w:bCs/>
          <w:color w:val="auto"/>
          <w:highlight w:val="none"/>
        </w:rPr>
        <w:t>现场培训：</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每套设备安装调试完毕后，我公司安排专门技术人员对使用单位的设备管理人员进行操作应用及维护保养方面的技能培训，使其掌握基本技能。</w:t>
      </w:r>
    </w:p>
    <w:p>
      <w:pPr>
        <w:spacing w:line="360" w:lineRule="auto"/>
        <w:rPr>
          <w:rFonts w:hAnsi="宋体" w:cs="宋体"/>
          <w:b/>
          <w:bCs/>
          <w:color w:val="auto"/>
          <w:highlight w:val="none"/>
        </w:rPr>
      </w:pPr>
      <w:r>
        <w:rPr>
          <w:rFonts w:hint="eastAsia" w:hAnsi="宋体" w:cs="宋体"/>
          <w:b/>
          <w:bCs/>
          <w:color w:val="auto"/>
          <w:highlight w:val="none"/>
        </w:rPr>
        <w:t>领导专项培训</w:t>
      </w:r>
      <w:bookmarkEnd w:id="386"/>
      <w:bookmarkEnd w:id="387"/>
      <w:bookmarkEnd w:id="388"/>
      <w:bookmarkEnd w:id="389"/>
      <w:bookmarkEnd w:id="390"/>
      <w:bookmarkEnd w:id="391"/>
      <w:bookmarkEnd w:id="392"/>
      <w:bookmarkEnd w:id="393"/>
      <w:bookmarkEnd w:id="394"/>
      <w:bookmarkEnd w:id="395"/>
      <w:bookmarkEnd w:id="396"/>
      <w:bookmarkEnd w:id="397"/>
      <w:bookmarkEnd w:id="398"/>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培训目标：监控系统给管理提升带来改变</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授课人员：项目经理及主要技术负责人</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培训方式：“贴身式”培训</w:t>
      </w:r>
    </w:p>
    <w:p>
      <w:pPr>
        <w:spacing w:line="360" w:lineRule="auto"/>
        <w:ind w:firstLine="480" w:firstLineChars="200"/>
        <w:rPr>
          <w:rFonts w:hAnsi="宋体" w:cs="宋体"/>
          <w:color w:val="auto"/>
          <w:highlight w:val="none"/>
          <w:lang w:val="zh-CN"/>
        </w:rPr>
      </w:pPr>
      <w:bookmarkStart w:id="399" w:name="_Toc388219746"/>
      <w:bookmarkStart w:id="400" w:name="_Toc368586705"/>
      <w:bookmarkStart w:id="401" w:name="_Toc383526956"/>
      <w:bookmarkStart w:id="402" w:name="_Toc390247434"/>
      <w:r>
        <w:rPr>
          <w:rFonts w:hint="eastAsia" w:hAnsi="宋体" w:cs="宋体"/>
          <w:color w:val="auto"/>
          <w:highlight w:val="none"/>
          <w:lang w:val="zh-CN"/>
        </w:rPr>
        <w:t>培训人数：依照领导人数而定</w:t>
      </w:r>
    </w:p>
    <w:p>
      <w:pPr>
        <w:spacing w:line="360" w:lineRule="auto"/>
        <w:rPr>
          <w:rFonts w:hAnsi="宋体" w:cs="宋体"/>
          <w:b/>
          <w:bCs/>
          <w:color w:val="auto"/>
          <w:highlight w:val="none"/>
        </w:rPr>
      </w:pPr>
      <w:r>
        <w:rPr>
          <w:rFonts w:hint="eastAsia" w:hAnsi="宋体" w:cs="宋体"/>
          <w:b/>
          <w:bCs/>
          <w:color w:val="auto"/>
          <w:highlight w:val="none"/>
        </w:rPr>
        <w:t>普通老师培训</w:t>
      </w:r>
      <w:bookmarkEnd w:id="399"/>
      <w:bookmarkEnd w:id="400"/>
      <w:bookmarkEnd w:id="401"/>
      <w:bookmarkEnd w:id="402"/>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培训目标：熟练使用监控操作，能处理使用中的简单问题或故障</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授课人员：项目经理及主要技术负责人</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培训形式：集中式培训</w:t>
      </w:r>
    </w:p>
    <w:p>
      <w:pPr>
        <w:spacing w:line="360" w:lineRule="auto"/>
        <w:ind w:firstLine="480" w:firstLineChars="200"/>
        <w:rPr>
          <w:rFonts w:hAnsi="宋体" w:cs="宋体"/>
          <w:color w:val="auto"/>
          <w:highlight w:val="none"/>
          <w:lang w:val="zh-CN"/>
        </w:rPr>
      </w:pPr>
      <w:bookmarkStart w:id="403" w:name="_Toc383526958"/>
      <w:bookmarkStart w:id="404" w:name="_Toc388219748"/>
      <w:bookmarkStart w:id="405" w:name="_Toc390247436"/>
      <w:bookmarkStart w:id="406" w:name="_Toc368586707"/>
      <w:r>
        <w:rPr>
          <w:rFonts w:hint="eastAsia" w:hAnsi="宋体" w:cs="宋体"/>
          <w:color w:val="auto"/>
          <w:highlight w:val="none"/>
          <w:lang w:val="zh-CN"/>
        </w:rPr>
        <w:t>培训人数：依照领导人数而定</w:t>
      </w:r>
    </w:p>
    <w:p>
      <w:pPr>
        <w:spacing w:line="360" w:lineRule="auto"/>
        <w:rPr>
          <w:rFonts w:hAnsi="宋体" w:cs="宋体"/>
          <w:b/>
          <w:bCs/>
          <w:color w:val="auto"/>
          <w:highlight w:val="none"/>
        </w:rPr>
      </w:pPr>
      <w:r>
        <w:rPr>
          <w:rFonts w:hint="eastAsia" w:hAnsi="宋体" w:cs="宋体"/>
          <w:b/>
          <w:bCs/>
          <w:color w:val="auto"/>
          <w:highlight w:val="none"/>
        </w:rPr>
        <w:t>系统管理运维人员培训</w:t>
      </w:r>
      <w:bookmarkEnd w:id="403"/>
      <w:bookmarkEnd w:id="404"/>
      <w:bookmarkEnd w:id="405"/>
      <w:bookmarkEnd w:id="406"/>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培训目标：能够处理监控及网络系统使用过程中常见的故障</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授课人员：技术实施经理</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培训方式：集中式培训</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培训人数：依照领导人数而定</w:t>
      </w:r>
    </w:p>
    <w:p>
      <w:pPr>
        <w:spacing w:line="360" w:lineRule="auto"/>
        <w:ind w:firstLine="480" w:firstLineChars="200"/>
        <w:rPr>
          <w:rFonts w:hAnsi="宋体" w:cs="宋体"/>
          <w:color w:val="auto"/>
          <w:highlight w:val="none"/>
          <w:lang w:val="zh-CN"/>
        </w:rPr>
      </w:pPr>
      <w:bookmarkStart w:id="407" w:name="_Toc455830783"/>
      <w:bookmarkStart w:id="408" w:name="_Toc15512"/>
      <w:r>
        <w:rPr>
          <w:rFonts w:hint="eastAsia" w:hAnsi="宋体" w:cs="宋体"/>
          <w:color w:val="auto"/>
          <w:highlight w:val="none"/>
          <w:lang w:val="zh-CN"/>
        </w:rPr>
        <w:t>时间估算：与西安铁路职业技术学院负责人协商沟通</w:t>
      </w:r>
    </w:p>
    <w:p>
      <w:pPr>
        <w:spacing w:line="360" w:lineRule="auto"/>
        <w:ind w:firstLine="480" w:firstLineChars="200"/>
        <w:rPr>
          <w:rFonts w:hAnsi="宋体" w:cs="宋体"/>
          <w:color w:val="auto"/>
          <w:highlight w:val="none"/>
          <w:lang w:val="zh-CN"/>
        </w:rPr>
      </w:pPr>
      <w:r>
        <w:rPr>
          <w:rFonts w:hint="eastAsia" w:hAnsi="宋体" w:cs="宋体"/>
          <w:color w:val="auto"/>
          <w:highlight w:val="none"/>
          <w:lang w:val="zh-CN"/>
        </w:rPr>
        <w:t>培训地点：西安铁路职业技术学院负责人指定地点</w:t>
      </w:r>
    </w:p>
    <w:p>
      <w:pPr>
        <w:spacing w:line="360" w:lineRule="auto"/>
        <w:rPr>
          <w:rFonts w:hAnsi="宋体" w:cs="宋体"/>
          <w:b/>
          <w:bCs/>
          <w:color w:val="auto"/>
          <w:highlight w:val="none"/>
          <w:lang w:val="zh-CN"/>
        </w:rPr>
      </w:pPr>
      <w:r>
        <w:rPr>
          <w:rFonts w:hint="eastAsia" w:hAnsi="宋体" w:cs="宋体"/>
          <w:b/>
          <w:bCs/>
          <w:color w:val="auto"/>
          <w:highlight w:val="none"/>
          <w:lang w:val="zh-CN"/>
        </w:rPr>
        <w:t>培训内容</w:t>
      </w:r>
      <w:bookmarkEnd w:id="407"/>
      <w:bookmarkEnd w:id="408"/>
    </w:p>
    <w:p>
      <w:pPr>
        <w:spacing w:line="360" w:lineRule="auto"/>
        <w:ind w:firstLine="480" w:firstLineChars="200"/>
        <w:rPr>
          <w:rFonts w:hAnsi="宋体" w:cs="宋体"/>
          <w:b/>
          <w:bCs/>
          <w:color w:val="auto"/>
          <w:sz w:val="36"/>
          <w:szCs w:val="36"/>
          <w:highlight w:val="none"/>
        </w:rPr>
        <w:sectPr>
          <w:pgSz w:w="11906" w:h="16838"/>
          <w:pgMar w:top="1417" w:right="1134" w:bottom="1417" w:left="1417" w:header="1134" w:footer="992" w:gutter="0"/>
          <w:pgNumType w:fmt="numberInDash"/>
          <w:cols w:space="720" w:num="1"/>
          <w:titlePg/>
          <w:docGrid w:type="lines" w:linePitch="333" w:charSpace="0"/>
        </w:sectPr>
      </w:pPr>
      <w:r>
        <w:rPr>
          <w:rFonts w:hint="eastAsia" w:hAnsi="宋体" w:cs="宋体"/>
          <w:color w:val="auto"/>
          <w:highlight w:val="none"/>
          <w:lang w:val="zh-CN"/>
        </w:rPr>
        <w:t>应用设备的目的和范围；应用设备的操作流程以及买方业务流程之间相对应关系；具体操作系统：基础安装、调试与维护；常见问题的处理与解决办法</w:t>
      </w:r>
    </w:p>
    <w:p>
      <w:pPr>
        <w:numPr>
          <w:ilvl w:val="0"/>
          <w:numId w:val="17"/>
        </w:numPr>
        <w:jc w:val="center"/>
        <w:outlineLvl w:val="0"/>
        <w:rPr>
          <w:rFonts w:hAnsi="宋体" w:cs="宋体"/>
          <w:b/>
          <w:bCs/>
          <w:color w:val="auto"/>
          <w:sz w:val="36"/>
          <w:szCs w:val="36"/>
          <w:highlight w:val="none"/>
        </w:rPr>
      </w:pPr>
      <w:r>
        <w:rPr>
          <w:rFonts w:hint="eastAsia" w:hAnsi="宋体" w:cs="宋体"/>
          <w:b/>
          <w:bCs/>
          <w:color w:val="auto"/>
          <w:sz w:val="36"/>
          <w:szCs w:val="36"/>
          <w:highlight w:val="none"/>
        </w:rPr>
        <w:t>采购内容及技术要求</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Start w:id="409" w:name="_Toc317530110"/>
      <w:bookmarkStart w:id="410" w:name="_Toc389582038"/>
      <w:bookmarkStart w:id="411" w:name="_Toc11450"/>
      <w:bookmarkStart w:id="412" w:name="_Toc20481"/>
      <w:bookmarkStart w:id="413" w:name="_Toc1025"/>
      <w:bookmarkStart w:id="414" w:name="_Toc2711"/>
      <w:bookmarkStart w:id="415" w:name="_Toc23856"/>
      <w:bookmarkStart w:id="416" w:name="_Toc4053"/>
    </w:p>
    <w:bookmarkEnd w:id="409"/>
    <w:p>
      <w:pPr>
        <w:pStyle w:val="226"/>
        <w:spacing w:line="312" w:lineRule="auto"/>
        <w:ind w:left="0" w:firstLine="482" w:firstLineChars="200"/>
        <w:jc w:val="both"/>
        <w:outlineLvl w:val="9"/>
        <w:rPr>
          <w:rFonts w:cs="宋体"/>
          <w:b/>
          <w:bCs/>
          <w:color w:val="auto"/>
          <w:sz w:val="24"/>
          <w:szCs w:val="24"/>
          <w:highlight w:val="none"/>
          <w:lang w:eastAsia="zh-CN"/>
        </w:rPr>
      </w:pPr>
      <w:bookmarkStart w:id="417" w:name="_Toc1462"/>
      <w:bookmarkStart w:id="418" w:name="_Toc426457697"/>
      <w:bookmarkStart w:id="419" w:name="_Toc25607"/>
      <w:bookmarkStart w:id="420" w:name="_Toc2203"/>
      <w:bookmarkStart w:id="421" w:name="_Toc27859"/>
      <w:bookmarkStart w:id="422" w:name="_Toc5583"/>
      <w:r>
        <w:rPr>
          <w:rFonts w:hint="eastAsia" w:cs="宋体"/>
          <w:b/>
          <w:bCs/>
          <w:color w:val="auto"/>
          <w:sz w:val="24"/>
          <w:szCs w:val="24"/>
          <w:highlight w:val="none"/>
          <w:lang w:eastAsia="zh-CN"/>
        </w:rPr>
        <w:t>一、项目概况</w:t>
      </w:r>
    </w:p>
    <w:p>
      <w:pPr>
        <w:pStyle w:val="226"/>
        <w:spacing w:line="360" w:lineRule="auto"/>
        <w:ind w:left="0" w:firstLine="480" w:firstLineChars="200"/>
        <w:jc w:val="both"/>
        <w:outlineLvl w:val="9"/>
        <w:rPr>
          <w:rFonts w:hint="eastAsia" w:cs="宋体"/>
          <w:color w:val="auto"/>
          <w:sz w:val="24"/>
          <w:szCs w:val="24"/>
          <w:highlight w:val="none"/>
          <w:lang w:eastAsia="zh-CN"/>
        </w:rPr>
      </w:pPr>
      <w:r>
        <w:rPr>
          <w:rFonts w:hint="eastAsia" w:cs="宋体"/>
          <w:color w:val="auto"/>
          <w:sz w:val="24"/>
          <w:szCs w:val="24"/>
          <w:highlight w:val="none"/>
          <w:lang w:eastAsia="zh-CN"/>
        </w:rPr>
        <w:t>无纸化会议室项目建设按照“需求牵引、瞄准前沿、确保可行、利于发展”的思路，建设一套集日常会议、视频会议、多功能会议为一体的会议室，确保会议室设计理念先进、系统稳定、功能完善、指挥高效。</w:t>
      </w:r>
    </w:p>
    <w:p>
      <w:pPr>
        <w:pStyle w:val="226"/>
        <w:spacing w:line="360" w:lineRule="auto"/>
        <w:ind w:left="0" w:firstLine="480" w:firstLineChars="200"/>
        <w:jc w:val="both"/>
        <w:outlineLvl w:val="9"/>
        <w:rPr>
          <w:rFonts w:hint="eastAsia" w:cs="宋体"/>
          <w:color w:val="auto"/>
          <w:sz w:val="24"/>
          <w:szCs w:val="24"/>
          <w:highlight w:val="none"/>
          <w:lang w:eastAsia="zh-CN"/>
        </w:rPr>
      </w:pPr>
      <w:r>
        <w:rPr>
          <w:rFonts w:hint="eastAsia" w:cs="宋体"/>
          <w:color w:val="auto"/>
          <w:sz w:val="24"/>
          <w:szCs w:val="24"/>
          <w:highlight w:val="none"/>
          <w:lang w:eastAsia="zh-CN"/>
        </w:rPr>
        <w:t>1.系统要做到可方便快捷的管理所有视频、音频系统；</w:t>
      </w:r>
    </w:p>
    <w:p>
      <w:pPr>
        <w:pStyle w:val="226"/>
        <w:spacing w:line="360" w:lineRule="auto"/>
        <w:ind w:left="0" w:firstLine="480" w:firstLineChars="200"/>
        <w:jc w:val="both"/>
        <w:outlineLvl w:val="9"/>
        <w:rPr>
          <w:rFonts w:hint="eastAsia" w:cs="宋体"/>
          <w:color w:val="auto"/>
          <w:sz w:val="24"/>
          <w:szCs w:val="24"/>
          <w:highlight w:val="none"/>
          <w:lang w:eastAsia="zh-CN"/>
        </w:rPr>
      </w:pPr>
      <w:r>
        <w:rPr>
          <w:rFonts w:hint="eastAsia" w:cs="宋体"/>
          <w:color w:val="auto"/>
          <w:sz w:val="24"/>
          <w:szCs w:val="24"/>
          <w:highlight w:val="none"/>
          <w:lang w:eastAsia="zh-CN"/>
        </w:rPr>
        <w:t>2.满足会议室各路信号源任意切换到各个高清显示设备播放需求；</w:t>
      </w:r>
    </w:p>
    <w:p>
      <w:pPr>
        <w:pStyle w:val="226"/>
        <w:spacing w:line="360" w:lineRule="auto"/>
        <w:ind w:left="0" w:firstLine="480" w:firstLineChars="200"/>
        <w:jc w:val="both"/>
        <w:outlineLvl w:val="9"/>
        <w:rPr>
          <w:rFonts w:hint="eastAsia" w:cs="宋体"/>
          <w:color w:val="auto"/>
          <w:sz w:val="24"/>
          <w:szCs w:val="24"/>
          <w:highlight w:val="none"/>
          <w:lang w:eastAsia="zh-CN"/>
        </w:rPr>
      </w:pPr>
      <w:r>
        <w:rPr>
          <w:rFonts w:hint="eastAsia" w:cs="宋体"/>
          <w:color w:val="auto"/>
          <w:sz w:val="24"/>
          <w:szCs w:val="24"/>
          <w:highlight w:val="none"/>
          <w:lang w:eastAsia="zh-CN"/>
        </w:rPr>
        <w:t>3.保证音频扩音系统易操作、功能灵活，满足会议的不同功能要求；</w:t>
      </w:r>
    </w:p>
    <w:p>
      <w:pPr>
        <w:pStyle w:val="226"/>
        <w:spacing w:line="360" w:lineRule="auto"/>
        <w:ind w:left="0" w:firstLine="480" w:firstLineChars="200"/>
        <w:jc w:val="both"/>
        <w:outlineLvl w:val="9"/>
        <w:rPr>
          <w:rFonts w:hint="eastAsia" w:cs="宋体"/>
          <w:color w:val="auto"/>
          <w:sz w:val="24"/>
          <w:szCs w:val="24"/>
          <w:highlight w:val="none"/>
          <w:lang w:eastAsia="zh-CN"/>
        </w:rPr>
      </w:pPr>
      <w:r>
        <w:rPr>
          <w:rFonts w:hint="eastAsia" w:cs="宋体"/>
          <w:color w:val="auto"/>
          <w:sz w:val="24"/>
          <w:szCs w:val="24"/>
          <w:highlight w:val="none"/>
          <w:lang w:eastAsia="zh-CN"/>
        </w:rPr>
        <w:t>4.满足召开视频会议、日常会议、多功能会议等要求；</w:t>
      </w:r>
    </w:p>
    <w:p>
      <w:pPr>
        <w:pStyle w:val="226"/>
        <w:spacing w:line="360" w:lineRule="auto"/>
        <w:ind w:left="0" w:firstLine="480" w:firstLineChars="200"/>
        <w:jc w:val="both"/>
        <w:outlineLvl w:val="9"/>
        <w:rPr>
          <w:rFonts w:hint="eastAsia" w:cs="宋体"/>
          <w:color w:val="auto"/>
          <w:sz w:val="24"/>
          <w:szCs w:val="24"/>
          <w:highlight w:val="none"/>
          <w:lang w:eastAsia="zh-CN"/>
        </w:rPr>
      </w:pPr>
      <w:r>
        <w:rPr>
          <w:rFonts w:hint="eastAsia" w:cs="宋体"/>
          <w:color w:val="auto"/>
          <w:sz w:val="24"/>
          <w:szCs w:val="24"/>
          <w:highlight w:val="none"/>
          <w:lang w:eastAsia="zh-CN"/>
        </w:rPr>
        <w:t>5.能够与省厅视频会议进行对接，同时本地视频会议需要于现有视频会议系统无缝衔接。</w:t>
      </w:r>
    </w:p>
    <w:p>
      <w:pPr>
        <w:pStyle w:val="226"/>
        <w:spacing w:line="360" w:lineRule="auto"/>
        <w:ind w:left="0" w:firstLine="480" w:firstLineChars="200"/>
        <w:jc w:val="both"/>
        <w:outlineLvl w:val="9"/>
        <w:rPr>
          <w:rFonts w:cs="宋体"/>
          <w:color w:val="auto"/>
          <w:sz w:val="24"/>
          <w:szCs w:val="24"/>
          <w:highlight w:val="none"/>
          <w:lang w:eastAsia="zh-CN"/>
        </w:rPr>
      </w:pPr>
      <w:r>
        <w:rPr>
          <w:rFonts w:hint="eastAsia" w:cs="宋体"/>
          <w:color w:val="auto"/>
          <w:sz w:val="24"/>
          <w:szCs w:val="24"/>
          <w:highlight w:val="none"/>
          <w:lang w:eastAsia="zh-CN"/>
        </w:rPr>
        <w:t>6.满足无纸化候会信息发布终端能够与现有无纸化会议系统无缝对接，进行智能化会议信息显示。</w:t>
      </w:r>
    </w:p>
    <w:p>
      <w:pPr>
        <w:pStyle w:val="226"/>
        <w:numPr>
          <w:ilvl w:val="0"/>
          <w:numId w:val="0"/>
        </w:numPr>
        <w:spacing w:line="312" w:lineRule="auto"/>
        <w:ind w:left="562" w:leftChars="0"/>
        <w:jc w:val="both"/>
        <w:outlineLvl w:val="9"/>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二、采购内容</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338"/>
        <w:gridCol w:w="5355"/>
        <w:gridCol w:w="780"/>
        <w:gridCol w:w="735"/>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u w:val="single"/>
              </w:rPr>
              <w:t>6楼第三会议室清单表</w:t>
            </w:r>
          </w:p>
        </w:tc>
        <w:tc>
          <w:tcPr>
            <w:tcW w:w="441" w:type="pct"/>
            <w:shd w:val="clear" w:color="auto" w:fill="auto"/>
            <w:noWrap/>
            <w:vAlign w:val="center"/>
          </w:tcPr>
          <w:p>
            <w:pPr>
              <w:widowControl/>
              <w:jc w:val="center"/>
              <w:rPr>
                <w:rFonts w:hint="eastAsia" w:ascii="宋体" w:hAnsi="宋体" w:eastAsia="宋体" w:cs="宋体"/>
                <w:b/>
                <w:bCs/>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698"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设备名称</w:t>
            </w:r>
          </w:p>
        </w:tc>
        <w:tc>
          <w:tcPr>
            <w:tcW w:w="2797" w:type="pct"/>
            <w:shd w:val="clear" w:color="auto" w:fill="auto"/>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技术要求</w:t>
            </w:r>
          </w:p>
        </w:tc>
        <w:tc>
          <w:tcPr>
            <w:tcW w:w="407"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数量</w:t>
            </w:r>
          </w:p>
        </w:tc>
        <w:tc>
          <w:tcPr>
            <w:tcW w:w="383"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单位</w:t>
            </w:r>
          </w:p>
        </w:tc>
        <w:tc>
          <w:tcPr>
            <w:tcW w:w="441" w:type="pct"/>
            <w:shd w:val="clear" w:color="auto" w:fill="auto"/>
            <w:noWrap/>
            <w:vAlign w:val="center"/>
          </w:tcPr>
          <w:p>
            <w:pPr>
              <w:widowControl/>
              <w:jc w:val="center"/>
              <w:rPr>
                <w:rFonts w:hint="eastAsia" w:ascii="宋体" w:hAnsi="宋体" w:eastAsia="宋体" w:cs="宋体"/>
                <w:b/>
                <w:bCs/>
                <w:kern w:val="0"/>
                <w:sz w:val="24"/>
                <w:szCs w:val="24"/>
                <w:lang w:eastAsia="zh-CN"/>
              </w:rPr>
            </w:pPr>
            <w:r>
              <w:rPr>
                <w:rFonts w:hint="eastAsia" w:hAnsi="宋体" w:cs="宋体"/>
                <w:b/>
                <w:bCs/>
                <w:kern w:val="0"/>
                <w:sz w:val="24"/>
                <w:szCs w:val="24"/>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vAlign w:val="center"/>
          </w:tcPr>
          <w:p>
            <w:pPr>
              <w:widowControl/>
              <w:jc w:val="center"/>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rPr>
              <w:t>会议室大小约14.3*7.2</w:t>
            </w:r>
            <w:r>
              <w:rPr>
                <w:rFonts w:hint="eastAsia" w:hAnsi="宋体" w:cs="宋体"/>
                <w:b/>
                <w:bCs/>
                <w:kern w:val="0"/>
                <w:sz w:val="24"/>
                <w:szCs w:val="24"/>
                <w:lang w:val="en-US" w:eastAsia="zh-CN"/>
              </w:rPr>
              <w:t>m</w:t>
            </w:r>
          </w:p>
        </w:tc>
        <w:tc>
          <w:tcPr>
            <w:tcW w:w="441" w:type="pct"/>
            <w:shd w:val="clear" w:color="auto" w:fill="auto"/>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1、LED显示系统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8" w:type="pct"/>
            <w:gridSpan w:val="5"/>
            <w:shd w:val="clear" w:color="auto" w:fill="auto"/>
            <w:noWrap/>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1.1LED显示屏系统(显示屏净尺寸3.6m*1.6875m，屏体分辨率：2880*1350，屏体功耗*1.3倍=4.248855KW）</w:t>
            </w:r>
          </w:p>
        </w:tc>
        <w:tc>
          <w:tcPr>
            <w:tcW w:w="441" w:type="pct"/>
            <w:shd w:val="clear" w:color="auto" w:fill="auto"/>
            <w:noWrap/>
            <w:vAlign w:val="center"/>
          </w:tcPr>
          <w:p>
            <w:pPr>
              <w:widowControl/>
              <w:jc w:val="left"/>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户内全彩LED屏</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1.LED显示屏灯珠采用表贴CHIP三合一铜线封装；LED封装形式：SMD1010黑灯；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2.LED显示屏采用≤1.25mm点间距，像素点密度≥640000点/㎡；亮度200～800CD/㎡；峰值功耗：≤538W/㎡，平均功耗：≤179W/㎡</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LED显示屏采用CNC一次成型压铸铝箱体，所选材料符合《GB/T15115-2016压铸铝合金》标准，全金属自然散热结构，无风扇，防尘和静音设计；像素中心距相对偏差≤1%，对比度≥10000:1，像素失控率≤1/100000，水平/垂直视角≥175°，刷新率≥3840Hz，色温1000K-20000K连续可调，亮度均匀性≥99%，色度均匀性±0.001Cx，Cy之内，各色光的波长误差在±2nm之内，屏前1米噪音值＜2dB</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4.LED显示屏采用三轴（X，Y，Z）调节机构，可实现屏幕上下左右拼缝及前后平整度任意调节，拼接平整度≤0.05mm、错位值≤0.05mm、间隙≤0.05mm（提供相关证明材料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LED显示屏无塑料底壳套件，压铸铝箱体与PCB直接接触，PCB边缘直接接触压铸箱四边接触面可提高导热性能；显示屏单元模组与单元箱体之间采用工业级精密浮动无线连接器，具备嵌合纠偏能力，以模组为单位可对整屏拼缝进行精细调节，避免模组间因拼缝产生亮暗线效果，箱体内部看不到信号排线、低压电源线，可带电直接插拔；LED显示屏箱体与箱体之间采用汽车级无线连接件，锌合金压铸一体成型，锌合金公母头接插件精度10个丝，稳定可靠，精准定位不打火；平均故障恢复时间（MTTR）≤2分钟（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6.LED显示屏采用非接触式磁悬浮前维护，具备抗扭转、抗冲击震动，降低嵌合时管脚压力；可正面拆卸模组、接收卡、电源，模组、接收卡等低压器件多次热插拔测试后都能正常工作</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7.LED显示屏具备FLASH智能存储电路，可以存储模组生产信息参数、运行参数、校正数据存储在模组里，更换模组可自动回读校正数据等等，存储容量≥16kb（提供相关证明材料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8.LED显示屏开关电源具备PFC功能，宽电压输入AC90-270V50Hz/60Hz，杜绝电网不稳定造成闪屏、黑屏现象，功率因素0.95，电源效率≥95%@25℃，并具有过流、短路、过压、欠压的保护功能（提供相关证明材料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9.LED显示屏单元箱体具备LCD面板可以显示公司LOGO、箱体内部温度/湿度/电压/运行时间/垂直角度/水平角度/及信号报错指示灯（提供相关证明材料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10.LED显示屏具备现场屏体开关机次数及使用时长记录，以及对现场温湿度的监测反馈，并形成数据保存周期为100天，并可在控制软件端提取数据，保证用户实时了解现场屏体及使用环境情况（提供相关证明材料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hAnsi="宋体" w:eastAsia="宋体" w:cs="宋体"/>
                <w:color w:val="000000"/>
                <w:kern w:val="0"/>
                <w:sz w:val="24"/>
                <w:szCs w:val="24"/>
                <w:lang w:eastAsia="zh-CN"/>
              </w:rPr>
            </w:pPr>
            <w:r>
              <w:rPr>
                <w:rFonts w:hint="eastAsia" w:ascii="宋体" w:hAnsi="宋体" w:eastAsia="宋体" w:cs="宋体"/>
                <w:color w:val="000000"/>
                <w:kern w:val="0"/>
                <w:sz w:val="24"/>
                <w:szCs w:val="24"/>
              </w:rPr>
              <w:t>11.LED显示屏具备45S低扫描特殊电路板</w:t>
            </w:r>
            <w:r>
              <w:rPr>
                <w:rFonts w:hint="eastAsia" w:hAnsi="宋体" w:cs="宋体"/>
                <w:color w:val="000000"/>
                <w:kern w:val="0"/>
                <w:sz w:val="24"/>
                <w:szCs w:val="24"/>
                <w:lang w:eastAsia="zh-CN"/>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12.LED显示屏模组PCB采用表面沉金处理，板厚≥2mm，铜厚≥1盎司，TG≥150（提供相关证明材料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LED显示屏具备VICO指数测试值在0≤VICO＜1间，属于1级基本无疲劳感舒适度，产品视觉健康舒适度A＋级，显示屏符合IEC62471:2006标准的光生物安全及蓝光危害评估检测的无危害类要求（豁免级），具备防蓝光护眼模式（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14.LED显示屏PCB板、线材、电源、连接件需经过燃烧性能GB/T5169.16-2017标准试验，阻燃等级V-0级（提供相关证明材料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15.LED显示屏具备IP5X防护等级；PCB板表面具备防潮/防尘/防静电/抗氧化；</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6.0750 </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平方米</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发送盒</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功能特点：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1、一路DVI视频输入。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2、一路HDMI高清视频输入。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3、一路音频输入。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4、四路网口输出。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5、USB接口控制，可级联多台进行统一控制。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6、一路光探头接口。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7、带载能力达230万像素，最宽可达3840点，或最高可达3840点。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1、工作电源：AC-100-240V-50/60Hz</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2、功耗：16W</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3、工作温度：-20℃~60℃</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4、工作湿度：0~90%</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5、尺寸（mm）：</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428×250×44.4</w:t>
            </w:r>
          </w:p>
          <w:p>
            <w:pPr>
              <w:widowControl/>
              <w:jc w:val="left"/>
              <w:rPr>
                <w:rFonts w:hint="eastAsia" w:ascii="宋体" w:hAnsi="宋体" w:eastAsia="宋体" w:cs="宋体"/>
                <w:color w:val="000000"/>
                <w:kern w:val="0"/>
                <w:sz w:val="24"/>
                <w:szCs w:val="24"/>
              </w:rPr>
            </w:pPr>
            <w:r>
              <w:rPr>
                <w:rFonts w:hint="eastAsia" w:hAnsi="宋体" w:cs="宋体"/>
                <w:color w:val="000000"/>
                <w:kern w:val="0"/>
                <w:sz w:val="24"/>
                <w:szCs w:val="24"/>
                <w:lang w:val="en-US" w:eastAsia="zh-CN"/>
              </w:rPr>
              <w:t>6</w:t>
            </w:r>
            <w:r>
              <w:rPr>
                <w:rFonts w:hint="eastAsia" w:ascii="宋体" w:hAnsi="宋体" w:eastAsia="宋体" w:cs="宋体"/>
                <w:color w:val="000000"/>
                <w:kern w:val="0"/>
                <w:sz w:val="24"/>
                <w:szCs w:val="24"/>
              </w:rPr>
              <w:t>、线材：</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1.5米USB线、</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1.5米DVI线</w:t>
            </w:r>
          </w:p>
        </w:tc>
        <w:tc>
          <w:tcPr>
            <w:tcW w:w="407"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显示屏控制设备嵌入式软件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1.LED显示屏控制设备嵌入式。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2.支持视频、音频、图像、文字、Flash、Gif等形式的媒体文件播放；</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3.支持Microsoft office的Word、Excel、PPT显示；支持多页面多分区节目编辑；</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4.支持时钟、计时、网页、表格、数据库、天气预报显示；支持外部视频、环境信息、体育比分、桌面拷贝播放；</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5.支持对LED大屏幕的手工校正，同时兼容其它专业校正设备采集的校正数据；</w:t>
            </w:r>
          </w:p>
        </w:tc>
        <w:tc>
          <w:tcPr>
            <w:tcW w:w="407"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8" w:type="pct"/>
            <w:gridSpan w:val="5"/>
            <w:shd w:val="clear" w:color="auto" w:fill="auto"/>
            <w:noWrap/>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1.2 控制设备以及配套设备</w:t>
            </w:r>
          </w:p>
        </w:tc>
        <w:tc>
          <w:tcPr>
            <w:tcW w:w="441" w:type="pct"/>
            <w:shd w:val="clear" w:color="auto" w:fill="auto"/>
            <w:noWrap/>
            <w:vAlign w:val="center"/>
          </w:tcPr>
          <w:p>
            <w:pPr>
              <w:widowControl/>
              <w:jc w:val="left"/>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视频处理器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功能特点：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1.具备有彩色液晶显示器，搭配数字按钮及调节旋钮，操作简单，支持导航式设置。</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2.支持4口拼接，输出模式支持520万像素自定义输出，水平最大15360像素，纵向最大7680像素。</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3.支持三画面任意布局。</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4.支持同时在屏幕上呈现3个或3个以下的画面，画面大小自由缩放、摆放，画面之间可相互叠加。</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5.支持信号回显，可通过软件实时查看输入输出信号。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6.支持同时进行多画面预览及输出监视，支持同时预览6路输入信号，并可以同时监视当前的输出画面。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7.支持4K超高清信号处理。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8.支持多组可编程全局图文叠加。</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9.支持信号及模式无缝切换，提供十多种过度特效，包括淡入淡出，无缝直切，垂直、水平梳理，圆形切入、切出，菱形切入、切出，各个方向的划幕。</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10.支持亮度抠像，支持指定亮度值以下的背景扣除，并融合到新的背景当中。</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11.支持对每个画面的透明度进行单独调节，支持0~100%可调。</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12.支持对画面的边缘进行羽化。</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13.支持多级输入信号热备份，多机级联同步输出，支持同步技术，无错位、撕裂。</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14.支持将图文字幕叠加到视频画面上的任意位置，并可设定不同的运动轨迹和速度。</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15.支持对输入信号指定备份信号，当前信号故障时，系统自动输出备份信号，当信号恢复时可自动跳回。</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16.支持画面冻结任意画面。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17.支持一键输出黑屏信号，可用于演艺活动场景。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18.支持保存32组不同的设置参数保存为模式，并可快速调用。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19.支持脱机的计划任务，可设定定时操作，完成自动化管理。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输入信号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1.DVI-D×1：最大支持分辨率为1920×1200@60Hz，向下兼容；兼容HDMI1.3及以下版本，EDID版本1.3</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2.HDMI×1：最大支持分辨率为1920×1200@60Hz，向下兼容；兼容HDMI1.3及以下版本，EDID版本1.3</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3.VGA×2：最大支持分辨率为1920×1200@60Hz，向下兼容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4.CVBS×2：NTSC/PAL自适应，支持3D梳状滤波器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5.扩展输入：2路DVI，支持DVI、SDI、HDMI1.3/1.4、IP、CVBS等多种信号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输出信号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6.DVI-D×5：支持常见输出分辨率，如2048×1152@60Hz，1920×1080@60Hz；支持自定义输出分辨率，如3840×660@60Hz；支持60Hz/50Hz/30Hz输出帧率；兼容HDMI1.3及以下版本；其中4路为变成输出，另1路为预览输出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7.控制方式：RS-232/RJ-45以太网</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8.工作电源：100-240VAC，47-63Hz，≤2A</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9.工作环境：温度0-40℃；湿度0-95%（无结露）</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10.设备尺寸（mm）：</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66×432×256（H×L×D）</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视频处理设备嵌入式软件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1.视频处理设备嵌入式软件可实现对拼接显示系统的模式管理、窗口显示、场景调用、屏幕远程控制等功能。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2.具有输入信号通道预监功能，可预监视视频信号内容。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3.支持大屏幕回显功能，当前屏幕画面实时回显监视。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4.支持远程开关机功能，预设液晶屏、DLP指令，支持自定义开关机指令载入。</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5.支持开关机、调用场景、场景轮巡等定时任务设置，根据设置时间自动执行任务，无需人工操作。</w:t>
            </w:r>
          </w:p>
        </w:tc>
        <w:tc>
          <w:tcPr>
            <w:tcW w:w="407"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hAnsi="宋体" w:cs="宋体"/>
                <w:color w:val="000000"/>
                <w:kern w:val="0"/>
                <w:sz w:val="24"/>
                <w:szCs w:val="24"/>
                <w:lang w:eastAsia="zh-CN"/>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配电柜</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1、额定功率：10KW，输出路数：3路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2、配电柜输入电压为交流380V±15%，工频50Hz。具有过压、浪涌、短路、过流、过载、漏电等保护功能。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3、内置避雷器。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4、配电柜含多功能卡控制，具</w:t>
            </w:r>
            <w:r>
              <w:rPr>
                <w:rFonts w:hint="eastAsia" w:hAnsi="宋体" w:cs="宋体"/>
                <w:color w:val="000000"/>
                <w:kern w:val="0"/>
                <w:sz w:val="24"/>
                <w:szCs w:val="24"/>
                <w:lang w:eastAsia="zh-CN"/>
              </w:rPr>
              <w:t>备</w:t>
            </w:r>
            <w:r>
              <w:rPr>
                <w:rFonts w:hint="eastAsia" w:ascii="宋体" w:hAnsi="宋体" w:eastAsia="宋体" w:cs="宋体"/>
                <w:color w:val="000000"/>
                <w:kern w:val="0"/>
                <w:sz w:val="24"/>
                <w:szCs w:val="24"/>
              </w:rPr>
              <w:t>远程控制。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5、支持通过LED显示屏智慧控制系统软件实现远程开关电箱、远程通讯、电源监视、温度监控、消防监控等操作。</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6、箱体尺寸（高*宽*厚）：</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500mm*400mm*200mm</w:t>
            </w:r>
          </w:p>
        </w:tc>
        <w:tc>
          <w:tcPr>
            <w:tcW w:w="407"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8" w:type="pct"/>
            <w:gridSpan w:val="5"/>
            <w:shd w:val="clear" w:color="auto" w:fill="auto"/>
            <w:noWrap/>
            <w:vAlign w:val="center"/>
          </w:tcPr>
          <w:p>
            <w:pPr>
              <w:widowControl/>
              <w:jc w:val="left"/>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1.3 技术服务</w:t>
            </w:r>
          </w:p>
        </w:tc>
        <w:tc>
          <w:tcPr>
            <w:tcW w:w="441" w:type="pct"/>
            <w:shd w:val="clear" w:color="auto" w:fill="auto"/>
            <w:noWrap/>
            <w:vAlign w:val="center"/>
          </w:tcPr>
          <w:p>
            <w:pPr>
              <w:widowControl/>
              <w:jc w:val="left"/>
              <w:rPr>
                <w:rFonts w:hint="eastAsia" w:ascii="宋体" w:hAnsi="宋体" w:eastAsia="宋体" w:cs="宋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98" w:type="pct"/>
            <w:shd w:val="clear" w:color="auto" w:fill="auto"/>
            <w:noWrap/>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技术服务</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1.用于安装支撑屏体的结构及安装费用；</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2.包边要求：采用铝塑板，不锈钢进行包边，颜色默认为黑色及灰色；强弱电线材、安装等</w:t>
            </w:r>
          </w:p>
        </w:tc>
        <w:tc>
          <w:tcPr>
            <w:tcW w:w="407"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83"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w:t>
            </w:r>
          </w:p>
        </w:tc>
        <w:tc>
          <w:tcPr>
            <w:tcW w:w="441" w:type="pct"/>
            <w:shd w:val="clear" w:color="auto" w:fill="auto"/>
            <w:noWrap/>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包装材料</w:t>
            </w:r>
          </w:p>
        </w:tc>
        <w:tc>
          <w:tcPr>
            <w:tcW w:w="2797"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8mm胶合免熏蒸木箱</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6.0750 </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平方米</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2、扩声系统</w:t>
            </w:r>
          </w:p>
        </w:tc>
        <w:tc>
          <w:tcPr>
            <w:tcW w:w="441" w:type="pct"/>
            <w:shd w:val="clear" w:color="auto" w:fill="auto"/>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专业功放</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1.1U机箱，采用D类数字功放。</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2.标准XLR输入接口，和LINK输出口。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3.电源采用开关电源技术，效率高，有效的抑制电源谐波。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4.内置智能削峰限幅器。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5.具有：过压保护，欠压保护，过流保护，直流保护，输出短路保护，温控风扇等功能。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6.输出功率：立体声@8Ω：≥350W×2；立体声@4Ω：≥600W×2。</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专业音箱</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1.阻抗：8Ω</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2.频响：60Hz~20KHz</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3.额定功率≥200W</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4.灵敏度≥96dB/W/M</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5.水平覆盖角≥80°，垂直覆盖角≥60°</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6.高音：1.4"压缩高音单元×1</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7.低音：8"低音×1</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支架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固定面板孔位尺寸（长*宽）：≥140mm*65mm</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箱体固定面板孔位尺寸（长*宽）：≥128mm*70mm</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设备面板尺寸：≥160mm*90mm</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专业功放</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1.1U机箱设计，采用D类数字功放。</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2.标准XLR输入接口，和LINK输出口。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3.电源采用开关电源技术，效率高，有效的抑制电源谐波。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4.内置智能削峰限幅器。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5.具有：过压保护，欠压保护，过流保护，直流保护，输出短路保护，温控风扇等功能。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6.输出功率：立体声@8Ω：≥200W×2；立体声@4Ω：≥400W×2。</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专业音箱</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1.阻抗：8Ω</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2.频响：65Hz~20KHz</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3.额定功率≥150W</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4.灵敏度≥95dB/W/M</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5.水平覆盖角≥80°，垂直覆盖角≥60°</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6.高音：3"锥形高音单元×2</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7.低音：8"低音×1</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支架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固定面板孔位尺寸（长*宽）：≥140mm*65mm</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箱体固定面板孔位尺寸（长*宽）：≥128mm*70mm</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设备面板尺寸：≥160mm*90mm</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只</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调音台</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1.支持≥8路麦克风输入兼容6路线路输入接口，支持≥2路立体声输入接口，≥4路RCA输入，话筒接口幻象电源：+48V。</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▲2.具有≥2组立体主输出、≥4路编组输出、≥4路辅助输出、≥1组立体声监听输出、≥1个耳机监听输出、≥2个效果输出、≥1组主混音断点插入、≥6个断点插入。（提供接口图佐证）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3.内置≥24位DSP效果器，提供≥100种预设效果。</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4.具备≥13个60mm行程的高精密碳膜推子。</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5.内置USB声卡模块，支持连接电脑进行音乐播放和声音录音；内置MP3播放器，支持≥1个USB接口接U盘播放音乐。（提供接口图佐证）</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抑制器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1.高性能DSP处理，≥40-bit DPS处理器（400兆主频），提供≥32-bit/48kHz的声音。</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▲2.采用“陷波”+“移频”双方式进行反馈抑制。陷波器提供12固定点+12动态点。高精度移频，范围≥-10Hz到10Hz。（提供相关证明材料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3.均衡器支持≥31段图示均衡器和8段参量均衡器。（提供相关证明材料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4.分频器支持巴特沃斯，贝塞尔，林克威治-瑞利三种类型及多种倍频程。</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5.具有一个≥2英寸IPS真彩显示屏。支持中英文切换显示。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6.具有≥48个陷波器状态LED指示灯实时显示，每通道≥12个静态+≥12个动态陷波器。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7.具有双通道直通，一键重置陷波点配置功能。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8.支持≥4个场景切换。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9.支持设备定位功能、断电自动保护记忆功能。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10.输入通道及插座≥2路XLR与TRS多功能座模拟输入；输出通道及插座≥2路XLR公座+≥2路TRS公座模拟输出。</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无线话筒</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1.频率指标：</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530-580MHz，640-690MHz，调制方式：宽带FM，频道数目：≥200个频道。</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2.配套有≥1台接收主机和≥2个无线手持话筒。</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3.采用UHF超高频段双真分集接收，并采用PLL锁相环多信道频率合成技术。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4.接收机指标：采用自动选讯接收方式，灵敏度:≥12dB μV（80dBS/N)，频率响应:优于50Hz-16.5kHz。</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5.发射机指标：音头采用动圈式麦克风；手持麦克风内置螺旋天线。</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6.输出功率:≥30mW。</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话筒呼叫控制嵌入软件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1.软件内嵌于无线话筒系统设备，话筒呼叫控制功能。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2.采用UHF超高频段双真分集接收，并采用PLL锁相环多信道频率合成。</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3.支持自动选讯接收方式。</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4.支持信道选择、频率可调、可设置主机与话筒配对。</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音频处理器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1.数字音频处理器支持≥4路平衡式话筒/线路输入通道，采用裸线接口端子，平衡接法；支持≥4路平衡式线路输出，采用裸线接口端子，平衡接法。</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2.输入通道支持前级放大、信号发生器、扩展器、压缩器、≥5段参量均衡、AM自动混音功能、AFC自适应反馈消除、AEC回声消除、ANC噪声消除。</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3.输出通道支持≥31段图示均衡器、延时器、分频器、高低通滤波器、限幅器。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4.支持≥24bit/48kHz的声音，支持输入通道48V幻象供电。</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5.具有≥2.19英寸液晶显示屏，支持显示设备网络信息、实时电平、通道静音状态、矩阵混音状态。（提供相关证明材料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▲6.支持通过ipad或iPhone或安卓手机APP软件进行操作控制，面板具备USB接口，支持多媒体存储，可进行播放或存储录播。（提供相关证明材料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7.配置双向RS-232接口，可用于控制外部设备；配置RS-485接口，可实现自动摄像跟踪功能。配置≥8通道可编程GPIO控制接口（可自定义输入输出）。</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8.支持断电自动保护记忆功能。支持通道拷贝、粘贴、联控功能。支持通过浏览器访问设备，下载自带管理控制软件；可工作在XP/Windows7、8、10等系统环境下。</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3、会议系统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会议系统主机</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1.设备具有音频时钟同步传输技术，音频延时小于5ms。</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2.内置高性能DSP处理器，具有音频矩阵、啸叫抑制、EQ、音量、延时器等调节功能。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音频输入接口包括有≥1路RCA、≥1路卡侬头、≥2路凤凰端子。音频输出接口包括有≥1路RCA、≥1路卡侬头、≥16路凤凰端子。支持≥16通道音频输出功能，可灵活配置为角色分离输出模式、同传输出模式、相控输出模式。每个输出通道都可以调节EQ、音量、延时器等参数。（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4.支持≥16通道角色分离输出模式，可使有线或无线单元根据ID号独立输出，最大支持128路有线单元或无线单元独立音频输出，并支持通过录音软件实现每个单元独立录音、或语音转写设备对接实现角色分离。</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5.支持≥16通道同传输出模式，可使同传音频根据通道号独立输出，可供录音或监听设备使用。且输出通道数量，可通过外部设备扩展。</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6.支持≥16通道相控输出模式，基于独创的会议矩阵技术，内置≥nx16音频矩阵处理器，实现≥16通道分组输出功能。可使任意输入源（包括所有输入源和在线话筒），按任意音量比例，输出到任意通道。</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7.会议主机采用TCP/IP网络协议，且同时支持C/S、B/S架构，可供PC软件或浏览器控制。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▲8.通过WEB控制音频矩阵参数（包括EQ、音量、延时器、话筒灵敏度等）、输出模式切换、开关话筒同步、中英俄法四种语言切换、控制角色分离主机。（提供相关证明材料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9.超大系统容量，系统最大支持≥4096台有线会议单元和≥300台无线会议单元。系统最大发言数量为≥16个有线话筒和≥8个无线话筒。</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10.支持环形手拉手功能，确保在其中的一条网线断开或者单元出问题时，会议能继续正常进行。</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11.具有支持中、英、俄、法文多种语言任意切换显示。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12.PC软件可查看在线无线单元的电池电量、WiFi信号等信息状态；支持一键关闭所有无线单元、单独关闭某个无线单元。</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13.支持同声传译功能，系统最大可同时传输63+1的有线同声传译。</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14.具有消防报警连动触发接口，提供火灾报警信息，第一时间提醒会场人员紧急撤离，确保与会人员安全。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15.支持PELCO-D、VISCA摄像机控制协议，可配合高清摄像跟踪主机，实现自动摄像跟踪。</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16.≥四种话筒管理模式:FIFO（先进先出）、NORMAL（普通模式）、VOICE（声控模式）、APPLY（申请模式）。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17.系统具有发起会议签到、表决、选举、评级、满意度、自定义等功能。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18.具有≥4.3英寸全彩触摸屏，可实现对参数设置或查看，进行任意触摸操作。</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19.强大的编ID功能，可对有线单元、无线单元、译员机、角色分离主机进行编ID。</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20.具备USB录音功能，可录制和播放会议记录。</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21.支持≥10段 EQ调节功能，≥16路多功能输出通道与≥2路LINEOUT输出通道都具有≥10段 EQ调节功能。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22.支持AP信道扫描，监测现场的无线信道使用情况，支持信道自动或手动配置最佳信道，支持AP名称在线显示列表。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23.支持触摸屏幕输入注册码进行主机注册。</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24.支持对接语音转写服务器，实现语音转写功能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25.会议主机具备设置主机或从机功能，当主机出现故障时，可自动切换至从机运行，实现双备份功能</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会议系统控制软件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▲通过移动端扫描二维码方式与数字会议系统管理电脑进行连接；通过移动端（手机或平板）查看投票表决，监视投票结果状态。（提供相关证明材料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hAnsi="宋体" w:cs="宋体"/>
                <w:color w:val="000000"/>
                <w:kern w:val="0"/>
                <w:sz w:val="24"/>
                <w:szCs w:val="24"/>
                <w:lang w:eastAsia="zh-CN"/>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会议话筒处理器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1.具有自动混音功能，包括增益共享型自动混音以及门限型自动混音。具有自动增益功能，能够有效将话筒音量保持在一定动态范围。</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2.具有AFC反馈抑制功能，采用陷波+移频双方式，能够自动抓取啸叫点并设置陷波器陷波，陷波器支持≥12个固定点+≥12个动态点，可有效消除啸叫功能。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3.具有话筒语音激励功能，可设置跟踪阈值，当话筒发言达阈值时可实现联动摄像跟踪功能。具有EQ调节功能，输出具有≥31段图示均衡器调节。</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3.具有≥2路网口，用于连接无线AP和与会议主机通信；通过网络协议对接数字会议主机，实现音频数据传输。具有≥1路EXTENSION接口，用于连接会议主机扩展口。具有≥1路卡侬平衡输出，≥1路莲花非平衡输出。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具有≥1路RS-485通信接口，支持对接摄像机实现摄像跟踪。具有≥1路RS-232通信接口（摄像跟踪），对接中控系统主机或摄像跟踪主机实现发言摄像跟踪功能。具有≥1路RS-232通信接口（语音转写），支持对接语音转写服务器，实现语音转写功能。（提供设备接口图佐证）</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5.支持话筒同时开麦数量≥16个有线单元+≥8个无线单元。</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连接线</w:t>
            </w:r>
          </w:p>
        </w:tc>
        <w:tc>
          <w:tcPr>
            <w:tcW w:w="2797"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20米延长线（一公一母）</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条</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4、无纸化会议系统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无纸化主机</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无纸化服务主机搭配管理软件，负责处理会议功能模块、会议主题、参会人员信息、会议议题、投票内容等会前信息预设，具有会议各类文件资料的上传共享、人员的权限管理设置、会议信息的实时记录等应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2.采用CPU配置不低于四核（参考的配置不低于I7）</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3.采用内存配置≥8G</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4.采用硬盘容量≥1TB</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5.具有千兆网络接口（RJ45）</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▲6.具有视频输出接口：≥1×HDMI；具备音频接口：≥1×3.5mm音频输入接口、≥1×3.5mm音频输出接口；具备其他接口：≥1×RS232、≥4×USB接口。（提供接口图佐证）</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智能无纸化会议管理服务器软件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1.支持多会议室管理，会议室支持可视化布局配置管理。支持会议室坐席可视化控制。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2.支持本地联合会议和异地互联会议（需搭建专网专线）。（提供相关证明材料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3.支持会议室坐席模拟排位功能，支持人员筛选，支持根据人员权重自动排位和手动排位。（提供相关证明材料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4.支持多个会议议题进行管理操作，每个议题可以独立上传多份附件；支持议题内加入文件夹，三级目录文件展示；支持快速创建议题关联的投票。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5.支持统一管理多个投票，实时查看投票过程与结果，控制投票结果实时投屏展示。支持投票导入导出功能。支持投票身份认证。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▲6.支持统一管理多个评分，实时查看评分过程与结果，控制评分投屏。支持评分导入导出功能。支持评分身份认证。支持配置平均分规则为默认或截尾平均数。支持评分备注功能。（提供相关证明材料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7.支持批注白板，可同时管理各参会人员的电子白板存档、手写批注、文档批注，支持后台预览及一键导出功能。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8.支持三员管理功能。开启该功能后系统将分为系统管理员、会务管理员、审计员三种角色。（提供相关证明材料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9.支持个人中心H5网页展示，可会前、会中上传资料，查看资料，支持会后下载参加过的会议的资料及批注文件，保密会议会前会后不能查看会议资料。（提供相关证明材料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10.支持双机热备，主从设备数据同步，当主设备出现故障时从机接管。</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11.支持服务器监控，可查看服务器cpu使用率、内存使用率、磁盘空间、网络传输速率，可设置阈值警告。</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无纸化流媒体主机</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1.内嵌高清、标清视频信号处理模块，同步、异步处理视频信号输入、输出。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2.支持HDMI信号输入，外部信号通过此接口实时广播画面到所有会议终端并同步显示。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3.支持HDMI信号输出，任何会议终端画面通过此接口输出至大屏幕或其他信号显示设备。</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4.配置≥1路3.5mm音频输入接口和≥1路3.5mm音频输出接口，实现音视频同步输入输出。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5.支持全高清1080P、高清720P等多种高清分辨率输出。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6.要求服务器的CPU配置不低于四核（参考配置不低于I5），内存配置≥4G，硬盘为固态硬盘且容量≥128GB。</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▲7.具备视频输入接口：≥1×HDMI；具备视频输出接口：≥1×HDMI；具备音频接口：≥1×3.5mm音频输入接口、≥1×3.5mm音频输出接口；具备≥2×RS-232、≥4×USB接口。（提供接口图佐证）</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无纸化流媒体服务器嵌入软件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1.支持签到投屏功能，将签到过程、签到结果展示在大屏上。</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2.支持将电子白板、会议标语、文档主讲、外部信号等信息广播到大屏展示。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3.支持多媒体(桌面同屏、电子白板、文档资料等)分组投屏功能， 最大可支持≥4分屏画面同时投屏输出显示。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4.支持大屏点播功能，直接播放服务器原生视频文件；支持大屏广播功能，将大屏的画面广播同步到各个终端并显示。（提供相关证明材料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5.支持大屏视频矩阵功能，同时支持多路多媒体源进行播放功能。（提供相关证明材料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6.支持投票投屏功能，将投票过程、投票结果以文字、柱状图、饼状图方式展示在大屏上。</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▲7.支持评分投屏功能，评分过程中查看评分人数、未提交人数。支持评分结束后以柱状图（10项以下）或表格（10项以上）的形式投屏显示评分结果。（提供相关证明材料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698"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无纸化升降器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1.升降器采用触控超薄高清显示屏与升降器一体化设计，显示屏采用主屏+副屏双屏设计，一键操作即自动化完成启动、液晶屏上升、仰角等动作。升降话筒采用手拉手方式连接，心型指向性驻极体。</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2.升降器集成升降麦克风一体化，话筒可适应不同的环境具有自动扶直功能，当麦杆弯曲时，机器关闭可自动扶直麦杆，不会损坏麦杆。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3.产品传动方式以高品质耐拉皮带与高精密度的滑块导轨和直线轴承配合，交流减速电机做驱动动力；支持对接中控主机，实现控制设备在上升后，屏幕自动供电，下降后，屏幕自行断电。</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▲4.为了工程现场布线更加整洁美观，要求升降器具备≥1路环通输出电源插座，给终端供电减少终端电源插座布线。（提供电源接口图佐证）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5.显示器为超薄液晶触屏类型，前屏显示尺寸15.6英寸，屏幕比例为16:9，显示分辨率达1920*1080P；副屏显示尺寸≥11.6英寸，显示分辨率达1366*768，对比度≥800：1，用于显示参会人员信息等电子铭牌信息。。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6.桌面面板具备≥1路USB接口，支持连接U盘可进行浏览文件或上传文件等操作。</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7.升降器具有≥1组232/485输入输出接口，≥2路USB接口（作用：开/关机、数据传输）。</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8.支持≥1路HDMI、≥1路VGA视频信号输入，当只有一路信号输入时，屏幕会自动识别信号，当两路信号同时输入时，可通过面板按键手动切换，当无信号输入时，屏幕自动进入省电模式。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9.设备可通过中控软件进行集中控制，支持通过主机进行控制，一键可让室内所有的设备都上升或下降。</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10.显示屏仰角符合人体工程学原理，不遮挡视线和人脸，要求显示屏仰角角度可调0-30°。</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无纸化升降器内嵌软件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1.软件内嵌于终端设备，显示端可对多种文件格式文档进行阅览。</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2.支持多种分辨率适配，可适应各种终端界面。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3.支持单机使用，也可以实现集中控制。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4.升降器桌面面板预设USB信息接口，支持文档资料导入导出。</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5.触摸屏幕即可实现对客户端设备的功能使用。</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无纸化会议终端</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多媒体会议终端主机搭配终端内嵌软件负责处理会议过程的文件推送、文件分发、浏览阅读、文件批注、智能签到、投票表决、电子白板、电子铭牌、会议交流、会议服务、视频信号互联互通、会议管控、同屏广播等应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2.支持无纸化会议模式和Windows模式，可任意切换。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3.可对多种文件格式进行阅览，包括常见格式doc/ docx /xls/ xlsx /ppt /pptx/ pdf /txt/jpg/png等，参会人只可看到有权限的文件。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4.会议过程中可以随时进行会议笔记记录，支持下载到本地。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5.个人中心模块支持会前、会中上传资料，查看资料（保密会议会前不能查看）；支持会后下载参加过的会议的资料。</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6.结束会议终端自动清除本地会议文件。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7.具有≥4×USB、≥1×HDMI、≥1×VGA、≥1×LAN、≥1×MIC-IN端口、≥1×LINE-OUT端口、≥1×DC端口、≥1×COM口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8.采用CPU配置≥I5处理器（四核）</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9.采用内存配置≥4G</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10.采用硬盘容量≥128GB 固态硬盘</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11.具有千兆网络接口（RJ45）</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无纸化会议终端软件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1.支持会议信息展示。支持查看参会名单和会议人员座位图。</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2.支持文档阅览，可对多种文件格式进行阅览，支持权限设置功能，参会人仅能看到自己有权限查看的文件。同时支持文档批注功能，可以对文档图片进行批注、保存，并支持多人交互批注。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3.支持U盘上传会议资料，进行文件阅览或共享其他参会人员，同时上传文件可保存在服务器和本地终端中。</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4.支持截屏批注，可单人批注或多人批注。批注结果可保存至服务器，会后自动归档处理。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5.内置浏览器，支持浏览以太网网络，可后台统一设置，点击直接打开配置好的网页。</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▲6.支持屏幕同屏广播，支持跨平台（windows/Android）广播；屏幕广播/文档主讲支持申请模式。同屏广播具备计时功能，可选择倒计时或顺计时，以及具备选择是否同步到大屏功能。（提供相关证明材料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7.支持异步浏览，参会人员可以通过异步浏览自由使用终端其他功能，也支持浮窗的方式进行异浏览。</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8.支持个人中心（个人空间）功能，可查看自己参与过的会议的会议信息。（提供相关证明材料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9.支持多媒体分享功能，多种媒体以广播的方式分享到其它终端，并可以交互操作。</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10.支持集中控制操作，控制终端显示内容，控制终端开关机，支持对服务器的关机控制，支持无纸化升降器及话筒的统一升降。</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11.会议主持可控制评分功能启用、结束，查看统计结果功能，评分过程结果实时投屏；支持评分签名确认。（提供相关证明材料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12.会议主持可通过信号管理将任意参会人本地画面屏幕广播至任意或全部参会人，也可以结束任意参会人的共享画面；分组同屏广播最大可支持8个分组，同时投送到大屏显示最大支持4路。</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13.会议主持可管理会议纪要，管理纪要文件查看权限；并可发起会签，现场生成会签文档和最终纪要文件。</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无纸化候会信息发布终端</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功能特点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具有1路HDMI输出接口，可以外接高清显示屏，支持≥1080P分辨率。</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具有≥4路USB接口，可外接触摸屏/鼠标/键盘，方使管理换控。</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支持显示进行中的会议信息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支持展示会议的议题列表信息，包括议题名称、开始时间及参与人员及议题状态(未开始、进行中、即将开始)。</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支持同步无纸化会议议题进行提前、实时显示会议状态及通知。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支持同步语言播报会议议题功能。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CPU </w:t>
            </w:r>
            <w:r>
              <w:rPr>
                <w:rFonts w:hint="eastAsia" w:hAnsi="宋体" w:cs="宋体"/>
                <w:color w:val="000000"/>
                <w:kern w:val="0"/>
                <w:sz w:val="24"/>
                <w:szCs w:val="24"/>
                <w:lang w:val="en-US" w:eastAsia="zh-CN"/>
              </w:rPr>
              <w:t xml:space="preserve"> </w:t>
            </w:r>
            <w:r>
              <w:rPr>
                <w:rFonts w:hint="eastAsia" w:ascii="宋体" w:hAnsi="宋体" w:eastAsia="宋体" w:cs="宋体"/>
                <w:color w:val="000000"/>
                <w:kern w:val="0"/>
                <w:sz w:val="24"/>
                <w:szCs w:val="24"/>
              </w:rPr>
              <w:t xml:space="preserve">四核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显卡 Mali-T764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内存 ≥2G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存储≥16G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WiFi/BT AP6236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设备接口 1*DCIN;1*RJ45;1*HDM2.0;1*VGA;1WIFI/BT ANT，1*Line out 3.5mm;1*TF插槽，4*USB2.0; 1*Miro USB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电源 12VDC </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尺寸(L*W*H)) ≥125*126*31mm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会议显示屏</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1、亮度：350cd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2、CPU：双核，主频1.2GHz，内存≥1G</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3、内置存储器 ：≥8G</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4、解码分辨率：最高支持1080P</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5、操作系统：Android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6、播放模式：支持循环、定时、插播等</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7、网络支持：以太网、支持WiFi</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8、视频播放：支持wmv、avi、flv、rm、rmvb、mpeg 、ts、mp4等</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xml:space="preserve">9、图片格式：支持BMP、JPEG、PNG等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10、接口：≥1个USB OTG、≥2个USB HOST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11、串口：≥2个串口插座，默认TTL接口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12、以太网：1个，10M/100M自适应以太网</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 SD卡：TF卡</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14、LVDS输出：1个，可直接驱动50/60Hz液晶屏</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15、HDMI输出：1个,支持1080P输出</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5、矩阵切换系统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无缝高清矩阵切换器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1.矩阵采用纯硬件标准化机箱设计，支持配置8×8路信号切换，支持HDMI、DVI、VGA、SDI、HDBaseT、光纤的任意输入/输出信号卡，其中DVI输入卡兼容CVBS，YUV,VGA信号，VGA输入/输出卡均兼容CVBS，YUV,VGA信号。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2.采用板卡模块化设计，支持接入2块输入卡、2块输出卡、1块控制卡；通过定制配置各类相同或不同的输入输出卡可以组成单一接口类型或多接口类型的矩阵，如HDMI矩阵，DVI矩阵，VGA矩阵，YUV矩阵，Video矩阵等。</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3.支持无缝切换功能，切换过程无黑屏信号。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4.支持1080P分辨率，最大可支持4Kx2K。支持断电记忆功能，免除上电重复设置动作。支持智能温控，控制矩阵风扇的运行；系统内可存储多组预切换指令，调用时可以一键切换。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5.支持模拟音频与HDMI内嵌音频选择输入、支持模拟音频与HDMI内嵌音频同时输出。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6.支持接入≥1块控制板卡，具有≥1路RS-232,1路RS-485,≥1路TCP/IP端口（PC软件）（提供控制板卡的接口图佐证）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7.HDBaseT输入输出信号支持双向 RS-232 和双向 IR 信号传输，可对RS-232和IR 信号选择随视频信号切换，或分离切换模式，支持扩展POC模块对外设供电。</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8.支持KVM坐席管理功能，通过一套键盘鼠标显示器切换、管理多台计算机设备。</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▲9.机箱前面板带有≥7英寸全彩触摸屏。（提供设备外观图佐证）</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支持通过前面板触控屏进行通道切换，场景调用、切换、保存操作，支持自定义设置场景名称，支持查看设备IP地址、通道信息、切换状态，可进行IP地址设置、重置，支持通道切换状态显示，支持输出分辨率显示，支持板卡接入状态显示，支持中英文双语切换。</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高清无缝混插矩阵切换内嵌软件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1.软件内嵌于高清混插矩阵切换系统，实现各类高清晰数字/模拟信号的处理、切换等功能。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2.支持分辨率高达1920×1080P@60Hz的处理能力。</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3.支持信号无缝切换，切换过程无黑屏信号。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4.支持通过专业的PC上位机管理软件控制。</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5.通过矩阵切换信号或通过软件切换信号。</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HDMI无缝高清输入卡</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1.支持≥4路HDMI-A母接口和3.5mm音频座，支持模拟音频与HDMI内嵌音频选择输入；支持热插拔。</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2.支持快速无缝切换，无闪烁，无黑屏。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3.支持断电现场切换记忆保护功能，特有ESD静电保护功能。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4.兼容HDMI1.3a的标准，HDCP1.3协议，DVI1.0协议。最大支持分辨率：1920X1200P@60。 </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高清矩阵输入板卡内嵌软件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1.软件内嵌于高清矩阵系统板卡设备，实现信号的处理功能。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2.支持分辨率高达1920×1080P@60Hz的处理能力。</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3.通过矩阵切换信号或通过软件切换信号。</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HDMI无缝高清输出卡</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1.支持≥4路HDMI-A母接口和≥3.5mm音频座，支持模拟音频与HDMI内嵌音频同时输出。支持热插拔。</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2.支持快速无缝切换，无闪烁，无黑屏。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3.支持断电现场切换记忆保护功能，特有ESD静电保护功能。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4.兼容HDMI1.3a的标准，HDCP1.3协议，DVI1.0协议。支持倍线功能，最高分辨率支持1080P。</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块</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高清矩阵输出板卡内嵌软件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1.软件内嵌于高清矩阵系统板卡设备，实现信号的处理功能。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2.支持分辨率高达1920×1080P@60Hz的处理能力。</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3.通过矩阵切换信号或通过软件切换信号。</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6、远程视频会议系统系统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高清视频终端</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1.采用分体式结构，内置硬件视频处理单元，采用嵌入式Linux操作系统，非Windows/安卓操作系统。</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2.支持ITU-T H.323、SIP标准协议，具有良好的兼容性；支持H.239、BFCP双流协议，主辅流皆可达到1080P。</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3.主屏支持输出4K分辨率信号，单屏最大支持≥25路视频画面，支持单屏双显、双屏双显应用功能，可实现多画面布局，支持画中画等多种常用布局类型。</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辅流批注功能，发送辅流和接收辅流时都可在辅流画面上进行实时批注；可设置三种不同粗细的画笔，设置五种画笔颜色，设置圆形、方形、箭头、线条等批注图形；发送辅流时可设置是否开放批注权限给与会成员共同批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5.支持无线辅流功能，电脑只需安装一个软件，通过网络连接到终端即可实现无线共享辅流功能，无需外接硬件设备。</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6.支持接入USB存储设备；支持会议录制功能，可以直接录制会议过程中的视频和音频。(提供设备接口图佐证）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7.支持通过≥2.4G遥控器、web、触控、鼠标键盘等方式来操控终端。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终端申请主席对会议中的其他参会终端从直播模式转到会议模式或者从会议模式转到直播模式，支持终端主动向主席申请从直播模式转到会议模式，会议模式支持电子白板、文件共享、电子投票、会议签到等功能。提供功能界面截图佐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在终端上预约会议，可选择成员、设置会议密码、主席密码、直播密码、会议时间等，提交后MCU根据会议时间自动召开会议，会议支持电子白板、文件共享、电子投票、会议签到等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10.支持回声消除、噪声抑制、静音检测、自动增益功能，支持20KHz以上宽频语音。</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11.支持IPV4和IPV6协议，支持NAT穿越，具备跨越路由器及防火墙的能力，保证系统安全。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12.无需注册，只需输入会议号码即可加入相应的会议，并可选择以会议互动模式加入或直播模式加入。（提供相关证明材料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13.支持在终端上一键召开立即会议即可在MCU上快速创建一个虚拟会议并自动加入会议，可在终端上邀请会场入会，会议支持电子白板、文件共享、电子投票、会议签到等功能。（提供相关证明材料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支持web交互电子白板功能，可在终端控制web上进行电子白板操作，可设置三种不同粗细的画笔，设置五种画笔颜色，设置圆形、方形、箭头、线条等批注图形；设置纯色背景或图片背景；web操作电子白板时，终端输出画面同步跟随显示电子白板内容；终端输出界面操作电子白板时，web同步跟随显示电子白板内容。电子白板支持分页，最多支持5页。</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15.支持 IP 网络丢包时修复机制，30%网络丢包时，声音清晰连续，视频清晰流畅，无卡顿、无马赛克；80%网络丢包时，声音清晰流畅，可准确理解。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16.具备有良好的管理及可维护性，支持本地音频、视频回路诊断功能；一键本地音视频测试；支持在操作界面上进行网络ping测试；支持呼叫日志和历史记录的查询。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17.具备接口类型：视频输入：HDMI≥3路；视频输出：HDMI≥2路；音频输入：MIC IN≥1路、LINE IN≥1路、HDMI≥1路；音频输出：HDMI≥1路、LINE OUT≥1路；网络：RJ45≥1路；1路WIFI网络（可选配为4G网络）；USB接口：≥2个USB2.0接口，可用于接扩展设备或在线升级</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18.支持拓展红外透传功能，支持红外遥控器通过摄像机为终端传输红外信号，从而实现红外遥控器远程控制终端的效果。</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高清视频会议终端嵌入软件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1.远程视频会议终端嵌入式软件，内嵌于设备，实现设备各项基本功能的运行。</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2.支持国际电联ITU-H.323标准通信协议，兼容SIP协议。</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3.支持H.264HP等视频编解码技术、G7.11、G.722等音频编解码技术。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4.支持“主流+辅流”双流方式传输视频会议画面。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5.支持高清1080P/60帧视频处理能力。</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6.支持WEB管理，符合不同用户的使用习惯。</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摄像机</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1.高清摄像机具备20倍光学变倍镜头，并支持≥16倍数字变焦；采用1/2.8英寸、207万有效像素的高品质HD CMOS传感器。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2.镜头焦距f4.42mm ~ 88.5mm, 光圈系数F1.8 ~ F2.8 。</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3.支持1080P60，1080P59.94，1080P50，1080I60，1080I59.94，1080I50，1080P30，1080P29.97，1080P25，720P60，720P59.94，720P50分辨率，支持输出帧率60帧/秒。</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4.支持HDMI、SDI、USB、网络四路视频同时输出。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5.支持RS232和RS485串口，可对摄像机进行控制；支持预置位数量255个，预置位精度：0.1°。</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6.水平视场角：60.7°～3.36°；支持水平转动范围：-170°～+170°，垂直转动范围：-30°～+90°，水平转动速度范围：水平：1.7° ~ 100°/s，俯仰：1.7° ~ 69.9°/s。</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7.支持先进的2D、3D降噪技术。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8.内置AI技术和行人重识别技术，支持与会人员自动框选，发言人员自动跟踪。</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9.内置双麦克风阵列；支持AAC音频编码。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10.支持PoE供电。</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11.具备≥1路HDMI输出接口、≥1路3G-SDI输出接口、≥1路USB3.0输出接口，具备≥1路3.5mm音频输入接口和≥1路3.5mm音频输出接口。（提供相关证明材料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高清视频会议专用摄像头内嵌软件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1.软件内嵌于高清视频会议专用摄像头，实现高清视频拍摄采集处理功能。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2.支持对高清视频信号的处理、传输；支持H.264视频编解码技术能力。</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3.支持光学变焦处理能力，支持通过串口实现远程控制。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4.支持2D、3D降噪技术。</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5.支持预置位设定及调用功能。</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省厅视频会议对接</w:t>
            </w:r>
          </w:p>
        </w:tc>
        <w:tc>
          <w:tcPr>
            <w:tcW w:w="2797"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会议音视频对接省厅视频会议</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7、集中控制系统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网络中控主机</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1.采用SMT全贴片式生产工艺，高度集成处理芯片，系统运行稳定、流畅。内置32位Cortex-A8 ARM架构内嵌式处理器，处理速度高达720MHz。</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2.支持红外控制、RS-232、RS-422、RS-485、UDP、TCP、telnet、http、MQTT以及SNMP等多种协议，兼容性强，可对接第三方设备。</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▲3.主机具备不少于4.3英寸触摸彩屏、≥8路独立可编程串口、≥8路独立可编程IR红外发射口、≥8路数字I/0控制口、≥8路弱电继电器控制接口、≥1个NET网络控制接口、≥1路TF卡接口。（提供设备接口图佐证）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4.支持状态反馈。</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5.支持信号预览。</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6.支持双机热备份。当中控主机出现故障时，备用中控主机自动承担服务，切换时间小于1.2s，从而保证系统在不需要人工干预的情况下能正常运行。</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7.支持触发联动。中控主机可根据传感器采集数据和预设数据进行比对，从而自动控制空调或加湿器等设备，使环境维持在舒适的温湿度范围内。</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8.支持互联网控制。中控主机在连接互联网的情况下，用户可操作手机或平板等移动端通过互联网实现对中控主机远程控制。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9.支持语音控制。中控主机可搭配语音控制软件或支持对接主机的第三方语音音箱，通过将语音转换成中控指令，实现对周边设备控制或场景调用。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10.支持扫二维码控制。中控主机在连接互联网的情况下会在云平台自动生成二维码，通过微信或者浏览器扫一扫二维码，即可进入控制界面，实现对中控主机控制。支持密码权限设置。</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11.支持定时控制。用户可预先设置定时控制任务，到达指定时间后，中控主机自动执行控制任务。</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12.支持视频矩阵可视化控制。用户可通过控制端实时预览、拖动并切换矩阵视频信号，支持设置触碰和投放触发切换方式。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13.支持拼接矩阵可视化控制。用户可通过控制端实时预览、放大、缩小、拖动并切换拼接矩阵视频信号，可对输入信号源进行置底、置顶以及一键清屏等操作，支持设置触碰和投放触发切换方式。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14.支持电脑远程控制。当中控主机和电脑在同一局域网情况下，用户可通过控制端APP实时对电脑远程桌面控制并查看电脑工作状态。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15.对接云会务系统。用户通过手机APP或WEB端预约会议室时，可设置情景类型以及开始/结束时间。会议开始前，系统会自动调用场景，场景内所有设备联动启动或切换；会议结束后设备自动关闭。</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为保证系统可扩展性与兼容性、以及方便统一管理和统一售后维护，所采用的设备（包括网络中控主机、无缝高清矩阵切换器、会议系统主机、音频处理器、调音台、功放、无纸化主机、音箱等系统设备）均为同一品牌。</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网络中控系统逻辑处理内嵌软件</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1.软件内嵌于中央控制系统主机设备，实现系统控制逻辑、处理等功能。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2.主要包括硬件逻辑模块、软件逻辑模块、红外代码管理、编译、下载、监视等。</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3.编程软件支持添加与实际工程对应硬件的逻辑模块。</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4.实现串口代码数据、IR红外数据、继电器、I/O数据等的代码转发、逻辑算法处理等编程功能。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5.支持界面设计软件实现中控控制界面的制作及编辑，支持互锁模式，支持3D按键等灵活的按键设计模块。</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1"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控制器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1.具有≥8路自动、手动电源控制器，内置8个20A继电器，最大负载能力4400W/单路；配合中控主机使用，用于控制灯光、电动投影幕、电动窗帘等会议室周边设备。</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2.每路继电器都有三连接点的接线柱,具有常开与常闭的功能。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3.具有复位按键，支持恢复到出厂的默认设置。具有1路网络接口，支持通过网络实现远程控制。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4.具有设备运行状态指示灯及8个继电器的开关状态指示灯。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5.具有键盘锁（LOCK）功能。</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6.机器具备ID识别，通过中控主机网络控制多台时，可通过ID识别。</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1"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安卓平板电脑</w:t>
            </w:r>
          </w:p>
        </w:tc>
        <w:tc>
          <w:tcPr>
            <w:tcW w:w="2797" w:type="pct"/>
            <w:shd w:val="clear" w:color="auto" w:fill="auto"/>
            <w:vAlign w:val="center"/>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处理器：高通骁龙865</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内存：</w:t>
            </w:r>
            <w:r>
              <w:rPr>
                <w:rFonts w:hint="eastAsia" w:hAnsi="宋体" w:cs="宋体"/>
                <w:kern w:val="0"/>
                <w:sz w:val="24"/>
                <w:szCs w:val="24"/>
                <w:lang w:eastAsia="zh-CN"/>
              </w:rPr>
              <w:t>≥</w:t>
            </w:r>
            <w:r>
              <w:rPr>
                <w:rFonts w:hint="eastAsia" w:ascii="宋体" w:hAnsi="宋体" w:eastAsia="宋体" w:cs="宋体"/>
                <w:kern w:val="0"/>
                <w:sz w:val="24"/>
                <w:szCs w:val="24"/>
              </w:rPr>
              <w:t>8G+128G</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屏幕尺寸：</w:t>
            </w:r>
            <w:r>
              <w:rPr>
                <w:rFonts w:hint="eastAsia" w:hAnsi="宋体" w:cs="宋体"/>
                <w:kern w:val="0"/>
                <w:sz w:val="24"/>
                <w:szCs w:val="24"/>
                <w:lang w:eastAsia="zh-CN"/>
              </w:rPr>
              <w:t>≥</w:t>
            </w:r>
            <w:r>
              <w:rPr>
                <w:rFonts w:hint="eastAsia" w:ascii="宋体" w:hAnsi="宋体" w:eastAsia="宋体" w:cs="宋体"/>
                <w:kern w:val="0"/>
                <w:sz w:val="24"/>
                <w:szCs w:val="24"/>
              </w:rPr>
              <w:t xml:space="preserve">10.95英寸 </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电池容量：</w:t>
            </w:r>
            <w:r>
              <w:rPr>
                <w:rFonts w:hint="eastAsia" w:hAnsi="宋体" w:cs="宋体"/>
                <w:kern w:val="0"/>
                <w:sz w:val="24"/>
                <w:szCs w:val="24"/>
                <w:lang w:eastAsia="zh-CN"/>
              </w:rPr>
              <w:t>≥</w:t>
            </w:r>
            <w:r>
              <w:rPr>
                <w:rFonts w:hint="eastAsia" w:ascii="宋体" w:hAnsi="宋体" w:eastAsia="宋体" w:cs="宋体"/>
                <w:kern w:val="0"/>
                <w:sz w:val="24"/>
                <w:szCs w:val="24"/>
              </w:rPr>
              <w:t>7250mAh</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698"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路由器</w:t>
            </w:r>
          </w:p>
        </w:tc>
        <w:tc>
          <w:tcPr>
            <w:tcW w:w="2797" w:type="pct"/>
            <w:shd w:val="clear" w:color="auto" w:fill="auto"/>
            <w:vAlign w:val="center"/>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网络标准：IEEE 802.11a/b/g/n/ac/ax</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最高传输速率：5952Mbps</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2.4GHz传输速率：1148Mbps</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5GHz传输速率：4804Mbps</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频率范围：双频(2.4GHz,5GHz)</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网络接口：4个10/100/1000Mbps速率自适应以太网接口，支持WAN/儿AN自适应（网口盲插）</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天线类型：外置全向天线</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天线数量：</w:t>
            </w:r>
            <w:r>
              <w:rPr>
                <w:rFonts w:hint="eastAsia" w:hAnsi="宋体" w:cs="宋体"/>
                <w:kern w:val="0"/>
                <w:sz w:val="24"/>
                <w:szCs w:val="24"/>
                <w:lang w:eastAsia="zh-CN"/>
              </w:rPr>
              <w:t>≥</w:t>
            </w:r>
            <w:r>
              <w:rPr>
                <w:rFonts w:hint="eastAsia" w:ascii="宋体" w:hAnsi="宋体" w:eastAsia="宋体" w:cs="宋体"/>
                <w:kern w:val="0"/>
                <w:sz w:val="24"/>
                <w:szCs w:val="24"/>
              </w:rPr>
              <w:t>8根</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MU-MIMO：4×4MU-MIMO</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MESH组网：支持</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无线安全：WPA-PSK，WPA2-PSK，WPA3无线加密，主人网络，访客网络，管理员身份限定</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电源电压：直流供电，出厂配送12V/2A电源适配器</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产品尺寸：</w:t>
            </w:r>
            <w:r>
              <w:rPr>
                <w:rFonts w:hint="eastAsia" w:hAnsi="宋体" w:cs="宋体"/>
                <w:kern w:val="0"/>
                <w:sz w:val="24"/>
                <w:szCs w:val="24"/>
                <w:lang w:eastAsia="zh-CN"/>
              </w:rPr>
              <w:t>≥</w:t>
            </w:r>
            <w:r>
              <w:rPr>
                <w:rFonts w:hint="eastAsia" w:ascii="宋体" w:hAnsi="宋体" w:eastAsia="宋体" w:cs="宋体"/>
                <w:kern w:val="0"/>
                <w:sz w:val="24"/>
                <w:szCs w:val="24"/>
              </w:rPr>
              <w:t>285×202×210mm</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698"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交换机</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交换容量:336Gbps,包转发率96Mpps,24个10/100/1000BASE-T电口,支持4个1000BASE-X SFP端口</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698" w:type="pct"/>
            <w:shd w:val="clear" w:color="auto" w:fill="auto"/>
            <w:noWrap/>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笔记本电脑</w:t>
            </w:r>
          </w:p>
        </w:tc>
        <w:tc>
          <w:tcPr>
            <w:tcW w:w="2797" w:type="pct"/>
            <w:shd w:val="clear" w:color="auto" w:fill="auto"/>
            <w:vAlign w:val="center"/>
          </w:tcPr>
          <w:p>
            <w:pPr>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内存:</w:t>
            </w:r>
            <w:r>
              <w:rPr>
                <w:rFonts w:hint="eastAsia" w:hAnsi="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8GB</w:t>
            </w:r>
          </w:p>
          <w:p>
            <w:pPr>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容量：</w:t>
            </w:r>
            <w:r>
              <w:rPr>
                <w:rFonts w:hint="eastAsia" w:hAnsi="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512G</w:t>
            </w:r>
          </w:p>
          <w:p>
            <w:pPr>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集成显卡/尺寸：</w:t>
            </w:r>
            <w:r>
              <w:rPr>
                <w:rFonts w:hint="eastAsia" w:hAnsi="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14寸</w:t>
            </w:r>
          </w:p>
          <w:p>
            <w:pPr>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highlight w:val="none"/>
                <w:lang w:val="en-US" w:eastAsia="zh-CN"/>
              </w:rPr>
              <w:t>带包、鼠标</w:t>
            </w:r>
          </w:p>
        </w:tc>
        <w:tc>
          <w:tcPr>
            <w:tcW w:w="407" w:type="pct"/>
            <w:shd w:val="clear" w:color="auto" w:fill="auto"/>
            <w:noWrap/>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8、录播系统</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698"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录播主机</w:t>
            </w:r>
          </w:p>
        </w:tc>
        <w:tc>
          <w:tcPr>
            <w:tcW w:w="2797" w:type="pct"/>
            <w:shd w:val="clear" w:color="auto" w:fill="auto"/>
            <w:vAlign w:val="center"/>
          </w:tcPr>
          <w:p>
            <w:pPr>
              <w:widowControl/>
              <w:numPr>
                <w:ilvl w:val="0"/>
                <w:numId w:val="18"/>
              </w:numPr>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采用一体化硬件设计，嵌入式Linux操作系统，高度集成图像识别跟踪、自动导播、直播、点播、采集、录制等系统模块，易用易维护安全性超高。</w:t>
            </w:r>
          </w:p>
          <w:p>
            <w:pPr>
              <w:widowControl/>
              <w:numPr>
                <w:ilvl w:val="0"/>
                <w:numId w:val="18"/>
              </w:numPr>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2.基于B/S架构，登陆web端即可实现直播管理、信号管理、分组管理、用户管理、文件管理、预约录制、中控管理以及系统管理等功能。</w:t>
            </w:r>
          </w:p>
          <w:p>
            <w:pPr>
              <w:widowControl/>
              <w:numPr>
                <w:ilvl w:val="0"/>
                <w:numId w:val="18"/>
              </w:numPr>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3.音频采用AAC高清编码方式，音视频精准同步录制。视频采用H.264编码方式，码率可调，支持视频编码256kbps～12Mbps，支持1920x1080等分辨率。</w:t>
            </w:r>
          </w:p>
          <w:p>
            <w:pPr>
              <w:widowControl/>
              <w:numPr>
                <w:ilvl w:val="0"/>
                <w:numId w:val="18"/>
              </w:numPr>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4.主机内置</w:t>
            </w:r>
            <w:r>
              <w:rPr>
                <w:rFonts w:hint="eastAsia" w:hAnsi="宋体" w:cs="宋体"/>
                <w:kern w:val="0"/>
                <w:sz w:val="24"/>
                <w:szCs w:val="24"/>
                <w:lang w:eastAsia="zh-CN"/>
              </w:rPr>
              <w:t>≥</w:t>
            </w:r>
            <w:r>
              <w:rPr>
                <w:rFonts w:hint="eastAsia" w:ascii="宋体" w:hAnsi="宋体" w:eastAsia="宋体" w:cs="宋体"/>
                <w:color w:val="000000"/>
                <w:kern w:val="0"/>
                <w:sz w:val="24"/>
                <w:szCs w:val="24"/>
              </w:rPr>
              <w:t>2.2英寸LCD屏，显示系统硬盘空间、版本号和录制状态、IP地址等设备信息。</w:t>
            </w:r>
          </w:p>
          <w:p>
            <w:pPr>
              <w:widowControl/>
              <w:numPr>
                <w:ilvl w:val="0"/>
                <w:numId w:val="18"/>
              </w:numPr>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5.主机具备一款</w:t>
            </w:r>
            <w:r>
              <w:rPr>
                <w:rFonts w:hint="eastAsia" w:hAnsi="宋体" w:cs="宋体"/>
                <w:kern w:val="0"/>
                <w:sz w:val="24"/>
                <w:szCs w:val="24"/>
                <w:lang w:eastAsia="zh-CN"/>
              </w:rPr>
              <w:t>≥</w:t>
            </w:r>
            <w:r>
              <w:rPr>
                <w:rFonts w:hint="eastAsia" w:ascii="宋体" w:hAnsi="宋体" w:eastAsia="宋体" w:cs="宋体"/>
                <w:color w:val="000000"/>
                <w:kern w:val="0"/>
                <w:sz w:val="24"/>
                <w:szCs w:val="24"/>
              </w:rPr>
              <w:t>4英寸壁挂式电容触摸屏，可以快捷实现设备开关机、录制控制、直播开启以及画面切换等功能。（提供相关证明材料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numPr>
                <w:ilvl w:val="0"/>
                <w:numId w:val="0"/>
              </w:numPr>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▲6.主机具备不少于3路HDMI信号输入接口、不少于4路SDI信号输入接口，不少于3路HDMI视频输出接口，不少于6路控制接口，不少于5路USB接口，不少于2路音频输出接口。（提供相关证明材料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numPr>
                <w:ilvl w:val="0"/>
                <w:numId w:val="0"/>
              </w:numPr>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7.主机的SDI接口具备POC功能，支持POC设备自适应识别，实现一条线完成视频传输、云台控制和供电功能。（提供相关证明材料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numPr>
                <w:ilvl w:val="0"/>
                <w:numId w:val="0"/>
              </w:numPr>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8.支持通过导播软件进行手动导播，也可配合内置的自动导播模块进行全自动导播式。支持不少于三画面、四画面以及对话画面等7种画面布局，并支持不少于2种自定义画面布局，满足个性化需求。</w:t>
            </w:r>
          </w:p>
          <w:p>
            <w:pPr>
              <w:widowControl/>
              <w:numPr>
                <w:ilvl w:val="0"/>
                <w:numId w:val="0"/>
              </w:numPr>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单流单画面/单流多画面/多流多画面的录制方式，可实现每路输入信号分别保存为单独的文件，最多支持同时录制5路视频画面，可自定义类别进行分类录制和分类存储，支持MP4、AVI、MOV、FLV和MKV等多种格式。</w:t>
            </w:r>
          </w:p>
          <w:p>
            <w:pPr>
              <w:widowControl/>
              <w:numPr>
                <w:ilvl w:val="0"/>
                <w:numId w:val="0"/>
              </w:numPr>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▲10.支持二维抠像功能。将人物从绿幕或蓝幕背景中抠出来，与二维虚拟背景画面融合，合成一路画面。（提供相关证明材料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numPr>
                <w:ilvl w:val="0"/>
                <w:numId w:val="0"/>
              </w:numPr>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11.支持图像点击跟踪功能，一键即可到位。</w:t>
            </w:r>
          </w:p>
          <w:p>
            <w:pPr>
              <w:widowControl/>
              <w:numPr>
                <w:ilvl w:val="0"/>
                <w:numId w:val="0"/>
              </w:numPr>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12.支持在线语音转写功能，实现将语音转写成文本并自动生成字幕。</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698"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自动录制控制内嵌软件</w:t>
            </w:r>
          </w:p>
        </w:tc>
        <w:tc>
          <w:tcPr>
            <w:tcW w:w="2797" w:type="pct"/>
            <w:shd w:val="clear" w:color="auto" w:fill="auto"/>
            <w:vAlign w:val="center"/>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技术参数：</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1.软件内嵌录播主机，运行在Linux操作系统环境，支持B/S管理。</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2.软件支持添加录制片头、添加字幕、添加logo以及预约录制等功能。</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3.软件支持对课堂或培训课堂录制的控制和管理，具有录制资源模式、录制电影模式、录制暂停、选择录制格式等功能。</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4.软件支持多画面模式等，支持自定义布局。</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5.软件支持通过导播台、导播键盘、导播软件等方式进行控制和管理录播主机。</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441"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9、辅助材料</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9.1、周边配套设备</w:t>
            </w:r>
          </w:p>
        </w:tc>
        <w:tc>
          <w:tcPr>
            <w:tcW w:w="441" w:type="pct"/>
            <w:shd w:val="clear" w:color="auto" w:fill="auto"/>
            <w:noWrap/>
            <w:vAlign w:val="center"/>
          </w:tcPr>
          <w:p>
            <w:pPr>
              <w:widowControl/>
              <w:jc w:val="left"/>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98"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机柜</w:t>
            </w:r>
          </w:p>
        </w:tc>
        <w:tc>
          <w:tcPr>
            <w:tcW w:w="2797" w:type="pct"/>
            <w:shd w:val="clear" w:color="auto" w:fill="auto"/>
            <w:vAlign w:val="center"/>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37U机柜，</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600*800*1833mm</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8口PDU国标电源插排×1，固定板部件×3,风扇×4,2"重型脚轮×4，M12支脚×4，M6方螺母螺钉×40，内六角扳手×1</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LX电源管理器</w:t>
            </w:r>
          </w:p>
        </w:tc>
        <w:tc>
          <w:tcPr>
            <w:tcW w:w="2797" w:type="pct"/>
            <w:shd w:val="clear" w:color="auto" w:fill="auto"/>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1.支持不小于≥8通道电源时序打开/关闭，每路动作延时时间：1秒，支持远程控制（上电+24V直流信号）8通道电源时序打开/关闭—当电源开关处于off位置时有效。支持配置CH1和CH2通道为受控或不受控状态。</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2.当远程控制有效时同时控制后板ALARM（报警）端口导通以起到级联控制ALARM（报警）功能。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3.单个通道最大负载功率≥2200W，所有通道负载总功率不小于6000W。输出连接器：多用途电源插座。</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4.具有≥一路及以上USB输出接口。</w:t>
            </w:r>
          </w:p>
        </w:tc>
        <w:tc>
          <w:tcPr>
            <w:tcW w:w="407"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noWrap/>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441" w:type="pct"/>
            <w:shd w:val="clear" w:color="auto" w:fill="auto"/>
            <w:noWrap/>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9.2、辅助线材</w:t>
            </w:r>
          </w:p>
        </w:tc>
        <w:tc>
          <w:tcPr>
            <w:tcW w:w="441" w:type="pct"/>
            <w:shd w:val="clear" w:color="auto" w:fill="auto"/>
            <w:noWrap/>
            <w:vAlign w:val="center"/>
          </w:tcPr>
          <w:p>
            <w:pPr>
              <w:widowControl/>
              <w:jc w:val="left"/>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98"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音频连接线</w:t>
            </w:r>
          </w:p>
        </w:tc>
        <w:tc>
          <w:tcPr>
            <w:tcW w:w="2797"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1.8米音频连接线：卡侬头（母）*1卡侬头（公）*1，线径：≥0.3mm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音频连接线</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1.8米音频连接线：3.5（耳机插头）*1,6.35话筒插头*2,线径：</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0.3mm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音频连接线</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1.8米音频连接线：3.5（耳机插头）*1，卡农头（母）*1，线径：</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0.3mm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音频连接线</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1.8米音频连接线：6.35话筒插头*1，卡侬头（公）*1，线径：</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0.3mm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音频连接线</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1.8米音频连接线：卡农头（母）*1，线径：</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0.3mm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音频连接线</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1.8米音频连接线：卡农头（公）*1，线径：</w:t>
            </w:r>
            <w:r>
              <w:rPr>
                <w:rFonts w:hint="eastAsia" w:ascii="宋体" w:hAnsi="宋体" w:eastAsia="宋体" w:cs="宋体"/>
                <w:color w:val="000000"/>
                <w:kern w:val="0"/>
                <w:sz w:val="24"/>
                <w:szCs w:val="24"/>
              </w:rPr>
              <w:t>≥</w:t>
            </w:r>
            <w:r>
              <w:rPr>
                <w:rFonts w:hint="eastAsia" w:ascii="宋体" w:hAnsi="宋体" w:eastAsia="宋体" w:cs="宋体"/>
                <w:kern w:val="0"/>
                <w:sz w:val="24"/>
                <w:szCs w:val="24"/>
              </w:rPr>
              <w:t>0.3mm</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根</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698"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辅材配套</w:t>
            </w:r>
          </w:p>
        </w:tc>
        <w:tc>
          <w:tcPr>
            <w:tcW w:w="2797"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包含所需的网线、插头、音响线、电源线等</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c>
          <w:tcPr>
            <w:tcW w:w="441" w:type="pct"/>
            <w:shd w:val="clear" w:color="auto" w:fill="auto"/>
            <w:vAlign w:val="center"/>
          </w:tcPr>
          <w:p>
            <w:pPr>
              <w:widowControl/>
              <w:jc w:val="center"/>
              <w:rPr>
                <w:rFonts w:hint="eastAsia" w:ascii="宋体" w:hAnsi="宋体" w:eastAsia="宋体" w:cs="宋体"/>
                <w:kern w:val="0"/>
                <w:sz w:val="24"/>
                <w:szCs w:val="24"/>
              </w:rPr>
            </w:pPr>
            <w:r>
              <w:rPr>
                <w:rFonts w:hint="eastAsia" w:hAnsi="宋体" w:cs="宋体"/>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8"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10、会议室装修</w:t>
            </w:r>
          </w:p>
        </w:tc>
        <w:tc>
          <w:tcPr>
            <w:tcW w:w="441"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70"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98" w:type="pct"/>
            <w:shd w:val="clear" w:color="auto" w:fill="auto"/>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6楼第三会议室装修</w:t>
            </w:r>
          </w:p>
        </w:tc>
        <w:tc>
          <w:tcPr>
            <w:tcW w:w="2797" w:type="pct"/>
            <w:shd w:val="clear" w:color="auto" w:fill="auto"/>
            <w:vAlign w:val="center"/>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会议室墙面装饰木挂板，施工工艺：结构胶粘贴，建筑室内施工面积106平米</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墙面壁纸拆除，刮腻子打磨刷基膜，更换无纺布壁布、会议室窗帘更换、会议桌进行无纸化主机开槽，相关设备线路布放等。</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1.会议室前后背景墙硬包布揭除木作基层，结构胶粘贴木饰面留缝压条装饰，立柱两侧结构胶粘贴更换木饰面。安装黑钛不锈钢踢脚。</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2.墙面壁纸揭除，刮腻子刷基膜，贴壁布饰面。立柱包布揭除，刮石膏腻子找平处理，刷基膜贴壁布饰面。</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3.顶面LED灯更换。</w:t>
            </w:r>
          </w:p>
        </w:tc>
        <w:tc>
          <w:tcPr>
            <w:tcW w:w="407"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83"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c>
          <w:tcPr>
            <w:tcW w:w="441"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建筑业</w:t>
            </w:r>
          </w:p>
        </w:tc>
      </w:tr>
    </w:tbl>
    <w:p>
      <w:pPr>
        <w:pStyle w:val="226"/>
        <w:spacing w:line="360" w:lineRule="auto"/>
        <w:ind w:left="0" w:firstLine="480" w:firstLineChars="200"/>
        <w:jc w:val="both"/>
        <w:outlineLvl w:val="9"/>
        <w:rPr>
          <w:rFonts w:cs="宋体"/>
          <w:color w:val="auto"/>
          <w:sz w:val="24"/>
          <w:szCs w:val="24"/>
          <w:highlight w:val="none"/>
          <w:lang w:eastAsia="zh-CN"/>
        </w:rPr>
      </w:pPr>
    </w:p>
    <w:p>
      <w:pPr>
        <w:pStyle w:val="226"/>
        <w:spacing w:line="360" w:lineRule="auto"/>
        <w:ind w:left="0" w:firstLine="480" w:firstLineChars="200"/>
        <w:jc w:val="both"/>
        <w:outlineLvl w:val="9"/>
        <w:rPr>
          <w:rFonts w:cs="宋体"/>
          <w:color w:val="auto"/>
          <w:sz w:val="24"/>
          <w:szCs w:val="24"/>
          <w:highlight w:val="none"/>
          <w:lang w:eastAsia="zh-CN"/>
        </w:rPr>
      </w:pP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273"/>
        <w:gridCol w:w="5432"/>
        <w:gridCol w:w="720"/>
        <w:gridCol w:w="720"/>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0"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u w:val="single"/>
              </w:rPr>
              <w:t>5楼第三会议室清单表</w:t>
            </w:r>
          </w:p>
        </w:tc>
        <w:tc>
          <w:tcPr>
            <w:tcW w:w="449" w:type="pct"/>
            <w:shd w:val="clear" w:color="auto" w:fill="auto"/>
            <w:noWrap/>
            <w:vAlign w:val="center"/>
          </w:tcPr>
          <w:p>
            <w:pPr>
              <w:widowControl/>
              <w:jc w:val="center"/>
              <w:rPr>
                <w:rFonts w:hint="eastAsia" w:ascii="宋体" w:hAnsi="宋体" w:eastAsia="宋体" w:cs="宋体"/>
                <w:b/>
                <w:bCs/>
                <w:kern w:val="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5"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665"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设备名称</w:t>
            </w:r>
          </w:p>
        </w:tc>
        <w:tc>
          <w:tcPr>
            <w:tcW w:w="2837"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技术要求</w:t>
            </w:r>
          </w:p>
        </w:tc>
        <w:tc>
          <w:tcPr>
            <w:tcW w:w="376"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数量</w:t>
            </w:r>
          </w:p>
        </w:tc>
        <w:tc>
          <w:tcPr>
            <w:tcW w:w="376" w:type="pct"/>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单位</w:t>
            </w:r>
          </w:p>
        </w:tc>
        <w:tc>
          <w:tcPr>
            <w:tcW w:w="449" w:type="pct"/>
            <w:shd w:val="clear" w:color="auto" w:fill="auto"/>
            <w:noWrap/>
            <w:vAlign w:val="center"/>
          </w:tcPr>
          <w:p>
            <w:pPr>
              <w:widowControl/>
              <w:jc w:val="center"/>
              <w:rPr>
                <w:rFonts w:hint="eastAsia" w:ascii="宋体" w:hAnsi="宋体" w:eastAsia="宋体" w:cs="宋体"/>
                <w:b/>
                <w:bCs/>
                <w:kern w:val="0"/>
                <w:sz w:val="24"/>
                <w:szCs w:val="24"/>
                <w:lang w:eastAsia="zh-CN"/>
              </w:rPr>
            </w:pPr>
            <w:r>
              <w:rPr>
                <w:rFonts w:hint="eastAsia" w:hAnsi="宋体" w:cs="宋体"/>
                <w:b/>
                <w:bCs/>
                <w:kern w:val="0"/>
                <w:sz w:val="24"/>
                <w:szCs w:val="24"/>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550" w:type="pct"/>
            <w:gridSpan w:val="5"/>
            <w:shd w:val="clear" w:color="auto" w:fill="auto"/>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会议室大小约14.3*7.2</w:t>
            </w:r>
          </w:p>
        </w:tc>
        <w:tc>
          <w:tcPr>
            <w:tcW w:w="449" w:type="pct"/>
            <w:shd w:val="clear" w:color="auto" w:fill="auto"/>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0"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1、LED显示系统</w:t>
            </w:r>
          </w:p>
        </w:tc>
        <w:tc>
          <w:tcPr>
            <w:tcW w:w="449"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0" w:type="pct"/>
            <w:gridSpan w:val="5"/>
            <w:shd w:val="clear" w:color="auto" w:fill="auto"/>
            <w:noWrap/>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1.1LED显示屏系统(显示屏净尺寸≥3.6m*1.6875m，屏体分辨率：≥2880*1350，屏体功耗*1.3倍=4.248855KW）</w:t>
            </w:r>
          </w:p>
        </w:tc>
        <w:tc>
          <w:tcPr>
            <w:tcW w:w="449" w:type="pct"/>
            <w:shd w:val="clear" w:color="auto" w:fill="auto"/>
            <w:noWrap/>
            <w:vAlign w:val="center"/>
          </w:tcPr>
          <w:p>
            <w:pPr>
              <w:widowControl/>
              <w:jc w:val="left"/>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65"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户内全彩LED屏</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1.LED显示屏灯珠采用表贴CHIP三合一铜线封装；LED封装形式：SMD1010黑灯；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2.LED显示屏采用≤1.25mm点间距，像素点密度≥640000点/㎡；亮度200～800CD/㎡；峰值功耗：≤538W/㎡，平均功耗：≤179W/㎡</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LED显示屏采用CNC一次成型压铸铝箱体，所选材料符合《GB/T15115-2016压铸铝合金》标准，全金属自然散热结构，无风扇，防尘和静音设计；像素中心距相对偏差≤1%，对比度≥10000:1，像素失控率≤1/100000，水平/垂直视角≥175°，刷新率≥3840Hz，色温1000K-20000K连续可调，亮度均匀性≥99%，色度均匀性±0.001Cx，Cy之内，各色光的波长误差在±2nm之内，屏前1米噪音值＜2dB</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4.LED显示屏采用三轴（X，Y，Z）调节机构，可实现屏幕上下左右拼缝及前后平整度任意调节，拼接平整度≤0.05mm、错位值≤0.05mm、间隙≤0.05mm（提供相关证明材料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LED显示屏无塑料底壳套件设计，压铸铝箱体与PCB直接接触，PCB边缘直接接触压铸箱四边接触面可提高导热性能；显示屏单元模组与单元箱体之间采用工业级精密浮动无线连接器，具备嵌合纠偏能力，连接更稳定，以模组为单位可对整屏拼缝进行精细调节，避免模组间因拼缝产生亮暗线效果，箱体内部看不到信号排线、低压电源线，可带电直接插拔；LED显示屏箱体与箱体之间采用汽车级无线连接件，锌合金压铸一体成型，锌合金公母头接插件精度10个丝，稳定可靠，精准定位不打火；平均故障恢复时间（MTTR）≤2分钟（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6.LED显示屏采用非接触式磁悬浮前维护设计，具备抗扭转、抗冲击震动，降低嵌合时管脚压力特性；可正面拆卸模组、接收卡、电源，模组、接收卡等低压器件多次热插拔测试后都能正常工作</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7.LED显示屏具备FLASH智能存储电路，可以存储模组生产信息参数、运行参数、校正数据存储在模组里，更换模组可自动回读校正数据等等，存储容量≥16kb（提供相关证明材料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8.LED显示屏开关电源具备PFC功能，宽电压输入AC90-270V50Hz/60Hz，杜绝电网不稳定造成闪屏、黑屏现象，功率因素0.95，电源效率≥95%@25℃，并具有过流、短路、过压、欠压的保护功能（提供相关证明材料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9.LED显示屏单元箱体具备LCD面板可以显示公司LOGO、箱体内部温度/湿度/电压/运行时间/垂直角度/水平角度/及信号报错指示灯（提供相关证明材料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10.LED显示屏具备现场屏体开关机次数及使用时长记录，以及对现场温湿度的监测反馈，并形成数据保存周期为100天，并可在控制软件端提取数据，保证用户实时了解现场屏体及使用环境情况（提供相关证明材料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11.LED显示屏具备45S低扫描特殊电路板设计，相比较大扫描设计方式情况下小扫描设计亮度更高，在相同刷新的情况下LED亮灭次数会变低有助于提升LED的使用寿命及降低衰减</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12.LED显示屏模组PCB采用表面沉金处理，板厚≥2mm，铜厚≥1盎司，TG≥150（提供相关证明材料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13.LED显示屏具备VICO指数测试值在0≤VICO＜1间，属于1级基本无疲劳感舒适度，产品视觉健康舒适度A＋级，显示屏符合</w:t>
            </w:r>
            <w:r>
              <w:rPr>
                <w:rFonts w:hint="eastAsia" w:hAnsi="宋体" w:cs="宋体"/>
                <w:color w:val="000000"/>
                <w:kern w:val="0"/>
                <w:sz w:val="24"/>
                <w:szCs w:val="24"/>
                <w:lang w:eastAsia="zh-CN"/>
              </w:rPr>
              <w:t>相关标准</w:t>
            </w:r>
            <w:r>
              <w:rPr>
                <w:rFonts w:hint="eastAsia" w:ascii="宋体" w:hAnsi="宋体" w:eastAsia="宋体" w:cs="宋体"/>
                <w:color w:val="000000"/>
                <w:kern w:val="0"/>
                <w:sz w:val="24"/>
                <w:szCs w:val="24"/>
              </w:rPr>
              <w:t>，具备防蓝光护眼模式（提供相关证明材料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14.LED显示屏PCB板、线材、电源、连接件需经过燃烧性能GB/T5169.16-2017标准试验，阻燃等级V-0级（提供相关证明材料</w:t>
            </w:r>
            <w:r>
              <w:rPr>
                <w:rFonts w:hint="eastAsia" w:hAnsi="宋体" w:cs="宋体"/>
                <w:color w:val="000000"/>
                <w:kern w:val="0"/>
                <w:sz w:val="24"/>
                <w:szCs w:val="24"/>
                <w:lang w:eastAsia="zh-CN"/>
              </w:rPr>
              <w:t>，包括但不限于检测报告、官网和功能截图等</w:t>
            </w:r>
            <w:r>
              <w:rPr>
                <w:rFonts w:hint="eastAsia" w:ascii="宋体" w:hAnsi="宋体" w:eastAsia="宋体" w:cs="宋体"/>
                <w:color w:val="000000"/>
                <w:kern w:val="0"/>
                <w:sz w:val="24"/>
                <w:szCs w:val="24"/>
              </w:rPr>
              <w:t>）</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15.LED显示屏具备IP5X防护等级；PCB板表面具备防潮/防尘/防静电/抗氧化；</w:t>
            </w:r>
          </w:p>
        </w:tc>
        <w:tc>
          <w:tcPr>
            <w:tcW w:w="376"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6.0750 </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平方米</w:t>
            </w:r>
          </w:p>
        </w:tc>
        <w:tc>
          <w:tcPr>
            <w:tcW w:w="449"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65"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发送盒</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功能特点：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1、一路DVI视频输入。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2、一路HDMI高清视频输入。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3、一路音频输入。</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4、四路网口输出。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5、USB接口控制，可级联多台进行统一控制。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6、一路光探头接口。</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7、带载能力达230万像素，最宽可达3840点，或最高可达3840点。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1、工作电源：AC-100-240V-50/60Hz</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2、功耗：16W</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3、工作温度：-20℃~60℃</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4、工作湿度：0~90%</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5、尺寸（mm）：≥428×250×44.4</w:t>
            </w:r>
          </w:p>
          <w:p>
            <w:pPr>
              <w:widowControl/>
              <w:jc w:val="left"/>
              <w:rPr>
                <w:rFonts w:hint="eastAsia" w:ascii="宋体" w:hAnsi="宋体" w:eastAsia="宋体" w:cs="宋体"/>
                <w:color w:val="000000"/>
                <w:kern w:val="0"/>
                <w:sz w:val="24"/>
                <w:szCs w:val="24"/>
              </w:rPr>
            </w:pPr>
            <w:r>
              <w:rPr>
                <w:rFonts w:hint="eastAsia" w:hAnsi="宋体" w:cs="宋体"/>
                <w:color w:val="000000"/>
                <w:kern w:val="0"/>
                <w:sz w:val="24"/>
                <w:szCs w:val="24"/>
                <w:lang w:val="en-US" w:eastAsia="zh-CN"/>
              </w:rPr>
              <w:t>6</w:t>
            </w:r>
            <w:r>
              <w:rPr>
                <w:rFonts w:hint="eastAsia" w:ascii="宋体" w:hAnsi="宋体" w:eastAsia="宋体" w:cs="宋体"/>
                <w:color w:val="000000"/>
                <w:kern w:val="0"/>
                <w:sz w:val="24"/>
                <w:szCs w:val="24"/>
              </w:rPr>
              <w:t>、线材：≥1.5米USB线、≥1.5米DVI线</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9"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65" w:type="pct"/>
            <w:shd w:val="clear" w:color="auto" w:fill="auto"/>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显示屏控制设备嵌入式软件</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1.LED显示屏控制设备嵌入式软件是一款用于LED显示屏控制和播放的专业软件。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2.支持视频、音频、图像、文字、Flash、Gif等形式的媒体文件播放；</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3.支持Microsoft office的Word、Excel、PPT显示；支持多页面多分区节目编辑；</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4.支持时钟、计时、网页、表格、数据库、天气预报显示；支持外部视频、环境信息、体育比分、桌面拷贝播放；</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5.支持对LED大屏幕的手工校正，同时兼容其它专业校正设备采集的校正数据；</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9"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0" w:type="pct"/>
            <w:gridSpan w:val="5"/>
            <w:shd w:val="clear" w:color="auto" w:fill="auto"/>
            <w:noWrap/>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1.2 控制设备以及配套设备</w:t>
            </w:r>
          </w:p>
        </w:tc>
        <w:tc>
          <w:tcPr>
            <w:tcW w:w="449" w:type="pct"/>
            <w:shd w:val="clear" w:color="auto" w:fill="auto"/>
            <w:noWrap/>
            <w:vAlign w:val="center"/>
          </w:tcPr>
          <w:p>
            <w:pPr>
              <w:widowControl/>
              <w:jc w:val="left"/>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65"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视频处理器</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功能特点：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1.具备有彩色液晶显示器，搭配数字按钮及调节旋钮，操作简单，支持导航式设置。</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2.支持4口拼接，输出模式支持520万像素自定义输出，水平最大15360像素，纵向最大7680像素。</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3.支持三画面任意布局，轻松完成舞台主屏、侧屏的集中控制。</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4.支持同时在屏幕上呈现3个或3个以下的画面，画面大小自由缩放、摆放，画面之间可相互叠加。</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5.支持信号回显，可通过软件实时查看输入输出信号。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6.支持同时进行多画面预览及输出监视，支持同时预览6路输入信号，并可以同时监视当前的输出画面。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7.支持4K超高清信号处理。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8.支持多组可编程全局图文叠加。</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9.支持信号及模式无缝切换，提供十多种过度特效，包括淡入淡出，无缝直切，垂直、水平梳理，圆形切入、切出，菱形切入、切出，各个方向的划幕。</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10.支持亮度抠像，支持指定亮度值以下的背景扣除，并融合到新的背景当中。</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11.支持对每个画面的透明度进行单独调节，支持0~100%可调。</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12.支持对画面的边缘进行羽化，可使叠加的画面能够更好地与背景画面融合。</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13.支持多级输入信号热备份，多机级联同步输出，支持同步技术，无错位、撕裂。</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14.支持将图文字幕叠加到视频画面上的任意位置，并可设定不同的运动轨迹和速度。</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15.支持对输入信号指定备份信号，当前信号故障时，系统自动输出备份信号，当信号恢复时可自动跳回。</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16.支持画面冻结任意画面。</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17.支持一键输出黑屏信号，可用于演艺活动场景。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18.支持保存32组不同的设置参数保存为模式，并可快速调用。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19.支持脱机的计划任务，可设定定时操作，完成自动化管理。</w:t>
            </w:r>
          </w:p>
          <w:p>
            <w:pPr>
              <w:pStyle w:val="2"/>
              <w:rPr>
                <w:rFonts w:hint="eastAsia"/>
                <w:lang w:eastAsia="zh-CN"/>
              </w:rPr>
            </w:pP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输入信号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1.DVI-D×1：最大支持分辨率为1920×1200@60Hz，向下兼容；兼容HDMI1.3及以下版本，EDID版本1.3</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2.HDMI×1：最大支持分辨率为1920×1200@60Hz，向下兼容；兼容HDMI1.3及以下版本，EDID版本1.3</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3.VGA×2：最大支持分辨率为1920×1200@60Hz，向下兼容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4.CVBS×2：NTSC/PAL自适应，支持3D梳状滤波器</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5.扩展输入：2路DVI，支持DVI、SDI、HDMI1.3/1.4、IP、CVBS等多种信号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输出信号</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6.DVI-D×5：支持常见输出分辨率，如2048×1152@60Hz，1920×1080@60Hz；支持自定义输出分辨率，如3840×660@60Hz；支持60Hz/50Hz/30Hz输出帧率；兼容HDMI1.3及以下版本；其中4路为变成输出，另1路为预览输出</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7.控制方式：RS-232/RJ-45以太网</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8.工作电源：100-240VAC，47-63Hz，≤2A</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9.工作环境：温度0-40℃；湿度0-95%（无结露）</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10.设备尺寸（mm）：66×432×256（H×L×D）</w:t>
            </w:r>
          </w:p>
        </w:tc>
        <w:tc>
          <w:tcPr>
            <w:tcW w:w="376"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9"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65"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视频处理设备嵌入式软件</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技术参数：</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1.视频处理设备嵌入式软件可实现对拼接显示系统的模式管理、窗口显示、场景调用、屏幕远程控制等功能。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2.具有输入信号通道预监功能，可预监视视频信号内容。</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3.支持大屏幕回显功能，当前屏幕画面实时回显监视。</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4.支持远程开关机功能，预设液晶屏、DLP指令，支持自定义开关机指令载入。</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5.支持开关机、调用场景、场景轮巡等定时任务设置，根据设置时间自动执行任务，无需人工操作。</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套</w:t>
            </w:r>
          </w:p>
        </w:tc>
        <w:tc>
          <w:tcPr>
            <w:tcW w:w="449"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65"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配电柜</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1、额定功率：10KW，输出路数：3路</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2、配电柜输入电压为交流380V±15%，工频50Hz。具有过压、浪涌、短路、过流、过载、漏电等保护功能。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3、内置避雷器，具有避雷防雷功能。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4、配电柜含多功能卡控制，具有远程控制功能。</w:t>
            </w:r>
          </w:p>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5、支持通过LED显示屏智慧控制系统软件实现远程开关电箱、远程通讯、电源监视、温度监控、消防监控等操作。</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6、箱体尺寸（高*宽*厚）：</w:t>
            </w: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500mm*400mm*200mm</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台</w:t>
            </w:r>
          </w:p>
        </w:tc>
        <w:tc>
          <w:tcPr>
            <w:tcW w:w="449"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550" w:type="pct"/>
            <w:gridSpan w:val="5"/>
            <w:shd w:val="clear" w:color="auto" w:fill="auto"/>
            <w:noWrap/>
            <w:vAlign w:val="center"/>
          </w:tcPr>
          <w:p>
            <w:pPr>
              <w:widowControl/>
              <w:jc w:val="left"/>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1.3 技术服务</w:t>
            </w:r>
          </w:p>
        </w:tc>
        <w:tc>
          <w:tcPr>
            <w:tcW w:w="449" w:type="pct"/>
            <w:shd w:val="clear" w:color="auto" w:fill="auto"/>
            <w:noWrap/>
            <w:vAlign w:val="center"/>
          </w:tcPr>
          <w:p>
            <w:pPr>
              <w:widowControl/>
              <w:jc w:val="left"/>
              <w:rPr>
                <w:rFonts w:hint="eastAsia" w:ascii="宋体" w:hAnsi="宋体" w:eastAsia="宋体" w:cs="宋体"/>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6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技术服务</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1.用于安装支撑屏体的结构及安装费用；</w:t>
            </w:r>
          </w:p>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2.包边要求：采用铝塑板，不锈钢进行包边，颜色默认为黑色及灰色；强弱电线材、安装等</w:t>
            </w:r>
          </w:p>
        </w:tc>
        <w:tc>
          <w:tcPr>
            <w:tcW w:w="376"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76"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项</w:t>
            </w:r>
          </w:p>
        </w:tc>
        <w:tc>
          <w:tcPr>
            <w:tcW w:w="449" w:type="pct"/>
            <w:shd w:val="clear" w:color="auto" w:fill="auto"/>
            <w:noWrap/>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其他未列明服务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665"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包装材料</w:t>
            </w:r>
          </w:p>
        </w:tc>
        <w:tc>
          <w:tcPr>
            <w:tcW w:w="2837" w:type="pct"/>
            <w:shd w:val="clear" w:color="auto" w:fill="auto"/>
            <w:noWrap/>
            <w:vAlign w:val="center"/>
          </w:tcPr>
          <w:p>
            <w:pPr>
              <w:widowControl/>
              <w:jc w:val="left"/>
              <w:rPr>
                <w:rFonts w:hint="eastAsia" w:ascii="宋体" w:hAnsi="宋体" w:eastAsia="宋体" w:cs="宋体"/>
                <w:color w:val="000000"/>
                <w:kern w:val="0"/>
                <w:sz w:val="24"/>
                <w:szCs w:val="24"/>
              </w:rPr>
            </w:pPr>
            <w:r>
              <w:rPr>
                <w:rFonts w:hint="eastAsia" w:hAnsi="宋体" w:cs="宋体"/>
                <w:color w:val="000000"/>
                <w:kern w:val="0"/>
                <w:sz w:val="24"/>
                <w:szCs w:val="24"/>
                <w:lang w:eastAsia="zh-CN"/>
              </w:rPr>
              <w:t>≥</w:t>
            </w:r>
            <w:r>
              <w:rPr>
                <w:rFonts w:hint="eastAsia" w:ascii="宋体" w:hAnsi="宋体" w:eastAsia="宋体" w:cs="宋体"/>
                <w:color w:val="000000"/>
                <w:kern w:val="0"/>
                <w:sz w:val="24"/>
                <w:szCs w:val="24"/>
              </w:rPr>
              <w:t>8mm胶合免熏蒸木箱</w:t>
            </w:r>
          </w:p>
        </w:tc>
        <w:tc>
          <w:tcPr>
            <w:tcW w:w="376"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6.0750 </w:t>
            </w:r>
          </w:p>
        </w:tc>
        <w:tc>
          <w:tcPr>
            <w:tcW w:w="376" w:type="pct"/>
            <w:shd w:val="clear" w:color="auto" w:fill="auto"/>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平方米</w:t>
            </w:r>
          </w:p>
        </w:tc>
        <w:tc>
          <w:tcPr>
            <w:tcW w:w="449" w:type="pct"/>
            <w:shd w:val="clear" w:color="auto" w:fill="auto"/>
            <w:vAlign w:val="center"/>
          </w:tcPr>
          <w:p>
            <w:pPr>
              <w:widowControl/>
              <w:jc w:val="center"/>
              <w:rPr>
                <w:rFonts w:hint="eastAsia" w:ascii="宋体" w:hAnsi="宋体" w:eastAsia="宋体" w:cs="宋体"/>
                <w:color w:val="000000"/>
                <w:kern w:val="0"/>
                <w:sz w:val="24"/>
                <w:szCs w:val="24"/>
                <w:lang w:eastAsia="zh-CN"/>
              </w:rPr>
            </w:pPr>
            <w:r>
              <w:rPr>
                <w:rFonts w:hint="eastAsia" w:hAnsi="宋体" w:cs="宋体"/>
                <w:color w:val="000000"/>
                <w:kern w:val="0"/>
                <w:sz w:val="24"/>
                <w:szCs w:val="24"/>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550" w:type="pct"/>
            <w:gridSpan w:val="5"/>
            <w:shd w:val="clear" w:color="auto" w:fill="auto"/>
            <w:noWrap/>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2、会议室装修</w:t>
            </w:r>
          </w:p>
        </w:tc>
        <w:tc>
          <w:tcPr>
            <w:tcW w:w="449" w:type="pct"/>
            <w:shd w:val="clear" w:color="auto" w:fill="auto"/>
            <w:noWrap/>
            <w:vAlign w:val="center"/>
          </w:tcPr>
          <w:p>
            <w:pPr>
              <w:widowControl/>
              <w:jc w:val="center"/>
              <w:rPr>
                <w:rFonts w:hint="eastAsia" w:ascii="宋体" w:hAnsi="宋体" w:eastAsia="宋体" w:cs="宋体"/>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7" w:hRule="atLeast"/>
        </w:trPr>
        <w:tc>
          <w:tcPr>
            <w:tcW w:w="295" w:type="pct"/>
            <w:shd w:val="clear" w:color="auto" w:fill="auto"/>
            <w:noWrap/>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665"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5楼第三会议室装修</w:t>
            </w:r>
          </w:p>
        </w:tc>
        <w:tc>
          <w:tcPr>
            <w:tcW w:w="2837" w:type="pct"/>
            <w:shd w:val="clear" w:color="auto" w:fill="auto"/>
            <w:vAlign w:val="center"/>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会议室墙面装饰木挂板，施工工艺：结构胶粘贴，建筑室内施工面积106平米</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墙面壁纸拆除，刮腻子打磨刷基膜，更换无纺布壁布、会议室窗帘更换、会议桌进行无纸化主机开槽，相关设备线路布放等。</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1.会议室前后背景墙硬包布揭除木作基层，结构胶粘贴木饰面留缝压条装饰，立柱两侧结构胶粘贴更换木饰面。安装黑钛不锈钢踢脚。</w:t>
            </w:r>
          </w:p>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2.墙面壁纸揭除，刮腻子刷基膜，贴壁布饰面。立柱包布揭除，刮石膏腻子找平处理，刷基膜贴壁布饰面。</w:t>
            </w:r>
          </w:p>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3.顶面LED灯更换。</w:t>
            </w:r>
          </w:p>
        </w:tc>
        <w:tc>
          <w:tcPr>
            <w:tcW w:w="376"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376" w:type="pct"/>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项</w:t>
            </w:r>
          </w:p>
        </w:tc>
        <w:tc>
          <w:tcPr>
            <w:tcW w:w="449" w:type="pct"/>
            <w:shd w:val="clear" w:color="auto" w:fill="auto"/>
            <w:vAlign w:val="center"/>
          </w:tcPr>
          <w:p>
            <w:pPr>
              <w:widowControl/>
              <w:jc w:val="center"/>
              <w:rPr>
                <w:rFonts w:hint="eastAsia" w:ascii="宋体" w:hAnsi="宋体" w:eastAsia="宋体" w:cs="宋体"/>
                <w:kern w:val="0"/>
                <w:sz w:val="24"/>
                <w:szCs w:val="24"/>
                <w:lang w:eastAsia="zh-CN"/>
              </w:rPr>
            </w:pPr>
            <w:r>
              <w:rPr>
                <w:rFonts w:hint="eastAsia" w:hAnsi="宋体" w:cs="宋体"/>
                <w:kern w:val="0"/>
                <w:sz w:val="24"/>
                <w:szCs w:val="24"/>
                <w:lang w:eastAsia="zh-CN"/>
              </w:rPr>
              <w:t>建筑业</w:t>
            </w:r>
          </w:p>
        </w:tc>
      </w:tr>
    </w:tbl>
    <w:p>
      <w:pPr>
        <w:pStyle w:val="226"/>
        <w:spacing w:line="312" w:lineRule="auto"/>
        <w:ind w:left="0" w:firstLine="482" w:firstLineChars="200"/>
        <w:jc w:val="both"/>
        <w:outlineLvl w:val="9"/>
        <w:rPr>
          <w:rFonts w:hint="eastAsia" w:ascii="宋体" w:hAnsi="宋体" w:eastAsia="宋体" w:cs="宋体"/>
          <w:sz w:val="24"/>
          <w:szCs w:val="24"/>
          <w:lang w:eastAsia="zh-CN"/>
        </w:rPr>
      </w:pPr>
      <w:r>
        <w:rPr>
          <w:rFonts w:hint="eastAsia" w:ascii="宋体" w:hAnsi="宋体" w:eastAsia="宋体" w:cs="宋体"/>
          <w:b/>
          <w:bCs/>
          <w:sz w:val="24"/>
          <w:szCs w:val="24"/>
          <w:lang w:eastAsia="zh-CN"/>
        </w:rPr>
        <w:t>三、技术要求（包括对产品的认证、检验报告等）</w:t>
      </w:r>
    </w:p>
    <w:p>
      <w:pPr>
        <w:pStyle w:val="226"/>
        <w:spacing w:line="312" w:lineRule="auto"/>
        <w:ind w:left="0" w:firstLine="480" w:firstLineChars="200"/>
        <w:jc w:val="both"/>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本次采购设备必须严格符合国家产品质量标准，应满足或者优于采购内容提出的技术参数指标，同时提供产品相关证明资料，包含但不限于产品彩页、检测报告、相关认证等。</w:t>
      </w:r>
    </w:p>
    <w:p>
      <w:pPr>
        <w:pStyle w:val="226"/>
        <w:spacing w:line="312" w:lineRule="auto"/>
        <w:ind w:left="0" w:firstLine="482" w:firstLineChars="200"/>
        <w:jc w:val="both"/>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四、服务要求</w:t>
      </w:r>
    </w:p>
    <w:p>
      <w:pPr>
        <w:pStyle w:val="226"/>
        <w:spacing w:line="312" w:lineRule="auto"/>
        <w:ind w:left="0" w:firstLine="480" w:firstLineChars="200"/>
        <w:jc w:val="both"/>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质保期为:36个月。</w:t>
      </w:r>
    </w:p>
    <w:p>
      <w:pPr>
        <w:spacing w:line="360" w:lineRule="auto"/>
        <w:ind w:firstLine="566" w:firstLineChars="236"/>
        <w:rPr>
          <w:rFonts w:hint="eastAsia" w:ascii="宋体" w:hAnsi="宋体" w:eastAsia="宋体" w:cs="宋体"/>
          <w:color w:val="auto"/>
          <w:sz w:val="24"/>
          <w:szCs w:val="24"/>
          <w:highlight w:val="none"/>
        </w:rPr>
      </w:pPr>
    </w:p>
    <w:p>
      <w:pPr>
        <w:spacing w:line="360" w:lineRule="auto"/>
        <w:ind w:firstLine="566" w:firstLineChars="236"/>
        <w:rPr>
          <w:rFonts w:hint="eastAsia" w:ascii="宋体" w:hAnsi="宋体" w:eastAsia="宋体" w:cs="宋体"/>
          <w:color w:val="auto"/>
          <w:sz w:val="24"/>
          <w:szCs w:val="24"/>
          <w:highlight w:val="none"/>
        </w:rPr>
        <w:sectPr>
          <w:pgSz w:w="11906" w:h="16838"/>
          <w:pgMar w:top="1417" w:right="1134" w:bottom="1417" w:left="1417" w:header="1134" w:footer="992" w:gutter="0"/>
          <w:pgNumType w:fmt="numberInDash"/>
          <w:cols w:space="720" w:num="1"/>
          <w:titlePg/>
          <w:docGrid w:type="lines" w:linePitch="333" w:charSpace="0"/>
        </w:sectPr>
      </w:pPr>
    </w:p>
    <w:p>
      <w:pPr>
        <w:spacing w:line="360" w:lineRule="auto"/>
        <w:jc w:val="center"/>
        <w:outlineLvl w:val="0"/>
        <w:rPr>
          <w:rFonts w:hAnsi="宋体" w:cs="宋体"/>
          <w:color w:val="auto"/>
          <w:sz w:val="36"/>
          <w:szCs w:val="36"/>
          <w:highlight w:val="none"/>
        </w:rPr>
      </w:pPr>
      <w:bookmarkStart w:id="423" w:name="_Toc25782"/>
      <w:bookmarkStart w:id="424" w:name="_Toc23595"/>
      <w:bookmarkStart w:id="425" w:name="_Toc23841"/>
      <w:r>
        <w:rPr>
          <w:rFonts w:hint="eastAsia" w:hAnsi="宋体" w:cs="宋体"/>
          <w:b/>
          <w:bCs/>
          <w:color w:val="auto"/>
          <w:sz w:val="36"/>
          <w:szCs w:val="36"/>
          <w:highlight w:val="none"/>
        </w:rPr>
        <w:t>第五章  评 标 方 法</w:t>
      </w:r>
      <w:bookmarkEnd w:id="417"/>
      <w:bookmarkEnd w:id="418"/>
      <w:bookmarkEnd w:id="419"/>
      <w:bookmarkEnd w:id="420"/>
      <w:bookmarkEnd w:id="421"/>
      <w:bookmarkEnd w:id="422"/>
      <w:bookmarkEnd w:id="423"/>
      <w:bookmarkEnd w:id="424"/>
      <w:bookmarkEnd w:id="425"/>
    </w:p>
    <w:p>
      <w:pPr>
        <w:spacing w:line="360" w:lineRule="auto"/>
        <w:rPr>
          <w:rFonts w:hAnsi="宋体" w:cs="宋体"/>
          <w:b/>
          <w:color w:val="auto"/>
          <w:sz w:val="28"/>
          <w:szCs w:val="28"/>
          <w:highlight w:val="none"/>
        </w:rPr>
      </w:pPr>
      <w:bookmarkStart w:id="426" w:name="_Toc363463332"/>
      <w:r>
        <w:rPr>
          <w:rFonts w:hint="eastAsia" w:hAnsi="宋体" w:cs="宋体"/>
          <w:b/>
          <w:color w:val="auto"/>
          <w:sz w:val="28"/>
          <w:szCs w:val="28"/>
          <w:highlight w:val="none"/>
        </w:rPr>
        <w:t>一、评标方法</w:t>
      </w:r>
      <w:bookmarkEnd w:id="426"/>
    </w:p>
    <w:p>
      <w:pPr>
        <w:spacing w:line="360" w:lineRule="auto"/>
        <w:ind w:firstLine="420"/>
        <w:rPr>
          <w:rFonts w:hAnsi="宋体" w:cs="宋体"/>
          <w:color w:val="auto"/>
          <w:spacing w:val="4"/>
          <w:szCs w:val="24"/>
          <w:highlight w:val="none"/>
        </w:rPr>
      </w:pPr>
      <w:r>
        <w:rPr>
          <w:rFonts w:hint="eastAsia" w:hAnsi="宋体" w:cs="宋体"/>
          <w:color w:val="auto"/>
          <w:spacing w:val="4"/>
          <w:szCs w:val="24"/>
          <w:highlight w:val="none"/>
        </w:rPr>
        <w:t>按照</w:t>
      </w:r>
      <w:r>
        <w:rPr>
          <w:rFonts w:hint="eastAsia" w:hAnsi="宋体" w:cs="宋体"/>
          <w:color w:val="auto"/>
          <w:highlight w:val="none"/>
        </w:rPr>
        <w:t>《中华人民共和国政府采购法》及实施条例和</w:t>
      </w:r>
      <w:r>
        <w:rPr>
          <w:rFonts w:hint="eastAsia" w:hAnsi="宋体" w:cs="宋体"/>
          <w:color w:val="auto"/>
          <w:spacing w:val="4"/>
          <w:szCs w:val="24"/>
          <w:highlight w:val="none"/>
        </w:rPr>
        <w:t>中华人民共和国财政部令第87号--《政府采购货物和服务招标投标管理办法》的规定，本次评标采用</w:t>
      </w:r>
      <w:r>
        <w:rPr>
          <w:rFonts w:hint="eastAsia" w:hAnsi="宋体" w:cs="宋体"/>
          <w:b/>
          <w:color w:val="auto"/>
          <w:spacing w:val="4"/>
          <w:szCs w:val="24"/>
          <w:highlight w:val="none"/>
        </w:rPr>
        <w:t>综合评分法</w:t>
      </w:r>
      <w:r>
        <w:rPr>
          <w:rFonts w:hint="eastAsia" w:hAnsi="宋体" w:cs="宋体"/>
          <w:color w:val="auto"/>
          <w:spacing w:val="4"/>
          <w:szCs w:val="24"/>
          <w:highlight w:val="none"/>
        </w:rPr>
        <w:t>，即在最大限度地满足招标文件实质性要求前提下，按照招标文件中规定的各项因素和相应的权重分值进行综合评审后，以总得分最高的供应商作为中标候选人并依次排序（最低报价不是中标的唯一标准）。</w:t>
      </w:r>
    </w:p>
    <w:p>
      <w:pPr>
        <w:spacing w:line="360" w:lineRule="auto"/>
        <w:rPr>
          <w:rFonts w:hAnsi="宋体" w:cs="宋体"/>
          <w:b/>
          <w:color w:val="auto"/>
          <w:sz w:val="28"/>
          <w:szCs w:val="28"/>
          <w:highlight w:val="none"/>
        </w:rPr>
      </w:pPr>
      <w:r>
        <w:rPr>
          <w:rFonts w:hint="eastAsia" w:hAnsi="宋体" w:cs="宋体"/>
          <w:b/>
          <w:color w:val="auto"/>
          <w:sz w:val="28"/>
          <w:szCs w:val="28"/>
          <w:highlight w:val="none"/>
        </w:rPr>
        <w:t>二、评审标准</w:t>
      </w:r>
    </w:p>
    <w:p>
      <w:pPr>
        <w:tabs>
          <w:tab w:val="left" w:pos="0"/>
        </w:tabs>
        <w:adjustRightInd w:val="0"/>
        <w:snapToGrid w:val="0"/>
        <w:spacing w:line="360" w:lineRule="auto"/>
        <w:ind w:firstLine="472" w:firstLineChars="196"/>
        <w:rPr>
          <w:rFonts w:hAnsi="宋体" w:cs="宋体"/>
          <w:b/>
          <w:color w:val="auto"/>
          <w:highlight w:val="none"/>
        </w:rPr>
      </w:pPr>
      <w:r>
        <w:rPr>
          <w:rFonts w:hint="eastAsia" w:hAnsi="宋体" w:cs="宋体"/>
          <w:b/>
          <w:color w:val="auto"/>
          <w:highlight w:val="none"/>
        </w:rPr>
        <w:t>2.1初步评审标准</w:t>
      </w:r>
    </w:p>
    <w:p>
      <w:pPr>
        <w:tabs>
          <w:tab w:val="left" w:pos="0"/>
        </w:tabs>
        <w:adjustRightInd w:val="0"/>
        <w:snapToGrid w:val="0"/>
        <w:spacing w:line="360" w:lineRule="auto"/>
        <w:ind w:firstLine="470" w:firstLineChars="196"/>
        <w:rPr>
          <w:rFonts w:hAnsi="宋体" w:cs="宋体"/>
          <w:color w:val="auto"/>
          <w:highlight w:val="none"/>
        </w:rPr>
      </w:pPr>
      <w:r>
        <w:rPr>
          <w:rFonts w:hint="eastAsia" w:hAnsi="宋体" w:cs="宋体"/>
          <w:color w:val="auto"/>
          <w:highlight w:val="none"/>
        </w:rPr>
        <w:t>2.1.1资格性审查标准：见附件1初步审查要素表</w:t>
      </w:r>
    </w:p>
    <w:p>
      <w:pPr>
        <w:tabs>
          <w:tab w:val="left" w:pos="0"/>
        </w:tabs>
        <w:adjustRightInd w:val="0"/>
        <w:snapToGrid w:val="0"/>
        <w:spacing w:line="360" w:lineRule="auto"/>
        <w:ind w:firstLine="470" w:firstLineChars="196"/>
        <w:rPr>
          <w:rFonts w:hAnsi="宋体" w:cs="宋体"/>
          <w:color w:val="auto"/>
          <w:highlight w:val="none"/>
        </w:rPr>
      </w:pPr>
      <w:r>
        <w:rPr>
          <w:rFonts w:hint="eastAsia" w:hAnsi="宋体" w:cs="宋体"/>
          <w:color w:val="auto"/>
          <w:highlight w:val="none"/>
        </w:rPr>
        <w:t>2.1.2符合性审查标准：见附件1初步审查要素表</w:t>
      </w:r>
    </w:p>
    <w:p>
      <w:pPr>
        <w:tabs>
          <w:tab w:val="left" w:pos="0"/>
        </w:tabs>
        <w:adjustRightInd w:val="0"/>
        <w:snapToGrid w:val="0"/>
        <w:spacing w:line="360" w:lineRule="auto"/>
        <w:ind w:firstLine="472" w:firstLineChars="196"/>
        <w:rPr>
          <w:rFonts w:hAnsi="宋体" w:cs="宋体"/>
          <w:b/>
          <w:color w:val="auto"/>
          <w:szCs w:val="22"/>
          <w:highlight w:val="none"/>
        </w:rPr>
      </w:pPr>
      <w:r>
        <w:rPr>
          <w:rFonts w:hint="eastAsia" w:hAnsi="宋体" w:cs="宋体"/>
          <w:b/>
          <w:color w:val="auto"/>
          <w:szCs w:val="22"/>
          <w:highlight w:val="none"/>
        </w:rPr>
        <w:t>2.2分值构成与评分标准</w:t>
      </w:r>
    </w:p>
    <w:p>
      <w:pPr>
        <w:tabs>
          <w:tab w:val="left" w:pos="0"/>
        </w:tabs>
        <w:adjustRightInd w:val="0"/>
        <w:snapToGrid w:val="0"/>
        <w:spacing w:line="360" w:lineRule="auto"/>
        <w:ind w:firstLine="470" w:firstLineChars="196"/>
        <w:rPr>
          <w:rFonts w:hAnsi="宋体" w:cs="宋体"/>
          <w:bCs/>
          <w:color w:val="auto"/>
          <w:szCs w:val="22"/>
          <w:highlight w:val="none"/>
        </w:rPr>
      </w:pPr>
      <w:r>
        <w:rPr>
          <w:rFonts w:hint="eastAsia" w:hAnsi="宋体" w:cs="宋体"/>
          <w:bCs/>
          <w:color w:val="auto"/>
          <w:szCs w:val="22"/>
          <w:highlight w:val="none"/>
        </w:rPr>
        <w:t>2.2.1 分值构成</w:t>
      </w:r>
    </w:p>
    <w:p>
      <w:pPr>
        <w:tabs>
          <w:tab w:val="left" w:pos="0"/>
        </w:tabs>
        <w:adjustRightInd w:val="0"/>
        <w:snapToGrid w:val="0"/>
        <w:spacing w:line="360" w:lineRule="auto"/>
        <w:ind w:firstLine="470" w:firstLineChars="196"/>
        <w:rPr>
          <w:rFonts w:hAnsi="宋体" w:cs="宋体"/>
          <w:bCs/>
          <w:color w:val="auto"/>
          <w:szCs w:val="22"/>
          <w:highlight w:val="none"/>
        </w:rPr>
      </w:pPr>
      <w:r>
        <w:rPr>
          <w:rFonts w:hint="eastAsia" w:hAnsi="宋体" w:cs="宋体"/>
          <w:bCs/>
          <w:color w:val="auto"/>
          <w:szCs w:val="22"/>
          <w:highlight w:val="none"/>
        </w:rPr>
        <w:t>（1）报价评审：见附件2评标因素及权重分值表</w:t>
      </w:r>
    </w:p>
    <w:p>
      <w:pPr>
        <w:tabs>
          <w:tab w:val="left" w:pos="0"/>
        </w:tabs>
        <w:adjustRightInd w:val="0"/>
        <w:snapToGrid w:val="0"/>
        <w:spacing w:line="360" w:lineRule="auto"/>
        <w:ind w:firstLine="470" w:firstLineChars="196"/>
        <w:rPr>
          <w:rFonts w:hAnsi="宋体" w:cs="宋体"/>
          <w:bCs/>
          <w:color w:val="auto"/>
          <w:szCs w:val="22"/>
          <w:highlight w:val="none"/>
        </w:rPr>
      </w:pPr>
      <w:r>
        <w:rPr>
          <w:rFonts w:hint="eastAsia" w:hAnsi="宋体" w:cs="宋体"/>
          <w:bCs/>
          <w:color w:val="auto"/>
          <w:szCs w:val="22"/>
          <w:highlight w:val="none"/>
        </w:rPr>
        <w:t>（2）技术评审：见附件2评标因素及权重分值表</w:t>
      </w:r>
    </w:p>
    <w:p>
      <w:pPr>
        <w:pStyle w:val="60"/>
        <w:rPr>
          <w:rFonts w:hAnsi="宋体" w:cs="宋体"/>
          <w:color w:val="auto"/>
          <w:szCs w:val="24"/>
          <w:highlight w:val="none"/>
        </w:rPr>
      </w:pPr>
      <w:r>
        <w:rPr>
          <w:rFonts w:hint="eastAsia" w:hAnsi="宋体" w:cs="宋体"/>
          <w:bCs/>
          <w:color w:val="auto"/>
          <w:highlight w:val="none"/>
        </w:rPr>
        <w:t>（</w:t>
      </w:r>
      <w:r>
        <w:rPr>
          <w:rFonts w:hint="eastAsia" w:hAnsi="宋体" w:cs="宋体"/>
          <w:bCs/>
          <w:color w:val="auto"/>
          <w:highlight w:val="none"/>
          <w:lang w:val="en-US"/>
        </w:rPr>
        <w:t>3</w:t>
      </w:r>
      <w:r>
        <w:rPr>
          <w:rFonts w:hint="eastAsia" w:hAnsi="宋体" w:cs="宋体"/>
          <w:bCs/>
          <w:color w:val="auto"/>
          <w:highlight w:val="none"/>
        </w:rPr>
        <w:t>）</w:t>
      </w:r>
      <w:r>
        <w:rPr>
          <w:rFonts w:hint="eastAsia" w:hAnsi="宋体" w:cs="宋体"/>
          <w:color w:val="auto"/>
          <w:szCs w:val="24"/>
          <w:highlight w:val="none"/>
        </w:rPr>
        <w:t>履约能力及服务承诺</w:t>
      </w:r>
      <w:r>
        <w:rPr>
          <w:rFonts w:hint="eastAsia" w:hAnsi="宋体" w:cs="宋体"/>
          <w:bCs/>
          <w:color w:val="auto"/>
          <w:highlight w:val="none"/>
        </w:rPr>
        <w:t>：见附件2评标因素及权重分值表</w:t>
      </w:r>
    </w:p>
    <w:p>
      <w:pPr>
        <w:pStyle w:val="60"/>
        <w:rPr>
          <w:rFonts w:hAnsi="宋体" w:cs="宋体"/>
          <w:color w:val="auto"/>
          <w:highlight w:val="none"/>
        </w:rPr>
      </w:pPr>
      <w:r>
        <w:rPr>
          <w:rFonts w:hint="eastAsia" w:hAnsi="宋体" w:cs="宋体"/>
          <w:bCs/>
          <w:color w:val="auto"/>
          <w:highlight w:val="none"/>
        </w:rPr>
        <w:t>（</w:t>
      </w:r>
      <w:r>
        <w:rPr>
          <w:rFonts w:hint="eastAsia" w:hAnsi="宋体" w:cs="宋体"/>
          <w:bCs/>
          <w:color w:val="auto"/>
          <w:highlight w:val="none"/>
          <w:lang w:val="en-US"/>
        </w:rPr>
        <w:t>4</w:t>
      </w:r>
      <w:r>
        <w:rPr>
          <w:rFonts w:hint="eastAsia" w:hAnsi="宋体" w:cs="宋体"/>
          <w:bCs/>
          <w:color w:val="auto"/>
          <w:highlight w:val="none"/>
        </w:rPr>
        <w:t>）</w:t>
      </w:r>
      <w:r>
        <w:rPr>
          <w:rFonts w:hint="eastAsia" w:hAnsi="宋体" w:cs="宋体"/>
          <w:color w:val="auto"/>
          <w:szCs w:val="24"/>
          <w:highlight w:val="none"/>
        </w:rPr>
        <w:t>节能环保产品</w:t>
      </w:r>
      <w:r>
        <w:rPr>
          <w:rFonts w:hint="eastAsia" w:hAnsi="宋体" w:cs="宋体"/>
          <w:bCs/>
          <w:color w:val="auto"/>
          <w:highlight w:val="none"/>
        </w:rPr>
        <w:t>：见附件2评标因素及权重分值表</w:t>
      </w:r>
    </w:p>
    <w:p>
      <w:pPr>
        <w:spacing w:line="360" w:lineRule="auto"/>
        <w:rPr>
          <w:rFonts w:hAnsi="宋体" w:cs="宋体"/>
          <w:b/>
          <w:color w:val="auto"/>
          <w:sz w:val="28"/>
          <w:szCs w:val="28"/>
          <w:highlight w:val="none"/>
        </w:rPr>
      </w:pPr>
      <w:bookmarkStart w:id="427" w:name="_Toc363463333"/>
      <w:r>
        <w:rPr>
          <w:rFonts w:hint="eastAsia" w:hAnsi="宋体" w:cs="宋体"/>
          <w:b/>
          <w:color w:val="auto"/>
          <w:sz w:val="28"/>
          <w:szCs w:val="28"/>
          <w:highlight w:val="none"/>
        </w:rPr>
        <w:t>三、评标程序</w:t>
      </w:r>
      <w:bookmarkEnd w:id="427"/>
    </w:p>
    <w:p>
      <w:pPr>
        <w:spacing w:line="360" w:lineRule="auto"/>
        <w:rPr>
          <w:rFonts w:hAnsi="宋体" w:cs="宋体"/>
          <w:b/>
          <w:color w:val="auto"/>
          <w:highlight w:val="none"/>
        </w:rPr>
      </w:pPr>
      <w:r>
        <w:rPr>
          <w:rFonts w:hint="eastAsia" w:hAnsi="宋体" w:cs="宋体"/>
          <w:b/>
          <w:color w:val="auto"/>
          <w:highlight w:val="none"/>
        </w:rPr>
        <w:t>1.本采购项目评标按照下列工作程序进行</w:t>
      </w:r>
      <w:r>
        <w:rPr>
          <w:rFonts w:hint="eastAsia" w:hAnsi="宋体" w:cs="宋体"/>
          <w:bCs/>
          <w:color w:val="auto"/>
          <w:highlight w:val="none"/>
        </w:rPr>
        <w:t>（在上一步评审中被认定无效投标者，不进入下一步的评审）</w:t>
      </w:r>
      <w:r>
        <w:rPr>
          <w:rFonts w:hint="eastAsia" w:hAnsi="宋体" w:cs="宋体"/>
          <w:b/>
          <w:color w:val="auto"/>
          <w:highlight w:val="none"/>
        </w:rPr>
        <w:t>。</w:t>
      </w:r>
    </w:p>
    <w:p>
      <w:pPr>
        <w:spacing w:line="360" w:lineRule="auto"/>
        <w:ind w:firstLine="495"/>
        <w:rPr>
          <w:rFonts w:hAnsi="宋体" w:cs="宋体"/>
          <w:color w:val="auto"/>
          <w:highlight w:val="none"/>
        </w:rPr>
      </w:pPr>
      <w:r>
        <w:rPr>
          <w:rFonts w:hint="eastAsia" w:hAnsi="宋体" w:cs="宋体"/>
          <w:color w:val="auto"/>
          <w:highlight w:val="none"/>
        </w:rPr>
        <w:t>（1）投标文件初审；</w:t>
      </w:r>
    </w:p>
    <w:p>
      <w:pPr>
        <w:spacing w:line="360" w:lineRule="auto"/>
        <w:ind w:firstLine="495"/>
        <w:rPr>
          <w:rFonts w:hAnsi="宋体" w:cs="宋体"/>
          <w:color w:val="auto"/>
          <w:highlight w:val="none"/>
        </w:rPr>
      </w:pPr>
      <w:r>
        <w:rPr>
          <w:rFonts w:hint="eastAsia" w:hAnsi="宋体" w:cs="宋体"/>
          <w:color w:val="auto"/>
          <w:highlight w:val="none"/>
        </w:rPr>
        <w:t>（2）澄清有关问题；</w:t>
      </w:r>
    </w:p>
    <w:p>
      <w:pPr>
        <w:spacing w:line="360" w:lineRule="auto"/>
        <w:ind w:firstLine="495"/>
        <w:rPr>
          <w:rFonts w:hAnsi="宋体" w:cs="宋体"/>
          <w:color w:val="auto"/>
          <w:highlight w:val="none"/>
        </w:rPr>
      </w:pPr>
      <w:r>
        <w:rPr>
          <w:rFonts w:hint="eastAsia" w:hAnsi="宋体" w:cs="宋体"/>
          <w:color w:val="auto"/>
          <w:highlight w:val="none"/>
        </w:rPr>
        <w:t>（3）比较与评价；</w:t>
      </w:r>
    </w:p>
    <w:p>
      <w:pPr>
        <w:spacing w:line="360" w:lineRule="auto"/>
        <w:ind w:firstLine="495"/>
        <w:rPr>
          <w:rFonts w:hAnsi="宋体" w:cs="宋体"/>
          <w:color w:val="auto"/>
          <w:highlight w:val="none"/>
        </w:rPr>
      </w:pPr>
      <w:r>
        <w:rPr>
          <w:rFonts w:hint="eastAsia" w:hAnsi="宋体" w:cs="宋体"/>
          <w:color w:val="auto"/>
          <w:highlight w:val="none"/>
        </w:rPr>
        <w:t>（4）推荐中标候选人名单。</w:t>
      </w:r>
    </w:p>
    <w:p>
      <w:pPr>
        <w:spacing w:before="120" w:after="120" w:line="360" w:lineRule="auto"/>
        <w:rPr>
          <w:rFonts w:hAnsi="宋体" w:cs="宋体"/>
          <w:b/>
          <w:color w:val="auto"/>
          <w:highlight w:val="none"/>
        </w:rPr>
      </w:pPr>
      <w:r>
        <w:rPr>
          <w:rFonts w:hint="eastAsia" w:hAnsi="宋体" w:cs="宋体"/>
          <w:b/>
          <w:color w:val="auto"/>
          <w:highlight w:val="none"/>
        </w:rPr>
        <w:t>2.投标文件初审</w:t>
      </w:r>
    </w:p>
    <w:p>
      <w:pPr>
        <w:tabs>
          <w:tab w:val="left" w:pos="0"/>
        </w:tabs>
        <w:adjustRightInd w:val="0"/>
        <w:snapToGrid w:val="0"/>
        <w:spacing w:line="360" w:lineRule="auto"/>
        <w:ind w:firstLine="470" w:firstLineChars="196"/>
        <w:rPr>
          <w:rFonts w:hAnsi="宋体" w:cs="宋体"/>
          <w:color w:val="auto"/>
          <w:highlight w:val="none"/>
        </w:rPr>
      </w:pPr>
      <w:r>
        <w:rPr>
          <w:rFonts w:hint="eastAsia" w:hAnsi="宋体" w:cs="宋体"/>
          <w:color w:val="auto"/>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pPr>
        <w:tabs>
          <w:tab w:val="left" w:pos="0"/>
        </w:tabs>
        <w:adjustRightInd w:val="0"/>
        <w:snapToGrid w:val="0"/>
        <w:spacing w:line="360" w:lineRule="auto"/>
        <w:ind w:firstLine="470" w:firstLineChars="196"/>
        <w:rPr>
          <w:rFonts w:hAnsi="宋体" w:cs="宋体"/>
          <w:b/>
          <w:bCs/>
          <w:color w:val="auto"/>
          <w:highlight w:val="none"/>
        </w:rPr>
      </w:pPr>
      <w:r>
        <w:rPr>
          <w:rFonts w:hint="eastAsia" w:hAnsi="宋体" w:cs="宋体"/>
          <w:color w:val="auto"/>
          <w:highlight w:val="none"/>
        </w:rPr>
        <w:t>在资格性审查阶段，不符合文件要求的，不得进入符合性审查，在资格性审查和符合性审查时未通过的，不得进入后续评审环节。</w:t>
      </w:r>
    </w:p>
    <w:p>
      <w:pPr>
        <w:spacing w:before="120" w:after="120" w:line="360" w:lineRule="auto"/>
        <w:rPr>
          <w:rFonts w:hAnsi="宋体" w:cs="宋体"/>
          <w:b/>
          <w:color w:val="auto"/>
          <w:highlight w:val="none"/>
        </w:rPr>
      </w:pPr>
      <w:r>
        <w:rPr>
          <w:rFonts w:hint="eastAsia" w:hAnsi="宋体" w:cs="宋体"/>
          <w:b/>
          <w:color w:val="auto"/>
          <w:highlight w:val="none"/>
        </w:rPr>
        <w:t>3.投标文件的澄清</w:t>
      </w:r>
    </w:p>
    <w:p>
      <w:pPr>
        <w:spacing w:line="360" w:lineRule="auto"/>
        <w:ind w:firstLine="480" w:firstLineChars="200"/>
        <w:rPr>
          <w:rFonts w:hAnsi="宋体" w:cs="宋体"/>
          <w:color w:val="auto"/>
          <w:highlight w:val="none"/>
        </w:rPr>
      </w:pPr>
      <w:r>
        <w:rPr>
          <w:rFonts w:hint="eastAsia" w:hAnsi="宋体" w:cs="宋体"/>
          <w:color w:val="auto"/>
          <w:highlight w:val="none"/>
        </w:rPr>
        <w:t>3.1为有助于投标文件的审查、比较和评价，评标委员会可要求供应商对其投标文件中非实质性（投标文件中含义不明确、同类问题表述不一致或者有明显文字和计算错误的内容）的有关问题进行澄清、说明或者补正。有关澄清、说明或者补正的要求和答复应以书面形式提交，并由其法定代表人或授权代表签字。供应商的澄清、说明或者补正不得超出投标文件的范围或者改变投标文件的实质性内容。评标委员会不接受供应商主动提出的澄清、说明。</w:t>
      </w:r>
    </w:p>
    <w:p>
      <w:pPr>
        <w:spacing w:line="360" w:lineRule="auto"/>
        <w:ind w:firstLine="480" w:firstLineChars="200"/>
        <w:rPr>
          <w:rFonts w:hAnsi="宋体" w:cs="宋体"/>
          <w:color w:val="auto"/>
          <w:szCs w:val="24"/>
          <w:highlight w:val="none"/>
        </w:rPr>
      </w:pPr>
      <w:r>
        <w:rPr>
          <w:rFonts w:hint="eastAsia" w:hAnsi="宋体" w:cs="宋体"/>
          <w:color w:val="auto"/>
          <w:highlight w:val="none"/>
        </w:rPr>
        <w:t>3.2有效的书面澄清材料，是投标文件的补充材料，成为投标文件的组成部分。</w:t>
      </w:r>
    </w:p>
    <w:p>
      <w:pPr>
        <w:tabs>
          <w:tab w:val="left" w:pos="851"/>
        </w:tabs>
        <w:spacing w:line="360" w:lineRule="auto"/>
        <w:ind w:firstLine="480" w:firstLineChars="200"/>
        <w:rPr>
          <w:rFonts w:hAnsi="宋体" w:cs="宋体"/>
          <w:color w:val="auto"/>
          <w:szCs w:val="24"/>
          <w:highlight w:val="none"/>
        </w:rPr>
      </w:pPr>
      <w:r>
        <w:rPr>
          <w:rFonts w:hint="eastAsia" w:hAnsi="宋体" w:cs="宋体"/>
          <w:color w:val="auto"/>
          <w:szCs w:val="24"/>
          <w:highlight w:val="none"/>
        </w:rPr>
        <w:t>3.3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spacing w:before="120" w:after="120" w:line="360" w:lineRule="auto"/>
        <w:jc w:val="left"/>
        <w:rPr>
          <w:rFonts w:hAnsi="宋体" w:cs="宋体"/>
          <w:b/>
          <w:color w:val="auto"/>
          <w:highlight w:val="none"/>
        </w:rPr>
      </w:pPr>
      <w:r>
        <w:rPr>
          <w:rFonts w:hint="eastAsia" w:hAnsi="宋体" w:cs="宋体"/>
          <w:b/>
          <w:color w:val="auto"/>
          <w:highlight w:val="none"/>
        </w:rPr>
        <w:t>4.投标文件比较与评价</w:t>
      </w:r>
    </w:p>
    <w:p>
      <w:pPr>
        <w:tabs>
          <w:tab w:val="left" w:pos="0"/>
        </w:tabs>
        <w:adjustRightInd w:val="0"/>
        <w:snapToGrid w:val="0"/>
        <w:spacing w:before="120" w:line="360" w:lineRule="auto"/>
        <w:ind w:firstLine="480" w:firstLineChars="200"/>
        <w:rPr>
          <w:rFonts w:hAnsi="宋体" w:cs="宋体"/>
          <w:color w:val="auto"/>
          <w:highlight w:val="none"/>
        </w:rPr>
      </w:pPr>
      <w:r>
        <w:rPr>
          <w:rFonts w:hint="eastAsia" w:hAnsi="宋体" w:cs="宋体"/>
          <w:color w:val="auto"/>
          <w:highlight w:val="none"/>
        </w:rPr>
        <w:t>4.1</w:t>
      </w:r>
      <w:r>
        <w:rPr>
          <w:rFonts w:hint="eastAsia" w:hAnsi="宋体" w:cs="宋体"/>
          <w:bCs/>
          <w:color w:val="auto"/>
          <w:highlight w:val="none"/>
        </w:rPr>
        <w:t>评委会应按照招标文件中规定的评标方法</w:t>
      </w:r>
      <w:r>
        <w:rPr>
          <w:rFonts w:hint="eastAsia" w:hAnsi="宋体" w:cs="宋体"/>
          <w:color w:val="auto"/>
          <w:highlight w:val="none"/>
        </w:rPr>
        <w:t>和标准，</w:t>
      </w:r>
      <w:r>
        <w:rPr>
          <w:rFonts w:hint="eastAsia" w:hAnsi="宋体" w:cs="宋体"/>
          <w:bCs/>
          <w:color w:val="auto"/>
          <w:highlight w:val="none"/>
        </w:rPr>
        <w:t>对</w:t>
      </w:r>
      <w:r>
        <w:rPr>
          <w:rFonts w:hint="eastAsia" w:hAnsi="宋体" w:cs="宋体"/>
          <w:color w:val="auto"/>
          <w:highlight w:val="none"/>
        </w:rPr>
        <w:t>资格性检查和符合性检查</w:t>
      </w:r>
      <w:r>
        <w:rPr>
          <w:rFonts w:hint="eastAsia" w:hAnsi="宋体" w:cs="宋体"/>
          <w:bCs/>
          <w:color w:val="auto"/>
          <w:highlight w:val="none"/>
        </w:rPr>
        <w:t>合格的投标文件进行商务和技术评估，综合比较与评价。</w:t>
      </w:r>
    </w:p>
    <w:p>
      <w:pPr>
        <w:spacing w:line="360" w:lineRule="auto"/>
        <w:ind w:firstLine="470" w:firstLineChars="196"/>
        <w:rPr>
          <w:rFonts w:hAnsi="宋体" w:cs="宋体"/>
          <w:color w:val="auto"/>
          <w:szCs w:val="24"/>
          <w:highlight w:val="none"/>
        </w:rPr>
      </w:pPr>
      <w:r>
        <w:rPr>
          <w:rFonts w:hint="eastAsia" w:hAnsi="宋体" w:cs="宋体"/>
          <w:color w:val="auto"/>
          <w:highlight w:val="none"/>
        </w:rPr>
        <w:t>4.2如果投标文件没有实质性响应招标文件的要求，评委会将予以拒绝。供应商不得通过修正或撤销不合要求的偏离或保留，从而使其投标成为实质性响应的投标。</w:t>
      </w:r>
    </w:p>
    <w:p>
      <w:pPr>
        <w:spacing w:line="360" w:lineRule="auto"/>
        <w:ind w:firstLine="120" w:firstLineChars="50"/>
        <w:rPr>
          <w:rFonts w:hAnsi="宋体" w:cs="宋体"/>
          <w:b/>
          <w:color w:val="auto"/>
          <w:szCs w:val="24"/>
          <w:highlight w:val="none"/>
        </w:rPr>
      </w:pPr>
      <w:r>
        <w:rPr>
          <w:rFonts w:hint="eastAsia" w:hAnsi="宋体" w:cs="宋体"/>
          <w:b/>
          <w:color w:val="auto"/>
          <w:szCs w:val="24"/>
          <w:highlight w:val="none"/>
        </w:rPr>
        <w:t>四、政策性扣减</w:t>
      </w:r>
    </w:p>
    <w:p>
      <w:pPr>
        <w:spacing w:line="360" w:lineRule="auto"/>
        <w:ind w:firstLine="482" w:firstLineChars="200"/>
        <w:rPr>
          <w:rFonts w:hAnsi="宋体" w:cs="宋体"/>
          <w:b/>
          <w:color w:val="auto"/>
          <w:szCs w:val="24"/>
          <w:highlight w:val="none"/>
        </w:rPr>
      </w:pPr>
      <w:r>
        <w:rPr>
          <w:rFonts w:hint="eastAsia" w:hAnsi="宋体" w:cs="宋体"/>
          <w:b/>
          <w:color w:val="auto"/>
          <w:szCs w:val="24"/>
          <w:highlight w:val="none"/>
        </w:rPr>
        <w:t>1、政策性扣减范围</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1.1供应商符合小型、微型企业或监狱企业、残疾人福利性单位条件的，其投标报价价格评审时将按相应比例进行扣减。9</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1.2依据关于印发《政府采购促进中小企业发展管理办法》的通知（财库〔2020〕46号）的规定，在政府采购活动中，供应商提供的货物、工程或者服务符合下列情形的，享受中小企业扶持政策：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（2）在货物采购项目中，供应商提供的货物既有中小企业制造货物，也有大型企业制造货物的，不享受本办法规定的中小企业扶持政策。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（3）以联合体形式参加政府采购活动，联合体各方均为中小企业的，联合体视同中小企业。其中，联合体各方均为小微企业的，联合体视同小微企业。</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(4)中小企业参加政府采购活动，应当出具符合财库财库〔2020〕46号规定的《中小企业声明函》,否则不得享受相关中小企业扶持政策。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供应商在投标时提供经国家确定的认证机构出具的、处于有效期之内的节能产品、环境标志产品认证证书，采购人对获得证书的产品实施政府优先采购或强制采购。</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1.4监狱企业参加政府采购活动时，应当提供由省级以上监狱管理局、戒毒管理局(含新疆生产建设兵团)出具的属于监狱企业的证明文件。</w:t>
      </w:r>
      <w:r>
        <w:rPr>
          <w:rFonts w:hint="eastAsia" w:hAnsi="宋体" w:cs="宋体"/>
          <w:color w:val="auto"/>
          <w:highlight w:val="none"/>
        </w:rPr>
        <w:t>监狱企业参加政府采购活动时，视同小型、微型企业。</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1.5符合条件的残疾人福利性单位在参加政府采购活动时，应当提供本通知规定的《残疾人福利性单位声明函》，并对声明的真实性负责。残疾人福利性单位</w:t>
      </w:r>
      <w:r>
        <w:rPr>
          <w:rFonts w:hint="eastAsia" w:hAnsi="宋体" w:cs="宋体"/>
          <w:color w:val="auto"/>
          <w:highlight w:val="none"/>
        </w:rPr>
        <w:t>参加政府采购活动时，视同小型、微型企业；</w:t>
      </w:r>
      <w:r>
        <w:rPr>
          <w:rFonts w:hint="eastAsia" w:hAnsi="宋体" w:cs="宋体"/>
          <w:color w:val="auto"/>
          <w:szCs w:val="24"/>
          <w:highlight w:val="none"/>
        </w:rPr>
        <w:t>残疾人福利性单位属于小型、微型企业的，不重复享受政策。</w:t>
      </w:r>
    </w:p>
    <w:p>
      <w:pPr>
        <w:spacing w:line="360" w:lineRule="auto"/>
        <w:ind w:firstLine="482" w:firstLineChars="200"/>
        <w:rPr>
          <w:rFonts w:hAnsi="宋体" w:cs="宋体"/>
          <w:b/>
          <w:color w:val="auto"/>
          <w:szCs w:val="24"/>
          <w:highlight w:val="none"/>
        </w:rPr>
      </w:pPr>
      <w:r>
        <w:rPr>
          <w:rFonts w:hint="eastAsia" w:hAnsi="宋体" w:cs="宋体"/>
          <w:b/>
          <w:color w:val="auto"/>
          <w:szCs w:val="24"/>
          <w:highlight w:val="none"/>
        </w:rPr>
        <w:t>2、政策性扣减方式：</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对于未预留份额专门面向中小企业采购的采购项目，以及预留份额项目的非预留部分采购包中符合条件的小微企业报价给予10%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4%（工程项目为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2.3监狱企业、残疾人福利性单位视同小微企业，享受预留份额、评审中价格扣除等促进中小企业发展的政府采购政策。监狱企业、残疾人福利性单位属于小微企业的，不重复享受政策。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2.4供应商享受支持中小型企业发展政策优惠的，可以同时享受节能、环境标志产品优先采购政策。</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2.5《西安市财政局关于进一步加大政府采购支持中小企业力度的通知》（市财函〔2022〕867号）,本通知自2022年7月1日起执行。有关规定如下：</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r>
        <w:rPr>
          <w:rFonts w:hint="eastAsia" w:hAnsi="宋体" w:cs="宋体"/>
          <w:color w:val="auto"/>
          <w:szCs w:val="24"/>
          <w:highlight w:val="none"/>
        </w:rPr>
        <w:br w:type="page"/>
      </w:r>
      <w:r>
        <w:rPr>
          <w:rFonts w:hint="eastAsia" w:hAnsi="宋体" w:cs="宋体"/>
          <w:b/>
          <w:bCs/>
          <w:color w:val="auto"/>
          <w:sz w:val="28"/>
          <w:szCs w:val="28"/>
          <w:highlight w:val="none"/>
        </w:rPr>
        <w:t>附件1：</w:t>
      </w:r>
    </w:p>
    <w:p>
      <w:pPr>
        <w:pStyle w:val="2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7"/>
        <w:gridCol w:w="466"/>
        <w:gridCol w:w="1548"/>
        <w:gridCol w:w="6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912" w:type="pct"/>
            <w:gridSpan w:val="3"/>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评审因素</w:t>
            </w:r>
          </w:p>
        </w:tc>
        <w:tc>
          <w:tcPr>
            <w:tcW w:w="3277"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2.1.1</w:t>
            </w:r>
          </w:p>
        </w:tc>
        <w:tc>
          <w:tcPr>
            <w:tcW w:w="239" w:type="pct"/>
            <w:vMerge w:val="restar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资格评审</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标准</w:t>
            </w:r>
          </w:p>
        </w:tc>
        <w:tc>
          <w:tcPr>
            <w:tcW w:w="243" w:type="pct"/>
            <w:vMerge w:val="restar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bCs w:val="0"/>
                <w:color w:val="auto"/>
                <w:szCs w:val="24"/>
                <w:highlight w:val="none"/>
              </w:rPr>
              <w:t>基本资格条件</w:t>
            </w: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营业执照等主体资格证明文件</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有效的法人或者其他组织的营业执照等证明文件，自然人的身份证明；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财务状况报告</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提供2022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税收缴纳证明</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color w:val="auto"/>
                <w:szCs w:val="24"/>
                <w:highlight w:val="none"/>
              </w:rPr>
              <w:t>提供投标截止时间前6个月内至少一个月的纳税证明或完税证明（任意税种），依法免税的单位应提供相关证明材料；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社会保障资金缴纳证明</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提供投标截止时间前6个月内至少一个月的社会保障资金缴存单据或社保机构开具的社会保险参保缴费情况证明，依法不需要缴纳社会保障资金的单位应提供相关证明材料；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承诺</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提供具有履行合同所必需的设备和专业技术能力的承诺；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书面声明</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restar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特</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定</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资</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格</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条</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件</w:t>
            </w: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法定代表人授权书/法定</w:t>
            </w:r>
          </w:p>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代表人身份证明</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法定代表人授权书（附法定代表人、被授权人身份证复印件）及被授权人身份证（法定代表人直接参加投标，须提供法定代表人身份证明及身份证原件）；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信用记录截图</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color w:val="auto"/>
                <w:szCs w:val="24"/>
                <w:highlight w:val="none"/>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控股管理关系</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单位负责人为同一人或者存在直接控股、管理关系的供应商，不得参加同一合同下的政府采购活动；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其他</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bCs/>
                <w:color w:val="auto"/>
                <w:szCs w:val="24"/>
                <w:highlight w:val="none"/>
              </w:rPr>
              <w:t>为本项目提供过整体设计、规范编制或者项目管理、监理、检测等服务的供应商，不得再参加本项目采购活动。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243" w:type="pct"/>
            <w:vMerge w:val="continue"/>
            <w:vAlign w:val="center"/>
          </w:tcPr>
          <w:p>
            <w:pPr>
              <w:tabs>
                <w:tab w:val="left" w:pos="0"/>
              </w:tabs>
              <w:adjustRightInd w:val="0"/>
              <w:snapToGrid w:val="0"/>
              <w:spacing w:line="360" w:lineRule="auto"/>
              <w:jc w:val="center"/>
              <w:rPr>
                <w:rFonts w:hAnsi="宋体" w:cs="宋体"/>
                <w:b/>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color w:val="auto"/>
                <w:szCs w:val="24"/>
                <w:highlight w:val="none"/>
              </w:rPr>
            </w:pPr>
            <w:r>
              <w:rPr>
                <w:rFonts w:hint="eastAsia" w:hAnsi="宋体" w:cs="宋体"/>
                <w:b/>
                <w:color w:val="auto"/>
                <w:szCs w:val="24"/>
                <w:highlight w:val="none"/>
              </w:rPr>
              <w:t>联合体</w:t>
            </w:r>
          </w:p>
        </w:tc>
        <w:tc>
          <w:tcPr>
            <w:tcW w:w="3277" w:type="pct"/>
            <w:vAlign w:val="center"/>
          </w:tcPr>
          <w:p>
            <w:pPr>
              <w:tabs>
                <w:tab w:val="left" w:pos="0"/>
              </w:tabs>
              <w:adjustRightInd w:val="0"/>
              <w:snapToGrid w:val="0"/>
              <w:spacing w:line="360" w:lineRule="auto"/>
              <w:jc w:val="left"/>
              <w:rPr>
                <w:rFonts w:hAnsi="宋体" w:cs="宋体"/>
                <w:bCs/>
                <w:color w:val="auto"/>
                <w:szCs w:val="24"/>
                <w:highlight w:val="none"/>
              </w:rPr>
            </w:pPr>
            <w:r>
              <w:rPr>
                <w:rFonts w:hint="eastAsia" w:hAnsi="宋体" w:cs="宋体"/>
                <w:color w:val="auto"/>
                <w:szCs w:val="24"/>
                <w:highlight w:val="none"/>
                <w:shd w:val="clear" w:color="auto" w:fill="FFFFFF"/>
              </w:rPr>
              <w:t>本项目不接受联合体投标，不允许分包</w:t>
            </w:r>
            <w:r>
              <w:rPr>
                <w:rFonts w:hint="eastAsia" w:hAnsi="宋体" w:cs="宋体"/>
                <w:bCs/>
                <w:color w:val="auto"/>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vAlign w:val="center"/>
          </w:tcPr>
          <w:p>
            <w:pPr>
              <w:tabs>
                <w:tab w:val="left" w:pos="0"/>
              </w:tabs>
              <w:adjustRightInd w:val="0"/>
              <w:snapToGrid w:val="0"/>
              <w:spacing w:line="360" w:lineRule="auto"/>
              <w:jc w:val="left"/>
              <w:rPr>
                <w:rFonts w:hAnsi="宋体" w:cs="宋体"/>
                <w:b/>
                <w:color w:val="auto"/>
                <w:szCs w:val="24"/>
                <w:highlight w:val="none"/>
              </w:rPr>
            </w:pPr>
            <w:r>
              <w:rPr>
                <w:rFonts w:hint="eastAsia" w:hAnsi="宋体" w:cs="宋体"/>
                <w:b/>
                <w:color w:val="auto"/>
                <w:szCs w:val="24"/>
                <w:highlight w:val="none"/>
              </w:rPr>
              <w:t>注：以上为必备资质，缺一项或某项达不到要求，按无效投标处理。资格审查时以投标文件中所附证明材料为准，原件备查。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2.1.2</w:t>
            </w:r>
          </w:p>
        </w:tc>
        <w:tc>
          <w:tcPr>
            <w:tcW w:w="239" w:type="pct"/>
            <w:vMerge w:val="restar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符合性评审标准</w:t>
            </w:r>
          </w:p>
        </w:tc>
        <w:tc>
          <w:tcPr>
            <w:tcW w:w="243" w:type="pct"/>
            <w:vMerge w:val="restar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有效性审查</w:t>
            </w: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投标文件的签署盖章</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投标文件上法定代表人或其授权代表人的签字、盖章齐全并加盖供应商公章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color w:val="auto"/>
                <w:szCs w:val="24"/>
                <w:highlight w:val="none"/>
              </w:rPr>
              <w:t>是否专门面向中小企业</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bCs/>
                <w:color w:val="auto"/>
                <w:szCs w:val="24"/>
                <w:highlight w:val="none"/>
              </w:rPr>
              <w:t>本项目非专门面向中小企业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投标文件格式</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报价唯一</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只能有一个有效报价，不得提交选择性报价，且报价不超过最高限价。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bCs/>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bCs/>
                <w:color w:val="auto"/>
                <w:szCs w:val="24"/>
                <w:highlight w:val="none"/>
              </w:rPr>
            </w:pPr>
          </w:p>
        </w:tc>
        <w:tc>
          <w:tcPr>
            <w:tcW w:w="243" w:type="pct"/>
            <w:vMerge w:val="restar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完整性审查</w:t>
            </w: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投标文件份数</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应符合“供应商须知前附表”规定的正本、副本、电子版数量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投标文件内容</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投标文件内容齐全、无遗漏（除评标因素外）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pPr>
              <w:tabs>
                <w:tab w:val="left" w:pos="0"/>
              </w:tabs>
              <w:adjustRightInd w:val="0"/>
              <w:snapToGrid w:val="0"/>
              <w:spacing w:line="360" w:lineRule="auto"/>
              <w:jc w:val="center"/>
              <w:rPr>
                <w:rFonts w:hAnsi="宋体" w:cs="宋体"/>
                <w:b/>
                <w:bCs/>
                <w:color w:val="auto"/>
                <w:szCs w:val="24"/>
                <w:highlight w:val="none"/>
              </w:rPr>
            </w:pPr>
          </w:p>
        </w:tc>
        <w:tc>
          <w:tcPr>
            <w:tcW w:w="239" w:type="pct"/>
            <w:vMerge w:val="continue"/>
            <w:vAlign w:val="center"/>
          </w:tcPr>
          <w:p>
            <w:pPr>
              <w:tabs>
                <w:tab w:val="left" w:pos="0"/>
              </w:tabs>
              <w:adjustRightInd w:val="0"/>
              <w:snapToGrid w:val="0"/>
              <w:spacing w:line="360" w:lineRule="auto"/>
              <w:jc w:val="center"/>
              <w:rPr>
                <w:rFonts w:hAnsi="宋体" w:cs="宋体"/>
                <w:b/>
                <w:bCs/>
                <w:color w:val="auto"/>
                <w:szCs w:val="24"/>
                <w:highlight w:val="none"/>
              </w:rPr>
            </w:pPr>
          </w:p>
        </w:tc>
        <w:tc>
          <w:tcPr>
            <w:tcW w:w="243" w:type="pct"/>
            <w:vMerge w:val="restar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响应性审查</w:t>
            </w: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对招标文件响应程度</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要求全面响应，不能有任何采购人不能接受的附加条件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交货完工期</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应满足招标文件中要求的交货完工期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质保期</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应满足招标文件中要求的质保期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kern w:val="2"/>
                <w:szCs w:val="24"/>
                <w:highlight w:val="none"/>
              </w:rPr>
              <w:t>服务地点</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kern w:val="2"/>
                <w:szCs w:val="24"/>
                <w:highlight w:val="none"/>
              </w:rPr>
              <w:t>应满足招标文件中要求的服务地点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pPr>
              <w:tabs>
                <w:tab w:val="left" w:pos="0"/>
              </w:tabs>
              <w:adjustRightInd w:val="0"/>
              <w:snapToGrid w:val="0"/>
              <w:spacing w:line="360" w:lineRule="auto"/>
              <w:rPr>
                <w:rFonts w:hAnsi="宋体" w:cs="宋体"/>
                <w:b/>
                <w:bCs/>
                <w:color w:val="auto"/>
                <w:szCs w:val="24"/>
                <w:highlight w:val="none"/>
              </w:rPr>
            </w:pPr>
          </w:p>
        </w:tc>
        <w:tc>
          <w:tcPr>
            <w:tcW w:w="239" w:type="pct"/>
            <w:vMerge w:val="continue"/>
          </w:tcPr>
          <w:p>
            <w:pPr>
              <w:tabs>
                <w:tab w:val="left" w:pos="0"/>
              </w:tabs>
              <w:adjustRightInd w:val="0"/>
              <w:snapToGrid w:val="0"/>
              <w:spacing w:line="360" w:lineRule="auto"/>
              <w:rPr>
                <w:rFonts w:hAnsi="宋体" w:cs="宋体"/>
                <w:b/>
                <w:bCs/>
                <w:color w:val="auto"/>
                <w:szCs w:val="24"/>
                <w:highlight w:val="none"/>
              </w:rPr>
            </w:pPr>
          </w:p>
        </w:tc>
        <w:tc>
          <w:tcPr>
            <w:tcW w:w="243" w:type="pct"/>
            <w:vMerge w:val="continue"/>
          </w:tcPr>
          <w:p>
            <w:pPr>
              <w:tabs>
                <w:tab w:val="left" w:pos="0"/>
              </w:tabs>
              <w:adjustRightInd w:val="0"/>
              <w:snapToGrid w:val="0"/>
              <w:spacing w:line="360" w:lineRule="auto"/>
              <w:rPr>
                <w:rFonts w:hAnsi="宋体" w:cs="宋体"/>
                <w:b/>
                <w:bCs/>
                <w:color w:val="auto"/>
                <w:szCs w:val="24"/>
                <w:highlight w:val="none"/>
              </w:rPr>
            </w:pPr>
          </w:p>
        </w:tc>
        <w:tc>
          <w:tcPr>
            <w:tcW w:w="810" w:type="pct"/>
            <w:vAlign w:val="center"/>
          </w:tcPr>
          <w:p>
            <w:pPr>
              <w:tabs>
                <w:tab w:val="left" w:pos="0"/>
              </w:tabs>
              <w:adjustRightInd w:val="0"/>
              <w:snapToGrid w:val="0"/>
              <w:spacing w:line="360" w:lineRule="auto"/>
              <w:jc w:val="center"/>
              <w:rPr>
                <w:rFonts w:hAnsi="宋体" w:cs="宋体"/>
                <w:b/>
                <w:bCs/>
                <w:color w:val="auto"/>
                <w:szCs w:val="24"/>
                <w:highlight w:val="none"/>
              </w:rPr>
            </w:pPr>
            <w:r>
              <w:rPr>
                <w:rFonts w:hint="eastAsia" w:hAnsi="宋体" w:cs="宋体"/>
                <w:b/>
                <w:bCs/>
                <w:color w:val="auto"/>
                <w:szCs w:val="24"/>
                <w:highlight w:val="none"/>
              </w:rPr>
              <w:t>投标有效期</w:t>
            </w:r>
          </w:p>
        </w:tc>
        <w:tc>
          <w:tcPr>
            <w:tcW w:w="3277" w:type="pct"/>
            <w:vAlign w:val="center"/>
          </w:tcPr>
          <w:p>
            <w:pPr>
              <w:tabs>
                <w:tab w:val="left" w:pos="0"/>
              </w:tabs>
              <w:adjustRightInd w:val="0"/>
              <w:snapToGrid w:val="0"/>
              <w:spacing w:line="360" w:lineRule="auto"/>
              <w:rPr>
                <w:rFonts w:hAnsi="宋体" w:cs="宋体"/>
                <w:color w:val="auto"/>
                <w:szCs w:val="24"/>
                <w:highlight w:val="none"/>
              </w:rPr>
            </w:pPr>
            <w:r>
              <w:rPr>
                <w:rFonts w:hint="eastAsia" w:hAnsi="宋体" w:cs="宋体"/>
                <w:color w:val="auto"/>
                <w:szCs w:val="24"/>
                <w:highlight w:val="none"/>
              </w:rPr>
              <w:t>应满足招标文件中的规定</w:t>
            </w:r>
          </w:p>
        </w:tc>
      </w:tr>
    </w:tbl>
    <w:p>
      <w:pPr>
        <w:spacing w:line="560" w:lineRule="exact"/>
        <w:rPr>
          <w:rFonts w:hAnsi="宋体" w:cs="宋体"/>
          <w:b/>
          <w:color w:val="auto"/>
          <w:sz w:val="28"/>
          <w:szCs w:val="28"/>
          <w:highlight w:val="none"/>
        </w:rPr>
      </w:pPr>
      <w:r>
        <w:rPr>
          <w:rFonts w:hint="eastAsia" w:hAnsi="宋体" w:cs="宋体"/>
          <w:b/>
          <w:color w:val="auto"/>
          <w:sz w:val="28"/>
          <w:szCs w:val="28"/>
          <w:highlight w:val="none"/>
        </w:rPr>
        <w:br w:type="page"/>
      </w:r>
      <w:r>
        <w:rPr>
          <w:rFonts w:hint="eastAsia" w:hAnsi="宋体" w:cs="宋体"/>
          <w:b/>
          <w:color w:val="auto"/>
          <w:sz w:val="28"/>
          <w:szCs w:val="28"/>
          <w:highlight w:val="none"/>
        </w:rPr>
        <w:t>附件2：</w:t>
      </w:r>
    </w:p>
    <w:p>
      <w:pPr>
        <w:spacing w:line="560" w:lineRule="exact"/>
        <w:jc w:val="center"/>
        <w:rPr>
          <w:rFonts w:hAnsi="宋体" w:cs="宋体"/>
          <w:b/>
          <w:color w:val="auto"/>
          <w:szCs w:val="24"/>
          <w:highlight w:val="none"/>
        </w:rPr>
      </w:pPr>
      <w:r>
        <w:rPr>
          <w:rFonts w:hint="eastAsia" w:hAnsi="宋体" w:cs="宋体"/>
          <w:b/>
          <w:color w:val="auto"/>
          <w:szCs w:val="24"/>
          <w:highlight w:val="none"/>
        </w:rPr>
        <w:t>评标因素及权重分值表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Ansi="宋体" w:cs="宋体"/>
          <w:color w:val="auto"/>
          <w:highlight w:val="none"/>
        </w:rPr>
      </w:pPr>
      <w:r>
        <w:rPr>
          <w:rFonts w:hint="eastAsia" w:hAnsi="宋体" w:cs="宋体"/>
          <w:color w:val="auto"/>
          <w:szCs w:val="24"/>
          <w:highlight w:val="none"/>
        </w:rPr>
        <w:t>评价和比较以投标响应文件为依据，从“报价评审”、“技术评审”、“履约能力部分”、“演示 ”</w:t>
      </w:r>
      <w:r>
        <w:rPr>
          <w:rFonts w:hint="eastAsia" w:hAnsi="宋体" w:cs="宋体"/>
          <w:color w:val="auto"/>
          <w:szCs w:val="24"/>
          <w:highlight w:val="none"/>
          <w:lang w:eastAsia="zh-CN"/>
        </w:rPr>
        <w:t>、</w:t>
      </w:r>
      <w:r>
        <w:rPr>
          <w:rFonts w:hint="eastAsia" w:hAnsi="宋体" w:cs="宋体"/>
          <w:color w:val="auto"/>
          <w:szCs w:val="24"/>
          <w:highlight w:val="none"/>
        </w:rPr>
        <w:t>“</w:t>
      </w:r>
      <w:r>
        <w:rPr>
          <w:rFonts w:hint="eastAsia" w:hAnsi="宋体" w:cs="宋体"/>
          <w:color w:val="auto"/>
          <w:szCs w:val="24"/>
          <w:highlight w:val="none"/>
          <w:lang w:val="en-US" w:eastAsia="zh-CN"/>
        </w:rPr>
        <w:t>节能环保产品</w:t>
      </w:r>
      <w:r>
        <w:rPr>
          <w:rFonts w:hint="eastAsia" w:hAnsi="宋体" w:cs="宋体"/>
          <w:color w:val="auto"/>
          <w:szCs w:val="24"/>
          <w:highlight w:val="none"/>
        </w:rPr>
        <w:t xml:space="preserve"> ”</w:t>
      </w:r>
      <w:r>
        <w:rPr>
          <w:rFonts w:hint="eastAsia" w:hAnsi="宋体" w:cs="宋体"/>
          <w:color w:val="auto"/>
          <w:szCs w:val="24"/>
          <w:highlight w:val="none"/>
          <w:lang w:eastAsia="zh-CN"/>
        </w:rPr>
        <w:t>五</w:t>
      </w:r>
      <w:r>
        <w:rPr>
          <w:rFonts w:hint="eastAsia" w:hAnsi="宋体" w:cs="宋体"/>
          <w:color w:val="auto"/>
          <w:szCs w:val="24"/>
          <w:highlight w:val="none"/>
        </w:rPr>
        <w:t>个方面进行评审并按照百分制进行赋分。</w:t>
      </w:r>
    </w:p>
    <w:tbl>
      <w:tblPr>
        <w:tblStyle w:val="44"/>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652"/>
        <w:gridCol w:w="698"/>
        <w:gridCol w:w="5669"/>
        <w:gridCol w:w="78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Align w:val="center"/>
          </w:tcPr>
          <w:p>
            <w:pPr>
              <w:pStyle w:val="26"/>
              <w:jc w:val="center"/>
              <w:rPr>
                <w:rFonts w:ascii="宋体" w:hAnsi="宋体" w:cs="宋体"/>
                <w:b/>
                <w:bCs/>
                <w:color w:val="auto"/>
                <w:kern w:val="0"/>
                <w:sz w:val="24"/>
                <w:szCs w:val="24"/>
                <w:highlight w:val="none"/>
              </w:rPr>
            </w:pPr>
            <w:bookmarkStart w:id="428" w:name="_Hlk134717856"/>
            <w:r>
              <w:rPr>
                <w:rFonts w:hint="eastAsia" w:ascii="宋体" w:hAnsi="宋体" w:cs="宋体"/>
                <w:b/>
                <w:bCs/>
                <w:color w:val="auto"/>
                <w:kern w:val="0"/>
                <w:sz w:val="24"/>
                <w:szCs w:val="24"/>
                <w:highlight w:val="none"/>
              </w:rPr>
              <w:t>类别</w:t>
            </w:r>
          </w:p>
        </w:tc>
        <w:tc>
          <w:tcPr>
            <w:tcW w:w="652" w:type="dxa"/>
            <w:vAlign w:val="center"/>
          </w:tcPr>
          <w:p>
            <w:pPr>
              <w:jc w:val="center"/>
              <w:rPr>
                <w:rFonts w:hAnsi="宋体" w:cs="宋体"/>
                <w:b/>
                <w:bCs/>
                <w:color w:val="auto"/>
                <w:szCs w:val="24"/>
                <w:highlight w:val="none"/>
              </w:rPr>
            </w:pPr>
            <w:r>
              <w:rPr>
                <w:rFonts w:hint="eastAsia" w:hAnsi="宋体" w:cs="宋体"/>
                <w:b/>
                <w:bCs/>
                <w:color w:val="auto"/>
                <w:szCs w:val="24"/>
                <w:highlight w:val="none"/>
              </w:rPr>
              <w:t>总分</w:t>
            </w:r>
          </w:p>
        </w:tc>
        <w:tc>
          <w:tcPr>
            <w:tcW w:w="6367" w:type="dxa"/>
            <w:gridSpan w:val="2"/>
            <w:vAlign w:val="center"/>
          </w:tcPr>
          <w:p>
            <w:pPr>
              <w:jc w:val="center"/>
              <w:rPr>
                <w:rFonts w:hAnsi="宋体" w:cs="宋体"/>
                <w:b/>
                <w:bCs/>
                <w:color w:val="auto"/>
                <w:szCs w:val="24"/>
                <w:highlight w:val="none"/>
              </w:rPr>
            </w:pPr>
            <w:r>
              <w:rPr>
                <w:rFonts w:hint="eastAsia" w:hAnsi="宋体" w:cs="宋体"/>
                <w:b/>
                <w:bCs/>
                <w:color w:val="auto"/>
                <w:szCs w:val="24"/>
                <w:highlight w:val="none"/>
              </w:rPr>
              <w:t>评标因素</w:t>
            </w:r>
          </w:p>
        </w:tc>
        <w:tc>
          <w:tcPr>
            <w:tcW w:w="788" w:type="dxa"/>
            <w:vAlign w:val="center"/>
          </w:tcPr>
          <w:p>
            <w:pPr>
              <w:jc w:val="center"/>
              <w:rPr>
                <w:rFonts w:hAnsi="宋体" w:cs="宋体"/>
                <w:b/>
                <w:bCs/>
                <w:color w:val="auto"/>
                <w:szCs w:val="24"/>
                <w:highlight w:val="none"/>
              </w:rPr>
            </w:pPr>
            <w:r>
              <w:rPr>
                <w:rFonts w:hint="eastAsia" w:hAnsi="宋体" w:cs="宋体"/>
                <w:b/>
                <w:bCs/>
                <w:color w:val="auto"/>
                <w:szCs w:val="24"/>
                <w:highlight w:val="none"/>
              </w:rPr>
              <w:t>最高</w:t>
            </w:r>
          </w:p>
          <w:p>
            <w:pPr>
              <w:jc w:val="center"/>
              <w:rPr>
                <w:rFonts w:hAnsi="宋体" w:cs="宋体"/>
                <w:b/>
                <w:bCs/>
                <w:color w:val="auto"/>
                <w:szCs w:val="24"/>
                <w:highlight w:val="none"/>
              </w:rPr>
            </w:pPr>
            <w:r>
              <w:rPr>
                <w:rFonts w:hint="eastAsia" w:hAnsi="宋体" w:cs="宋体"/>
                <w:b/>
                <w:bCs/>
                <w:color w:val="auto"/>
                <w:szCs w:val="24"/>
                <w:highlight w:val="none"/>
              </w:rPr>
              <w:t>得分</w:t>
            </w:r>
          </w:p>
        </w:tc>
        <w:tc>
          <w:tcPr>
            <w:tcW w:w="755" w:type="dxa"/>
            <w:vAlign w:val="center"/>
          </w:tcPr>
          <w:p>
            <w:pPr>
              <w:widowControl/>
              <w:jc w:val="center"/>
              <w:rPr>
                <w:rFonts w:hAnsi="宋体" w:cs="宋体"/>
                <w:b/>
                <w:bCs/>
                <w:color w:val="auto"/>
                <w:szCs w:val="24"/>
                <w:highlight w:val="none"/>
              </w:rPr>
            </w:pPr>
            <w:r>
              <w:rPr>
                <w:rFonts w:hint="eastAsia" w:hAnsi="宋体" w:cs="宋体"/>
                <w:b/>
                <w:bCs/>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Align w:val="center"/>
          </w:tcPr>
          <w:p>
            <w:pPr>
              <w:jc w:val="center"/>
              <w:rPr>
                <w:rFonts w:hAnsi="宋体" w:cs="宋体"/>
                <w:b/>
                <w:color w:val="auto"/>
                <w:szCs w:val="24"/>
                <w:highlight w:val="none"/>
              </w:rPr>
            </w:pPr>
            <w:r>
              <w:rPr>
                <w:rFonts w:hint="eastAsia" w:hAnsi="宋体" w:cs="宋体"/>
                <w:b/>
                <w:color w:val="auto"/>
                <w:szCs w:val="24"/>
                <w:highlight w:val="none"/>
              </w:rPr>
              <w:t>报价评审</w:t>
            </w:r>
          </w:p>
          <w:p>
            <w:pPr>
              <w:jc w:val="center"/>
              <w:rPr>
                <w:rFonts w:hAnsi="宋体" w:cs="宋体"/>
                <w:b/>
                <w:color w:val="auto"/>
                <w:szCs w:val="24"/>
                <w:highlight w:val="none"/>
              </w:rPr>
            </w:pPr>
          </w:p>
        </w:tc>
        <w:tc>
          <w:tcPr>
            <w:tcW w:w="652" w:type="dxa"/>
            <w:vAlign w:val="center"/>
          </w:tcPr>
          <w:p>
            <w:pPr>
              <w:spacing w:line="560" w:lineRule="exact"/>
              <w:jc w:val="center"/>
              <w:rPr>
                <w:rFonts w:hAnsi="宋体" w:cs="宋体"/>
                <w:b/>
                <w:color w:val="auto"/>
                <w:szCs w:val="24"/>
                <w:highlight w:val="none"/>
              </w:rPr>
            </w:pPr>
            <w:r>
              <w:rPr>
                <w:rFonts w:hint="eastAsia" w:hAnsi="宋体" w:cs="宋体"/>
                <w:b/>
                <w:color w:val="auto"/>
                <w:szCs w:val="24"/>
                <w:highlight w:val="none"/>
              </w:rPr>
              <w:t>30分</w:t>
            </w:r>
          </w:p>
        </w:tc>
        <w:tc>
          <w:tcPr>
            <w:tcW w:w="6367" w:type="dxa"/>
            <w:gridSpan w:val="2"/>
            <w:vAlign w:val="center"/>
          </w:tcPr>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1.经初审合格的投标文件，其投标报价为有效投标价。对符合政策性扣减的有效投标报价进行政策性扣减，并依据扣减后的价格（评审价格）进行价格评审。</w:t>
            </w:r>
          </w:p>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2.有效最低报价为基准价得30分。</w:t>
            </w:r>
          </w:p>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3.按（有效最低报价/有效投标报价）×30的公式计算其得分。</w:t>
            </w:r>
          </w:p>
          <w:p>
            <w:pPr>
              <w:rPr>
                <w:rFonts w:hAnsi="宋体" w:cs="宋体"/>
                <w:color w:val="auto"/>
                <w:szCs w:val="24"/>
                <w:highlight w:val="none"/>
              </w:rPr>
            </w:pPr>
            <w:r>
              <w:rPr>
                <w:rFonts w:hint="eastAsia" w:hAnsi="宋体" w:cs="宋体"/>
                <w:color w:val="auto"/>
                <w:szCs w:val="24"/>
                <w:highlight w:val="none"/>
              </w:rPr>
              <w:t>4.投标报价不完整的，不进入评标基准价的计算，本项得0分。</w:t>
            </w:r>
          </w:p>
        </w:tc>
        <w:tc>
          <w:tcPr>
            <w:tcW w:w="788" w:type="dxa"/>
            <w:vAlign w:val="center"/>
          </w:tcPr>
          <w:p>
            <w:pPr>
              <w:spacing w:line="560" w:lineRule="exact"/>
              <w:jc w:val="center"/>
              <w:rPr>
                <w:rFonts w:hAnsi="宋体" w:cs="宋体"/>
                <w:color w:val="auto"/>
                <w:szCs w:val="24"/>
                <w:highlight w:val="none"/>
              </w:rPr>
            </w:pPr>
            <w:r>
              <w:rPr>
                <w:rFonts w:hint="eastAsia" w:hAnsi="宋体" w:cs="宋体"/>
                <w:color w:val="auto"/>
                <w:szCs w:val="24"/>
                <w:highlight w:val="none"/>
              </w:rPr>
              <w:t>30分</w:t>
            </w:r>
          </w:p>
        </w:tc>
        <w:tc>
          <w:tcPr>
            <w:tcW w:w="755" w:type="dxa"/>
            <w:vAlign w:val="center"/>
          </w:tcPr>
          <w:p>
            <w:pPr>
              <w:spacing w:line="360" w:lineRule="auto"/>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restart"/>
            <w:vAlign w:val="center"/>
          </w:tcPr>
          <w:p>
            <w:pPr>
              <w:spacing w:line="560" w:lineRule="exact"/>
              <w:jc w:val="center"/>
              <w:rPr>
                <w:rFonts w:hAnsi="宋体" w:cs="宋体"/>
                <w:b/>
                <w:color w:val="auto"/>
                <w:szCs w:val="24"/>
                <w:highlight w:val="none"/>
              </w:rPr>
            </w:pPr>
            <w:r>
              <w:rPr>
                <w:rFonts w:hint="eastAsia" w:hAnsi="宋体" w:cs="宋体"/>
                <w:b/>
                <w:color w:val="auto"/>
                <w:szCs w:val="24"/>
                <w:highlight w:val="none"/>
              </w:rPr>
              <w:t>技术评审</w:t>
            </w:r>
            <w:r>
              <w:rPr>
                <w:rFonts w:hint="eastAsia" w:hAnsi="宋体" w:cs="宋体"/>
                <w:color w:val="auto"/>
                <w:szCs w:val="24"/>
                <w:highlight w:val="none"/>
              </w:rPr>
              <w:t xml:space="preserve"> </w:t>
            </w:r>
          </w:p>
        </w:tc>
        <w:tc>
          <w:tcPr>
            <w:tcW w:w="652" w:type="dxa"/>
            <w:vMerge w:val="restart"/>
            <w:vAlign w:val="center"/>
          </w:tcPr>
          <w:p>
            <w:pPr>
              <w:jc w:val="center"/>
              <w:rPr>
                <w:rFonts w:hAnsi="宋体" w:cs="宋体"/>
                <w:b/>
                <w:color w:val="auto"/>
                <w:szCs w:val="24"/>
                <w:highlight w:val="none"/>
              </w:rPr>
            </w:pPr>
            <w:r>
              <w:rPr>
                <w:rFonts w:hint="eastAsia" w:hAnsi="宋体" w:cs="宋体"/>
                <w:b/>
                <w:color w:val="auto"/>
                <w:szCs w:val="24"/>
                <w:highlight w:val="none"/>
                <w:lang w:val="en-US" w:eastAsia="zh-CN"/>
              </w:rPr>
              <w:t>48</w:t>
            </w:r>
            <w:r>
              <w:rPr>
                <w:rFonts w:hint="eastAsia" w:hAnsi="宋体" w:cs="宋体"/>
                <w:b/>
                <w:color w:val="auto"/>
                <w:szCs w:val="24"/>
                <w:highlight w:val="none"/>
              </w:rPr>
              <w:t>分</w:t>
            </w:r>
          </w:p>
        </w:tc>
        <w:tc>
          <w:tcPr>
            <w:tcW w:w="698" w:type="dxa"/>
            <w:vAlign w:val="center"/>
          </w:tcPr>
          <w:p>
            <w:pPr>
              <w:jc w:val="center"/>
              <w:rPr>
                <w:rFonts w:hAnsi="宋体" w:cs="宋体"/>
                <w:color w:val="auto"/>
                <w:szCs w:val="24"/>
                <w:highlight w:val="none"/>
              </w:rPr>
            </w:pPr>
            <w:r>
              <w:rPr>
                <w:rFonts w:hint="eastAsia" w:hAnsi="宋体" w:cs="宋体"/>
                <w:color w:val="auto"/>
                <w:szCs w:val="24"/>
                <w:highlight w:val="none"/>
              </w:rPr>
              <w:t>重要技术指标</w:t>
            </w:r>
          </w:p>
        </w:tc>
        <w:tc>
          <w:tcPr>
            <w:tcW w:w="5669" w:type="dxa"/>
            <w:vAlign w:val="center"/>
          </w:tcPr>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供应商所投标产品完全满足招标文件技术参数要求且标“▲”号技术参数均提供了明确有效的证明材料与之对应，得1</w:t>
            </w:r>
            <w:r>
              <w:rPr>
                <w:rFonts w:hAnsi="宋体" w:cs="宋体"/>
                <w:color w:val="auto"/>
                <w:szCs w:val="24"/>
                <w:highlight w:val="none"/>
              </w:rPr>
              <w:t>5</w:t>
            </w:r>
            <w:r>
              <w:rPr>
                <w:rFonts w:hint="eastAsia" w:hAnsi="宋体" w:cs="宋体"/>
                <w:color w:val="auto"/>
                <w:szCs w:val="24"/>
                <w:highlight w:val="none"/>
              </w:rPr>
              <w:t>分。</w:t>
            </w:r>
          </w:p>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标“▲”号技术参数每负偏离一项扣</w:t>
            </w:r>
            <w:r>
              <w:rPr>
                <w:rFonts w:hint="eastAsia" w:hAnsi="宋体" w:cs="宋体"/>
                <w:color w:val="auto"/>
                <w:szCs w:val="24"/>
                <w:highlight w:val="none"/>
                <w:lang w:val="en-US" w:eastAsia="zh-CN"/>
              </w:rPr>
              <w:t>1</w:t>
            </w:r>
            <w:r>
              <w:rPr>
                <w:rFonts w:hint="eastAsia" w:hAnsi="宋体" w:cs="宋体"/>
                <w:color w:val="auto"/>
                <w:szCs w:val="24"/>
                <w:highlight w:val="none"/>
              </w:rPr>
              <w:t>分（标“▲”号技术参数未提供相对应的证明材料视为负偏离），其他不带▲参数按扣完为止。</w:t>
            </w:r>
          </w:p>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（有效证明材料包括</w:t>
            </w:r>
            <w:r>
              <w:rPr>
                <w:rFonts w:hint="eastAsia" w:hAnsi="宋体" w:cs="宋体"/>
                <w:color w:val="auto"/>
                <w:szCs w:val="24"/>
                <w:highlight w:val="none"/>
                <w:lang w:eastAsia="zh-CN"/>
              </w:rPr>
              <w:t>但</w:t>
            </w:r>
            <w:r>
              <w:rPr>
                <w:rFonts w:hint="eastAsia" w:hAnsi="宋体" w:cs="宋体"/>
                <w:color w:val="auto"/>
                <w:szCs w:val="24"/>
                <w:highlight w:val="none"/>
              </w:rPr>
              <w:t>不限于</w:t>
            </w:r>
            <w:r>
              <w:rPr>
                <w:rFonts w:hint="eastAsia" w:hAnsi="宋体" w:cs="宋体"/>
                <w:color w:val="auto"/>
                <w:szCs w:val="24"/>
                <w:highlight w:val="none"/>
                <w:lang w:eastAsia="zh-CN"/>
              </w:rPr>
              <w:t>检测报告、</w:t>
            </w:r>
            <w:r>
              <w:rPr>
                <w:rFonts w:hint="eastAsia" w:hAnsi="宋体" w:cs="宋体"/>
                <w:color w:val="auto"/>
                <w:szCs w:val="24"/>
                <w:highlight w:val="none"/>
              </w:rPr>
              <w:t>产品彩页、功能截图等）</w:t>
            </w:r>
          </w:p>
        </w:tc>
        <w:tc>
          <w:tcPr>
            <w:tcW w:w="788" w:type="dxa"/>
            <w:vAlign w:val="center"/>
          </w:tcPr>
          <w:p>
            <w:pPr>
              <w:spacing w:line="460" w:lineRule="exact"/>
              <w:jc w:val="center"/>
              <w:rPr>
                <w:rFonts w:hAnsi="宋体" w:cs="宋体"/>
                <w:color w:val="auto"/>
                <w:szCs w:val="24"/>
                <w:highlight w:val="none"/>
              </w:rPr>
            </w:pPr>
            <w:r>
              <w:rPr>
                <w:rFonts w:hAnsi="宋体" w:cs="宋体"/>
                <w:color w:val="auto"/>
                <w:szCs w:val="24"/>
                <w:highlight w:val="none"/>
              </w:rPr>
              <w:t>15</w:t>
            </w:r>
            <w:r>
              <w:rPr>
                <w:rFonts w:hint="eastAsia" w:hAnsi="宋体" w:cs="宋体"/>
                <w:color w:val="auto"/>
                <w:szCs w:val="24"/>
                <w:highlight w:val="none"/>
              </w:rPr>
              <w:t>分</w:t>
            </w:r>
          </w:p>
        </w:tc>
        <w:tc>
          <w:tcPr>
            <w:tcW w:w="755" w:type="dxa"/>
            <w:vMerge w:val="restart"/>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spacing w:line="560" w:lineRule="exact"/>
              <w:jc w:val="center"/>
              <w:rPr>
                <w:rFonts w:hAnsi="宋体" w:cs="宋体"/>
                <w:b/>
                <w:color w:val="auto"/>
                <w:szCs w:val="24"/>
                <w:highlight w:val="none"/>
              </w:rPr>
            </w:pPr>
          </w:p>
        </w:tc>
        <w:tc>
          <w:tcPr>
            <w:tcW w:w="652" w:type="dxa"/>
            <w:vMerge w:val="continue"/>
            <w:vAlign w:val="center"/>
          </w:tcPr>
          <w:p>
            <w:pPr>
              <w:jc w:val="center"/>
              <w:rPr>
                <w:rFonts w:hAnsi="宋体" w:cs="宋体"/>
                <w:b/>
                <w:color w:val="auto"/>
                <w:szCs w:val="24"/>
                <w:highlight w:val="none"/>
              </w:rPr>
            </w:pPr>
          </w:p>
        </w:tc>
        <w:tc>
          <w:tcPr>
            <w:tcW w:w="698" w:type="dxa"/>
            <w:vAlign w:val="center"/>
          </w:tcPr>
          <w:p>
            <w:pPr>
              <w:jc w:val="center"/>
              <w:rPr>
                <w:rFonts w:hAnsi="宋体" w:cs="宋体"/>
                <w:color w:val="auto"/>
                <w:szCs w:val="24"/>
                <w:highlight w:val="none"/>
              </w:rPr>
            </w:pPr>
            <w:r>
              <w:rPr>
                <w:rFonts w:hint="eastAsia" w:hAnsi="宋体" w:cs="宋体"/>
                <w:color w:val="auto"/>
                <w:szCs w:val="24"/>
                <w:highlight w:val="none"/>
              </w:rPr>
              <w:t>货物技术参数响应</w:t>
            </w:r>
          </w:p>
        </w:tc>
        <w:tc>
          <w:tcPr>
            <w:tcW w:w="5669" w:type="dxa"/>
            <w:vAlign w:val="center"/>
          </w:tcPr>
          <w:p>
            <w:pPr>
              <w:keepNext w:val="0"/>
              <w:keepLines w:val="0"/>
              <w:widowControl w:val="0"/>
              <w:suppressLineNumbers w:val="0"/>
              <w:spacing w:before="0" w:beforeAutospacing="0" w:after="0" w:afterAutospacing="0" w:line="288" w:lineRule="auto"/>
              <w:ind w:left="0" w:leftChars="0" w:right="0" w:rightChars="0"/>
              <w:jc w:val="both"/>
              <w:rPr>
                <w:rFonts w:ascii="宋体" w:hAnsi="宋体"/>
                <w:color w:val="auto"/>
                <w:highlight w:val="none"/>
              </w:rPr>
            </w:pPr>
            <w:r>
              <w:rPr>
                <w:rFonts w:hint="eastAsia" w:ascii="宋体" w:hAnsi="宋体" w:eastAsia="宋体" w:cs="宋体"/>
                <w:kern w:val="2"/>
                <w:sz w:val="24"/>
                <w:szCs w:val="24"/>
                <w:lang w:val="en-US" w:eastAsia="zh-CN" w:bidi="ar"/>
              </w:rPr>
              <w:t>投标设备（产品）的规格型号、技术指标、配置等描述完整、详细。设备（产品）的彩页（如有）、相应的功能证明材料（包括但不限于测试报告、官网和功能截图等）等进行赋分。投标设备（产品）的参数等完全满足或优于采购要求、证明文件齐全完整、详尽得</w:t>
            </w:r>
            <w:r>
              <w:rPr>
                <w:rFonts w:hint="eastAsia" w:hAnsi="宋体" w:cs="宋体"/>
                <w:kern w:val="2"/>
                <w:sz w:val="24"/>
                <w:szCs w:val="24"/>
                <w:lang w:val="en-US" w:eastAsia="zh-CN" w:bidi="ar"/>
              </w:rPr>
              <w:t>7</w:t>
            </w:r>
            <w:r>
              <w:rPr>
                <w:rFonts w:hint="eastAsia" w:ascii="宋体" w:hAnsi="宋体" w:eastAsia="宋体" w:cs="宋体"/>
                <w:kern w:val="2"/>
                <w:sz w:val="24"/>
                <w:szCs w:val="24"/>
                <w:lang w:val="en-US" w:eastAsia="zh-CN" w:bidi="ar"/>
              </w:rPr>
              <w:t>-</w:t>
            </w:r>
            <w:r>
              <w:rPr>
                <w:rFonts w:hint="eastAsia" w:hAnsi="宋体" w:cs="宋体"/>
                <w:kern w:val="2"/>
                <w:sz w:val="24"/>
                <w:szCs w:val="24"/>
                <w:lang w:val="en-US" w:eastAsia="zh-CN" w:bidi="ar"/>
              </w:rPr>
              <w:t>10</w:t>
            </w:r>
            <w:r>
              <w:rPr>
                <w:rFonts w:hint="eastAsia" w:ascii="宋体" w:hAnsi="宋体" w:eastAsia="宋体" w:cs="宋体"/>
                <w:kern w:val="2"/>
                <w:sz w:val="24"/>
                <w:szCs w:val="24"/>
                <w:lang w:val="en-US" w:eastAsia="zh-CN" w:bidi="ar"/>
              </w:rPr>
              <w:t>分；投标设备（产品）参数、证明文件基本满足，得</w:t>
            </w:r>
            <w:r>
              <w:rPr>
                <w:rFonts w:hint="eastAsia" w:hAnsi="宋体" w:cs="宋体"/>
                <w:kern w:val="2"/>
                <w:sz w:val="24"/>
                <w:szCs w:val="24"/>
                <w:lang w:val="en-US" w:eastAsia="zh-CN" w:bidi="ar"/>
              </w:rPr>
              <w:t>4</w:t>
            </w:r>
            <w:r>
              <w:rPr>
                <w:rFonts w:hint="eastAsia" w:ascii="宋体" w:hAnsi="宋体" w:eastAsia="宋体" w:cs="宋体"/>
                <w:kern w:val="2"/>
                <w:sz w:val="24"/>
                <w:szCs w:val="24"/>
                <w:lang w:val="en-US" w:eastAsia="zh-CN" w:bidi="ar"/>
              </w:rPr>
              <w:t>-</w:t>
            </w:r>
            <w:r>
              <w:rPr>
                <w:rFonts w:hint="eastAsia" w:hAnsi="宋体" w:cs="宋体"/>
                <w:kern w:val="2"/>
                <w:sz w:val="24"/>
                <w:szCs w:val="24"/>
                <w:lang w:val="en-US" w:eastAsia="zh-CN" w:bidi="ar"/>
              </w:rPr>
              <w:t>7</w:t>
            </w:r>
            <w:r>
              <w:rPr>
                <w:rFonts w:hint="eastAsia" w:ascii="宋体" w:hAnsi="宋体" w:eastAsia="宋体" w:cs="宋体"/>
                <w:kern w:val="2"/>
                <w:sz w:val="24"/>
                <w:szCs w:val="24"/>
                <w:lang w:val="en-US" w:eastAsia="zh-CN" w:bidi="ar"/>
              </w:rPr>
              <w:t>分；投标设备（产品）参数不够完善，证明文件不全得0-</w:t>
            </w:r>
            <w:r>
              <w:rPr>
                <w:rFonts w:hint="eastAsia" w:hAnsi="宋体" w:cs="宋体"/>
                <w:kern w:val="2"/>
                <w:sz w:val="24"/>
                <w:szCs w:val="24"/>
                <w:lang w:val="en-US" w:eastAsia="zh-CN" w:bidi="ar"/>
              </w:rPr>
              <w:t>4</w:t>
            </w:r>
            <w:r>
              <w:rPr>
                <w:rFonts w:hint="eastAsia" w:ascii="宋体" w:hAnsi="宋体" w:eastAsia="宋体" w:cs="宋体"/>
                <w:kern w:val="2"/>
                <w:sz w:val="24"/>
                <w:szCs w:val="24"/>
                <w:lang w:val="en-US" w:eastAsia="zh-CN" w:bidi="ar"/>
              </w:rPr>
              <w:t>分。</w:t>
            </w:r>
          </w:p>
        </w:tc>
        <w:tc>
          <w:tcPr>
            <w:tcW w:w="788" w:type="dxa"/>
            <w:vAlign w:val="center"/>
          </w:tcPr>
          <w:p>
            <w:pPr>
              <w:keepNext w:val="0"/>
              <w:keepLines w:val="0"/>
              <w:pageBreakBefore w:val="0"/>
              <w:kinsoku/>
              <w:wordWrap/>
              <w:overflowPunct/>
              <w:topLinePunct w:val="0"/>
              <w:bidi w:val="0"/>
              <w:snapToGrid/>
              <w:spacing w:line="360" w:lineRule="exact"/>
              <w:jc w:val="center"/>
              <w:textAlignment w:val="auto"/>
              <w:rPr>
                <w:rFonts w:hAnsi="宋体" w:cs="宋体"/>
                <w:color w:val="auto"/>
                <w:szCs w:val="24"/>
                <w:highlight w:val="none"/>
              </w:rPr>
            </w:pPr>
            <w:r>
              <w:rPr>
                <w:rFonts w:hint="eastAsia" w:ascii="宋体" w:hAnsi="宋体" w:eastAsia="宋体" w:cs="宋体"/>
                <w:color w:val="auto"/>
                <w:szCs w:val="24"/>
                <w:lang w:val="en-US" w:eastAsia="zh-CN"/>
              </w:rPr>
              <w:t>1</w:t>
            </w:r>
            <w:r>
              <w:rPr>
                <w:rFonts w:hint="eastAsia" w:hAnsi="宋体" w:cs="宋体"/>
                <w:color w:val="auto"/>
                <w:szCs w:val="24"/>
                <w:lang w:val="en-US" w:eastAsia="zh-CN"/>
              </w:rPr>
              <w:t>0</w:t>
            </w:r>
            <w:r>
              <w:rPr>
                <w:rFonts w:hint="eastAsia" w:ascii="宋体" w:hAnsi="宋体" w:eastAsia="宋体" w:cs="宋体"/>
                <w:color w:val="auto"/>
                <w:szCs w:val="24"/>
              </w:rPr>
              <w:t>分</w:t>
            </w:r>
          </w:p>
        </w:tc>
        <w:tc>
          <w:tcPr>
            <w:tcW w:w="755" w:type="dxa"/>
            <w:vMerge w:val="continue"/>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spacing w:line="560" w:lineRule="exact"/>
              <w:jc w:val="center"/>
              <w:rPr>
                <w:rFonts w:hAnsi="宋体" w:cs="宋体"/>
                <w:b/>
                <w:color w:val="auto"/>
                <w:szCs w:val="24"/>
                <w:highlight w:val="none"/>
              </w:rPr>
            </w:pPr>
          </w:p>
        </w:tc>
        <w:tc>
          <w:tcPr>
            <w:tcW w:w="652" w:type="dxa"/>
            <w:vMerge w:val="continue"/>
            <w:vAlign w:val="center"/>
          </w:tcPr>
          <w:p>
            <w:pPr>
              <w:jc w:val="center"/>
              <w:rPr>
                <w:rFonts w:hAnsi="宋体" w:cs="宋体"/>
                <w:b/>
                <w:color w:val="auto"/>
                <w:szCs w:val="24"/>
                <w:highlight w:val="none"/>
              </w:rPr>
            </w:pPr>
          </w:p>
        </w:tc>
        <w:tc>
          <w:tcPr>
            <w:tcW w:w="698" w:type="dxa"/>
            <w:vAlign w:val="center"/>
          </w:tcPr>
          <w:p>
            <w:pPr>
              <w:jc w:val="center"/>
              <w:rPr>
                <w:rFonts w:hAnsi="宋体" w:cs="宋体"/>
                <w:color w:val="auto"/>
                <w:szCs w:val="24"/>
                <w:highlight w:val="none"/>
              </w:rPr>
            </w:pPr>
            <w:r>
              <w:rPr>
                <w:rFonts w:hint="eastAsia" w:ascii="宋体" w:hAnsi="宋体" w:eastAsia="宋体" w:cs="宋体"/>
                <w:kern w:val="2"/>
                <w:sz w:val="24"/>
                <w:szCs w:val="24"/>
                <w:lang w:val="en-US" w:eastAsia="zh-CN" w:bidi="ar"/>
              </w:rPr>
              <w:t>关键零部件及备品备件</w:t>
            </w:r>
          </w:p>
        </w:tc>
        <w:tc>
          <w:tcPr>
            <w:tcW w:w="5669" w:type="dxa"/>
            <w:vAlign w:val="center"/>
          </w:tcPr>
          <w:p>
            <w:pPr>
              <w:keepNext w:val="0"/>
              <w:keepLines w:val="0"/>
              <w:widowControl w:val="0"/>
              <w:suppressLineNumbers w:val="0"/>
              <w:spacing w:before="0" w:beforeAutospacing="0" w:after="0" w:afterAutospacing="0" w:line="288" w:lineRule="auto"/>
              <w:ind w:left="0" w:leftChars="0" w:right="0" w:rightChars="0"/>
              <w:jc w:val="both"/>
              <w:rPr>
                <w:rFonts w:hAnsi="宋体"/>
                <w:color w:val="auto"/>
                <w:highlight w:val="none"/>
              </w:rPr>
            </w:pPr>
            <w:r>
              <w:rPr>
                <w:rFonts w:hint="eastAsia" w:ascii="宋体" w:hAnsi="宋体" w:eastAsia="宋体" w:cs="宋体"/>
                <w:kern w:val="2"/>
                <w:sz w:val="24"/>
                <w:szCs w:val="24"/>
                <w:lang w:val="en-US" w:eastAsia="zh-CN" w:bidi="ar"/>
              </w:rPr>
              <w:t>投标人提供的关键零部件及备品备件等配备情况充足、供应渠道充分、总体响应性高，可行性及针对性强得</w:t>
            </w:r>
            <w:r>
              <w:rPr>
                <w:rFonts w:hint="eastAsia" w:hAnsi="宋体" w:cs="宋体"/>
                <w:kern w:val="2"/>
                <w:sz w:val="24"/>
                <w:szCs w:val="24"/>
                <w:lang w:val="en-US" w:eastAsia="zh-CN" w:bidi="ar"/>
              </w:rPr>
              <w:t>3</w:t>
            </w:r>
            <w:r>
              <w:rPr>
                <w:rFonts w:hint="eastAsia" w:ascii="宋体" w:hAnsi="宋体" w:eastAsia="宋体" w:cs="宋体"/>
                <w:kern w:val="2"/>
                <w:sz w:val="24"/>
                <w:szCs w:val="24"/>
                <w:lang w:val="en-US" w:eastAsia="zh-CN" w:bidi="ar"/>
              </w:rPr>
              <w:t>-</w:t>
            </w:r>
            <w:r>
              <w:rPr>
                <w:rFonts w:hint="eastAsia" w:hAnsi="宋体" w:cs="宋体"/>
                <w:kern w:val="2"/>
                <w:sz w:val="24"/>
                <w:szCs w:val="24"/>
                <w:lang w:val="en-US" w:eastAsia="zh-CN" w:bidi="ar"/>
              </w:rPr>
              <w:t>5</w:t>
            </w:r>
            <w:r>
              <w:rPr>
                <w:rFonts w:hint="eastAsia" w:ascii="宋体" w:hAnsi="宋体" w:eastAsia="宋体" w:cs="宋体"/>
                <w:kern w:val="2"/>
                <w:sz w:val="24"/>
                <w:szCs w:val="24"/>
                <w:lang w:val="en-US" w:eastAsia="zh-CN" w:bidi="ar"/>
              </w:rPr>
              <w:t>分，备品备件较充足，总体响应较强，具有一定可行性得</w:t>
            </w:r>
            <w:r>
              <w:rPr>
                <w:rFonts w:hint="eastAsia" w:hAnsi="宋体" w:cs="宋体"/>
                <w:kern w:val="2"/>
                <w:sz w:val="24"/>
                <w:szCs w:val="24"/>
                <w:lang w:val="en-US" w:eastAsia="zh-CN" w:bidi="ar"/>
              </w:rPr>
              <w:t>0</w:t>
            </w:r>
            <w:r>
              <w:rPr>
                <w:rFonts w:hint="eastAsia" w:ascii="宋体" w:hAnsi="宋体" w:eastAsia="宋体" w:cs="宋体"/>
                <w:kern w:val="2"/>
                <w:sz w:val="24"/>
                <w:szCs w:val="24"/>
                <w:lang w:val="en-US" w:eastAsia="zh-CN" w:bidi="ar"/>
              </w:rPr>
              <w:t>-</w:t>
            </w:r>
            <w:r>
              <w:rPr>
                <w:rFonts w:hint="eastAsia" w:hAnsi="宋体" w:cs="宋体"/>
                <w:kern w:val="2"/>
                <w:sz w:val="24"/>
                <w:szCs w:val="24"/>
                <w:lang w:val="en-US" w:eastAsia="zh-CN" w:bidi="ar"/>
              </w:rPr>
              <w:t>3</w:t>
            </w:r>
            <w:r>
              <w:rPr>
                <w:rFonts w:hint="eastAsia" w:ascii="宋体" w:hAnsi="宋体" w:eastAsia="宋体" w:cs="宋体"/>
                <w:kern w:val="2"/>
                <w:sz w:val="24"/>
                <w:szCs w:val="24"/>
                <w:lang w:val="en-US" w:eastAsia="zh-CN" w:bidi="ar"/>
              </w:rPr>
              <w:t>分。</w:t>
            </w:r>
          </w:p>
        </w:tc>
        <w:tc>
          <w:tcPr>
            <w:tcW w:w="788" w:type="dxa"/>
            <w:vAlign w:val="center"/>
          </w:tcPr>
          <w:p>
            <w:pPr>
              <w:keepNext w:val="0"/>
              <w:keepLines w:val="0"/>
              <w:pageBreakBefore w:val="0"/>
              <w:kinsoku/>
              <w:wordWrap/>
              <w:overflowPunct/>
              <w:topLinePunct w:val="0"/>
              <w:bidi w:val="0"/>
              <w:snapToGrid/>
              <w:spacing w:line="360" w:lineRule="exact"/>
              <w:ind w:left="-108" w:leftChars="-45"/>
              <w:jc w:val="center"/>
              <w:textAlignment w:val="auto"/>
              <w:rPr>
                <w:rFonts w:hAnsi="宋体" w:cs="宋体"/>
                <w:color w:val="auto"/>
                <w:szCs w:val="24"/>
                <w:highlight w:val="none"/>
              </w:rPr>
            </w:pPr>
            <w:r>
              <w:rPr>
                <w:rFonts w:hint="eastAsia" w:hAnsi="宋体" w:cs="宋体"/>
                <w:color w:val="auto"/>
                <w:szCs w:val="24"/>
                <w:lang w:val="en-US" w:eastAsia="zh-CN"/>
              </w:rPr>
              <w:t>5</w:t>
            </w:r>
            <w:r>
              <w:rPr>
                <w:rFonts w:hint="eastAsia" w:ascii="宋体" w:hAnsi="宋体" w:eastAsia="宋体" w:cs="宋体"/>
                <w:color w:val="auto"/>
                <w:szCs w:val="24"/>
              </w:rPr>
              <w:t>分</w:t>
            </w:r>
          </w:p>
        </w:tc>
        <w:tc>
          <w:tcPr>
            <w:tcW w:w="755" w:type="dxa"/>
            <w:vMerge w:val="continue"/>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spacing w:line="560" w:lineRule="exact"/>
              <w:jc w:val="center"/>
              <w:rPr>
                <w:rFonts w:hAnsi="宋体" w:cs="宋体"/>
                <w:b/>
                <w:color w:val="auto"/>
                <w:szCs w:val="24"/>
                <w:highlight w:val="none"/>
              </w:rPr>
            </w:pPr>
          </w:p>
        </w:tc>
        <w:tc>
          <w:tcPr>
            <w:tcW w:w="652" w:type="dxa"/>
            <w:vMerge w:val="continue"/>
            <w:vAlign w:val="center"/>
          </w:tcPr>
          <w:p>
            <w:pPr>
              <w:jc w:val="center"/>
              <w:rPr>
                <w:rFonts w:hAnsi="宋体" w:cs="宋体"/>
                <w:b/>
                <w:color w:val="auto"/>
                <w:szCs w:val="24"/>
                <w:highlight w:val="none"/>
              </w:rPr>
            </w:pPr>
          </w:p>
        </w:tc>
        <w:tc>
          <w:tcPr>
            <w:tcW w:w="698" w:type="dxa"/>
            <w:vAlign w:val="center"/>
          </w:tcPr>
          <w:p>
            <w:pPr>
              <w:jc w:val="center"/>
              <w:rPr>
                <w:rFonts w:hint="eastAsia" w:hAnsi="宋体" w:cs="宋体"/>
                <w:color w:val="auto"/>
                <w:szCs w:val="24"/>
                <w:highlight w:val="none"/>
              </w:rPr>
            </w:pPr>
            <w:r>
              <w:rPr>
                <w:rFonts w:hint="eastAsia" w:ascii="宋体" w:hAnsi="宋体" w:eastAsia="宋体" w:cs="宋体"/>
                <w:kern w:val="2"/>
                <w:sz w:val="24"/>
                <w:szCs w:val="24"/>
                <w:lang w:val="en-US" w:eastAsia="zh-CN" w:bidi="ar"/>
              </w:rPr>
              <w:t>总体实施方案</w:t>
            </w:r>
          </w:p>
        </w:tc>
        <w:tc>
          <w:tcPr>
            <w:tcW w:w="5669" w:type="dxa"/>
            <w:vAlign w:val="center"/>
          </w:tcPr>
          <w:p>
            <w:pPr>
              <w:keepNext w:val="0"/>
              <w:keepLines w:val="0"/>
              <w:widowControl w:val="0"/>
              <w:suppressLineNumbers w:val="0"/>
              <w:spacing w:before="0" w:beforeAutospacing="0" w:after="0" w:afterAutospacing="0" w:line="288" w:lineRule="auto"/>
              <w:ind w:left="0" w:leftChars="0" w:right="0" w:rightChars="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总体实施方案：根据投标人针对本项目的组织能力、实施方案、安装方案、供货计划、技术力量配备、拟投入的人员情况等响应情况赋分。总体实施方案完备、合理、切实可行，得7-10分；总体实施方案较完备、合理、基本可行，得4-7分；总体实施方案、供货方案较差或未提供，得0-4分。</w:t>
            </w:r>
          </w:p>
        </w:tc>
        <w:tc>
          <w:tcPr>
            <w:tcW w:w="788" w:type="dxa"/>
            <w:vAlign w:val="center"/>
          </w:tcPr>
          <w:p>
            <w:pPr>
              <w:keepNext w:val="0"/>
              <w:keepLines w:val="0"/>
              <w:pageBreakBefore w:val="0"/>
              <w:kinsoku/>
              <w:wordWrap/>
              <w:overflowPunct/>
              <w:topLinePunct w:val="0"/>
              <w:bidi w:val="0"/>
              <w:snapToGrid/>
              <w:spacing w:line="360" w:lineRule="exact"/>
              <w:jc w:val="center"/>
              <w:textAlignment w:val="auto"/>
              <w:rPr>
                <w:rFonts w:hint="eastAsia" w:ascii="宋体" w:hAnsi="宋体" w:eastAsia="宋体" w:cs="宋体"/>
                <w:color w:val="auto"/>
                <w:szCs w:val="24"/>
              </w:rPr>
            </w:pPr>
            <w:r>
              <w:rPr>
                <w:rFonts w:hint="eastAsia" w:ascii="宋体" w:hAnsi="宋体" w:eastAsia="宋体" w:cs="宋体"/>
                <w:color w:val="auto"/>
                <w:szCs w:val="24"/>
              </w:rPr>
              <w:t>10分</w:t>
            </w:r>
          </w:p>
        </w:tc>
        <w:tc>
          <w:tcPr>
            <w:tcW w:w="755" w:type="dxa"/>
            <w:vMerge w:val="continue"/>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spacing w:line="560" w:lineRule="exact"/>
              <w:jc w:val="center"/>
              <w:rPr>
                <w:rFonts w:hAnsi="宋体" w:cs="宋体"/>
                <w:b/>
                <w:color w:val="auto"/>
                <w:szCs w:val="24"/>
                <w:highlight w:val="none"/>
              </w:rPr>
            </w:pPr>
          </w:p>
        </w:tc>
        <w:tc>
          <w:tcPr>
            <w:tcW w:w="652" w:type="dxa"/>
            <w:vMerge w:val="continue"/>
            <w:vAlign w:val="center"/>
          </w:tcPr>
          <w:p>
            <w:pPr>
              <w:jc w:val="center"/>
              <w:rPr>
                <w:rFonts w:hAnsi="宋体" w:cs="宋体"/>
                <w:b/>
                <w:color w:val="auto"/>
                <w:szCs w:val="24"/>
                <w:highlight w:val="none"/>
              </w:rPr>
            </w:pPr>
          </w:p>
        </w:tc>
        <w:tc>
          <w:tcPr>
            <w:tcW w:w="698" w:type="dxa"/>
            <w:vAlign w:val="center"/>
          </w:tcPr>
          <w:p>
            <w:pPr>
              <w:jc w:val="center"/>
              <w:rPr>
                <w:rFonts w:hAnsi="宋体" w:cs="宋体"/>
                <w:color w:val="auto"/>
                <w:szCs w:val="24"/>
                <w:highlight w:val="none"/>
              </w:rPr>
            </w:pPr>
            <w:r>
              <w:rPr>
                <w:rFonts w:hint="eastAsia" w:ascii="宋体" w:hAnsi="宋体" w:eastAsia="宋体" w:cs="宋体"/>
                <w:kern w:val="2"/>
                <w:sz w:val="24"/>
                <w:szCs w:val="24"/>
                <w:lang w:val="en-US" w:eastAsia="zh-CN" w:bidi="ar"/>
              </w:rPr>
              <w:t>质量保障措施</w:t>
            </w:r>
          </w:p>
        </w:tc>
        <w:tc>
          <w:tcPr>
            <w:tcW w:w="5669" w:type="dxa"/>
            <w:vAlign w:val="center"/>
          </w:tcPr>
          <w:p>
            <w:pPr>
              <w:keepNext w:val="0"/>
              <w:keepLines w:val="0"/>
              <w:widowControl w:val="0"/>
              <w:suppressLineNumbers w:val="0"/>
              <w:spacing w:before="0" w:beforeAutospacing="0" w:after="0" w:afterAutospacing="0" w:line="288" w:lineRule="auto"/>
              <w:ind w:left="0" w:leftChars="0" w:right="0" w:rightChars="0"/>
              <w:jc w:val="both"/>
              <w:rPr>
                <w:rFonts w:hAnsi="宋体" w:cs="宋体"/>
                <w:color w:val="auto"/>
                <w:szCs w:val="24"/>
                <w:highlight w:val="none"/>
              </w:rPr>
            </w:pPr>
            <w:r>
              <w:rPr>
                <w:rFonts w:hint="eastAsia" w:ascii="宋体" w:hAnsi="宋体" w:eastAsia="宋体" w:cs="宋体"/>
                <w:kern w:val="2"/>
                <w:sz w:val="24"/>
                <w:szCs w:val="24"/>
                <w:lang w:val="en-US" w:eastAsia="zh-CN" w:bidi="ar"/>
              </w:rPr>
              <w:t>投标设备的质量保障措施，确保生产供应的设备无假货、水货、翻新货且无产权纠纷，并符合国际、国内相关标准或行业标准，提供来源渠道合法的证明文件（包括但不限于销售协议、</w:t>
            </w:r>
            <w:bookmarkStart w:id="558" w:name="_GoBack"/>
            <w:bookmarkEnd w:id="558"/>
            <w:r>
              <w:rPr>
                <w:rFonts w:hint="eastAsia" w:ascii="宋体" w:hAnsi="宋体" w:eastAsia="宋体" w:cs="宋体"/>
                <w:kern w:val="2"/>
                <w:sz w:val="24"/>
                <w:szCs w:val="24"/>
                <w:lang w:val="en-US" w:eastAsia="zh-CN" w:bidi="ar"/>
              </w:rPr>
              <w:t>代理协议、原厂授权等），根据响应程度进行赋分。投标设备质量措施完整、详尽，证明文件齐全，得</w:t>
            </w:r>
            <w:r>
              <w:rPr>
                <w:rFonts w:hint="eastAsia" w:hAnsi="宋体" w:cs="宋体"/>
                <w:kern w:val="2"/>
                <w:sz w:val="24"/>
                <w:szCs w:val="24"/>
                <w:lang w:val="en-US" w:eastAsia="zh-CN" w:bidi="ar"/>
              </w:rPr>
              <w:t>4</w:t>
            </w:r>
            <w:r>
              <w:rPr>
                <w:rFonts w:hint="eastAsia" w:ascii="宋体" w:hAnsi="宋体" w:eastAsia="宋体" w:cs="宋体"/>
                <w:kern w:val="2"/>
                <w:sz w:val="24"/>
                <w:szCs w:val="24"/>
                <w:lang w:val="en-US" w:eastAsia="zh-CN" w:bidi="ar"/>
              </w:rPr>
              <w:t>-</w:t>
            </w:r>
            <w:r>
              <w:rPr>
                <w:rFonts w:hint="eastAsia" w:hAnsi="宋体" w:cs="宋体"/>
                <w:kern w:val="2"/>
                <w:sz w:val="24"/>
                <w:szCs w:val="24"/>
                <w:lang w:val="en-US" w:eastAsia="zh-CN" w:bidi="ar"/>
              </w:rPr>
              <w:t>8</w:t>
            </w:r>
            <w:r>
              <w:rPr>
                <w:rFonts w:hint="eastAsia" w:ascii="宋体" w:hAnsi="宋体" w:eastAsia="宋体" w:cs="宋体"/>
                <w:kern w:val="2"/>
                <w:sz w:val="24"/>
                <w:szCs w:val="24"/>
                <w:lang w:val="en-US" w:eastAsia="zh-CN" w:bidi="ar"/>
              </w:rPr>
              <w:t>分；投标设备质量措施不够完善、证明文件不全，得0-4分。</w:t>
            </w:r>
          </w:p>
        </w:tc>
        <w:tc>
          <w:tcPr>
            <w:tcW w:w="788" w:type="dxa"/>
            <w:vAlign w:val="center"/>
          </w:tcPr>
          <w:p>
            <w:pPr>
              <w:keepNext w:val="0"/>
              <w:keepLines w:val="0"/>
              <w:pageBreakBefore w:val="0"/>
              <w:kinsoku/>
              <w:wordWrap/>
              <w:overflowPunct/>
              <w:topLinePunct w:val="0"/>
              <w:bidi w:val="0"/>
              <w:snapToGrid/>
              <w:spacing w:line="360" w:lineRule="exact"/>
              <w:jc w:val="center"/>
              <w:textAlignment w:val="auto"/>
              <w:rPr>
                <w:rFonts w:hAnsi="宋体" w:cs="宋体"/>
                <w:color w:val="auto"/>
                <w:szCs w:val="24"/>
                <w:highlight w:val="none"/>
              </w:rPr>
            </w:pPr>
            <w:r>
              <w:rPr>
                <w:rFonts w:hint="eastAsia" w:hAnsi="宋体" w:cs="宋体"/>
                <w:color w:val="auto"/>
                <w:szCs w:val="24"/>
                <w:lang w:val="en-US" w:eastAsia="zh-CN"/>
              </w:rPr>
              <w:t>8</w:t>
            </w:r>
            <w:r>
              <w:rPr>
                <w:rFonts w:hint="eastAsia" w:ascii="宋体" w:hAnsi="宋体" w:eastAsia="宋体" w:cs="宋体"/>
                <w:color w:val="auto"/>
                <w:szCs w:val="24"/>
              </w:rPr>
              <w:t>分</w:t>
            </w:r>
          </w:p>
        </w:tc>
        <w:tc>
          <w:tcPr>
            <w:tcW w:w="755" w:type="dxa"/>
            <w:vMerge w:val="continue"/>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restart"/>
            <w:vAlign w:val="center"/>
          </w:tcPr>
          <w:p>
            <w:pPr>
              <w:jc w:val="center"/>
              <w:rPr>
                <w:rFonts w:hAnsi="宋体" w:cs="宋体"/>
                <w:b/>
                <w:color w:val="auto"/>
                <w:szCs w:val="24"/>
                <w:highlight w:val="none"/>
              </w:rPr>
            </w:pPr>
            <w:r>
              <w:rPr>
                <w:rFonts w:hint="eastAsia" w:hAnsi="宋体" w:cs="宋体"/>
                <w:b/>
                <w:color w:val="auto"/>
                <w:szCs w:val="24"/>
                <w:highlight w:val="none"/>
              </w:rPr>
              <w:t>履约能力部分</w:t>
            </w:r>
          </w:p>
          <w:p>
            <w:pPr>
              <w:jc w:val="center"/>
              <w:rPr>
                <w:rFonts w:hAnsi="宋体" w:cs="宋体"/>
                <w:b/>
                <w:color w:val="auto"/>
                <w:szCs w:val="24"/>
                <w:highlight w:val="none"/>
              </w:rPr>
            </w:pPr>
          </w:p>
        </w:tc>
        <w:tc>
          <w:tcPr>
            <w:tcW w:w="652" w:type="dxa"/>
            <w:vMerge w:val="restart"/>
            <w:vAlign w:val="center"/>
          </w:tcPr>
          <w:p>
            <w:pPr>
              <w:jc w:val="center"/>
              <w:rPr>
                <w:rFonts w:hAnsi="宋体" w:cs="宋体"/>
                <w:b/>
                <w:color w:val="auto"/>
                <w:szCs w:val="24"/>
                <w:highlight w:val="none"/>
              </w:rPr>
            </w:pPr>
            <w:r>
              <w:rPr>
                <w:rFonts w:hint="eastAsia" w:hAnsi="宋体" w:cs="宋体"/>
                <w:b/>
                <w:color w:val="auto"/>
                <w:szCs w:val="24"/>
                <w:highlight w:val="none"/>
                <w:lang w:val="en-US" w:eastAsia="zh-CN"/>
              </w:rPr>
              <w:t>20</w:t>
            </w:r>
            <w:r>
              <w:rPr>
                <w:rFonts w:hint="eastAsia" w:hAnsi="宋体" w:cs="宋体"/>
                <w:b/>
                <w:color w:val="auto"/>
                <w:szCs w:val="24"/>
                <w:highlight w:val="none"/>
              </w:rPr>
              <w:t>分</w:t>
            </w:r>
          </w:p>
        </w:tc>
        <w:tc>
          <w:tcPr>
            <w:tcW w:w="698" w:type="dxa"/>
            <w:vAlign w:val="center"/>
          </w:tcPr>
          <w:p>
            <w:pPr>
              <w:jc w:val="center"/>
              <w:rPr>
                <w:rFonts w:hAnsi="宋体" w:cs="宋体"/>
                <w:color w:val="auto"/>
                <w:szCs w:val="24"/>
                <w:highlight w:val="none"/>
              </w:rPr>
            </w:pPr>
            <w:r>
              <w:rPr>
                <w:rFonts w:hint="eastAsia" w:hAnsi="宋体" w:cs="宋体"/>
                <w:color w:val="auto"/>
                <w:szCs w:val="24"/>
                <w:highlight w:val="none"/>
              </w:rPr>
              <w:t>业绩</w:t>
            </w:r>
          </w:p>
        </w:tc>
        <w:tc>
          <w:tcPr>
            <w:tcW w:w="5669" w:type="dxa"/>
            <w:vAlign w:val="center"/>
          </w:tcPr>
          <w:p>
            <w:pPr>
              <w:keepNext w:val="0"/>
              <w:keepLines w:val="0"/>
              <w:pageBreakBefore w:val="0"/>
              <w:kinsoku/>
              <w:wordWrap/>
              <w:overflowPunct/>
              <w:topLinePunct w:val="0"/>
              <w:bidi w:val="0"/>
              <w:snapToGrid/>
              <w:spacing w:line="360" w:lineRule="exact"/>
              <w:textAlignment w:val="auto"/>
              <w:rPr>
                <w:rFonts w:hint="eastAsia" w:ascii="宋体" w:hAnsi="宋体" w:eastAsia="宋体" w:cs="宋体"/>
                <w:color w:val="auto"/>
                <w:szCs w:val="24"/>
              </w:rPr>
            </w:pPr>
            <w:r>
              <w:rPr>
                <w:rFonts w:hint="eastAsia" w:ascii="宋体" w:hAnsi="宋体" w:eastAsia="宋体" w:cs="宋体"/>
                <w:color w:val="auto"/>
                <w:szCs w:val="24"/>
                <w:lang w:val="en-US" w:eastAsia="zh-CN"/>
              </w:rPr>
              <w:t>供应商</w:t>
            </w:r>
            <w:r>
              <w:rPr>
                <w:rFonts w:hint="eastAsia" w:ascii="宋体" w:hAnsi="宋体" w:eastAsia="宋体" w:cs="宋体"/>
                <w:color w:val="auto"/>
                <w:szCs w:val="24"/>
              </w:rPr>
              <w:t>20</w:t>
            </w:r>
            <w:r>
              <w:rPr>
                <w:rFonts w:hint="eastAsia" w:ascii="宋体" w:hAnsi="宋体" w:eastAsia="宋体" w:cs="宋体"/>
                <w:color w:val="auto"/>
                <w:szCs w:val="24"/>
                <w:lang w:val="en-US" w:eastAsia="zh-CN"/>
              </w:rPr>
              <w:t>20</w:t>
            </w:r>
            <w:r>
              <w:rPr>
                <w:rFonts w:hint="eastAsia" w:ascii="宋体" w:hAnsi="宋体" w:eastAsia="宋体" w:cs="宋体"/>
                <w:color w:val="auto"/>
                <w:szCs w:val="24"/>
              </w:rPr>
              <w:t>年</w:t>
            </w:r>
            <w:r>
              <w:rPr>
                <w:rFonts w:hint="eastAsia" w:ascii="宋体" w:hAnsi="宋体" w:eastAsia="宋体" w:cs="宋体"/>
                <w:color w:val="auto"/>
                <w:szCs w:val="24"/>
                <w:lang w:val="en-US" w:eastAsia="zh-CN"/>
              </w:rPr>
              <w:t>5</w:t>
            </w:r>
            <w:r>
              <w:rPr>
                <w:rFonts w:hint="eastAsia" w:ascii="宋体" w:hAnsi="宋体" w:eastAsia="宋体" w:cs="宋体"/>
                <w:color w:val="auto"/>
                <w:szCs w:val="24"/>
              </w:rPr>
              <w:t>月1日至今</w:t>
            </w:r>
            <w:r>
              <w:rPr>
                <w:rFonts w:hint="eastAsia" w:ascii="宋体" w:hAnsi="宋体" w:eastAsia="宋体" w:cs="宋体"/>
                <w:color w:val="auto"/>
                <w:szCs w:val="24"/>
                <w:lang w:eastAsia="zh-CN"/>
              </w:rPr>
              <w:t>类似</w:t>
            </w:r>
            <w:r>
              <w:rPr>
                <w:rFonts w:hint="eastAsia" w:ascii="宋体" w:hAnsi="宋体" w:eastAsia="宋体" w:cs="宋体"/>
                <w:color w:val="auto"/>
                <w:szCs w:val="24"/>
              </w:rPr>
              <w:t>项目业绩，每提供1份得</w:t>
            </w:r>
            <w:r>
              <w:rPr>
                <w:rFonts w:hint="eastAsia" w:hAnsi="宋体" w:cs="宋体"/>
                <w:color w:val="auto"/>
                <w:szCs w:val="24"/>
                <w:lang w:val="en-US" w:eastAsia="zh-CN"/>
              </w:rPr>
              <w:t>1</w:t>
            </w:r>
            <w:r>
              <w:rPr>
                <w:rFonts w:hint="eastAsia" w:ascii="宋体" w:hAnsi="宋体" w:eastAsia="宋体" w:cs="宋体"/>
                <w:color w:val="auto"/>
                <w:szCs w:val="24"/>
              </w:rPr>
              <w:t>分，最高得</w:t>
            </w:r>
            <w:r>
              <w:rPr>
                <w:rFonts w:hint="eastAsia" w:hAnsi="宋体" w:cs="宋体"/>
                <w:color w:val="auto"/>
                <w:szCs w:val="24"/>
                <w:lang w:val="en-US" w:eastAsia="zh-CN"/>
              </w:rPr>
              <w:t>5</w:t>
            </w:r>
            <w:r>
              <w:rPr>
                <w:rFonts w:hint="eastAsia" w:ascii="宋体" w:hAnsi="宋体" w:eastAsia="宋体" w:cs="宋体"/>
                <w:color w:val="auto"/>
                <w:szCs w:val="24"/>
              </w:rPr>
              <w:t>分；</w:t>
            </w:r>
          </w:p>
          <w:p>
            <w:pPr>
              <w:spacing w:line="288" w:lineRule="auto"/>
              <w:rPr>
                <w:rFonts w:hAnsi="宋体" w:cs="宋体"/>
                <w:color w:val="auto"/>
                <w:szCs w:val="24"/>
                <w:highlight w:val="none"/>
              </w:rPr>
            </w:pPr>
            <w:r>
              <w:rPr>
                <w:rFonts w:hint="eastAsia" w:ascii="宋体" w:hAnsi="宋体" w:eastAsia="宋体" w:cs="宋体"/>
                <w:color w:val="auto"/>
                <w:szCs w:val="24"/>
              </w:rPr>
              <w:t>业绩证明（以合同</w:t>
            </w:r>
            <w:r>
              <w:rPr>
                <w:rFonts w:hint="eastAsia" w:ascii="宋体" w:hAnsi="宋体" w:eastAsia="宋体" w:cs="宋体"/>
                <w:color w:val="auto"/>
                <w:szCs w:val="24"/>
                <w:lang w:val="en-US" w:eastAsia="zh-CN"/>
              </w:rPr>
              <w:t>或中标通知书</w:t>
            </w:r>
            <w:r>
              <w:rPr>
                <w:rFonts w:hint="eastAsia" w:ascii="宋体" w:hAnsi="宋体" w:eastAsia="宋体" w:cs="宋体"/>
                <w:color w:val="auto"/>
                <w:szCs w:val="24"/>
              </w:rPr>
              <w:t>为准，须在投标文件中附合同</w:t>
            </w:r>
            <w:r>
              <w:rPr>
                <w:rFonts w:hint="eastAsia" w:ascii="宋体" w:hAnsi="宋体" w:eastAsia="宋体" w:cs="宋体"/>
                <w:color w:val="auto"/>
                <w:szCs w:val="24"/>
                <w:lang w:eastAsia="zh-CN"/>
              </w:rPr>
              <w:t>或中标通知书</w:t>
            </w:r>
            <w:r>
              <w:rPr>
                <w:rFonts w:hint="eastAsia" w:ascii="宋体" w:hAnsi="宋体" w:eastAsia="宋体" w:cs="宋体"/>
                <w:color w:val="auto"/>
                <w:szCs w:val="24"/>
              </w:rPr>
              <w:t>的扫描件或复印件加盖单位公章</w:t>
            </w:r>
            <w:r>
              <w:rPr>
                <w:rFonts w:hint="eastAsia" w:ascii="宋体" w:hAnsi="宋体" w:eastAsia="宋体" w:cs="宋体"/>
                <w:color w:val="auto"/>
                <w:szCs w:val="24"/>
                <w:lang w:eastAsia="zh-CN"/>
              </w:rPr>
              <w:t>，</w:t>
            </w:r>
            <w:r>
              <w:rPr>
                <w:rFonts w:hint="eastAsia" w:ascii="宋体" w:hAnsi="宋体" w:eastAsia="宋体" w:cs="宋体"/>
                <w:color w:val="auto"/>
                <w:szCs w:val="24"/>
              </w:rPr>
              <w:t>弄虚作假者，取消其中标资格。</w:t>
            </w:r>
          </w:p>
        </w:tc>
        <w:tc>
          <w:tcPr>
            <w:tcW w:w="788" w:type="dxa"/>
            <w:vAlign w:val="center"/>
          </w:tcPr>
          <w:p>
            <w:pPr>
              <w:spacing w:line="560" w:lineRule="exact"/>
              <w:ind w:left="-108" w:leftChars="-45"/>
              <w:jc w:val="center"/>
              <w:rPr>
                <w:rFonts w:hAnsi="宋体" w:cs="宋体"/>
                <w:color w:val="auto"/>
                <w:szCs w:val="24"/>
                <w:highlight w:val="none"/>
              </w:rPr>
            </w:pPr>
            <w:r>
              <w:rPr>
                <w:rFonts w:hint="eastAsia" w:hAnsi="宋体" w:cs="宋体"/>
                <w:color w:val="auto"/>
                <w:szCs w:val="24"/>
                <w:highlight w:val="none"/>
                <w:lang w:val="en-US" w:eastAsia="zh-CN"/>
              </w:rPr>
              <w:t>5</w:t>
            </w:r>
            <w:r>
              <w:rPr>
                <w:rFonts w:hint="eastAsia" w:hAnsi="宋体" w:cs="宋体"/>
                <w:color w:val="auto"/>
                <w:szCs w:val="24"/>
                <w:highlight w:val="none"/>
              </w:rPr>
              <w:t>分</w:t>
            </w:r>
          </w:p>
        </w:tc>
        <w:tc>
          <w:tcPr>
            <w:tcW w:w="755" w:type="dxa"/>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spacing w:line="560" w:lineRule="exact"/>
              <w:rPr>
                <w:rFonts w:hAnsi="宋体" w:cs="宋体"/>
                <w:b/>
                <w:color w:val="auto"/>
                <w:szCs w:val="24"/>
                <w:highlight w:val="none"/>
              </w:rPr>
            </w:pPr>
          </w:p>
        </w:tc>
        <w:tc>
          <w:tcPr>
            <w:tcW w:w="652" w:type="dxa"/>
            <w:vMerge w:val="continue"/>
            <w:vAlign w:val="center"/>
          </w:tcPr>
          <w:p>
            <w:pPr>
              <w:jc w:val="center"/>
              <w:rPr>
                <w:rFonts w:hAnsi="宋体" w:cs="宋体"/>
                <w:b/>
                <w:color w:val="auto"/>
                <w:szCs w:val="24"/>
                <w:highlight w:val="none"/>
              </w:rPr>
            </w:pPr>
          </w:p>
        </w:tc>
        <w:tc>
          <w:tcPr>
            <w:tcW w:w="698" w:type="dxa"/>
            <w:vAlign w:val="center"/>
          </w:tcPr>
          <w:p>
            <w:pPr>
              <w:jc w:val="center"/>
              <w:rPr>
                <w:rFonts w:hAnsi="宋体" w:cs="宋体"/>
                <w:color w:val="auto"/>
                <w:szCs w:val="24"/>
                <w:highlight w:val="none"/>
              </w:rPr>
            </w:pPr>
            <w:r>
              <w:rPr>
                <w:rFonts w:hint="eastAsia"/>
                <w:color w:val="auto"/>
                <w:highlight w:val="none"/>
              </w:rPr>
              <w:t>服务承诺</w:t>
            </w:r>
          </w:p>
        </w:tc>
        <w:tc>
          <w:tcPr>
            <w:tcW w:w="5669" w:type="dxa"/>
            <w:vAlign w:val="center"/>
          </w:tcPr>
          <w:p>
            <w:pPr>
              <w:spacing w:line="288" w:lineRule="auto"/>
              <w:rPr>
                <w:rFonts w:hint="eastAsia" w:hAnsi="宋体" w:cs="宋体"/>
                <w:color w:val="auto"/>
                <w:szCs w:val="24"/>
                <w:highlight w:val="none"/>
              </w:rPr>
            </w:pPr>
            <w:r>
              <w:rPr>
                <w:rFonts w:hint="eastAsia" w:hAnsi="宋体" w:cs="宋体"/>
                <w:color w:val="auto"/>
                <w:szCs w:val="24"/>
                <w:highlight w:val="none"/>
              </w:rPr>
              <w:t>根据各供应商的售后服务承诺、维护保修计划进行评分，包括具体的售后服务内容、响应方式、响应时间、故障服务管理、问题管理、设备返修管理、服务报告管理等方面。</w:t>
            </w:r>
          </w:p>
          <w:p>
            <w:pPr>
              <w:spacing w:line="288" w:lineRule="auto"/>
              <w:rPr>
                <w:rFonts w:hint="eastAsia" w:hAnsi="宋体" w:cs="宋体"/>
                <w:color w:val="auto"/>
                <w:szCs w:val="24"/>
                <w:highlight w:val="none"/>
              </w:rPr>
            </w:pPr>
            <w:r>
              <w:rPr>
                <w:rFonts w:hint="eastAsia" w:hAnsi="宋体" w:cs="宋体"/>
                <w:color w:val="auto"/>
                <w:szCs w:val="24"/>
                <w:highlight w:val="none"/>
              </w:rPr>
              <w:t>售后服务措施和承诺详细可行，得</w:t>
            </w:r>
            <w:r>
              <w:rPr>
                <w:rFonts w:hint="eastAsia" w:hAnsi="宋体" w:cs="宋体"/>
                <w:color w:val="auto"/>
                <w:szCs w:val="24"/>
                <w:highlight w:val="none"/>
                <w:lang w:val="en-US" w:eastAsia="zh-CN"/>
              </w:rPr>
              <w:t>7</w:t>
            </w:r>
            <w:r>
              <w:rPr>
                <w:rFonts w:hint="eastAsia" w:hAnsi="宋体" w:cs="宋体"/>
                <w:color w:val="auto"/>
                <w:szCs w:val="24"/>
                <w:highlight w:val="none"/>
              </w:rPr>
              <w:t>-</w:t>
            </w:r>
            <w:r>
              <w:rPr>
                <w:rFonts w:hint="eastAsia" w:hAnsi="宋体" w:cs="宋体"/>
                <w:color w:val="auto"/>
                <w:szCs w:val="24"/>
                <w:highlight w:val="none"/>
                <w:lang w:val="en-US" w:eastAsia="zh-CN"/>
              </w:rPr>
              <w:t>10</w:t>
            </w:r>
            <w:r>
              <w:rPr>
                <w:rFonts w:hint="eastAsia" w:hAnsi="宋体" w:cs="宋体"/>
                <w:color w:val="auto"/>
                <w:szCs w:val="24"/>
                <w:highlight w:val="none"/>
              </w:rPr>
              <w:t>分；</w:t>
            </w:r>
          </w:p>
          <w:p>
            <w:pPr>
              <w:spacing w:line="288" w:lineRule="auto"/>
              <w:rPr>
                <w:rFonts w:hint="eastAsia" w:hAnsi="宋体" w:cs="宋体"/>
                <w:color w:val="auto"/>
                <w:szCs w:val="24"/>
                <w:highlight w:val="none"/>
              </w:rPr>
            </w:pPr>
            <w:r>
              <w:rPr>
                <w:rFonts w:hint="eastAsia" w:hAnsi="宋体" w:cs="宋体"/>
                <w:color w:val="auto"/>
                <w:szCs w:val="24"/>
                <w:highlight w:val="none"/>
              </w:rPr>
              <w:t>售后服务措施和承诺基本合理，得</w:t>
            </w:r>
            <w:r>
              <w:rPr>
                <w:rFonts w:hint="eastAsia" w:hAnsi="宋体" w:cs="宋体"/>
                <w:color w:val="auto"/>
                <w:szCs w:val="24"/>
                <w:highlight w:val="none"/>
                <w:lang w:val="en-US" w:eastAsia="zh-CN"/>
              </w:rPr>
              <w:t>4</w:t>
            </w:r>
            <w:r>
              <w:rPr>
                <w:rFonts w:hint="eastAsia" w:hAnsi="宋体" w:cs="宋体"/>
                <w:color w:val="auto"/>
                <w:szCs w:val="24"/>
                <w:highlight w:val="none"/>
              </w:rPr>
              <w:t>-</w:t>
            </w:r>
            <w:r>
              <w:rPr>
                <w:rFonts w:hint="eastAsia" w:hAnsi="宋体" w:cs="宋体"/>
                <w:color w:val="auto"/>
                <w:szCs w:val="24"/>
                <w:highlight w:val="none"/>
                <w:lang w:val="en-US" w:eastAsia="zh-CN"/>
              </w:rPr>
              <w:t>7</w:t>
            </w:r>
            <w:r>
              <w:rPr>
                <w:rFonts w:hint="eastAsia" w:hAnsi="宋体" w:cs="宋体"/>
                <w:color w:val="auto"/>
                <w:szCs w:val="24"/>
                <w:highlight w:val="none"/>
              </w:rPr>
              <w:t>分；</w:t>
            </w:r>
          </w:p>
          <w:p>
            <w:pPr>
              <w:spacing w:line="288" w:lineRule="auto"/>
              <w:rPr>
                <w:rFonts w:hAnsi="宋体" w:cs="宋体"/>
                <w:color w:val="auto"/>
                <w:szCs w:val="24"/>
                <w:highlight w:val="none"/>
              </w:rPr>
            </w:pPr>
            <w:r>
              <w:rPr>
                <w:rFonts w:hint="eastAsia" w:hAnsi="宋体" w:cs="宋体"/>
                <w:color w:val="auto"/>
                <w:szCs w:val="24"/>
                <w:highlight w:val="none"/>
              </w:rPr>
              <w:t>售后服务措施和承诺较差或未提供，得0-</w:t>
            </w:r>
            <w:r>
              <w:rPr>
                <w:rFonts w:hint="eastAsia" w:hAnsi="宋体" w:cs="宋体"/>
                <w:color w:val="auto"/>
                <w:szCs w:val="24"/>
                <w:highlight w:val="none"/>
                <w:lang w:val="en-US" w:eastAsia="zh-CN"/>
              </w:rPr>
              <w:t>4</w:t>
            </w:r>
            <w:r>
              <w:rPr>
                <w:rFonts w:hint="eastAsia" w:hAnsi="宋体" w:cs="宋体"/>
                <w:color w:val="auto"/>
                <w:szCs w:val="24"/>
                <w:highlight w:val="none"/>
              </w:rPr>
              <w:t>分。</w:t>
            </w:r>
          </w:p>
        </w:tc>
        <w:tc>
          <w:tcPr>
            <w:tcW w:w="788" w:type="dxa"/>
            <w:vAlign w:val="center"/>
          </w:tcPr>
          <w:p>
            <w:pPr>
              <w:spacing w:line="560" w:lineRule="exact"/>
              <w:ind w:left="-108" w:leftChars="-45"/>
              <w:jc w:val="center"/>
              <w:rPr>
                <w:rFonts w:hAnsi="宋体" w:cs="宋体"/>
                <w:color w:val="auto"/>
                <w:szCs w:val="24"/>
                <w:highlight w:val="none"/>
              </w:rPr>
            </w:pPr>
            <w:r>
              <w:rPr>
                <w:rFonts w:hint="eastAsia" w:hAnsi="宋体" w:cs="宋体"/>
                <w:color w:val="auto"/>
                <w:szCs w:val="24"/>
                <w:highlight w:val="none"/>
                <w:lang w:val="en-US" w:eastAsia="zh-CN"/>
              </w:rPr>
              <w:t>10</w:t>
            </w:r>
            <w:r>
              <w:rPr>
                <w:rFonts w:hint="eastAsia" w:hAnsi="宋体" w:cs="宋体"/>
                <w:color w:val="auto"/>
                <w:szCs w:val="24"/>
                <w:highlight w:val="none"/>
              </w:rPr>
              <w:t>分</w:t>
            </w:r>
          </w:p>
        </w:tc>
        <w:tc>
          <w:tcPr>
            <w:tcW w:w="755" w:type="dxa"/>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Merge w:val="continue"/>
            <w:vAlign w:val="center"/>
          </w:tcPr>
          <w:p>
            <w:pPr>
              <w:spacing w:line="560" w:lineRule="exact"/>
              <w:rPr>
                <w:rFonts w:hAnsi="宋体" w:cs="宋体"/>
                <w:b/>
                <w:color w:val="auto"/>
                <w:szCs w:val="24"/>
                <w:highlight w:val="none"/>
              </w:rPr>
            </w:pPr>
          </w:p>
        </w:tc>
        <w:tc>
          <w:tcPr>
            <w:tcW w:w="652" w:type="dxa"/>
            <w:vMerge w:val="continue"/>
            <w:vAlign w:val="center"/>
          </w:tcPr>
          <w:p>
            <w:pPr>
              <w:jc w:val="center"/>
              <w:rPr>
                <w:rFonts w:hAnsi="宋体" w:cs="宋体"/>
                <w:b/>
                <w:color w:val="auto"/>
                <w:szCs w:val="24"/>
                <w:highlight w:val="none"/>
              </w:rPr>
            </w:pPr>
          </w:p>
        </w:tc>
        <w:tc>
          <w:tcPr>
            <w:tcW w:w="698" w:type="dxa"/>
            <w:vAlign w:val="center"/>
          </w:tcPr>
          <w:p>
            <w:pPr>
              <w:jc w:val="center"/>
              <w:rPr>
                <w:rFonts w:hAnsi="宋体" w:cs="宋体"/>
                <w:color w:val="auto"/>
                <w:szCs w:val="24"/>
                <w:highlight w:val="none"/>
              </w:rPr>
            </w:pPr>
            <w:r>
              <w:rPr>
                <w:rFonts w:hint="eastAsia" w:hAnsi="宋体" w:cs="宋体"/>
                <w:color w:val="auto"/>
                <w:szCs w:val="24"/>
                <w:highlight w:val="none"/>
              </w:rPr>
              <w:t>培训</w:t>
            </w:r>
          </w:p>
        </w:tc>
        <w:tc>
          <w:tcPr>
            <w:tcW w:w="5669" w:type="dxa"/>
            <w:vAlign w:val="center"/>
          </w:tcPr>
          <w:p>
            <w:pPr>
              <w:spacing w:line="288" w:lineRule="auto"/>
              <w:rPr>
                <w:rFonts w:hAnsi="宋体" w:cs="宋体"/>
                <w:color w:val="auto"/>
                <w:kern w:val="2"/>
                <w:szCs w:val="24"/>
                <w:highlight w:val="none"/>
              </w:rPr>
            </w:pPr>
            <w:r>
              <w:rPr>
                <w:rFonts w:hint="eastAsia" w:hAnsi="宋体" w:cs="宋体"/>
                <w:color w:val="auto"/>
                <w:kern w:val="2"/>
                <w:szCs w:val="24"/>
                <w:highlight w:val="none"/>
              </w:rPr>
              <w:t>供应商提供的培训方案全面、完整、可行、有针对性。</w:t>
            </w:r>
          </w:p>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培训方案完备、合理、切实可行，得</w:t>
            </w:r>
            <w:r>
              <w:rPr>
                <w:rFonts w:hint="eastAsia" w:hAnsi="宋体" w:cs="宋体"/>
                <w:color w:val="auto"/>
                <w:szCs w:val="24"/>
                <w:highlight w:val="none"/>
                <w:lang w:val="en-US" w:eastAsia="zh-CN"/>
              </w:rPr>
              <w:t>3</w:t>
            </w:r>
            <w:r>
              <w:rPr>
                <w:rFonts w:hint="eastAsia" w:hAnsi="宋体" w:cs="宋体"/>
                <w:color w:val="auto"/>
                <w:szCs w:val="24"/>
                <w:highlight w:val="none"/>
              </w:rPr>
              <w:t>-</w:t>
            </w:r>
            <w:r>
              <w:rPr>
                <w:rFonts w:hint="eastAsia" w:hAnsi="宋体" w:cs="宋体"/>
                <w:color w:val="auto"/>
                <w:szCs w:val="24"/>
                <w:highlight w:val="none"/>
                <w:lang w:val="en-US" w:eastAsia="zh-CN"/>
              </w:rPr>
              <w:t>5</w:t>
            </w:r>
            <w:r>
              <w:rPr>
                <w:rFonts w:hint="eastAsia" w:hAnsi="宋体" w:cs="宋体"/>
                <w:color w:val="auto"/>
                <w:szCs w:val="24"/>
                <w:highlight w:val="none"/>
              </w:rPr>
              <w:t>分；</w:t>
            </w:r>
          </w:p>
          <w:p>
            <w:pPr>
              <w:spacing w:line="288" w:lineRule="auto"/>
              <w:ind w:left="-108" w:leftChars="-45" w:firstLine="120" w:firstLineChars="50"/>
              <w:rPr>
                <w:rFonts w:hAnsi="宋体" w:cs="宋体"/>
                <w:color w:val="auto"/>
                <w:szCs w:val="24"/>
                <w:highlight w:val="none"/>
              </w:rPr>
            </w:pPr>
            <w:r>
              <w:rPr>
                <w:rFonts w:hint="eastAsia" w:hAnsi="宋体" w:cs="宋体"/>
                <w:color w:val="auto"/>
                <w:szCs w:val="24"/>
                <w:highlight w:val="none"/>
              </w:rPr>
              <w:t>培训方案较完备、合理、基本可行，得</w:t>
            </w:r>
            <w:r>
              <w:rPr>
                <w:rFonts w:hint="eastAsia" w:hAnsi="宋体" w:cs="宋体"/>
                <w:color w:val="auto"/>
                <w:szCs w:val="24"/>
                <w:highlight w:val="none"/>
                <w:lang w:val="en-US" w:eastAsia="zh-CN"/>
              </w:rPr>
              <w:t>0</w:t>
            </w:r>
            <w:r>
              <w:rPr>
                <w:rFonts w:hint="eastAsia" w:hAnsi="宋体" w:cs="宋体"/>
                <w:color w:val="auto"/>
                <w:szCs w:val="24"/>
                <w:highlight w:val="none"/>
              </w:rPr>
              <w:t>-</w:t>
            </w:r>
            <w:r>
              <w:rPr>
                <w:rFonts w:hint="eastAsia" w:hAnsi="宋体" w:cs="宋体"/>
                <w:color w:val="auto"/>
                <w:szCs w:val="24"/>
                <w:highlight w:val="none"/>
                <w:lang w:val="en-US" w:eastAsia="zh-CN"/>
              </w:rPr>
              <w:t>3</w:t>
            </w:r>
            <w:r>
              <w:rPr>
                <w:rFonts w:hint="eastAsia" w:hAnsi="宋体" w:cs="宋体"/>
                <w:color w:val="auto"/>
                <w:szCs w:val="24"/>
                <w:highlight w:val="none"/>
              </w:rPr>
              <w:t>分；</w:t>
            </w:r>
          </w:p>
          <w:p>
            <w:pPr>
              <w:spacing w:line="288" w:lineRule="auto"/>
              <w:rPr>
                <w:color w:val="auto"/>
                <w:highlight w:val="none"/>
              </w:rPr>
            </w:pPr>
            <w:r>
              <w:rPr>
                <w:rFonts w:hAnsi="宋体" w:cs="宋体"/>
                <w:color w:val="auto"/>
                <w:szCs w:val="24"/>
                <w:highlight w:val="none"/>
              </w:rPr>
              <w:t>未提供不计分。</w:t>
            </w:r>
          </w:p>
        </w:tc>
        <w:tc>
          <w:tcPr>
            <w:tcW w:w="788" w:type="dxa"/>
            <w:vAlign w:val="center"/>
          </w:tcPr>
          <w:p>
            <w:pPr>
              <w:spacing w:line="560" w:lineRule="exact"/>
              <w:ind w:left="-108" w:leftChars="-45"/>
              <w:jc w:val="center"/>
              <w:rPr>
                <w:rFonts w:hAnsi="宋体" w:cs="宋体"/>
                <w:color w:val="auto"/>
                <w:szCs w:val="24"/>
                <w:highlight w:val="none"/>
              </w:rPr>
            </w:pPr>
            <w:r>
              <w:rPr>
                <w:rFonts w:hint="eastAsia" w:hAnsi="宋体" w:cs="宋体"/>
                <w:color w:val="auto"/>
                <w:szCs w:val="24"/>
                <w:highlight w:val="none"/>
                <w:lang w:val="en-US" w:eastAsia="zh-CN"/>
              </w:rPr>
              <w:t>5</w:t>
            </w:r>
            <w:r>
              <w:rPr>
                <w:rFonts w:hint="eastAsia" w:hAnsi="宋体" w:cs="宋体"/>
                <w:color w:val="auto"/>
                <w:szCs w:val="24"/>
                <w:highlight w:val="none"/>
              </w:rPr>
              <w:t>分</w:t>
            </w:r>
          </w:p>
        </w:tc>
        <w:tc>
          <w:tcPr>
            <w:tcW w:w="755" w:type="dxa"/>
            <w:vAlign w:val="center"/>
          </w:tcPr>
          <w:p>
            <w:pPr>
              <w:spacing w:line="560" w:lineRule="exact"/>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5" w:type="dxa"/>
            <w:vAlign w:val="center"/>
          </w:tcPr>
          <w:p>
            <w:pPr>
              <w:spacing w:line="560" w:lineRule="exact"/>
              <w:jc w:val="center"/>
              <w:rPr>
                <w:rFonts w:hint="eastAsia" w:ascii="宋体" w:hAnsi="宋体" w:eastAsia="宋体" w:cs="宋体"/>
                <w:b/>
                <w:bCs/>
                <w:color w:val="auto"/>
                <w:szCs w:val="24"/>
                <w:highlight w:val="none"/>
                <w:lang w:val="en-US" w:eastAsia="zh-CN"/>
              </w:rPr>
            </w:pPr>
            <w:r>
              <w:rPr>
                <w:rFonts w:hint="eastAsia" w:ascii="宋体" w:hAnsi="宋体" w:eastAsia="宋体" w:cs="宋体"/>
                <w:b/>
                <w:bCs/>
                <w:color w:val="auto"/>
                <w:szCs w:val="24"/>
                <w:highlight w:val="none"/>
                <w:lang w:val="en-US" w:eastAsia="zh-CN"/>
              </w:rPr>
              <w:t>节能环保产品</w:t>
            </w:r>
          </w:p>
        </w:tc>
        <w:tc>
          <w:tcPr>
            <w:tcW w:w="652" w:type="dxa"/>
            <w:vAlign w:val="center"/>
          </w:tcPr>
          <w:p>
            <w:pPr>
              <w:spacing w:line="560" w:lineRule="exact"/>
              <w:jc w:val="center"/>
              <w:rPr>
                <w:rFonts w:hint="eastAsia" w:ascii="宋体" w:hAnsi="宋体" w:eastAsia="宋体" w:cs="宋体"/>
                <w:b/>
                <w:bCs/>
                <w:color w:val="auto"/>
                <w:szCs w:val="24"/>
                <w:highlight w:val="none"/>
                <w:lang w:val="en-US" w:eastAsia="zh-CN"/>
              </w:rPr>
            </w:pPr>
            <w:r>
              <w:rPr>
                <w:rFonts w:hint="eastAsia" w:ascii="宋体" w:hAnsi="宋体" w:eastAsia="宋体" w:cs="宋体"/>
                <w:b/>
                <w:bCs/>
                <w:color w:val="auto"/>
                <w:szCs w:val="24"/>
                <w:highlight w:val="none"/>
                <w:lang w:val="en-US" w:eastAsia="zh-CN"/>
              </w:rPr>
              <w:t>2分</w:t>
            </w:r>
          </w:p>
        </w:tc>
        <w:tc>
          <w:tcPr>
            <w:tcW w:w="698" w:type="dxa"/>
            <w:vAlign w:val="center"/>
          </w:tcPr>
          <w:p>
            <w:pPr>
              <w:spacing w:line="288" w:lineRule="auto"/>
              <w:jc w:val="center"/>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节能环保产品</w:t>
            </w:r>
          </w:p>
        </w:tc>
        <w:tc>
          <w:tcPr>
            <w:tcW w:w="5669" w:type="dxa"/>
            <w:vAlign w:val="top"/>
          </w:tcPr>
          <w:p>
            <w:pPr>
              <w:spacing w:line="288" w:lineRule="auto"/>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投标产品为节能、环境标志产品，每提供一项加1分，满分2分。（须提供证明符合招标文件要求的证明材料。）</w:t>
            </w:r>
          </w:p>
        </w:tc>
        <w:tc>
          <w:tcPr>
            <w:tcW w:w="788" w:type="dxa"/>
            <w:vAlign w:val="center"/>
          </w:tcPr>
          <w:p>
            <w:pPr>
              <w:spacing w:line="288" w:lineRule="auto"/>
              <w:jc w:val="center"/>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2分</w:t>
            </w:r>
          </w:p>
          <w:p>
            <w:pPr>
              <w:spacing w:line="288" w:lineRule="auto"/>
              <w:jc w:val="center"/>
              <w:rPr>
                <w:rFonts w:hint="eastAsia" w:ascii="宋体" w:hAnsi="宋体" w:eastAsia="宋体" w:cs="宋体"/>
                <w:color w:val="auto"/>
                <w:szCs w:val="24"/>
                <w:highlight w:val="none"/>
                <w:lang w:val="en-US" w:eastAsia="zh-CN"/>
              </w:rPr>
            </w:pPr>
          </w:p>
        </w:tc>
        <w:tc>
          <w:tcPr>
            <w:tcW w:w="755" w:type="dxa"/>
            <w:vAlign w:val="center"/>
          </w:tcPr>
          <w:p>
            <w:pPr>
              <w:spacing w:line="288" w:lineRule="auto"/>
              <w:jc w:val="center"/>
              <w:rPr>
                <w:rFonts w:hint="eastAsia" w:ascii="宋体" w:hAnsi="宋体" w:eastAsia="宋体" w:cs="宋体"/>
                <w:color w:val="auto"/>
                <w:szCs w:val="24"/>
                <w:highlight w:val="none"/>
              </w:rPr>
            </w:pPr>
          </w:p>
        </w:tc>
      </w:tr>
      <w:bookmarkEnd w:id="428"/>
    </w:tbl>
    <w:p>
      <w:pPr>
        <w:spacing w:line="288" w:lineRule="auto"/>
        <w:jc w:val="center"/>
        <w:rPr>
          <w:color w:val="auto"/>
          <w:highlight w:val="none"/>
        </w:rPr>
      </w:pPr>
      <w:r>
        <w:rPr>
          <w:rFonts w:hint="eastAsia" w:ascii="宋体" w:hAnsi="宋体" w:eastAsia="宋体" w:cs="宋体"/>
          <w:color w:val="auto"/>
          <w:szCs w:val="24"/>
          <w:highlight w:val="none"/>
        </w:rPr>
        <w:t>备注</w:t>
      </w:r>
    </w:p>
    <w:p>
      <w:pPr>
        <w:spacing w:line="360" w:lineRule="auto"/>
        <w:rPr>
          <w:color w:val="auto"/>
          <w:szCs w:val="24"/>
          <w:highlight w:val="none"/>
        </w:rPr>
      </w:pPr>
      <w:r>
        <w:rPr>
          <w:rFonts w:hint="eastAsia"/>
          <w:color w:val="auto"/>
          <w:szCs w:val="24"/>
          <w:highlight w:val="none"/>
        </w:rPr>
        <w:t>1、各评委应按照本评标方法独立打分。</w:t>
      </w:r>
    </w:p>
    <w:p>
      <w:pPr>
        <w:spacing w:line="360" w:lineRule="auto"/>
        <w:rPr>
          <w:color w:val="auto"/>
          <w:szCs w:val="24"/>
          <w:highlight w:val="none"/>
        </w:rPr>
      </w:pPr>
      <w:r>
        <w:rPr>
          <w:color w:val="auto"/>
          <w:szCs w:val="24"/>
          <w:highlight w:val="none"/>
        </w:rPr>
        <w:t>2</w:t>
      </w:r>
      <w:r>
        <w:rPr>
          <w:rFonts w:hint="eastAsia"/>
          <w:color w:val="auto"/>
          <w:szCs w:val="24"/>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pPr>
        <w:spacing w:line="360" w:lineRule="auto"/>
        <w:rPr>
          <w:color w:val="auto"/>
          <w:szCs w:val="24"/>
          <w:highlight w:val="none"/>
        </w:rPr>
      </w:pPr>
      <w:r>
        <w:rPr>
          <w:rFonts w:hint="eastAsia"/>
          <w:color w:val="auto"/>
          <w:szCs w:val="24"/>
          <w:highlight w:val="none"/>
        </w:rPr>
        <w:t>3、</w:t>
      </w:r>
      <w:r>
        <w:rPr>
          <w:rFonts w:hint="eastAsia"/>
          <w:color w:val="auto"/>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pPr>
        <w:spacing w:line="360" w:lineRule="auto"/>
        <w:rPr>
          <w:color w:val="auto"/>
          <w:highlight w:val="none"/>
        </w:rPr>
      </w:pPr>
      <w:r>
        <w:rPr>
          <w:rFonts w:hint="eastAsia"/>
          <w:color w:val="auto"/>
          <w:highlight w:val="none"/>
        </w:rPr>
        <w:t>4、各种计算采用插入法，数字均保留两位小数，第三位“四舍五入”。</w:t>
      </w:r>
    </w:p>
    <w:p>
      <w:pPr>
        <w:spacing w:line="360" w:lineRule="auto"/>
        <w:rPr>
          <w:color w:val="auto"/>
          <w:highlight w:val="none"/>
        </w:rPr>
      </w:pPr>
      <w:r>
        <w:rPr>
          <w:rFonts w:hint="eastAsia"/>
          <w:color w:val="auto"/>
          <w:highlight w:val="none"/>
        </w:rPr>
        <w:t xml:space="preserve">5、评标过程中，若出现特殊情况时，由评标委员会决定暂停评标，并提出具体处理意见。 </w:t>
      </w:r>
    </w:p>
    <w:p>
      <w:pPr>
        <w:spacing w:line="360" w:lineRule="auto"/>
        <w:rPr>
          <w:rFonts w:hAnsi="宋体" w:cs="宋体"/>
          <w:color w:val="auto"/>
          <w:szCs w:val="24"/>
          <w:highlight w:val="none"/>
        </w:rPr>
      </w:pPr>
      <w:r>
        <w:rPr>
          <w:rFonts w:hint="eastAsia"/>
          <w:color w:val="auto"/>
          <w:highlight w:val="none"/>
        </w:rPr>
        <w:t>6、投标人报价明显偏低，评标委员会认定具有恶性竞争嫌疑，要求其作出解释，其解释被评委会接受，可确定其报价</w:t>
      </w:r>
      <w:r>
        <w:rPr>
          <w:rFonts w:hint="eastAsia" w:hAnsi="宋体" w:cs="宋体"/>
          <w:color w:val="auto"/>
          <w:szCs w:val="24"/>
          <w:highlight w:val="none"/>
        </w:rPr>
        <w:t>合理；如不被评委会接受，评委会将不予认可，将作为无效投标书处理。</w:t>
      </w:r>
    </w:p>
    <w:p>
      <w:pPr>
        <w:pStyle w:val="40"/>
        <w:spacing w:before="0" w:beforeAutospacing="0" w:after="0" w:afterAutospacing="0" w:line="360" w:lineRule="auto"/>
        <w:rPr>
          <w:color w:val="auto"/>
          <w:highlight w:val="none"/>
        </w:rPr>
      </w:pPr>
      <w:r>
        <w:rPr>
          <w:rFonts w:hint="eastAsia"/>
          <w:color w:val="auto"/>
          <w:highlight w:val="none"/>
        </w:rPr>
        <w:t>7、中标单位在中标公示期内，招标人有权要求中标单位按照标书演示部分进行实际环境测试。不能通过技术测试或测试结果与投标文件不符的视为恶意虚假应标，并报相关的监督管理部门进行处理，导致整批货物被拒收和索赔，由此引发的所有损失由中标人负责。</w:t>
      </w:r>
    </w:p>
    <w:p>
      <w:pPr>
        <w:pStyle w:val="40"/>
        <w:spacing w:before="0" w:beforeAutospacing="0" w:after="0" w:afterAutospacing="0" w:line="360" w:lineRule="auto"/>
        <w:rPr>
          <w:rFonts w:cs="宋体"/>
          <w:b/>
          <w:color w:val="auto"/>
          <w:highlight w:val="none"/>
        </w:rPr>
      </w:pPr>
      <w:r>
        <w:rPr>
          <w:rFonts w:hint="eastAsia" w:cs="宋体"/>
          <w:b/>
          <w:color w:val="auto"/>
          <w:highlight w:val="none"/>
        </w:rPr>
        <w:t>四、特殊情况的处理</w:t>
      </w:r>
    </w:p>
    <w:p>
      <w:pPr>
        <w:pStyle w:val="40"/>
        <w:numPr>
          <w:ilvl w:val="0"/>
          <w:numId w:val="19"/>
        </w:numPr>
        <w:spacing w:before="0" w:beforeAutospacing="0" w:after="0" w:afterAutospacing="0" w:line="360" w:lineRule="auto"/>
        <w:ind w:firstLine="482" w:firstLineChars="200"/>
        <w:rPr>
          <w:rFonts w:cs="宋体"/>
          <w:b/>
          <w:color w:val="auto"/>
          <w:kern w:val="2"/>
          <w:highlight w:val="none"/>
        </w:rPr>
      </w:pPr>
      <w:r>
        <w:rPr>
          <w:rFonts w:hint="eastAsia" w:cs="宋体"/>
          <w:b/>
          <w:color w:val="auto"/>
          <w:kern w:val="2"/>
          <w:highlight w:val="none"/>
        </w:rPr>
        <w:t>单一产品采购项目中，提供相同品牌的产品的不同供应商参加同一合同项下投标的，按以下方法处理：</w:t>
      </w:r>
    </w:p>
    <w:p>
      <w:pPr>
        <w:pStyle w:val="40"/>
        <w:spacing w:before="0" w:beforeAutospacing="0" w:after="0" w:afterAutospacing="0" w:line="360" w:lineRule="auto"/>
        <w:ind w:firstLine="482" w:firstLineChars="200"/>
        <w:rPr>
          <w:rFonts w:cs="宋体"/>
          <w:b/>
          <w:color w:val="auto"/>
          <w:kern w:val="2"/>
          <w:highlight w:val="none"/>
        </w:rPr>
      </w:pPr>
      <w:r>
        <w:rPr>
          <w:rFonts w:hint="eastAsia" w:cs="宋体"/>
          <w:b/>
          <w:color w:val="auto"/>
          <w:kern w:val="2"/>
          <w:highlight w:val="none"/>
        </w:rPr>
        <w:t>1.1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pPr>
        <w:pStyle w:val="40"/>
        <w:spacing w:before="0" w:beforeAutospacing="0" w:after="0" w:afterAutospacing="0" w:line="360" w:lineRule="auto"/>
        <w:ind w:firstLine="482" w:firstLineChars="200"/>
        <w:rPr>
          <w:rFonts w:cs="宋体"/>
          <w:b/>
          <w:color w:val="auto"/>
          <w:kern w:val="2"/>
          <w:highlight w:val="none"/>
        </w:rPr>
      </w:pPr>
      <w:r>
        <w:rPr>
          <w:rFonts w:hint="eastAsia" w:cs="宋体"/>
          <w:b/>
          <w:color w:val="auto"/>
          <w:kern w:val="2"/>
          <w:highlight w:val="none"/>
        </w:rPr>
        <w:t>1.2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widowControl/>
        <w:numPr>
          <w:ilvl w:val="0"/>
          <w:numId w:val="19"/>
        </w:numPr>
        <w:spacing w:line="360" w:lineRule="auto"/>
        <w:ind w:right="-226" w:rightChars="-94" w:firstLine="482" w:firstLineChars="200"/>
        <w:jc w:val="left"/>
        <w:rPr>
          <w:rFonts w:hAnsi="宋体" w:cs="宋体"/>
          <w:b/>
          <w:color w:val="auto"/>
          <w:kern w:val="2"/>
          <w:szCs w:val="24"/>
          <w:highlight w:val="none"/>
        </w:rPr>
      </w:pPr>
      <w:r>
        <w:rPr>
          <w:rFonts w:hint="eastAsia" w:hAnsi="宋体" w:cs="宋体"/>
          <w:b/>
          <w:color w:val="auto"/>
          <w:kern w:val="2"/>
          <w:szCs w:val="24"/>
          <w:highlight w:val="none"/>
        </w:rPr>
        <w:t>非单一产品采购项目中，提供相同品牌的核心产品的不同供应商参加同一合同项下投标的，按以下方法处理：</w:t>
      </w:r>
    </w:p>
    <w:p>
      <w:pPr>
        <w:pStyle w:val="40"/>
        <w:spacing w:before="0" w:beforeAutospacing="0" w:after="0" w:afterAutospacing="0" w:line="360" w:lineRule="auto"/>
        <w:ind w:firstLine="482" w:firstLineChars="200"/>
        <w:rPr>
          <w:rFonts w:cs="宋体"/>
          <w:b/>
          <w:color w:val="auto"/>
          <w:kern w:val="2"/>
          <w:highlight w:val="none"/>
        </w:rPr>
      </w:pPr>
      <w:r>
        <w:rPr>
          <w:rFonts w:hint="eastAsia" w:cs="宋体"/>
          <w:b/>
          <w:color w:val="auto"/>
          <w:kern w:val="2"/>
          <w:highlight w:val="none"/>
        </w:rPr>
        <w:t>2.1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pPr>
        <w:pStyle w:val="40"/>
        <w:spacing w:before="0" w:beforeAutospacing="0" w:after="0" w:afterAutospacing="0" w:line="360" w:lineRule="auto"/>
        <w:ind w:firstLine="482" w:firstLineChars="200"/>
        <w:rPr>
          <w:rFonts w:cs="宋体"/>
          <w:b/>
          <w:color w:val="auto"/>
          <w:kern w:val="2"/>
          <w:highlight w:val="none"/>
        </w:rPr>
      </w:pPr>
      <w:r>
        <w:rPr>
          <w:rFonts w:hint="eastAsia" w:cs="宋体"/>
          <w:b/>
          <w:color w:val="auto"/>
          <w:kern w:val="2"/>
          <w:highlight w:val="none"/>
        </w:rPr>
        <w:t>2.2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spacing w:line="360" w:lineRule="auto"/>
        <w:rPr>
          <w:rFonts w:hAnsi="宋体" w:cs="宋体"/>
          <w:b/>
          <w:color w:val="auto"/>
          <w:spacing w:val="4"/>
          <w:szCs w:val="24"/>
          <w:highlight w:val="none"/>
        </w:rPr>
      </w:pPr>
      <w:r>
        <w:rPr>
          <w:rFonts w:hint="eastAsia" w:hAnsi="宋体" w:cs="宋体"/>
          <w:b/>
          <w:color w:val="auto"/>
          <w:spacing w:val="4"/>
          <w:szCs w:val="24"/>
          <w:highlight w:val="none"/>
        </w:rPr>
        <w:t>五、定标：</w:t>
      </w:r>
    </w:p>
    <w:p>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1、评标结果由全体</w:t>
      </w:r>
      <w:r>
        <w:rPr>
          <w:rFonts w:hint="eastAsia" w:hAnsi="宋体" w:cs="宋体"/>
          <w:color w:val="auto"/>
          <w:szCs w:val="24"/>
          <w:highlight w:val="none"/>
        </w:rPr>
        <w:t>评标委员会成员</w:t>
      </w:r>
      <w:r>
        <w:rPr>
          <w:rFonts w:hint="eastAsia" w:hAnsi="宋体" w:cs="宋体"/>
          <w:color w:val="auto"/>
          <w:spacing w:val="4"/>
          <w:szCs w:val="24"/>
          <w:highlight w:val="none"/>
        </w:rPr>
        <w:t>签字确认。</w:t>
      </w:r>
    </w:p>
    <w:p>
      <w:pPr>
        <w:spacing w:line="360" w:lineRule="auto"/>
        <w:ind w:left="814" w:leftChars="236" w:hanging="248" w:hangingChars="100"/>
        <w:jc w:val="left"/>
        <w:rPr>
          <w:rFonts w:hAnsi="宋体" w:cs="宋体"/>
          <w:bCs/>
          <w:color w:val="auto"/>
          <w:sz w:val="36"/>
          <w:szCs w:val="36"/>
          <w:highlight w:val="none"/>
        </w:rPr>
      </w:pPr>
      <w:r>
        <w:rPr>
          <w:rFonts w:hint="eastAsia" w:hAnsi="宋体" w:cs="宋体"/>
          <w:color w:val="auto"/>
          <w:spacing w:val="4"/>
          <w:szCs w:val="24"/>
          <w:highlight w:val="none"/>
        </w:rPr>
        <w:t>2、采购人根据评标报告中推荐的中标候选人排列顺序确定中标人，以复函通知采购代理机构。</w:t>
      </w:r>
      <w:bookmarkEnd w:id="69"/>
      <w:bookmarkEnd w:id="410"/>
      <w:bookmarkEnd w:id="411"/>
      <w:bookmarkEnd w:id="412"/>
      <w:bookmarkEnd w:id="413"/>
      <w:bookmarkEnd w:id="414"/>
      <w:bookmarkEnd w:id="415"/>
      <w:bookmarkEnd w:id="416"/>
      <w:bookmarkStart w:id="429" w:name="_Toc28411"/>
      <w:bookmarkStart w:id="430" w:name="_Toc426457698"/>
      <w:bookmarkStart w:id="431" w:name="_Toc8830"/>
      <w:bookmarkStart w:id="432" w:name="_Toc363474025"/>
      <w:bookmarkStart w:id="433" w:name="_Toc22538"/>
      <w:r>
        <w:rPr>
          <w:rFonts w:hint="eastAsia" w:hAnsi="宋体" w:cs="宋体"/>
          <w:bCs/>
          <w:color w:val="auto"/>
          <w:sz w:val="36"/>
          <w:szCs w:val="36"/>
          <w:highlight w:val="none"/>
        </w:rPr>
        <w:br w:type="page"/>
      </w:r>
      <w:bookmarkStart w:id="434" w:name="_Toc5407"/>
      <w:bookmarkStart w:id="435" w:name="_Toc644"/>
    </w:p>
    <w:p>
      <w:pPr>
        <w:spacing w:line="360" w:lineRule="auto"/>
        <w:ind w:left="927" w:leftChars="236" w:hanging="361" w:hangingChars="100"/>
        <w:jc w:val="center"/>
        <w:outlineLvl w:val="0"/>
        <w:rPr>
          <w:rFonts w:hAnsi="宋体" w:cs="宋体"/>
          <w:bCs/>
          <w:color w:val="auto"/>
          <w:sz w:val="36"/>
          <w:szCs w:val="36"/>
          <w:highlight w:val="none"/>
        </w:rPr>
      </w:pPr>
      <w:bookmarkStart w:id="436" w:name="_Toc8782"/>
      <w:r>
        <w:rPr>
          <w:rFonts w:hint="eastAsia" w:hAnsi="宋体" w:cs="宋体"/>
          <w:b/>
          <w:color w:val="auto"/>
          <w:sz w:val="36"/>
          <w:szCs w:val="36"/>
          <w:highlight w:val="none"/>
        </w:rPr>
        <w:t>第六章 投标文件构成及格式</w:t>
      </w:r>
      <w:bookmarkEnd w:id="429"/>
      <w:bookmarkEnd w:id="430"/>
      <w:bookmarkEnd w:id="431"/>
      <w:bookmarkEnd w:id="432"/>
      <w:bookmarkEnd w:id="433"/>
      <w:bookmarkEnd w:id="434"/>
      <w:bookmarkEnd w:id="435"/>
      <w:bookmarkEnd w:id="436"/>
    </w:p>
    <w:p>
      <w:pPr>
        <w:rPr>
          <w:rFonts w:hAnsi="宋体" w:cs="宋体"/>
          <w:color w:val="auto"/>
          <w:highlight w:val="none"/>
        </w:rPr>
      </w:pPr>
    </w:p>
    <w:p>
      <w:pPr>
        <w:rPr>
          <w:rFonts w:hAnsi="宋体" w:cs="宋体"/>
          <w:b/>
          <w:color w:val="auto"/>
          <w:sz w:val="32"/>
          <w:szCs w:val="32"/>
          <w:highlight w:val="none"/>
        </w:rPr>
      </w:pPr>
      <w:r>
        <w:rPr>
          <w:rFonts w:hint="eastAsia" w:hAnsi="宋体" w:cs="宋体"/>
          <w:b/>
          <w:color w:val="auto"/>
          <w:sz w:val="32"/>
          <w:szCs w:val="32"/>
          <w:highlight w:val="none"/>
        </w:rPr>
        <w:t>项目编号：SXZHZB2023-ZC0</w:t>
      </w:r>
      <w:r>
        <w:rPr>
          <w:rFonts w:hint="eastAsia" w:hAnsi="宋体" w:cs="宋体"/>
          <w:b/>
          <w:color w:val="auto"/>
          <w:sz w:val="32"/>
          <w:szCs w:val="32"/>
          <w:highlight w:val="none"/>
          <w:lang w:val="en-US" w:eastAsia="zh-CN"/>
        </w:rPr>
        <w:t>38</w:t>
      </w:r>
      <w:r>
        <w:rPr>
          <w:rFonts w:hint="eastAsia" w:hAnsi="宋体" w:cs="宋体"/>
          <w:b/>
          <w:color w:val="auto"/>
          <w:sz w:val="32"/>
          <w:szCs w:val="32"/>
          <w:highlight w:val="none"/>
        </w:rPr>
        <w:t xml:space="preserve">-GK                </w:t>
      </w:r>
    </w:p>
    <w:p>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pPr>
        <w:jc w:val="center"/>
        <w:rPr>
          <w:rFonts w:hAnsi="宋体" w:cs="宋体"/>
          <w:b/>
          <w:color w:val="auto"/>
          <w:sz w:val="36"/>
          <w:szCs w:val="36"/>
          <w:highlight w:val="none"/>
        </w:rPr>
      </w:pPr>
      <w:r>
        <w:rPr>
          <w:rFonts w:hint="eastAsia" w:hAnsi="宋体" w:cs="宋体"/>
          <w:b/>
          <w:color w:val="auto"/>
          <w:sz w:val="36"/>
          <w:szCs w:val="36"/>
          <w:highlight w:val="none"/>
        </w:rPr>
        <w:t xml:space="preserve">                                                                          </w:t>
      </w:r>
    </w:p>
    <w:p>
      <w:pPr>
        <w:rPr>
          <w:rFonts w:hAnsi="宋体" w:cs="宋体"/>
          <w:b/>
          <w:color w:val="auto"/>
          <w:sz w:val="52"/>
          <w:szCs w:val="52"/>
          <w:highlight w:val="none"/>
        </w:rPr>
      </w:pPr>
    </w:p>
    <w:p>
      <w:pPr>
        <w:jc w:val="center"/>
        <w:rPr>
          <w:rFonts w:hint="eastAsia" w:hAnsi="宋体" w:eastAsia="宋体" w:cs="宋体"/>
          <w:b/>
          <w:color w:val="auto"/>
          <w:sz w:val="52"/>
          <w:szCs w:val="52"/>
          <w:highlight w:val="none"/>
          <w:lang w:eastAsia="zh-CN"/>
        </w:rPr>
      </w:pPr>
      <w:r>
        <w:rPr>
          <w:rFonts w:hint="eastAsia" w:hAnsi="宋体" w:cs="宋体"/>
          <w:b/>
          <w:color w:val="auto"/>
          <w:sz w:val="52"/>
          <w:szCs w:val="52"/>
          <w:highlight w:val="none"/>
          <w:lang w:eastAsia="zh-CN"/>
        </w:rPr>
        <w:t>西安铁路职业技术学院无纸化会议视频系统升级建设项目</w:t>
      </w:r>
    </w:p>
    <w:p>
      <w:pPr>
        <w:pStyle w:val="20"/>
        <w:rPr>
          <w:rFonts w:ascii="宋体" w:hAnsi="宋体" w:cs="宋体"/>
          <w:color w:val="auto"/>
          <w:highlight w:val="none"/>
        </w:rPr>
      </w:pPr>
    </w:p>
    <w:p>
      <w:pPr>
        <w:jc w:val="center"/>
        <w:rPr>
          <w:rFonts w:hAnsi="宋体" w:cs="宋体"/>
          <w:b/>
          <w:color w:val="auto"/>
          <w:sz w:val="72"/>
          <w:szCs w:val="72"/>
          <w:highlight w:val="none"/>
        </w:rPr>
      </w:pPr>
      <w:r>
        <w:rPr>
          <w:rFonts w:hint="eastAsia" w:hAnsi="宋体" w:cs="宋体"/>
          <w:b/>
          <w:color w:val="auto"/>
          <w:sz w:val="72"/>
          <w:szCs w:val="72"/>
          <w:highlight w:val="none"/>
        </w:rPr>
        <w:t>投 标 文 件</w:t>
      </w:r>
    </w:p>
    <w:p>
      <w:pPr>
        <w:jc w:val="center"/>
        <w:rPr>
          <w:rFonts w:hAnsi="宋体" w:cs="宋体"/>
          <w:b/>
          <w:color w:val="auto"/>
          <w:sz w:val="36"/>
          <w:szCs w:val="36"/>
          <w:highlight w:val="none"/>
        </w:rPr>
      </w:pPr>
    </w:p>
    <w:p>
      <w:pPr>
        <w:rPr>
          <w:rFonts w:hAnsi="宋体" w:cs="宋体"/>
          <w:b/>
          <w:color w:val="auto"/>
          <w:sz w:val="36"/>
          <w:szCs w:val="36"/>
          <w:highlight w:val="none"/>
        </w:rPr>
      </w:pPr>
    </w:p>
    <w:p>
      <w:pPr>
        <w:pStyle w:val="43"/>
        <w:ind w:firstLine="361"/>
        <w:rPr>
          <w:rFonts w:ascii="宋体" w:hAnsi="宋体" w:cs="宋体"/>
          <w:b/>
          <w:color w:val="auto"/>
          <w:sz w:val="36"/>
          <w:szCs w:val="36"/>
          <w:highlight w:val="none"/>
        </w:rPr>
      </w:pPr>
    </w:p>
    <w:p>
      <w:pPr>
        <w:pStyle w:val="43"/>
        <w:ind w:firstLine="361"/>
        <w:rPr>
          <w:rFonts w:ascii="宋体" w:hAnsi="宋体" w:cs="宋体"/>
          <w:b/>
          <w:color w:val="auto"/>
          <w:sz w:val="36"/>
          <w:szCs w:val="36"/>
          <w:highlight w:val="none"/>
        </w:rPr>
      </w:pPr>
    </w:p>
    <w:p>
      <w:pPr>
        <w:tabs>
          <w:tab w:val="center" w:pos="5346"/>
        </w:tabs>
        <w:spacing w:line="720" w:lineRule="auto"/>
        <w:jc w:val="center"/>
        <w:rPr>
          <w:rFonts w:hAnsi="宋体" w:cs="宋体"/>
          <w:b/>
          <w:color w:val="auto"/>
          <w:sz w:val="32"/>
          <w:szCs w:val="32"/>
          <w:highlight w:val="none"/>
        </w:rPr>
      </w:pPr>
      <w:r>
        <w:rPr>
          <w:rFonts w:hint="eastAsia" w:hAnsi="宋体" w:cs="宋体"/>
          <w:b/>
          <w:color w:val="auto"/>
          <w:sz w:val="32"/>
          <w:szCs w:val="32"/>
          <w:highlight w:val="none"/>
        </w:rPr>
        <w:t xml:space="preserve"> 供应商名称：（公章）</w:t>
      </w:r>
    </w:p>
    <w:p>
      <w:pPr>
        <w:spacing w:line="720" w:lineRule="auto"/>
        <w:ind w:firstLine="3534" w:firstLineChars="1100"/>
        <w:rPr>
          <w:rFonts w:hAnsi="宋体" w:cs="宋体"/>
          <w:b/>
          <w:color w:val="auto"/>
          <w:sz w:val="32"/>
          <w:szCs w:val="32"/>
          <w:highlight w:val="none"/>
        </w:rPr>
      </w:pPr>
      <w:r>
        <w:rPr>
          <w:rFonts w:hint="eastAsia" w:hAnsi="宋体" w:cs="宋体"/>
          <w:b/>
          <w:color w:val="auto"/>
          <w:sz w:val="32"/>
          <w:szCs w:val="32"/>
          <w:highlight w:val="none"/>
        </w:rPr>
        <w:t>年   月   日</w:t>
      </w:r>
    </w:p>
    <w:p>
      <w:pPr>
        <w:spacing w:line="720" w:lineRule="auto"/>
        <w:ind w:firstLine="3975" w:firstLineChars="1100"/>
        <w:rPr>
          <w:rFonts w:hAnsi="宋体" w:cs="宋体"/>
          <w:b/>
          <w:color w:val="auto"/>
          <w:sz w:val="44"/>
          <w:szCs w:val="44"/>
          <w:highlight w:val="none"/>
        </w:rPr>
      </w:pPr>
      <w:r>
        <w:rPr>
          <w:rFonts w:hint="eastAsia" w:hAnsi="宋体" w:cs="宋体"/>
          <w:b/>
          <w:color w:val="auto"/>
          <w:sz w:val="36"/>
          <w:szCs w:val="36"/>
          <w:highlight w:val="none"/>
        </w:rPr>
        <w:br w:type="page"/>
      </w:r>
      <w:bookmarkStart w:id="437" w:name="_Toc426457699"/>
      <w:bookmarkStart w:id="438" w:name="_Toc22537"/>
      <w:bookmarkStart w:id="439" w:name="_Toc403077647"/>
      <w:bookmarkStart w:id="440" w:name="_Toc30983"/>
      <w:bookmarkStart w:id="441" w:name="_Toc23850"/>
      <w:bookmarkStart w:id="442" w:name="_Toc17702"/>
      <w:bookmarkStart w:id="443" w:name="_Toc363474026"/>
      <w:bookmarkStart w:id="444" w:name="_Toc23267"/>
      <w:r>
        <w:rPr>
          <w:rFonts w:hint="eastAsia" w:hAnsi="宋体" w:cs="宋体"/>
          <w:b/>
          <w:color w:val="auto"/>
          <w:sz w:val="44"/>
          <w:szCs w:val="44"/>
          <w:highlight w:val="none"/>
        </w:rPr>
        <w:t>目  录</w:t>
      </w:r>
      <w:bookmarkEnd w:id="437"/>
      <w:bookmarkEnd w:id="438"/>
      <w:bookmarkEnd w:id="439"/>
      <w:bookmarkEnd w:id="440"/>
      <w:bookmarkEnd w:id="441"/>
      <w:bookmarkEnd w:id="442"/>
      <w:bookmarkEnd w:id="443"/>
      <w:bookmarkEnd w:id="444"/>
    </w:p>
    <w:p>
      <w:pPr>
        <w:rPr>
          <w:rFonts w:hAnsi="宋体" w:cs="宋体"/>
          <w:color w:val="auto"/>
          <w:highlight w:val="none"/>
        </w:rPr>
      </w:pP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pacing w:val="4"/>
          <w:szCs w:val="24"/>
          <w:highlight w:val="none"/>
        </w:rPr>
        <w:t>投标函</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pacing w:val="4"/>
          <w:szCs w:val="24"/>
          <w:highlight w:val="none"/>
        </w:rPr>
        <w:t>投标报价表</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zCs w:val="24"/>
          <w:highlight w:val="none"/>
        </w:rPr>
        <w:t>投标方案说明书</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zCs w:val="24"/>
          <w:highlight w:val="none"/>
        </w:rPr>
        <w:t>商务条款偏离表</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pacing w:val="4"/>
          <w:szCs w:val="24"/>
          <w:highlight w:val="none"/>
        </w:rPr>
        <w:t>陕西省政府采购供应商拒绝政府采购领域商业贿赂承诺书</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zCs w:val="24"/>
          <w:highlight w:val="none"/>
        </w:rPr>
        <w:t>资格证明文件</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pacing w:val="4"/>
          <w:szCs w:val="24"/>
          <w:highlight w:val="none"/>
        </w:rPr>
        <w:t>业绩</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pacing w:val="4"/>
          <w:szCs w:val="24"/>
          <w:highlight w:val="none"/>
        </w:rPr>
        <w:t>声明函</w:t>
      </w:r>
    </w:p>
    <w:p>
      <w:pPr>
        <w:numPr>
          <w:ilvl w:val="0"/>
          <w:numId w:val="20"/>
        </w:numPr>
        <w:tabs>
          <w:tab w:val="left" w:pos="1418"/>
        </w:tabs>
        <w:spacing w:line="600" w:lineRule="auto"/>
        <w:ind w:left="831"/>
        <w:rPr>
          <w:rFonts w:hAnsi="宋体" w:cs="宋体"/>
          <w:color w:val="auto"/>
          <w:spacing w:val="4"/>
          <w:szCs w:val="24"/>
          <w:highlight w:val="none"/>
        </w:rPr>
      </w:pPr>
      <w:r>
        <w:rPr>
          <w:rFonts w:hint="eastAsia" w:hAnsi="宋体" w:cs="宋体"/>
          <w:color w:val="auto"/>
          <w:spacing w:val="4"/>
          <w:szCs w:val="24"/>
          <w:highlight w:val="none"/>
        </w:rPr>
        <w:t>其它说明</w:t>
      </w:r>
    </w:p>
    <w:p>
      <w:pPr>
        <w:pStyle w:val="20"/>
        <w:rPr>
          <w:rFonts w:ascii="宋体" w:hAnsi="宋体" w:cs="宋体"/>
          <w:color w:val="auto"/>
          <w:highlight w:val="none"/>
        </w:rPr>
      </w:pPr>
    </w:p>
    <w:p>
      <w:pPr>
        <w:spacing w:before="333" w:beforeLines="100"/>
        <w:jc w:val="center"/>
        <w:rPr>
          <w:rFonts w:hAnsi="宋体" w:cs="宋体"/>
          <w:color w:val="auto"/>
          <w:sz w:val="32"/>
          <w:szCs w:val="32"/>
          <w:highlight w:val="none"/>
        </w:rPr>
        <w:sectPr>
          <w:pgSz w:w="11906" w:h="16838"/>
          <w:pgMar w:top="1417" w:right="1134" w:bottom="1417" w:left="1417" w:header="1134" w:footer="992" w:gutter="0"/>
          <w:pgNumType w:fmt="numberInDash"/>
          <w:cols w:space="720" w:num="1"/>
          <w:titlePg/>
          <w:docGrid w:type="lines" w:linePitch="333" w:charSpace="0"/>
        </w:sectPr>
      </w:pPr>
      <w:bookmarkStart w:id="445" w:name="_Toc363474027"/>
      <w:bookmarkStart w:id="446" w:name="_Toc403077648"/>
      <w:bookmarkStart w:id="447" w:name="_Toc426457700"/>
      <w:bookmarkStart w:id="448" w:name="_Toc4930"/>
      <w:bookmarkStart w:id="449" w:name="_Toc14057"/>
      <w:bookmarkStart w:id="450" w:name="_Toc29720"/>
      <w:bookmarkStart w:id="451" w:name="_Toc10573"/>
      <w:bookmarkStart w:id="452" w:name="_Toc24231"/>
      <w:bookmarkStart w:id="453" w:name="_Toc28404"/>
      <w:bookmarkStart w:id="454" w:name="_Toc23702"/>
    </w:p>
    <w:p>
      <w:pPr>
        <w:spacing w:before="333" w:beforeLines="100"/>
        <w:jc w:val="center"/>
        <w:outlineLvl w:val="1"/>
        <w:rPr>
          <w:rFonts w:hAnsi="宋体" w:cs="宋体"/>
          <w:b/>
          <w:bCs/>
          <w:color w:val="auto"/>
          <w:highlight w:val="none"/>
        </w:rPr>
      </w:pPr>
      <w:r>
        <w:rPr>
          <w:rFonts w:hint="eastAsia" w:hAnsi="宋体" w:cs="宋体"/>
          <w:b/>
          <w:bCs/>
          <w:color w:val="auto"/>
          <w:sz w:val="32"/>
          <w:szCs w:val="32"/>
          <w:highlight w:val="none"/>
        </w:rPr>
        <w:t>一、投标</w:t>
      </w:r>
      <w:bookmarkEnd w:id="445"/>
      <w:bookmarkEnd w:id="446"/>
      <w:r>
        <w:rPr>
          <w:rFonts w:hint="eastAsia" w:hAnsi="宋体" w:cs="宋体"/>
          <w:b/>
          <w:bCs/>
          <w:color w:val="auto"/>
          <w:sz w:val="32"/>
          <w:szCs w:val="32"/>
          <w:highlight w:val="none"/>
        </w:rPr>
        <w:t>函</w:t>
      </w:r>
      <w:bookmarkEnd w:id="447"/>
      <w:bookmarkEnd w:id="448"/>
      <w:bookmarkEnd w:id="449"/>
      <w:bookmarkEnd w:id="450"/>
      <w:bookmarkEnd w:id="451"/>
      <w:bookmarkEnd w:id="452"/>
      <w:bookmarkEnd w:id="453"/>
      <w:bookmarkEnd w:id="454"/>
    </w:p>
    <w:p>
      <w:pPr>
        <w:spacing w:line="500" w:lineRule="exact"/>
        <w:jc w:val="left"/>
        <w:rPr>
          <w:rFonts w:hAnsi="宋体" w:cs="宋体"/>
          <w:color w:val="auto"/>
          <w:spacing w:val="4"/>
          <w:szCs w:val="24"/>
          <w:highlight w:val="none"/>
          <w:u w:val="single"/>
        </w:rPr>
      </w:pPr>
      <w:r>
        <w:rPr>
          <w:rFonts w:hint="eastAsia" w:hAnsi="宋体" w:cs="宋体"/>
          <w:b/>
          <w:color w:val="auto"/>
          <w:spacing w:val="4"/>
          <w:szCs w:val="24"/>
          <w:highlight w:val="none"/>
        </w:rPr>
        <w:t>致：</w:t>
      </w:r>
      <w:r>
        <w:rPr>
          <w:rFonts w:hint="eastAsia" w:hAnsi="宋体" w:cs="宋体"/>
          <w:b/>
          <w:color w:val="auto"/>
          <w:spacing w:val="4"/>
          <w:szCs w:val="24"/>
          <w:highlight w:val="none"/>
          <w:u w:val="single"/>
        </w:rPr>
        <w:t>西安铁路职业技术学院/陕西纵横项目管理有限公司</w:t>
      </w:r>
    </w:p>
    <w:p>
      <w:pPr>
        <w:spacing w:line="500" w:lineRule="exact"/>
        <w:ind w:firstLine="496" w:firstLineChars="200"/>
        <w:rPr>
          <w:rFonts w:hAnsi="宋体" w:cs="宋体"/>
          <w:color w:val="auto"/>
          <w:spacing w:val="4"/>
          <w:highlight w:val="none"/>
        </w:rPr>
      </w:pPr>
      <w:r>
        <w:rPr>
          <w:rFonts w:hint="eastAsia" w:hAnsi="宋体" w:cs="宋体"/>
          <w:color w:val="auto"/>
          <w:spacing w:val="4"/>
          <w:highlight w:val="none"/>
        </w:rPr>
        <w:t xml:space="preserve">根据贵方“ </w:t>
      </w:r>
      <w:r>
        <w:rPr>
          <w:rFonts w:hint="eastAsia" w:hAnsi="宋体" w:cs="宋体"/>
          <w:color w:val="auto"/>
          <w:spacing w:val="4"/>
          <w:highlight w:val="none"/>
          <w:u w:val="single"/>
        </w:rPr>
        <w:t xml:space="preserve">                     </w:t>
      </w:r>
      <w:r>
        <w:rPr>
          <w:rFonts w:hint="eastAsia" w:hAnsi="宋体" w:cs="宋体"/>
          <w:color w:val="auto"/>
          <w:spacing w:val="4"/>
          <w:highlight w:val="none"/>
        </w:rPr>
        <w:t>”项目的投标邀请</w:t>
      </w:r>
      <w:r>
        <w:rPr>
          <w:rFonts w:hint="eastAsia" w:hAnsi="宋体" w:cs="宋体"/>
          <w:color w:val="auto"/>
          <w:spacing w:val="4"/>
          <w:highlight w:val="none"/>
          <w:u w:val="single"/>
        </w:rPr>
        <w:t>(项目编号：   )</w:t>
      </w:r>
      <w:r>
        <w:rPr>
          <w:rFonts w:hint="eastAsia" w:hAnsi="宋体" w:cs="宋体"/>
          <w:color w:val="auto"/>
          <w:spacing w:val="4"/>
          <w:highlight w:val="none"/>
        </w:rPr>
        <w:t>，签字代表</w:t>
      </w:r>
      <w:r>
        <w:rPr>
          <w:rFonts w:hint="eastAsia" w:hAnsi="宋体" w:cs="宋体"/>
          <w:color w:val="auto"/>
          <w:spacing w:val="4"/>
          <w:highlight w:val="none"/>
          <w:u w:val="single"/>
        </w:rPr>
        <w:t>（全名、职务）</w:t>
      </w:r>
      <w:r>
        <w:rPr>
          <w:rFonts w:hint="eastAsia" w:hAnsi="宋体" w:cs="宋体"/>
          <w:color w:val="auto"/>
          <w:spacing w:val="4"/>
          <w:highlight w:val="none"/>
        </w:rPr>
        <w:t>经正式授权并代表供应商</w:t>
      </w:r>
      <w:r>
        <w:rPr>
          <w:rFonts w:hint="eastAsia" w:hAnsi="宋体" w:cs="宋体"/>
          <w:color w:val="auto"/>
          <w:spacing w:val="4"/>
          <w:highlight w:val="none"/>
          <w:u w:val="single"/>
        </w:rPr>
        <w:t>(供应商名称、地址)</w:t>
      </w:r>
      <w:r>
        <w:rPr>
          <w:rFonts w:hint="eastAsia" w:hAnsi="宋体" w:cs="宋体"/>
          <w:color w:val="auto"/>
          <w:spacing w:val="4"/>
          <w:highlight w:val="none"/>
        </w:rPr>
        <w:t xml:space="preserve"> 提交投标文件正本壹份、副本一式</w:t>
      </w:r>
      <w:r>
        <w:rPr>
          <w:rFonts w:hint="eastAsia" w:hAnsi="宋体" w:cs="宋体"/>
          <w:color w:val="auto"/>
          <w:spacing w:val="4"/>
          <w:highlight w:val="none"/>
          <w:u w:val="single"/>
        </w:rPr>
        <w:t xml:space="preserve">    </w:t>
      </w:r>
      <w:r>
        <w:rPr>
          <w:rFonts w:hint="eastAsia" w:hAnsi="宋体" w:cs="宋体"/>
          <w:color w:val="auto"/>
          <w:spacing w:val="4"/>
          <w:highlight w:val="none"/>
        </w:rPr>
        <w:t>份、电子版</w:t>
      </w:r>
      <w:r>
        <w:rPr>
          <w:rFonts w:hint="eastAsia" w:hAnsi="宋体" w:cs="宋体"/>
          <w:color w:val="auto"/>
          <w:spacing w:val="4"/>
          <w:highlight w:val="none"/>
          <w:u w:val="single"/>
        </w:rPr>
        <w:t xml:space="preserve">    </w:t>
      </w:r>
      <w:r>
        <w:rPr>
          <w:rFonts w:hint="eastAsia" w:hAnsi="宋体" w:cs="宋体"/>
          <w:color w:val="auto"/>
          <w:spacing w:val="4"/>
          <w:highlight w:val="none"/>
        </w:rPr>
        <w:t>份。</w:t>
      </w:r>
    </w:p>
    <w:p>
      <w:pPr>
        <w:spacing w:line="500" w:lineRule="exact"/>
        <w:ind w:left="624" w:leftChars="251" w:hanging="22" w:hangingChars="9"/>
        <w:jc w:val="left"/>
        <w:rPr>
          <w:rFonts w:hAnsi="宋体" w:cs="宋体"/>
          <w:color w:val="auto"/>
          <w:highlight w:val="none"/>
        </w:rPr>
      </w:pPr>
      <w:r>
        <w:rPr>
          <w:rFonts w:hint="eastAsia" w:hAnsi="宋体" w:cs="宋体"/>
          <w:color w:val="auto"/>
          <w:spacing w:val="4"/>
          <w:highlight w:val="none"/>
        </w:rPr>
        <w:t>我方承诺如下：</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 xml:space="preserve">（1）投标报价为小写： </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），交货完工期：</w:t>
      </w:r>
      <w:r>
        <w:rPr>
          <w:rFonts w:hint="eastAsia" w:hAnsi="宋体" w:cs="宋体"/>
          <w:color w:val="auto"/>
          <w:spacing w:val="4"/>
          <w:highlight w:val="none"/>
          <w:u w:val="single"/>
        </w:rPr>
        <w:t xml:space="preserve">     </w:t>
      </w:r>
      <w:r>
        <w:rPr>
          <w:rFonts w:hint="eastAsia" w:hAnsi="宋体" w:cs="宋体"/>
          <w:color w:val="auto"/>
          <w:spacing w:val="4"/>
          <w:highlight w:val="none"/>
        </w:rPr>
        <w:t>；质保期：</w:t>
      </w:r>
      <w:r>
        <w:rPr>
          <w:rFonts w:hint="eastAsia" w:hAnsi="宋体" w:cs="宋体"/>
          <w:color w:val="auto"/>
          <w:spacing w:val="4"/>
          <w:highlight w:val="none"/>
          <w:u w:val="single"/>
        </w:rPr>
        <w:t xml:space="preserve">        </w:t>
      </w:r>
      <w:r>
        <w:rPr>
          <w:rFonts w:hint="eastAsia" w:hAnsi="宋体" w:cs="宋体"/>
          <w:color w:val="auto"/>
          <w:spacing w:val="4"/>
          <w:highlight w:val="none"/>
        </w:rPr>
        <w:t xml:space="preserve"> 。</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（2）如果中标，我们根据招标文件的规定，履行合同的责任和义务。</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（3）我们已详细阅读和审核全部招标文件（含修改部分，如有的话）及有关附件，我们知道必须放弃提出含糊不清或误解的问题的权利。</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（4）我们同意在投标有效期内（</w:t>
      </w:r>
      <w:r>
        <w:rPr>
          <w:rFonts w:hint="eastAsia" w:hAnsi="宋体" w:cs="宋体"/>
          <w:color w:val="auto"/>
          <w:spacing w:val="4"/>
          <w:highlight w:val="none"/>
          <w:u w:val="single"/>
        </w:rPr>
        <w:t>自开标之日起90天</w:t>
      </w:r>
      <w:r>
        <w:rPr>
          <w:rFonts w:hint="eastAsia" w:hAnsi="宋体" w:cs="宋体"/>
          <w:color w:val="auto"/>
          <w:spacing w:val="4"/>
          <w:highlight w:val="none"/>
        </w:rPr>
        <w:t>），本投标函对我方具有约束力。</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 xml:space="preserve">（5）同意提供贵方可能另外要求的与本投标有关的任何证据和资料。 </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（6）我们同意，如果中标，向陕西纵横项目管理有限公司交纳招标代理服务费。</w:t>
      </w:r>
    </w:p>
    <w:p>
      <w:pPr>
        <w:tabs>
          <w:tab w:val="left" w:pos="2160"/>
        </w:tabs>
        <w:spacing w:line="500" w:lineRule="exact"/>
        <w:ind w:firstLine="496" w:firstLineChars="200"/>
        <w:jc w:val="left"/>
        <w:rPr>
          <w:rFonts w:hAnsi="宋体" w:cs="宋体"/>
          <w:color w:val="auto"/>
          <w:spacing w:val="4"/>
          <w:highlight w:val="none"/>
        </w:rPr>
      </w:pPr>
      <w:r>
        <w:rPr>
          <w:rFonts w:hint="eastAsia" w:hAnsi="宋体" w:cs="宋体"/>
          <w:color w:val="auto"/>
          <w:spacing w:val="4"/>
          <w:highlight w:val="none"/>
        </w:rPr>
        <w:t>（7）与本投标有关的一切正式往来通讯为：</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联系地址：</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邮政编码：</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电    话：</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传    真：</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供应商名称（盖章）：</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供应商法定代表人签字或盖章：</w:t>
      </w:r>
    </w:p>
    <w:p>
      <w:pPr>
        <w:spacing w:line="500" w:lineRule="exact"/>
        <w:ind w:firstLine="1240" w:firstLineChars="500"/>
        <w:jc w:val="left"/>
        <w:rPr>
          <w:rFonts w:hAnsi="宋体" w:cs="宋体"/>
          <w:color w:val="auto"/>
          <w:spacing w:val="4"/>
          <w:highlight w:val="none"/>
        </w:rPr>
      </w:pPr>
      <w:r>
        <w:rPr>
          <w:rFonts w:hint="eastAsia" w:hAnsi="宋体" w:cs="宋体"/>
          <w:color w:val="auto"/>
          <w:spacing w:val="4"/>
          <w:highlight w:val="none"/>
        </w:rPr>
        <w:t>日    期：</w:t>
      </w:r>
    </w:p>
    <w:p>
      <w:pPr>
        <w:spacing w:before="166" w:beforeLines="50"/>
        <w:jc w:val="center"/>
        <w:outlineLvl w:val="1"/>
        <w:rPr>
          <w:rFonts w:hAnsi="宋体" w:cs="宋体"/>
          <w:b/>
          <w:bCs/>
          <w:color w:val="auto"/>
          <w:sz w:val="32"/>
          <w:szCs w:val="32"/>
          <w:highlight w:val="none"/>
        </w:rPr>
      </w:pPr>
      <w:r>
        <w:rPr>
          <w:rFonts w:hint="eastAsia" w:hAnsi="宋体" w:cs="宋体"/>
          <w:color w:val="auto"/>
          <w:sz w:val="28"/>
          <w:highlight w:val="none"/>
        </w:rPr>
        <w:br w:type="page"/>
      </w:r>
      <w:bookmarkStart w:id="455" w:name="_Toc17802"/>
      <w:bookmarkStart w:id="456" w:name="_Toc403077651"/>
      <w:bookmarkStart w:id="457" w:name="_Toc426457703"/>
      <w:bookmarkStart w:id="458" w:name="_Toc29025"/>
      <w:bookmarkStart w:id="459" w:name="_Toc4332"/>
      <w:bookmarkStart w:id="460" w:name="_Toc2656"/>
      <w:bookmarkStart w:id="461" w:name="_Toc27599"/>
      <w:bookmarkStart w:id="462" w:name="_Toc22980"/>
      <w:bookmarkStart w:id="463" w:name="_Toc21319"/>
      <w:bookmarkStart w:id="464" w:name="_Toc363474030"/>
      <w:r>
        <w:rPr>
          <w:rFonts w:hint="eastAsia" w:hAnsi="宋体" w:cs="宋体"/>
          <w:b/>
          <w:bCs/>
          <w:color w:val="auto"/>
          <w:sz w:val="32"/>
          <w:szCs w:val="32"/>
          <w:highlight w:val="none"/>
        </w:rPr>
        <w:t>二、投标报价表</w:t>
      </w:r>
      <w:bookmarkEnd w:id="455"/>
      <w:bookmarkEnd w:id="456"/>
      <w:bookmarkEnd w:id="457"/>
      <w:bookmarkEnd w:id="458"/>
      <w:bookmarkEnd w:id="459"/>
      <w:bookmarkEnd w:id="460"/>
      <w:bookmarkEnd w:id="461"/>
      <w:bookmarkEnd w:id="462"/>
      <w:bookmarkEnd w:id="463"/>
      <w:bookmarkEnd w:id="464"/>
    </w:p>
    <w:p>
      <w:pPr>
        <w:jc w:val="center"/>
        <w:rPr>
          <w:rFonts w:hAnsi="宋体" w:cs="宋体"/>
          <w:b/>
          <w:color w:val="auto"/>
          <w:sz w:val="30"/>
          <w:szCs w:val="30"/>
          <w:highlight w:val="none"/>
        </w:rPr>
      </w:pPr>
      <w:r>
        <w:rPr>
          <w:rFonts w:hint="eastAsia" w:hAnsi="宋体" w:cs="宋体"/>
          <w:b/>
          <w:color w:val="auto"/>
          <w:sz w:val="30"/>
          <w:szCs w:val="30"/>
          <w:highlight w:val="none"/>
        </w:rPr>
        <w:t>2.1开标一览表</w:t>
      </w:r>
    </w:p>
    <w:p>
      <w:pPr>
        <w:jc w:val="left"/>
        <w:rPr>
          <w:rFonts w:hAnsi="宋体" w:cs="宋体"/>
          <w:bCs/>
          <w:color w:val="auto"/>
          <w:szCs w:val="24"/>
          <w:highlight w:val="none"/>
        </w:rPr>
      </w:pPr>
      <w:r>
        <w:rPr>
          <w:rFonts w:hint="eastAsia" w:hAnsi="宋体" w:cs="宋体"/>
          <w:bCs/>
          <w:color w:val="auto"/>
          <w:szCs w:val="24"/>
          <w:highlight w:val="none"/>
        </w:rPr>
        <w:t>项目编号：</w:t>
      </w:r>
    </w:p>
    <w:p>
      <w:pPr>
        <w:jc w:val="left"/>
        <w:rPr>
          <w:rFonts w:hAnsi="宋体" w:cs="宋体"/>
          <w:bCs/>
          <w:color w:val="auto"/>
          <w:szCs w:val="24"/>
          <w:highlight w:val="none"/>
        </w:rPr>
      </w:pPr>
      <w:r>
        <w:rPr>
          <w:rFonts w:hint="eastAsia" w:hAnsi="宋体" w:cs="宋体"/>
          <w:bCs/>
          <w:color w:val="auto"/>
          <w:szCs w:val="24"/>
          <w:highlight w:val="none"/>
        </w:rPr>
        <w:t xml:space="preserve">项目名称：         </w:t>
      </w:r>
    </w:p>
    <w:tbl>
      <w:tblPr>
        <w:tblStyle w:val="4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3417"/>
        <w:gridCol w:w="1879"/>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452" w:type="pct"/>
            <w:vAlign w:val="center"/>
          </w:tcPr>
          <w:p>
            <w:pPr>
              <w:jc w:val="center"/>
              <w:rPr>
                <w:rFonts w:hAnsi="宋体" w:cs="宋体"/>
                <w:color w:val="auto"/>
                <w:szCs w:val="24"/>
                <w:highlight w:val="none"/>
              </w:rPr>
            </w:pPr>
            <w:r>
              <w:rPr>
                <w:rFonts w:hint="eastAsia" w:hAnsi="宋体" w:cs="宋体"/>
                <w:color w:val="auto"/>
                <w:szCs w:val="24"/>
                <w:highlight w:val="none"/>
              </w:rPr>
              <w:t>投标总报价</w:t>
            </w:r>
          </w:p>
          <w:p>
            <w:pPr>
              <w:jc w:val="center"/>
              <w:rPr>
                <w:rFonts w:hAnsi="宋体" w:cs="宋体"/>
                <w:color w:val="auto"/>
                <w:szCs w:val="24"/>
                <w:highlight w:val="none"/>
              </w:rPr>
            </w:pPr>
            <w:r>
              <w:rPr>
                <w:rFonts w:hint="eastAsia" w:hAnsi="宋体" w:cs="宋体"/>
                <w:color w:val="auto"/>
                <w:szCs w:val="24"/>
                <w:highlight w:val="none"/>
              </w:rPr>
              <w:t>（元）</w:t>
            </w:r>
          </w:p>
        </w:tc>
        <w:tc>
          <w:tcPr>
            <w:tcW w:w="1787" w:type="pct"/>
            <w:vAlign w:val="center"/>
          </w:tcPr>
          <w:p>
            <w:pPr>
              <w:jc w:val="center"/>
              <w:rPr>
                <w:rFonts w:hAnsi="宋体" w:cs="宋体"/>
                <w:color w:val="auto"/>
                <w:szCs w:val="24"/>
                <w:highlight w:val="none"/>
              </w:rPr>
            </w:pPr>
            <w:r>
              <w:rPr>
                <w:rFonts w:hint="eastAsia" w:hAnsi="宋体" w:cs="宋体"/>
                <w:color w:val="auto"/>
                <w:szCs w:val="24"/>
                <w:highlight w:val="none"/>
              </w:rPr>
              <w:t>交货完工期</w:t>
            </w:r>
          </w:p>
        </w:tc>
        <w:tc>
          <w:tcPr>
            <w:tcW w:w="983" w:type="pct"/>
            <w:vAlign w:val="center"/>
          </w:tcPr>
          <w:p>
            <w:pPr>
              <w:jc w:val="center"/>
              <w:rPr>
                <w:rFonts w:hAnsi="宋体" w:cs="宋体"/>
                <w:color w:val="auto"/>
                <w:szCs w:val="24"/>
                <w:highlight w:val="none"/>
              </w:rPr>
            </w:pPr>
            <w:r>
              <w:rPr>
                <w:rFonts w:hint="eastAsia" w:hAnsi="宋体" w:cs="宋体"/>
                <w:color w:val="auto"/>
                <w:szCs w:val="24"/>
                <w:highlight w:val="none"/>
              </w:rPr>
              <w:t>质保期</w:t>
            </w:r>
          </w:p>
        </w:tc>
        <w:tc>
          <w:tcPr>
            <w:tcW w:w="776" w:type="pct"/>
            <w:vAlign w:val="center"/>
          </w:tcPr>
          <w:p>
            <w:pPr>
              <w:jc w:val="center"/>
              <w:rPr>
                <w:rFonts w:hAnsi="宋体" w:cs="宋体"/>
                <w:color w:val="auto"/>
                <w:szCs w:val="24"/>
                <w:highlight w:val="none"/>
              </w:rPr>
            </w:pPr>
            <w:r>
              <w:rPr>
                <w:rFonts w:hint="eastAsia" w:hAnsi="宋体" w:cs="宋体"/>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452" w:type="pct"/>
            <w:vAlign w:val="center"/>
          </w:tcPr>
          <w:p>
            <w:pPr>
              <w:jc w:val="center"/>
              <w:rPr>
                <w:rFonts w:hAnsi="宋体" w:cs="宋体"/>
                <w:color w:val="auto"/>
                <w:szCs w:val="24"/>
                <w:highlight w:val="none"/>
              </w:rPr>
            </w:pPr>
          </w:p>
        </w:tc>
        <w:tc>
          <w:tcPr>
            <w:tcW w:w="1787" w:type="pct"/>
            <w:vAlign w:val="center"/>
          </w:tcPr>
          <w:p>
            <w:pPr>
              <w:jc w:val="center"/>
              <w:rPr>
                <w:rFonts w:hAnsi="宋体" w:cs="宋体"/>
                <w:color w:val="auto"/>
                <w:szCs w:val="24"/>
                <w:highlight w:val="none"/>
              </w:rPr>
            </w:pPr>
          </w:p>
        </w:tc>
        <w:tc>
          <w:tcPr>
            <w:tcW w:w="983" w:type="pct"/>
            <w:vAlign w:val="center"/>
          </w:tcPr>
          <w:p>
            <w:pPr>
              <w:jc w:val="center"/>
              <w:rPr>
                <w:rFonts w:hAnsi="宋体" w:cs="宋体"/>
                <w:color w:val="auto"/>
                <w:szCs w:val="24"/>
                <w:highlight w:val="none"/>
              </w:rPr>
            </w:pPr>
          </w:p>
        </w:tc>
        <w:tc>
          <w:tcPr>
            <w:tcW w:w="776" w:type="pct"/>
          </w:tcPr>
          <w:p>
            <w:pPr>
              <w:jc w:val="center"/>
              <w:rPr>
                <w:rFonts w:hAnsi="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5000" w:type="pct"/>
            <w:gridSpan w:val="4"/>
            <w:vAlign w:val="center"/>
          </w:tcPr>
          <w:p>
            <w:pPr>
              <w:jc w:val="center"/>
              <w:rPr>
                <w:rFonts w:hAnsi="宋体" w:cs="宋体"/>
                <w:color w:val="auto"/>
                <w:szCs w:val="24"/>
                <w:highlight w:val="none"/>
              </w:rPr>
            </w:pPr>
            <w:r>
              <w:rPr>
                <w:rFonts w:hint="eastAsia" w:hAnsi="宋体" w:cs="宋体"/>
                <w:color w:val="auto"/>
                <w:szCs w:val="24"/>
                <w:highlight w:val="none"/>
              </w:rPr>
              <w:t>投标总报价（大写）：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5000" w:type="pct"/>
            <w:gridSpan w:val="4"/>
            <w:vAlign w:val="center"/>
          </w:tcPr>
          <w:p>
            <w:pPr>
              <w:jc w:val="center"/>
              <w:rPr>
                <w:rFonts w:hAnsi="宋体" w:cs="宋体"/>
                <w:color w:val="auto"/>
                <w:szCs w:val="24"/>
                <w:highlight w:val="none"/>
              </w:rPr>
            </w:pPr>
            <w:r>
              <w:rPr>
                <w:rFonts w:hint="eastAsia" w:hAnsi="宋体" w:cs="宋体"/>
                <w:color w:val="auto"/>
                <w:szCs w:val="24"/>
                <w:highlight w:val="none"/>
              </w:rPr>
              <w:t>备注：表内报价内容以元为单位，保留小数点后两位。</w:t>
            </w:r>
          </w:p>
        </w:tc>
      </w:tr>
    </w:tbl>
    <w:p>
      <w:pPr>
        <w:tabs>
          <w:tab w:val="left" w:pos="7200"/>
          <w:tab w:val="left" w:pos="8504"/>
        </w:tabs>
        <w:spacing w:line="360" w:lineRule="auto"/>
        <w:ind w:right="-1"/>
        <w:rPr>
          <w:rFonts w:hAnsi="宋体" w:cs="宋体"/>
          <w:color w:val="auto"/>
          <w:highlight w:val="none"/>
        </w:rPr>
      </w:pPr>
    </w:p>
    <w:p>
      <w:pPr>
        <w:spacing w:line="120" w:lineRule="exact"/>
        <w:rPr>
          <w:rFonts w:hAnsi="宋体" w:cs="宋体"/>
          <w:color w:val="auto"/>
          <w:highlight w:val="none"/>
        </w:rPr>
      </w:pPr>
    </w:p>
    <w:p>
      <w:pPr>
        <w:spacing w:line="600" w:lineRule="auto"/>
        <w:ind w:right="617" w:rightChars="257"/>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spacing w:line="600" w:lineRule="auto"/>
        <w:ind w:right="617" w:rightChars="257"/>
        <w:jc w:val="left"/>
        <w:rPr>
          <w:rFonts w:hAnsi="宋体" w:cs="宋体"/>
          <w:color w:val="auto"/>
          <w:highlight w:val="none"/>
        </w:rPr>
      </w:pPr>
      <w:r>
        <w:rPr>
          <w:rFonts w:hint="eastAsia" w:hAnsi="宋体" w:cs="宋体"/>
          <w:color w:val="auto"/>
          <w:highlight w:val="none"/>
        </w:rPr>
        <w:t>法定代表人/</w:t>
      </w:r>
      <w:r>
        <w:rPr>
          <w:rFonts w:hint="eastAsia" w:hAnsi="宋体" w:cs="宋体"/>
          <w:color w:val="auto"/>
          <w:szCs w:val="24"/>
          <w:highlight w:val="none"/>
        </w:rPr>
        <w:t>被授权人</w:t>
      </w:r>
      <w:r>
        <w:rPr>
          <w:rFonts w:hint="eastAsia" w:hAnsi="宋体" w:cs="宋体"/>
          <w:color w:val="auto"/>
          <w:spacing w:val="4"/>
          <w:szCs w:val="24"/>
          <w:highlight w:val="none"/>
        </w:rPr>
        <w:t>签字</w:t>
      </w:r>
      <w:r>
        <w:rPr>
          <w:rFonts w:hint="eastAsia" w:hAnsi="宋体" w:cs="宋体"/>
          <w:color w:val="auto"/>
          <w:highlight w:val="none"/>
        </w:rPr>
        <w:t>或</w:t>
      </w:r>
      <w:r>
        <w:rPr>
          <w:rFonts w:hint="eastAsia" w:hAnsi="宋体" w:cs="宋体"/>
          <w:color w:val="auto"/>
          <w:spacing w:val="4"/>
          <w:szCs w:val="24"/>
          <w:highlight w:val="none"/>
        </w:rPr>
        <w:t>盖章</w:t>
      </w:r>
      <w:r>
        <w:rPr>
          <w:rFonts w:hint="eastAsia" w:hAnsi="宋体" w:cs="宋体"/>
          <w:color w:val="auto"/>
          <w:highlight w:val="none"/>
        </w:rPr>
        <w:t>：</w:t>
      </w:r>
    </w:p>
    <w:p>
      <w:pPr>
        <w:spacing w:line="600" w:lineRule="auto"/>
        <w:ind w:right="617" w:rightChars="257"/>
        <w:rPr>
          <w:rFonts w:hAnsi="宋体" w:cs="宋体"/>
          <w:color w:val="auto"/>
          <w:highlight w:val="none"/>
        </w:rPr>
      </w:pPr>
      <w:r>
        <w:rPr>
          <w:rFonts w:hint="eastAsia" w:hAnsi="宋体" w:cs="宋体"/>
          <w:color w:val="auto"/>
          <w:highlight w:val="none"/>
        </w:rPr>
        <w:t>日    期：</w:t>
      </w:r>
    </w:p>
    <w:p>
      <w:pPr>
        <w:rPr>
          <w:rFonts w:hint="eastAsia" w:hAnsi="宋体" w:cs="宋体"/>
          <w:color w:val="auto"/>
          <w:highlight w:val="none"/>
        </w:rPr>
        <w:sectPr>
          <w:pgSz w:w="11906" w:h="16838"/>
          <w:pgMar w:top="1417" w:right="1134" w:bottom="1417" w:left="1417" w:header="1134" w:footer="992" w:gutter="0"/>
          <w:pgNumType w:fmt="numberInDash"/>
          <w:cols w:space="720" w:num="1"/>
          <w:titlePg/>
          <w:docGrid w:type="lines" w:linePitch="333" w:charSpace="0"/>
        </w:sectPr>
      </w:pPr>
      <w:r>
        <w:rPr>
          <w:rFonts w:hint="eastAsia" w:hAnsi="宋体" w:cs="宋体"/>
          <w:color w:val="auto"/>
          <w:highlight w:val="none"/>
        </w:rPr>
        <w:br w:type="page"/>
      </w:r>
    </w:p>
    <w:p>
      <w:pPr>
        <w:shd w:val="clear"/>
        <w:spacing w:beforeLines="0" w:afterLines="0" w:line="360" w:lineRule="auto"/>
        <w:jc w:val="center"/>
        <w:outlineLvl w:val="9"/>
        <w:rPr>
          <w:rFonts w:hint="eastAsia" w:ascii="宋体" w:hAnsi="宋体" w:eastAsia="宋体" w:cs="宋体"/>
          <w:bCs/>
          <w:color w:val="auto"/>
          <w:szCs w:val="24"/>
          <w:highlight w:val="none"/>
        </w:rPr>
      </w:pPr>
      <w:r>
        <w:rPr>
          <w:rFonts w:hint="eastAsia" w:ascii="宋体" w:hAnsi="宋体" w:eastAsia="宋体" w:cs="宋体"/>
          <w:b/>
          <w:color w:val="auto"/>
          <w:sz w:val="30"/>
          <w:szCs w:val="30"/>
          <w:highlight w:val="none"/>
        </w:rPr>
        <w:t>2.2投标分项报价表</w:t>
      </w:r>
      <w:r>
        <w:rPr>
          <w:rFonts w:hint="eastAsia" w:ascii="宋体" w:hAnsi="宋体" w:eastAsia="宋体" w:cs="宋体"/>
          <w:color w:val="auto"/>
          <w:highlight w:val="none"/>
        </w:rPr>
        <w:t xml:space="preserve">      </w:t>
      </w:r>
    </w:p>
    <w:p>
      <w:pPr>
        <w:shd w:val="clear"/>
        <w:spacing w:beforeLines="0" w:afterLines="0" w:line="300" w:lineRule="auto"/>
        <w:ind w:firstLine="1440" w:firstLineChars="600"/>
        <w:jc w:val="left"/>
        <w:outlineLvl w:val="9"/>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项目编号：</w:t>
      </w:r>
    </w:p>
    <w:p>
      <w:pPr>
        <w:shd w:val="clear"/>
        <w:spacing w:beforeLines="0" w:afterLines="0" w:line="300" w:lineRule="auto"/>
        <w:ind w:firstLine="1440" w:firstLineChars="600"/>
        <w:jc w:val="left"/>
        <w:outlineLvl w:val="9"/>
        <w:rPr>
          <w:rFonts w:hint="eastAsia" w:ascii="宋体" w:hAnsi="宋体" w:eastAsia="宋体" w:cs="宋体"/>
          <w:color w:val="auto"/>
          <w:highlight w:val="none"/>
        </w:rPr>
      </w:pPr>
      <w:r>
        <w:rPr>
          <w:rFonts w:hint="eastAsia" w:ascii="宋体" w:hAnsi="宋体" w:eastAsia="宋体" w:cs="宋体"/>
          <w:bCs/>
          <w:color w:val="auto"/>
          <w:szCs w:val="24"/>
          <w:highlight w:val="none"/>
        </w:rPr>
        <w:t xml:space="preserve">项目名称： </w:t>
      </w:r>
    </w:p>
    <w:tbl>
      <w:tblPr>
        <w:tblStyle w:val="44"/>
        <w:tblW w:w="14330" w:type="dxa"/>
        <w:jc w:val="center"/>
        <w:tblLayout w:type="fixed"/>
        <w:tblCellMar>
          <w:top w:w="0" w:type="dxa"/>
          <w:left w:w="0" w:type="dxa"/>
          <w:bottom w:w="0" w:type="dxa"/>
          <w:right w:w="0" w:type="dxa"/>
        </w:tblCellMar>
      </w:tblPr>
      <w:tblGrid>
        <w:gridCol w:w="768"/>
        <w:gridCol w:w="1529"/>
        <w:gridCol w:w="1320"/>
        <w:gridCol w:w="2038"/>
        <w:gridCol w:w="2471"/>
        <w:gridCol w:w="293"/>
        <w:gridCol w:w="1092"/>
        <w:gridCol w:w="995"/>
        <w:gridCol w:w="1906"/>
        <w:gridCol w:w="1918"/>
      </w:tblGrid>
      <w:tr>
        <w:tblPrEx>
          <w:tblCellMar>
            <w:top w:w="0" w:type="dxa"/>
            <w:left w:w="0" w:type="dxa"/>
            <w:bottom w:w="0" w:type="dxa"/>
            <w:right w:w="0" w:type="dxa"/>
          </w:tblCellMar>
        </w:tblPrEx>
        <w:trPr>
          <w:trHeight w:val="556" w:hRule="atLeast"/>
          <w:jc w:val="center"/>
        </w:trPr>
        <w:tc>
          <w:tcPr>
            <w:tcW w:w="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序号</w:t>
            </w:r>
          </w:p>
        </w:tc>
        <w:tc>
          <w:tcPr>
            <w:tcW w:w="15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名 称</w:t>
            </w: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品牌/型号</w:t>
            </w:r>
          </w:p>
        </w:tc>
        <w:tc>
          <w:tcPr>
            <w:tcW w:w="20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制造厂家</w:t>
            </w:r>
          </w:p>
        </w:tc>
        <w:tc>
          <w:tcPr>
            <w:tcW w:w="2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规格和说明</w:t>
            </w:r>
          </w:p>
        </w:tc>
        <w:tc>
          <w:tcPr>
            <w:tcW w:w="1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单位</w:t>
            </w:r>
          </w:p>
        </w:tc>
        <w:tc>
          <w:tcPr>
            <w:tcW w:w="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数量</w:t>
            </w:r>
          </w:p>
        </w:tc>
        <w:tc>
          <w:tcPr>
            <w:tcW w:w="19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单价（元）</w:t>
            </w: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总价（元）</w:t>
            </w:r>
          </w:p>
        </w:tc>
      </w:tr>
      <w:tr>
        <w:tblPrEx>
          <w:tblCellMar>
            <w:top w:w="0" w:type="dxa"/>
            <w:left w:w="0" w:type="dxa"/>
            <w:bottom w:w="0" w:type="dxa"/>
            <w:right w:w="0" w:type="dxa"/>
          </w:tblCellMar>
        </w:tblPrEx>
        <w:trPr>
          <w:trHeight w:val="286" w:hRule="atLeast"/>
          <w:jc w:val="center"/>
        </w:trPr>
        <w:tc>
          <w:tcPr>
            <w:tcW w:w="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1</w:t>
            </w:r>
          </w:p>
        </w:tc>
        <w:tc>
          <w:tcPr>
            <w:tcW w:w="15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286" w:hRule="atLeast"/>
          <w:jc w:val="center"/>
        </w:trPr>
        <w:tc>
          <w:tcPr>
            <w:tcW w:w="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2</w:t>
            </w:r>
          </w:p>
        </w:tc>
        <w:tc>
          <w:tcPr>
            <w:tcW w:w="15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286" w:hRule="atLeast"/>
          <w:jc w:val="center"/>
        </w:trPr>
        <w:tc>
          <w:tcPr>
            <w:tcW w:w="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3</w:t>
            </w:r>
          </w:p>
        </w:tc>
        <w:tc>
          <w:tcPr>
            <w:tcW w:w="15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286" w:hRule="atLeast"/>
          <w:jc w:val="center"/>
        </w:trPr>
        <w:tc>
          <w:tcPr>
            <w:tcW w:w="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w:t>
            </w:r>
          </w:p>
        </w:tc>
        <w:tc>
          <w:tcPr>
            <w:tcW w:w="15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9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286" w:hRule="atLeast"/>
          <w:jc w:val="center"/>
        </w:trPr>
        <w:tc>
          <w:tcPr>
            <w:tcW w:w="229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货物合计（人民币元）</w:t>
            </w:r>
          </w:p>
        </w:tc>
        <w:tc>
          <w:tcPr>
            <w:tcW w:w="10115"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元整</w:t>
            </w: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p>
        </w:tc>
      </w:tr>
      <w:tr>
        <w:tblPrEx>
          <w:tblCellMar>
            <w:top w:w="0" w:type="dxa"/>
            <w:left w:w="0" w:type="dxa"/>
            <w:bottom w:w="0" w:type="dxa"/>
            <w:right w:w="0" w:type="dxa"/>
          </w:tblCellMar>
        </w:tblPrEx>
        <w:trPr>
          <w:trHeight w:val="286" w:hRule="atLeast"/>
          <w:jc w:val="center"/>
        </w:trPr>
        <w:tc>
          <w:tcPr>
            <w:tcW w:w="229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安装调试费</w:t>
            </w:r>
          </w:p>
        </w:tc>
        <w:tc>
          <w:tcPr>
            <w:tcW w:w="612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8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售后服务费</w:t>
            </w:r>
          </w:p>
        </w:tc>
        <w:tc>
          <w:tcPr>
            <w:tcW w:w="382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286" w:hRule="atLeast"/>
          <w:jc w:val="center"/>
        </w:trPr>
        <w:tc>
          <w:tcPr>
            <w:tcW w:w="229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运输费（含保险）</w:t>
            </w:r>
          </w:p>
        </w:tc>
        <w:tc>
          <w:tcPr>
            <w:tcW w:w="612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8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技术培训费</w:t>
            </w:r>
          </w:p>
        </w:tc>
        <w:tc>
          <w:tcPr>
            <w:tcW w:w="382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301" w:hRule="atLeast"/>
          <w:jc w:val="center"/>
        </w:trPr>
        <w:tc>
          <w:tcPr>
            <w:tcW w:w="229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税费</w:t>
            </w:r>
          </w:p>
        </w:tc>
        <w:tc>
          <w:tcPr>
            <w:tcW w:w="612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c>
          <w:tcPr>
            <w:tcW w:w="208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伴随费用等</w:t>
            </w:r>
          </w:p>
        </w:tc>
        <w:tc>
          <w:tcPr>
            <w:tcW w:w="382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p>
        </w:tc>
      </w:tr>
      <w:tr>
        <w:tblPrEx>
          <w:tblCellMar>
            <w:top w:w="0" w:type="dxa"/>
            <w:left w:w="0" w:type="dxa"/>
            <w:bottom w:w="0" w:type="dxa"/>
            <w:right w:w="0" w:type="dxa"/>
          </w:tblCellMar>
        </w:tblPrEx>
        <w:trPr>
          <w:trHeight w:val="90" w:hRule="atLeast"/>
          <w:jc w:val="center"/>
        </w:trPr>
        <w:tc>
          <w:tcPr>
            <w:tcW w:w="229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总 计（人民币元）</w:t>
            </w:r>
          </w:p>
        </w:tc>
        <w:tc>
          <w:tcPr>
            <w:tcW w:w="10115"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元整</w:t>
            </w:r>
          </w:p>
        </w:tc>
        <w:tc>
          <w:tcPr>
            <w:tcW w:w="19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hd w:val="clear"/>
              <w:spacing w:beforeLines="0" w:afterLines="0" w:line="300" w:lineRule="auto"/>
              <w:jc w:val="center"/>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w:t>
            </w:r>
          </w:p>
        </w:tc>
      </w:tr>
      <w:tr>
        <w:tblPrEx>
          <w:tblCellMar>
            <w:top w:w="0" w:type="dxa"/>
            <w:left w:w="0" w:type="dxa"/>
            <w:bottom w:w="0" w:type="dxa"/>
            <w:right w:w="0" w:type="dxa"/>
          </w:tblCellMar>
        </w:tblPrEx>
        <w:trPr>
          <w:trHeight w:val="227" w:hRule="atLeast"/>
          <w:jc w:val="center"/>
        </w:trPr>
        <w:tc>
          <w:tcPr>
            <w:tcW w:w="14330" w:type="dxa"/>
            <w:gridSpan w:val="10"/>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beforeLines="0" w:afterLines="0" w:line="300" w:lineRule="auto"/>
              <w:jc w:val="center"/>
              <w:textAlignment w:val="center"/>
              <w:rPr>
                <w:rFonts w:hint="eastAsia" w:ascii="宋体" w:hAnsi="宋体" w:eastAsia="宋体" w:cs="宋体"/>
                <w:b/>
                <w:sz w:val="24"/>
                <w:highlight w:val="none"/>
              </w:rPr>
            </w:pPr>
            <w:r>
              <w:rPr>
                <w:rFonts w:hint="eastAsia" w:ascii="宋体" w:hAnsi="宋体" w:eastAsia="宋体" w:cs="宋体"/>
                <w:color w:val="auto"/>
                <w:szCs w:val="24"/>
                <w:highlight w:val="none"/>
              </w:rPr>
              <w:t>总报价含（安装调试、运输费、税费、售后服务费、技术培训费、伴随费用等）</w:t>
            </w:r>
          </w:p>
        </w:tc>
      </w:tr>
    </w:tbl>
    <w:p>
      <w:pPr>
        <w:shd w:val="clear"/>
        <w:spacing w:beforeLines="0" w:afterLines="0" w:line="300" w:lineRule="auto"/>
        <w:ind w:right="0" w:rightChars="0"/>
        <w:jc w:val="left"/>
        <w:outlineLvl w:val="9"/>
        <w:rPr>
          <w:rFonts w:hint="eastAsia" w:ascii="宋体" w:hAnsi="宋体" w:eastAsia="宋体" w:cs="宋体"/>
          <w:color w:val="auto"/>
          <w:highlight w:val="none"/>
          <w:u w:val="single"/>
        </w:rPr>
      </w:pPr>
      <w:r>
        <w:rPr>
          <w:rFonts w:hint="eastAsia" w:ascii="宋体" w:hAnsi="宋体" w:eastAsia="宋体" w:cs="宋体"/>
          <w:color w:val="auto"/>
          <w:highlight w:val="none"/>
        </w:rPr>
        <w:t>供应商名称：</w:t>
      </w:r>
      <w:r>
        <w:rPr>
          <w:rFonts w:hint="eastAsia" w:ascii="宋体" w:hAnsi="宋体" w:eastAsia="宋体" w:cs="宋体"/>
          <w:color w:val="auto"/>
          <w:highlight w:val="none"/>
          <w:u w:val="single"/>
        </w:rPr>
        <w:t xml:space="preserve">      （加盖单位公章）      </w:t>
      </w:r>
    </w:p>
    <w:p>
      <w:pPr>
        <w:shd w:val="clear"/>
        <w:spacing w:beforeLines="0" w:afterLines="0" w:line="300" w:lineRule="auto"/>
        <w:ind w:right="0" w:rightChars="0"/>
        <w:jc w:val="left"/>
        <w:outlineLvl w:val="9"/>
        <w:rPr>
          <w:rFonts w:hint="eastAsia" w:ascii="宋体" w:hAnsi="宋体" w:eastAsia="宋体" w:cs="宋体"/>
          <w:color w:val="auto"/>
          <w:highlight w:val="none"/>
        </w:rPr>
      </w:pPr>
      <w:r>
        <w:rPr>
          <w:rFonts w:hint="eastAsia" w:ascii="宋体" w:hAnsi="宋体" w:eastAsia="宋体" w:cs="宋体"/>
          <w:color w:val="auto"/>
          <w:highlight w:val="none"/>
        </w:rPr>
        <w:t>法定代表人/被授权人签字或盖章：</w:t>
      </w:r>
    </w:p>
    <w:p>
      <w:pPr>
        <w:shd w:val="clear"/>
        <w:spacing w:beforeLines="0" w:afterLines="0" w:line="300" w:lineRule="auto"/>
        <w:ind w:right="0" w:rightChars="0"/>
        <w:outlineLvl w:val="9"/>
        <w:rPr>
          <w:rFonts w:hint="eastAsia" w:ascii="宋体" w:hAnsi="宋体" w:eastAsia="宋体" w:cs="宋体"/>
          <w:color w:val="auto"/>
          <w:highlight w:val="none"/>
        </w:rPr>
      </w:pPr>
      <w:r>
        <w:rPr>
          <w:rFonts w:hint="eastAsia" w:ascii="宋体" w:hAnsi="宋体" w:eastAsia="宋体" w:cs="宋体"/>
          <w:color w:val="auto"/>
          <w:highlight w:val="none"/>
        </w:rPr>
        <w:t>日    期：</w:t>
      </w:r>
    </w:p>
    <w:p>
      <w:pPr>
        <w:shd w:val="clear"/>
        <w:spacing w:beforeLines="0" w:afterLines="0" w:line="30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t>注：1.如果按单价计算的结果与总价不一致，以单价为准修正总价。</w:t>
      </w:r>
    </w:p>
    <w:p>
      <w:pPr>
        <w:shd w:val="clear"/>
        <w:spacing w:beforeLines="0" w:afterLines="0" w:line="30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供应商可依据实际报价情况</w:t>
      </w:r>
      <w:r>
        <w:rPr>
          <w:rFonts w:hint="eastAsia" w:ascii="宋体" w:hAnsi="宋体" w:eastAsia="宋体" w:cs="宋体"/>
          <w:color w:val="auto"/>
          <w:highlight w:val="none"/>
        </w:rPr>
        <w:t>适当调整该表格式，但不得减少信息内容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如果不提供分项报价将视为没有实质性响应招标文件。</w:t>
      </w:r>
    </w:p>
    <w:p>
      <w:pPr>
        <w:shd w:val="clear"/>
        <w:spacing w:beforeLines="0" w:afterLines="0" w:line="300" w:lineRule="auto"/>
        <w:outlineLvl w:val="9"/>
        <w:rPr>
          <w:rFonts w:hint="eastAsia" w:ascii="宋体" w:hAnsi="宋体" w:eastAsia="宋体" w:cs="宋体"/>
          <w:color w:val="auto"/>
          <w:highlight w:val="none"/>
        </w:rPr>
        <w:sectPr>
          <w:pgSz w:w="16838" w:h="11906" w:orient="landscape"/>
          <w:pgMar w:top="1417" w:right="1417" w:bottom="1134" w:left="1417" w:header="1134" w:footer="992" w:gutter="0"/>
          <w:pgNumType w:fmt="numberInDash"/>
          <w:cols w:space="0" w:num="1"/>
          <w:titlePg/>
          <w:rtlGutter w:val="0"/>
          <w:docGrid w:type="lines" w:linePitch="334" w:charSpace="0"/>
        </w:sect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3.保留两位小数。</w:t>
      </w:r>
    </w:p>
    <w:p>
      <w:pPr>
        <w:spacing w:line="440" w:lineRule="exact"/>
        <w:jc w:val="center"/>
        <w:rPr>
          <w:rFonts w:hAnsi="宋体" w:cs="宋体"/>
          <w:b/>
          <w:color w:val="auto"/>
          <w:sz w:val="30"/>
          <w:szCs w:val="30"/>
          <w:highlight w:val="none"/>
        </w:rPr>
      </w:pPr>
      <w:r>
        <w:rPr>
          <w:rFonts w:hint="eastAsia" w:hAnsi="宋体" w:cs="宋体"/>
          <w:b/>
          <w:color w:val="auto"/>
          <w:sz w:val="30"/>
          <w:szCs w:val="30"/>
          <w:highlight w:val="none"/>
        </w:rPr>
        <w:t>2.3关键零部件及备品备件清单（如有）</w:t>
      </w:r>
    </w:p>
    <w:p>
      <w:pPr>
        <w:jc w:val="left"/>
        <w:rPr>
          <w:rFonts w:hAnsi="宋体" w:cs="宋体"/>
          <w:bCs/>
          <w:color w:val="auto"/>
          <w:szCs w:val="24"/>
          <w:highlight w:val="none"/>
        </w:rPr>
      </w:pPr>
      <w:r>
        <w:rPr>
          <w:rFonts w:hint="eastAsia" w:hAnsi="宋体" w:cs="宋体"/>
          <w:bCs/>
          <w:color w:val="auto"/>
          <w:szCs w:val="24"/>
          <w:highlight w:val="none"/>
        </w:rPr>
        <w:t>项目编号：</w:t>
      </w:r>
    </w:p>
    <w:p>
      <w:pPr>
        <w:jc w:val="left"/>
        <w:rPr>
          <w:rFonts w:hAnsi="宋体" w:cs="宋体"/>
          <w:bCs/>
          <w:color w:val="auto"/>
          <w:szCs w:val="24"/>
          <w:highlight w:val="none"/>
        </w:rPr>
      </w:pPr>
      <w:r>
        <w:rPr>
          <w:rFonts w:hint="eastAsia" w:hAnsi="宋体" w:cs="宋体"/>
          <w:bCs/>
          <w:color w:val="auto"/>
          <w:szCs w:val="24"/>
          <w:highlight w:val="none"/>
        </w:rPr>
        <w:t xml:space="preserve">项目名称：                    </w:t>
      </w:r>
    </w:p>
    <w:tbl>
      <w:tblPr>
        <w:tblStyle w:val="44"/>
        <w:tblW w:w="90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4"/>
        <w:gridCol w:w="1746"/>
        <w:gridCol w:w="1820"/>
        <w:gridCol w:w="1542"/>
        <w:gridCol w:w="1517"/>
        <w:gridCol w:w="1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954"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序号</w:t>
            </w:r>
          </w:p>
        </w:tc>
        <w:tc>
          <w:tcPr>
            <w:tcW w:w="1746"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名称</w:t>
            </w:r>
          </w:p>
        </w:tc>
        <w:tc>
          <w:tcPr>
            <w:tcW w:w="1820"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型号、规格</w:t>
            </w:r>
          </w:p>
        </w:tc>
        <w:tc>
          <w:tcPr>
            <w:tcW w:w="1542"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国别、制造商</w:t>
            </w:r>
          </w:p>
        </w:tc>
        <w:tc>
          <w:tcPr>
            <w:tcW w:w="1517" w:type="dxa"/>
            <w:vAlign w:val="center"/>
          </w:tcPr>
          <w:p>
            <w:pPr>
              <w:spacing w:line="440" w:lineRule="exact"/>
              <w:jc w:val="center"/>
              <w:rPr>
                <w:rStyle w:val="55"/>
                <w:rFonts w:hAnsi="宋体" w:cs="宋体"/>
                <w:color w:val="auto"/>
                <w:highlight w:val="none"/>
              </w:rPr>
            </w:pPr>
            <w:r>
              <w:rPr>
                <w:rFonts w:hint="eastAsia" w:hAnsi="宋体" w:cs="宋体"/>
                <w:color w:val="auto"/>
                <w:szCs w:val="24"/>
                <w:highlight w:val="none"/>
              </w:rPr>
              <w:t>单价</w:t>
            </w:r>
          </w:p>
          <w:p>
            <w:pPr>
              <w:spacing w:line="440" w:lineRule="exact"/>
              <w:jc w:val="center"/>
              <w:rPr>
                <w:rStyle w:val="55"/>
                <w:rFonts w:hAnsi="宋体" w:cs="宋体"/>
                <w:color w:val="auto"/>
                <w:highlight w:val="none"/>
              </w:rPr>
            </w:pPr>
            <w:r>
              <w:rPr>
                <w:rFonts w:hint="eastAsia" w:hAnsi="宋体" w:cs="宋体"/>
                <w:color w:val="auto"/>
                <w:szCs w:val="24"/>
                <w:highlight w:val="none"/>
              </w:rPr>
              <w:t>（元）</w:t>
            </w:r>
          </w:p>
        </w:tc>
        <w:tc>
          <w:tcPr>
            <w:tcW w:w="1499"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954"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1</w:t>
            </w:r>
          </w:p>
        </w:tc>
        <w:tc>
          <w:tcPr>
            <w:tcW w:w="1746"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w:t>
            </w: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954"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2</w:t>
            </w:r>
          </w:p>
        </w:tc>
        <w:tc>
          <w:tcPr>
            <w:tcW w:w="1746"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w:t>
            </w: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54"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w:t>
            </w:r>
          </w:p>
        </w:tc>
        <w:tc>
          <w:tcPr>
            <w:tcW w:w="1746" w:type="dxa"/>
            <w:vAlign w:val="center"/>
          </w:tcPr>
          <w:p>
            <w:pPr>
              <w:spacing w:line="440" w:lineRule="exact"/>
              <w:jc w:val="center"/>
              <w:rPr>
                <w:rFonts w:hAnsi="宋体" w:cs="宋体"/>
                <w:color w:val="auto"/>
                <w:szCs w:val="24"/>
                <w:highlight w:val="none"/>
              </w:rPr>
            </w:pP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54" w:type="dxa"/>
            <w:vAlign w:val="center"/>
          </w:tcPr>
          <w:p>
            <w:pPr>
              <w:spacing w:line="440" w:lineRule="exact"/>
              <w:jc w:val="center"/>
              <w:rPr>
                <w:rFonts w:hAnsi="宋体" w:cs="宋体"/>
                <w:color w:val="auto"/>
                <w:szCs w:val="24"/>
                <w:highlight w:val="none"/>
              </w:rPr>
            </w:pPr>
          </w:p>
        </w:tc>
        <w:tc>
          <w:tcPr>
            <w:tcW w:w="1746" w:type="dxa"/>
            <w:vAlign w:val="center"/>
          </w:tcPr>
          <w:p>
            <w:pPr>
              <w:spacing w:line="440" w:lineRule="exact"/>
              <w:jc w:val="center"/>
              <w:rPr>
                <w:rFonts w:hAnsi="宋体" w:cs="宋体"/>
                <w:color w:val="auto"/>
                <w:szCs w:val="24"/>
                <w:highlight w:val="none"/>
              </w:rPr>
            </w:pP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54" w:type="dxa"/>
            <w:vAlign w:val="center"/>
          </w:tcPr>
          <w:p>
            <w:pPr>
              <w:spacing w:line="440" w:lineRule="exact"/>
              <w:jc w:val="center"/>
              <w:rPr>
                <w:rFonts w:hAnsi="宋体" w:cs="宋体"/>
                <w:color w:val="auto"/>
                <w:szCs w:val="24"/>
                <w:highlight w:val="none"/>
              </w:rPr>
            </w:pPr>
          </w:p>
        </w:tc>
        <w:tc>
          <w:tcPr>
            <w:tcW w:w="1746" w:type="dxa"/>
            <w:vAlign w:val="center"/>
          </w:tcPr>
          <w:p>
            <w:pPr>
              <w:spacing w:line="440" w:lineRule="exact"/>
              <w:jc w:val="center"/>
              <w:rPr>
                <w:rFonts w:hAnsi="宋体" w:cs="宋体"/>
                <w:color w:val="auto"/>
                <w:szCs w:val="24"/>
                <w:highlight w:val="none"/>
              </w:rPr>
            </w:pP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54" w:type="dxa"/>
            <w:vAlign w:val="center"/>
          </w:tcPr>
          <w:p>
            <w:pPr>
              <w:spacing w:line="440" w:lineRule="exact"/>
              <w:jc w:val="center"/>
              <w:rPr>
                <w:rFonts w:hAnsi="宋体" w:cs="宋体"/>
                <w:color w:val="auto"/>
                <w:szCs w:val="24"/>
                <w:highlight w:val="none"/>
              </w:rPr>
            </w:pPr>
          </w:p>
        </w:tc>
        <w:tc>
          <w:tcPr>
            <w:tcW w:w="1746" w:type="dxa"/>
            <w:vAlign w:val="center"/>
          </w:tcPr>
          <w:p>
            <w:pPr>
              <w:spacing w:line="440" w:lineRule="exact"/>
              <w:jc w:val="center"/>
              <w:rPr>
                <w:rFonts w:hAnsi="宋体" w:cs="宋体"/>
                <w:color w:val="auto"/>
                <w:szCs w:val="24"/>
                <w:highlight w:val="none"/>
              </w:rPr>
            </w:pP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54" w:type="dxa"/>
            <w:vAlign w:val="center"/>
          </w:tcPr>
          <w:p>
            <w:pPr>
              <w:spacing w:line="440" w:lineRule="exact"/>
              <w:jc w:val="center"/>
              <w:rPr>
                <w:rFonts w:hAnsi="宋体" w:cs="宋体"/>
                <w:color w:val="auto"/>
                <w:szCs w:val="24"/>
                <w:highlight w:val="none"/>
              </w:rPr>
            </w:pPr>
          </w:p>
        </w:tc>
        <w:tc>
          <w:tcPr>
            <w:tcW w:w="1746" w:type="dxa"/>
            <w:vAlign w:val="center"/>
          </w:tcPr>
          <w:p>
            <w:pPr>
              <w:spacing w:line="440" w:lineRule="exact"/>
              <w:jc w:val="center"/>
              <w:rPr>
                <w:rFonts w:hAnsi="宋体" w:cs="宋体"/>
                <w:color w:val="auto"/>
                <w:szCs w:val="24"/>
                <w:highlight w:val="none"/>
              </w:rPr>
            </w:pP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54" w:type="dxa"/>
            <w:vAlign w:val="center"/>
          </w:tcPr>
          <w:p>
            <w:pPr>
              <w:spacing w:line="440" w:lineRule="exact"/>
              <w:jc w:val="center"/>
              <w:rPr>
                <w:rFonts w:hAnsi="宋体" w:cs="宋体"/>
                <w:color w:val="auto"/>
                <w:szCs w:val="24"/>
                <w:highlight w:val="none"/>
              </w:rPr>
            </w:pPr>
          </w:p>
        </w:tc>
        <w:tc>
          <w:tcPr>
            <w:tcW w:w="1746" w:type="dxa"/>
            <w:vAlign w:val="center"/>
          </w:tcPr>
          <w:p>
            <w:pPr>
              <w:spacing w:line="440" w:lineRule="exact"/>
              <w:jc w:val="center"/>
              <w:rPr>
                <w:rFonts w:hAnsi="宋体" w:cs="宋体"/>
                <w:color w:val="auto"/>
                <w:szCs w:val="24"/>
                <w:highlight w:val="none"/>
              </w:rPr>
            </w:pPr>
          </w:p>
        </w:tc>
        <w:tc>
          <w:tcPr>
            <w:tcW w:w="1820" w:type="dxa"/>
            <w:vAlign w:val="center"/>
          </w:tcPr>
          <w:p>
            <w:pPr>
              <w:spacing w:line="440" w:lineRule="exact"/>
              <w:jc w:val="center"/>
              <w:rPr>
                <w:rFonts w:hAnsi="宋体" w:cs="宋体"/>
                <w:color w:val="auto"/>
                <w:szCs w:val="24"/>
                <w:highlight w:val="none"/>
              </w:rPr>
            </w:pPr>
          </w:p>
        </w:tc>
        <w:tc>
          <w:tcPr>
            <w:tcW w:w="1542" w:type="dxa"/>
          </w:tcPr>
          <w:p>
            <w:pPr>
              <w:spacing w:line="440" w:lineRule="exact"/>
              <w:jc w:val="center"/>
              <w:rPr>
                <w:rFonts w:hAnsi="宋体" w:cs="宋体"/>
                <w:color w:val="auto"/>
                <w:szCs w:val="24"/>
                <w:highlight w:val="none"/>
              </w:rPr>
            </w:pPr>
          </w:p>
        </w:tc>
        <w:tc>
          <w:tcPr>
            <w:tcW w:w="1517" w:type="dxa"/>
            <w:vAlign w:val="center"/>
          </w:tcPr>
          <w:p>
            <w:pPr>
              <w:spacing w:line="440" w:lineRule="exact"/>
              <w:jc w:val="center"/>
              <w:rPr>
                <w:rFonts w:hAnsi="宋体" w:cs="宋体"/>
                <w:color w:val="auto"/>
                <w:szCs w:val="24"/>
                <w:highlight w:val="none"/>
              </w:rPr>
            </w:pPr>
          </w:p>
        </w:tc>
        <w:tc>
          <w:tcPr>
            <w:tcW w:w="1499" w:type="dxa"/>
            <w:vAlign w:val="center"/>
          </w:tcPr>
          <w:p>
            <w:pPr>
              <w:spacing w:line="440" w:lineRule="exact"/>
              <w:jc w:val="center"/>
              <w:rPr>
                <w:rFonts w:hAnsi="宋体" w:cs="宋体"/>
                <w:color w:val="auto"/>
                <w:szCs w:val="24"/>
                <w:highlight w:val="none"/>
              </w:rPr>
            </w:pPr>
          </w:p>
        </w:tc>
      </w:tr>
    </w:tbl>
    <w:p>
      <w:pPr>
        <w:spacing w:line="520" w:lineRule="exact"/>
        <w:rPr>
          <w:rFonts w:hAnsi="宋体" w:cs="宋体"/>
          <w:color w:val="auto"/>
          <w:szCs w:val="24"/>
          <w:highlight w:val="none"/>
        </w:rPr>
      </w:pPr>
    </w:p>
    <w:p>
      <w:pPr>
        <w:spacing w:line="560" w:lineRule="exact"/>
        <w:ind w:right="617" w:rightChars="257"/>
        <w:jc w:val="left"/>
        <w:rPr>
          <w:rFonts w:hAnsi="宋体" w:cs="宋体"/>
          <w:color w:val="auto"/>
          <w:highlight w:val="none"/>
        </w:rPr>
      </w:pPr>
      <w:r>
        <w:rPr>
          <w:rFonts w:hint="eastAsia" w:hAnsi="宋体" w:cs="宋体"/>
          <w:color w:val="auto"/>
          <w:highlight w:val="none"/>
        </w:rPr>
        <w:t>法定代表人/被授权人签字或盖章：</w:t>
      </w:r>
    </w:p>
    <w:p>
      <w:pPr>
        <w:spacing w:line="520" w:lineRule="exact"/>
        <w:rPr>
          <w:rFonts w:hAnsi="宋体" w:cs="宋体"/>
          <w:color w:val="auto"/>
          <w:szCs w:val="24"/>
          <w:highlight w:val="none"/>
        </w:rPr>
      </w:pPr>
    </w:p>
    <w:p>
      <w:pPr>
        <w:spacing w:line="520" w:lineRule="exact"/>
        <w:rPr>
          <w:rFonts w:hAnsi="宋体" w:cs="宋体"/>
          <w:color w:val="auto"/>
          <w:szCs w:val="24"/>
          <w:highlight w:val="non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spacing w:line="520" w:lineRule="exact"/>
        <w:rPr>
          <w:rFonts w:hAnsi="宋体" w:cs="宋体"/>
          <w:color w:val="auto"/>
          <w:szCs w:val="24"/>
          <w:highlight w:val="none"/>
        </w:rPr>
      </w:pPr>
      <w:r>
        <w:rPr>
          <w:rFonts w:hint="eastAsia" w:hAnsi="宋体" w:cs="宋体"/>
          <w:color w:val="auto"/>
          <w:szCs w:val="24"/>
          <w:highlight w:val="none"/>
        </w:rPr>
        <w:t>日      期：</w:t>
      </w:r>
    </w:p>
    <w:p>
      <w:pPr>
        <w:spacing w:line="440" w:lineRule="exact"/>
        <w:rPr>
          <w:rFonts w:hAnsi="宋体" w:cs="宋体"/>
          <w:color w:val="auto"/>
          <w:highlight w:val="none"/>
        </w:rPr>
      </w:pPr>
    </w:p>
    <w:p>
      <w:pPr>
        <w:spacing w:line="312" w:lineRule="auto"/>
        <w:rPr>
          <w:rFonts w:hAnsi="宋体" w:cs="宋体"/>
          <w:bCs/>
          <w:color w:val="auto"/>
          <w:highlight w:val="none"/>
        </w:rPr>
      </w:pPr>
      <w:r>
        <w:rPr>
          <w:rFonts w:hint="eastAsia" w:hAnsi="宋体" w:cs="宋体"/>
          <w:color w:val="auto"/>
          <w:highlight w:val="none"/>
        </w:rPr>
        <w:t>注：1.</w:t>
      </w:r>
      <w:r>
        <w:rPr>
          <w:rFonts w:hint="eastAsia" w:hAnsi="宋体" w:cs="宋体"/>
          <w:bCs/>
          <w:color w:val="auto"/>
          <w:highlight w:val="none"/>
        </w:rPr>
        <w:t>供应商可适当调整该表格式，但不得减少信息内容；</w:t>
      </w:r>
    </w:p>
    <w:p>
      <w:pPr>
        <w:rPr>
          <w:rFonts w:hAnsi="宋体" w:cs="宋体"/>
          <w:color w:val="auto"/>
          <w:highlight w:val="none"/>
        </w:rPr>
      </w:pPr>
    </w:p>
    <w:p>
      <w:pPr>
        <w:spacing w:line="440" w:lineRule="exact"/>
        <w:jc w:val="center"/>
        <w:rPr>
          <w:rFonts w:hAnsi="宋体" w:cs="宋体"/>
          <w:b/>
          <w:color w:val="auto"/>
          <w:sz w:val="30"/>
          <w:szCs w:val="30"/>
          <w:highlight w:val="none"/>
        </w:rPr>
      </w:pPr>
    </w:p>
    <w:p>
      <w:pPr>
        <w:pStyle w:val="31"/>
      </w:pPr>
    </w:p>
    <w:p>
      <w:pPr>
        <w:pStyle w:val="20"/>
        <w:rPr>
          <w:highlight w:val="none"/>
        </w:rPr>
      </w:pPr>
    </w:p>
    <w:p>
      <w:pPr>
        <w:spacing w:line="440" w:lineRule="exact"/>
        <w:jc w:val="center"/>
        <w:rPr>
          <w:rFonts w:hAnsi="宋体" w:cs="宋体"/>
          <w:b/>
          <w:color w:val="auto"/>
          <w:sz w:val="30"/>
          <w:szCs w:val="30"/>
          <w:highlight w:val="none"/>
        </w:rPr>
      </w:pPr>
      <w:r>
        <w:rPr>
          <w:rFonts w:hint="eastAsia" w:hAnsi="宋体" w:cs="宋体"/>
          <w:b/>
          <w:color w:val="auto"/>
          <w:sz w:val="30"/>
          <w:szCs w:val="30"/>
          <w:highlight w:val="none"/>
        </w:rPr>
        <w:t>2.4耗材清单（如有）</w:t>
      </w:r>
    </w:p>
    <w:p>
      <w:pPr>
        <w:jc w:val="left"/>
        <w:rPr>
          <w:rFonts w:hAnsi="宋体" w:cs="宋体"/>
          <w:bCs/>
          <w:color w:val="auto"/>
          <w:szCs w:val="24"/>
          <w:highlight w:val="none"/>
        </w:rPr>
      </w:pPr>
      <w:r>
        <w:rPr>
          <w:rFonts w:hint="eastAsia" w:hAnsi="宋体" w:cs="宋体"/>
          <w:bCs/>
          <w:color w:val="auto"/>
          <w:szCs w:val="24"/>
          <w:highlight w:val="none"/>
        </w:rPr>
        <w:t>项目编号：</w:t>
      </w:r>
    </w:p>
    <w:p>
      <w:pPr>
        <w:jc w:val="left"/>
        <w:rPr>
          <w:rFonts w:hAnsi="宋体" w:cs="宋体"/>
          <w:color w:val="auto"/>
          <w:spacing w:val="4"/>
          <w:szCs w:val="24"/>
          <w:highlight w:val="none"/>
        </w:rPr>
      </w:pPr>
      <w:r>
        <w:rPr>
          <w:rFonts w:hint="eastAsia" w:hAnsi="宋体" w:cs="宋体"/>
          <w:bCs/>
          <w:color w:val="auto"/>
          <w:szCs w:val="24"/>
          <w:highlight w:val="none"/>
        </w:rPr>
        <w:t>项目名称：</w:t>
      </w:r>
      <w:r>
        <w:rPr>
          <w:rFonts w:hint="eastAsia" w:hAnsi="宋体" w:cs="宋体"/>
          <w:bCs/>
          <w:color w:val="auto"/>
          <w:spacing w:val="4"/>
          <w:szCs w:val="24"/>
          <w:highlight w:val="none"/>
        </w:rPr>
        <w:t xml:space="preserve">                                 </w:t>
      </w:r>
    </w:p>
    <w:tbl>
      <w:tblPr>
        <w:tblStyle w:val="44"/>
        <w:tblW w:w="9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2214"/>
        <w:gridCol w:w="1529"/>
        <w:gridCol w:w="1594"/>
        <w:gridCol w:w="1588"/>
        <w:gridCol w:w="1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3" w:hRule="atLeast"/>
        </w:trPr>
        <w:tc>
          <w:tcPr>
            <w:tcW w:w="963"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序号</w:t>
            </w:r>
          </w:p>
        </w:tc>
        <w:tc>
          <w:tcPr>
            <w:tcW w:w="2214"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耗材名称</w:t>
            </w:r>
          </w:p>
        </w:tc>
        <w:tc>
          <w:tcPr>
            <w:tcW w:w="1529"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规格</w:t>
            </w:r>
          </w:p>
        </w:tc>
        <w:tc>
          <w:tcPr>
            <w:tcW w:w="1594"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单价（元）</w:t>
            </w:r>
          </w:p>
        </w:tc>
        <w:tc>
          <w:tcPr>
            <w:tcW w:w="1588"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预计年用量</w:t>
            </w:r>
          </w:p>
        </w:tc>
        <w:tc>
          <w:tcPr>
            <w:tcW w:w="1588"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963"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1</w:t>
            </w:r>
          </w:p>
        </w:tc>
        <w:tc>
          <w:tcPr>
            <w:tcW w:w="2214" w:type="dxa"/>
            <w:vAlign w:val="center"/>
          </w:tcPr>
          <w:p>
            <w:pPr>
              <w:spacing w:line="440" w:lineRule="exact"/>
              <w:jc w:val="center"/>
              <w:rPr>
                <w:rFonts w:hAnsi="宋体" w:cs="宋体"/>
                <w:color w:val="auto"/>
                <w:szCs w:val="24"/>
                <w:highlight w:val="none"/>
              </w:rPr>
            </w:pPr>
          </w:p>
        </w:tc>
        <w:tc>
          <w:tcPr>
            <w:tcW w:w="1529" w:type="dxa"/>
            <w:vAlign w:val="center"/>
          </w:tcPr>
          <w:p>
            <w:pPr>
              <w:spacing w:line="440" w:lineRule="exact"/>
              <w:jc w:val="center"/>
              <w:rPr>
                <w:rFonts w:hAnsi="宋体" w:cs="宋体"/>
                <w:color w:val="auto"/>
                <w:szCs w:val="24"/>
                <w:highlight w:val="none"/>
              </w:rPr>
            </w:pPr>
          </w:p>
        </w:tc>
        <w:tc>
          <w:tcPr>
            <w:tcW w:w="1594" w:type="dxa"/>
            <w:vAlign w:val="center"/>
          </w:tcPr>
          <w:p>
            <w:pPr>
              <w:spacing w:line="440" w:lineRule="exact"/>
              <w:jc w:val="center"/>
              <w:rPr>
                <w:rFonts w:hAnsi="宋体" w:cs="宋体"/>
                <w:color w:val="auto"/>
                <w:szCs w:val="24"/>
                <w:highlight w:val="none"/>
              </w:rPr>
            </w:pPr>
          </w:p>
        </w:tc>
        <w:tc>
          <w:tcPr>
            <w:tcW w:w="1588" w:type="dxa"/>
            <w:vAlign w:val="center"/>
          </w:tcPr>
          <w:p>
            <w:pPr>
              <w:spacing w:line="440" w:lineRule="exact"/>
              <w:jc w:val="center"/>
              <w:rPr>
                <w:rFonts w:hAnsi="宋体" w:cs="宋体"/>
                <w:color w:val="auto"/>
                <w:szCs w:val="24"/>
                <w:highlight w:val="none"/>
              </w:rPr>
            </w:pPr>
          </w:p>
        </w:tc>
        <w:tc>
          <w:tcPr>
            <w:tcW w:w="1588" w:type="dxa"/>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963"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2</w:t>
            </w:r>
          </w:p>
        </w:tc>
        <w:tc>
          <w:tcPr>
            <w:tcW w:w="2214" w:type="dxa"/>
            <w:vAlign w:val="center"/>
          </w:tcPr>
          <w:p>
            <w:pPr>
              <w:spacing w:line="440" w:lineRule="exact"/>
              <w:jc w:val="center"/>
              <w:rPr>
                <w:rFonts w:hAnsi="宋体" w:cs="宋体"/>
                <w:color w:val="auto"/>
                <w:szCs w:val="24"/>
                <w:highlight w:val="none"/>
              </w:rPr>
            </w:pPr>
          </w:p>
        </w:tc>
        <w:tc>
          <w:tcPr>
            <w:tcW w:w="1529" w:type="dxa"/>
            <w:vAlign w:val="center"/>
          </w:tcPr>
          <w:p>
            <w:pPr>
              <w:spacing w:line="440" w:lineRule="exact"/>
              <w:jc w:val="center"/>
              <w:rPr>
                <w:rFonts w:hAnsi="宋体" w:cs="宋体"/>
                <w:color w:val="auto"/>
                <w:szCs w:val="24"/>
                <w:highlight w:val="none"/>
              </w:rPr>
            </w:pPr>
          </w:p>
        </w:tc>
        <w:tc>
          <w:tcPr>
            <w:tcW w:w="1594" w:type="dxa"/>
            <w:vAlign w:val="center"/>
          </w:tcPr>
          <w:p>
            <w:pPr>
              <w:spacing w:line="440" w:lineRule="exact"/>
              <w:jc w:val="center"/>
              <w:rPr>
                <w:rFonts w:hAnsi="宋体" w:cs="宋体"/>
                <w:color w:val="auto"/>
                <w:szCs w:val="24"/>
                <w:highlight w:val="none"/>
              </w:rPr>
            </w:pPr>
          </w:p>
        </w:tc>
        <w:tc>
          <w:tcPr>
            <w:tcW w:w="1588" w:type="dxa"/>
            <w:vAlign w:val="center"/>
          </w:tcPr>
          <w:p>
            <w:pPr>
              <w:spacing w:line="440" w:lineRule="exact"/>
              <w:jc w:val="center"/>
              <w:rPr>
                <w:rFonts w:hAnsi="宋体" w:cs="宋体"/>
                <w:color w:val="auto"/>
                <w:szCs w:val="24"/>
                <w:highlight w:val="none"/>
              </w:rPr>
            </w:pPr>
          </w:p>
        </w:tc>
        <w:tc>
          <w:tcPr>
            <w:tcW w:w="1588" w:type="dxa"/>
          </w:tcPr>
          <w:p>
            <w:pPr>
              <w:spacing w:line="440" w:lineRule="exact"/>
              <w:jc w:val="center"/>
              <w:rPr>
                <w:rFonts w:hAnsi="宋体" w:cs="宋体"/>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4" w:hRule="atLeast"/>
        </w:trPr>
        <w:tc>
          <w:tcPr>
            <w:tcW w:w="963" w:type="dxa"/>
            <w:vAlign w:val="center"/>
          </w:tcPr>
          <w:p>
            <w:pPr>
              <w:spacing w:line="440" w:lineRule="exact"/>
              <w:jc w:val="center"/>
              <w:rPr>
                <w:rFonts w:hAnsi="宋体" w:cs="宋体"/>
                <w:color w:val="auto"/>
                <w:szCs w:val="24"/>
                <w:highlight w:val="none"/>
              </w:rPr>
            </w:pPr>
            <w:r>
              <w:rPr>
                <w:rFonts w:hint="eastAsia" w:hAnsi="宋体" w:cs="宋体"/>
                <w:color w:val="auto"/>
                <w:szCs w:val="24"/>
                <w:highlight w:val="none"/>
              </w:rPr>
              <w:t>…</w:t>
            </w:r>
          </w:p>
        </w:tc>
        <w:tc>
          <w:tcPr>
            <w:tcW w:w="2214" w:type="dxa"/>
            <w:vAlign w:val="center"/>
          </w:tcPr>
          <w:p>
            <w:pPr>
              <w:spacing w:line="440" w:lineRule="exact"/>
              <w:jc w:val="center"/>
              <w:rPr>
                <w:rFonts w:hAnsi="宋体" w:cs="宋体"/>
                <w:color w:val="auto"/>
                <w:szCs w:val="24"/>
                <w:highlight w:val="none"/>
              </w:rPr>
            </w:pPr>
          </w:p>
        </w:tc>
        <w:tc>
          <w:tcPr>
            <w:tcW w:w="1529" w:type="dxa"/>
            <w:vAlign w:val="center"/>
          </w:tcPr>
          <w:p>
            <w:pPr>
              <w:spacing w:line="440" w:lineRule="exact"/>
              <w:jc w:val="center"/>
              <w:rPr>
                <w:rFonts w:hAnsi="宋体" w:cs="宋体"/>
                <w:color w:val="auto"/>
                <w:szCs w:val="24"/>
                <w:highlight w:val="none"/>
              </w:rPr>
            </w:pPr>
          </w:p>
        </w:tc>
        <w:tc>
          <w:tcPr>
            <w:tcW w:w="1594" w:type="dxa"/>
            <w:vAlign w:val="center"/>
          </w:tcPr>
          <w:p>
            <w:pPr>
              <w:spacing w:line="440" w:lineRule="exact"/>
              <w:jc w:val="center"/>
              <w:rPr>
                <w:rFonts w:hAnsi="宋体" w:cs="宋体"/>
                <w:color w:val="auto"/>
                <w:szCs w:val="24"/>
                <w:highlight w:val="none"/>
              </w:rPr>
            </w:pPr>
          </w:p>
        </w:tc>
        <w:tc>
          <w:tcPr>
            <w:tcW w:w="1588" w:type="dxa"/>
            <w:vAlign w:val="center"/>
          </w:tcPr>
          <w:p>
            <w:pPr>
              <w:spacing w:line="440" w:lineRule="exact"/>
              <w:jc w:val="center"/>
              <w:rPr>
                <w:rFonts w:hAnsi="宋体" w:cs="宋体"/>
                <w:color w:val="auto"/>
                <w:szCs w:val="24"/>
                <w:highlight w:val="none"/>
              </w:rPr>
            </w:pPr>
          </w:p>
        </w:tc>
        <w:tc>
          <w:tcPr>
            <w:tcW w:w="1588" w:type="dxa"/>
          </w:tcPr>
          <w:p>
            <w:pPr>
              <w:spacing w:line="440" w:lineRule="exact"/>
              <w:jc w:val="center"/>
              <w:rPr>
                <w:rFonts w:hAnsi="宋体" w:cs="宋体"/>
                <w:color w:val="auto"/>
                <w:szCs w:val="24"/>
                <w:highlight w:val="none"/>
              </w:rPr>
            </w:pPr>
          </w:p>
        </w:tc>
      </w:tr>
    </w:tbl>
    <w:p>
      <w:pPr>
        <w:adjustRightInd w:val="0"/>
        <w:snapToGrid w:val="0"/>
        <w:spacing w:line="440" w:lineRule="exact"/>
        <w:ind w:left="137" w:leftChars="57" w:firstLine="1446" w:firstLineChars="600"/>
        <w:rPr>
          <w:rFonts w:hAnsi="宋体" w:cs="宋体"/>
          <w:b/>
          <w:bCs/>
          <w:color w:val="auto"/>
          <w:szCs w:val="24"/>
          <w:highlight w:val="none"/>
        </w:rPr>
      </w:pPr>
    </w:p>
    <w:p>
      <w:pPr>
        <w:spacing w:line="560" w:lineRule="exact"/>
        <w:ind w:right="617" w:rightChars="257"/>
        <w:jc w:val="left"/>
        <w:rPr>
          <w:rFonts w:hAnsi="宋体" w:cs="宋体"/>
          <w:color w:val="auto"/>
          <w:highlight w:val="none"/>
        </w:rPr>
      </w:pPr>
      <w:r>
        <w:rPr>
          <w:rFonts w:hint="eastAsia" w:hAnsi="宋体" w:cs="宋体"/>
          <w:color w:val="auto"/>
          <w:highlight w:val="none"/>
        </w:rPr>
        <w:t>法定代表人/被授权人签字或盖章：</w:t>
      </w:r>
    </w:p>
    <w:p>
      <w:pPr>
        <w:spacing w:line="520" w:lineRule="exact"/>
        <w:rPr>
          <w:rFonts w:hAnsi="宋体" w:cs="宋体"/>
          <w:color w:val="auto"/>
          <w:szCs w:val="24"/>
          <w:highlight w:val="none"/>
        </w:rPr>
      </w:pPr>
    </w:p>
    <w:p>
      <w:pPr>
        <w:spacing w:line="520" w:lineRule="exact"/>
        <w:rPr>
          <w:rFonts w:hAnsi="宋体" w:cs="宋体"/>
          <w:color w:val="auto"/>
          <w:szCs w:val="24"/>
          <w:highlight w:val="non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spacing w:line="520" w:lineRule="exact"/>
        <w:rPr>
          <w:rFonts w:hAnsi="宋体" w:cs="宋体"/>
          <w:color w:val="auto"/>
          <w:szCs w:val="24"/>
          <w:highlight w:val="none"/>
        </w:rPr>
      </w:pPr>
    </w:p>
    <w:p>
      <w:pPr>
        <w:spacing w:line="520" w:lineRule="exact"/>
        <w:rPr>
          <w:rFonts w:hAnsi="宋体" w:cs="宋体"/>
          <w:color w:val="auto"/>
          <w:szCs w:val="24"/>
          <w:highlight w:val="none"/>
        </w:rPr>
      </w:pPr>
      <w:r>
        <w:rPr>
          <w:rFonts w:hint="eastAsia" w:hAnsi="宋体" w:cs="宋体"/>
          <w:color w:val="auto"/>
          <w:szCs w:val="24"/>
          <w:highlight w:val="none"/>
        </w:rPr>
        <w:t>日      期：</w:t>
      </w:r>
    </w:p>
    <w:p>
      <w:pPr>
        <w:adjustRightInd w:val="0"/>
        <w:snapToGrid w:val="0"/>
        <w:spacing w:line="440" w:lineRule="exact"/>
        <w:ind w:left="137" w:leftChars="57" w:firstLine="1446" w:firstLineChars="600"/>
        <w:rPr>
          <w:rFonts w:hAnsi="宋体" w:cs="宋体"/>
          <w:b/>
          <w:bCs/>
          <w:color w:val="auto"/>
          <w:szCs w:val="24"/>
          <w:highlight w:val="none"/>
        </w:rPr>
      </w:pPr>
    </w:p>
    <w:p>
      <w:pPr>
        <w:adjustRightInd w:val="0"/>
        <w:snapToGrid w:val="0"/>
        <w:spacing w:line="440" w:lineRule="exact"/>
        <w:ind w:left="137" w:leftChars="57" w:firstLine="1446" w:firstLineChars="600"/>
        <w:rPr>
          <w:rFonts w:hAnsi="宋体" w:cs="宋体"/>
          <w:b/>
          <w:bCs/>
          <w:color w:val="auto"/>
          <w:szCs w:val="24"/>
          <w:highlight w:val="none"/>
        </w:rPr>
      </w:pPr>
    </w:p>
    <w:p>
      <w:pPr>
        <w:adjustRightInd w:val="0"/>
        <w:snapToGrid w:val="0"/>
        <w:spacing w:line="440" w:lineRule="exact"/>
        <w:ind w:left="137" w:leftChars="57" w:firstLine="1446" w:firstLineChars="600"/>
        <w:rPr>
          <w:rFonts w:hAnsi="宋体" w:cs="宋体"/>
          <w:b/>
          <w:bCs/>
          <w:color w:val="auto"/>
          <w:szCs w:val="24"/>
          <w:highlight w:val="none"/>
        </w:rPr>
      </w:pPr>
    </w:p>
    <w:p>
      <w:pPr>
        <w:adjustRightInd w:val="0"/>
        <w:snapToGrid w:val="0"/>
        <w:spacing w:line="440" w:lineRule="exact"/>
        <w:ind w:left="137" w:leftChars="57" w:firstLine="1446" w:firstLineChars="600"/>
        <w:rPr>
          <w:rFonts w:hAnsi="宋体" w:cs="宋体"/>
          <w:b/>
          <w:bCs/>
          <w:color w:val="auto"/>
          <w:szCs w:val="24"/>
          <w:highlight w:val="none"/>
        </w:rPr>
      </w:pPr>
    </w:p>
    <w:p>
      <w:pPr>
        <w:adjustRightInd w:val="0"/>
        <w:snapToGrid w:val="0"/>
        <w:spacing w:line="440" w:lineRule="exact"/>
        <w:ind w:left="137" w:leftChars="57" w:firstLine="1446" w:firstLineChars="600"/>
        <w:rPr>
          <w:rFonts w:hAnsi="宋体" w:cs="宋体"/>
          <w:b/>
          <w:bCs/>
          <w:color w:val="auto"/>
          <w:szCs w:val="24"/>
          <w:highlight w:val="none"/>
        </w:rPr>
      </w:pPr>
    </w:p>
    <w:p>
      <w:pPr>
        <w:adjustRightInd w:val="0"/>
        <w:snapToGrid w:val="0"/>
        <w:spacing w:line="440" w:lineRule="exact"/>
        <w:ind w:left="137" w:leftChars="57" w:firstLine="1446" w:firstLineChars="600"/>
        <w:rPr>
          <w:rFonts w:hAnsi="宋体" w:cs="宋体"/>
          <w:b/>
          <w:bCs/>
          <w:color w:val="auto"/>
          <w:szCs w:val="24"/>
          <w:highlight w:val="none"/>
        </w:rPr>
      </w:pPr>
    </w:p>
    <w:p>
      <w:pPr>
        <w:adjustRightInd w:val="0"/>
        <w:snapToGrid w:val="0"/>
        <w:spacing w:line="440" w:lineRule="exact"/>
        <w:rPr>
          <w:rFonts w:hAnsi="宋体" w:cs="宋体"/>
          <w:color w:val="auto"/>
          <w:highlight w:val="none"/>
        </w:rPr>
      </w:pPr>
    </w:p>
    <w:p>
      <w:pPr>
        <w:rPr>
          <w:rFonts w:hAnsi="宋体" w:cs="宋体"/>
          <w:color w:val="auto"/>
          <w:highlight w:val="none"/>
        </w:rPr>
      </w:pPr>
      <w:bookmarkStart w:id="465" w:name="_Toc19152"/>
      <w:bookmarkStart w:id="466" w:name="_Toc4126"/>
      <w:bookmarkStart w:id="467" w:name="_Toc31326"/>
      <w:bookmarkStart w:id="468" w:name="_Toc12427"/>
      <w:bookmarkStart w:id="469" w:name="_Toc14384"/>
      <w:bookmarkStart w:id="470" w:name="_Toc8367"/>
      <w:bookmarkStart w:id="471" w:name="_Toc4085"/>
    </w:p>
    <w:p>
      <w:pPr>
        <w:adjustRightInd w:val="0"/>
        <w:snapToGrid w:val="0"/>
        <w:spacing w:before="333" w:beforeLines="100" w:after="166" w:afterLines="50"/>
        <w:rPr>
          <w:rFonts w:hAnsi="宋体" w:cs="宋体"/>
          <w:color w:val="auto"/>
          <w:sz w:val="32"/>
          <w:szCs w:val="32"/>
          <w:highlight w:val="none"/>
        </w:rPr>
      </w:pPr>
    </w:p>
    <w:p>
      <w:pPr>
        <w:rPr>
          <w:rFonts w:hAnsi="宋体" w:cs="宋体"/>
          <w:color w:val="auto"/>
          <w:highlight w:val="none"/>
        </w:rPr>
      </w:pPr>
    </w:p>
    <w:p>
      <w:pPr>
        <w:adjustRightInd w:val="0"/>
        <w:snapToGrid w:val="0"/>
        <w:spacing w:before="333" w:beforeLines="100" w:after="166" w:afterLines="50"/>
        <w:jc w:val="center"/>
        <w:rPr>
          <w:rFonts w:hAnsi="宋体" w:cs="宋体"/>
          <w:color w:val="auto"/>
          <w:sz w:val="32"/>
          <w:szCs w:val="32"/>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before="166" w:beforeLines="50"/>
        <w:jc w:val="center"/>
        <w:outlineLvl w:val="1"/>
        <w:rPr>
          <w:rFonts w:hAnsi="宋体" w:cs="宋体"/>
          <w:b/>
          <w:bCs/>
          <w:color w:val="auto"/>
          <w:sz w:val="32"/>
          <w:szCs w:val="32"/>
          <w:highlight w:val="none"/>
        </w:rPr>
      </w:pPr>
      <w:r>
        <w:rPr>
          <w:rFonts w:hint="eastAsia" w:hAnsi="宋体" w:cs="宋体"/>
          <w:b/>
          <w:bCs/>
          <w:color w:val="auto"/>
          <w:sz w:val="32"/>
          <w:szCs w:val="32"/>
          <w:highlight w:val="none"/>
        </w:rPr>
        <w:t>三、投标方案说明书</w:t>
      </w:r>
      <w:bookmarkEnd w:id="465"/>
      <w:bookmarkEnd w:id="466"/>
      <w:bookmarkEnd w:id="467"/>
      <w:bookmarkEnd w:id="468"/>
      <w:bookmarkEnd w:id="469"/>
      <w:bookmarkEnd w:id="470"/>
      <w:bookmarkEnd w:id="471"/>
    </w:p>
    <w:p>
      <w:pPr>
        <w:spacing w:line="440" w:lineRule="exact"/>
        <w:ind w:firstLine="4698" w:firstLineChars="1300"/>
        <w:rPr>
          <w:rFonts w:hAnsi="宋体" w:cs="宋体"/>
          <w:b/>
          <w:color w:val="auto"/>
          <w:sz w:val="36"/>
          <w:highlight w:val="none"/>
        </w:rPr>
      </w:pPr>
    </w:p>
    <w:p>
      <w:pPr>
        <w:pStyle w:val="20"/>
        <w:rPr>
          <w:rFonts w:ascii="宋体" w:hAnsi="宋体" w:cs="宋体"/>
          <w:b/>
          <w:color w:val="auto"/>
          <w:sz w:val="36"/>
          <w:highlight w:val="none"/>
        </w:rPr>
      </w:pPr>
    </w:p>
    <w:p>
      <w:pPr>
        <w:pStyle w:val="64"/>
        <w:rPr>
          <w:rFonts w:hAnsi="宋体" w:cs="宋体"/>
          <w:b/>
          <w:color w:val="auto"/>
          <w:sz w:val="36"/>
          <w:highlight w:val="none"/>
        </w:rPr>
      </w:pPr>
    </w:p>
    <w:p>
      <w:pPr>
        <w:pStyle w:val="64"/>
        <w:rPr>
          <w:rFonts w:hAnsi="宋体" w:cs="宋体"/>
          <w:b/>
          <w:color w:val="auto"/>
          <w:sz w:val="36"/>
          <w:highlight w:val="none"/>
        </w:rPr>
      </w:pPr>
    </w:p>
    <w:p>
      <w:pPr>
        <w:spacing w:line="440" w:lineRule="exact"/>
        <w:ind w:firstLine="843" w:firstLineChars="300"/>
        <w:jc w:val="left"/>
        <w:rPr>
          <w:rFonts w:hAnsi="宋体" w:cs="宋体"/>
          <w:b/>
          <w:color w:val="auto"/>
          <w:szCs w:val="24"/>
          <w:highlight w:val="none"/>
        </w:rPr>
      </w:pPr>
      <w:r>
        <w:rPr>
          <w:rFonts w:hint="eastAsia" w:hAnsi="宋体" w:cs="宋体"/>
          <w:b/>
          <w:color w:val="auto"/>
          <w:sz w:val="28"/>
          <w:szCs w:val="28"/>
          <w:highlight w:val="none"/>
        </w:rPr>
        <w:t>（参照招标文件和评标办法的内容进行编写，格式自拟）</w:t>
      </w:r>
      <w:r>
        <w:rPr>
          <w:rFonts w:hint="eastAsia" w:hAnsi="宋体" w:cs="宋体"/>
          <w:b/>
          <w:color w:val="auto"/>
          <w:sz w:val="36"/>
          <w:highlight w:val="none"/>
        </w:rPr>
        <w:br w:type="page"/>
      </w:r>
      <w:r>
        <w:rPr>
          <w:rFonts w:hint="eastAsia" w:hAnsi="宋体" w:cs="宋体"/>
          <w:b/>
          <w:color w:val="auto"/>
          <w:szCs w:val="24"/>
          <w:highlight w:val="none"/>
        </w:rPr>
        <w:t>附表1</w:t>
      </w:r>
    </w:p>
    <w:p>
      <w:pPr>
        <w:spacing w:after="120"/>
        <w:jc w:val="center"/>
        <w:rPr>
          <w:rFonts w:hAnsi="宋体" w:cs="宋体"/>
          <w:b/>
          <w:color w:val="auto"/>
          <w:sz w:val="32"/>
          <w:szCs w:val="32"/>
          <w:highlight w:val="none"/>
        </w:rPr>
      </w:pPr>
      <w:r>
        <w:rPr>
          <w:rFonts w:hint="eastAsia" w:hAnsi="宋体" w:cs="宋体"/>
          <w:b/>
          <w:color w:val="auto"/>
          <w:sz w:val="32"/>
          <w:szCs w:val="32"/>
          <w:highlight w:val="none"/>
        </w:rPr>
        <w:t>技术规格响应表</w:t>
      </w:r>
    </w:p>
    <w:p>
      <w:pPr>
        <w:jc w:val="left"/>
        <w:rPr>
          <w:rFonts w:hAnsi="宋体" w:cs="宋体"/>
          <w:bCs/>
          <w:color w:val="auto"/>
          <w:szCs w:val="24"/>
          <w:highlight w:val="none"/>
        </w:rPr>
      </w:pPr>
      <w:r>
        <w:rPr>
          <w:rFonts w:hint="eastAsia" w:hAnsi="宋体" w:cs="宋体"/>
          <w:bCs/>
          <w:color w:val="auto"/>
          <w:szCs w:val="24"/>
          <w:highlight w:val="none"/>
        </w:rPr>
        <w:t>项目编号：</w:t>
      </w:r>
    </w:p>
    <w:p>
      <w:pPr>
        <w:jc w:val="left"/>
        <w:rPr>
          <w:rFonts w:hAnsi="宋体" w:cs="宋体"/>
          <w:color w:val="auto"/>
          <w:szCs w:val="24"/>
          <w:highlight w:val="none"/>
        </w:rPr>
      </w:pPr>
      <w:r>
        <w:rPr>
          <w:rFonts w:hint="eastAsia" w:hAnsi="宋体" w:cs="宋体"/>
          <w:bCs/>
          <w:color w:val="auto"/>
          <w:szCs w:val="24"/>
          <w:highlight w:val="none"/>
        </w:rPr>
        <w:t>项目名称：</w:t>
      </w:r>
      <w:r>
        <w:rPr>
          <w:rFonts w:hint="eastAsia" w:hAnsi="宋体" w:cs="宋体"/>
          <w:color w:val="auto"/>
          <w:szCs w:val="24"/>
          <w:highlight w:val="none"/>
        </w:rPr>
        <w:t xml:space="preserve">                                   </w:t>
      </w:r>
    </w:p>
    <w:tbl>
      <w:tblPr>
        <w:tblStyle w:val="44"/>
        <w:tblW w:w="91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37"/>
        <w:gridCol w:w="1364"/>
        <w:gridCol w:w="1727"/>
        <w:gridCol w:w="2585"/>
        <w:gridCol w:w="1300"/>
        <w:gridCol w:w="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1" w:hRule="atLeast"/>
          <w:jc w:val="center"/>
        </w:trPr>
        <w:tc>
          <w:tcPr>
            <w:tcW w:w="1237" w:type="dxa"/>
            <w:tcBorders>
              <w:bottom w:val="nil"/>
            </w:tcBorders>
            <w:vAlign w:val="center"/>
          </w:tcPr>
          <w:p>
            <w:pPr>
              <w:spacing w:before="166" w:beforeLines="50"/>
              <w:jc w:val="center"/>
              <w:rPr>
                <w:rFonts w:hAnsi="宋体" w:cs="宋体"/>
                <w:color w:val="auto"/>
                <w:szCs w:val="24"/>
                <w:highlight w:val="none"/>
              </w:rPr>
            </w:pPr>
            <w:r>
              <w:rPr>
                <w:rFonts w:hint="eastAsia" w:hAnsi="宋体" w:cs="宋体"/>
                <w:color w:val="auto"/>
                <w:szCs w:val="24"/>
                <w:highlight w:val="none"/>
              </w:rPr>
              <w:t>序号</w:t>
            </w:r>
          </w:p>
        </w:tc>
        <w:tc>
          <w:tcPr>
            <w:tcW w:w="1364" w:type="dxa"/>
            <w:tcBorders>
              <w:bottom w:val="nil"/>
              <w:right w:val="single" w:color="auto" w:sz="4" w:space="0"/>
            </w:tcBorders>
            <w:vAlign w:val="center"/>
          </w:tcPr>
          <w:p>
            <w:pPr>
              <w:spacing w:before="166" w:beforeLines="50"/>
              <w:jc w:val="center"/>
              <w:rPr>
                <w:rFonts w:hAnsi="宋体" w:cs="宋体"/>
                <w:color w:val="auto"/>
                <w:szCs w:val="24"/>
                <w:highlight w:val="none"/>
              </w:rPr>
            </w:pPr>
            <w:r>
              <w:rPr>
                <w:rFonts w:hint="eastAsia" w:hAnsi="宋体" w:cs="宋体"/>
                <w:color w:val="auto"/>
                <w:highlight w:val="none"/>
              </w:rPr>
              <w:t>品目</w:t>
            </w:r>
          </w:p>
        </w:tc>
        <w:tc>
          <w:tcPr>
            <w:tcW w:w="1727" w:type="dxa"/>
            <w:tcBorders>
              <w:left w:val="single" w:color="auto" w:sz="4" w:space="0"/>
              <w:bottom w:val="nil"/>
            </w:tcBorders>
            <w:vAlign w:val="center"/>
          </w:tcPr>
          <w:p>
            <w:pPr>
              <w:spacing w:before="166" w:beforeLines="50"/>
              <w:jc w:val="center"/>
              <w:rPr>
                <w:rFonts w:hAnsi="宋体" w:cs="宋体"/>
                <w:color w:val="auto"/>
                <w:szCs w:val="24"/>
                <w:highlight w:val="none"/>
              </w:rPr>
            </w:pPr>
            <w:r>
              <w:rPr>
                <w:rFonts w:hint="eastAsia" w:hAnsi="宋体" w:cs="宋体"/>
                <w:color w:val="auto"/>
                <w:szCs w:val="24"/>
                <w:highlight w:val="none"/>
              </w:rPr>
              <w:t>招标规格 ☆1</w:t>
            </w:r>
          </w:p>
        </w:tc>
        <w:tc>
          <w:tcPr>
            <w:tcW w:w="2585" w:type="dxa"/>
            <w:tcBorders>
              <w:bottom w:val="nil"/>
            </w:tcBorders>
            <w:vAlign w:val="center"/>
          </w:tcPr>
          <w:p>
            <w:pPr>
              <w:spacing w:before="166" w:beforeLines="50"/>
              <w:jc w:val="center"/>
              <w:rPr>
                <w:rFonts w:hAnsi="宋体" w:cs="宋体"/>
                <w:color w:val="auto"/>
                <w:szCs w:val="24"/>
                <w:highlight w:val="none"/>
              </w:rPr>
            </w:pPr>
            <w:r>
              <w:rPr>
                <w:rFonts w:hint="eastAsia" w:hAnsi="宋体" w:cs="宋体"/>
                <w:color w:val="auto"/>
                <w:szCs w:val="24"/>
                <w:highlight w:val="none"/>
              </w:rPr>
              <w:t>投标规格 ☆2</w:t>
            </w:r>
          </w:p>
        </w:tc>
        <w:tc>
          <w:tcPr>
            <w:tcW w:w="1300" w:type="dxa"/>
            <w:tcBorders>
              <w:bottom w:val="nil"/>
            </w:tcBorders>
            <w:vAlign w:val="center"/>
          </w:tcPr>
          <w:p>
            <w:pPr>
              <w:spacing w:before="166" w:beforeLines="50"/>
              <w:jc w:val="center"/>
              <w:rPr>
                <w:rFonts w:hAnsi="宋体" w:cs="宋体"/>
                <w:color w:val="auto"/>
                <w:szCs w:val="24"/>
                <w:highlight w:val="none"/>
              </w:rPr>
            </w:pPr>
            <w:r>
              <w:rPr>
                <w:rFonts w:hint="eastAsia" w:hAnsi="宋体" w:cs="宋体"/>
                <w:color w:val="auto"/>
                <w:szCs w:val="24"/>
                <w:highlight w:val="none"/>
              </w:rPr>
              <w:t>偏离说明</w:t>
            </w:r>
          </w:p>
        </w:tc>
        <w:tc>
          <w:tcPr>
            <w:tcW w:w="887" w:type="dxa"/>
            <w:tcBorders>
              <w:bottom w:val="nil"/>
            </w:tcBorders>
            <w:vAlign w:val="center"/>
          </w:tcPr>
          <w:p>
            <w:pPr>
              <w:spacing w:before="166" w:beforeLines="50"/>
              <w:jc w:val="center"/>
              <w:rPr>
                <w:rFonts w:hAnsi="宋体" w:cs="宋体"/>
                <w:color w:val="auto"/>
                <w:szCs w:val="24"/>
                <w:highlight w:val="none"/>
              </w:rPr>
            </w:pPr>
            <w:r>
              <w:rPr>
                <w:rFonts w:hint="eastAsia" w:hAnsi="宋体" w:cs="宋体"/>
                <w:color w:val="auto"/>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39" w:hRule="atLeast"/>
          <w:jc w:val="center"/>
        </w:trPr>
        <w:tc>
          <w:tcPr>
            <w:tcW w:w="1237" w:type="dxa"/>
            <w:tcBorders>
              <w:top w:val="single" w:color="auto" w:sz="12" w:space="0"/>
              <w:left w:val="single" w:color="auto" w:sz="12" w:space="0"/>
              <w:right w:val="single" w:color="auto" w:sz="6" w:space="0"/>
            </w:tcBorders>
          </w:tcPr>
          <w:p>
            <w:pPr>
              <w:rPr>
                <w:rFonts w:hAnsi="宋体" w:cs="宋体"/>
                <w:color w:val="auto"/>
                <w:szCs w:val="24"/>
                <w:highlight w:val="none"/>
              </w:rPr>
            </w:pPr>
          </w:p>
        </w:tc>
        <w:tc>
          <w:tcPr>
            <w:tcW w:w="1364" w:type="dxa"/>
            <w:tcBorders>
              <w:top w:val="single" w:color="auto" w:sz="12" w:space="0"/>
              <w:left w:val="single" w:color="auto" w:sz="6" w:space="0"/>
              <w:right w:val="single" w:color="auto" w:sz="4" w:space="0"/>
            </w:tcBorders>
          </w:tcPr>
          <w:p>
            <w:pPr>
              <w:rPr>
                <w:rFonts w:hAnsi="宋体" w:cs="宋体"/>
                <w:color w:val="auto"/>
                <w:szCs w:val="24"/>
                <w:highlight w:val="none"/>
              </w:rPr>
            </w:pPr>
          </w:p>
        </w:tc>
        <w:tc>
          <w:tcPr>
            <w:tcW w:w="1727" w:type="dxa"/>
            <w:tcBorders>
              <w:top w:val="single" w:color="auto" w:sz="12" w:space="0"/>
              <w:left w:val="single" w:color="auto" w:sz="4" w:space="0"/>
              <w:right w:val="single" w:color="auto" w:sz="6" w:space="0"/>
            </w:tcBorders>
          </w:tcPr>
          <w:p>
            <w:pPr>
              <w:rPr>
                <w:rFonts w:hAnsi="宋体" w:cs="宋体"/>
                <w:color w:val="auto"/>
                <w:szCs w:val="24"/>
                <w:highlight w:val="none"/>
              </w:rPr>
            </w:pPr>
          </w:p>
        </w:tc>
        <w:tc>
          <w:tcPr>
            <w:tcW w:w="2585" w:type="dxa"/>
            <w:tcBorders>
              <w:top w:val="single" w:color="auto" w:sz="12" w:space="0"/>
              <w:left w:val="single" w:color="auto" w:sz="6" w:space="0"/>
              <w:right w:val="single" w:color="auto" w:sz="6" w:space="0"/>
            </w:tcBorders>
          </w:tcPr>
          <w:p>
            <w:pPr>
              <w:rPr>
                <w:rFonts w:hAnsi="宋体" w:cs="宋体"/>
                <w:color w:val="auto"/>
                <w:szCs w:val="24"/>
                <w:highlight w:val="none"/>
              </w:rPr>
            </w:pPr>
          </w:p>
        </w:tc>
        <w:tc>
          <w:tcPr>
            <w:tcW w:w="1300" w:type="dxa"/>
            <w:tcBorders>
              <w:top w:val="single" w:color="auto" w:sz="12" w:space="0"/>
              <w:left w:val="single" w:color="auto" w:sz="6" w:space="0"/>
              <w:right w:val="single" w:color="auto" w:sz="6" w:space="0"/>
            </w:tcBorders>
          </w:tcPr>
          <w:p>
            <w:pPr>
              <w:rPr>
                <w:rFonts w:hAnsi="宋体" w:cs="宋体"/>
                <w:color w:val="auto"/>
                <w:szCs w:val="24"/>
                <w:highlight w:val="none"/>
              </w:rPr>
            </w:pPr>
          </w:p>
        </w:tc>
        <w:tc>
          <w:tcPr>
            <w:tcW w:w="887" w:type="dxa"/>
            <w:tcBorders>
              <w:top w:val="single" w:color="auto" w:sz="12" w:space="0"/>
              <w:left w:val="single" w:color="auto" w:sz="6" w:space="0"/>
              <w:right w:val="single" w:color="auto" w:sz="12" w:space="0"/>
            </w:tcBorders>
          </w:tcPr>
          <w:p>
            <w:pPr>
              <w:rPr>
                <w:rFonts w:hAnsi="宋体" w:cs="宋体"/>
                <w:color w:val="auto"/>
                <w:szCs w:val="24"/>
                <w:highlight w:val="none"/>
              </w:rPr>
            </w:pPr>
          </w:p>
        </w:tc>
      </w:tr>
    </w:tbl>
    <w:p>
      <w:pPr>
        <w:rPr>
          <w:rFonts w:hAnsi="宋体" w:cs="宋体"/>
          <w:color w:val="auto"/>
          <w:highlight w:val="none"/>
        </w:rPr>
      </w:pPr>
    </w:p>
    <w:p>
      <w:pPr>
        <w:rPr>
          <w:rFonts w:hAnsi="宋体" w:cs="宋体"/>
          <w:color w:val="auto"/>
          <w:szCs w:val="24"/>
          <w:highlight w:val="none"/>
        </w:rPr>
      </w:pPr>
    </w:p>
    <w:p>
      <w:pPr>
        <w:spacing w:line="560" w:lineRule="exact"/>
        <w:ind w:right="617" w:rightChars="257" w:firstLine="240" w:firstLineChars="100"/>
        <w:jc w:val="left"/>
        <w:rPr>
          <w:rFonts w:hAnsi="宋体" w:cs="宋体"/>
          <w:color w:val="auto"/>
          <w:highlight w:val="none"/>
        </w:rPr>
      </w:pPr>
      <w:r>
        <w:rPr>
          <w:rFonts w:hint="eastAsia" w:hAnsi="宋体" w:cs="宋体"/>
          <w:color w:val="auto"/>
          <w:highlight w:val="none"/>
        </w:rPr>
        <w:t>法定代表人/被授权人签字或盖章：</w:t>
      </w:r>
    </w:p>
    <w:p>
      <w:pPr>
        <w:tabs>
          <w:tab w:val="left" w:pos="3045"/>
        </w:tabs>
        <w:spacing w:line="280" w:lineRule="exact"/>
        <w:rPr>
          <w:rFonts w:hAnsi="宋体" w:cs="宋体"/>
          <w:color w:val="auto"/>
          <w:szCs w:val="24"/>
          <w:highlight w:val="none"/>
        </w:rPr>
      </w:pPr>
    </w:p>
    <w:p>
      <w:pPr>
        <w:spacing w:line="280" w:lineRule="exact"/>
        <w:rPr>
          <w:rFonts w:hAnsi="宋体" w:cs="宋体"/>
          <w:color w:val="auto"/>
          <w:szCs w:val="24"/>
          <w:highlight w:val="none"/>
        </w:rPr>
      </w:pPr>
    </w:p>
    <w:p>
      <w:pPr>
        <w:spacing w:line="280" w:lineRule="exact"/>
        <w:ind w:firstLine="120" w:firstLineChars="50"/>
        <w:rPr>
          <w:rFonts w:hAnsi="宋体" w:cs="宋体"/>
          <w:color w:val="auto"/>
          <w:szCs w:val="24"/>
          <w:highlight w:val="non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rPr>
          <w:rFonts w:hAnsi="宋体" w:cs="宋体"/>
          <w:color w:val="auto"/>
          <w:szCs w:val="24"/>
          <w:highlight w:val="none"/>
        </w:rPr>
      </w:pPr>
    </w:p>
    <w:p>
      <w:pPr>
        <w:pStyle w:val="103"/>
        <w:rPr>
          <w:rFonts w:hAnsi="宋体" w:cs="宋体"/>
          <w:color w:val="auto"/>
          <w:szCs w:val="24"/>
          <w:highlight w:val="none"/>
        </w:rPr>
      </w:pPr>
      <w:r>
        <w:rPr>
          <w:rFonts w:hint="eastAsia" w:hAnsi="宋体" w:cs="宋体"/>
          <w:color w:val="auto"/>
          <w:szCs w:val="24"/>
          <w:highlight w:val="none"/>
        </w:rPr>
        <w:t>注:  1.  ☆1指招标文件中的技术规格(参数),供应商应按照招标文件中的内容逐项响应。</w:t>
      </w:r>
    </w:p>
    <w:p>
      <w:pPr>
        <w:pStyle w:val="103"/>
        <w:rPr>
          <w:rFonts w:hAnsi="宋体" w:cs="宋体"/>
          <w:color w:val="auto"/>
          <w:szCs w:val="24"/>
          <w:highlight w:val="none"/>
        </w:rPr>
      </w:pPr>
      <w:r>
        <w:rPr>
          <w:rFonts w:hint="eastAsia" w:hAnsi="宋体" w:cs="宋体"/>
          <w:color w:val="auto"/>
          <w:szCs w:val="24"/>
          <w:highlight w:val="none"/>
        </w:rPr>
        <w:t xml:space="preserve">     2.  ☆2 指供应商拟提供的投标产品的功能及技术规格(参数),供应商应逐条如实填写并提供相应的具备文件。 </w:t>
      </w:r>
    </w:p>
    <w:p>
      <w:pPr>
        <w:pStyle w:val="103"/>
        <w:rPr>
          <w:rFonts w:hAnsi="宋体" w:cs="宋体"/>
          <w:color w:val="auto"/>
          <w:szCs w:val="24"/>
          <w:highlight w:val="none"/>
        </w:rPr>
      </w:pPr>
      <w:r>
        <w:rPr>
          <w:rFonts w:hint="eastAsia" w:hAnsi="宋体" w:cs="宋体"/>
          <w:color w:val="auto"/>
          <w:szCs w:val="24"/>
          <w:highlight w:val="none"/>
        </w:rPr>
        <w:t xml:space="preserve">     3.  偏离说明填写：优于、满足或低于。</w:t>
      </w:r>
    </w:p>
    <w:p>
      <w:pPr>
        <w:rPr>
          <w:rFonts w:hAnsi="宋体" w:cs="宋体"/>
          <w:color w:val="auto"/>
          <w:szCs w:val="24"/>
          <w:highlight w:val="none"/>
        </w:rPr>
      </w:pPr>
      <w:r>
        <w:rPr>
          <w:rFonts w:hint="eastAsia" w:hAnsi="宋体" w:cs="宋体"/>
          <w:color w:val="auto"/>
          <w:szCs w:val="24"/>
          <w:highlight w:val="none"/>
        </w:rPr>
        <w:t xml:space="preserve"> </w:t>
      </w:r>
    </w:p>
    <w:p>
      <w:pPr>
        <w:rPr>
          <w:rFonts w:hAnsi="宋体" w:cs="宋体"/>
          <w:b/>
          <w:color w:val="auto"/>
          <w:szCs w:val="24"/>
          <w:highlight w:val="none"/>
        </w:rPr>
      </w:pPr>
    </w:p>
    <w:p>
      <w:pPr>
        <w:rPr>
          <w:rFonts w:hAnsi="宋体" w:cs="宋体"/>
          <w:b/>
          <w:color w:val="auto"/>
          <w:szCs w:val="24"/>
          <w:highlight w:val="none"/>
        </w:rPr>
      </w:pPr>
    </w:p>
    <w:p>
      <w:pPr>
        <w:rPr>
          <w:rFonts w:hint="eastAsia" w:hAnsi="宋体" w:cs="宋体"/>
          <w:b/>
          <w:color w:val="auto"/>
          <w:szCs w:val="24"/>
          <w:highlight w:val="none"/>
        </w:rPr>
      </w:pPr>
    </w:p>
    <w:p>
      <w:pPr>
        <w:rPr>
          <w:rFonts w:hint="eastAsia" w:hAnsi="宋体" w:cs="宋体"/>
          <w:b/>
          <w:color w:val="auto"/>
          <w:szCs w:val="24"/>
          <w:highlight w:val="none"/>
        </w:rPr>
      </w:pPr>
    </w:p>
    <w:p>
      <w:pPr>
        <w:rPr>
          <w:rFonts w:hAnsi="宋体" w:cs="宋体"/>
          <w:color w:val="auto"/>
          <w:szCs w:val="24"/>
          <w:highlight w:val="none"/>
        </w:rPr>
      </w:pPr>
      <w:r>
        <w:rPr>
          <w:rFonts w:hint="eastAsia" w:hAnsi="宋体" w:cs="宋体"/>
          <w:b/>
          <w:color w:val="auto"/>
          <w:szCs w:val="24"/>
          <w:highlight w:val="none"/>
        </w:rPr>
        <w:t>附表2</w:t>
      </w:r>
    </w:p>
    <w:p>
      <w:pPr>
        <w:spacing w:after="120"/>
        <w:jc w:val="center"/>
        <w:rPr>
          <w:rFonts w:hAnsi="宋体" w:cs="宋体"/>
          <w:color w:val="auto"/>
          <w:szCs w:val="24"/>
          <w:highlight w:val="none"/>
        </w:rPr>
      </w:pPr>
      <w:r>
        <w:rPr>
          <w:rFonts w:hint="eastAsia" w:hAnsi="宋体" w:cs="宋体"/>
          <w:b/>
          <w:color w:val="auto"/>
          <w:sz w:val="32"/>
          <w:szCs w:val="32"/>
          <w:highlight w:val="none"/>
        </w:rPr>
        <w:t>供货内容一览表</w:t>
      </w:r>
    </w:p>
    <w:p>
      <w:pPr>
        <w:jc w:val="left"/>
        <w:rPr>
          <w:rFonts w:hAnsi="宋体" w:cs="宋体"/>
          <w:bCs/>
          <w:color w:val="auto"/>
          <w:szCs w:val="24"/>
          <w:highlight w:val="none"/>
        </w:rPr>
      </w:pPr>
      <w:r>
        <w:rPr>
          <w:rFonts w:hint="eastAsia" w:hAnsi="宋体" w:cs="宋体"/>
          <w:bCs/>
          <w:color w:val="auto"/>
          <w:szCs w:val="24"/>
          <w:highlight w:val="none"/>
        </w:rPr>
        <w:t>项目编号：</w:t>
      </w:r>
    </w:p>
    <w:p>
      <w:pPr>
        <w:jc w:val="left"/>
        <w:rPr>
          <w:rFonts w:hAnsi="宋体" w:cs="宋体"/>
          <w:b/>
          <w:color w:val="auto"/>
          <w:sz w:val="32"/>
          <w:szCs w:val="32"/>
          <w:highlight w:val="none"/>
        </w:rPr>
      </w:pPr>
      <w:r>
        <w:rPr>
          <w:rFonts w:hint="eastAsia" w:hAnsi="宋体" w:cs="宋体"/>
          <w:bCs/>
          <w:color w:val="auto"/>
          <w:szCs w:val="24"/>
          <w:highlight w:val="none"/>
        </w:rPr>
        <w:t>项目名称：</w:t>
      </w:r>
      <w:r>
        <w:rPr>
          <w:rFonts w:hint="eastAsia" w:hAnsi="宋体" w:cs="宋体"/>
          <w:color w:val="auto"/>
          <w:szCs w:val="24"/>
          <w:highlight w:val="none"/>
        </w:rPr>
        <w:t xml:space="preserve">                            </w:t>
      </w:r>
    </w:p>
    <w:tbl>
      <w:tblPr>
        <w:tblStyle w:val="44"/>
        <w:tblW w:w="95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1"/>
        <w:gridCol w:w="1360"/>
        <w:gridCol w:w="1513"/>
        <w:gridCol w:w="1378"/>
        <w:gridCol w:w="1162"/>
        <w:gridCol w:w="775"/>
        <w:gridCol w:w="1222"/>
        <w:gridCol w:w="12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vAlign w:val="center"/>
          </w:tcPr>
          <w:p>
            <w:pPr>
              <w:spacing w:before="166"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1360" w:type="dxa"/>
            <w:vAlign w:val="center"/>
          </w:tcPr>
          <w:p>
            <w:pPr>
              <w:spacing w:before="166" w:beforeLines="50" w:line="360" w:lineRule="auto"/>
              <w:jc w:val="center"/>
              <w:rPr>
                <w:rFonts w:hAnsi="宋体" w:cs="宋体"/>
                <w:b/>
                <w:color w:val="auto"/>
                <w:szCs w:val="24"/>
                <w:highlight w:val="none"/>
              </w:rPr>
            </w:pPr>
            <w:r>
              <w:rPr>
                <w:rFonts w:hint="eastAsia" w:hAnsi="宋体" w:cs="宋体"/>
                <w:b/>
                <w:color w:val="auto"/>
                <w:szCs w:val="24"/>
                <w:highlight w:val="none"/>
              </w:rPr>
              <w:t>名称</w:t>
            </w:r>
          </w:p>
        </w:tc>
        <w:tc>
          <w:tcPr>
            <w:tcW w:w="1513" w:type="dxa"/>
            <w:tcBorders>
              <w:right w:val="single" w:color="auto" w:sz="4" w:space="0"/>
            </w:tcBorders>
            <w:vAlign w:val="center"/>
          </w:tcPr>
          <w:p>
            <w:pPr>
              <w:adjustRightInd w:val="0"/>
              <w:snapToGrid w:val="0"/>
              <w:jc w:val="center"/>
              <w:rPr>
                <w:rFonts w:hAnsi="宋体" w:cs="宋体"/>
                <w:color w:val="auto"/>
                <w:szCs w:val="24"/>
                <w:highlight w:val="none"/>
              </w:rPr>
            </w:pPr>
            <w:bookmarkStart w:id="472" w:name="_Toc31763"/>
            <w:bookmarkStart w:id="473" w:name="_Toc7838"/>
            <w:bookmarkStart w:id="474" w:name="_Toc10685"/>
            <w:bookmarkStart w:id="475" w:name="_Toc19859"/>
            <w:bookmarkStart w:id="476" w:name="_Toc888"/>
            <w:bookmarkStart w:id="477" w:name="_Toc25325"/>
            <w:bookmarkStart w:id="478" w:name="_Toc16014"/>
            <w:r>
              <w:rPr>
                <w:rFonts w:hint="eastAsia" w:hAnsi="宋体" w:cs="宋体"/>
                <w:color w:val="auto"/>
                <w:szCs w:val="24"/>
                <w:highlight w:val="none"/>
              </w:rPr>
              <w:t>品牌、规格及型号</w:t>
            </w:r>
            <w:bookmarkEnd w:id="472"/>
            <w:bookmarkEnd w:id="473"/>
            <w:bookmarkEnd w:id="474"/>
            <w:bookmarkEnd w:id="475"/>
            <w:bookmarkEnd w:id="476"/>
            <w:bookmarkEnd w:id="477"/>
            <w:bookmarkEnd w:id="478"/>
          </w:p>
        </w:tc>
        <w:tc>
          <w:tcPr>
            <w:tcW w:w="1378" w:type="dxa"/>
            <w:tcBorders>
              <w:left w:val="single" w:color="auto" w:sz="4" w:space="0"/>
            </w:tcBorders>
            <w:vAlign w:val="center"/>
          </w:tcPr>
          <w:p>
            <w:pPr>
              <w:adjustRightInd w:val="0"/>
              <w:snapToGrid w:val="0"/>
              <w:jc w:val="center"/>
              <w:rPr>
                <w:rFonts w:hAnsi="宋体" w:cs="宋体"/>
                <w:color w:val="auto"/>
                <w:szCs w:val="24"/>
                <w:highlight w:val="none"/>
              </w:rPr>
            </w:pPr>
            <w:bookmarkStart w:id="479" w:name="_Toc21192"/>
            <w:bookmarkStart w:id="480" w:name="_Toc5821"/>
            <w:bookmarkStart w:id="481" w:name="_Toc26610"/>
            <w:bookmarkStart w:id="482" w:name="_Toc14520"/>
            <w:bookmarkStart w:id="483" w:name="_Toc16801"/>
            <w:bookmarkStart w:id="484" w:name="_Toc15459"/>
            <w:bookmarkStart w:id="485" w:name="_Toc24182"/>
            <w:bookmarkStart w:id="486" w:name="_Toc426457706"/>
            <w:r>
              <w:rPr>
                <w:rFonts w:hint="eastAsia" w:hAnsi="宋体" w:cs="宋体"/>
                <w:color w:val="auto"/>
                <w:szCs w:val="24"/>
                <w:highlight w:val="none"/>
              </w:rPr>
              <w:t>原产地及制造厂名</w:t>
            </w:r>
            <w:bookmarkEnd w:id="479"/>
            <w:bookmarkEnd w:id="480"/>
            <w:bookmarkEnd w:id="481"/>
            <w:bookmarkEnd w:id="482"/>
            <w:bookmarkEnd w:id="483"/>
            <w:bookmarkEnd w:id="484"/>
            <w:bookmarkEnd w:id="485"/>
          </w:p>
        </w:tc>
        <w:tc>
          <w:tcPr>
            <w:tcW w:w="1162" w:type="dxa"/>
            <w:tcBorders>
              <w:right w:val="single" w:color="auto" w:sz="4" w:space="0"/>
            </w:tcBorders>
            <w:vAlign w:val="center"/>
          </w:tcPr>
          <w:p>
            <w:pPr>
              <w:adjustRightInd w:val="0"/>
              <w:snapToGrid w:val="0"/>
              <w:jc w:val="center"/>
              <w:rPr>
                <w:rFonts w:hAnsi="宋体" w:cs="宋体"/>
                <w:color w:val="auto"/>
                <w:szCs w:val="24"/>
                <w:highlight w:val="none"/>
              </w:rPr>
            </w:pPr>
            <w:bookmarkStart w:id="487" w:name="_Toc11657"/>
            <w:bookmarkStart w:id="488" w:name="_Toc14024"/>
            <w:bookmarkStart w:id="489" w:name="_Toc21461"/>
            <w:bookmarkStart w:id="490" w:name="_Toc12954"/>
            <w:bookmarkStart w:id="491" w:name="_Toc5153"/>
            <w:bookmarkStart w:id="492" w:name="_Toc20278"/>
            <w:bookmarkStart w:id="493" w:name="_Toc10836"/>
            <w:r>
              <w:rPr>
                <w:rFonts w:hint="eastAsia" w:hAnsi="宋体" w:cs="宋体"/>
                <w:color w:val="auto"/>
                <w:szCs w:val="24"/>
                <w:highlight w:val="none"/>
              </w:rPr>
              <w:t>数量</w:t>
            </w:r>
            <w:bookmarkEnd w:id="486"/>
            <w:bookmarkEnd w:id="487"/>
            <w:bookmarkEnd w:id="488"/>
            <w:bookmarkEnd w:id="489"/>
            <w:bookmarkEnd w:id="490"/>
            <w:bookmarkEnd w:id="491"/>
            <w:bookmarkEnd w:id="492"/>
            <w:bookmarkEnd w:id="493"/>
          </w:p>
        </w:tc>
        <w:tc>
          <w:tcPr>
            <w:tcW w:w="775" w:type="dxa"/>
            <w:tcBorders>
              <w:left w:val="single" w:color="auto" w:sz="4" w:space="0"/>
            </w:tcBorders>
            <w:vAlign w:val="center"/>
          </w:tcPr>
          <w:p>
            <w:pPr>
              <w:jc w:val="center"/>
              <w:rPr>
                <w:rFonts w:hAnsi="宋体" w:cs="宋体"/>
                <w:color w:val="auto"/>
                <w:szCs w:val="24"/>
                <w:highlight w:val="none"/>
              </w:rPr>
            </w:pPr>
            <w:bookmarkStart w:id="494" w:name="_Toc3931"/>
            <w:bookmarkStart w:id="495" w:name="_Toc5200"/>
            <w:bookmarkStart w:id="496" w:name="_Toc28041"/>
            <w:bookmarkStart w:id="497" w:name="_Toc426457707"/>
            <w:bookmarkStart w:id="498" w:name="_Toc4479"/>
            <w:bookmarkStart w:id="499" w:name="_Toc13156"/>
            <w:bookmarkStart w:id="500" w:name="_Toc32578"/>
            <w:bookmarkStart w:id="501" w:name="_Toc7014"/>
            <w:r>
              <w:rPr>
                <w:rFonts w:hint="eastAsia" w:hAnsi="宋体" w:cs="宋体"/>
                <w:color w:val="auto"/>
                <w:szCs w:val="24"/>
                <w:highlight w:val="none"/>
              </w:rPr>
              <w:t>交付地点</w:t>
            </w:r>
            <w:bookmarkEnd w:id="494"/>
            <w:bookmarkEnd w:id="495"/>
            <w:bookmarkEnd w:id="496"/>
            <w:bookmarkEnd w:id="497"/>
            <w:bookmarkEnd w:id="498"/>
            <w:bookmarkEnd w:id="499"/>
            <w:bookmarkEnd w:id="500"/>
            <w:bookmarkEnd w:id="501"/>
          </w:p>
        </w:tc>
        <w:tc>
          <w:tcPr>
            <w:tcW w:w="1222" w:type="dxa"/>
            <w:tcBorders>
              <w:right w:val="single" w:color="auto" w:sz="4" w:space="0"/>
            </w:tcBorders>
            <w:vAlign w:val="center"/>
          </w:tcPr>
          <w:p>
            <w:pPr>
              <w:jc w:val="center"/>
              <w:rPr>
                <w:rFonts w:hAnsi="宋体" w:cs="宋体"/>
                <w:color w:val="auto"/>
                <w:szCs w:val="24"/>
                <w:highlight w:val="none"/>
              </w:rPr>
            </w:pPr>
            <w:bookmarkStart w:id="502" w:name="_Toc18183"/>
            <w:bookmarkStart w:id="503" w:name="_Toc426457708"/>
            <w:bookmarkStart w:id="504" w:name="_Toc26872"/>
            <w:bookmarkStart w:id="505" w:name="_Toc11230"/>
            <w:bookmarkStart w:id="506" w:name="_Toc13810"/>
            <w:bookmarkStart w:id="507" w:name="_Toc29165"/>
            <w:bookmarkStart w:id="508" w:name="_Toc15091"/>
            <w:bookmarkStart w:id="509" w:name="_Toc20318"/>
            <w:r>
              <w:rPr>
                <w:rFonts w:hint="eastAsia" w:hAnsi="宋体" w:cs="宋体"/>
                <w:color w:val="auto"/>
                <w:szCs w:val="24"/>
                <w:highlight w:val="none"/>
              </w:rPr>
              <w:t>交付时间</w:t>
            </w:r>
            <w:bookmarkEnd w:id="502"/>
            <w:bookmarkEnd w:id="503"/>
            <w:bookmarkEnd w:id="504"/>
            <w:bookmarkEnd w:id="505"/>
            <w:bookmarkEnd w:id="506"/>
            <w:bookmarkEnd w:id="507"/>
            <w:bookmarkEnd w:id="508"/>
            <w:bookmarkEnd w:id="509"/>
          </w:p>
        </w:tc>
        <w:tc>
          <w:tcPr>
            <w:tcW w:w="1222" w:type="dxa"/>
            <w:tcBorders>
              <w:right w:val="single" w:color="auto" w:sz="4" w:space="0"/>
            </w:tcBorders>
            <w:vAlign w:val="center"/>
          </w:tcPr>
          <w:p>
            <w:pPr>
              <w:jc w:val="center"/>
              <w:rPr>
                <w:rFonts w:hAnsi="宋体" w:cs="宋体"/>
                <w:color w:val="auto"/>
                <w:szCs w:val="24"/>
                <w:highlight w:val="none"/>
              </w:rPr>
            </w:pPr>
            <w:bookmarkStart w:id="510" w:name="_Toc14698"/>
            <w:bookmarkStart w:id="511" w:name="_Toc10031"/>
            <w:bookmarkStart w:id="512" w:name="_Toc14877"/>
            <w:bookmarkStart w:id="513" w:name="_Toc30480"/>
            <w:bookmarkStart w:id="514" w:name="_Toc426457709"/>
            <w:bookmarkStart w:id="515" w:name="_Toc8834"/>
            <w:bookmarkStart w:id="516" w:name="_Toc12512"/>
            <w:bookmarkStart w:id="517" w:name="_Toc20728"/>
            <w:r>
              <w:rPr>
                <w:rFonts w:hint="eastAsia" w:hAnsi="宋体" w:cs="宋体"/>
                <w:color w:val="auto"/>
                <w:szCs w:val="24"/>
                <w:highlight w:val="none"/>
              </w:rPr>
              <w:t>备注</w:t>
            </w:r>
            <w:bookmarkEnd w:id="510"/>
            <w:bookmarkEnd w:id="511"/>
            <w:bookmarkEnd w:id="512"/>
            <w:bookmarkEnd w:id="513"/>
            <w:bookmarkEnd w:id="514"/>
            <w:bookmarkEnd w:id="515"/>
            <w:bookmarkEnd w:id="516"/>
            <w:bookmarkEnd w:id="51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11" w:type="dxa"/>
          </w:tcPr>
          <w:p>
            <w:pPr>
              <w:spacing w:before="166" w:beforeLines="50" w:line="360" w:lineRule="auto"/>
              <w:jc w:val="center"/>
              <w:rPr>
                <w:rFonts w:hAnsi="宋体" w:cs="宋体"/>
                <w:color w:val="auto"/>
                <w:szCs w:val="24"/>
                <w:highlight w:val="none"/>
              </w:rPr>
            </w:pPr>
          </w:p>
        </w:tc>
        <w:tc>
          <w:tcPr>
            <w:tcW w:w="1360" w:type="dxa"/>
          </w:tcPr>
          <w:p>
            <w:pPr>
              <w:spacing w:before="166" w:beforeLines="50" w:line="360" w:lineRule="auto"/>
              <w:jc w:val="center"/>
              <w:rPr>
                <w:rFonts w:hAnsi="宋体" w:cs="宋体"/>
                <w:color w:val="auto"/>
                <w:szCs w:val="24"/>
                <w:highlight w:val="none"/>
              </w:rPr>
            </w:pPr>
          </w:p>
        </w:tc>
        <w:tc>
          <w:tcPr>
            <w:tcW w:w="1513"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378"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16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775" w:type="dxa"/>
            <w:tcBorders>
              <w:lef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c>
          <w:tcPr>
            <w:tcW w:w="1222" w:type="dxa"/>
            <w:tcBorders>
              <w:right w:val="single" w:color="auto" w:sz="4" w:space="0"/>
            </w:tcBorders>
          </w:tcPr>
          <w:p>
            <w:pPr>
              <w:spacing w:before="166" w:beforeLines="50" w:line="360" w:lineRule="auto"/>
              <w:jc w:val="center"/>
              <w:rPr>
                <w:rFonts w:hAnsi="宋体" w:cs="宋体"/>
                <w:color w:val="auto"/>
                <w:szCs w:val="24"/>
                <w:highlight w:val="none"/>
              </w:rPr>
            </w:pPr>
          </w:p>
        </w:tc>
      </w:tr>
    </w:tbl>
    <w:p>
      <w:pPr>
        <w:pStyle w:val="106"/>
        <w:tabs>
          <w:tab w:val="left" w:pos="2040"/>
        </w:tabs>
        <w:spacing w:beforeLines="0" w:line="400" w:lineRule="exact"/>
        <w:ind w:left="0" w:firstLine="0" w:firstLineChars="0"/>
        <w:rPr>
          <w:rFonts w:hAnsi="宋体" w:eastAsia="宋体" w:cs="宋体"/>
          <w:bCs w:val="0"/>
          <w:color w:val="auto"/>
          <w:highlight w:val="none"/>
        </w:rPr>
      </w:pPr>
      <w:r>
        <w:rPr>
          <w:rFonts w:hint="eastAsia" w:hAnsi="宋体" w:eastAsia="宋体" w:cs="宋体"/>
          <w:bCs w:val="0"/>
          <w:color w:val="auto"/>
          <w:highlight w:val="none"/>
        </w:rPr>
        <w:t>备注：供应商可适当调整该表格式，但不得减少信息内容。</w:t>
      </w:r>
    </w:p>
    <w:p>
      <w:pPr>
        <w:rPr>
          <w:rFonts w:hAnsi="宋体" w:cs="宋体"/>
          <w:color w:val="auto"/>
          <w:highlight w:val="none"/>
        </w:rPr>
      </w:pPr>
    </w:p>
    <w:p>
      <w:pPr>
        <w:spacing w:line="560" w:lineRule="exact"/>
        <w:ind w:right="617" w:rightChars="257"/>
        <w:jc w:val="left"/>
        <w:rPr>
          <w:rFonts w:hAnsi="宋体" w:cs="宋体"/>
          <w:color w:val="auto"/>
          <w:highlight w:val="none"/>
        </w:rPr>
      </w:pPr>
      <w:r>
        <w:rPr>
          <w:rFonts w:hint="eastAsia" w:hAnsi="宋体" w:cs="宋体"/>
          <w:color w:val="auto"/>
          <w:highlight w:val="none"/>
        </w:rPr>
        <w:t>法定代表人/被授权人签字或盖章：</w:t>
      </w:r>
    </w:p>
    <w:p>
      <w:pPr>
        <w:rPr>
          <w:rFonts w:hAnsi="宋体" w:cs="宋体"/>
          <w:color w:val="auto"/>
          <w:szCs w:val="24"/>
          <w:highlight w:val="none"/>
        </w:rPr>
      </w:pPr>
    </w:p>
    <w:p>
      <w:pPr>
        <w:pStyle w:val="106"/>
        <w:tabs>
          <w:tab w:val="left" w:pos="2040"/>
        </w:tabs>
        <w:spacing w:beforeLines="0" w:line="400" w:lineRule="exact"/>
        <w:ind w:left="840" w:hanging="840"/>
        <w:rPr>
          <w:rFonts w:hAnsi="宋体" w:eastAsia="宋体" w:cs="宋体"/>
          <w:color w:val="auto"/>
          <w:highlight w:val="none"/>
          <w:u w:val="single"/>
        </w:rPr>
      </w:pPr>
      <w:r>
        <w:rPr>
          <w:rFonts w:hint="eastAsia" w:hAnsi="宋体" w:eastAsia="宋体" w:cs="宋体"/>
          <w:color w:val="auto"/>
          <w:highlight w:val="none"/>
        </w:rPr>
        <w:t>供应商名称：</w:t>
      </w:r>
      <w:r>
        <w:rPr>
          <w:rFonts w:hint="eastAsia" w:hAnsi="宋体" w:eastAsia="宋体" w:cs="宋体"/>
          <w:color w:val="auto"/>
          <w:highlight w:val="none"/>
          <w:u w:val="single"/>
        </w:rPr>
        <w:t xml:space="preserve">      （加盖单位公章）      </w:t>
      </w:r>
    </w:p>
    <w:p>
      <w:pPr>
        <w:rPr>
          <w:rFonts w:hAnsi="宋体" w:cs="宋体"/>
          <w:color w:val="auto"/>
          <w:highlight w:val="none"/>
          <w:u w:val="single"/>
        </w:rPr>
      </w:pPr>
      <w:r>
        <w:rPr>
          <w:rFonts w:hint="eastAsia" w:hAnsi="宋体" w:cs="宋体"/>
          <w:color w:val="auto"/>
          <w:highlight w:val="none"/>
          <w:u w:val="single"/>
        </w:rPr>
        <w:br w:type="page"/>
      </w:r>
    </w:p>
    <w:p>
      <w:pPr>
        <w:keepNext/>
        <w:keepLines/>
        <w:tabs>
          <w:tab w:val="left" w:pos="0"/>
        </w:tabs>
        <w:spacing w:line="500" w:lineRule="exact"/>
        <w:rPr>
          <w:rFonts w:hAnsi="宋体" w:cs="宋体"/>
          <w:b/>
          <w:color w:val="auto"/>
          <w:sz w:val="28"/>
          <w:szCs w:val="28"/>
          <w:highlight w:val="none"/>
        </w:rPr>
      </w:pPr>
      <w:r>
        <w:rPr>
          <w:rFonts w:hint="eastAsia" w:hAnsi="宋体" w:cs="宋体"/>
          <w:b/>
          <w:color w:val="auto"/>
          <w:sz w:val="28"/>
          <w:szCs w:val="28"/>
          <w:highlight w:val="none"/>
        </w:rPr>
        <w:t xml:space="preserve">附件3（如有）： </w:t>
      </w:r>
    </w:p>
    <w:p>
      <w:pPr>
        <w:spacing w:line="360" w:lineRule="auto"/>
        <w:jc w:val="center"/>
        <w:rPr>
          <w:rFonts w:hAnsi="宋体" w:cs="宋体"/>
          <w:b/>
          <w:color w:val="auto"/>
          <w:sz w:val="28"/>
          <w:szCs w:val="28"/>
          <w:highlight w:val="none"/>
        </w:rPr>
      </w:pPr>
      <w:r>
        <w:rPr>
          <w:rFonts w:hint="eastAsia" w:hAnsi="宋体" w:cs="宋体"/>
          <w:b/>
          <w:color w:val="auto"/>
          <w:sz w:val="28"/>
          <w:szCs w:val="28"/>
          <w:highlight w:val="none"/>
        </w:rPr>
        <w:t>投标产品属节能、环境标志产品列表</w:t>
      </w:r>
    </w:p>
    <w:p>
      <w:pPr>
        <w:spacing w:line="360" w:lineRule="auto"/>
        <w:jc w:val="left"/>
        <w:rPr>
          <w:rFonts w:hAnsi="宋体" w:cs="宋体"/>
          <w:color w:val="auto"/>
          <w:szCs w:val="24"/>
          <w:highlight w:val="none"/>
        </w:rPr>
      </w:pPr>
      <w:r>
        <w:rPr>
          <w:rFonts w:hint="eastAsia" w:hAnsi="宋体" w:cs="宋体"/>
          <w:color w:val="auto"/>
          <w:szCs w:val="24"/>
          <w:highlight w:val="none"/>
        </w:rPr>
        <w:t xml:space="preserve">项目编号： </w:t>
      </w:r>
    </w:p>
    <w:p>
      <w:pPr>
        <w:spacing w:line="360" w:lineRule="auto"/>
        <w:jc w:val="left"/>
        <w:rPr>
          <w:rFonts w:hAnsi="宋体" w:cs="宋体"/>
          <w:color w:val="auto"/>
          <w:szCs w:val="24"/>
          <w:highlight w:val="none"/>
        </w:rPr>
      </w:pPr>
      <w:r>
        <w:rPr>
          <w:rFonts w:hint="eastAsia" w:hAnsi="宋体" w:cs="宋体"/>
          <w:color w:val="auto"/>
          <w:szCs w:val="24"/>
          <w:highlight w:val="none"/>
        </w:rPr>
        <w:t>项目名称：</w:t>
      </w:r>
    </w:p>
    <w:tbl>
      <w:tblPr>
        <w:tblStyle w:val="44"/>
        <w:tblW w:w="8928" w:type="dxa"/>
        <w:tblInd w:w="0" w:type="dxa"/>
        <w:tblLayout w:type="fixed"/>
        <w:tblCellMar>
          <w:top w:w="0" w:type="dxa"/>
          <w:left w:w="28" w:type="dxa"/>
          <w:bottom w:w="0" w:type="dxa"/>
          <w:right w:w="28" w:type="dxa"/>
        </w:tblCellMar>
      </w:tblPr>
      <w:tblGrid>
        <w:gridCol w:w="886"/>
        <w:gridCol w:w="1862"/>
        <w:gridCol w:w="2250"/>
        <w:gridCol w:w="1311"/>
        <w:gridCol w:w="1307"/>
        <w:gridCol w:w="1312"/>
      </w:tblGrid>
      <w:tr>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pPr>
              <w:spacing w:after="120"/>
              <w:jc w:val="center"/>
              <w:rPr>
                <w:rFonts w:hAnsi="宋体" w:cs="宋体"/>
                <w:color w:val="auto"/>
                <w:highlight w:val="none"/>
              </w:rPr>
            </w:pPr>
            <w:r>
              <w:rPr>
                <w:rFonts w:hint="eastAsia" w:hAnsi="宋体" w:cs="宋体"/>
                <w:color w:val="auto"/>
                <w:highlight w:val="none"/>
              </w:rPr>
              <w:t>序号</w:t>
            </w:r>
          </w:p>
        </w:tc>
        <w:tc>
          <w:tcPr>
            <w:tcW w:w="1862"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pPr>
              <w:spacing w:before="16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color w:val="auto"/>
                <w:highlight w:val="none"/>
              </w:rPr>
            </w:pPr>
            <w:r>
              <w:rPr>
                <w:rFonts w:hint="eastAsia" w:hAnsi="宋体" w:cs="宋体"/>
                <w:color w:val="auto"/>
                <w:highlight w:val="none"/>
              </w:rPr>
              <w:t>单价</w:t>
            </w:r>
          </w:p>
          <w:p>
            <w:pPr>
              <w:spacing w:after="120"/>
              <w:jc w:val="center"/>
              <w:rPr>
                <w:rFonts w:hAnsi="宋体" w:cs="宋体"/>
                <w:bCs/>
                <w:color w:val="auto"/>
                <w:highlight w:val="none"/>
              </w:rPr>
            </w:pPr>
            <w:r>
              <w:rPr>
                <w:rFonts w:hint="eastAsia" w:hAnsi="宋体" w:cs="宋体"/>
                <w:color w:val="auto"/>
                <w:highlight w:val="none"/>
              </w:rPr>
              <w:t>（元）</w:t>
            </w:r>
          </w:p>
        </w:tc>
        <w:tc>
          <w:tcPr>
            <w:tcW w:w="1312"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bCs/>
                <w:color w:val="auto"/>
                <w:highlight w:val="none"/>
              </w:rPr>
            </w:pPr>
            <w:r>
              <w:rPr>
                <w:rFonts w:hint="eastAsia" w:hAnsi="宋体" w:cs="宋体"/>
                <w:bCs/>
                <w:color w:val="auto"/>
                <w:highlight w:val="none"/>
              </w:rPr>
              <w:t>总价</w:t>
            </w:r>
          </w:p>
          <w:p>
            <w:pPr>
              <w:spacing w:after="120"/>
              <w:jc w:val="center"/>
              <w:rPr>
                <w:rFonts w:hAnsi="宋体" w:cs="宋体"/>
                <w:bCs/>
                <w:color w:val="auto"/>
                <w:highlight w:val="none"/>
              </w:rPr>
            </w:pPr>
            <w:r>
              <w:rPr>
                <w:rFonts w:hint="eastAsia" w:hAnsi="宋体" w:cs="宋体"/>
                <w:bCs/>
                <w:color w:val="auto"/>
                <w:highlight w:val="none"/>
              </w:rPr>
              <w:t>（元）</w:t>
            </w:r>
          </w:p>
        </w:tc>
      </w:tr>
      <w:tr>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pPr>
              <w:spacing w:before="333" w:beforeLines="100"/>
              <w:jc w:val="center"/>
              <w:rPr>
                <w:rFonts w:hAnsi="宋体" w:cs="宋体"/>
                <w:color w:val="auto"/>
                <w:highlight w:val="none"/>
              </w:rPr>
            </w:pPr>
            <w:r>
              <w:rPr>
                <w:rFonts w:hint="eastAsia" w:hAnsi="宋体" w:cs="宋体"/>
                <w:color w:val="auto"/>
                <w:highlight w:val="none"/>
              </w:rPr>
              <w:t>1</w:t>
            </w:r>
          </w:p>
        </w:tc>
        <w:tc>
          <w:tcPr>
            <w:tcW w:w="1862"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color w:val="auto"/>
                <w:highlight w:val="none"/>
              </w:rPr>
            </w:pPr>
          </w:p>
        </w:tc>
        <w:tc>
          <w:tcPr>
            <w:tcW w:w="1312"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color w:val="auto"/>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rPr>
                <w:rFonts w:hAnsi="宋体" w:cs="宋体"/>
                <w:color w:val="auto"/>
                <w:highlight w:val="none"/>
              </w:rPr>
            </w:pPr>
            <w:r>
              <w:rPr>
                <w:rFonts w:hint="eastAsia" w:hAnsi="宋体" w:cs="宋体"/>
                <w:color w:val="auto"/>
                <w:highlight w:val="none"/>
              </w:rPr>
              <w:t>2</w:t>
            </w:r>
          </w:p>
        </w:tc>
        <w:tc>
          <w:tcPr>
            <w:tcW w:w="1862" w:type="dxa"/>
            <w:tcBorders>
              <w:top w:val="single" w:color="auto" w:sz="4" w:space="0"/>
              <w:left w:val="single" w:color="auto" w:sz="6" w:space="0"/>
              <w:bottom w:val="single" w:color="auto" w:sz="6" w:space="0"/>
              <w:right w:val="single" w:color="auto" w:sz="6" w:space="0"/>
            </w:tcBorders>
            <w:vAlign w:val="center"/>
          </w:tcPr>
          <w:p>
            <w:pPr>
              <w:spacing w:before="333"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2"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rPr>
                <w:rFonts w:hAnsi="宋体" w:cs="宋体"/>
                <w:color w:val="auto"/>
                <w:highlight w:val="none"/>
              </w:rPr>
            </w:pPr>
            <w:r>
              <w:rPr>
                <w:rFonts w:hint="eastAsia" w:hAnsi="宋体" w:cs="宋体"/>
                <w:color w:val="auto"/>
                <w:highlight w:val="none"/>
              </w:rPr>
              <w:t>3</w:t>
            </w:r>
          </w:p>
        </w:tc>
        <w:tc>
          <w:tcPr>
            <w:tcW w:w="1862" w:type="dxa"/>
            <w:tcBorders>
              <w:top w:val="single" w:color="auto" w:sz="4" w:space="0"/>
              <w:left w:val="single" w:color="auto" w:sz="6" w:space="0"/>
              <w:bottom w:val="single" w:color="auto" w:sz="6" w:space="0"/>
              <w:right w:val="single" w:color="auto" w:sz="6" w:space="0"/>
            </w:tcBorders>
            <w:vAlign w:val="center"/>
          </w:tcPr>
          <w:p>
            <w:pPr>
              <w:spacing w:before="333"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2"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rPr>
                <w:rFonts w:hAnsi="宋体" w:cs="宋体"/>
                <w:color w:val="auto"/>
                <w:highlight w:val="none"/>
              </w:rPr>
            </w:pPr>
            <w:r>
              <w:rPr>
                <w:rFonts w:hint="eastAsia" w:hAnsi="宋体" w:cs="宋体"/>
                <w:color w:val="auto"/>
                <w:szCs w:val="24"/>
                <w:highlight w:val="none"/>
              </w:rPr>
              <w:t>……</w:t>
            </w:r>
          </w:p>
        </w:tc>
        <w:tc>
          <w:tcPr>
            <w:tcW w:w="1862"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2"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rPr>
                <w:rFonts w:hAnsi="宋体" w:cs="宋体"/>
                <w:b/>
                <w:color w:val="auto"/>
                <w:highlight w:val="none"/>
              </w:rPr>
            </w:pPr>
            <w:r>
              <w:rPr>
                <w:rFonts w:hint="eastAsia" w:hAnsi="宋体" w:cs="宋体"/>
                <w:color w:val="auto"/>
                <w:szCs w:val="24"/>
                <w:highlight w:val="none"/>
              </w:rPr>
              <w:t>……</w:t>
            </w:r>
          </w:p>
        </w:tc>
        <w:tc>
          <w:tcPr>
            <w:tcW w:w="1862"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c>
          <w:tcPr>
            <w:tcW w:w="1312"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pPr>
              <w:jc w:val="center"/>
              <w:rPr>
                <w:rFonts w:hAnsi="宋体" w:cs="宋体"/>
                <w:color w:val="auto"/>
                <w:highlight w:val="none"/>
              </w:rPr>
            </w:pPr>
            <w:r>
              <w:rPr>
                <w:rFonts w:hint="eastAsia" w:hAnsi="宋体" w:cs="宋体"/>
                <w:color w:val="auto"/>
                <w:highlight w:val="none"/>
              </w:rPr>
              <w:t>合计：</w:t>
            </w:r>
          </w:p>
        </w:tc>
        <w:tc>
          <w:tcPr>
            <w:tcW w:w="8042" w:type="dxa"/>
            <w:gridSpan w:val="5"/>
            <w:tcBorders>
              <w:top w:val="single" w:color="auto" w:sz="4" w:space="0"/>
              <w:left w:val="single" w:color="auto" w:sz="6" w:space="0"/>
              <w:bottom w:val="single" w:color="auto" w:sz="6" w:space="0"/>
              <w:right w:val="single" w:color="auto" w:sz="6" w:space="0"/>
            </w:tcBorders>
            <w:vAlign w:val="center"/>
          </w:tcPr>
          <w:p>
            <w:pPr>
              <w:spacing w:before="166" w:beforeLines="50"/>
              <w:jc w:val="left"/>
              <w:rPr>
                <w:rFonts w:hAnsi="宋体" w:cs="宋体"/>
                <w:color w:val="auto"/>
                <w:highlight w:val="none"/>
              </w:rPr>
            </w:pPr>
            <w:r>
              <w:rPr>
                <w:rFonts w:hint="eastAsia" w:hAnsi="宋体" w:cs="宋体"/>
                <w:color w:val="auto"/>
                <w:highlight w:val="none"/>
              </w:rPr>
              <w:t>大写：                                小写：</w:t>
            </w: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pPr>
              <w:jc w:val="center"/>
              <w:rPr>
                <w:rFonts w:hAnsi="宋体" w:cs="宋体"/>
                <w:color w:val="auto"/>
                <w:highlight w:val="none"/>
              </w:rPr>
            </w:pPr>
            <w:r>
              <w:rPr>
                <w:rFonts w:hint="eastAsia" w:hAnsi="宋体" w:cs="宋体"/>
                <w:color w:val="auto"/>
                <w:highlight w:val="none"/>
              </w:rPr>
              <w:t>备注</w:t>
            </w:r>
          </w:p>
        </w:tc>
        <w:tc>
          <w:tcPr>
            <w:tcW w:w="8042" w:type="dxa"/>
            <w:gridSpan w:val="5"/>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color w:val="auto"/>
                <w:highlight w:val="none"/>
              </w:rPr>
            </w:pPr>
            <w:r>
              <w:rPr>
                <w:rFonts w:hint="eastAsia" w:hAnsi="宋体" w:cs="宋体"/>
                <w:color w:val="auto"/>
                <w:spacing w:val="-6"/>
                <w:highlight w:val="none"/>
              </w:rPr>
              <w:t>保留小数点后两位。</w:t>
            </w:r>
          </w:p>
        </w:tc>
      </w:tr>
    </w:tbl>
    <w:p>
      <w:pPr>
        <w:adjustRightInd w:val="0"/>
        <w:snapToGrid w:val="0"/>
        <w:spacing w:line="360" w:lineRule="auto"/>
        <w:rPr>
          <w:rFonts w:hAnsi="宋体" w:cs="宋体"/>
          <w:color w:val="auto"/>
          <w:szCs w:val="21"/>
          <w:highlight w:val="none"/>
        </w:rPr>
      </w:pPr>
    </w:p>
    <w:p>
      <w:pPr>
        <w:adjustRightInd w:val="0"/>
        <w:snapToGrid w:val="0"/>
        <w:spacing w:line="360" w:lineRule="auto"/>
        <w:rPr>
          <w:rFonts w:hAnsi="宋体" w:cs="宋体"/>
          <w:color w:val="auto"/>
          <w:szCs w:val="21"/>
          <w:highlight w:val="none"/>
        </w:rPr>
      </w:pPr>
    </w:p>
    <w:p>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供应商提供的产品</w:t>
      </w:r>
      <w:r>
        <w:rPr>
          <w:rFonts w:hint="eastAsia" w:hAnsi="宋体" w:cs="宋体"/>
          <w:bCs/>
          <w:color w:val="auto"/>
          <w:szCs w:val="21"/>
          <w:highlight w:val="none"/>
        </w:rPr>
        <w:t>属于《节能产品政府采购清单》中节能产品，《环境标志产品政府采购清单》中环境标志产品，应按招标文件要求</w:t>
      </w:r>
      <w:r>
        <w:rPr>
          <w:rFonts w:hint="eastAsia" w:hAnsi="宋体" w:cs="宋体"/>
          <w:color w:val="auto"/>
          <w:szCs w:val="21"/>
          <w:highlight w:val="none"/>
        </w:rPr>
        <w:t>提供相关证明材料。</w:t>
      </w:r>
    </w:p>
    <w:p>
      <w:pPr>
        <w:pStyle w:val="85"/>
        <w:spacing w:line="400" w:lineRule="exact"/>
        <w:ind w:left="480" w:leftChars="200" w:firstLine="240" w:firstLineChars="100"/>
        <w:rPr>
          <w:rFonts w:hAnsi="宋体" w:cs="宋体"/>
          <w:color w:val="auto"/>
          <w:sz w:val="28"/>
          <w:szCs w:val="28"/>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的，评标时不予以考虑。</w:t>
      </w:r>
    </w:p>
    <w:p>
      <w:pPr>
        <w:spacing w:before="100" w:beforeAutospacing="1" w:after="166" w:afterLines="50" w:line="360" w:lineRule="auto"/>
        <w:jc w:val="left"/>
        <w:rPr>
          <w:rFonts w:hAnsi="宋体" w:cs="宋体"/>
          <w:color w:val="auto"/>
          <w:szCs w:val="24"/>
          <w:highlight w:val="none"/>
        </w:rPr>
      </w:pPr>
    </w:p>
    <w:p>
      <w:pPr>
        <w:spacing w:before="100" w:beforeAutospacing="1" w:after="166" w:afterLines="50" w:line="360" w:lineRule="auto"/>
        <w:rPr>
          <w:rFonts w:hAnsi="宋体" w:cs="宋体"/>
          <w:color w:val="auto"/>
          <w:szCs w:val="24"/>
          <w:highlight w:val="none"/>
        </w:rPr>
      </w:pPr>
      <w:r>
        <w:rPr>
          <w:rFonts w:hint="eastAsia" w:hAnsi="宋体" w:cs="宋体"/>
          <w:color w:val="auto"/>
          <w:szCs w:val="24"/>
          <w:highlight w:val="none"/>
        </w:rPr>
        <w:t xml:space="preserve">   </w:t>
      </w:r>
    </w:p>
    <w:p>
      <w:pPr>
        <w:spacing w:before="166" w:beforeLines="50"/>
        <w:rPr>
          <w:rFonts w:hAnsi="宋体" w:cs="宋体"/>
          <w:color w:val="auto"/>
          <w:sz w:val="32"/>
          <w:szCs w:val="32"/>
          <w:highlight w:val="none"/>
        </w:rPr>
        <w:sectPr>
          <w:pgSz w:w="11906" w:h="16838"/>
          <w:pgMar w:top="1417" w:right="1134" w:bottom="1417" w:left="1417" w:header="1134" w:footer="992" w:gutter="0"/>
          <w:pgNumType w:fmt="numberInDash"/>
          <w:cols w:space="0" w:num="1"/>
          <w:titlePg/>
          <w:rtlGutter w:val="0"/>
          <w:docGrid w:type="lines" w:linePitch="334" w:charSpace="0"/>
        </w:sectPr>
      </w:pPr>
      <w:bookmarkStart w:id="518" w:name="_Toc363474032"/>
      <w:bookmarkStart w:id="519" w:name="_Toc426457713"/>
      <w:bookmarkStart w:id="520" w:name="_Toc21284"/>
      <w:bookmarkStart w:id="521" w:name="_Toc2621"/>
      <w:bookmarkStart w:id="522" w:name="_Toc403077655"/>
      <w:bookmarkStart w:id="523" w:name="_Toc23455"/>
      <w:bookmarkStart w:id="524" w:name="_Toc1379"/>
      <w:bookmarkStart w:id="525" w:name="_Toc9218"/>
      <w:bookmarkStart w:id="526" w:name="_Toc16802"/>
      <w:bookmarkStart w:id="527" w:name="_Toc10660"/>
    </w:p>
    <w:p>
      <w:pPr>
        <w:spacing w:before="166" w:beforeLines="50"/>
        <w:jc w:val="center"/>
        <w:outlineLvl w:val="1"/>
        <w:rPr>
          <w:rFonts w:hAnsi="宋体" w:cs="宋体"/>
          <w:b/>
          <w:bCs/>
          <w:color w:val="auto"/>
          <w:sz w:val="32"/>
          <w:szCs w:val="32"/>
          <w:highlight w:val="none"/>
        </w:rPr>
      </w:pPr>
      <w:r>
        <w:rPr>
          <w:rFonts w:hint="eastAsia" w:hAnsi="宋体" w:cs="宋体"/>
          <w:b/>
          <w:bCs/>
          <w:color w:val="auto"/>
          <w:sz w:val="32"/>
          <w:szCs w:val="32"/>
          <w:highlight w:val="none"/>
        </w:rPr>
        <w:t>四、</w:t>
      </w:r>
      <w:bookmarkEnd w:id="518"/>
      <w:bookmarkEnd w:id="519"/>
      <w:bookmarkEnd w:id="520"/>
      <w:bookmarkEnd w:id="521"/>
      <w:bookmarkEnd w:id="522"/>
      <w:bookmarkEnd w:id="523"/>
      <w:bookmarkEnd w:id="524"/>
      <w:bookmarkEnd w:id="525"/>
      <w:r>
        <w:rPr>
          <w:rFonts w:hint="eastAsia" w:hAnsi="宋体" w:cs="宋体"/>
          <w:b/>
          <w:bCs/>
          <w:color w:val="auto"/>
          <w:sz w:val="32"/>
          <w:szCs w:val="32"/>
          <w:highlight w:val="none"/>
        </w:rPr>
        <w:t>商务条款偏离表</w:t>
      </w:r>
      <w:bookmarkEnd w:id="526"/>
      <w:bookmarkEnd w:id="527"/>
    </w:p>
    <w:p>
      <w:pPr>
        <w:spacing w:line="360" w:lineRule="auto"/>
        <w:jc w:val="left"/>
        <w:rPr>
          <w:rFonts w:hAnsi="宋体" w:cs="宋体"/>
          <w:bCs/>
          <w:color w:val="auto"/>
          <w:szCs w:val="24"/>
          <w:highlight w:val="none"/>
        </w:rPr>
      </w:pPr>
      <w:r>
        <w:rPr>
          <w:rFonts w:hint="eastAsia" w:hAnsi="宋体" w:cs="宋体"/>
          <w:bCs/>
          <w:color w:val="auto"/>
          <w:szCs w:val="24"/>
          <w:highlight w:val="none"/>
        </w:rPr>
        <w:t>项目编号：</w:t>
      </w:r>
    </w:p>
    <w:p>
      <w:pPr>
        <w:spacing w:line="360" w:lineRule="auto"/>
        <w:jc w:val="left"/>
        <w:rPr>
          <w:rFonts w:hAnsi="宋体" w:cs="宋体"/>
          <w:bCs/>
          <w:color w:val="auto"/>
          <w:szCs w:val="24"/>
          <w:highlight w:val="none"/>
        </w:rPr>
      </w:pPr>
      <w:r>
        <w:rPr>
          <w:rFonts w:hint="eastAsia" w:hAnsi="宋体" w:cs="宋体"/>
          <w:bCs/>
          <w:color w:val="auto"/>
          <w:szCs w:val="24"/>
          <w:highlight w:val="none"/>
        </w:rPr>
        <w:t>项目名称：</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cs="宋体"/>
                <w:color w:val="auto"/>
                <w:highlight w:val="none"/>
              </w:rPr>
            </w:pPr>
            <w:r>
              <w:rPr>
                <w:rFonts w:hint="eastAsia" w:cs="宋体"/>
                <w:color w:val="auto"/>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cs="宋体"/>
                <w:color w:val="auto"/>
                <w:highlight w:val="none"/>
              </w:rPr>
            </w:pPr>
            <w:r>
              <w:rPr>
                <w:rFonts w:hint="eastAsia" w:cs="宋体"/>
                <w:color w:val="auto"/>
                <w:highlight w:val="none"/>
              </w:rPr>
              <w:t>招标文件的商务条款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cs="宋体"/>
                <w:color w:val="auto"/>
                <w:highlight w:val="none"/>
              </w:rPr>
            </w:pPr>
            <w:r>
              <w:rPr>
                <w:rFonts w:hint="eastAsia" w:cs="宋体"/>
                <w:color w:val="auto"/>
                <w:highlight w:val="none"/>
              </w:rPr>
              <w:t>投标文件的商务条款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0"/>
              <w:widowControl w:val="0"/>
              <w:spacing w:before="0" w:beforeAutospacing="0" w:after="0" w:afterAutospacing="0"/>
              <w:ind w:firstLine="480" w:firstLineChars="200"/>
              <w:jc w:val="center"/>
              <w:rPr>
                <w:rFonts w:cs="宋体"/>
                <w:color w:val="auto"/>
                <w:highlight w:val="none"/>
              </w:rPr>
            </w:pPr>
          </w:p>
        </w:tc>
      </w:tr>
    </w:tbl>
    <w:p>
      <w:pPr>
        <w:pStyle w:val="40"/>
        <w:widowControl w:val="0"/>
        <w:spacing w:before="0" w:beforeAutospacing="0" w:after="0" w:afterAutospacing="0"/>
        <w:rPr>
          <w:rFonts w:cs="宋体"/>
          <w:color w:val="auto"/>
          <w:highlight w:val="none"/>
        </w:rPr>
      </w:pPr>
      <w:r>
        <w:rPr>
          <w:rFonts w:hint="eastAsia" w:cs="宋体"/>
          <w:color w:val="auto"/>
          <w:highlight w:val="none"/>
        </w:rPr>
        <w:t>说明：</w:t>
      </w:r>
    </w:p>
    <w:p>
      <w:pPr>
        <w:pStyle w:val="40"/>
        <w:widowControl w:val="0"/>
        <w:spacing w:before="0" w:beforeAutospacing="0" w:after="0" w:afterAutospacing="0" w:line="360" w:lineRule="auto"/>
        <w:ind w:firstLine="480" w:firstLineChars="200"/>
        <w:jc w:val="both"/>
        <w:rPr>
          <w:rFonts w:cs="宋体"/>
          <w:color w:val="auto"/>
          <w:highlight w:val="none"/>
        </w:rPr>
      </w:pPr>
      <w:r>
        <w:rPr>
          <w:rFonts w:hint="eastAsia" w:cs="宋体"/>
          <w:color w:val="auto"/>
          <w:highlight w:val="none"/>
        </w:rPr>
        <w:t>1.本表只填写投标文件中与招标文件有偏离（包括正偏离和负偏离）的内容，投标文件中商务响应与招标文件要求完全一致的，不用在此表中列出，但必须提交空白表。</w:t>
      </w:r>
    </w:p>
    <w:p>
      <w:pPr>
        <w:pStyle w:val="40"/>
        <w:widowControl w:val="0"/>
        <w:spacing w:before="0" w:beforeAutospacing="0" w:after="0" w:afterAutospacing="0" w:line="360" w:lineRule="auto"/>
        <w:ind w:firstLine="480" w:firstLineChars="200"/>
        <w:rPr>
          <w:rFonts w:cs="宋体"/>
          <w:color w:val="auto"/>
          <w:highlight w:val="none"/>
        </w:rPr>
      </w:pPr>
      <w:r>
        <w:rPr>
          <w:rFonts w:hint="eastAsia" w:cs="宋体"/>
          <w:color w:val="auto"/>
          <w:highlight w:val="none"/>
        </w:rPr>
        <w:t>2.供应商必须据实填写，不得虚假响应，否则将取消其投标或中标资格，并按有关规定进处罚。</w:t>
      </w:r>
    </w:p>
    <w:p>
      <w:pPr>
        <w:pStyle w:val="40"/>
        <w:widowControl w:val="0"/>
        <w:spacing w:before="0" w:beforeAutospacing="0" w:after="0" w:afterAutospacing="0"/>
        <w:ind w:firstLine="480" w:firstLineChars="200"/>
        <w:jc w:val="center"/>
        <w:rPr>
          <w:rFonts w:cs="宋体"/>
          <w:color w:val="auto"/>
          <w:highlight w:val="none"/>
        </w:rPr>
      </w:pPr>
    </w:p>
    <w:p>
      <w:pPr>
        <w:pStyle w:val="40"/>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w:t>
      </w:r>
      <w:r>
        <w:rPr>
          <w:rFonts w:hint="eastAsia" w:cs="宋体"/>
          <w:color w:val="auto"/>
          <w:highlight w:val="none"/>
          <w:u w:val="single"/>
        </w:rPr>
        <w:t xml:space="preserve">      （加盖单位公章）      </w:t>
      </w:r>
      <w:r>
        <w:rPr>
          <w:rFonts w:hint="eastAsia" w:cs="宋体"/>
          <w:color w:val="auto"/>
          <w:highlight w:val="none"/>
        </w:rPr>
        <w:t xml:space="preserve">                     </w:t>
      </w:r>
    </w:p>
    <w:p>
      <w:pPr>
        <w:pStyle w:val="40"/>
        <w:widowControl w:val="0"/>
        <w:spacing w:before="0" w:beforeAutospacing="0" w:after="0" w:afterAutospacing="0"/>
        <w:ind w:firstLine="480" w:firstLineChars="200"/>
        <w:jc w:val="center"/>
        <w:rPr>
          <w:rFonts w:cs="宋体"/>
          <w:color w:val="auto"/>
          <w:highlight w:val="none"/>
        </w:rPr>
      </w:pPr>
    </w:p>
    <w:p>
      <w:pPr>
        <w:pStyle w:val="40"/>
        <w:widowControl w:val="0"/>
        <w:spacing w:before="0" w:beforeAutospacing="0" w:after="0" w:afterAutospacing="0"/>
        <w:ind w:firstLine="480" w:firstLineChars="200"/>
        <w:rPr>
          <w:rFonts w:cs="宋体"/>
          <w:color w:val="auto"/>
          <w:highlight w:val="none"/>
        </w:rPr>
      </w:pPr>
      <w:r>
        <w:rPr>
          <w:rFonts w:hint="eastAsia" w:cs="宋体"/>
          <w:color w:val="auto"/>
          <w:highlight w:val="none"/>
        </w:rPr>
        <w:t>法定代表人或被授权人（</w:t>
      </w:r>
      <w:r>
        <w:rPr>
          <w:rFonts w:hint="eastAsia" w:cs="宋体"/>
          <w:color w:val="auto"/>
          <w:spacing w:val="4"/>
          <w:highlight w:val="none"/>
        </w:rPr>
        <w:t>签字或盖章</w:t>
      </w:r>
      <w:r>
        <w:rPr>
          <w:rFonts w:hint="eastAsia" w:cs="宋体"/>
          <w:color w:val="auto"/>
          <w:highlight w:val="none"/>
        </w:rPr>
        <w:t xml:space="preserve">）：           </w:t>
      </w:r>
    </w:p>
    <w:p>
      <w:pPr>
        <w:jc w:val="center"/>
        <w:outlineLvl w:val="1"/>
        <w:rPr>
          <w:rFonts w:hAnsi="宋体" w:cs="宋体"/>
          <w:b/>
          <w:bCs/>
          <w:color w:val="auto"/>
          <w:highlight w:val="none"/>
        </w:rPr>
      </w:pPr>
      <w:r>
        <w:rPr>
          <w:rFonts w:hint="eastAsia" w:hAnsi="宋体" w:cs="宋体"/>
          <w:color w:val="auto"/>
          <w:highlight w:val="none"/>
        </w:rPr>
        <w:br w:type="page"/>
      </w:r>
      <w:bookmarkStart w:id="528" w:name="_Toc6862"/>
      <w:bookmarkStart w:id="529" w:name="_Toc363474033"/>
      <w:bookmarkStart w:id="530" w:name="_Toc10058"/>
      <w:bookmarkStart w:id="531" w:name="_Toc6432"/>
      <w:bookmarkStart w:id="532" w:name="_Toc10179"/>
      <w:bookmarkStart w:id="533" w:name="_Toc5408"/>
      <w:bookmarkStart w:id="534" w:name="_Toc403077656"/>
      <w:bookmarkStart w:id="535" w:name="_Toc14968"/>
      <w:bookmarkStart w:id="536" w:name="_Toc8692"/>
      <w:bookmarkStart w:id="537" w:name="_Toc426457714"/>
      <w:r>
        <w:rPr>
          <w:rFonts w:hint="eastAsia" w:hAnsi="宋体" w:cs="宋体"/>
          <w:b/>
          <w:bCs/>
          <w:color w:val="auto"/>
          <w:sz w:val="32"/>
          <w:szCs w:val="32"/>
          <w:highlight w:val="none"/>
        </w:rPr>
        <w:t>五、陕西省政府采购供应商拒绝政府采购领域商业贿赂承诺书</w:t>
      </w:r>
      <w:bookmarkEnd w:id="528"/>
      <w:bookmarkEnd w:id="529"/>
      <w:bookmarkEnd w:id="530"/>
      <w:bookmarkEnd w:id="531"/>
      <w:bookmarkEnd w:id="532"/>
      <w:bookmarkEnd w:id="533"/>
      <w:bookmarkEnd w:id="534"/>
      <w:bookmarkEnd w:id="535"/>
      <w:bookmarkEnd w:id="536"/>
      <w:bookmarkEnd w:id="537"/>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为响应党中央、国务院关于治理政府采购领域商业贿赂行为的号召，我公司在此庄严承诺：</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1、在参与政府采购活动中遵纪守法、诚信经营、公平竞标。</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2、不向政府采购人、采购代理机构和政府采购评审专家进行任何形式的商业贿赂以谋取交易机会。</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3、不向政府采购代理机构和采购人提供虚假资质文件或采用虚假应标方式参与政府采购市场竞争并谋取中标、成交。</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4、不采取“围标、陪标”等商业欺诈手段获得政府采购定单。</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5、不采取不正当手段诋毁、排挤其他供应商。</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6、不在提供商品和服务时“偷梁换柱、以次充好”损害采购人的合法权益。</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7、不与采购人、采购代理机构政府采购评审专家或其它供应商恶意串通，进行质疑和投诉，维护政府采购市场秩序。</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8、尊重和接受政府采购监督管理部门的监督和政府采购代理机构招标采购要求，承担因违约行为给采购人造成的损失。</w:t>
      </w:r>
    </w:p>
    <w:p>
      <w:pPr>
        <w:widowControl/>
        <w:spacing w:line="408" w:lineRule="auto"/>
        <w:ind w:left="274" w:leftChars="114" w:firstLine="470" w:firstLineChars="196"/>
        <w:jc w:val="left"/>
        <w:rPr>
          <w:rFonts w:hint="eastAsia" w:hAnsi="宋体" w:eastAsia="宋体" w:cs="宋体"/>
          <w:color w:val="auto"/>
          <w:highlight w:val="none"/>
          <w:lang w:eastAsia="zh-CN"/>
        </w:rPr>
      </w:pPr>
      <w:r>
        <w:rPr>
          <w:rFonts w:hint="eastAsia" w:hAnsi="宋体" w:cs="宋体"/>
          <w:color w:val="auto"/>
          <w:highlight w:val="none"/>
        </w:rPr>
        <w:t>9、不发生其他有悖于政府采购公开、公平、公正和诚信原则的行为。</w:t>
      </w:r>
    </w:p>
    <w:p>
      <w:pPr>
        <w:pStyle w:val="2"/>
        <w:rPr>
          <w:rFonts w:hint="eastAsia"/>
          <w:lang w:eastAsia="zh-CN"/>
        </w:rPr>
      </w:pPr>
    </w:p>
    <w:p>
      <w:pPr>
        <w:widowControl/>
        <w:spacing w:line="408" w:lineRule="auto"/>
        <w:ind w:left="274" w:leftChars="114"/>
        <w:jc w:val="left"/>
        <w:rPr>
          <w:rFonts w:hint="eastAsia" w:hAnsi="宋体" w:eastAsia="宋体" w:cs="宋体"/>
          <w:color w:val="auto"/>
          <w:highlight w:val="none"/>
          <w:lang w:eastAsia="zh-CN"/>
        </w:rPr>
      </w:pPr>
      <w:r>
        <w:rPr>
          <w:rFonts w:hint="eastAsia" w:hAnsi="宋体" w:cs="宋体"/>
          <w:color w:val="auto"/>
          <w:highlight w:val="none"/>
        </w:rPr>
        <w:t>承诺单位（盖章）：</w:t>
      </w:r>
    </w:p>
    <w:p>
      <w:pPr>
        <w:widowControl/>
        <w:spacing w:line="408" w:lineRule="auto"/>
        <w:ind w:left="274" w:leftChars="114"/>
        <w:jc w:val="left"/>
        <w:rPr>
          <w:rFonts w:hint="eastAsia" w:hAnsi="宋体" w:eastAsia="宋体" w:cs="宋体"/>
          <w:color w:val="auto"/>
          <w:highlight w:val="none"/>
          <w:lang w:eastAsia="zh-CN"/>
        </w:rPr>
      </w:pPr>
      <w:r>
        <w:rPr>
          <w:rFonts w:hint="eastAsia" w:hAnsi="宋体" w:cs="宋体"/>
          <w:color w:val="auto"/>
          <w:highlight w:val="none"/>
        </w:rPr>
        <w:t>法定代表人（</w:t>
      </w:r>
      <w:r>
        <w:rPr>
          <w:rFonts w:hint="eastAsia" w:hAnsi="宋体" w:cs="宋体"/>
          <w:color w:val="auto"/>
          <w:szCs w:val="24"/>
          <w:highlight w:val="none"/>
        </w:rPr>
        <w:t>签字或盖章</w:t>
      </w:r>
      <w:r>
        <w:rPr>
          <w:rFonts w:hint="eastAsia" w:hAnsi="宋体" w:cs="宋体"/>
          <w:color w:val="auto"/>
          <w:highlight w:val="none"/>
        </w:rPr>
        <w:t>）：</w:t>
      </w:r>
    </w:p>
    <w:p>
      <w:pPr>
        <w:widowControl/>
        <w:spacing w:line="408" w:lineRule="auto"/>
        <w:ind w:left="274" w:leftChars="114"/>
        <w:jc w:val="left"/>
        <w:rPr>
          <w:rFonts w:hAnsi="宋体" w:cs="宋体"/>
          <w:color w:val="auto"/>
          <w:highlight w:val="none"/>
        </w:rPr>
      </w:pPr>
      <w:r>
        <w:rPr>
          <w:rFonts w:hint="eastAsia" w:hAnsi="宋体" w:cs="宋体"/>
          <w:color w:val="auto"/>
          <w:highlight w:val="none"/>
        </w:rPr>
        <w:t>地  址：                        </w:t>
      </w:r>
    </w:p>
    <w:p>
      <w:pPr>
        <w:widowControl/>
        <w:spacing w:line="408" w:lineRule="auto"/>
        <w:ind w:left="274" w:leftChars="114"/>
        <w:jc w:val="left"/>
        <w:rPr>
          <w:rFonts w:hint="eastAsia" w:hAnsi="宋体" w:eastAsia="宋体" w:cs="宋体"/>
          <w:color w:val="auto"/>
          <w:highlight w:val="none"/>
          <w:lang w:eastAsia="zh-CN"/>
        </w:rPr>
      </w:pPr>
      <w:r>
        <w:rPr>
          <w:rFonts w:hint="eastAsia" w:hAnsi="宋体" w:cs="宋体"/>
          <w:color w:val="auto"/>
          <w:highlight w:val="none"/>
        </w:rPr>
        <w:t>邮  编：</w:t>
      </w:r>
    </w:p>
    <w:p>
      <w:pPr>
        <w:widowControl/>
        <w:spacing w:line="408" w:lineRule="auto"/>
        <w:ind w:left="274" w:leftChars="114"/>
        <w:jc w:val="left"/>
        <w:rPr>
          <w:rFonts w:hAnsi="宋体" w:cs="宋体"/>
          <w:color w:val="auto"/>
          <w:highlight w:val="none"/>
        </w:rPr>
      </w:pPr>
      <w:r>
        <w:rPr>
          <w:rFonts w:hint="eastAsia" w:hAnsi="宋体" w:cs="宋体"/>
          <w:color w:val="auto"/>
          <w:highlight w:val="none"/>
        </w:rPr>
        <w:t xml:space="preserve">电  话：                                                                   </w:t>
      </w:r>
    </w:p>
    <w:p>
      <w:pPr>
        <w:widowControl/>
        <w:spacing w:line="408" w:lineRule="auto"/>
        <w:ind w:left="274" w:leftChars="114"/>
        <w:jc w:val="center"/>
        <w:rPr>
          <w:rFonts w:hAnsi="宋体" w:cs="宋体"/>
          <w:color w:val="auto"/>
          <w:highlight w:val="none"/>
        </w:rPr>
      </w:pPr>
      <w:r>
        <w:rPr>
          <w:rFonts w:hint="eastAsia" w:hAnsi="宋体" w:cs="宋体"/>
          <w:color w:val="auto"/>
          <w:highlight w:val="none"/>
        </w:rPr>
        <w:t xml:space="preserve">                                          年    月    日</w:t>
      </w:r>
      <w:bookmarkStart w:id="538" w:name="_Toc11541"/>
      <w:bookmarkStart w:id="539" w:name="_Toc363474034"/>
      <w:bookmarkStart w:id="540" w:name="_Toc155"/>
      <w:bookmarkStart w:id="541" w:name="_Toc7550"/>
      <w:bookmarkStart w:id="542" w:name="_Toc426457715"/>
      <w:bookmarkStart w:id="543" w:name="_Toc8066"/>
      <w:bookmarkStart w:id="544" w:name="_Toc403077657"/>
      <w:bookmarkStart w:id="545" w:name="_Toc28113"/>
      <w:bookmarkStart w:id="546" w:name="_Toc20139"/>
      <w:bookmarkStart w:id="547" w:name="_Toc17473"/>
    </w:p>
    <w:p>
      <w:pPr>
        <w:jc w:val="center"/>
        <w:rPr>
          <w:rFonts w:hAnsi="宋体" w:cs="宋体"/>
          <w:color w:val="auto"/>
          <w:sz w:val="32"/>
          <w:szCs w:val="32"/>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jc w:val="center"/>
        <w:outlineLvl w:val="1"/>
        <w:rPr>
          <w:rFonts w:hAnsi="宋体" w:cs="宋体"/>
          <w:b/>
          <w:bCs/>
          <w:color w:val="auto"/>
          <w:sz w:val="32"/>
          <w:szCs w:val="32"/>
          <w:highlight w:val="none"/>
        </w:rPr>
      </w:pPr>
      <w:r>
        <w:rPr>
          <w:rFonts w:hint="eastAsia" w:hAnsi="宋体" w:cs="宋体"/>
          <w:b/>
          <w:bCs/>
          <w:color w:val="auto"/>
          <w:sz w:val="32"/>
          <w:szCs w:val="32"/>
          <w:highlight w:val="none"/>
        </w:rPr>
        <w:t>六、资格证明文件</w:t>
      </w:r>
      <w:bookmarkEnd w:id="538"/>
      <w:bookmarkEnd w:id="539"/>
      <w:bookmarkEnd w:id="540"/>
      <w:bookmarkEnd w:id="541"/>
      <w:bookmarkEnd w:id="542"/>
      <w:bookmarkEnd w:id="543"/>
      <w:bookmarkEnd w:id="544"/>
      <w:bookmarkEnd w:id="545"/>
      <w:bookmarkEnd w:id="546"/>
      <w:bookmarkEnd w:id="547"/>
    </w:p>
    <w:p>
      <w:pPr>
        <w:spacing w:line="360" w:lineRule="auto"/>
        <w:rPr>
          <w:rFonts w:hAnsi="宋体" w:cs="宋体"/>
          <w:color w:val="auto"/>
          <w:highlight w:val="none"/>
        </w:rPr>
      </w:pPr>
      <w:r>
        <w:rPr>
          <w:rFonts w:hint="eastAsia" w:hAnsi="宋体" w:cs="宋体"/>
          <w:b/>
          <w:bCs/>
          <w:color w:val="auto"/>
          <w:szCs w:val="24"/>
          <w:highlight w:val="none"/>
        </w:rPr>
        <w:t>1、基本资格条件：</w:t>
      </w: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（1）提供合格有效的法人或者其他组织的营业执照等证明文件，自然人的身份证明；</w:t>
      </w:r>
    </w:p>
    <w:p>
      <w:pPr>
        <w:spacing w:line="360" w:lineRule="auto"/>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（2）财务状况报告：</w:t>
      </w:r>
      <w:r>
        <w:rPr>
          <w:rFonts w:hint="eastAsia" w:hAnsi="宋体" w:cs="宋体"/>
          <w:b/>
          <w:bCs/>
          <w:color w:val="auto"/>
          <w:kern w:val="2"/>
          <w:szCs w:val="24"/>
          <w:highlight w:val="none"/>
        </w:rPr>
        <w:t>提供2022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hAnsi="宋体" w:cs="宋体"/>
          <w:b/>
          <w:bCs/>
          <w:color w:val="auto"/>
          <w:szCs w:val="24"/>
          <w:highlight w:val="none"/>
        </w:rPr>
        <w:t>；</w:t>
      </w:r>
    </w:p>
    <w:p>
      <w:pPr>
        <w:spacing w:line="360" w:lineRule="auto"/>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（3）税收缴纳证明：提供投标截止时间前6个月内至少一个月的纳税证明或完税证明（任意税种），依法免税的单位应提供相关证明材料；</w:t>
      </w:r>
    </w:p>
    <w:p>
      <w:pPr>
        <w:spacing w:line="360" w:lineRule="auto"/>
        <w:ind w:firstLine="482" w:firstLineChars="2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pPr>
        <w:spacing w:line="360" w:lineRule="auto"/>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（5）承诺：供应商须提供具有履行合同所必需的设备和专业技术能力的承诺；</w:t>
      </w:r>
    </w:p>
    <w:p>
      <w:pPr>
        <w:jc w:val="center"/>
        <w:rPr>
          <w:rFonts w:hAnsi="宋体" w:cs="宋体"/>
          <w:b/>
          <w:bCs/>
          <w:color w:val="auto"/>
          <w:sz w:val="30"/>
          <w:szCs w:val="30"/>
          <w:highlight w:val="none"/>
        </w:rPr>
      </w:pPr>
      <w:r>
        <w:rPr>
          <w:rFonts w:hint="eastAsia" w:hAnsi="宋体" w:cs="宋体"/>
          <w:b/>
          <w:bCs/>
          <w:color w:val="auto"/>
          <w:sz w:val="30"/>
          <w:szCs w:val="30"/>
          <w:highlight w:val="none"/>
        </w:rPr>
        <w:t>承诺函</w:t>
      </w:r>
    </w:p>
    <w:p>
      <w:pPr>
        <w:widowControl/>
        <w:spacing w:line="408" w:lineRule="auto"/>
        <w:ind w:left="274" w:leftChars="114" w:firstLine="470" w:firstLineChars="196"/>
        <w:jc w:val="left"/>
        <w:rPr>
          <w:rFonts w:hAnsi="宋体" w:cs="宋体"/>
          <w:color w:val="auto"/>
          <w:highlight w:val="none"/>
        </w:rPr>
      </w:pPr>
    </w:p>
    <w:p>
      <w:pPr>
        <w:widowControl/>
        <w:spacing w:line="408" w:lineRule="auto"/>
        <w:ind w:left="273" w:leftChars="100" w:hanging="33" w:hangingChars="14"/>
        <w:jc w:val="left"/>
        <w:rPr>
          <w:rFonts w:hAnsi="宋体" w:cs="宋体"/>
          <w:color w:val="auto"/>
          <w:szCs w:val="24"/>
          <w:highlight w:val="none"/>
        </w:rPr>
      </w:pPr>
      <w:r>
        <w:rPr>
          <w:rFonts w:hint="eastAsia" w:hAnsi="宋体" w:cs="宋体"/>
          <w:color w:val="auto"/>
          <w:szCs w:val="24"/>
          <w:highlight w:val="none"/>
        </w:rPr>
        <w:t>致：</w:t>
      </w:r>
      <w:r>
        <w:rPr>
          <w:rFonts w:hint="eastAsia" w:hAnsi="宋体" w:cs="宋体"/>
          <w:color w:val="auto"/>
          <w:highlight w:val="none"/>
          <w:shd w:val="clear" w:color="auto" w:fill="FFFFFF"/>
        </w:rPr>
        <w:t>西安铁路职业技术学院</w:t>
      </w:r>
      <w:r>
        <w:rPr>
          <w:rFonts w:hint="eastAsia" w:hAnsi="宋体" w:cs="宋体"/>
          <w:color w:val="auto"/>
          <w:szCs w:val="24"/>
          <w:highlight w:val="none"/>
        </w:rPr>
        <w:t>/陕西纵横项目管理有限公司</w:t>
      </w:r>
    </w:p>
    <w:p>
      <w:pPr>
        <w:widowControl/>
        <w:spacing w:line="408" w:lineRule="auto"/>
        <w:ind w:left="274" w:leftChars="114" w:firstLine="470" w:firstLineChars="196"/>
        <w:jc w:val="left"/>
        <w:rPr>
          <w:rFonts w:hAnsi="宋体" w:cs="宋体"/>
          <w:color w:val="auto"/>
          <w:szCs w:val="24"/>
          <w:highlight w:val="none"/>
        </w:rPr>
      </w:pPr>
    </w:p>
    <w:p>
      <w:pPr>
        <w:widowControl/>
        <w:spacing w:line="408" w:lineRule="auto"/>
        <w:ind w:left="274" w:leftChars="114" w:firstLine="470" w:firstLineChars="196"/>
        <w:jc w:val="left"/>
        <w:rPr>
          <w:rFonts w:hAnsi="宋体" w:cs="宋体"/>
          <w:color w:val="auto"/>
          <w:szCs w:val="24"/>
          <w:highlight w:val="none"/>
        </w:rPr>
      </w:pPr>
    </w:p>
    <w:p>
      <w:pPr>
        <w:widowControl/>
        <w:spacing w:line="408" w:lineRule="auto"/>
        <w:ind w:left="274" w:leftChars="114" w:firstLine="470" w:firstLineChars="196"/>
        <w:jc w:val="left"/>
        <w:rPr>
          <w:rFonts w:hAnsi="宋体" w:cs="宋体"/>
          <w:color w:val="auto"/>
          <w:szCs w:val="24"/>
          <w:highlight w:val="none"/>
        </w:rPr>
      </w:pPr>
      <w:r>
        <w:rPr>
          <w:rFonts w:hint="eastAsia" w:hAnsi="宋体" w:cs="宋体"/>
          <w:color w:val="auto"/>
          <w:szCs w:val="24"/>
          <w:highlight w:val="none"/>
        </w:rPr>
        <w:t>本公司郑重承诺，具有履行合同所必需的设备和专业技术能力。</w:t>
      </w:r>
    </w:p>
    <w:p>
      <w:pPr>
        <w:widowControl/>
        <w:spacing w:line="408" w:lineRule="auto"/>
        <w:ind w:left="274" w:leftChars="114" w:firstLine="470" w:firstLineChars="196"/>
        <w:jc w:val="left"/>
        <w:rPr>
          <w:rFonts w:hAnsi="宋体" w:cs="宋体"/>
          <w:color w:val="auto"/>
          <w:szCs w:val="24"/>
          <w:highlight w:val="none"/>
        </w:rPr>
      </w:pPr>
    </w:p>
    <w:p>
      <w:pPr>
        <w:pStyle w:val="20"/>
        <w:rPr>
          <w:rFonts w:ascii="宋体" w:hAnsi="宋体" w:cs="宋体"/>
          <w:color w:val="auto"/>
          <w:sz w:val="24"/>
          <w:szCs w:val="24"/>
          <w:highlight w:val="none"/>
        </w:rPr>
      </w:pPr>
    </w:p>
    <w:p>
      <w:pPr>
        <w:pStyle w:val="65"/>
        <w:rPr>
          <w:rFonts w:hAnsi="宋体" w:cs="宋体"/>
          <w:color w:val="auto"/>
          <w:szCs w:val="24"/>
          <w:highlight w:val="none"/>
        </w:rPr>
      </w:pPr>
    </w:p>
    <w:p>
      <w:pPr>
        <w:pStyle w:val="65"/>
        <w:rPr>
          <w:rFonts w:hAnsi="宋体" w:cs="宋体"/>
          <w:color w:val="auto"/>
          <w:szCs w:val="24"/>
          <w:highlight w:val="none"/>
        </w:rPr>
      </w:pPr>
    </w:p>
    <w:p>
      <w:pPr>
        <w:pStyle w:val="65"/>
        <w:rPr>
          <w:rFonts w:hAnsi="宋体" w:cs="宋体"/>
          <w:color w:val="auto"/>
          <w:szCs w:val="24"/>
          <w:highlight w:val="none"/>
        </w:rPr>
      </w:pPr>
    </w:p>
    <w:p>
      <w:pPr>
        <w:pStyle w:val="65"/>
        <w:rPr>
          <w:rFonts w:hAnsi="宋体" w:cs="宋体"/>
          <w:color w:val="auto"/>
          <w:szCs w:val="24"/>
          <w:highlight w:val="none"/>
        </w:rPr>
      </w:pPr>
    </w:p>
    <w:p>
      <w:pPr>
        <w:jc w:val="center"/>
        <w:rPr>
          <w:rFonts w:hAnsi="宋体" w:cs="宋体"/>
          <w:color w:val="auto"/>
          <w:szCs w:val="24"/>
          <w:highlight w:val="none"/>
        </w:rPr>
      </w:pPr>
    </w:p>
    <w:p>
      <w:pPr>
        <w:ind w:firstLine="5040" w:firstLineChars="2100"/>
        <w:jc w:val="left"/>
        <w:outlineLvl w:val="2"/>
        <w:rPr>
          <w:rFonts w:hAnsi="宋体" w:cs="宋体"/>
          <w:color w:val="auto"/>
          <w:szCs w:val="24"/>
          <w:highlight w:val="none"/>
        </w:rPr>
      </w:pPr>
      <w:r>
        <w:rPr>
          <w:rFonts w:hint="eastAsia" w:hAnsi="宋体" w:cs="宋体"/>
          <w:color w:val="auto"/>
          <w:szCs w:val="24"/>
          <w:highlight w:val="none"/>
        </w:rPr>
        <w:t>法定代表人/被授权人签字或盖章：</w:t>
      </w:r>
    </w:p>
    <w:p>
      <w:pPr>
        <w:ind w:firstLine="5040" w:firstLineChars="2100"/>
        <w:jc w:val="left"/>
        <w:rPr>
          <w:rFonts w:hAnsi="宋体" w:cs="宋体"/>
          <w:color w:val="auto"/>
          <w:szCs w:val="24"/>
          <w:highlight w:val="none"/>
        </w:rPr>
      </w:pPr>
    </w:p>
    <w:p>
      <w:pPr>
        <w:ind w:firstLine="5040" w:firstLineChars="2100"/>
        <w:jc w:val="left"/>
        <w:outlineLvl w:val="2"/>
        <w:rPr>
          <w:rFonts w:hAnsi="宋体" w:cs="宋体"/>
          <w:color w:val="auto"/>
          <w:szCs w:val="24"/>
          <w:highlight w:val="none"/>
        </w:rPr>
      </w:pPr>
      <w:r>
        <w:rPr>
          <w:rFonts w:hint="eastAsia" w:hAnsi="宋体" w:cs="宋体"/>
          <w:color w:val="auto"/>
          <w:szCs w:val="24"/>
          <w:highlight w:val="none"/>
        </w:rPr>
        <w:t xml:space="preserve">供应商名称：      （加盖单位公章）      </w:t>
      </w:r>
    </w:p>
    <w:p>
      <w:pPr>
        <w:ind w:firstLine="5040" w:firstLineChars="2100"/>
        <w:jc w:val="left"/>
        <w:rPr>
          <w:rFonts w:hAnsi="宋体" w:cs="宋体"/>
          <w:color w:val="auto"/>
          <w:szCs w:val="24"/>
          <w:highlight w:val="none"/>
        </w:rPr>
      </w:pPr>
    </w:p>
    <w:p>
      <w:pPr>
        <w:spacing w:line="360" w:lineRule="auto"/>
        <w:ind w:firstLine="5040" w:firstLineChars="2100"/>
        <w:rPr>
          <w:rFonts w:hAnsi="宋体" w:cs="宋体"/>
          <w:b/>
          <w:bCs/>
          <w:color w:val="auto"/>
          <w:szCs w:val="24"/>
          <w:highlight w:val="none"/>
        </w:rPr>
      </w:pPr>
      <w:r>
        <w:rPr>
          <w:rFonts w:hint="eastAsia" w:hAnsi="宋体" w:cs="宋体"/>
          <w:color w:val="auto"/>
          <w:szCs w:val="24"/>
          <w:highlight w:val="none"/>
        </w:rPr>
        <w:t>日      期：</w:t>
      </w:r>
    </w:p>
    <w:p>
      <w:pPr>
        <w:spacing w:line="360" w:lineRule="auto"/>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（6）书面声明：参加政府采购活动前3年内，在经营活动中没有重大违法记录的书面声明；</w:t>
      </w:r>
    </w:p>
    <w:p>
      <w:pPr>
        <w:pStyle w:val="20"/>
        <w:rPr>
          <w:rFonts w:ascii="宋体" w:hAnsi="宋体" w:cs="宋体"/>
          <w:color w:val="auto"/>
          <w:highlight w:val="none"/>
        </w:rPr>
      </w:pPr>
    </w:p>
    <w:p>
      <w:pPr>
        <w:jc w:val="center"/>
        <w:outlineLvl w:val="2"/>
        <w:rPr>
          <w:rFonts w:hAnsi="宋体" w:cs="宋体"/>
          <w:b/>
          <w:bCs/>
          <w:color w:val="auto"/>
          <w:sz w:val="30"/>
          <w:szCs w:val="30"/>
          <w:highlight w:val="none"/>
        </w:rPr>
      </w:pPr>
      <w:r>
        <w:rPr>
          <w:rFonts w:hint="eastAsia" w:hAnsi="宋体" w:cs="宋体"/>
          <w:b/>
          <w:bCs/>
          <w:color w:val="auto"/>
          <w:szCs w:val="24"/>
          <w:highlight w:val="none"/>
        </w:rPr>
        <w:t xml:space="preserve"> </w:t>
      </w:r>
      <w:r>
        <w:rPr>
          <w:rFonts w:hint="eastAsia" w:hAnsi="宋体" w:cs="宋体"/>
          <w:b/>
          <w:bCs/>
          <w:color w:val="auto"/>
          <w:sz w:val="30"/>
          <w:szCs w:val="30"/>
          <w:highlight w:val="none"/>
        </w:rPr>
        <w:t>书面声明</w:t>
      </w:r>
    </w:p>
    <w:p>
      <w:pPr>
        <w:widowControl/>
        <w:spacing w:line="408" w:lineRule="auto"/>
        <w:ind w:left="274" w:leftChars="114" w:firstLine="470" w:firstLineChars="196"/>
        <w:jc w:val="left"/>
        <w:rPr>
          <w:rFonts w:hAnsi="宋体" w:cs="宋体"/>
          <w:color w:val="auto"/>
          <w:highlight w:val="none"/>
        </w:rPr>
      </w:pPr>
    </w:p>
    <w:p>
      <w:pPr>
        <w:widowControl/>
        <w:spacing w:line="408" w:lineRule="auto"/>
        <w:ind w:left="273" w:leftChars="100" w:hanging="33" w:hangingChars="14"/>
        <w:jc w:val="left"/>
        <w:rPr>
          <w:rFonts w:hAnsi="宋体" w:cs="宋体"/>
          <w:color w:val="auto"/>
          <w:szCs w:val="24"/>
          <w:highlight w:val="none"/>
        </w:rPr>
      </w:pPr>
      <w:r>
        <w:rPr>
          <w:rFonts w:hint="eastAsia" w:hAnsi="宋体" w:cs="宋体"/>
          <w:color w:val="auto"/>
          <w:szCs w:val="24"/>
          <w:highlight w:val="none"/>
        </w:rPr>
        <w:t>致：</w:t>
      </w:r>
      <w:r>
        <w:rPr>
          <w:rFonts w:hint="eastAsia" w:hAnsi="宋体" w:cs="宋体"/>
          <w:color w:val="auto"/>
          <w:highlight w:val="none"/>
          <w:shd w:val="clear" w:color="auto" w:fill="FFFFFF"/>
        </w:rPr>
        <w:t>西安铁路职业技术学院</w:t>
      </w:r>
      <w:r>
        <w:rPr>
          <w:rFonts w:hint="eastAsia" w:hAnsi="宋体" w:cs="宋体"/>
          <w:color w:val="auto"/>
          <w:szCs w:val="24"/>
          <w:highlight w:val="none"/>
        </w:rPr>
        <w:t>/陕西纵横项目管理有限公司</w:t>
      </w:r>
    </w:p>
    <w:p>
      <w:pPr>
        <w:widowControl/>
        <w:spacing w:line="408" w:lineRule="auto"/>
        <w:ind w:left="274" w:leftChars="114" w:firstLine="470" w:firstLineChars="196"/>
        <w:jc w:val="left"/>
        <w:rPr>
          <w:rFonts w:hAnsi="宋体" w:cs="宋体"/>
          <w:color w:val="auto"/>
          <w:szCs w:val="24"/>
          <w:highlight w:val="none"/>
        </w:rPr>
      </w:pPr>
    </w:p>
    <w:p>
      <w:pPr>
        <w:widowControl/>
        <w:spacing w:line="408" w:lineRule="auto"/>
        <w:ind w:left="274" w:leftChars="114" w:firstLine="470" w:firstLineChars="196"/>
        <w:jc w:val="left"/>
        <w:rPr>
          <w:rFonts w:hAnsi="宋体" w:cs="宋体"/>
          <w:color w:val="auto"/>
          <w:szCs w:val="24"/>
          <w:highlight w:val="none"/>
        </w:rPr>
      </w:pPr>
    </w:p>
    <w:p>
      <w:pPr>
        <w:widowControl/>
        <w:spacing w:line="408" w:lineRule="auto"/>
        <w:ind w:left="274" w:leftChars="114" w:firstLine="470" w:firstLineChars="196"/>
        <w:jc w:val="left"/>
        <w:rPr>
          <w:rFonts w:hAnsi="宋体" w:cs="宋体"/>
          <w:color w:val="auto"/>
          <w:szCs w:val="24"/>
          <w:highlight w:val="none"/>
        </w:rPr>
      </w:pPr>
      <w:r>
        <w:rPr>
          <w:rFonts w:hint="eastAsia" w:hAnsi="宋体" w:cs="宋体"/>
          <w:color w:val="auto"/>
          <w:szCs w:val="24"/>
          <w:highlight w:val="none"/>
        </w:rPr>
        <w:t>本公司郑重声明，参加政府采购活动前3年内，在经营活动中没有重大违法记录。</w:t>
      </w:r>
    </w:p>
    <w:p>
      <w:pPr>
        <w:pStyle w:val="20"/>
        <w:rPr>
          <w:rFonts w:ascii="宋体" w:hAnsi="宋体" w:cs="宋体"/>
          <w:color w:val="auto"/>
          <w:sz w:val="24"/>
          <w:szCs w:val="24"/>
          <w:highlight w:val="none"/>
        </w:rPr>
      </w:pPr>
    </w:p>
    <w:p>
      <w:pPr>
        <w:pStyle w:val="65"/>
        <w:rPr>
          <w:rFonts w:hAnsi="宋体" w:cs="宋体"/>
          <w:color w:val="auto"/>
          <w:szCs w:val="24"/>
          <w:highlight w:val="none"/>
        </w:rPr>
      </w:pPr>
    </w:p>
    <w:p>
      <w:pPr>
        <w:pStyle w:val="65"/>
        <w:rPr>
          <w:rFonts w:hAnsi="宋体" w:cs="宋体"/>
          <w:color w:val="auto"/>
          <w:szCs w:val="24"/>
          <w:highlight w:val="none"/>
        </w:rPr>
      </w:pPr>
    </w:p>
    <w:p>
      <w:pPr>
        <w:pStyle w:val="65"/>
        <w:rPr>
          <w:rFonts w:hAnsi="宋体" w:cs="宋体"/>
          <w:color w:val="auto"/>
          <w:szCs w:val="24"/>
          <w:highlight w:val="none"/>
        </w:rPr>
      </w:pPr>
    </w:p>
    <w:p>
      <w:pPr>
        <w:widowControl/>
        <w:spacing w:line="408" w:lineRule="auto"/>
        <w:ind w:left="274" w:leftChars="114" w:firstLine="470" w:firstLineChars="196"/>
        <w:jc w:val="left"/>
        <w:rPr>
          <w:rFonts w:hAnsi="宋体" w:cs="宋体"/>
          <w:color w:val="auto"/>
          <w:szCs w:val="24"/>
          <w:highlight w:val="none"/>
        </w:rPr>
      </w:pPr>
    </w:p>
    <w:p>
      <w:pPr>
        <w:jc w:val="center"/>
        <w:rPr>
          <w:rFonts w:hAnsi="宋体" w:cs="宋体"/>
          <w:color w:val="auto"/>
          <w:szCs w:val="24"/>
          <w:highlight w:val="none"/>
        </w:rPr>
      </w:pPr>
    </w:p>
    <w:p>
      <w:pPr>
        <w:ind w:firstLine="5040" w:firstLineChars="2100"/>
        <w:jc w:val="left"/>
        <w:outlineLvl w:val="2"/>
        <w:rPr>
          <w:rFonts w:hAnsi="宋体" w:cs="宋体"/>
          <w:color w:val="auto"/>
          <w:szCs w:val="24"/>
          <w:highlight w:val="none"/>
        </w:rPr>
      </w:pPr>
      <w:r>
        <w:rPr>
          <w:rFonts w:hint="eastAsia" w:hAnsi="宋体" w:cs="宋体"/>
          <w:color w:val="auto"/>
          <w:szCs w:val="24"/>
          <w:highlight w:val="none"/>
        </w:rPr>
        <w:t>法定代表人/被授权人签字或盖章：</w:t>
      </w:r>
    </w:p>
    <w:p>
      <w:pPr>
        <w:ind w:firstLine="5040" w:firstLineChars="2100"/>
        <w:jc w:val="left"/>
        <w:rPr>
          <w:rFonts w:hAnsi="宋体" w:cs="宋体"/>
          <w:color w:val="auto"/>
          <w:szCs w:val="24"/>
          <w:highlight w:val="none"/>
        </w:rPr>
      </w:pPr>
    </w:p>
    <w:p>
      <w:pPr>
        <w:ind w:firstLine="5040" w:firstLineChars="2100"/>
        <w:jc w:val="left"/>
        <w:outlineLvl w:val="2"/>
        <w:rPr>
          <w:rFonts w:hAnsi="宋体" w:cs="宋体"/>
          <w:color w:val="auto"/>
          <w:szCs w:val="24"/>
          <w:highlight w:val="none"/>
        </w:rPr>
      </w:pPr>
      <w:r>
        <w:rPr>
          <w:rFonts w:hint="eastAsia" w:hAnsi="宋体" w:cs="宋体"/>
          <w:color w:val="auto"/>
          <w:szCs w:val="24"/>
          <w:highlight w:val="none"/>
        </w:rPr>
        <w:t xml:space="preserve">供应商名称：      （加盖单位公章）      </w:t>
      </w:r>
    </w:p>
    <w:p>
      <w:pPr>
        <w:ind w:firstLine="5040" w:firstLineChars="2100"/>
        <w:jc w:val="left"/>
        <w:outlineLvl w:val="2"/>
        <w:rPr>
          <w:rFonts w:hAnsi="宋体" w:cs="宋体"/>
          <w:color w:val="auto"/>
          <w:szCs w:val="24"/>
          <w:highlight w:val="none"/>
        </w:rPr>
      </w:pPr>
    </w:p>
    <w:p>
      <w:pPr>
        <w:spacing w:line="360" w:lineRule="auto"/>
        <w:ind w:firstLine="5040" w:firstLineChars="2100"/>
        <w:rPr>
          <w:rFonts w:hAnsi="宋体" w:cs="宋体"/>
          <w:b/>
          <w:color w:val="auto"/>
          <w:szCs w:val="22"/>
          <w:highlight w:val="none"/>
        </w:rPr>
      </w:pPr>
      <w:r>
        <w:rPr>
          <w:rFonts w:hint="eastAsia" w:hAnsi="宋体" w:cs="宋体"/>
          <w:color w:val="auto"/>
          <w:szCs w:val="24"/>
          <w:highlight w:val="none"/>
        </w:rPr>
        <w:t>日      期：</w:t>
      </w:r>
    </w:p>
    <w:p>
      <w:pPr>
        <w:spacing w:line="360" w:lineRule="auto"/>
        <w:rPr>
          <w:rFonts w:hAnsi="宋体" w:cs="宋体"/>
          <w:b/>
          <w:color w:val="auto"/>
          <w:szCs w:val="22"/>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color w:val="auto"/>
          <w:highlight w:val="none"/>
        </w:rPr>
      </w:pPr>
      <w:r>
        <w:rPr>
          <w:rFonts w:hint="eastAsia" w:hAnsi="宋体" w:cs="宋体"/>
          <w:b/>
          <w:color w:val="auto"/>
          <w:highlight w:val="none"/>
        </w:rPr>
        <w:t>2、特定资格条件：</w:t>
      </w: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（1）法定代表人授权书（附法定代表人、被授权人身份证复印件）及被授权人身份证（法定代表人直接参加投标，须提供法定代表人身份证明及身份证原件）；</w:t>
      </w:r>
    </w:p>
    <w:p>
      <w:pPr>
        <w:pStyle w:val="20"/>
        <w:spacing w:before="166" w:beforeLines="50"/>
        <w:jc w:val="center"/>
        <w:rPr>
          <w:rFonts w:ascii="宋体" w:hAnsi="宋体" w:cs="宋体"/>
          <w:b/>
          <w:bCs/>
          <w:color w:val="auto"/>
          <w:sz w:val="30"/>
          <w:szCs w:val="30"/>
          <w:highlight w:val="none"/>
        </w:rPr>
      </w:pPr>
      <w:bookmarkStart w:id="548" w:name="_Toc16097"/>
      <w:bookmarkStart w:id="549" w:name="_Toc363474028"/>
      <w:bookmarkStart w:id="550" w:name="_Toc19075"/>
      <w:bookmarkStart w:id="551" w:name="_Toc403077649"/>
      <w:bookmarkStart w:id="552" w:name="_Toc4867"/>
      <w:bookmarkStart w:id="553" w:name="_Toc30210"/>
      <w:bookmarkStart w:id="554" w:name="_Toc25348"/>
      <w:bookmarkStart w:id="555" w:name="_Toc426457701"/>
      <w:r>
        <w:rPr>
          <w:rFonts w:hint="eastAsia" w:ascii="宋体" w:hAnsi="宋体" w:cs="宋体"/>
          <w:b/>
          <w:bCs/>
          <w:color w:val="auto"/>
          <w:sz w:val="30"/>
          <w:szCs w:val="30"/>
          <w:highlight w:val="none"/>
        </w:rPr>
        <w:t>法定代表人身份证明</w:t>
      </w:r>
    </w:p>
    <w:p>
      <w:pPr>
        <w:autoSpaceDE w:val="0"/>
        <w:autoSpaceDN w:val="0"/>
        <w:adjustRightInd w:val="0"/>
        <w:snapToGrid w:val="0"/>
        <w:spacing w:before="16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 xml:space="preserve"> </w:t>
      </w:r>
    </w:p>
    <w:p>
      <w:pPr>
        <w:autoSpaceDE w:val="0"/>
        <w:autoSpaceDN w:val="0"/>
        <w:adjustRightInd w:val="0"/>
        <w:snapToGrid w:val="0"/>
        <w:spacing w:before="16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pPr>
        <w:autoSpaceDE w:val="0"/>
        <w:autoSpaceDN w:val="0"/>
        <w:adjustRightInd w:val="0"/>
        <w:snapToGrid w:val="0"/>
        <w:spacing w:before="16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pPr>
        <w:autoSpaceDE w:val="0"/>
        <w:autoSpaceDN w:val="0"/>
        <w:adjustRightInd w:val="0"/>
        <w:snapToGrid w:val="0"/>
        <w:spacing w:before="16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pPr>
        <w:autoSpaceDE w:val="0"/>
        <w:autoSpaceDN w:val="0"/>
        <w:adjustRightInd w:val="0"/>
        <w:snapToGrid w:val="0"/>
        <w:spacing w:before="16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pPr>
        <w:autoSpaceDE w:val="0"/>
        <w:autoSpaceDN w:val="0"/>
        <w:adjustRightInd w:val="0"/>
        <w:snapToGrid w:val="0"/>
        <w:spacing w:before="16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 xml:space="preserve"> 年龄：</w:t>
      </w:r>
      <w:r>
        <w:rPr>
          <w:rFonts w:hint="eastAsia" w:hAnsi="宋体" w:cs="宋体"/>
          <w:color w:val="auto"/>
          <w:highlight w:val="none"/>
          <w:u w:val="single"/>
        </w:rPr>
        <w:t xml:space="preserve">    </w:t>
      </w:r>
      <w:r>
        <w:rPr>
          <w:rFonts w:hint="eastAsia" w:hAnsi="宋体" w:cs="宋体"/>
          <w:color w:val="auto"/>
          <w:highlight w:val="none"/>
        </w:rPr>
        <w:t xml:space="preserve"> 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pPr>
        <w:autoSpaceDE w:val="0"/>
        <w:autoSpaceDN w:val="0"/>
        <w:adjustRightInd w:val="0"/>
        <w:snapToGrid w:val="0"/>
        <w:spacing w:before="166" w:beforeLines="50" w:line="360" w:lineRule="auto"/>
        <w:jc w:val="left"/>
        <w:rPr>
          <w:rFonts w:hAnsi="宋体" w:cs="宋体"/>
          <w:color w:val="auto"/>
          <w:highlight w:val="none"/>
        </w:rPr>
      </w:pPr>
      <w:r>
        <w:rPr>
          <w:rFonts w:hint="eastAsia" w:hAnsi="宋体" w:cs="宋体"/>
          <w:color w:val="auto"/>
          <w:highlight w:val="none"/>
        </w:rPr>
        <w:t>特此证明。</w:t>
      </w:r>
    </w:p>
    <w:p>
      <w:pPr>
        <w:autoSpaceDE w:val="0"/>
        <w:autoSpaceDN w:val="0"/>
        <w:adjustRightInd w:val="0"/>
        <w:snapToGrid w:val="0"/>
        <w:spacing w:before="16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44"/>
        <w:tblpPr w:leftFromText="180" w:rightFromText="180" w:vertAnchor="text" w:horzAnchor="margin" w:tblpXSpec="center" w:tblpY="104"/>
        <w:tblW w:w="5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pPr>
              <w:snapToGrid w:val="0"/>
              <w:spacing w:line="480" w:lineRule="auto"/>
              <w:jc w:val="center"/>
              <w:rPr>
                <w:rFonts w:hAnsi="宋体" w:cs="宋体"/>
                <w:color w:val="auto"/>
                <w:szCs w:val="21"/>
                <w:highlight w:val="none"/>
              </w:rPr>
            </w:pPr>
          </w:p>
          <w:p>
            <w:pPr>
              <w:snapToGrid w:val="0"/>
              <w:spacing w:line="480" w:lineRule="auto"/>
              <w:jc w:val="center"/>
              <w:rPr>
                <w:rFonts w:hAnsi="宋体" w:cs="宋体"/>
                <w:color w:val="auto"/>
                <w:szCs w:val="21"/>
                <w:highlight w:val="none"/>
              </w:rPr>
            </w:pPr>
          </w:p>
          <w:p>
            <w:pPr>
              <w:autoSpaceDE w:val="0"/>
              <w:autoSpaceDN w:val="0"/>
              <w:adjustRightInd w:val="0"/>
              <w:snapToGrid w:val="0"/>
              <w:spacing w:before="16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pPr>
              <w:pStyle w:val="20"/>
              <w:jc w:val="center"/>
              <w:rPr>
                <w:rFonts w:ascii="宋体" w:hAnsi="宋体" w:cs="宋体"/>
                <w:color w:val="auto"/>
                <w:highlight w:val="none"/>
              </w:rPr>
            </w:pPr>
            <w:r>
              <w:rPr>
                <w:rFonts w:hint="eastAsia" w:ascii="宋体" w:hAnsi="宋体" w:cs="宋体"/>
                <w:color w:val="auto"/>
                <w:szCs w:val="21"/>
                <w:highlight w:val="none"/>
              </w:rPr>
              <w:t>（正反面）</w:t>
            </w:r>
          </w:p>
          <w:p>
            <w:pPr>
              <w:snapToGrid w:val="0"/>
              <w:spacing w:line="480" w:lineRule="auto"/>
              <w:jc w:val="center"/>
              <w:rPr>
                <w:rFonts w:hAnsi="宋体" w:cs="宋体"/>
                <w:color w:val="auto"/>
                <w:szCs w:val="21"/>
                <w:highlight w:val="none"/>
              </w:rPr>
            </w:pPr>
          </w:p>
          <w:p>
            <w:pPr>
              <w:snapToGrid w:val="0"/>
              <w:spacing w:line="480" w:lineRule="auto"/>
              <w:jc w:val="center"/>
              <w:rPr>
                <w:rFonts w:hAnsi="宋体" w:cs="宋体"/>
                <w:color w:val="auto"/>
                <w:szCs w:val="21"/>
                <w:highlight w:val="none"/>
              </w:rPr>
            </w:pPr>
          </w:p>
        </w:tc>
      </w:tr>
    </w:tbl>
    <w:p>
      <w:pPr>
        <w:snapToGrid w:val="0"/>
        <w:spacing w:line="480" w:lineRule="auto"/>
        <w:rPr>
          <w:rFonts w:hAnsi="宋体" w:cs="宋体"/>
          <w:color w:val="auto"/>
          <w:szCs w:val="21"/>
          <w:highlight w:val="none"/>
        </w:rPr>
      </w:pPr>
    </w:p>
    <w:p>
      <w:pPr>
        <w:snapToGrid w:val="0"/>
        <w:rPr>
          <w:rFonts w:hAnsi="宋体" w:cs="宋体"/>
          <w:color w:val="auto"/>
          <w:szCs w:val="21"/>
          <w:highlight w:val="none"/>
        </w:rPr>
      </w:pPr>
    </w:p>
    <w:p>
      <w:pPr>
        <w:snapToGrid w:val="0"/>
        <w:rPr>
          <w:rFonts w:hAnsi="宋体" w:cs="宋体"/>
          <w:color w:val="auto"/>
          <w:szCs w:val="21"/>
          <w:highlight w:val="none"/>
        </w:rPr>
      </w:pPr>
    </w:p>
    <w:p>
      <w:pPr>
        <w:snapToGrid w:val="0"/>
        <w:rPr>
          <w:rFonts w:hAnsi="宋体" w:cs="宋体"/>
          <w:color w:val="auto"/>
          <w:szCs w:val="21"/>
          <w:highlight w:val="none"/>
        </w:rPr>
      </w:pPr>
    </w:p>
    <w:p>
      <w:pPr>
        <w:snapToGrid w:val="0"/>
        <w:rPr>
          <w:rFonts w:hAnsi="宋体" w:cs="宋体"/>
          <w:color w:val="auto"/>
          <w:szCs w:val="21"/>
          <w:highlight w:val="none"/>
        </w:rPr>
      </w:pPr>
    </w:p>
    <w:p>
      <w:pPr>
        <w:adjustRightInd w:val="0"/>
        <w:snapToGrid w:val="0"/>
        <w:spacing w:line="360" w:lineRule="auto"/>
        <w:rPr>
          <w:rFonts w:hAnsi="宋体" w:cs="宋体"/>
          <w:color w:val="auto"/>
          <w:highlight w:val="none"/>
        </w:rPr>
      </w:pPr>
    </w:p>
    <w:p>
      <w:pPr>
        <w:adjustRightInd w:val="0"/>
        <w:snapToGrid w:val="0"/>
        <w:spacing w:line="360" w:lineRule="auto"/>
        <w:ind w:right="420"/>
        <w:rPr>
          <w:rFonts w:hAnsi="宋体" w:cs="宋体"/>
          <w:color w:val="auto"/>
          <w:highlight w:val="none"/>
        </w:rPr>
      </w:pPr>
    </w:p>
    <w:p>
      <w:pPr>
        <w:adjustRightInd w:val="0"/>
        <w:snapToGrid w:val="0"/>
        <w:spacing w:line="360" w:lineRule="auto"/>
        <w:ind w:right="420"/>
        <w:rPr>
          <w:rFonts w:hAnsi="宋体" w:cs="宋体"/>
          <w:color w:val="auto"/>
          <w:highlight w:val="none"/>
        </w:rPr>
      </w:pPr>
    </w:p>
    <w:p>
      <w:pPr>
        <w:adjustRightInd w:val="0"/>
        <w:snapToGrid w:val="0"/>
        <w:spacing w:line="360" w:lineRule="auto"/>
        <w:ind w:right="420"/>
        <w:rPr>
          <w:rFonts w:hAnsi="宋体" w:cs="宋体"/>
          <w:color w:val="auto"/>
          <w:highlight w:val="none"/>
        </w:rPr>
      </w:pPr>
    </w:p>
    <w:p>
      <w:pPr>
        <w:adjustRightInd w:val="0"/>
        <w:snapToGrid w:val="0"/>
        <w:spacing w:line="360" w:lineRule="auto"/>
        <w:ind w:right="420"/>
        <w:rPr>
          <w:rFonts w:hAnsi="宋体" w:cs="宋体"/>
          <w:color w:val="auto"/>
          <w:highlight w:val="none"/>
        </w:rPr>
      </w:pPr>
    </w:p>
    <w:p>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pPr>
        <w:adjustRightInd w:val="0"/>
        <w:snapToGrid w:val="0"/>
        <w:spacing w:line="360" w:lineRule="auto"/>
        <w:ind w:right="420"/>
        <w:rPr>
          <w:rFonts w:hAnsi="宋体" w:cs="宋体"/>
          <w:color w:val="auto"/>
          <w:highlight w:val="none"/>
        </w:rPr>
      </w:pPr>
    </w:p>
    <w:p>
      <w:pPr>
        <w:adjustRightInd w:val="0"/>
        <w:snapToGrid w:val="0"/>
        <w:spacing w:line="360" w:lineRule="auto"/>
        <w:ind w:right="420"/>
        <w:rPr>
          <w:rFonts w:hAnsi="宋体" w:cs="宋体"/>
          <w:b/>
          <w:bCs/>
          <w:color w:val="auto"/>
          <w:szCs w:val="24"/>
          <w:highlight w:val="none"/>
        </w:rPr>
      </w:pPr>
      <w:r>
        <w:rPr>
          <w:rFonts w:hint="eastAsia" w:hAnsi="宋体" w:cs="宋体"/>
          <w:b/>
          <w:bCs/>
          <w:color w:val="auto"/>
          <w:szCs w:val="24"/>
          <w:highlight w:val="none"/>
        </w:rPr>
        <w:t>说明：仅限法定代表人参加投标时提供</w:t>
      </w:r>
      <w:r>
        <w:rPr>
          <w:rFonts w:hint="eastAsia" w:hAnsi="宋体" w:cs="宋体"/>
          <w:color w:val="auto"/>
          <w:szCs w:val="24"/>
          <w:highlight w:val="none"/>
        </w:rPr>
        <w:t>。</w:t>
      </w:r>
    </w:p>
    <w:bookmarkEnd w:id="548"/>
    <w:bookmarkEnd w:id="549"/>
    <w:bookmarkEnd w:id="550"/>
    <w:bookmarkEnd w:id="551"/>
    <w:bookmarkEnd w:id="552"/>
    <w:bookmarkEnd w:id="553"/>
    <w:bookmarkEnd w:id="554"/>
    <w:bookmarkEnd w:id="555"/>
    <w:p>
      <w:pPr>
        <w:spacing w:line="560" w:lineRule="exact"/>
        <w:jc w:val="center"/>
        <w:rPr>
          <w:rFonts w:hAnsi="宋体" w:cs="宋体"/>
          <w:b/>
          <w:color w:val="auto"/>
          <w:spacing w:val="4"/>
          <w:szCs w:val="24"/>
          <w:highlight w:val="none"/>
        </w:rPr>
      </w:pPr>
      <w:r>
        <w:rPr>
          <w:rFonts w:hint="eastAsia" w:hAnsi="宋体" w:cs="宋体"/>
          <w:b/>
          <w:bCs/>
          <w:color w:val="auto"/>
          <w:sz w:val="30"/>
          <w:szCs w:val="30"/>
          <w:highlight w:val="none"/>
        </w:rPr>
        <w:t>法定代表人授权书</w:t>
      </w:r>
    </w:p>
    <w:p>
      <w:pPr>
        <w:spacing w:line="560" w:lineRule="exact"/>
        <w:jc w:val="left"/>
        <w:rPr>
          <w:rFonts w:hAnsi="宋体" w:cs="宋体"/>
          <w:color w:val="auto"/>
          <w:spacing w:val="4"/>
          <w:szCs w:val="24"/>
          <w:highlight w:val="none"/>
        </w:rPr>
      </w:pPr>
      <w:r>
        <w:rPr>
          <w:rFonts w:hint="eastAsia" w:hAnsi="宋体" w:cs="宋体"/>
          <w:b/>
          <w:color w:val="auto"/>
          <w:spacing w:val="4"/>
          <w:szCs w:val="24"/>
          <w:highlight w:val="none"/>
        </w:rPr>
        <w:t>致：</w:t>
      </w:r>
      <w:r>
        <w:rPr>
          <w:rFonts w:hint="eastAsia" w:hAnsi="宋体" w:cs="宋体"/>
          <w:b/>
          <w:color w:val="auto"/>
          <w:spacing w:val="4"/>
          <w:szCs w:val="24"/>
          <w:highlight w:val="none"/>
          <w:u w:val="single"/>
        </w:rPr>
        <w:t>西安铁路职业技术学院/陕西纵横项目管理有限公司</w:t>
      </w:r>
    </w:p>
    <w:p>
      <w:pPr>
        <w:spacing w:line="56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w:t>
      </w:r>
      <w:r>
        <w:rPr>
          <w:rFonts w:hint="eastAsia" w:hAnsi="宋体" w:cs="宋体"/>
          <w:color w:val="auto"/>
          <w:szCs w:val="24"/>
          <w:highlight w:val="none"/>
          <w:u w:val="single"/>
        </w:rPr>
        <w:t>法定代表人</w:t>
      </w:r>
      <w:r>
        <w:rPr>
          <w:rFonts w:hint="eastAsia" w:hAnsi="宋体" w:cs="宋体"/>
          <w:color w:val="auto"/>
          <w:spacing w:val="4"/>
          <w:szCs w:val="24"/>
          <w:highlight w:val="none"/>
          <w:u w:val="single"/>
        </w:rPr>
        <w:t>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 xml:space="preserve">（项目名称、项目编号） </w:t>
      </w:r>
      <w:r>
        <w:rPr>
          <w:rFonts w:hint="eastAsia" w:hAnsi="宋体" w:cs="宋体"/>
          <w:color w:val="auto"/>
          <w:spacing w:val="4"/>
          <w:szCs w:val="24"/>
          <w:highlight w:val="none"/>
        </w:rPr>
        <w:t>投标、谈判、签约等具体工作，并签署全部有关的文件、协议及合同。</w:t>
      </w:r>
    </w:p>
    <w:p>
      <w:pPr>
        <w:spacing w:line="56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pPr>
        <w:spacing w:line="56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highlight w:val="none"/>
          <w:lang w:val="zh-CN"/>
        </w:rPr>
        <w:t>自开标之日起</w:t>
      </w:r>
      <w:r>
        <w:rPr>
          <w:rFonts w:hint="eastAsia" w:hAnsi="宋体" w:cs="宋体"/>
          <w:color w:val="auto"/>
          <w:highlight w:val="none"/>
        </w:rPr>
        <w:t>90</w:t>
      </w:r>
      <w:r>
        <w:rPr>
          <w:rFonts w:hint="eastAsia" w:hAnsi="宋体" w:cs="宋体"/>
          <w:color w:val="auto"/>
          <w:highlight w:val="none"/>
          <w:lang w:val="zh-CN"/>
        </w:rPr>
        <w:t>天。</w:t>
      </w:r>
    </w:p>
    <w:p>
      <w:pPr>
        <w:spacing w:line="56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签章生效，特此证明。</w:t>
      </w:r>
    </w:p>
    <w:tbl>
      <w:tblPr>
        <w:tblStyle w:val="44"/>
        <w:tblW w:w="8190" w:type="dxa"/>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tcPr>
          <w:p>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pPr>
              <w:spacing w:line="520" w:lineRule="exact"/>
              <w:jc w:val="left"/>
              <w:rPr>
                <w:rFonts w:hAnsi="宋体" w:cs="宋体"/>
                <w:color w:val="auto"/>
                <w:spacing w:val="4"/>
                <w:szCs w:val="24"/>
                <w:highlight w:val="none"/>
              </w:rPr>
            </w:pPr>
            <w:r>
              <w:rPr>
                <w:rFonts w:hint="eastAsia" w:hAnsi="宋体" w:cs="宋体"/>
                <w:color w:val="auto"/>
                <w:szCs w:val="24"/>
                <w:highlight w:val="none"/>
              </w:rPr>
              <w:t>法定代表人</w:t>
            </w:r>
            <w:r>
              <w:rPr>
                <w:rFonts w:hint="eastAsia" w:hAnsi="宋体" w:cs="宋体"/>
                <w:color w:val="auto"/>
                <w:spacing w:val="4"/>
                <w:szCs w:val="24"/>
                <w:highlight w:val="none"/>
              </w:rPr>
              <w:t>签字或盖章：</w:t>
            </w:r>
          </w:p>
        </w:tc>
      </w:tr>
      <w:tr>
        <w:tblPrEx>
          <w:tblCellMar>
            <w:top w:w="0" w:type="dxa"/>
            <w:left w:w="108" w:type="dxa"/>
            <w:bottom w:w="0" w:type="dxa"/>
            <w:right w:w="108" w:type="dxa"/>
          </w:tblCellMar>
        </w:tblPrEx>
        <w:trPr>
          <w:trHeight w:val="600" w:hRule="atLeast"/>
        </w:trPr>
        <w:tc>
          <w:tcPr>
            <w:tcW w:w="4200" w:type="dxa"/>
          </w:tcPr>
          <w:p>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职务：</w:t>
            </w:r>
          </w:p>
        </w:tc>
      </w:tr>
      <w:tr>
        <w:tblPrEx>
          <w:tblCellMar>
            <w:top w:w="0" w:type="dxa"/>
            <w:left w:w="108" w:type="dxa"/>
            <w:bottom w:w="0" w:type="dxa"/>
            <w:right w:w="108" w:type="dxa"/>
          </w:tblCellMar>
        </w:tblPrEx>
        <w:trPr>
          <w:trHeight w:val="600" w:hRule="atLeast"/>
        </w:trPr>
        <w:tc>
          <w:tcPr>
            <w:tcW w:w="4200" w:type="dxa"/>
          </w:tcPr>
          <w:p>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tblPrEx>
          <w:tblCellMar>
            <w:top w:w="0" w:type="dxa"/>
            <w:left w:w="108" w:type="dxa"/>
            <w:bottom w:w="0" w:type="dxa"/>
            <w:right w:w="108" w:type="dxa"/>
          </w:tblCellMar>
        </w:tblPrEx>
        <w:trPr>
          <w:trHeight w:val="600" w:hRule="atLeast"/>
        </w:trPr>
        <w:tc>
          <w:tcPr>
            <w:tcW w:w="4200" w:type="dxa"/>
          </w:tcPr>
          <w:p>
            <w:pPr>
              <w:spacing w:line="520" w:lineRule="exact"/>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pPr>
              <w:spacing w:line="520" w:lineRule="exact"/>
              <w:jc w:val="left"/>
              <w:rPr>
                <w:rFonts w:hAnsi="宋体" w:cs="宋体"/>
                <w:color w:val="auto"/>
                <w:spacing w:val="4"/>
                <w:szCs w:val="24"/>
                <w:highlight w:val="none"/>
              </w:rPr>
            </w:pPr>
          </w:p>
        </w:tc>
      </w:tr>
    </w:tbl>
    <w:p>
      <w:pPr>
        <w:spacing w:before="240" w:line="360" w:lineRule="auto"/>
        <w:ind w:firstLine="420"/>
        <w:jc w:val="left"/>
        <w:rPr>
          <w:rFonts w:hAnsi="宋体" w:cs="宋体"/>
          <w:color w:val="auto"/>
          <w:highlight w:val="none"/>
          <w:u w:val="single"/>
        </w:rPr>
      </w:pPr>
      <w:r>
        <w:rPr>
          <w:rFonts w:hint="eastAsia" w:hAnsi="宋体" w:cs="宋体"/>
          <w:color w:val="auto"/>
          <w:highlight w:val="none"/>
          <w:lang w:val="zh-CN"/>
        </w:rPr>
        <w:t>附法定代表人</w:t>
      </w:r>
      <w:r>
        <w:rPr>
          <w:rFonts w:hint="eastAsia" w:hAnsi="宋体" w:cs="宋体"/>
          <w:color w:val="auto"/>
          <w:highlight w:val="none"/>
        </w:rPr>
        <w:t>、</w:t>
      </w:r>
      <w:r>
        <w:rPr>
          <w:rFonts w:hint="eastAsia" w:hAnsi="宋体" w:cs="宋体"/>
          <w:color w:val="auto"/>
          <w:highlight w:val="none"/>
          <w:lang w:val="zh-CN"/>
        </w:rPr>
        <w:t>授权代表身份证复印件</w:t>
      </w:r>
    </w:p>
    <w:tbl>
      <w:tblPr>
        <w:tblStyle w:val="44"/>
        <w:tblW w:w="8240" w:type="dxa"/>
        <w:tblInd w:w="540" w:type="dxa"/>
        <w:tblLayout w:type="fixed"/>
        <w:tblCellMar>
          <w:top w:w="0" w:type="dxa"/>
          <w:left w:w="108" w:type="dxa"/>
          <w:bottom w:w="0" w:type="dxa"/>
          <w:right w:w="108" w:type="dxa"/>
        </w:tblCellMar>
      </w:tblPr>
      <w:tblGrid>
        <w:gridCol w:w="4187"/>
        <w:gridCol w:w="4053"/>
      </w:tblGrid>
      <w:tr>
        <w:tblPrEx>
          <w:tblCellMar>
            <w:top w:w="0" w:type="dxa"/>
            <w:left w:w="108" w:type="dxa"/>
            <w:bottom w:w="0" w:type="dxa"/>
            <w:right w:w="108" w:type="dxa"/>
          </w:tblCellMar>
        </w:tblPrEx>
        <w:trPr>
          <w:trHeight w:val="2038" w:hRule="atLeast"/>
        </w:trPr>
        <w:tc>
          <w:tcPr>
            <w:tcW w:w="41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05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before="166" w:beforeLines="50" w:line="360" w:lineRule="auto"/>
              <w:jc w:val="center"/>
              <w:rPr>
                <w:rFonts w:hAnsi="宋体" w:cs="宋体"/>
                <w:color w:val="auto"/>
                <w:szCs w:val="21"/>
                <w:highlight w:val="none"/>
              </w:rPr>
            </w:pPr>
            <w:r>
              <w:rPr>
                <w:rFonts w:hint="eastAsia" w:hAnsi="宋体" w:cs="宋体"/>
                <w:color w:val="auto"/>
                <w:szCs w:val="24"/>
                <w:highlight w:val="none"/>
              </w:rPr>
              <w:t>授权代表</w:t>
            </w:r>
            <w:r>
              <w:rPr>
                <w:rFonts w:hint="eastAsia" w:hAnsi="宋体" w:cs="宋体"/>
                <w:color w:val="auto"/>
                <w:szCs w:val="21"/>
                <w:highlight w:val="none"/>
              </w:rPr>
              <w:t>身份证复印件粘贴处</w:t>
            </w:r>
          </w:p>
          <w:p>
            <w:pPr>
              <w:autoSpaceDE w:val="0"/>
              <w:autoSpaceDN w:val="0"/>
              <w:adjustRightInd w:val="0"/>
              <w:snapToGrid w:val="0"/>
              <w:spacing w:before="166" w:beforeLines="50" w:line="360" w:lineRule="auto"/>
              <w:jc w:val="center"/>
              <w:rPr>
                <w:rFonts w:hAnsi="宋体" w:cs="宋体"/>
                <w:color w:val="auto"/>
                <w:highlight w:val="none"/>
                <w:u w:val="single"/>
              </w:rPr>
            </w:pPr>
            <w:r>
              <w:rPr>
                <w:rFonts w:hint="eastAsia" w:hAnsi="宋体" w:cs="宋体"/>
                <w:color w:val="auto"/>
                <w:szCs w:val="21"/>
                <w:highlight w:val="none"/>
              </w:rPr>
              <w:t>（正反面）</w:t>
            </w:r>
          </w:p>
        </w:tc>
      </w:tr>
    </w:tbl>
    <w:p>
      <w:pPr>
        <w:spacing w:line="480" w:lineRule="auto"/>
        <w:ind w:left="485" w:leftChars="202" w:right="617" w:rightChars="257"/>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spacing w:line="440" w:lineRule="exact"/>
        <w:ind w:left="485" w:leftChars="202"/>
        <w:rPr>
          <w:rFonts w:hAnsi="宋体" w:cs="宋体"/>
          <w:color w:val="auto"/>
          <w:spacing w:val="4"/>
          <w:szCs w:val="30"/>
          <w:highlight w:val="none"/>
        </w:rPr>
      </w:pPr>
      <w:r>
        <w:rPr>
          <w:rFonts w:hint="eastAsia" w:hAnsi="宋体" w:cs="宋体"/>
          <w:color w:val="auto"/>
          <w:spacing w:val="4"/>
          <w:szCs w:val="30"/>
          <w:highlight w:val="none"/>
        </w:rPr>
        <w:t>日   期：</w:t>
      </w:r>
    </w:p>
    <w:p>
      <w:pPr>
        <w:ind w:firstLine="482" w:firstLineChars="200"/>
        <w:rPr>
          <w:rFonts w:hAnsi="宋体" w:cs="宋体"/>
          <w:b/>
          <w:bCs/>
          <w:color w:val="auto"/>
          <w:highlight w:val="none"/>
          <w:lang w:val="zh-CN"/>
        </w:rPr>
      </w:pPr>
    </w:p>
    <w:p>
      <w:pPr>
        <w:tabs>
          <w:tab w:val="left" w:pos="1620"/>
          <w:tab w:val="left" w:pos="1800"/>
        </w:tabs>
        <w:spacing w:line="440" w:lineRule="exact"/>
        <w:ind w:right="617" w:rightChars="257"/>
        <w:rPr>
          <w:rFonts w:hAnsi="宋体" w:cs="宋体"/>
          <w:color w:val="auto"/>
          <w:highlight w:val="none"/>
        </w:rPr>
      </w:pPr>
      <w:r>
        <w:rPr>
          <w:rFonts w:hint="eastAsia" w:hAnsi="宋体" w:cs="宋体"/>
          <w:b/>
          <w:bCs/>
          <w:color w:val="auto"/>
          <w:highlight w:val="none"/>
          <w:lang w:val="zh-CN"/>
        </w:rPr>
        <w:t>说明：仅限授权代表参加投标时提供。</w:t>
      </w:r>
    </w:p>
    <w:p>
      <w:pPr>
        <w:spacing w:line="360" w:lineRule="auto"/>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2）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pPr>
        <w:spacing w:line="560" w:lineRule="exact"/>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560" w:lineRule="exact"/>
        <w:ind w:firstLine="241" w:firstLineChars="100"/>
        <w:rPr>
          <w:rFonts w:hAnsi="宋体" w:cs="宋体"/>
          <w:b/>
          <w:bCs/>
          <w:color w:val="auto"/>
          <w:szCs w:val="24"/>
          <w:highlight w:val="none"/>
        </w:rPr>
      </w:pPr>
      <w:r>
        <w:rPr>
          <w:rFonts w:hint="eastAsia" w:hAnsi="宋体" w:cs="宋体"/>
          <w:b/>
          <w:bCs/>
          <w:color w:val="auto"/>
          <w:szCs w:val="24"/>
          <w:highlight w:val="none"/>
        </w:rPr>
        <w:t>（3）控股管理关系：单位负责人为同一人或者存在直接控股、管理关系的供应商，不得参加同一合同下的政府采购活动。</w:t>
      </w:r>
    </w:p>
    <w:p>
      <w:pPr>
        <w:spacing w:line="560" w:lineRule="exact"/>
        <w:ind w:firstLine="241" w:firstLineChars="100"/>
        <w:rPr>
          <w:rFonts w:hAnsi="宋体" w:cs="宋体"/>
          <w:b/>
          <w:bCs/>
          <w:color w:val="auto"/>
          <w:szCs w:val="24"/>
          <w:highlight w:val="none"/>
        </w:rPr>
      </w:pPr>
    </w:p>
    <w:p>
      <w:pPr>
        <w:spacing w:line="500" w:lineRule="exact"/>
        <w:ind w:firstLine="562" w:firstLineChars="200"/>
        <w:jc w:val="center"/>
        <w:rPr>
          <w:rFonts w:hAnsi="宋体" w:cs="宋体"/>
          <w:color w:val="auto"/>
          <w:szCs w:val="24"/>
          <w:highlight w:val="none"/>
        </w:rPr>
      </w:pPr>
      <w:r>
        <w:rPr>
          <w:rFonts w:hint="eastAsia" w:hAnsi="宋体" w:cs="宋体"/>
          <w:b/>
          <w:bCs/>
          <w:color w:val="auto"/>
          <w:sz w:val="28"/>
          <w:szCs w:val="28"/>
          <w:highlight w:val="none"/>
        </w:rPr>
        <w:t>关联关系承诺</w:t>
      </w:r>
    </w:p>
    <w:p>
      <w:pPr>
        <w:spacing w:line="500" w:lineRule="exact"/>
        <w:ind w:firstLine="480" w:firstLineChars="200"/>
        <w:rPr>
          <w:rFonts w:hAnsi="宋体" w:cs="宋体"/>
          <w:color w:val="auto"/>
          <w:szCs w:val="24"/>
          <w:highlight w:val="none"/>
        </w:rPr>
      </w:pP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1、供应商在本项目投标中，不存在与其它供应商负责人为同一人，有控股、管理等关联关系承诺：</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1.1管理关系说明：</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我单位管理的具有独立法人的下属单位有</w:t>
      </w:r>
      <w:r>
        <w:rPr>
          <w:rFonts w:hint="eastAsia" w:hAnsi="宋体" w:cs="宋体"/>
          <w:color w:val="auto"/>
          <w:szCs w:val="24"/>
          <w:highlight w:val="none"/>
          <w:u w:val="single"/>
        </w:rPr>
        <w:t xml:space="preserve">：                 </w:t>
      </w:r>
      <w:r>
        <w:rPr>
          <w:rFonts w:hint="eastAsia" w:hAnsi="宋体" w:cs="宋体"/>
          <w:color w:val="auto"/>
          <w:szCs w:val="24"/>
          <w:highlight w:val="none"/>
        </w:rPr>
        <w:t>。</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我单位的上级管理单位有</w:t>
      </w:r>
      <w:r>
        <w:rPr>
          <w:rFonts w:hint="eastAsia" w:hAnsi="宋体" w:cs="宋体"/>
          <w:color w:val="auto"/>
          <w:szCs w:val="24"/>
          <w:highlight w:val="none"/>
          <w:u w:val="single"/>
        </w:rPr>
        <w:t xml:space="preserve">              </w:t>
      </w:r>
      <w:r>
        <w:rPr>
          <w:rFonts w:hint="eastAsia" w:hAnsi="宋体" w:cs="宋体"/>
          <w:color w:val="auto"/>
          <w:szCs w:val="24"/>
          <w:highlight w:val="none"/>
        </w:rPr>
        <w:t>。</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1.2股权关系说明：</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我单位控股的单位有</w:t>
      </w:r>
      <w:r>
        <w:rPr>
          <w:rFonts w:hint="eastAsia" w:hAnsi="宋体" w:cs="宋体"/>
          <w:color w:val="auto"/>
          <w:szCs w:val="24"/>
          <w:highlight w:val="none"/>
          <w:u w:val="single"/>
        </w:rPr>
        <w:t xml:space="preserve">           </w:t>
      </w:r>
      <w:r>
        <w:rPr>
          <w:rFonts w:hint="eastAsia" w:hAnsi="宋体" w:cs="宋体"/>
          <w:color w:val="auto"/>
          <w:szCs w:val="24"/>
          <w:highlight w:val="none"/>
        </w:rPr>
        <w:t>。</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我单位被</w:t>
      </w:r>
      <w:r>
        <w:rPr>
          <w:rFonts w:hint="eastAsia" w:hAnsi="宋体" w:cs="宋体"/>
          <w:color w:val="auto"/>
          <w:szCs w:val="24"/>
          <w:highlight w:val="none"/>
          <w:u w:val="single"/>
        </w:rPr>
        <w:t xml:space="preserve">              </w:t>
      </w:r>
      <w:r>
        <w:rPr>
          <w:rFonts w:hint="eastAsia" w:hAnsi="宋体" w:cs="宋体"/>
          <w:color w:val="auto"/>
          <w:szCs w:val="24"/>
          <w:highlight w:val="none"/>
        </w:rPr>
        <w:t>单位控股。</w:t>
      </w:r>
    </w:p>
    <w:p>
      <w:pPr>
        <w:spacing w:line="500" w:lineRule="exact"/>
        <w:ind w:firstLine="480" w:firstLineChars="200"/>
        <w:rPr>
          <w:rFonts w:hAnsi="宋体" w:cs="宋体"/>
          <w:color w:val="auto"/>
          <w:szCs w:val="24"/>
          <w:highlight w:val="none"/>
          <w:u w:val="single"/>
        </w:rPr>
      </w:pPr>
      <w:r>
        <w:rPr>
          <w:rFonts w:hint="eastAsia" w:hAnsi="宋体" w:cs="宋体"/>
          <w:color w:val="auto"/>
          <w:szCs w:val="24"/>
          <w:highlight w:val="none"/>
        </w:rPr>
        <w:t>1.3单位负责人：</w:t>
      </w:r>
      <w:r>
        <w:rPr>
          <w:rFonts w:hint="eastAsia" w:hAnsi="宋体" w:cs="宋体"/>
          <w:color w:val="auto"/>
          <w:szCs w:val="24"/>
          <w:highlight w:val="none"/>
          <w:u w:val="single"/>
        </w:rPr>
        <w:t xml:space="preserve">                </w:t>
      </w:r>
    </w:p>
    <w:p>
      <w:pPr>
        <w:spacing w:line="500" w:lineRule="exact"/>
        <w:ind w:firstLine="480" w:firstLineChars="200"/>
        <w:rPr>
          <w:rFonts w:hAnsi="宋体" w:cs="宋体"/>
          <w:color w:val="auto"/>
          <w:szCs w:val="24"/>
          <w:highlight w:val="none"/>
          <w:u w:val="single"/>
        </w:rPr>
      </w:pPr>
      <w:r>
        <w:rPr>
          <w:rFonts w:hint="eastAsia" w:hAnsi="宋体" w:cs="宋体"/>
          <w:color w:val="auto"/>
          <w:szCs w:val="24"/>
          <w:highlight w:val="none"/>
        </w:rPr>
        <w:t>2、其他与本项目有关的利害关系说明：</w:t>
      </w:r>
      <w:r>
        <w:rPr>
          <w:rFonts w:hint="eastAsia" w:hAnsi="宋体" w:cs="宋体"/>
          <w:color w:val="auto"/>
          <w:szCs w:val="24"/>
          <w:highlight w:val="none"/>
          <w:u w:val="single"/>
        </w:rPr>
        <w:t xml:space="preserve">                               </w:t>
      </w:r>
    </w:p>
    <w:p>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我单位承诺以上说明真实有效，无虚假内容或隐瞒。</w:t>
      </w:r>
    </w:p>
    <w:p>
      <w:pPr>
        <w:spacing w:line="500" w:lineRule="exact"/>
        <w:ind w:firstLine="240" w:firstLineChars="100"/>
        <w:rPr>
          <w:rFonts w:hAnsi="宋体" w:cs="宋体"/>
          <w:color w:val="auto"/>
          <w:szCs w:val="24"/>
          <w:highlight w:val="none"/>
        </w:rPr>
      </w:pPr>
    </w:p>
    <w:p>
      <w:pPr>
        <w:pStyle w:val="20"/>
        <w:rPr>
          <w:rFonts w:ascii="宋体" w:hAnsi="宋体" w:cs="宋体"/>
          <w:color w:val="auto"/>
          <w:highlight w:val="none"/>
        </w:rPr>
      </w:pPr>
    </w:p>
    <w:p>
      <w:pPr>
        <w:spacing w:line="500" w:lineRule="exact"/>
        <w:ind w:firstLine="2400" w:firstLineChars="1000"/>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w:t>
      </w:r>
      <w:r>
        <w:rPr>
          <w:rFonts w:hint="eastAsia" w:hAnsi="宋体" w:cs="宋体"/>
          <w:color w:val="auto"/>
          <w:szCs w:val="24"/>
          <w:highlight w:val="none"/>
        </w:rPr>
        <w:t>（盖单位公章）</w:t>
      </w:r>
    </w:p>
    <w:p>
      <w:pPr>
        <w:spacing w:line="500" w:lineRule="exact"/>
        <w:ind w:firstLine="240" w:firstLineChars="100"/>
        <w:rPr>
          <w:rFonts w:hAnsi="宋体" w:cs="宋体"/>
          <w:color w:val="auto"/>
          <w:szCs w:val="24"/>
          <w:highlight w:val="none"/>
        </w:rPr>
      </w:pPr>
    </w:p>
    <w:p>
      <w:pPr>
        <w:widowControl/>
        <w:spacing w:line="408" w:lineRule="auto"/>
        <w:ind w:left="274" w:leftChars="114"/>
        <w:jc w:val="center"/>
        <w:rPr>
          <w:rFonts w:hAnsi="宋体" w:cs="宋体"/>
          <w:color w:val="auto"/>
          <w:highlight w:val="none"/>
        </w:rPr>
      </w:pPr>
      <w:r>
        <w:rPr>
          <w:rFonts w:hint="eastAsia" w:hAnsi="宋体" w:cs="宋体"/>
          <w:color w:val="auto"/>
          <w:highlight w:val="none"/>
        </w:rPr>
        <w:t xml:space="preserve">                    年      月      日</w:t>
      </w:r>
    </w:p>
    <w:p>
      <w:pPr>
        <w:spacing w:line="560" w:lineRule="exact"/>
        <w:ind w:firstLine="241" w:firstLineChars="100"/>
        <w:rPr>
          <w:rFonts w:hAnsi="宋体" w:cs="宋体"/>
          <w:b/>
          <w:bCs/>
          <w:color w:val="auto"/>
          <w:szCs w:val="24"/>
          <w:highlight w:val="none"/>
        </w:rPr>
      </w:pPr>
    </w:p>
    <w:p>
      <w:pPr>
        <w:spacing w:line="560" w:lineRule="exact"/>
        <w:rPr>
          <w:rFonts w:hAnsi="宋体" w:cs="宋体"/>
          <w:b/>
          <w:bCs/>
          <w:color w:val="auto"/>
          <w:szCs w:val="24"/>
          <w:highlight w:val="none"/>
        </w:rPr>
      </w:pPr>
    </w:p>
    <w:p>
      <w:pPr>
        <w:spacing w:line="560" w:lineRule="exact"/>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560" w:lineRule="exact"/>
        <w:ind w:firstLine="241" w:firstLineChars="100"/>
        <w:rPr>
          <w:rFonts w:hAnsi="宋体" w:cs="宋体"/>
          <w:b/>
          <w:bCs/>
          <w:color w:val="auto"/>
          <w:szCs w:val="24"/>
          <w:highlight w:val="none"/>
        </w:rPr>
      </w:pPr>
      <w:r>
        <w:rPr>
          <w:rFonts w:hint="eastAsia" w:hAnsi="宋体" w:cs="宋体"/>
          <w:b/>
          <w:bCs/>
          <w:color w:val="auto"/>
          <w:szCs w:val="24"/>
          <w:highlight w:val="none"/>
        </w:rPr>
        <w:t>（4）为本项目提供过整体设计、规范编制或者项目管理、监理、检测等服务的供应商，不得再参加本项目采购活动。</w:t>
      </w:r>
    </w:p>
    <w:p>
      <w:pPr>
        <w:spacing w:line="500" w:lineRule="exact"/>
        <w:rPr>
          <w:rFonts w:hAnsi="宋体" w:cs="宋体"/>
          <w:b/>
          <w:bCs/>
          <w:color w:val="auto"/>
          <w:szCs w:val="24"/>
          <w:highlight w:val="none"/>
        </w:rPr>
      </w:pPr>
      <w:r>
        <w:rPr>
          <w:rFonts w:hint="eastAsia" w:hAnsi="宋体" w:cs="宋体"/>
          <w:b/>
          <w:bCs/>
          <w:color w:val="auto"/>
          <w:szCs w:val="24"/>
          <w:highlight w:val="none"/>
        </w:rPr>
        <w:t>供应商未为本项目提供整体设计、规范编制或者项目管理、监理、检测等服务的书面声明</w:t>
      </w:r>
    </w:p>
    <w:p>
      <w:pPr>
        <w:pStyle w:val="20"/>
        <w:rPr>
          <w:rFonts w:ascii="宋体" w:hAnsi="宋体" w:cs="宋体"/>
          <w:color w:val="auto"/>
          <w:highlight w:val="none"/>
        </w:rPr>
      </w:pPr>
    </w:p>
    <w:p>
      <w:pPr>
        <w:spacing w:line="500" w:lineRule="exact"/>
        <w:ind w:firstLine="3935" w:firstLineChars="1400"/>
        <w:rPr>
          <w:rFonts w:hAnsi="宋体" w:cs="宋体"/>
          <w:color w:val="auto"/>
          <w:highlight w:val="none"/>
        </w:rPr>
      </w:pPr>
      <w:r>
        <w:rPr>
          <w:rFonts w:hint="eastAsia" w:hAnsi="宋体" w:cs="宋体"/>
          <w:b/>
          <w:bCs/>
          <w:color w:val="auto"/>
          <w:sz w:val="28"/>
          <w:szCs w:val="28"/>
          <w:highlight w:val="none"/>
        </w:rPr>
        <w:t>书面声明</w:t>
      </w:r>
    </w:p>
    <w:p>
      <w:pPr>
        <w:spacing w:line="500" w:lineRule="exact"/>
        <w:ind w:firstLine="720" w:firstLineChars="300"/>
        <w:rPr>
          <w:rFonts w:hAnsi="宋体" w:cs="宋体"/>
          <w:color w:val="auto"/>
          <w:highlight w:val="none"/>
        </w:rPr>
      </w:pPr>
    </w:p>
    <w:p>
      <w:pPr>
        <w:spacing w:line="500" w:lineRule="exact"/>
        <w:ind w:firstLine="720" w:firstLineChars="300"/>
        <w:rPr>
          <w:rFonts w:hAnsi="宋体" w:cs="宋体"/>
          <w:color w:val="auto"/>
          <w:highlight w:val="none"/>
        </w:rPr>
      </w:pPr>
      <w:r>
        <w:rPr>
          <w:rFonts w:hint="eastAsia" w:hAnsi="宋体" w:cs="宋体"/>
          <w:color w:val="auto"/>
          <w:highlight w:val="none"/>
        </w:rPr>
        <w:t>致：</w:t>
      </w:r>
      <w:r>
        <w:rPr>
          <w:rFonts w:hint="eastAsia" w:hAnsi="宋体" w:cs="宋体"/>
          <w:color w:val="auto"/>
          <w:highlight w:val="none"/>
          <w:u w:val="single"/>
        </w:rPr>
        <w:t>(采购人名称）</w:t>
      </w:r>
    </w:p>
    <w:p>
      <w:pPr>
        <w:spacing w:line="500" w:lineRule="exact"/>
        <w:ind w:firstLine="480" w:firstLineChars="200"/>
        <w:rPr>
          <w:rFonts w:hAnsi="宋体" w:cs="宋体"/>
          <w:color w:val="auto"/>
          <w:highlight w:val="none"/>
        </w:rPr>
      </w:pPr>
      <w:r>
        <w:rPr>
          <w:rFonts w:hint="eastAsia" w:hAnsi="宋体" w:cs="宋体"/>
          <w:color w:val="auto"/>
          <w:highlight w:val="none"/>
        </w:rPr>
        <w:t>我方作为</w:t>
      </w:r>
      <w:r>
        <w:rPr>
          <w:rFonts w:hint="eastAsia" w:hAnsi="宋体" w:cs="宋体"/>
          <w:color w:val="auto"/>
          <w:highlight w:val="none"/>
          <w:u w:val="single"/>
        </w:rPr>
        <w:t xml:space="preserve"> 项目名称 </w:t>
      </w:r>
      <w:r>
        <w:rPr>
          <w:rFonts w:hint="eastAsia" w:hAnsi="宋体" w:cs="宋体"/>
          <w:color w:val="auto"/>
          <w:highlight w:val="none"/>
        </w:rPr>
        <w:t>（项目编号：</w:t>
      </w:r>
      <w:r>
        <w:rPr>
          <w:rFonts w:hint="eastAsia" w:hAnsi="宋体" w:cs="宋体"/>
          <w:color w:val="auto"/>
          <w:highlight w:val="none"/>
          <w:u w:val="single"/>
        </w:rPr>
        <w:t xml:space="preserve">             </w:t>
      </w:r>
      <w:r>
        <w:rPr>
          <w:rFonts w:hint="eastAsia" w:hAnsi="宋体" w:cs="宋体"/>
          <w:color w:val="auto"/>
          <w:highlight w:val="none"/>
        </w:rPr>
        <w:t>）的投标供应商，在此郑重声明：</w:t>
      </w:r>
    </w:p>
    <w:p>
      <w:pPr>
        <w:spacing w:line="500" w:lineRule="exact"/>
        <w:ind w:firstLine="480" w:firstLineChars="200"/>
        <w:rPr>
          <w:rFonts w:hAnsi="宋体" w:cs="宋体"/>
          <w:color w:val="auto"/>
          <w:highlight w:val="none"/>
        </w:rPr>
      </w:pPr>
      <w:r>
        <w:rPr>
          <w:rFonts w:hint="eastAsia" w:hAnsi="宋体" w:cs="宋体"/>
          <w:color w:val="auto"/>
          <w:highlight w:val="none"/>
        </w:rPr>
        <w:t>我方</w:t>
      </w:r>
      <w:r>
        <w:rPr>
          <w:rFonts w:hint="eastAsia" w:hAnsi="宋体" w:cs="宋体"/>
          <w:color w:val="auto"/>
          <w:highlight w:val="none"/>
          <w:u w:val="single"/>
        </w:rPr>
        <w:t xml:space="preserve"> 属于/不属于 </w:t>
      </w:r>
      <w:r>
        <w:rPr>
          <w:rFonts w:hint="eastAsia" w:hAnsi="宋体" w:cs="宋体"/>
          <w:color w:val="auto"/>
          <w:highlight w:val="none"/>
        </w:rPr>
        <w:t>为本项目提供整体设计、规范编制或者项目管理、监理、检测等服务的供应商。</w:t>
      </w:r>
    </w:p>
    <w:p>
      <w:pPr>
        <w:spacing w:line="500" w:lineRule="exact"/>
        <w:ind w:firstLine="480" w:firstLineChars="200"/>
        <w:rPr>
          <w:rFonts w:hAnsi="宋体" w:cs="宋体"/>
          <w:color w:val="auto"/>
          <w:highlight w:val="none"/>
        </w:rPr>
      </w:pPr>
      <w:r>
        <w:rPr>
          <w:rFonts w:hint="eastAsia" w:hAnsi="宋体" w:cs="宋体"/>
          <w:color w:val="auto"/>
          <w:highlight w:val="none"/>
        </w:rPr>
        <w:t>如有不实，我方将无条件地退出本项目的采购活动，并遵照《政府采购法》有关“提供虚假材料的规定”接受处罚。</w:t>
      </w:r>
    </w:p>
    <w:p>
      <w:pPr>
        <w:spacing w:line="500" w:lineRule="exact"/>
        <w:rPr>
          <w:rFonts w:hAnsi="宋体" w:cs="宋体"/>
          <w:color w:val="auto"/>
          <w:highlight w:val="none"/>
        </w:rPr>
      </w:pPr>
      <w:r>
        <w:rPr>
          <w:rFonts w:hint="eastAsia" w:hAnsi="宋体" w:cs="宋体"/>
          <w:color w:val="auto"/>
          <w:highlight w:val="none"/>
        </w:rPr>
        <w:t>特此声明。</w:t>
      </w:r>
    </w:p>
    <w:p>
      <w:pPr>
        <w:spacing w:line="500" w:lineRule="exact"/>
        <w:ind w:firstLine="3840" w:firstLineChars="1600"/>
        <w:rPr>
          <w:rFonts w:hAnsi="宋体" w:cs="宋体"/>
          <w:color w:val="auto"/>
          <w:highlight w:val="none"/>
        </w:rPr>
      </w:pPr>
    </w:p>
    <w:p>
      <w:pPr>
        <w:spacing w:line="500" w:lineRule="exact"/>
        <w:ind w:firstLine="3840" w:firstLineChars="1600"/>
        <w:rPr>
          <w:rFonts w:hAnsi="宋体" w:cs="宋体"/>
          <w:color w:val="auto"/>
          <w:highlight w:val="none"/>
        </w:rPr>
      </w:pPr>
    </w:p>
    <w:p>
      <w:pPr>
        <w:spacing w:line="500" w:lineRule="exact"/>
        <w:ind w:firstLine="3840" w:firstLineChars="16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（加盖公章）</w:t>
      </w:r>
    </w:p>
    <w:p>
      <w:pPr>
        <w:spacing w:line="500" w:lineRule="exact"/>
        <w:ind w:firstLine="3840" w:firstLineChars="1600"/>
        <w:rPr>
          <w:rFonts w:hAnsi="宋体" w:cs="宋体"/>
          <w:color w:val="auto"/>
          <w:highlight w:val="none"/>
        </w:rPr>
      </w:pPr>
      <w:r>
        <w:rPr>
          <w:rFonts w:hint="eastAsia" w:hAnsi="宋体" w:cs="宋体"/>
          <w:color w:val="auto"/>
          <w:highlight w:val="none"/>
        </w:rPr>
        <w:t>日期：  年  月  日</w:t>
      </w:r>
    </w:p>
    <w:p>
      <w:pPr>
        <w:spacing w:line="360" w:lineRule="auto"/>
        <w:ind w:firstLine="241" w:firstLineChars="100"/>
        <w:rPr>
          <w:rFonts w:hAnsi="宋体" w:cs="宋体"/>
          <w:b/>
          <w:bCs/>
          <w:color w:val="auto"/>
          <w:szCs w:val="24"/>
          <w:highlight w:val="none"/>
        </w:rPr>
      </w:pPr>
    </w:p>
    <w:p>
      <w:pPr>
        <w:spacing w:line="360" w:lineRule="auto"/>
        <w:ind w:firstLine="241" w:firstLineChars="100"/>
        <w:rPr>
          <w:rFonts w:hAnsi="宋体" w:cs="宋体"/>
          <w:b/>
          <w:bCs/>
          <w:color w:val="auto"/>
          <w:szCs w:val="24"/>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line="360" w:lineRule="auto"/>
        <w:ind w:firstLine="241" w:firstLineChars="100"/>
        <w:rPr>
          <w:rFonts w:hAnsi="宋体" w:cs="宋体"/>
          <w:b/>
          <w:bCs/>
          <w:color w:val="auto"/>
          <w:szCs w:val="24"/>
          <w:highlight w:val="none"/>
        </w:rPr>
      </w:pPr>
      <w:r>
        <w:rPr>
          <w:rFonts w:hint="eastAsia" w:hAnsi="宋体" w:cs="宋体"/>
          <w:b/>
          <w:bCs/>
          <w:color w:val="auto"/>
          <w:szCs w:val="24"/>
          <w:highlight w:val="none"/>
        </w:rPr>
        <w:t>（5）本项目不接受联合体投标，不允许分包。</w:t>
      </w:r>
    </w:p>
    <w:p>
      <w:pPr>
        <w:spacing w:line="500" w:lineRule="exact"/>
        <w:ind w:firstLine="2811" w:firstLineChars="1000"/>
        <w:rPr>
          <w:rFonts w:hAnsi="宋体" w:cs="宋体"/>
          <w:b/>
          <w:bCs/>
          <w:color w:val="auto"/>
          <w:sz w:val="28"/>
          <w:szCs w:val="28"/>
          <w:highlight w:val="none"/>
        </w:rPr>
      </w:pPr>
    </w:p>
    <w:p>
      <w:pPr>
        <w:spacing w:line="500" w:lineRule="exact"/>
        <w:ind w:firstLine="2811" w:firstLineChars="1000"/>
        <w:rPr>
          <w:rFonts w:hAnsi="宋体" w:cs="宋体"/>
          <w:b/>
          <w:bCs/>
          <w:color w:val="auto"/>
          <w:sz w:val="28"/>
          <w:szCs w:val="28"/>
          <w:highlight w:val="none"/>
        </w:rPr>
      </w:pPr>
      <w:r>
        <w:rPr>
          <w:rFonts w:hint="eastAsia" w:hAnsi="宋体" w:cs="宋体"/>
          <w:b/>
          <w:bCs/>
          <w:color w:val="auto"/>
          <w:sz w:val="28"/>
          <w:szCs w:val="28"/>
          <w:highlight w:val="none"/>
        </w:rPr>
        <w:t xml:space="preserve">非联合体不分包投标声明 </w:t>
      </w:r>
    </w:p>
    <w:p>
      <w:pPr>
        <w:spacing w:line="500" w:lineRule="exact"/>
        <w:ind w:firstLine="480" w:firstLineChars="200"/>
        <w:rPr>
          <w:rFonts w:hAnsi="宋体" w:cs="宋体"/>
          <w:color w:val="auto"/>
          <w:highlight w:val="none"/>
        </w:rPr>
      </w:pPr>
    </w:p>
    <w:p>
      <w:pPr>
        <w:spacing w:line="500" w:lineRule="exact"/>
        <w:ind w:firstLine="480" w:firstLineChars="200"/>
        <w:rPr>
          <w:rFonts w:hAnsi="宋体" w:cs="宋体"/>
          <w:color w:val="auto"/>
          <w:highlight w:val="none"/>
        </w:rPr>
      </w:pPr>
      <w:r>
        <w:rPr>
          <w:rFonts w:hint="eastAsia" w:hAnsi="宋体" w:cs="宋体"/>
          <w:color w:val="auto"/>
          <w:highlight w:val="none"/>
        </w:rPr>
        <w:t>本单位郑重声明，参加</w:t>
      </w:r>
      <w:r>
        <w:rPr>
          <w:rFonts w:hint="eastAsia" w:hAnsi="宋体" w:cs="宋体"/>
          <w:color w:val="auto"/>
          <w:highlight w:val="none"/>
          <w:u w:val="single"/>
        </w:rPr>
        <w:t xml:space="preserve">(采购人）     </w:t>
      </w:r>
      <w:r>
        <w:rPr>
          <w:rFonts w:hint="eastAsia" w:hAnsi="宋体" w:cs="宋体"/>
          <w:color w:val="auto"/>
          <w:highlight w:val="none"/>
        </w:rPr>
        <w:t>的</w:t>
      </w:r>
      <w:r>
        <w:rPr>
          <w:rFonts w:hint="eastAsia" w:hAnsi="宋体" w:cs="宋体"/>
          <w:color w:val="auto"/>
          <w:highlight w:val="none"/>
          <w:u w:val="single"/>
        </w:rPr>
        <w:t>项目名称            （项目编号： ）</w:t>
      </w:r>
      <w:r>
        <w:rPr>
          <w:rFonts w:hint="eastAsia" w:hAnsi="宋体" w:cs="宋体"/>
          <w:color w:val="auto"/>
          <w:highlight w:val="none"/>
        </w:rPr>
        <w:t xml:space="preserve">采购活动，为非联 合体投标，本项目实施过程由本单位独立承担。 </w:t>
      </w:r>
    </w:p>
    <w:p>
      <w:pPr>
        <w:spacing w:line="500" w:lineRule="exact"/>
        <w:ind w:firstLine="480" w:firstLineChars="200"/>
        <w:rPr>
          <w:rFonts w:hAnsi="宋体" w:cs="宋体"/>
          <w:color w:val="auto"/>
          <w:highlight w:val="none"/>
        </w:rPr>
      </w:pPr>
      <w:r>
        <w:rPr>
          <w:rFonts w:hint="eastAsia" w:hAnsi="宋体" w:cs="宋体"/>
          <w:color w:val="auto"/>
          <w:highlight w:val="none"/>
        </w:rPr>
        <w:t xml:space="preserve">本单位对上述声明的真实性负责。如有虚假，将依法承担相应责任。 </w:t>
      </w:r>
    </w:p>
    <w:p>
      <w:pPr>
        <w:spacing w:line="500" w:lineRule="exact"/>
        <w:ind w:firstLine="480" w:firstLineChars="200"/>
        <w:jc w:val="right"/>
        <w:rPr>
          <w:rFonts w:hint="eastAsia" w:hAnsi="宋体" w:eastAsia="宋体" w:cs="宋体"/>
          <w:color w:val="auto"/>
          <w:highlight w:val="none"/>
          <w:lang w:eastAsia="zh-CN"/>
        </w:rPr>
      </w:pPr>
    </w:p>
    <w:p>
      <w:pPr>
        <w:spacing w:line="500" w:lineRule="exact"/>
        <w:ind w:firstLine="480" w:firstLineChars="200"/>
        <w:jc w:val="right"/>
        <w:rPr>
          <w:rFonts w:hAnsi="宋体" w:cs="宋体"/>
          <w:color w:val="auto"/>
          <w:highlight w:val="none"/>
        </w:rPr>
      </w:pPr>
      <w:r>
        <w:rPr>
          <w:rFonts w:hint="eastAsia" w:hAnsi="宋体" w:cs="宋体"/>
          <w:color w:val="auto"/>
          <w:highlight w:val="none"/>
        </w:rPr>
        <w:t xml:space="preserve">  供应商名称： （加盖公章） </w:t>
      </w:r>
    </w:p>
    <w:p>
      <w:pPr>
        <w:rPr>
          <w:rFonts w:hAnsi="宋体" w:cs="宋体"/>
          <w:color w:val="auto"/>
          <w:highlight w:val="none"/>
        </w:rPr>
      </w:pPr>
      <w:r>
        <w:rPr>
          <w:rFonts w:hint="eastAsia" w:hAnsi="宋体" w:cs="宋体"/>
          <w:color w:val="auto"/>
          <w:highlight w:val="none"/>
        </w:rPr>
        <w:t xml:space="preserve">                                                    </w:t>
      </w:r>
    </w:p>
    <w:p>
      <w:pPr>
        <w:ind w:firstLine="6480" w:firstLineChars="2700"/>
        <w:rPr>
          <w:rFonts w:hAnsi="宋体" w:cs="宋体"/>
          <w:color w:val="auto"/>
          <w:highlight w:val="none"/>
        </w:rPr>
      </w:pPr>
      <w:r>
        <w:rPr>
          <w:rFonts w:hint="eastAsia" w:hAnsi="宋体" w:cs="宋体"/>
          <w:color w:val="auto"/>
          <w:highlight w:val="none"/>
        </w:rPr>
        <w:t>日期： 年 月   日</w:t>
      </w:r>
    </w:p>
    <w:p>
      <w:pPr>
        <w:spacing w:line="360" w:lineRule="auto"/>
        <w:ind w:firstLine="481"/>
        <w:rPr>
          <w:rFonts w:hAnsi="宋体" w:cs="宋体"/>
          <w:b/>
          <w:bCs/>
          <w:color w:val="auto"/>
          <w:szCs w:val="24"/>
          <w:highlight w:val="none"/>
        </w:rPr>
      </w:pPr>
    </w:p>
    <w:p>
      <w:pPr>
        <w:tabs>
          <w:tab w:val="left" w:pos="7839"/>
        </w:tabs>
        <w:jc w:val="center"/>
        <w:rPr>
          <w:rFonts w:hAnsi="宋体" w:cs="宋体"/>
          <w:b/>
          <w:bCs/>
          <w:color w:val="auto"/>
          <w:sz w:val="30"/>
          <w:szCs w:val="30"/>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tabs>
          <w:tab w:val="left" w:pos="7839"/>
        </w:tabs>
        <w:spacing w:line="360" w:lineRule="auto"/>
        <w:jc w:val="center"/>
        <w:rPr>
          <w:rFonts w:hAnsi="宋体" w:cs="宋体"/>
          <w:b/>
          <w:bCs/>
          <w:color w:val="auto"/>
          <w:szCs w:val="24"/>
          <w:highlight w:val="none"/>
        </w:rPr>
      </w:pPr>
      <w:r>
        <w:rPr>
          <w:rFonts w:hint="eastAsia" w:hAnsi="宋体" w:cs="宋体"/>
          <w:b/>
          <w:bCs/>
          <w:color w:val="auto"/>
          <w:sz w:val="32"/>
          <w:szCs w:val="32"/>
          <w:highlight w:val="none"/>
        </w:rPr>
        <w:t>七、业绩</w:t>
      </w:r>
    </w:p>
    <w:p>
      <w:pPr>
        <w:tabs>
          <w:tab w:val="left" w:pos="7839"/>
        </w:tabs>
        <w:jc w:val="center"/>
        <w:rPr>
          <w:rFonts w:hAnsi="宋体" w:cs="宋体"/>
          <w:b/>
          <w:bCs/>
          <w:color w:val="auto"/>
          <w:sz w:val="30"/>
          <w:szCs w:val="30"/>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numPr>
          <w:ilvl w:val="0"/>
          <w:numId w:val="21"/>
        </w:numPr>
        <w:tabs>
          <w:tab w:val="left" w:pos="7839"/>
        </w:tabs>
        <w:spacing w:line="360" w:lineRule="auto"/>
        <w:jc w:val="center"/>
        <w:rPr>
          <w:rFonts w:hAnsi="宋体" w:cs="宋体"/>
          <w:b/>
          <w:bCs/>
          <w:color w:val="auto"/>
          <w:sz w:val="32"/>
          <w:szCs w:val="32"/>
          <w:highlight w:val="none"/>
        </w:rPr>
      </w:pPr>
      <w:r>
        <w:rPr>
          <w:rFonts w:hint="eastAsia" w:hAnsi="宋体" w:cs="宋体"/>
          <w:b/>
          <w:bCs/>
          <w:color w:val="auto"/>
          <w:sz w:val="32"/>
          <w:szCs w:val="32"/>
          <w:highlight w:val="none"/>
        </w:rPr>
        <w:t>声明函</w:t>
      </w:r>
    </w:p>
    <w:p>
      <w:pPr>
        <w:spacing w:line="360" w:lineRule="auto"/>
        <w:rPr>
          <w:color w:val="auto"/>
          <w:highlight w:val="none"/>
        </w:rPr>
      </w:pPr>
      <w:r>
        <w:rPr>
          <w:rFonts w:hint="eastAsia" w:hAnsi="宋体" w:cs="宋体"/>
          <w:b/>
          <w:bCs/>
          <w:color w:val="auto"/>
          <w:szCs w:val="22"/>
          <w:highlight w:val="none"/>
        </w:rPr>
        <w:t>本项目非专门面向中小企业。</w:t>
      </w:r>
    </w:p>
    <w:p>
      <w:pPr>
        <w:tabs>
          <w:tab w:val="left" w:pos="5670"/>
        </w:tabs>
        <w:spacing w:line="360" w:lineRule="auto"/>
        <w:ind w:firstLine="482" w:firstLineChars="200"/>
        <w:jc w:val="left"/>
        <w:rPr>
          <w:rFonts w:hAnsi="宋体" w:cs="宋体"/>
          <w:b/>
          <w:bCs/>
          <w:color w:val="auto"/>
          <w:szCs w:val="24"/>
          <w:highlight w:val="none"/>
        </w:rPr>
      </w:pPr>
      <w:r>
        <w:rPr>
          <w:rFonts w:hint="eastAsia" w:hAnsi="宋体" w:cs="宋体"/>
          <w:b/>
          <w:bCs/>
          <w:color w:val="auto"/>
          <w:szCs w:val="24"/>
          <w:highlight w:val="none"/>
        </w:rPr>
        <w:t>（1）供应商若为中型、小型、微型企业的，提供《中小企业声明函》（附件1），填写时请认真阅读《工业和信息化部、国家统计局、国家发展和改革委员会、财政部关于印发中小企业划型标准规定的通知》（工信部联企业[2011]300号）和《政府采购促进中小企业发展管理办法》（财库〔2020〕46号）相关规定；成交人享受中小企业扶持政策的，成交人的《中小企业声明函》或证明文件将随成交结果公告一同公布，接受社会监督。</w:t>
      </w:r>
    </w:p>
    <w:p>
      <w:pPr>
        <w:tabs>
          <w:tab w:val="left" w:pos="5670"/>
        </w:tabs>
        <w:spacing w:line="360" w:lineRule="auto"/>
        <w:ind w:firstLine="480"/>
        <w:jc w:val="left"/>
        <w:rPr>
          <w:rFonts w:hAnsi="宋体" w:cs="宋体"/>
          <w:b/>
          <w:bCs/>
          <w:color w:val="auto"/>
          <w:szCs w:val="24"/>
          <w:highlight w:val="none"/>
        </w:rPr>
      </w:pPr>
      <w:r>
        <w:rPr>
          <w:rFonts w:hint="eastAsia" w:hAnsi="宋体" w:cs="宋体"/>
          <w:b/>
          <w:bCs/>
          <w:color w:val="auto"/>
          <w:szCs w:val="24"/>
          <w:highlight w:val="none"/>
        </w:rPr>
        <w:t>（2）供应商若为残疾人福利性单位的，应提供《残疾人福利性单位声明函》（附件2）；</w:t>
      </w:r>
    </w:p>
    <w:p>
      <w:pPr>
        <w:spacing w:line="360" w:lineRule="auto"/>
        <w:ind w:firstLine="482" w:firstLineChars="200"/>
        <w:rPr>
          <w:rFonts w:hAnsi="宋体" w:cs="宋体"/>
          <w:b/>
          <w:color w:val="auto"/>
          <w:highlight w:val="none"/>
        </w:rPr>
      </w:pPr>
      <w:r>
        <w:rPr>
          <w:rFonts w:hint="eastAsia" w:hAnsi="宋体" w:cs="宋体"/>
          <w:b/>
          <w:bCs/>
          <w:color w:val="auto"/>
          <w:szCs w:val="24"/>
          <w:highlight w:val="none"/>
        </w:rPr>
        <w:t>（3）供应商若为监狱企业的，应提供监狱企业的证明文件（附件3）；</w:t>
      </w:r>
    </w:p>
    <w:p>
      <w:pPr>
        <w:rPr>
          <w:rFonts w:hAnsi="宋体" w:cs="宋体"/>
          <w:b/>
          <w:color w:val="auto"/>
          <w:sz w:val="28"/>
          <w:szCs w:val="28"/>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rPr>
          <w:rFonts w:hAnsi="宋体" w:cs="宋体"/>
          <w:b/>
          <w:color w:val="auto"/>
          <w:sz w:val="28"/>
          <w:szCs w:val="28"/>
          <w:highlight w:val="none"/>
        </w:rPr>
      </w:pPr>
      <w:r>
        <w:rPr>
          <w:rFonts w:hint="eastAsia" w:hAnsi="宋体" w:cs="宋体"/>
          <w:b/>
          <w:color w:val="auto"/>
          <w:sz w:val="28"/>
          <w:szCs w:val="28"/>
          <w:highlight w:val="none"/>
        </w:rPr>
        <w:t>附件1：</w:t>
      </w:r>
    </w:p>
    <w:p>
      <w:pPr>
        <w:spacing w:before="162" w:line="360" w:lineRule="auto"/>
        <w:jc w:val="center"/>
        <w:rPr>
          <w:rFonts w:hAnsi="宋体" w:cs="宋体"/>
          <w:b/>
          <w:color w:val="auto"/>
          <w:szCs w:val="24"/>
          <w:highlight w:val="none"/>
        </w:rPr>
      </w:pPr>
      <w:r>
        <w:rPr>
          <w:rFonts w:hint="eastAsia" w:hAnsi="宋体" w:cs="宋体"/>
          <w:b/>
          <w:color w:val="auto"/>
          <w:sz w:val="28"/>
          <w:szCs w:val="28"/>
          <w:highlight w:val="none"/>
        </w:rPr>
        <w:t>中小企业声明函（货物）</w:t>
      </w:r>
    </w:p>
    <w:p>
      <w:pPr>
        <w:pStyle w:val="20"/>
        <w:spacing w:before="55" w:line="360" w:lineRule="auto"/>
        <w:ind w:right="415" w:firstLine="640"/>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本公司（联合体）郑重声明，根据《政府采购促进中小企业发展管理办法》（财库﹝2020﹞46 号）的规定，本公司（联合体）参加</w:t>
      </w:r>
      <w:r>
        <w:rPr>
          <w:rFonts w:hint="eastAsia" w:ascii="宋体" w:hAnsi="宋体" w:cs="宋体"/>
          <w:color w:val="auto"/>
          <w:sz w:val="24"/>
          <w:szCs w:val="24"/>
          <w:highlight w:val="none"/>
          <w:u w:val="single"/>
        </w:rPr>
        <w:t>（单位名称）</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（项目名称）</w:t>
      </w:r>
      <w:r>
        <w:rPr>
          <w:rFonts w:hint="eastAsia" w:ascii="宋体" w:hAnsi="宋体" w:cs="宋体"/>
          <w:color w:val="auto"/>
          <w:sz w:val="24"/>
          <w:szCs w:val="24"/>
          <w:highlight w:val="none"/>
        </w:rPr>
        <w:t>采购活动，提</w:t>
      </w:r>
      <w:r>
        <w:rPr>
          <w:rFonts w:hint="eastAsia" w:ascii="宋体" w:hAnsi="宋体" w:eastAsia="宋体" w:cs="宋体"/>
          <w:color w:val="auto"/>
          <w:sz w:val="24"/>
          <w:szCs w:val="24"/>
          <w:highlight w:val="none"/>
        </w:rPr>
        <w:t>供的货物全部由符合政策要求的中小企业制造。相关企业（含联合体中的中小企业、签订分包意向协议的中小企业） 的具体情况如下：</w:t>
      </w:r>
    </w:p>
    <w:p>
      <w:pPr>
        <w:pStyle w:val="98"/>
        <w:numPr>
          <w:ilvl w:val="0"/>
          <w:numId w:val="22"/>
        </w:numPr>
        <w:tabs>
          <w:tab w:val="left" w:pos="1183"/>
          <w:tab w:val="left" w:pos="1484"/>
          <w:tab w:val="left" w:pos="4662"/>
          <w:tab w:val="left" w:pos="6903"/>
        </w:tabs>
        <w:spacing w:line="360" w:lineRule="auto"/>
        <w:ind w:right="169" w:firstLine="480"/>
        <w:rPr>
          <w:rFonts w:ascii="宋体" w:hAnsi="宋体" w:cs="宋体"/>
          <w:color w:val="auto"/>
          <w:sz w:val="24"/>
          <w:szCs w:val="24"/>
          <w:highlight w:val="none"/>
        </w:rPr>
      </w:pPr>
      <w:r>
        <w:rPr>
          <w:rFonts w:hint="eastAsia" w:ascii="宋体" w:hAnsi="宋体" w:cs="宋体"/>
          <w:color w:val="auto"/>
          <w:sz w:val="24"/>
          <w:szCs w:val="24"/>
          <w:highlight w:val="none"/>
          <w:u w:val="single"/>
        </w:rPr>
        <w:t>（标的名称）</w:t>
      </w:r>
      <w:r>
        <w:rPr>
          <w:rFonts w:hint="eastAsia" w:ascii="宋体" w:hAnsi="宋体" w:cs="宋体"/>
          <w:color w:val="auto"/>
          <w:sz w:val="24"/>
          <w:szCs w:val="24"/>
          <w:highlight w:val="none"/>
        </w:rPr>
        <w:t xml:space="preserve"> ， 属于</w:t>
      </w:r>
      <w:r>
        <w:rPr>
          <w:rFonts w:hint="eastAsia" w:ascii="宋体" w:hAnsi="宋体" w:cs="宋体"/>
          <w:color w:val="auto"/>
          <w:sz w:val="24"/>
          <w:szCs w:val="24"/>
          <w:highlight w:val="none"/>
          <w:u w:val="single"/>
        </w:rPr>
        <w:t xml:space="preserve">      行业</w:t>
      </w:r>
      <w:r>
        <w:rPr>
          <w:rFonts w:hint="eastAsia" w:ascii="宋体" w:hAnsi="宋体" w:cs="宋体"/>
          <w:color w:val="auto"/>
          <w:w w:val="99"/>
          <w:sz w:val="24"/>
          <w:szCs w:val="24"/>
          <w:highlight w:val="none"/>
        </w:rPr>
        <w:t>；</w:t>
      </w:r>
      <w:r>
        <w:rPr>
          <w:rFonts w:hint="eastAsia" w:ascii="宋体" w:hAnsi="宋体" w:eastAsia="宋体" w:cs="宋体"/>
          <w:color w:val="auto"/>
          <w:kern w:val="2"/>
          <w:sz w:val="24"/>
          <w:szCs w:val="24"/>
          <w:highlight w:val="none"/>
          <w:lang w:val="en-US" w:eastAsia="zh-CN" w:bidi="ar-SA"/>
        </w:rPr>
        <w:t>制造商为</w:t>
      </w:r>
      <w:r>
        <w:rPr>
          <w:rFonts w:hint="eastAsia" w:ascii="宋体" w:hAnsi="宋体" w:cs="宋体"/>
          <w:color w:val="auto"/>
          <w:w w:val="96"/>
          <w:sz w:val="24"/>
          <w:szCs w:val="24"/>
          <w:highlight w:val="none"/>
          <w:u w:val="single"/>
        </w:rPr>
        <w:t>（</w:t>
      </w:r>
      <w:r>
        <w:rPr>
          <w:rFonts w:hint="eastAsia" w:ascii="宋体" w:hAnsi="宋体" w:cs="宋体"/>
          <w:color w:val="auto"/>
          <w:sz w:val="24"/>
          <w:szCs w:val="24"/>
          <w:highlight w:val="none"/>
          <w:u w:val="single"/>
          <w:lang w:val="zh-CN" w:bidi="zh-CN"/>
        </w:rPr>
        <w:t>企业名称）</w:t>
      </w:r>
      <w:r>
        <w:rPr>
          <w:rFonts w:hint="eastAsia" w:ascii="宋体" w:hAnsi="宋体" w:cs="宋体"/>
          <w:color w:val="auto"/>
          <w:w w:val="99"/>
          <w:sz w:val="24"/>
          <w:szCs w:val="24"/>
          <w:highlight w:val="none"/>
        </w:rPr>
        <w:t>，</w:t>
      </w:r>
      <w:r>
        <w:rPr>
          <w:rFonts w:hint="eastAsia" w:ascii="宋体" w:hAnsi="宋体" w:eastAsia="宋体" w:cs="宋体"/>
          <w:color w:val="auto"/>
          <w:kern w:val="2"/>
          <w:sz w:val="24"/>
          <w:szCs w:val="24"/>
          <w:highlight w:val="none"/>
          <w:lang w:val="en-US" w:eastAsia="zh-CN" w:bidi="ar-SA"/>
        </w:rPr>
        <w:t>从业人员</w:t>
      </w:r>
      <w:r>
        <w:rPr>
          <w:rFonts w:hint="eastAsia" w:ascii="宋体" w:hAnsi="宋体" w:cs="宋体"/>
          <w:color w:val="auto"/>
          <w:w w:val="99"/>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eastAsia="宋体" w:cs="宋体"/>
          <w:color w:val="auto"/>
          <w:kern w:val="2"/>
          <w:sz w:val="24"/>
          <w:szCs w:val="24"/>
          <w:highlight w:val="none"/>
          <w:lang w:val="en-US" w:eastAsia="zh-CN" w:bidi="ar-SA"/>
        </w:rPr>
        <w:t>人，营业收入为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万元，属于</w:t>
      </w:r>
      <w:r>
        <w:rPr>
          <w:rFonts w:hint="eastAsia" w:ascii="宋体" w:hAnsi="宋体" w:cs="宋体"/>
          <w:color w:val="auto"/>
          <w:sz w:val="24"/>
          <w:szCs w:val="24"/>
          <w:highlight w:val="none"/>
          <w:u w:val="single"/>
        </w:rPr>
        <w:t>（中型企业、</w:t>
      </w:r>
      <w:r>
        <w:rPr>
          <w:rFonts w:hint="eastAsia" w:ascii="宋体" w:hAnsi="宋体" w:eastAsia="宋体" w:cs="宋体"/>
          <w:color w:val="auto"/>
          <w:sz w:val="24"/>
          <w:szCs w:val="24"/>
          <w:highlight w:val="none"/>
          <w:u w:val="single"/>
        </w:rPr>
        <w:t>小型企业、微型企业）</w:t>
      </w:r>
      <w:r>
        <w:rPr>
          <w:rFonts w:hint="eastAsia" w:ascii="宋体" w:hAnsi="宋体" w:cs="宋体"/>
          <w:color w:val="auto"/>
          <w:w w:val="99"/>
          <w:sz w:val="24"/>
          <w:szCs w:val="24"/>
          <w:highlight w:val="none"/>
        </w:rPr>
        <w:t>；</w:t>
      </w:r>
    </w:p>
    <w:p>
      <w:pPr>
        <w:pStyle w:val="98"/>
        <w:numPr>
          <w:ilvl w:val="0"/>
          <w:numId w:val="22"/>
        </w:numPr>
        <w:tabs>
          <w:tab w:val="left" w:pos="1165"/>
          <w:tab w:val="left" w:pos="1183"/>
          <w:tab w:val="left" w:pos="4362"/>
          <w:tab w:val="left" w:pos="6577"/>
        </w:tabs>
        <w:spacing w:line="360" w:lineRule="auto"/>
        <w:ind w:right="169" w:firstLine="458"/>
        <w:rPr>
          <w:rFonts w:ascii="宋体" w:hAnsi="宋体" w:cs="宋体"/>
          <w:color w:val="auto"/>
          <w:sz w:val="24"/>
          <w:szCs w:val="24"/>
          <w:highlight w:val="none"/>
        </w:rPr>
      </w:pPr>
      <w:r>
        <w:rPr>
          <w:rFonts w:hint="eastAsia" w:ascii="宋体" w:hAnsi="宋体" w:cs="宋体"/>
          <w:color w:val="auto"/>
          <w:w w:val="96"/>
          <w:sz w:val="24"/>
          <w:szCs w:val="24"/>
          <w:highlight w:val="none"/>
          <w:u w:val="single"/>
        </w:rPr>
        <w:t xml:space="preserve"> </w:t>
      </w:r>
      <w:r>
        <w:rPr>
          <w:rFonts w:hint="eastAsia" w:ascii="宋体" w:hAnsi="宋体" w:cs="宋体"/>
          <w:color w:val="auto"/>
          <w:sz w:val="24"/>
          <w:szCs w:val="24"/>
          <w:highlight w:val="none"/>
          <w:u w:val="single"/>
        </w:rPr>
        <w:t>（ 标的</w:t>
      </w:r>
      <w:r>
        <w:rPr>
          <w:rFonts w:hint="eastAsia" w:ascii="宋体" w:hAnsi="宋体" w:cs="宋体"/>
          <w:b w:val="0"/>
          <w:bCs w:val="0"/>
          <w:color w:val="auto"/>
          <w:sz w:val="24"/>
          <w:szCs w:val="24"/>
          <w:highlight w:val="none"/>
          <w:u w:val="single"/>
        </w:rPr>
        <w:t>名称</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 xml:space="preserve"> ， 属于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行业</w:t>
      </w:r>
      <w:r>
        <w:rPr>
          <w:rFonts w:hint="eastAsia" w:ascii="宋体" w:hAnsi="宋体" w:cs="宋体"/>
          <w:color w:val="auto"/>
          <w:w w:val="99"/>
          <w:sz w:val="24"/>
          <w:szCs w:val="24"/>
          <w:highlight w:val="none"/>
        </w:rPr>
        <w:t>；</w:t>
      </w:r>
      <w:r>
        <w:rPr>
          <w:rFonts w:hint="eastAsia" w:ascii="宋体" w:hAnsi="宋体" w:eastAsia="宋体" w:cs="宋体"/>
          <w:color w:val="auto"/>
          <w:kern w:val="2"/>
          <w:sz w:val="24"/>
          <w:szCs w:val="24"/>
          <w:highlight w:val="none"/>
          <w:lang w:val="en-US" w:eastAsia="zh-CN" w:bidi="ar-SA"/>
        </w:rPr>
        <w:t>制造商为</w:t>
      </w:r>
      <w:r>
        <w:rPr>
          <w:rFonts w:hint="eastAsia" w:ascii="宋体" w:hAnsi="宋体" w:eastAsia="宋体" w:cs="宋体"/>
          <w:color w:val="auto"/>
          <w:kern w:val="2"/>
          <w:sz w:val="24"/>
          <w:szCs w:val="24"/>
          <w:highlight w:val="none"/>
          <w:u w:val="single"/>
          <w:lang w:val="en-US" w:eastAsia="zh-CN" w:bidi="ar-SA"/>
        </w:rPr>
        <w:t>（企业名称）</w:t>
      </w:r>
      <w:r>
        <w:rPr>
          <w:rFonts w:hint="eastAsia" w:ascii="宋体" w:hAnsi="宋体" w:cs="宋体"/>
          <w:color w:val="auto"/>
          <w:w w:val="99"/>
          <w:sz w:val="24"/>
          <w:szCs w:val="24"/>
          <w:highlight w:val="none"/>
        </w:rPr>
        <w:t>，</w:t>
      </w:r>
      <w:r>
        <w:rPr>
          <w:rFonts w:hint="eastAsia" w:ascii="宋体" w:hAnsi="宋体" w:eastAsia="宋体" w:cs="宋体"/>
          <w:color w:val="auto"/>
          <w:kern w:val="2"/>
          <w:sz w:val="24"/>
          <w:szCs w:val="24"/>
          <w:highlight w:val="none"/>
          <w:lang w:val="en-US" w:eastAsia="zh-CN" w:bidi="ar-SA"/>
        </w:rPr>
        <w:t xml:space="preserve">从业人员 </w:t>
      </w:r>
      <w:r>
        <w:rPr>
          <w:rFonts w:hint="eastAsia" w:ascii="宋体" w:hAnsi="宋体" w:eastAsia="宋体" w:cs="宋体"/>
          <w:color w:val="auto"/>
          <w:kern w:val="2"/>
          <w:sz w:val="24"/>
          <w:szCs w:val="24"/>
          <w:highlight w:val="none"/>
          <w:u w:val="single"/>
          <w:lang w:val="en-US" w:eastAsia="zh-CN" w:bidi="ar-SA"/>
        </w:rPr>
        <w:tab/>
      </w:r>
      <w:r>
        <w:rPr>
          <w:rFonts w:hint="eastAsia" w:ascii="宋体" w:hAnsi="宋体" w:eastAsia="宋体" w:cs="宋体"/>
          <w:color w:val="auto"/>
          <w:kern w:val="2"/>
          <w:sz w:val="24"/>
          <w:szCs w:val="24"/>
          <w:highlight w:val="none"/>
          <w:lang w:val="en-US" w:eastAsia="zh-CN" w:bidi="ar-SA"/>
        </w:rPr>
        <w:t>人</w:t>
      </w:r>
      <w:r>
        <w:rPr>
          <w:rFonts w:hint="eastAsia" w:ascii="宋体" w:hAnsi="宋体" w:cs="宋体"/>
          <w:color w:val="auto"/>
          <w:w w:val="99"/>
          <w:sz w:val="24"/>
          <w:szCs w:val="24"/>
          <w:highlight w:val="none"/>
        </w:rPr>
        <w:t>，</w:t>
      </w:r>
      <w:r>
        <w:rPr>
          <w:rFonts w:hint="eastAsia" w:ascii="宋体" w:hAnsi="宋体" w:eastAsia="宋体" w:cs="宋体"/>
          <w:b w:val="0"/>
          <w:bCs w:val="0"/>
          <w:color w:val="auto"/>
          <w:sz w:val="24"/>
          <w:szCs w:val="24"/>
          <w:highlight w:val="none"/>
          <w:u w:val="none"/>
        </w:rPr>
        <w:t>营业收入为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rPr>
        <w:t>万元，属于属于</w:t>
      </w:r>
      <w:r>
        <w:rPr>
          <w:rFonts w:hint="eastAsia" w:ascii="宋体" w:hAnsi="宋体" w:cs="宋体"/>
          <w:color w:val="auto"/>
          <w:sz w:val="24"/>
          <w:szCs w:val="24"/>
          <w:highlight w:val="none"/>
          <w:u w:val="single"/>
        </w:rPr>
        <w:t>（中型企业、</w:t>
      </w:r>
      <w:r>
        <w:rPr>
          <w:rFonts w:hint="eastAsia" w:ascii="宋体" w:hAnsi="宋体" w:eastAsia="宋体" w:cs="宋体"/>
          <w:color w:val="auto"/>
          <w:sz w:val="24"/>
          <w:szCs w:val="24"/>
          <w:highlight w:val="none"/>
          <w:u w:val="single"/>
        </w:rPr>
        <w:t>小型企业、微型企业）</w:t>
      </w:r>
      <w:r>
        <w:rPr>
          <w:rFonts w:hint="eastAsia" w:ascii="宋体" w:hAnsi="宋体" w:eastAsia="宋体" w:cs="宋体"/>
          <w:color w:val="auto"/>
          <w:sz w:val="24"/>
          <w:szCs w:val="24"/>
          <w:highlight w:val="none"/>
          <w:u w:val="none"/>
          <w:lang w:eastAsia="zh-CN"/>
        </w:rPr>
        <w:t>；</w:t>
      </w:r>
    </w:p>
    <w:p>
      <w:pPr>
        <w:pStyle w:val="20"/>
        <w:spacing w:line="360" w:lineRule="auto"/>
        <w:ind w:left="860"/>
        <w:rPr>
          <w:rFonts w:ascii="宋体" w:hAnsi="宋体" w:cs="宋体"/>
          <w:color w:val="auto"/>
          <w:sz w:val="24"/>
          <w:szCs w:val="24"/>
          <w:highlight w:val="none"/>
        </w:rPr>
      </w:pPr>
      <w:r>
        <w:rPr>
          <w:rFonts w:hint="eastAsia" w:ascii="宋体" w:hAnsi="宋体" w:cs="宋体"/>
          <w:color w:val="auto"/>
          <w:sz w:val="24"/>
          <w:szCs w:val="24"/>
          <w:highlight w:val="none"/>
        </w:rPr>
        <w:t>……</w:t>
      </w:r>
    </w:p>
    <w:p>
      <w:pPr>
        <w:pStyle w:val="20"/>
        <w:spacing w:before="105" w:line="360" w:lineRule="auto"/>
        <w:ind w:right="417" w:firstLine="645"/>
        <w:rPr>
          <w:rFonts w:ascii="宋体" w:hAnsi="宋体" w:cs="宋体"/>
          <w:color w:val="auto"/>
          <w:sz w:val="24"/>
          <w:szCs w:val="24"/>
          <w:highlight w:val="none"/>
        </w:rPr>
      </w:pPr>
      <w:r>
        <w:rPr>
          <w:rFonts w:hint="eastAsia" w:ascii="宋体" w:hAnsi="宋体" w:cs="宋体"/>
          <w:color w:val="auto"/>
          <w:sz w:val="24"/>
          <w:szCs w:val="24"/>
          <w:highlight w:val="none"/>
        </w:rPr>
        <w:t>以上企业，不属于大企业的分支机构，不存在控股股东为大企业的情形，也不存在与大企业的负责人为同一人的情形。</w:t>
      </w:r>
    </w:p>
    <w:p>
      <w:pPr>
        <w:pStyle w:val="20"/>
        <w:spacing w:line="360" w:lineRule="auto"/>
        <w:ind w:right="372" w:firstLine="645"/>
        <w:rPr>
          <w:rFonts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pPr>
        <w:pStyle w:val="20"/>
        <w:spacing w:before="35" w:line="316" w:lineRule="auto"/>
        <w:ind w:right="475" w:firstLine="4032" w:firstLineChars="1400"/>
        <w:rPr>
          <w:rFonts w:ascii="宋体" w:hAnsi="宋体" w:cs="宋体"/>
          <w:color w:val="auto"/>
          <w:spacing w:val="24"/>
          <w:sz w:val="24"/>
          <w:szCs w:val="24"/>
          <w:highlight w:val="none"/>
        </w:rPr>
      </w:pPr>
    </w:p>
    <w:p>
      <w:pPr>
        <w:pStyle w:val="20"/>
        <w:spacing w:before="35" w:line="316" w:lineRule="auto"/>
        <w:ind w:right="475" w:firstLine="4032" w:firstLineChars="1400"/>
        <w:rPr>
          <w:rFonts w:ascii="宋体" w:hAnsi="宋体" w:cs="宋体"/>
          <w:color w:val="auto"/>
          <w:spacing w:val="24"/>
          <w:sz w:val="24"/>
          <w:szCs w:val="24"/>
          <w:highlight w:val="none"/>
        </w:rPr>
      </w:pPr>
      <w:r>
        <w:rPr>
          <w:rFonts w:hint="eastAsia" w:ascii="宋体" w:hAnsi="宋体" w:cs="宋体"/>
          <w:color w:val="auto"/>
          <w:spacing w:val="24"/>
          <w:sz w:val="24"/>
          <w:szCs w:val="24"/>
          <w:highlight w:val="none"/>
        </w:rPr>
        <w:t>供应商名称：</w:t>
      </w:r>
      <w:r>
        <w:rPr>
          <w:rFonts w:hint="eastAsia" w:ascii="宋体" w:hAnsi="宋体" w:cs="宋体"/>
          <w:color w:val="auto"/>
          <w:spacing w:val="24"/>
          <w:sz w:val="24"/>
          <w:szCs w:val="24"/>
          <w:highlight w:val="none"/>
          <w:u w:val="single"/>
        </w:rPr>
        <w:t>（加盖单位公章）</w:t>
      </w:r>
      <w:r>
        <w:rPr>
          <w:rFonts w:hint="eastAsia" w:ascii="宋体" w:hAnsi="宋体" w:cs="宋体"/>
          <w:color w:val="auto"/>
          <w:spacing w:val="24"/>
          <w:sz w:val="24"/>
          <w:szCs w:val="24"/>
          <w:highlight w:val="none"/>
        </w:rPr>
        <w:t xml:space="preserve">      </w:t>
      </w:r>
    </w:p>
    <w:p>
      <w:pPr>
        <w:pStyle w:val="20"/>
        <w:spacing w:before="35" w:line="316" w:lineRule="auto"/>
        <w:ind w:left="4060" w:right="2166"/>
        <w:rPr>
          <w:rFonts w:ascii="宋体" w:hAnsi="宋体" w:cs="宋体"/>
          <w:color w:val="auto"/>
          <w:sz w:val="24"/>
          <w:szCs w:val="24"/>
          <w:highlight w:val="none"/>
        </w:rPr>
      </w:pPr>
      <w:r>
        <w:rPr>
          <w:rFonts w:hint="eastAsia" w:ascii="宋体" w:hAnsi="宋体" w:cs="宋体"/>
          <w:color w:val="auto"/>
          <w:spacing w:val="24"/>
          <w:sz w:val="24"/>
          <w:szCs w:val="24"/>
          <w:highlight w:val="none"/>
        </w:rPr>
        <w:t>日期：</w:t>
      </w:r>
    </w:p>
    <w:p>
      <w:pPr>
        <w:pStyle w:val="29"/>
        <w:spacing w:line="360" w:lineRule="auto"/>
        <w:ind w:firstLine="480" w:firstLineChars="200"/>
        <w:rPr>
          <w:rFonts w:ascii="宋体" w:hAnsi="宋体" w:cs="宋体"/>
          <w:color w:val="auto"/>
          <w:kern w:val="0"/>
          <w:sz w:val="24"/>
          <w:szCs w:val="24"/>
          <w:highlight w:val="none"/>
        </w:rPr>
      </w:pPr>
    </w:p>
    <w:p>
      <w:pPr>
        <w:pStyle w:val="29"/>
        <w:spacing w:line="360" w:lineRule="auto"/>
        <w:ind w:firstLine="480" w:firstLineChars="200"/>
        <w:rPr>
          <w:rFonts w:ascii="宋体" w:hAnsi="宋体" w:cs="宋体"/>
          <w:color w:val="auto"/>
          <w:kern w:val="0"/>
          <w:sz w:val="24"/>
          <w:szCs w:val="24"/>
          <w:highlight w:val="none"/>
        </w:rPr>
      </w:pPr>
    </w:p>
    <w:p>
      <w:pPr>
        <w:spacing w:line="360" w:lineRule="auto"/>
        <w:rPr>
          <w:rFonts w:hAnsi="宋体" w:cs="宋体"/>
          <w:b/>
          <w:color w:val="auto"/>
          <w:highlight w:val="none"/>
        </w:rPr>
      </w:pPr>
      <w:r>
        <w:rPr>
          <w:rFonts w:hint="eastAsia" w:hAnsi="宋体" w:cs="宋体"/>
          <w:color w:val="auto"/>
          <w:szCs w:val="24"/>
          <w:highlight w:val="none"/>
        </w:rPr>
        <w:t>备注：从业人员、营业收入、资产总额填报上一年度数据，无上一年度数据的新成立企业可不填报</w:t>
      </w:r>
      <w:r>
        <w:rPr>
          <w:rFonts w:hint="eastAsia" w:hAnsi="宋体" w:cs="宋体"/>
          <w:color w:val="auto"/>
          <w:sz w:val="21"/>
          <w:szCs w:val="21"/>
          <w:highlight w:val="none"/>
        </w:rPr>
        <w:t>。</w:t>
      </w:r>
    </w:p>
    <w:p>
      <w:pPr>
        <w:spacing w:line="360" w:lineRule="auto"/>
        <w:rPr>
          <w:rFonts w:hAnsi="宋体" w:cs="宋体"/>
          <w:b/>
          <w:color w:val="auto"/>
          <w:highlight w:val="none"/>
        </w:rPr>
      </w:pPr>
    </w:p>
    <w:p>
      <w:pPr>
        <w:spacing w:before="100" w:beforeAutospacing="1" w:after="166" w:afterLines="50" w:line="360" w:lineRule="auto"/>
        <w:rPr>
          <w:rFonts w:hAnsi="宋体" w:cs="宋体"/>
          <w:b/>
          <w:bCs/>
          <w:color w:val="auto"/>
          <w:spacing w:val="6"/>
          <w:sz w:val="30"/>
          <w:szCs w:val="30"/>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before="100" w:beforeAutospacing="1" w:after="16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附件2（如有）：</w:t>
      </w:r>
    </w:p>
    <w:p>
      <w:pPr>
        <w:spacing w:line="360" w:lineRule="auto"/>
        <w:jc w:val="center"/>
        <w:rPr>
          <w:rFonts w:hAnsi="宋体" w:cs="宋体"/>
          <w:b/>
          <w:color w:val="auto"/>
          <w:spacing w:val="6"/>
          <w:sz w:val="30"/>
          <w:szCs w:val="30"/>
          <w:highlight w:val="none"/>
        </w:rPr>
      </w:pPr>
      <w:bookmarkStart w:id="556" w:name="OLE_LINK13"/>
      <w:bookmarkStart w:id="557" w:name="OLE_LINK14"/>
      <w:r>
        <w:rPr>
          <w:rFonts w:hint="eastAsia" w:hAnsi="宋体" w:cs="宋体"/>
          <w:b/>
          <w:color w:val="auto"/>
          <w:spacing w:val="6"/>
          <w:sz w:val="32"/>
          <w:szCs w:val="32"/>
          <w:highlight w:val="none"/>
        </w:rPr>
        <w:t>残疾人福利性单位声明函</w:t>
      </w:r>
      <w:bookmarkEnd w:id="556"/>
      <w:bookmarkEnd w:id="557"/>
    </w:p>
    <w:p>
      <w:pPr>
        <w:spacing w:line="360" w:lineRule="auto"/>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〔2017〕141</w:t>
      </w:r>
      <w:r>
        <w:rPr>
          <w:rFonts w:hint="eastAsia" w:hAnsi="宋体" w:cs="宋体"/>
          <w:color w:val="auto"/>
          <w:spacing w:val="6"/>
          <w:szCs w:val="24"/>
          <w:highlight w:val="none"/>
        </w:rPr>
        <w:t>号）的规定，本单位为符合条件的残疾人福利性单位，且本单位参加</w:t>
      </w:r>
      <w:r>
        <w:rPr>
          <w:rFonts w:hint="eastAsia" w:hAnsi="宋体" w:cs="宋体"/>
          <w:color w:val="auto"/>
          <w:spacing w:val="6"/>
          <w:szCs w:val="24"/>
          <w:highlight w:val="none"/>
          <w:u w:val="single"/>
        </w:rPr>
        <w:t xml:space="preserve">        </w:t>
      </w:r>
      <w:r>
        <w:rPr>
          <w:rFonts w:hint="eastAsia" w:hAnsi="宋体" w:cs="宋体"/>
          <w:color w:val="auto"/>
          <w:spacing w:val="6"/>
          <w:szCs w:val="24"/>
          <w:highlight w:val="none"/>
        </w:rPr>
        <w:t>单位的</w:t>
      </w:r>
      <w:r>
        <w:rPr>
          <w:rFonts w:hint="eastAsia" w:hAnsi="宋体" w:cs="宋体"/>
          <w:color w:val="auto"/>
          <w:spacing w:val="6"/>
          <w:szCs w:val="24"/>
          <w:highlight w:val="none"/>
          <w:u w:val="single"/>
        </w:rPr>
        <w:t xml:space="preserve">       </w:t>
      </w:r>
      <w:r>
        <w:rPr>
          <w:rFonts w:hint="eastAsia" w:hAnsi="宋体" w:cs="宋体"/>
          <w:color w:val="auto"/>
          <w:spacing w:val="6"/>
          <w:szCs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pPr>
        <w:spacing w:line="588" w:lineRule="exact"/>
        <w:ind w:firstLine="504" w:firstLineChars="200"/>
        <w:rPr>
          <w:rFonts w:hAnsi="宋体" w:cs="宋体"/>
          <w:color w:val="auto"/>
          <w:spacing w:val="6"/>
          <w:szCs w:val="24"/>
          <w:highlight w:val="none"/>
        </w:rPr>
      </w:pPr>
    </w:p>
    <w:p>
      <w:pPr>
        <w:spacing w:line="588" w:lineRule="exact"/>
        <w:ind w:firstLine="504" w:firstLineChars="200"/>
        <w:rPr>
          <w:rFonts w:hAnsi="宋体" w:cs="宋体"/>
          <w:color w:val="auto"/>
          <w:spacing w:val="6"/>
          <w:szCs w:val="24"/>
          <w:highlight w:val="none"/>
        </w:rPr>
      </w:pPr>
    </w:p>
    <w:p>
      <w:pPr>
        <w:spacing w:line="588" w:lineRule="exact"/>
        <w:ind w:firstLine="504" w:firstLineChars="200"/>
        <w:rPr>
          <w:rFonts w:hAnsi="宋体" w:cs="宋体"/>
          <w:color w:val="auto"/>
          <w:spacing w:val="6"/>
          <w:szCs w:val="24"/>
          <w:highlight w:val="none"/>
        </w:rPr>
      </w:pPr>
    </w:p>
    <w:p>
      <w:pPr>
        <w:spacing w:line="588" w:lineRule="exact"/>
        <w:ind w:firstLine="504" w:firstLineChars="200"/>
        <w:rPr>
          <w:rFonts w:hAnsi="宋体" w:cs="宋体"/>
          <w:color w:val="auto"/>
          <w:spacing w:val="6"/>
          <w:szCs w:val="24"/>
          <w:highlight w:val="none"/>
        </w:rPr>
      </w:pPr>
    </w:p>
    <w:p>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w:t>
      </w: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pPr>
        <w:spacing w:before="100" w:beforeAutospacing="1" w:after="166" w:afterLines="50" w:line="360" w:lineRule="auto"/>
        <w:rPr>
          <w:rFonts w:hAnsi="宋体" w:cs="宋体"/>
          <w:b/>
          <w:bCs/>
          <w:color w:val="auto"/>
          <w:spacing w:val="6"/>
          <w:sz w:val="30"/>
          <w:szCs w:val="30"/>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spacing w:before="100" w:beforeAutospacing="1" w:after="16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pPr>
        <w:spacing w:before="100" w:beforeAutospacing="1" w:after="166" w:afterLines="50" w:line="360" w:lineRule="auto"/>
        <w:jc w:val="center"/>
        <w:rPr>
          <w:rFonts w:hAnsi="宋体" w:cs="宋体"/>
          <w:b/>
          <w:bCs/>
          <w:color w:val="auto"/>
          <w:spacing w:val="6"/>
          <w:sz w:val="30"/>
          <w:szCs w:val="30"/>
          <w:highlight w:val="none"/>
        </w:rPr>
      </w:pPr>
      <w:r>
        <w:rPr>
          <w:rFonts w:hint="eastAsia" w:hAnsi="宋体" w:cs="宋体"/>
          <w:b/>
          <w:bCs/>
          <w:color w:val="auto"/>
          <w:spacing w:val="6"/>
          <w:sz w:val="30"/>
          <w:szCs w:val="30"/>
          <w:highlight w:val="none"/>
        </w:rPr>
        <w:t>监狱企业证明文件（如有）</w:t>
      </w:r>
    </w:p>
    <w:p>
      <w:pPr>
        <w:spacing w:before="100" w:beforeAutospacing="1" w:after="166" w:afterLines="50" w:line="360" w:lineRule="auto"/>
        <w:ind w:firstLine="504" w:firstLineChars="200"/>
        <w:rPr>
          <w:rFonts w:hAnsi="宋体" w:cs="宋体"/>
          <w:color w:val="auto"/>
          <w:spacing w:val="6"/>
          <w:szCs w:val="24"/>
          <w:highlight w:val="none"/>
        </w:rPr>
      </w:pPr>
      <w:r>
        <w:rPr>
          <w:rFonts w:hint="eastAsia" w:hAnsi="宋体" w:cs="宋体"/>
          <w:color w:val="auto"/>
          <w:spacing w:val="6"/>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before="100" w:beforeAutospacing="1" w:after="166" w:afterLines="50" w:line="360" w:lineRule="auto"/>
        <w:ind w:firstLine="504" w:firstLineChars="200"/>
        <w:rPr>
          <w:rFonts w:hAnsi="宋体" w:cs="宋体"/>
          <w:color w:val="auto"/>
          <w:spacing w:val="6"/>
          <w:szCs w:val="24"/>
          <w:highlight w:val="none"/>
        </w:rPr>
      </w:pPr>
      <w:r>
        <w:rPr>
          <w:rFonts w:hint="eastAsia" w:hAnsi="宋体" w:cs="宋体"/>
          <w:color w:val="auto"/>
          <w:spacing w:val="6"/>
          <w:szCs w:val="24"/>
          <w:highlight w:val="none"/>
        </w:rPr>
        <w:t>监狱企业参加政府采购活动时，应当提供由省级以上监狱管理局、戒毒管理局（含新疆生产建设兵团）出具的属于监狱企业的证明文件。</w:t>
      </w:r>
    </w:p>
    <w:p>
      <w:pPr>
        <w:tabs>
          <w:tab w:val="left" w:pos="4860"/>
        </w:tabs>
        <w:spacing w:line="588" w:lineRule="exact"/>
        <w:ind w:right="1560" w:firstLine="504" w:firstLineChars="200"/>
        <w:jc w:val="center"/>
        <w:rPr>
          <w:rFonts w:hAnsi="宋体" w:cs="宋体"/>
          <w:color w:val="auto"/>
          <w:spacing w:val="6"/>
          <w:szCs w:val="24"/>
          <w:highlight w:val="none"/>
        </w:rPr>
      </w:pPr>
    </w:p>
    <w:p>
      <w:pPr>
        <w:tabs>
          <w:tab w:val="left" w:pos="4860"/>
        </w:tabs>
        <w:spacing w:line="588" w:lineRule="exact"/>
        <w:ind w:right="1560" w:firstLine="504" w:firstLineChars="200"/>
        <w:jc w:val="center"/>
        <w:rPr>
          <w:rFonts w:hAnsi="宋体" w:cs="宋体"/>
          <w:color w:val="auto"/>
          <w:spacing w:val="6"/>
          <w:szCs w:val="24"/>
          <w:highlight w:val="none"/>
        </w:rPr>
      </w:pPr>
    </w:p>
    <w:p>
      <w:pPr>
        <w:tabs>
          <w:tab w:val="left" w:pos="4860"/>
        </w:tabs>
        <w:spacing w:line="588" w:lineRule="exact"/>
        <w:ind w:right="1560" w:firstLine="504" w:firstLineChars="200"/>
        <w:jc w:val="center"/>
        <w:rPr>
          <w:rFonts w:hAnsi="宋体" w:cs="宋体"/>
          <w:color w:val="auto"/>
          <w:spacing w:val="6"/>
          <w:szCs w:val="24"/>
          <w:highlight w:val="none"/>
        </w:rPr>
      </w:pPr>
    </w:p>
    <w:p>
      <w:pPr>
        <w:pStyle w:val="20"/>
        <w:rPr>
          <w:rFonts w:ascii="宋体" w:hAnsi="宋体" w:cs="宋体"/>
          <w:color w:val="auto"/>
          <w:highlight w:val="none"/>
        </w:rPr>
      </w:pPr>
    </w:p>
    <w:p>
      <w:pPr>
        <w:tabs>
          <w:tab w:val="left" w:pos="4860"/>
        </w:tabs>
        <w:spacing w:line="588" w:lineRule="exact"/>
        <w:ind w:right="1560" w:firstLine="504" w:firstLineChars="200"/>
        <w:jc w:val="center"/>
        <w:rPr>
          <w:rFonts w:hAnsi="宋体" w:cs="宋体"/>
          <w:color w:val="auto"/>
          <w:spacing w:val="6"/>
          <w:szCs w:val="24"/>
          <w:highlight w:val="none"/>
        </w:rPr>
      </w:pPr>
    </w:p>
    <w:p>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w:t>
      </w:r>
      <w:r>
        <w:rPr>
          <w:rFonts w:hint="eastAsia" w:hAnsi="宋体" w:cs="宋体"/>
          <w:color w:val="auto"/>
          <w:highlight w:val="none"/>
        </w:rPr>
        <w:t>供应商名称：</w:t>
      </w:r>
      <w:r>
        <w:rPr>
          <w:rFonts w:hint="eastAsia" w:hAnsi="宋体" w:cs="宋体"/>
          <w:color w:val="auto"/>
          <w:highlight w:val="none"/>
          <w:u w:val="single"/>
        </w:rPr>
        <w:t xml:space="preserve">      （加盖单位公章）      </w:t>
      </w:r>
    </w:p>
    <w:p>
      <w:pPr>
        <w:rPr>
          <w:rFonts w:hAnsi="宋体" w:cs="宋体"/>
          <w:color w:val="auto"/>
          <w:highlight w:val="none"/>
        </w:rPr>
      </w:pPr>
      <w:r>
        <w:rPr>
          <w:rFonts w:hint="eastAsia" w:hAnsi="宋体" w:cs="宋体"/>
          <w:color w:val="auto"/>
          <w:spacing w:val="6"/>
          <w:szCs w:val="24"/>
          <w:highlight w:val="none"/>
        </w:rPr>
        <w:t xml:space="preserve">                              日    期：</w:t>
      </w:r>
    </w:p>
    <w:p>
      <w:pPr>
        <w:jc w:val="center"/>
        <w:rPr>
          <w:rFonts w:hAnsi="宋体" w:cs="宋体"/>
          <w:b/>
          <w:bCs/>
          <w:color w:val="auto"/>
          <w:sz w:val="32"/>
          <w:szCs w:val="32"/>
          <w:highlight w:val="none"/>
        </w:rPr>
        <w:sectPr>
          <w:pgSz w:w="11906" w:h="16838"/>
          <w:pgMar w:top="1417" w:right="1134" w:bottom="1417" w:left="1417" w:header="1134" w:footer="992" w:gutter="0"/>
          <w:pgNumType w:fmt="numberInDash"/>
          <w:cols w:space="0" w:num="1"/>
          <w:titlePg/>
          <w:rtlGutter w:val="0"/>
          <w:docGrid w:type="lines" w:linePitch="334" w:charSpace="0"/>
        </w:sectPr>
      </w:pPr>
    </w:p>
    <w:p>
      <w:pPr>
        <w:jc w:val="center"/>
        <w:rPr>
          <w:rFonts w:hAnsi="宋体" w:cs="宋体"/>
          <w:b/>
          <w:bCs/>
          <w:color w:val="auto"/>
          <w:sz w:val="32"/>
          <w:szCs w:val="32"/>
          <w:highlight w:val="none"/>
        </w:rPr>
      </w:pPr>
      <w:r>
        <w:rPr>
          <w:rFonts w:hint="eastAsia" w:hAnsi="宋体" w:cs="宋体"/>
          <w:b/>
          <w:bCs/>
          <w:color w:val="auto"/>
          <w:sz w:val="32"/>
          <w:szCs w:val="32"/>
          <w:highlight w:val="none"/>
        </w:rPr>
        <w:t>九、其它说明</w:t>
      </w:r>
    </w:p>
    <w:p>
      <w:pPr>
        <w:pStyle w:val="20"/>
        <w:rPr>
          <w:rFonts w:ascii="宋体" w:hAnsi="宋体" w:cs="宋体"/>
          <w:color w:val="auto"/>
          <w:sz w:val="24"/>
          <w:szCs w:val="24"/>
          <w:highlight w:val="none"/>
        </w:rPr>
      </w:pPr>
      <w:r>
        <w:rPr>
          <w:rFonts w:hint="eastAsia" w:ascii="宋体" w:hAnsi="宋体" w:cs="宋体"/>
          <w:color w:val="auto"/>
          <w:sz w:val="24"/>
          <w:szCs w:val="24"/>
          <w:highlight w:val="none"/>
        </w:rPr>
        <w:t>1、依据招标文件要求，供应商认为有必要说明的其他内容</w:t>
      </w:r>
    </w:p>
    <w:p>
      <w:pPr>
        <w:pStyle w:val="20"/>
        <w:rPr>
          <w:rFonts w:ascii="宋体" w:hAnsi="宋体" w:cs="宋体"/>
          <w:color w:val="auto"/>
          <w:sz w:val="24"/>
          <w:szCs w:val="24"/>
          <w:highlight w:val="none"/>
        </w:rPr>
      </w:pPr>
      <w:r>
        <w:rPr>
          <w:rFonts w:hint="eastAsia" w:ascii="宋体" w:hAnsi="宋体" w:cs="宋体"/>
          <w:color w:val="auto"/>
          <w:sz w:val="24"/>
          <w:szCs w:val="24"/>
          <w:highlight w:val="none"/>
        </w:rPr>
        <w:t xml:space="preserve">2、其他可以证明供应商实力的文件 </w:t>
      </w:r>
    </w:p>
    <w:sectPr>
      <w:pgSz w:w="11906" w:h="16838"/>
      <w:pgMar w:top="1417" w:right="1134" w:bottom="1417" w:left="1417" w:header="1134" w:footer="992" w:gutter="0"/>
      <w:pgNumType w:fmt="numberInDash"/>
      <w:cols w:space="0" w:num="1"/>
      <w:titlePg/>
      <w:rtlGutter w:val="0"/>
      <w:docGrid w:type="lines" w:linePitch="33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QC4YnUAAAACAEAAA8AAAAAAAAAAQAgAAAAIgAAAGRycy9kb3ducmV2Lnht&#10;bFBLAQIUABQAAAAIAIdO4kAM8dhxxAEAAJADAAAOAAAAAAAAAAEAIAAAACMBAABkcnMvZTJvRG9j&#10;LnhtbFBLBQYAAAAABgAGAFkBAABZ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QC4YnUAAAACAEAAA8AAAAAAAAAAQAgAAAAIgAAAGRycy9kb3ducmV2Lnht&#10;bFBLAQIUABQAAAAIAIdO4kBEVbw1xAEAAJADAAAOAAAAAAAAAAEAIAAAACMBAABkcnMvZTJvRG9j&#10;LnhtbFBLBQYAAAAABgAGAFkBAABZ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3"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EAuGJ1AAAAAgBAAAPAAAAAAAAAAEAIAAAACIAAABkcnMvZG93bnJldi54&#10;bWxQSwECFAAUAAAACACHTuJAEHmnc8UBAACQAwAADgAAAAAAAAABACAAAAAjAQAAZHJzL2Uyb0Rv&#10;Yy54bWxQSwUGAAAAAAYABgBZAQAAWgU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2"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QC4YnUAAAACAEAAA8AAAAAAAAAAQAgAAAAIgAAAGRycy9kb3ducmV2Lnht&#10;bFBLAQIUABQAAAAIAIdO4kDAMUEbxAEAAJADAAAOAAAAAAAAAAEAIAAAACMBAABkcnMvZTJvRG9j&#10;LnhtbFBLBQYAAAAABgAGAFkBAABZ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m3dfTFAQAAkAMAAA4AAAAAAAAAAQAgAAAAHgEAAGRycy9lMm9Eb2MueG1s&#10;UEsFBgAAAAAGAAYAWQEAAFU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Ansi="宋体" w:cs="宋体"/>
        <w:sz w:val="18"/>
        <w:szCs w:val="18"/>
      </w:rPr>
    </w:pPr>
    <w:r>
      <w:rPr>
        <w:rFonts w:hint="eastAsia" w:hAnsi="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- 4 -</w:t>
                    </w:r>
                    <w:r>
                      <w:fldChar w:fldCharType="end"/>
                    </w:r>
                  </w:p>
                </w:txbxContent>
              </v:textbox>
            </v:shape>
          </w:pict>
        </mc:Fallback>
      </mc:AlternateContent>
    </w:r>
    <w:r>
      <w:rPr>
        <w:rFonts w:hint="eastAsia" w:hAnsi="宋体" w:cs="宋体"/>
        <w:sz w:val="18"/>
        <w:szCs w:val="18"/>
      </w:rPr>
      <w:t>陕西纵横项目管理有限公司                                 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rFonts w:hAnsi="宋体" w:cs="宋体"/>
        <w:sz w:val="21"/>
        <w:szCs w:val="21"/>
      </w:rPr>
    </w:pPr>
    <w:r>
      <w:rPr>
        <w:rFonts w:hint="eastAsia" w:hAnsi="宋体" w:cs="宋体"/>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- 97 -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- 97 -</w:t>
                    </w:r>
                    <w:r>
                      <w:fldChar w:fldCharType="end"/>
                    </w:r>
                  </w:p>
                </w:txbxContent>
              </v:textbox>
            </v:shape>
          </w:pict>
        </mc:Fallback>
      </mc:AlternateContent>
    </w:r>
    <w:r>
      <w:rPr>
        <w:rFonts w:hint="eastAsia" w:hAnsi="宋体" w:cs="宋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t xml:space="preserve"> </w:t>
                          </w:r>
                        </w:p>
                      </w:txbxContent>
                    </wps:txbx>
                    <wps:bodyPr wrap="none" lIns="0" tIns="0" rIns="0" bIns="0">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oQtc8QBAACQAwAADgAAAGRycy9lMm9Eb2MueG1srVPNjtMwEL4j8Q6W&#10;79TZSqBu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ycg1INweEhYu/WTUEWoqhoMqjKalypvw971kPfxI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PoQtc8QBAACQAwAADgAAAAAAAAABACAAAAAeAQAAZHJzL2Uyb0RvYy54bWxQ&#10;SwUGAAAAAAYABgBZAQAAVAUAAAAA&#10;">
              <v:fill on="f" focussize="0,0"/>
              <v:stroke on="f"/>
              <v:imagedata o:title=""/>
              <o:lock v:ext="edit" aspectratio="f"/>
              <v:textbox inset="0mm,0mm,0mm,0mm" style="mso-fit-shape-to-text:t;">
                <w:txbxContent>
                  <w:p>
                    <w:pPr>
                      <w:snapToGrid w:val="0"/>
                      <w:rPr>
                        <w:sz w:val="18"/>
                      </w:rPr>
                    </w:pPr>
                    <w:r>
                      <w:rPr>
                        <w:rFonts w:hint="eastAsia"/>
                        <w:sz w:val="18"/>
                      </w:rPr>
                      <w:t xml:space="preserve"> </w:t>
                    </w:r>
                  </w:p>
                </w:txbxContent>
              </v:textbox>
            </v:shape>
          </w:pict>
        </mc:Fallback>
      </mc:AlternateContent>
    </w:r>
    <w:r>
      <w:rPr>
        <w:rFonts w:hint="eastAsia" w:hAnsi="宋体" w:cs="宋体"/>
        <w:sz w:val="18"/>
        <w:szCs w:val="18"/>
      </w:rPr>
      <w:t>陕西纵横项目管理有限公司</w:t>
    </w:r>
    <w:r>
      <w:rPr>
        <w:rFonts w:hint="eastAsia" w:hAnsi="宋体" w:cs="宋体"/>
        <w:sz w:val="21"/>
        <w:szCs w:val="21"/>
      </w:rPr>
      <w:t xml:space="preserve">                               </w:t>
    </w:r>
    <w:r>
      <w:rPr>
        <w:rFonts w:hint="eastAsia" w:hAnsi="宋体" w:cs="宋体"/>
        <w:sz w:val="18"/>
        <w:szCs w:val="18"/>
      </w:rPr>
      <w:t>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posOffset>2775585</wp:posOffset>
              </wp:positionH>
              <wp:positionV relativeFrom="paragraph">
                <wp:posOffset>142875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9"/>
                          </w:pPr>
                          <w:r>
                            <w:fldChar w:fldCharType="begin"/>
                          </w:r>
                          <w:r>
                            <w:instrText xml:space="preserve"> PAGE  \* MERGEFORMAT </w:instrText>
                          </w:r>
                          <w:r>
                            <w:fldChar w:fldCharType="separate"/>
                          </w:r>
                          <w:r>
                            <w:t>- 32 -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218.55pt;margin-top:11.25pt;height:144pt;width:144pt;mso-position-horizontal-relative:margin;mso-wrap-style:none;z-index:251660288;mso-width-relative:page;mso-height-relative:page;" filled="f" stroked="f" coordsize="21600,21600" o:gfxdata="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&#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bTZ52gAAAAoBAAAPAAAAAAAAAAEAIAAAACIAAABk&#10;cnMvZG93bnJldi54bWxQSwECFAAUAAAACACHTuJAbY4yyssBAACXAwAADgAAAAAAAAABACAAAAAp&#10;AQAAZHJzL2Uyb0RvYy54bWxQSwUGAAAAAAYABgBZAQAAZgUAAAAA&#10;">
              <v:fill on="f" focussize="0,0"/>
              <v:stroke on="f" weight="1.25pt"/>
              <v:imagedata o:title=""/>
              <o:lock v:ext="edit" aspectratio="f"/>
              <v:textbox inset="0mm,0mm,0mm,0mm" style="mso-fit-shape-to-text:t;">
                <w:txbxContent>
                  <w:p>
                    <w:pPr>
                      <w:pStyle w:val="29"/>
                    </w:pPr>
                    <w:r>
                      <w:fldChar w:fldCharType="begin"/>
                    </w:r>
                    <w:r>
                      <w:instrText xml:space="preserve"> PAGE  \* MERGEFORMAT </w:instrText>
                    </w:r>
                    <w:r>
                      <w:fldChar w:fldCharType="separate"/>
                    </w:r>
                    <w:r>
                      <w:t>- 32 -</w:t>
                    </w:r>
                    <w:r>
                      <w:fldChar w:fldCharType="end"/>
                    </w:r>
                  </w:p>
                </w:txbxContent>
              </v:textbox>
            </v:shape>
          </w:pict>
        </mc:Fallback>
      </mc:AlternateContent>
    </w:r>
  </w:p>
  <w:p>
    <w:pPr>
      <w:pStyle w:val="29"/>
      <w:jc w:val="both"/>
      <w:rPr>
        <w:rFonts w:ascii="宋体" w:hAnsi="宋体" w:cs="宋体"/>
      </w:rPr>
    </w:pPr>
    <w:r>
      <w:rPr>
        <w:rFonts w:hint="eastAsia" w:ascii="宋体" w:hAnsi="宋体" w:cs="宋体"/>
      </w:rPr>
      <w:t>陕西纵横项目管理有限公司</w:t>
    </w:r>
    <w:r>
      <w:rPr>
        <w:rFonts w:hint="eastAsia" w:ascii="宋体" w:hAnsi="宋体" w:cs="宋体"/>
      </w:rPr>
      <w:tab/>
    </w:r>
    <w:r>
      <w:rPr>
        <w:rFonts w:hint="eastAsia" w:ascii="宋体" w:hAnsi="宋体" w:cs="宋体"/>
      </w:rPr>
      <w:t xml:space="preserve">                                      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fldChar w:fldCharType="begin"/>
    </w:r>
    <w:r>
      <w:rPr>
        <w:rStyle w:val="48"/>
      </w:rPr>
      <w:instrText xml:space="preserve">PAGE  </w:instrText>
    </w:r>
    <w:r>
      <w:fldChar w:fldCharType="separate"/>
    </w:r>
    <w:r>
      <w:rPr>
        <w:rStyle w:val="48"/>
      </w:rPr>
      <w:t>- 95 -</w:t>
    </w:r>
    <w:r>
      <w:fldChar w:fldCharType="end"/>
    </w:r>
  </w:p>
  <w:p>
    <w:pPr>
      <w:pStyle w:val="2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Ansi="宋体" w:cs="宋体"/>
        <w:kern w:val="2"/>
        <w:sz w:val="21"/>
        <w:szCs w:val="21"/>
        <w:u w:val="single"/>
      </w:rPr>
    </w:pPr>
    <w:r>
      <w:rPr>
        <w:rFonts w:hint="eastAsia" w:hAnsi="宋体" w:cs="宋体"/>
        <w:kern w:val="2"/>
        <w:sz w:val="21"/>
        <w:szCs w:val="21"/>
        <w:u w:val="single"/>
        <w:lang w:eastAsia="zh-CN"/>
      </w:rPr>
      <w:t>西安铁路职业技术学院无纸化会议视频系统升级建设项目</w:t>
    </w:r>
    <w:r>
      <w:rPr>
        <w:rFonts w:hint="eastAsia" w:hAnsi="宋体" w:cs="宋体"/>
        <w:kern w:val="2"/>
        <w:sz w:val="21"/>
        <w:szCs w:val="21"/>
        <w:u w:val="single"/>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Ansi="宋体" w:cs="宋体"/>
        <w:sz w:val="21"/>
        <w:szCs w:val="21"/>
      </w:rPr>
    </w:pPr>
    <w:r>
      <w:rPr>
        <w:rFonts w:hint="eastAsia" w:hAnsi="宋体" w:cs="宋体"/>
        <w:kern w:val="2"/>
        <w:sz w:val="21"/>
        <w:szCs w:val="21"/>
        <w:u w:val="single"/>
        <w:lang w:eastAsia="zh-CN"/>
      </w:rPr>
      <w:t>西安铁路职业技术学院无纸化会议视频系统升级建设项目</w:t>
    </w:r>
    <w:r>
      <w:rPr>
        <w:rFonts w:hint="eastAsia" w:hAnsi="宋体" w:cs="宋体"/>
        <w:kern w:val="2"/>
        <w:sz w:val="21"/>
        <w:szCs w:val="21"/>
        <w:u w:val="single"/>
      </w:rPr>
      <w:t xml:space="preserve">                               </w:t>
    </w:r>
    <w:r>
      <w:rPr>
        <w:rFonts w:hint="eastAsia" w:hAnsi="宋体" w:cs="宋体"/>
        <w:sz w:val="21"/>
        <w:szCs w:val="21"/>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hint="eastAsia" w:hAnsi="宋体" w:cs="宋体"/>
        <w:kern w:val="2"/>
        <w:sz w:val="21"/>
        <w:szCs w:val="21"/>
        <w:u w:val="single"/>
        <w:lang w:eastAsia="zh-CN"/>
      </w:rPr>
    </w:pPr>
    <w:r>
      <w:rPr>
        <w:rFonts w:hint="eastAsia" w:hAnsi="宋体" w:cs="宋体"/>
        <w:kern w:val="2"/>
        <w:sz w:val="21"/>
        <w:szCs w:val="21"/>
        <w:u w:val="single"/>
        <w:lang w:eastAsia="zh-CN"/>
      </w:rPr>
      <w:t>西安铁路职业技术学院无纸化会议视频系统升级建设项目</w:t>
    </w:r>
    <w:r>
      <w:rPr>
        <w:rFonts w:hint="eastAsia" w:hAnsi="宋体" w:cs="宋体"/>
        <w:kern w:val="2"/>
        <w:sz w:val="21"/>
        <w:szCs w:val="21"/>
        <w:u w:val="single"/>
        <w:lang w:val="en-US" w:eastAsia="zh-CN"/>
      </w:rPr>
      <w:t xml:space="preserve">                         </w:t>
    </w:r>
    <w:r>
      <w:rPr>
        <w:rFonts w:hint="eastAsia" w:hAnsi="宋体" w:cs="宋体"/>
        <w:sz w:val="21"/>
        <w:szCs w:val="21"/>
        <w:u w:val="single"/>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5681B"/>
    <w:multiLevelType w:val="singleLevel"/>
    <w:tmpl w:val="B415681B"/>
    <w:lvl w:ilvl="0" w:tentative="0">
      <w:start w:val="1"/>
      <w:numFmt w:val="decimal"/>
      <w:lvlText w:val="%1."/>
      <w:lvlJc w:val="left"/>
      <w:pPr>
        <w:ind w:left="425" w:hanging="425"/>
      </w:pPr>
      <w:rPr>
        <w:rFonts w:hint="default"/>
      </w:rPr>
    </w:lvl>
  </w:abstractNum>
  <w:abstractNum w:abstractNumId="1">
    <w:nsid w:val="D7CC4792"/>
    <w:multiLevelType w:val="singleLevel"/>
    <w:tmpl w:val="D7CC4792"/>
    <w:lvl w:ilvl="0" w:tentative="0">
      <w:start w:val="8"/>
      <w:numFmt w:val="chineseCounting"/>
      <w:suff w:val="nothing"/>
      <w:lvlText w:val="%1、"/>
      <w:lvlJc w:val="left"/>
      <w:rPr>
        <w:rFonts w:hint="eastAsia"/>
      </w:rPr>
    </w:lvl>
  </w:abstractNum>
  <w:abstractNum w:abstractNumId="2">
    <w:nsid w:val="00000002"/>
    <w:multiLevelType w:val="multilevel"/>
    <w:tmpl w:val="00000002"/>
    <w:lvl w:ilvl="0" w:tentative="0">
      <w:start w:val="1"/>
      <w:numFmt w:val="decimal"/>
      <w:pStyle w:val="94"/>
      <w:lvlText w:val="%1. "/>
      <w:lvlJc w:val="left"/>
      <w:pPr>
        <w:tabs>
          <w:tab w:val="left" w:pos="839"/>
        </w:tabs>
        <w:ind w:left="839" w:hanging="419"/>
      </w:pPr>
      <w:rPr>
        <w:rFonts w:hint="eastAsia"/>
      </w:rPr>
    </w:lvl>
    <w:lvl w:ilvl="1" w:tentative="0">
      <w:start w:val="1"/>
      <w:numFmt w:val="upperLetter"/>
      <w:pStyle w:val="83"/>
      <w:lvlText w:val="%2. "/>
      <w:lvlJc w:val="left"/>
      <w:pPr>
        <w:tabs>
          <w:tab w:val="left" w:pos="1049"/>
        </w:tabs>
        <w:ind w:left="1049" w:hanging="420"/>
      </w:pPr>
      <w:rPr>
        <w:rFonts w:hint="eastAsia"/>
      </w:rPr>
    </w:lvl>
    <w:lvl w:ilvl="2" w:tentative="0">
      <w:start w:val="1"/>
      <w:numFmt w:val="lowerLetter"/>
      <w:pStyle w:val="73"/>
      <w:lvlText w:val="%3. "/>
      <w:lvlJc w:val="left"/>
      <w:pPr>
        <w:tabs>
          <w:tab w:val="left" w:pos="1259"/>
        </w:tabs>
        <w:ind w:left="1259" w:hanging="420"/>
      </w:pPr>
      <w:rPr>
        <w:rFonts w:hint="eastAsia"/>
      </w:rPr>
    </w:lvl>
    <w:lvl w:ilvl="3" w:tentative="0">
      <w:start w:val="1"/>
      <w:numFmt w:val="lowerLetter"/>
      <w:pStyle w:val="120"/>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5"/>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13"/>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3"/>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53208E"/>
    <w:multiLevelType w:val="multilevel"/>
    <w:tmpl w:val="0053208E"/>
    <w:lvl w:ilvl="0" w:tentative="0">
      <w:start w:val="1"/>
      <w:numFmt w:val="decimal"/>
      <w:lvlText w:val="%1."/>
      <w:lvlJc w:val="left"/>
      <w:pPr>
        <w:ind w:left="205" w:hanging="322"/>
        <w:jc w:val="left"/>
      </w:pPr>
      <w:rPr>
        <w:rFonts w:hint="default" w:ascii="仿宋" w:hAnsi="仿宋" w:eastAsia="仿宋" w:cs="仿宋"/>
        <w:spacing w:val="-46"/>
        <w:w w:val="99"/>
        <w:sz w:val="30"/>
        <w:szCs w:val="30"/>
        <w:lang w:val="zh-CN" w:eastAsia="zh-CN" w:bidi="zh-CN"/>
      </w:rPr>
    </w:lvl>
    <w:lvl w:ilvl="1" w:tentative="0">
      <w:start w:val="0"/>
      <w:numFmt w:val="bullet"/>
      <w:lvlText w:val="•"/>
      <w:lvlJc w:val="left"/>
      <w:pPr>
        <w:ind w:left="1074" w:hanging="322"/>
      </w:pPr>
      <w:rPr>
        <w:rFonts w:hint="default"/>
        <w:lang w:val="zh-CN" w:eastAsia="zh-CN" w:bidi="zh-CN"/>
      </w:rPr>
    </w:lvl>
    <w:lvl w:ilvl="2" w:tentative="0">
      <w:start w:val="0"/>
      <w:numFmt w:val="bullet"/>
      <w:lvlText w:val="•"/>
      <w:lvlJc w:val="left"/>
      <w:pPr>
        <w:ind w:left="1949" w:hanging="322"/>
      </w:pPr>
      <w:rPr>
        <w:rFonts w:hint="default"/>
        <w:lang w:val="zh-CN" w:eastAsia="zh-CN" w:bidi="zh-CN"/>
      </w:rPr>
    </w:lvl>
    <w:lvl w:ilvl="3" w:tentative="0">
      <w:start w:val="0"/>
      <w:numFmt w:val="bullet"/>
      <w:lvlText w:val="•"/>
      <w:lvlJc w:val="left"/>
      <w:pPr>
        <w:ind w:left="2823" w:hanging="322"/>
      </w:pPr>
      <w:rPr>
        <w:rFonts w:hint="default"/>
        <w:lang w:val="zh-CN" w:eastAsia="zh-CN" w:bidi="zh-CN"/>
      </w:rPr>
    </w:lvl>
    <w:lvl w:ilvl="4" w:tentative="0">
      <w:start w:val="0"/>
      <w:numFmt w:val="bullet"/>
      <w:lvlText w:val="•"/>
      <w:lvlJc w:val="left"/>
      <w:pPr>
        <w:ind w:left="3698" w:hanging="322"/>
      </w:pPr>
      <w:rPr>
        <w:rFonts w:hint="default"/>
        <w:lang w:val="zh-CN" w:eastAsia="zh-CN" w:bidi="zh-CN"/>
      </w:rPr>
    </w:lvl>
    <w:lvl w:ilvl="5" w:tentative="0">
      <w:start w:val="0"/>
      <w:numFmt w:val="bullet"/>
      <w:lvlText w:val="•"/>
      <w:lvlJc w:val="left"/>
      <w:pPr>
        <w:ind w:left="4573" w:hanging="322"/>
      </w:pPr>
      <w:rPr>
        <w:rFonts w:hint="default"/>
        <w:lang w:val="zh-CN" w:eastAsia="zh-CN" w:bidi="zh-CN"/>
      </w:rPr>
    </w:lvl>
    <w:lvl w:ilvl="6" w:tentative="0">
      <w:start w:val="0"/>
      <w:numFmt w:val="bullet"/>
      <w:lvlText w:val="•"/>
      <w:lvlJc w:val="left"/>
      <w:pPr>
        <w:ind w:left="5447" w:hanging="322"/>
      </w:pPr>
      <w:rPr>
        <w:rFonts w:hint="default"/>
        <w:lang w:val="zh-CN" w:eastAsia="zh-CN" w:bidi="zh-CN"/>
      </w:rPr>
    </w:lvl>
    <w:lvl w:ilvl="7" w:tentative="0">
      <w:start w:val="0"/>
      <w:numFmt w:val="bullet"/>
      <w:lvlText w:val="•"/>
      <w:lvlJc w:val="left"/>
      <w:pPr>
        <w:ind w:left="6322" w:hanging="322"/>
      </w:pPr>
      <w:rPr>
        <w:rFonts w:hint="default"/>
        <w:lang w:val="zh-CN" w:eastAsia="zh-CN" w:bidi="zh-CN"/>
      </w:rPr>
    </w:lvl>
    <w:lvl w:ilvl="8" w:tentative="0">
      <w:start w:val="0"/>
      <w:numFmt w:val="bullet"/>
      <w:lvlText w:val="•"/>
      <w:lvlJc w:val="left"/>
      <w:pPr>
        <w:ind w:left="7196" w:hanging="322"/>
      </w:pPr>
      <w:rPr>
        <w:rFonts w:hint="default"/>
        <w:lang w:val="zh-CN" w:eastAsia="zh-CN" w:bidi="zh-CN"/>
      </w:rPr>
    </w:lvl>
  </w:abstractNum>
  <w:abstractNum w:abstractNumId="7">
    <w:nsid w:val="0C8F015C"/>
    <w:multiLevelType w:val="multilevel"/>
    <w:tmpl w:val="0C8F015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4B66CD3"/>
    <w:multiLevelType w:val="singleLevel"/>
    <w:tmpl w:val="14B66CD3"/>
    <w:lvl w:ilvl="0" w:tentative="0">
      <w:start w:val="1"/>
      <w:numFmt w:val="chineseCounting"/>
      <w:suff w:val="nothing"/>
      <w:lvlText w:val="%1、"/>
      <w:lvlJc w:val="left"/>
      <w:rPr>
        <w:rFonts w:hint="eastAsia"/>
      </w:rPr>
    </w:lvl>
  </w:abstractNum>
  <w:abstractNum w:abstractNumId="9">
    <w:nsid w:val="264AC4A0"/>
    <w:multiLevelType w:val="singleLevel"/>
    <w:tmpl w:val="264AC4A0"/>
    <w:lvl w:ilvl="0" w:tentative="0">
      <w:start w:val="8"/>
      <w:numFmt w:val="decimal"/>
      <w:suff w:val="nothing"/>
      <w:lvlText w:val="%1、"/>
      <w:lvlJc w:val="left"/>
    </w:lvl>
  </w:abstractNum>
  <w:abstractNum w:abstractNumId="10">
    <w:nsid w:val="45633BF8"/>
    <w:multiLevelType w:val="multilevel"/>
    <w:tmpl w:val="45633BF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4F1995ED"/>
    <w:multiLevelType w:val="singleLevel"/>
    <w:tmpl w:val="4F1995ED"/>
    <w:lvl w:ilvl="0" w:tentative="0">
      <w:start w:val="4"/>
      <w:numFmt w:val="chineseCounting"/>
      <w:suff w:val="space"/>
      <w:lvlText w:val="第%1章"/>
      <w:lvlJc w:val="left"/>
      <w:rPr>
        <w:rFonts w:hint="eastAsia"/>
      </w:rPr>
    </w:lvl>
  </w:abstractNum>
  <w:abstractNum w:abstractNumId="12">
    <w:nsid w:val="5428518E"/>
    <w:multiLevelType w:val="multilevel"/>
    <w:tmpl w:val="5428518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5A6183C"/>
    <w:multiLevelType w:val="singleLevel"/>
    <w:tmpl w:val="55A6183C"/>
    <w:lvl w:ilvl="0" w:tentative="0">
      <w:start w:val="1"/>
      <w:numFmt w:val="chineseCounting"/>
      <w:suff w:val="nothing"/>
      <w:lvlText w:val="%1、"/>
      <w:lvlJc w:val="left"/>
    </w:lvl>
  </w:abstractNum>
  <w:abstractNum w:abstractNumId="14">
    <w:nsid w:val="564CDBA6"/>
    <w:multiLevelType w:val="singleLevel"/>
    <w:tmpl w:val="564CDBA6"/>
    <w:lvl w:ilvl="0" w:tentative="0">
      <w:start w:val="1"/>
      <w:numFmt w:val="decimal"/>
      <w:lvlText w:val="%1."/>
      <w:lvlJc w:val="left"/>
      <w:pPr>
        <w:tabs>
          <w:tab w:val="left" w:pos="312"/>
        </w:tabs>
      </w:pPr>
    </w:lvl>
  </w:abstractNum>
  <w:abstractNum w:abstractNumId="15">
    <w:nsid w:val="5965F3C0"/>
    <w:multiLevelType w:val="singleLevel"/>
    <w:tmpl w:val="5965F3C0"/>
    <w:lvl w:ilvl="0" w:tentative="0">
      <w:start w:val="1"/>
      <w:numFmt w:val="decimal"/>
      <w:suff w:val="nothing"/>
      <w:lvlText w:val="%1、"/>
      <w:lvlJc w:val="left"/>
    </w:lvl>
  </w:abstractNum>
  <w:abstractNum w:abstractNumId="16">
    <w:nsid w:val="59B2460E"/>
    <w:multiLevelType w:val="singleLevel"/>
    <w:tmpl w:val="59B2460E"/>
    <w:lvl w:ilvl="0" w:tentative="0">
      <w:start w:val="2"/>
      <w:numFmt w:val="decimal"/>
      <w:suff w:val="nothing"/>
      <w:lvlText w:val="%1."/>
      <w:lvlJc w:val="left"/>
    </w:lvl>
  </w:abstractNum>
  <w:abstractNum w:abstractNumId="17">
    <w:nsid w:val="59B25AF4"/>
    <w:multiLevelType w:val="singleLevel"/>
    <w:tmpl w:val="59B25AF4"/>
    <w:lvl w:ilvl="0" w:tentative="0">
      <w:start w:val="1"/>
      <w:numFmt w:val="decimal"/>
      <w:suff w:val="nothing"/>
      <w:lvlText w:val="（%1）"/>
      <w:lvlJc w:val="left"/>
    </w:lvl>
  </w:abstractNum>
  <w:abstractNum w:abstractNumId="18">
    <w:nsid w:val="59B5F382"/>
    <w:multiLevelType w:val="singleLevel"/>
    <w:tmpl w:val="59B5F382"/>
    <w:lvl w:ilvl="0" w:tentative="0">
      <w:start w:val="1"/>
      <w:numFmt w:val="decimal"/>
      <w:suff w:val="nothing"/>
      <w:lvlText w:val="%1、"/>
      <w:lvlJc w:val="left"/>
    </w:lvl>
  </w:abstractNum>
  <w:abstractNum w:abstractNumId="19">
    <w:nsid w:val="5B4C4C64"/>
    <w:multiLevelType w:val="multilevel"/>
    <w:tmpl w:val="5B4C4C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69F54F2E"/>
    <w:multiLevelType w:val="singleLevel"/>
    <w:tmpl w:val="69F54F2E"/>
    <w:lvl w:ilvl="0" w:tentative="0">
      <w:start w:val="1"/>
      <w:numFmt w:val="bullet"/>
      <w:lvlText w:val=""/>
      <w:lvlJc w:val="left"/>
      <w:pPr>
        <w:ind w:left="420" w:hanging="420"/>
      </w:pPr>
      <w:rPr>
        <w:rFonts w:hint="default" w:ascii="Wingdings" w:hAnsi="Wingdings"/>
      </w:rPr>
    </w:lvl>
  </w:abstractNum>
  <w:abstractNum w:abstractNumId="21">
    <w:nsid w:val="75435637"/>
    <w:multiLevelType w:val="multilevel"/>
    <w:tmpl w:val="7543563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4"/>
  </w:num>
  <w:num w:numId="4">
    <w:abstractNumId w:val="3"/>
  </w:num>
  <w:num w:numId="5">
    <w:abstractNumId w:val="16"/>
  </w:num>
  <w:num w:numId="6">
    <w:abstractNumId w:val="17"/>
  </w:num>
  <w:num w:numId="7">
    <w:abstractNumId w:val="13"/>
  </w:num>
  <w:num w:numId="8">
    <w:abstractNumId w:val="9"/>
  </w:num>
  <w:num w:numId="9">
    <w:abstractNumId w:val="21"/>
  </w:num>
  <w:num w:numId="10">
    <w:abstractNumId w:val="7"/>
  </w:num>
  <w:num w:numId="11">
    <w:abstractNumId w:val="12"/>
  </w:num>
  <w:num w:numId="12">
    <w:abstractNumId w:val="15"/>
  </w:num>
  <w:num w:numId="13">
    <w:abstractNumId w:val="0"/>
  </w:num>
  <w:num w:numId="14">
    <w:abstractNumId w:val="20"/>
  </w:num>
  <w:num w:numId="15">
    <w:abstractNumId w:val="19"/>
  </w:num>
  <w:num w:numId="16">
    <w:abstractNumId w:val="10"/>
  </w:num>
  <w:num w:numId="17">
    <w:abstractNumId w:val="11"/>
  </w:num>
  <w:num w:numId="18">
    <w:abstractNumId w:val="14"/>
  </w:num>
  <w:num w:numId="19">
    <w:abstractNumId w:val="18"/>
  </w:num>
  <w:num w:numId="20">
    <w:abstractNumId w:val="8"/>
  </w:num>
  <w:num w:numId="21">
    <w:abstractNumId w:val="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xZDQ2OTFjZGY2YmI4YTA3M2RiMjE5N2Q5OTRlOWMifQ=="/>
  </w:docVars>
  <w:rsids>
    <w:rsidRoot w:val="00172A27"/>
    <w:rsid w:val="000012D2"/>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73F"/>
    <w:rsid w:val="0005079D"/>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1F45"/>
    <w:rsid w:val="00072373"/>
    <w:rsid w:val="00074D9F"/>
    <w:rsid w:val="00074EFA"/>
    <w:rsid w:val="00075C16"/>
    <w:rsid w:val="00075CE3"/>
    <w:rsid w:val="000801B6"/>
    <w:rsid w:val="00082F4D"/>
    <w:rsid w:val="00084CBC"/>
    <w:rsid w:val="00085C2B"/>
    <w:rsid w:val="000873CE"/>
    <w:rsid w:val="00093FA0"/>
    <w:rsid w:val="00094888"/>
    <w:rsid w:val="00094DB4"/>
    <w:rsid w:val="00096414"/>
    <w:rsid w:val="00097A21"/>
    <w:rsid w:val="000A0C7F"/>
    <w:rsid w:val="000A2116"/>
    <w:rsid w:val="000A286B"/>
    <w:rsid w:val="000A2FA7"/>
    <w:rsid w:val="000A35A8"/>
    <w:rsid w:val="000A3AE0"/>
    <w:rsid w:val="000A3F7C"/>
    <w:rsid w:val="000A45E4"/>
    <w:rsid w:val="000A6376"/>
    <w:rsid w:val="000B0BCD"/>
    <w:rsid w:val="000B1179"/>
    <w:rsid w:val="000C095A"/>
    <w:rsid w:val="000C1517"/>
    <w:rsid w:val="000C1C22"/>
    <w:rsid w:val="000C53C8"/>
    <w:rsid w:val="000C62BA"/>
    <w:rsid w:val="000C63C8"/>
    <w:rsid w:val="000C659F"/>
    <w:rsid w:val="000C6743"/>
    <w:rsid w:val="000D04E4"/>
    <w:rsid w:val="000D0A69"/>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5AC3"/>
    <w:rsid w:val="00117899"/>
    <w:rsid w:val="001208B9"/>
    <w:rsid w:val="00120A9F"/>
    <w:rsid w:val="00122278"/>
    <w:rsid w:val="00123494"/>
    <w:rsid w:val="00123553"/>
    <w:rsid w:val="001235D9"/>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58BE"/>
    <w:rsid w:val="00175A12"/>
    <w:rsid w:val="00177AF0"/>
    <w:rsid w:val="00180763"/>
    <w:rsid w:val="001811CA"/>
    <w:rsid w:val="00181BBD"/>
    <w:rsid w:val="00181EAD"/>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E6D"/>
    <w:rsid w:val="002072CF"/>
    <w:rsid w:val="0021116B"/>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20A"/>
    <w:rsid w:val="00246984"/>
    <w:rsid w:val="002469DC"/>
    <w:rsid w:val="00246D18"/>
    <w:rsid w:val="0024731F"/>
    <w:rsid w:val="0024793C"/>
    <w:rsid w:val="002515D2"/>
    <w:rsid w:val="00254950"/>
    <w:rsid w:val="0025568D"/>
    <w:rsid w:val="00256036"/>
    <w:rsid w:val="002578C4"/>
    <w:rsid w:val="00257DF7"/>
    <w:rsid w:val="00260ADD"/>
    <w:rsid w:val="00261E18"/>
    <w:rsid w:val="00262052"/>
    <w:rsid w:val="00263943"/>
    <w:rsid w:val="0026649A"/>
    <w:rsid w:val="002665AE"/>
    <w:rsid w:val="00267FE3"/>
    <w:rsid w:val="002710EB"/>
    <w:rsid w:val="002715C0"/>
    <w:rsid w:val="00271E15"/>
    <w:rsid w:val="002729A5"/>
    <w:rsid w:val="00272FA8"/>
    <w:rsid w:val="00273121"/>
    <w:rsid w:val="00273ADF"/>
    <w:rsid w:val="002743DD"/>
    <w:rsid w:val="0027618B"/>
    <w:rsid w:val="0027621A"/>
    <w:rsid w:val="0027676B"/>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3BCA"/>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486A"/>
    <w:rsid w:val="00334DA1"/>
    <w:rsid w:val="00336BF5"/>
    <w:rsid w:val="00340B50"/>
    <w:rsid w:val="00341409"/>
    <w:rsid w:val="00341A2C"/>
    <w:rsid w:val="00341D74"/>
    <w:rsid w:val="0034291B"/>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B70"/>
    <w:rsid w:val="00382977"/>
    <w:rsid w:val="00382D0C"/>
    <w:rsid w:val="00385891"/>
    <w:rsid w:val="00385E6D"/>
    <w:rsid w:val="00387456"/>
    <w:rsid w:val="00393A95"/>
    <w:rsid w:val="00394241"/>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643A"/>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2AC3"/>
    <w:rsid w:val="003F37EA"/>
    <w:rsid w:val="003F41ED"/>
    <w:rsid w:val="003F77F7"/>
    <w:rsid w:val="004007CB"/>
    <w:rsid w:val="00400A7D"/>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54B8"/>
    <w:rsid w:val="00425BBD"/>
    <w:rsid w:val="00425D51"/>
    <w:rsid w:val="00426B8C"/>
    <w:rsid w:val="00427864"/>
    <w:rsid w:val="004315F0"/>
    <w:rsid w:val="00433012"/>
    <w:rsid w:val="00436AFB"/>
    <w:rsid w:val="00437B01"/>
    <w:rsid w:val="00440128"/>
    <w:rsid w:val="00440274"/>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2B9"/>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4FFB"/>
    <w:rsid w:val="004950BA"/>
    <w:rsid w:val="00495D9C"/>
    <w:rsid w:val="00496054"/>
    <w:rsid w:val="00496BFE"/>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F09D7"/>
    <w:rsid w:val="004F2039"/>
    <w:rsid w:val="004F27E7"/>
    <w:rsid w:val="004F29C5"/>
    <w:rsid w:val="004F5595"/>
    <w:rsid w:val="004F5A55"/>
    <w:rsid w:val="004F67AB"/>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48C8"/>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2CA2"/>
    <w:rsid w:val="00585D85"/>
    <w:rsid w:val="00587608"/>
    <w:rsid w:val="005906E6"/>
    <w:rsid w:val="005908C0"/>
    <w:rsid w:val="005912A1"/>
    <w:rsid w:val="00596467"/>
    <w:rsid w:val="005A111F"/>
    <w:rsid w:val="005A21AD"/>
    <w:rsid w:val="005A3742"/>
    <w:rsid w:val="005A41BF"/>
    <w:rsid w:val="005A4CF7"/>
    <w:rsid w:val="005A5801"/>
    <w:rsid w:val="005A6AAE"/>
    <w:rsid w:val="005A7A4E"/>
    <w:rsid w:val="005A7B60"/>
    <w:rsid w:val="005B099B"/>
    <w:rsid w:val="005B1B6E"/>
    <w:rsid w:val="005B3238"/>
    <w:rsid w:val="005B3315"/>
    <w:rsid w:val="005B3385"/>
    <w:rsid w:val="005B4906"/>
    <w:rsid w:val="005B59C4"/>
    <w:rsid w:val="005B59E0"/>
    <w:rsid w:val="005B660B"/>
    <w:rsid w:val="005B6B14"/>
    <w:rsid w:val="005B717F"/>
    <w:rsid w:val="005C0C3C"/>
    <w:rsid w:val="005C3BE2"/>
    <w:rsid w:val="005C71D3"/>
    <w:rsid w:val="005C72C8"/>
    <w:rsid w:val="005C7B0D"/>
    <w:rsid w:val="005C7B3B"/>
    <w:rsid w:val="005D0601"/>
    <w:rsid w:val="005D3410"/>
    <w:rsid w:val="005D527D"/>
    <w:rsid w:val="005D5919"/>
    <w:rsid w:val="005D5FF2"/>
    <w:rsid w:val="005D6C2B"/>
    <w:rsid w:val="005E16B8"/>
    <w:rsid w:val="005E21C0"/>
    <w:rsid w:val="005E3E7C"/>
    <w:rsid w:val="005E47F0"/>
    <w:rsid w:val="005E6C34"/>
    <w:rsid w:val="005F068D"/>
    <w:rsid w:val="005F0749"/>
    <w:rsid w:val="005F0CE3"/>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67C8F"/>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06A"/>
    <w:rsid w:val="00692801"/>
    <w:rsid w:val="00692847"/>
    <w:rsid w:val="00692BB0"/>
    <w:rsid w:val="00693C9D"/>
    <w:rsid w:val="00694722"/>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C0227"/>
    <w:rsid w:val="006C1C58"/>
    <w:rsid w:val="006C4334"/>
    <w:rsid w:val="006C4695"/>
    <w:rsid w:val="006C5249"/>
    <w:rsid w:val="006C7270"/>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56EE4"/>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13FF"/>
    <w:rsid w:val="00784DCA"/>
    <w:rsid w:val="0078616B"/>
    <w:rsid w:val="007874F4"/>
    <w:rsid w:val="00787AD8"/>
    <w:rsid w:val="00790BEA"/>
    <w:rsid w:val="007922DC"/>
    <w:rsid w:val="00792F7A"/>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925"/>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45B6"/>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481B"/>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4AFE"/>
    <w:rsid w:val="00896FAF"/>
    <w:rsid w:val="008A0D0B"/>
    <w:rsid w:val="008A0E13"/>
    <w:rsid w:val="008A13B5"/>
    <w:rsid w:val="008A1B2F"/>
    <w:rsid w:val="008A3210"/>
    <w:rsid w:val="008A41EF"/>
    <w:rsid w:val="008A472E"/>
    <w:rsid w:val="008A70BB"/>
    <w:rsid w:val="008A7606"/>
    <w:rsid w:val="008A7DD9"/>
    <w:rsid w:val="008B03B9"/>
    <w:rsid w:val="008B054D"/>
    <w:rsid w:val="008B0AB9"/>
    <w:rsid w:val="008B1D10"/>
    <w:rsid w:val="008B52E4"/>
    <w:rsid w:val="008B69BC"/>
    <w:rsid w:val="008C0308"/>
    <w:rsid w:val="008C18F2"/>
    <w:rsid w:val="008C2C9B"/>
    <w:rsid w:val="008C3CD3"/>
    <w:rsid w:val="008C405D"/>
    <w:rsid w:val="008C4973"/>
    <w:rsid w:val="008C7974"/>
    <w:rsid w:val="008D0886"/>
    <w:rsid w:val="008D198C"/>
    <w:rsid w:val="008D2268"/>
    <w:rsid w:val="008D3782"/>
    <w:rsid w:val="008D420F"/>
    <w:rsid w:val="008D5E47"/>
    <w:rsid w:val="008D652F"/>
    <w:rsid w:val="008D6A55"/>
    <w:rsid w:val="008D78D2"/>
    <w:rsid w:val="008E00D5"/>
    <w:rsid w:val="008E02AE"/>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79F5"/>
    <w:rsid w:val="00907A0E"/>
    <w:rsid w:val="00914AA0"/>
    <w:rsid w:val="00915F4C"/>
    <w:rsid w:val="00916E08"/>
    <w:rsid w:val="00920A81"/>
    <w:rsid w:val="009213B8"/>
    <w:rsid w:val="009214E2"/>
    <w:rsid w:val="009237D9"/>
    <w:rsid w:val="00923EB8"/>
    <w:rsid w:val="0092475C"/>
    <w:rsid w:val="00925A3E"/>
    <w:rsid w:val="00925C5F"/>
    <w:rsid w:val="00927516"/>
    <w:rsid w:val="00931C47"/>
    <w:rsid w:val="00931D85"/>
    <w:rsid w:val="00933E65"/>
    <w:rsid w:val="00934A01"/>
    <w:rsid w:val="009360BC"/>
    <w:rsid w:val="00936C65"/>
    <w:rsid w:val="00940352"/>
    <w:rsid w:val="009413FE"/>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232D"/>
    <w:rsid w:val="009D60DC"/>
    <w:rsid w:val="009D67CB"/>
    <w:rsid w:val="009D67F4"/>
    <w:rsid w:val="009D7F0C"/>
    <w:rsid w:val="009E0110"/>
    <w:rsid w:val="009E0942"/>
    <w:rsid w:val="009E28D2"/>
    <w:rsid w:val="009E331B"/>
    <w:rsid w:val="009E420A"/>
    <w:rsid w:val="009E5014"/>
    <w:rsid w:val="009E5210"/>
    <w:rsid w:val="009E73DD"/>
    <w:rsid w:val="009E7539"/>
    <w:rsid w:val="009F0487"/>
    <w:rsid w:val="009F11B4"/>
    <w:rsid w:val="009F13AF"/>
    <w:rsid w:val="009F1DB9"/>
    <w:rsid w:val="009F2C5C"/>
    <w:rsid w:val="009F3173"/>
    <w:rsid w:val="009F4336"/>
    <w:rsid w:val="009F4C2D"/>
    <w:rsid w:val="009F65EC"/>
    <w:rsid w:val="00A006FB"/>
    <w:rsid w:val="00A0106B"/>
    <w:rsid w:val="00A01DC4"/>
    <w:rsid w:val="00A03432"/>
    <w:rsid w:val="00A04937"/>
    <w:rsid w:val="00A06BD0"/>
    <w:rsid w:val="00A06BDF"/>
    <w:rsid w:val="00A06E80"/>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6EFA"/>
    <w:rsid w:val="00A376D2"/>
    <w:rsid w:val="00A42961"/>
    <w:rsid w:val="00A43444"/>
    <w:rsid w:val="00A442F5"/>
    <w:rsid w:val="00A4717E"/>
    <w:rsid w:val="00A476C2"/>
    <w:rsid w:val="00A50B4B"/>
    <w:rsid w:val="00A536FE"/>
    <w:rsid w:val="00A56402"/>
    <w:rsid w:val="00A565A6"/>
    <w:rsid w:val="00A56685"/>
    <w:rsid w:val="00A56C04"/>
    <w:rsid w:val="00A56C3B"/>
    <w:rsid w:val="00A60548"/>
    <w:rsid w:val="00A60F3B"/>
    <w:rsid w:val="00A61A02"/>
    <w:rsid w:val="00A61D9E"/>
    <w:rsid w:val="00A70805"/>
    <w:rsid w:val="00A70B6E"/>
    <w:rsid w:val="00A71A9C"/>
    <w:rsid w:val="00A71FD5"/>
    <w:rsid w:val="00A7384B"/>
    <w:rsid w:val="00A75795"/>
    <w:rsid w:val="00A761DD"/>
    <w:rsid w:val="00A767FD"/>
    <w:rsid w:val="00A800EA"/>
    <w:rsid w:val="00A83265"/>
    <w:rsid w:val="00A844F2"/>
    <w:rsid w:val="00A866A1"/>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28F6"/>
    <w:rsid w:val="00AE3075"/>
    <w:rsid w:val="00AF129B"/>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F79"/>
    <w:rsid w:val="00B11732"/>
    <w:rsid w:val="00B129F4"/>
    <w:rsid w:val="00B141BF"/>
    <w:rsid w:val="00B15F08"/>
    <w:rsid w:val="00B16E72"/>
    <w:rsid w:val="00B175A8"/>
    <w:rsid w:val="00B203C9"/>
    <w:rsid w:val="00B21B98"/>
    <w:rsid w:val="00B22442"/>
    <w:rsid w:val="00B238E2"/>
    <w:rsid w:val="00B2513A"/>
    <w:rsid w:val="00B256BA"/>
    <w:rsid w:val="00B271CE"/>
    <w:rsid w:val="00B334EE"/>
    <w:rsid w:val="00B337D4"/>
    <w:rsid w:val="00B339D7"/>
    <w:rsid w:val="00B346F5"/>
    <w:rsid w:val="00B3565A"/>
    <w:rsid w:val="00B43210"/>
    <w:rsid w:val="00B45947"/>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82021"/>
    <w:rsid w:val="00B83451"/>
    <w:rsid w:val="00B9103D"/>
    <w:rsid w:val="00B910E1"/>
    <w:rsid w:val="00B9117F"/>
    <w:rsid w:val="00B922BA"/>
    <w:rsid w:val="00B92426"/>
    <w:rsid w:val="00B929AF"/>
    <w:rsid w:val="00B940EC"/>
    <w:rsid w:val="00B946E9"/>
    <w:rsid w:val="00B94FFC"/>
    <w:rsid w:val="00B97BB6"/>
    <w:rsid w:val="00BA0213"/>
    <w:rsid w:val="00BA2267"/>
    <w:rsid w:val="00BA2A4A"/>
    <w:rsid w:val="00BA4B45"/>
    <w:rsid w:val="00BA4D3E"/>
    <w:rsid w:val="00BA4E35"/>
    <w:rsid w:val="00BA5837"/>
    <w:rsid w:val="00BA68C7"/>
    <w:rsid w:val="00BA77F2"/>
    <w:rsid w:val="00BA7E5A"/>
    <w:rsid w:val="00BB0DD7"/>
    <w:rsid w:val="00BB0F04"/>
    <w:rsid w:val="00BB1695"/>
    <w:rsid w:val="00BB1A6E"/>
    <w:rsid w:val="00BB23ED"/>
    <w:rsid w:val="00BB278A"/>
    <w:rsid w:val="00BB3821"/>
    <w:rsid w:val="00BB5584"/>
    <w:rsid w:val="00BC1652"/>
    <w:rsid w:val="00BC2982"/>
    <w:rsid w:val="00BC3823"/>
    <w:rsid w:val="00BC402C"/>
    <w:rsid w:val="00BC5446"/>
    <w:rsid w:val="00BC5AA5"/>
    <w:rsid w:val="00BC6E59"/>
    <w:rsid w:val="00BD082D"/>
    <w:rsid w:val="00BD1610"/>
    <w:rsid w:val="00BD2360"/>
    <w:rsid w:val="00BD23FF"/>
    <w:rsid w:val="00BD262F"/>
    <w:rsid w:val="00BD2F3A"/>
    <w:rsid w:val="00BD4884"/>
    <w:rsid w:val="00BD6755"/>
    <w:rsid w:val="00BD67C6"/>
    <w:rsid w:val="00BD7D66"/>
    <w:rsid w:val="00BE0E8B"/>
    <w:rsid w:val="00BE196D"/>
    <w:rsid w:val="00BE21A8"/>
    <w:rsid w:val="00BE2274"/>
    <w:rsid w:val="00BE49C6"/>
    <w:rsid w:val="00BE4A73"/>
    <w:rsid w:val="00BE6D9D"/>
    <w:rsid w:val="00BE7F7E"/>
    <w:rsid w:val="00BF0267"/>
    <w:rsid w:val="00BF11B4"/>
    <w:rsid w:val="00BF1B34"/>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0E58"/>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AE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6645"/>
    <w:rsid w:val="00CC6F7F"/>
    <w:rsid w:val="00CC7692"/>
    <w:rsid w:val="00CD21DF"/>
    <w:rsid w:val="00CD3605"/>
    <w:rsid w:val="00CD4A77"/>
    <w:rsid w:val="00CD4CB6"/>
    <w:rsid w:val="00CD55FA"/>
    <w:rsid w:val="00CE3154"/>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4B7B"/>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2908"/>
    <w:rsid w:val="00D23DD6"/>
    <w:rsid w:val="00D254C9"/>
    <w:rsid w:val="00D27D2C"/>
    <w:rsid w:val="00D300C2"/>
    <w:rsid w:val="00D316DD"/>
    <w:rsid w:val="00D33731"/>
    <w:rsid w:val="00D3408C"/>
    <w:rsid w:val="00D352ED"/>
    <w:rsid w:val="00D3729D"/>
    <w:rsid w:val="00D37D91"/>
    <w:rsid w:val="00D4148D"/>
    <w:rsid w:val="00D4169C"/>
    <w:rsid w:val="00D41E62"/>
    <w:rsid w:val="00D4244C"/>
    <w:rsid w:val="00D42EF7"/>
    <w:rsid w:val="00D44A27"/>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73D0"/>
    <w:rsid w:val="00DF792D"/>
    <w:rsid w:val="00E02DD8"/>
    <w:rsid w:val="00E04B26"/>
    <w:rsid w:val="00E05906"/>
    <w:rsid w:val="00E05E91"/>
    <w:rsid w:val="00E07351"/>
    <w:rsid w:val="00E10658"/>
    <w:rsid w:val="00E12803"/>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BD6"/>
    <w:rsid w:val="00E3410C"/>
    <w:rsid w:val="00E3443E"/>
    <w:rsid w:val="00E3454D"/>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8AF"/>
    <w:rsid w:val="00F23A6F"/>
    <w:rsid w:val="00F23E07"/>
    <w:rsid w:val="00F24F27"/>
    <w:rsid w:val="00F24F8F"/>
    <w:rsid w:val="00F26497"/>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198F"/>
    <w:rsid w:val="00FC3375"/>
    <w:rsid w:val="00FC4394"/>
    <w:rsid w:val="00FC4755"/>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6B5"/>
    <w:rsid w:val="00FE2B44"/>
    <w:rsid w:val="00FE3122"/>
    <w:rsid w:val="00FE4141"/>
    <w:rsid w:val="00FE423C"/>
    <w:rsid w:val="00FE569A"/>
    <w:rsid w:val="00FE7E7E"/>
    <w:rsid w:val="00FF0465"/>
    <w:rsid w:val="00FF15C6"/>
    <w:rsid w:val="00FF2D90"/>
    <w:rsid w:val="00FF463A"/>
    <w:rsid w:val="0100078F"/>
    <w:rsid w:val="011C366B"/>
    <w:rsid w:val="011F54CF"/>
    <w:rsid w:val="0125509D"/>
    <w:rsid w:val="012877C0"/>
    <w:rsid w:val="0129479C"/>
    <w:rsid w:val="012C13EE"/>
    <w:rsid w:val="013075E9"/>
    <w:rsid w:val="0143693F"/>
    <w:rsid w:val="014833AC"/>
    <w:rsid w:val="01532A30"/>
    <w:rsid w:val="01572D68"/>
    <w:rsid w:val="015A5AAD"/>
    <w:rsid w:val="01635A04"/>
    <w:rsid w:val="016805F4"/>
    <w:rsid w:val="016C220D"/>
    <w:rsid w:val="016F70C3"/>
    <w:rsid w:val="01742920"/>
    <w:rsid w:val="01767D89"/>
    <w:rsid w:val="017C2F14"/>
    <w:rsid w:val="018A78EB"/>
    <w:rsid w:val="019907D8"/>
    <w:rsid w:val="01AA0D34"/>
    <w:rsid w:val="01AA5738"/>
    <w:rsid w:val="01AF252D"/>
    <w:rsid w:val="01B76BB4"/>
    <w:rsid w:val="01C14687"/>
    <w:rsid w:val="01D971D8"/>
    <w:rsid w:val="01DC338D"/>
    <w:rsid w:val="01E35C83"/>
    <w:rsid w:val="01EC7309"/>
    <w:rsid w:val="01F17C5D"/>
    <w:rsid w:val="022206C8"/>
    <w:rsid w:val="023B006F"/>
    <w:rsid w:val="024025DC"/>
    <w:rsid w:val="02473660"/>
    <w:rsid w:val="02513C28"/>
    <w:rsid w:val="025739FF"/>
    <w:rsid w:val="025C2C5C"/>
    <w:rsid w:val="0260397E"/>
    <w:rsid w:val="0261657A"/>
    <w:rsid w:val="027764C1"/>
    <w:rsid w:val="02797C52"/>
    <w:rsid w:val="027D1D3C"/>
    <w:rsid w:val="027E1F16"/>
    <w:rsid w:val="027E5294"/>
    <w:rsid w:val="028533DD"/>
    <w:rsid w:val="02863196"/>
    <w:rsid w:val="02883592"/>
    <w:rsid w:val="02A2784C"/>
    <w:rsid w:val="02A91644"/>
    <w:rsid w:val="02AA6224"/>
    <w:rsid w:val="02B4337E"/>
    <w:rsid w:val="02CC3D4B"/>
    <w:rsid w:val="02F640EA"/>
    <w:rsid w:val="02FC2963"/>
    <w:rsid w:val="03057A39"/>
    <w:rsid w:val="03204EA0"/>
    <w:rsid w:val="03271B51"/>
    <w:rsid w:val="035012E1"/>
    <w:rsid w:val="03521ABA"/>
    <w:rsid w:val="035D5869"/>
    <w:rsid w:val="035F2640"/>
    <w:rsid w:val="03691DCD"/>
    <w:rsid w:val="036C4A02"/>
    <w:rsid w:val="037C5AFD"/>
    <w:rsid w:val="03887BE8"/>
    <w:rsid w:val="038C4A46"/>
    <w:rsid w:val="03AB3E9F"/>
    <w:rsid w:val="03AD0267"/>
    <w:rsid w:val="03B00424"/>
    <w:rsid w:val="03B85C81"/>
    <w:rsid w:val="03BF2B62"/>
    <w:rsid w:val="03C5551F"/>
    <w:rsid w:val="03D10623"/>
    <w:rsid w:val="03D403A1"/>
    <w:rsid w:val="03D676F9"/>
    <w:rsid w:val="03DB4775"/>
    <w:rsid w:val="03E90EAD"/>
    <w:rsid w:val="03F43EF0"/>
    <w:rsid w:val="04202BCF"/>
    <w:rsid w:val="04241377"/>
    <w:rsid w:val="04284E13"/>
    <w:rsid w:val="042C6818"/>
    <w:rsid w:val="043155F1"/>
    <w:rsid w:val="04344B16"/>
    <w:rsid w:val="043A0A9D"/>
    <w:rsid w:val="04497378"/>
    <w:rsid w:val="04597836"/>
    <w:rsid w:val="04726655"/>
    <w:rsid w:val="047C0F41"/>
    <w:rsid w:val="048A7D87"/>
    <w:rsid w:val="048B1192"/>
    <w:rsid w:val="048C19CA"/>
    <w:rsid w:val="04964022"/>
    <w:rsid w:val="049B71D6"/>
    <w:rsid w:val="04AF01C1"/>
    <w:rsid w:val="04BE0153"/>
    <w:rsid w:val="04C23A64"/>
    <w:rsid w:val="04C36DAF"/>
    <w:rsid w:val="04D55098"/>
    <w:rsid w:val="04D724E3"/>
    <w:rsid w:val="04DD3F64"/>
    <w:rsid w:val="04DF5F2E"/>
    <w:rsid w:val="05067E5F"/>
    <w:rsid w:val="05077214"/>
    <w:rsid w:val="05131191"/>
    <w:rsid w:val="051313FD"/>
    <w:rsid w:val="05154D73"/>
    <w:rsid w:val="051A6F66"/>
    <w:rsid w:val="052A30FE"/>
    <w:rsid w:val="05304B00"/>
    <w:rsid w:val="05321E4A"/>
    <w:rsid w:val="054C28AE"/>
    <w:rsid w:val="054F3B84"/>
    <w:rsid w:val="05512AE0"/>
    <w:rsid w:val="05551D4C"/>
    <w:rsid w:val="05586FF4"/>
    <w:rsid w:val="055F0D07"/>
    <w:rsid w:val="056E46B3"/>
    <w:rsid w:val="05743288"/>
    <w:rsid w:val="057D1FB0"/>
    <w:rsid w:val="057E5D5A"/>
    <w:rsid w:val="05805D72"/>
    <w:rsid w:val="05961213"/>
    <w:rsid w:val="05961DB2"/>
    <w:rsid w:val="059B4A53"/>
    <w:rsid w:val="059C2177"/>
    <w:rsid w:val="05A3588E"/>
    <w:rsid w:val="05A4581C"/>
    <w:rsid w:val="05A76A4C"/>
    <w:rsid w:val="05B13817"/>
    <w:rsid w:val="05BA5C47"/>
    <w:rsid w:val="05BC35CE"/>
    <w:rsid w:val="05C649F8"/>
    <w:rsid w:val="05C66BF5"/>
    <w:rsid w:val="05C742D3"/>
    <w:rsid w:val="05D77E8B"/>
    <w:rsid w:val="05E20938"/>
    <w:rsid w:val="05EB5D00"/>
    <w:rsid w:val="05FC6E4D"/>
    <w:rsid w:val="061172A7"/>
    <w:rsid w:val="061D6D0E"/>
    <w:rsid w:val="062649F6"/>
    <w:rsid w:val="06392E3B"/>
    <w:rsid w:val="063D0369"/>
    <w:rsid w:val="06570269"/>
    <w:rsid w:val="0659794D"/>
    <w:rsid w:val="0665383A"/>
    <w:rsid w:val="066747F0"/>
    <w:rsid w:val="0677693A"/>
    <w:rsid w:val="067D59FE"/>
    <w:rsid w:val="068826BD"/>
    <w:rsid w:val="06A6772F"/>
    <w:rsid w:val="06A8333D"/>
    <w:rsid w:val="06A86B9B"/>
    <w:rsid w:val="06AA7571"/>
    <w:rsid w:val="06CC597B"/>
    <w:rsid w:val="06D10CBB"/>
    <w:rsid w:val="06D66A1C"/>
    <w:rsid w:val="06DD024B"/>
    <w:rsid w:val="06ED4932"/>
    <w:rsid w:val="06F2142F"/>
    <w:rsid w:val="07003CA6"/>
    <w:rsid w:val="0704206D"/>
    <w:rsid w:val="070739E3"/>
    <w:rsid w:val="071667FF"/>
    <w:rsid w:val="071756F2"/>
    <w:rsid w:val="0718276B"/>
    <w:rsid w:val="07245E7A"/>
    <w:rsid w:val="07286941"/>
    <w:rsid w:val="07345D03"/>
    <w:rsid w:val="074316A0"/>
    <w:rsid w:val="07444509"/>
    <w:rsid w:val="07444D9E"/>
    <w:rsid w:val="0744651C"/>
    <w:rsid w:val="074B0573"/>
    <w:rsid w:val="074B29BC"/>
    <w:rsid w:val="07524142"/>
    <w:rsid w:val="075C73C2"/>
    <w:rsid w:val="07646D1B"/>
    <w:rsid w:val="076C45F1"/>
    <w:rsid w:val="076D410E"/>
    <w:rsid w:val="07792EE9"/>
    <w:rsid w:val="078179C6"/>
    <w:rsid w:val="0785464D"/>
    <w:rsid w:val="079F4595"/>
    <w:rsid w:val="07B54B81"/>
    <w:rsid w:val="07BE1CA9"/>
    <w:rsid w:val="07BE7833"/>
    <w:rsid w:val="07C1749F"/>
    <w:rsid w:val="07C476DF"/>
    <w:rsid w:val="07D84BA3"/>
    <w:rsid w:val="07DA0EFA"/>
    <w:rsid w:val="07DE3AF8"/>
    <w:rsid w:val="07DE5F47"/>
    <w:rsid w:val="07ED24B7"/>
    <w:rsid w:val="07FA3DBD"/>
    <w:rsid w:val="07FC2953"/>
    <w:rsid w:val="07FC3989"/>
    <w:rsid w:val="07FF2C05"/>
    <w:rsid w:val="080A20AD"/>
    <w:rsid w:val="081174FB"/>
    <w:rsid w:val="081277D3"/>
    <w:rsid w:val="08130963"/>
    <w:rsid w:val="08144417"/>
    <w:rsid w:val="08330E0F"/>
    <w:rsid w:val="08421D7D"/>
    <w:rsid w:val="084914FE"/>
    <w:rsid w:val="084C192F"/>
    <w:rsid w:val="085F2ECF"/>
    <w:rsid w:val="086D51A2"/>
    <w:rsid w:val="086F12AB"/>
    <w:rsid w:val="088C7A57"/>
    <w:rsid w:val="089E5548"/>
    <w:rsid w:val="08AC6127"/>
    <w:rsid w:val="08B032DD"/>
    <w:rsid w:val="08BE2162"/>
    <w:rsid w:val="08BF7B86"/>
    <w:rsid w:val="08C73819"/>
    <w:rsid w:val="08D550C9"/>
    <w:rsid w:val="08E92DC3"/>
    <w:rsid w:val="08F577FC"/>
    <w:rsid w:val="08F645B4"/>
    <w:rsid w:val="0905098F"/>
    <w:rsid w:val="09063A89"/>
    <w:rsid w:val="090A2020"/>
    <w:rsid w:val="090D737D"/>
    <w:rsid w:val="09317615"/>
    <w:rsid w:val="093E1F1D"/>
    <w:rsid w:val="094A08EF"/>
    <w:rsid w:val="094A0DA3"/>
    <w:rsid w:val="095156A9"/>
    <w:rsid w:val="09565A76"/>
    <w:rsid w:val="0958246D"/>
    <w:rsid w:val="09672CBC"/>
    <w:rsid w:val="0979535C"/>
    <w:rsid w:val="0980075C"/>
    <w:rsid w:val="09861D3A"/>
    <w:rsid w:val="099A5C2A"/>
    <w:rsid w:val="099B0F39"/>
    <w:rsid w:val="099E4483"/>
    <w:rsid w:val="09AE57D6"/>
    <w:rsid w:val="09B3479F"/>
    <w:rsid w:val="09BA4C48"/>
    <w:rsid w:val="09CA0039"/>
    <w:rsid w:val="09D07714"/>
    <w:rsid w:val="09D47BEC"/>
    <w:rsid w:val="09E873D6"/>
    <w:rsid w:val="09EF1B2D"/>
    <w:rsid w:val="09FC06D1"/>
    <w:rsid w:val="0A02049F"/>
    <w:rsid w:val="0A076842"/>
    <w:rsid w:val="0A0E203D"/>
    <w:rsid w:val="0A225C33"/>
    <w:rsid w:val="0A363891"/>
    <w:rsid w:val="0A384E96"/>
    <w:rsid w:val="0A4030AF"/>
    <w:rsid w:val="0A424D5A"/>
    <w:rsid w:val="0A482B5D"/>
    <w:rsid w:val="0A516F86"/>
    <w:rsid w:val="0A590E77"/>
    <w:rsid w:val="0A5D6AF2"/>
    <w:rsid w:val="0A602840"/>
    <w:rsid w:val="0A883065"/>
    <w:rsid w:val="0A9C78E3"/>
    <w:rsid w:val="0AA16D4B"/>
    <w:rsid w:val="0AA25D26"/>
    <w:rsid w:val="0AA93BD3"/>
    <w:rsid w:val="0AAF0151"/>
    <w:rsid w:val="0AD91473"/>
    <w:rsid w:val="0AE0133E"/>
    <w:rsid w:val="0AE911E2"/>
    <w:rsid w:val="0AEB62EA"/>
    <w:rsid w:val="0AFB33C3"/>
    <w:rsid w:val="0B0377EF"/>
    <w:rsid w:val="0B073F62"/>
    <w:rsid w:val="0B0761D0"/>
    <w:rsid w:val="0B0A7729"/>
    <w:rsid w:val="0B1809AF"/>
    <w:rsid w:val="0B1F2C49"/>
    <w:rsid w:val="0B216017"/>
    <w:rsid w:val="0B2E09CF"/>
    <w:rsid w:val="0B337085"/>
    <w:rsid w:val="0B36617C"/>
    <w:rsid w:val="0B4D5675"/>
    <w:rsid w:val="0B500A7D"/>
    <w:rsid w:val="0B510D02"/>
    <w:rsid w:val="0B586399"/>
    <w:rsid w:val="0B6526FA"/>
    <w:rsid w:val="0B6F0B13"/>
    <w:rsid w:val="0B6F483D"/>
    <w:rsid w:val="0B70329C"/>
    <w:rsid w:val="0B8D1F16"/>
    <w:rsid w:val="0B945D42"/>
    <w:rsid w:val="0BAF07E8"/>
    <w:rsid w:val="0BB772BD"/>
    <w:rsid w:val="0BBC0197"/>
    <w:rsid w:val="0BCA2B2C"/>
    <w:rsid w:val="0BCD5AE3"/>
    <w:rsid w:val="0BD90F56"/>
    <w:rsid w:val="0BDC44A7"/>
    <w:rsid w:val="0BE210EB"/>
    <w:rsid w:val="0C06362D"/>
    <w:rsid w:val="0C0A1AE2"/>
    <w:rsid w:val="0C0B3D40"/>
    <w:rsid w:val="0C110E28"/>
    <w:rsid w:val="0C126623"/>
    <w:rsid w:val="0C146407"/>
    <w:rsid w:val="0C271FA8"/>
    <w:rsid w:val="0C277105"/>
    <w:rsid w:val="0C293BFF"/>
    <w:rsid w:val="0C4412A1"/>
    <w:rsid w:val="0C44586C"/>
    <w:rsid w:val="0C5012B1"/>
    <w:rsid w:val="0C540FAF"/>
    <w:rsid w:val="0C557E90"/>
    <w:rsid w:val="0C564D28"/>
    <w:rsid w:val="0C5741B7"/>
    <w:rsid w:val="0C636FC2"/>
    <w:rsid w:val="0C756FEA"/>
    <w:rsid w:val="0C757A49"/>
    <w:rsid w:val="0C803020"/>
    <w:rsid w:val="0C874EE1"/>
    <w:rsid w:val="0C912099"/>
    <w:rsid w:val="0C9C35FC"/>
    <w:rsid w:val="0C9F1857"/>
    <w:rsid w:val="0CC0457F"/>
    <w:rsid w:val="0CD7373F"/>
    <w:rsid w:val="0CDC1A19"/>
    <w:rsid w:val="0D066CDE"/>
    <w:rsid w:val="0D1B4866"/>
    <w:rsid w:val="0D21529C"/>
    <w:rsid w:val="0D256C91"/>
    <w:rsid w:val="0D320277"/>
    <w:rsid w:val="0D33432C"/>
    <w:rsid w:val="0D350D8F"/>
    <w:rsid w:val="0D406A07"/>
    <w:rsid w:val="0D4A74C7"/>
    <w:rsid w:val="0D4C557B"/>
    <w:rsid w:val="0D645B7B"/>
    <w:rsid w:val="0D646BB0"/>
    <w:rsid w:val="0D7300EC"/>
    <w:rsid w:val="0D7F0DA0"/>
    <w:rsid w:val="0D910B29"/>
    <w:rsid w:val="0D951880"/>
    <w:rsid w:val="0D9C49BC"/>
    <w:rsid w:val="0D9E72CE"/>
    <w:rsid w:val="0DA15ADF"/>
    <w:rsid w:val="0DAD5447"/>
    <w:rsid w:val="0DB15ECD"/>
    <w:rsid w:val="0DB32981"/>
    <w:rsid w:val="0DC614A4"/>
    <w:rsid w:val="0DC97DC8"/>
    <w:rsid w:val="0DD52A01"/>
    <w:rsid w:val="0DDA0585"/>
    <w:rsid w:val="0DDC564C"/>
    <w:rsid w:val="0DED68F1"/>
    <w:rsid w:val="0DFA18A6"/>
    <w:rsid w:val="0E0324E1"/>
    <w:rsid w:val="0E033D2E"/>
    <w:rsid w:val="0E0435E9"/>
    <w:rsid w:val="0E06086A"/>
    <w:rsid w:val="0E1238AD"/>
    <w:rsid w:val="0E2E2015"/>
    <w:rsid w:val="0E3746E5"/>
    <w:rsid w:val="0E37734D"/>
    <w:rsid w:val="0E4B2259"/>
    <w:rsid w:val="0E4E04DC"/>
    <w:rsid w:val="0E5247AF"/>
    <w:rsid w:val="0E605DE6"/>
    <w:rsid w:val="0E6179B4"/>
    <w:rsid w:val="0E7D594D"/>
    <w:rsid w:val="0E872A5E"/>
    <w:rsid w:val="0E932B9C"/>
    <w:rsid w:val="0E9535E9"/>
    <w:rsid w:val="0E973DE0"/>
    <w:rsid w:val="0E9F3DFD"/>
    <w:rsid w:val="0EA501BE"/>
    <w:rsid w:val="0EA7248B"/>
    <w:rsid w:val="0EB03F8E"/>
    <w:rsid w:val="0EB05B3B"/>
    <w:rsid w:val="0EB43FD8"/>
    <w:rsid w:val="0EBC288C"/>
    <w:rsid w:val="0EBE6BB4"/>
    <w:rsid w:val="0EC0789B"/>
    <w:rsid w:val="0ECA7C40"/>
    <w:rsid w:val="0ED17412"/>
    <w:rsid w:val="0ED231CE"/>
    <w:rsid w:val="0EE1386A"/>
    <w:rsid w:val="0EE45BC2"/>
    <w:rsid w:val="0EEF3211"/>
    <w:rsid w:val="0EF1737B"/>
    <w:rsid w:val="0EF25AAD"/>
    <w:rsid w:val="0EFD58E5"/>
    <w:rsid w:val="0F052BA6"/>
    <w:rsid w:val="0F0C3DC3"/>
    <w:rsid w:val="0F0D5446"/>
    <w:rsid w:val="0F0E1947"/>
    <w:rsid w:val="0F2A7AE9"/>
    <w:rsid w:val="0F2D3983"/>
    <w:rsid w:val="0F31548C"/>
    <w:rsid w:val="0F322E03"/>
    <w:rsid w:val="0F3340F7"/>
    <w:rsid w:val="0F3F5F7D"/>
    <w:rsid w:val="0F4A0D89"/>
    <w:rsid w:val="0F62739E"/>
    <w:rsid w:val="0F6707B9"/>
    <w:rsid w:val="0F6A0C37"/>
    <w:rsid w:val="0F6A6033"/>
    <w:rsid w:val="0F6F19D1"/>
    <w:rsid w:val="0F6F4551"/>
    <w:rsid w:val="0F7162B4"/>
    <w:rsid w:val="0F7565C0"/>
    <w:rsid w:val="0F772236"/>
    <w:rsid w:val="0F905D8F"/>
    <w:rsid w:val="0F94197C"/>
    <w:rsid w:val="0F946E68"/>
    <w:rsid w:val="0F95586F"/>
    <w:rsid w:val="0F9A4F2B"/>
    <w:rsid w:val="0F9F4762"/>
    <w:rsid w:val="0F9F6F00"/>
    <w:rsid w:val="0FA853E9"/>
    <w:rsid w:val="0FAA7072"/>
    <w:rsid w:val="0FAE2531"/>
    <w:rsid w:val="0FB00B75"/>
    <w:rsid w:val="0FB35DB7"/>
    <w:rsid w:val="0FC362BB"/>
    <w:rsid w:val="0FCC5D9E"/>
    <w:rsid w:val="0FCD5266"/>
    <w:rsid w:val="0FD06CBD"/>
    <w:rsid w:val="0FD2334F"/>
    <w:rsid w:val="0FD41F67"/>
    <w:rsid w:val="0FD83CA6"/>
    <w:rsid w:val="0FDD6E52"/>
    <w:rsid w:val="0FE8213B"/>
    <w:rsid w:val="10064C74"/>
    <w:rsid w:val="100F5E76"/>
    <w:rsid w:val="10146479"/>
    <w:rsid w:val="10162F92"/>
    <w:rsid w:val="10302F3B"/>
    <w:rsid w:val="10366AF0"/>
    <w:rsid w:val="10490EB8"/>
    <w:rsid w:val="1051110E"/>
    <w:rsid w:val="105D4A79"/>
    <w:rsid w:val="106F7384"/>
    <w:rsid w:val="10713178"/>
    <w:rsid w:val="107B6B65"/>
    <w:rsid w:val="107E06CB"/>
    <w:rsid w:val="107F4121"/>
    <w:rsid w:val="10A42C5E"/>
    <w:rsid w:val="10BB117E"/>
    <w:rsid w:val="10D3115B"/>
    <w:rsid w:val="10DB172E"/>
    <w:rsid w:val="10DD7EAE"/>
    <w:rsid w:val="10E548CC"/>
    <w:rsid w:val="10ED35FA"/>
    <w:rsid w:val="10EF2D44"/>
    <w:rsid w:val="11031D2C"/>
    <w:rsid w:val="110F1BD5"/>
    <w:rsid w:val="111168CF"/>
    <w:rsid w:val="111274EF"/>
    <w:rsid w:val="1114283C"/>
    <w:rsid w:val="11184CA3"/>
    <w:rsid w:val="111C1688"/>
    <w:rsid w:val="111C7550"/>
    <w:rsid w:val="1167740C"/>
    <w:rsid w:val="11825353"/>
    <w:rsid w:val="11830744"/>
    <w:rsid w:val="11A82219"/>
    <w:rsid w:val="11A85893"/>
    <w:rsid w:val="11B274AA"/>
    <w:rsid w:val="11C75D80"/>
    <w:rsid w:val="11D44FFB"/>
    <w:rsid w:val="11D851C3"/>
    <w:rsid w:val="11FF6A8B"/>
    <w:rsid w:val="121C2D21"/>
    <w:rsid w:val="122942A3"/>
    <w:rsid w:val="122A2BD0"/>
    <w:rsid w:val="122E6934"/>
    <w:rsid w:val="12344B7D"/>
    <w:rsid w:val="123B7552"/>
    <w:rsid w:val="124402AB"/>
    <w:rsid w:val="124A70DD"/>
    <w:rsid w:val="12573B68"/>
    <w:rsid w:val="12612A77"/>
    <w:rsid w:val="126551A3"/>
    <w:rsid w:val="12857AB0"/>
    <w:rsid w:val="128679E9"/>
    <w:rsid w:val="12872BB1"/>
    <w:rsid w:val="129640D0"/>
    <w:rsid w:val="12980900"/>
    <w:rsid w:val="12A52C53"/>
    <w:rsid w:val="12AD1521"/>
    <w:rsid w:val="12C64289"/>
    <w:rsid w:val="12CB749A"/>
    <w:rsid w:val="12D6271E"/>
    <w:rsid w:val="12E84200"/>
    <w:rsid w:val="12F43B3A"/>
    <w:rsid w:val="12FE59C4"/>
    <w:rsid w:val="1303060A"/>
    <w:rsid w:val="130B0817"/>
    <w:rsid w:val="132041F2"/>
    <w:rsid w:val="132E3E25"/>
    <w:rsid w:val="134C0C32"/>
    <w:rsid w:val="1353182C"/>
    <w:rsid w:val="135879CB"/>
    <w:rsid w:val="13687AB5"/>
    <w:rsid w:val="136D15AD"/>
    <w:rsid w:val="13882FAE"/>
    <w:rsid w:val="139329C1"/>
    <w:rsid w:val="13937D7B"/>
    <w:rsid w:val="139535B0"/>
    <w:rsid w:val="139A6783"/>
    <w:rsid w:val="13A66C4F"/>
    <w:rsid w:val="13B4364D"/>
    <w:rsid w:val="13C24237"/>
    <w:rsid w:val="13C7437A"/>
    <w:rsid w:val="13CF716E"/>
    <w:rsid w:val="13E86C1F"/>
    <w:rsid w:val="13F64F90"/>
    <w:rsid w:val="13F65598"/>
    <w:rsid w:val="14094A3E"/>
    <w:rsid w:val="14237D83"/>
    <w:rsid w:val="14333BA0"/>
    <w:rsid w:val="143435C1"/>
    <w:rsid w:val="14364AFF"/>
    <w:rsid w:val="143B55D1"/>
    <w:rsid w:val="143D4587"/>
    <w:rsid w:val="143E75DE"/>
    <w:rsid w:val="14601708"/>
    <w:rsid w:val="146C30D2"/>
    <w:rsid w:val="1477540C"/>
    <w:rsid w:val="1478329B"/>
    <w:rsid w:val="14810703"/>
    <w:rsid w:val="149F62FB"/>
    <w:rsid w:val="14A364DA"/>
    <w:rsid w:val="14C20C68"/>
    <w:rsid w:val="14D42FA9"/>
    <w:rsid w:val="14D92710"/>
    <w:rsid w:val="14DC4D54"/>
    <w:rsid w:val="14E63F4E"/>
    <w:rsid w:val="14F54E05"/>
    <w:rsid w:val="150A55D3"/>
    <w:rsid w:val="151C35CC"/>
    <w:rsid w:val="15251645"/>
    <w:rsid w:val="153B1C98"/>
    <w:rsid w:val="155B3671"/>
    <w:rsid w:val="15655CEB"/>
    <w:rsid w:val="157A49C0"/>
    <w:rsid w:val="157A5049"/>
    <w:rsid w:val="157C17C6"/>
    <w:rsid w:val="157C2D93"/>
    <w:rsid w:val="15826B8D"/>
    <w:rsid w:val="158E5532"/>
    <w:rsid w:val="159C1150"/>
    <w:rsid w:val="15A5462A"/>
    <w:rsid w:val="15BC3411"/>
    <w:rsid w:val="15C626D6"/>
    <w:rsid w:val="15D11FFF"/>
    <w:rsid w:val="15E00CCA"/>
    <w:rsid w:val="15F7761B"/>
    <w:rsid w:val="15FF2F49"/>
    <w:rsid w:val="1602662D"/>
    <w:rsid w:val="16070E41"/>
    <w:rsid w:val="160A51C7"/>
    <w:rsid w:val="160C244E"/>
    <w:rsid w:val="16101078"/>
    <w:rsid w:val="161E6D84"/>
    <w:rsid w:val="16256C53"/>
    <w:rsid w:val="162C4409"/>
    <w:rsid w:val="162E798F"/>
    <w:rsid w:val="164619CE"/>
    <w:rsid w:val="16676D41"/>
    <w:rsid w:val="166A23E4"/>
    <w:rsid w:val="168153CC"/>
    <w:rsid w:val="16850766"/>
    <w:rsid w:val="1689152D"/>
    <w:rsid w:val="168C5637"/>
    <w:rsid w:val="168E0258"/>
    <w:rsid w:val="168E3539"/>
    <w:rsid w:val="169C7CA8"/>
    <w:rsid w:val="169E28BC"/>
    <w:rsid w:val="16C139FF"/>
    <w:rsid w:val="16C46D32"/>
    <w:rsid w:val="16D056D6"/>
    <w:rsid w:val="16E80C72"/>
    <w:rsid w:val="16E862A0"/>
    <w:rsid w:val="16EB3122"/>
    <w:rsid w:val="16F07AC6"/>
    <w:rsid w:val="16FA14B0"/>
    <w:rsid w:val="171A78CF"/>
    <w:rsid w:val="171C324D"/>
    <w:rsid w:val="17212322"/>
    <w:rsid w:val="17242466"/>
    <w:rsid w:val="172B457B"/>
    <w:rsid w:val="17401951"/>
    <w:rsid w:val="174A5489"/>
    <w:rsid w:val="1762318A"/>
    <w:rsid w:val="176326F6"/>
    <w:rsid w:val="17657E9C"/>
    <w:rsid w:val="176B37E4"/>
    <w:rsid w:val="176F1172"/>
    <w:rsid w:val="177E0EA6"/>
    <w:rsid w:val="17826335"/>
    <w:rsid w:val="17863934"/>
    <w:rsid w:val="17910EAA"/>
    <w:rsid w:val="17981D0B"/>
    <w:rsid w:val="179B1E37"/>
    <w:rsid w:val="17A64A1F"/>
    <w:rsid w:val="17BB6913"/>
    <w:rsid w:val="17BC30C3"/>
    <w:rsid w:val="17C84D1C"/>
    <w:rsid w:val="17CF1878"/>
    <w:rsid w:val="17D10B32"/>
    <w:rsid w:val="17D15BAA"/>
    <w:rsid w:val="17D30F0E"/>
    <w:rsid w:val="17DF7F60"/>
    <w:rsid w:val="17E94F31"/>
    <w:rsid w:val="17EF67D1"/>
    <w:rsid w:val="18194E5B"/>
    <w:rsid w:val="181D0470"/>
    <w:rsid w:val="182A4058"/>
    <w:rsid w:val="184C5E4D"/>
    <w:rsid w:val="18506404"/>
    <w:rsid w:val="18512847"/>
    <w:rsid w:val="18573345"/>
    <w:rsid w:val="18627220"/>
    <w:rsid w:val="186802BC"/>
    <w:rsid w:val="18757658"/>
    <w:rsid w:val="187E7289"/>
    <w:rsid w:val="188A030C"/>
    <w:rsid w:val="1892167F"/>
    <w:rsid w:val="18A814EA"/>
    <w:rsid w:val="18BC624F"/>
    <w:rsid w:val="18D05E62"/>
    <w:rsid w:val="18D276D8"/>
    <w:rsid w:val="18D309FC"/>
    <w:rsid w:val="18DD40DB"/>
    <w:rsid w:val="18E8474F"/>
    <w:rsid w:val="18EC2B35"/>
    <w:rsid w:val="18ED5B1C"/>
    <w:rsid w:val="18FE139B"/>
    <w:rsid w:val="19083357"/>
    <w:rsid w:val="19115143"/>
    <w:rsid w:val="19162632"/>
    <w:rsid w:val="19182D58"/>
    <w:rsid w:val="19193E50"/>
    <w:rsid w:val="191E03B9"/>
    <w:rsid w:val="19222085"/>
    <w:rsid w:val="1925280D"/>
    <w:rsid w:val="19316099"/>
    <w:rsid w:val="194B6092"/>
    <w:rsid w:val="19524758"/>
    <w:rsid w:val="197C38F4"/>
    <w:rsid w:val="197D38E8"/>
    <w:rsid w:val="19AF6752"/>
    <w:rsid w:val="19B61A07"/>
    <w:rsid w:val="19BC0593"/>
    <w:rsid w:val="19DD6C02"/>
    <w:rsid w:val="19DE7426"/>
    <w:rsid w:val="19DF1778"/>
    <w:rsid w:val="19E73E74"/>
    <w:rsid w:val="19F209C5"/>
    <w:rsid w:val="19F91DBC"/>
    <w:rsid w:val="19FD1346"/>
    <w:rsid w:val="19FE2AB3"/>
    <w:rsid w:val="1A114519"/>
    <w:rsid w:val="1A141D7E"/>
    <w:rsid w:val="1A1679E0"/>
    <w:rsid w:val="1A1D0A74"/>
    <w:rsid w:val="1A2B7124"/>
    <w:rsid w:val="1A37178E"/>
    <w:rsid w:val="1A4D470D"/>
    <w:rsid w:val="1A512A3D"/>
    <w:rsid w:val="1A5F3F27"/>
    <w:rsid w:val="1A6E5C48"/>
    <w:rsid w:val="1A763A60"/>
    <w:rsid w:val="1A7E1F9E"/>
    <w:rsid w:val="1A807C78"/>
    <w:rsid w:val="1A81655F"/>
    <w:rsid w:val="1A973A3A"/>
    <w:rsid w:val="1A9E5BAA"/>
    <w:rsid w:val="1AA53DFE"/>
    <w:rsid w:val="1AA63E4A"/>
    <w:rsid w:val="1AB33345"/>
    <w:rsid w:val="1ABA5001"/>
    <w:rsid w:val="1ABE7494"/>
    <w:rsid w:val="1AC474FA"/>
    <w:rsid w:val="1AC5568B"/>
    <w:rsid w:val="1AC67669"/>
    <w:rsid w:val="1AEA203B"/>
    <w:rsid w:val="1B054CCF"/>
    <w:rsid w:val="1B0B7D6F"/>
    <w:rsid w:val="1B18195B"/>
    <w:rsid w:val="1B1A5316"/>
    <w:rsid w:val="1B1E38F0"/>
    <w:rsid w:val="1B2129A5"/>
    <w:rsid w:val="1B251F75"/>
    <w:rsid w:val="1B255E5E"/>
    <w:rsid w:val="1B55264E"/>
    <w:rsid w:val="1B560266"/>
    <w:rsid w:val="1B5E7A99"/>
    <w:rsid w:val="1B625C26"/>
    <w:rsid w:val="1B67570D"/>
    <w:rsid w:val="1B723B6E"/>
    <w:rsid w:val="1B77250E"/>
    <w:rsid w:val="1B803B6F"/>
    <w:rsid w:val="1B872DC9"/>
    <w:rsid w:val="1B891B3A"/>
    <w:rsid w:val="1B896117"/>
    <w:rsid w:val="1B934B43"/>
    <w:rsid w:val="1BA20BE7"/>
    <w:rsid w:val="1BA9632A"/>
    <w:rsid w:val="1BAB76BA"/>
    <w:rsid w:val="1BAE1AB4"/>
    <w:rsid w:val="1BB52C1C"/>
    <w:rsid w:val="1BC35FE2"/>
    <w:rsid w:val="1BC51269"/>
    <w:rsid w:val="1BC872C4"/>
    <w:rsid w:val="1BCB564E"/>
    <w:rsid w:val="1BCB70E5"/>
    <w:rsid w:val="1BD40B01"/>
    <w:rsid w:val="1BEC4D61"/>
    <w:rsid w:val="1BF554C0"/>
    <w:rsid w:val="1C0218F4"/>
    <w:rsid w:val="1C0704F5"/>
    <w:rsid w:val="1C08428E"/>
    <w:rsid w:val="1C1C03B9"/>
    <w:rsid w:val="1C237D92"/>
    <w:rsid w:val="1C321F2C"/>
    <w:rsid w:val="1C47569D"/>
    <w:rsid w:val="1C4F01F3"/>
    <w:rsid w:val="1C5F0976"/>
    <w:rsid w:val="1C6C68F4"/>
    <w:rsid w:val="1C74698E"/>
    <w:rsid w:val="1C783F08"/>
    <w:rsid w:val="1C7A2953"/>
    <w:rsid w:val="1C7B4710"/>
    <w:rsid w:val="1C891D03"/>
    <w:rsid w:val="1C894447"/>
    <w:rsid w:val="1C8962A2"/>
    <w:rsid w:val="1C9A3571"/>
    <w:rsid w:val="1CA611AE"/>
    <w:rsid w:val="1CAD08C6"/>
    <w:rsid w:val="1CAF6912"/>
    <w:rsid w:val="1CB6784A"/>
    <w:rsid w:val="1CC11607"/>
    <w:rsid w:val="1CC910D9"/>
    <w:rsid w:val="1CD1607D"/>
    <w:rsid w:val="1CD21F1F"/>
    <w:rsid w:val="1CD95767"/>
    <w:rsid w:val="1CE97E0A"/>
    <w:rsid w:val="1CF11E86"/>
    <w:rsid w:val="1CF956C8"/>
    <w:rsid w:val="1D000E4E"/>
    <w:rsid w:val="1D0B72CB"/>
    <w:rsid w:val="1D2C5A21"/>
    <w:rsid w:val="1D37331F"/>
    <w:rsid w:val="1D3B0779"/>
    <w:rsid w:val="1D4652A3"/>
    <w:rsid w:val="1D522462"/>
    <w:rsid w:val="1D555DA0"/>
    <w:rsid w:val="1D7B5CB8"/>
    <w:rsid w:val="1D9735DB"/>
    <w:rsid w:val="1DAC04F6"/>
    <w:rsid w:val="1DAC6719"/>
    <w:rsid w:val="1DB21FDA"/>
    <w:rsid w:val="1DBC2D78"/>
    <w:rsid w:val="1DC4401E"/>
    <w:rsid w:val="1DD303F3"/>
    <w:rsid w:val="1DD65CC8"/>
    <w:rsid w:val="1DDC6AD7"/>
    <w:rsid w:val="1DDF23CC"/>
    <w:rsid w:val="1DE231AA"/>
    <w:rsid w:val="1DE814D2"/>
    <w:rsid w:val="1DE82723"/>
    <w:rsid w:val="1E0A5972"/>
    <w:rsid w:val="1E0C16EA"/>
    <w:rsid w:val="1E4E61B0"/>
    <w:rsid w:val="1E574F56"/>
    <w:rsid w:val="1E5A4498"/>
    <w:rsid w:val="1E5F011A"/>
    <w:rsid w:val="1E625436"/>
    <w:rsid w:val="1E6663F7"/>
    <w:rsid w:val="1E7534B2"/>
    <w:rsid w:val="1E796654"/>
    <w:rsid w:val="1E796D74"/>
    <w:rsid w:val="1E823D17"/>
    <w:rsid w:val="1E9F0482"/>
    <w:rsid w:val="1EA71EAA"/>
    <w:rsid w:val="1EC512F5"/>
    <w:rsid w:val="1EDE4402"/>
    <w:rsid w:val="1EE12B77"/>
    <w:rsid w:val="1EE77DBE"/>
    <w:rsid w:val="1EE96DAD"/>
    <w:rsid w:val="1EF00924"/>
    <w:rsid w:val="1EF417AF"/>
    <w:rsid w:val="1EFC4222"/>
    <w:rsid w:val="1F036180"/>
    <w:rsid w:val="1F070103"/>
    <w:rsid w:val="1F07070B"/>
    <w:rsid w:val="1F135214"/>
    <w:rsid w:val="1F272FC0"/>
    <w:rsid w:val="1F32300F"/>
    <w:rsid w:val="1F343ECD"/>
    <w:rsid w:val="1F505A44"/>
    <w:rsid w:val="1F5F4A6B"/>
    <w:rsid w:val="1F6B7C4E"/>
    <w:rsid w:val="1F723B5E"/>
    <w:rsid w:val="1F7A7B75"/>
    <w:rsid w:val="1F8018A4"/>
    <w:rsid w:val="1F83134D"/>
    <w:rsid w:val="1F852B82"/>
    <w:rsid w:val="1F88524D"/>
    <w:rsid w:val="1F8E5072"/>
    <w:rsid w:val="1FAF196E"/>
    <w:rsid w:val="1FB43DE7"/>
    <w:rsid w:val="1FB520EA"/>
    <w:rsid w:val="1FBA3555"/>
    <w:rsid w:val="1FC64B50"/>
    <w:rsid w:val="1FE13067"/>
    <w:rsid w:val="1FF16CE6"/>
    <w:rsid w:val="1FFF6464"/>
    <w:rsid w:val="200668CC"/>
    <w:rsid w:val="200D1566"/>
    <w:rsid w:val="2016722E"/>
    <w:rsid w:val="201D66EC"/>
    <w:rsid w:val="2033043F"/>
    <w:rsid w:val="20381050"/>
    <w:rsid w:val="2059615B"/>
    <w:rsid w:val="206F2764"/>
    <w:rsid w:val="20785385"/>
    <w:rsid w:val="207C2E8E"/>
    <w:rsid w:val="208452A5"/>
    <w:rsid w:val="20854228"/>
    <w:rsid w:val="20895274"/>
    <w:rsid w:val="208E5104"/>
    <w:rsid w:val="20983709"/>
    <w:rsid w:val="20A2391A"/>
    <w:rsid w:val="20A75582"/>
    <w:rsid w:val="20AC2DEC"/>
    <w:rsid w:val="20C278B1"/>
    <w:rsid w:val="20CE0ED9"/>
    <w:rsid w:val="20D81D57"/>
    <w:rsid w:val="20EA2B80"/>
    <w:rsid w:val="20F35411"/>
    <w:rsid w:val="20FA1C92"/>
    <w:rsid w:val="21007265"/>
    <w:rsid w:val="21075377"/>
    <w:rsid w:val="210D37AC"/>
    <w:rsid w:val="211A2370"/>
    <w:rsid w:val="211B5A66"/>
    <w:rsid w:val="21207BCE"/>
    <w:rsid w:val="21325DEC"/>
    <w:rsid w:val="213351E0"/>
    <w:rsid w:val="213752EE"/>
    <w:rsid w:val="215009A2"/>
    <w:rsid w:val="21574FC8"/>
    <w:rsid w:val="216033E0"/>
    <w:rsid w:val="21682D0F"/>
    <w:rsid w:val="216830DB"/>
    <w:rsid w:val="216C0546"/>
    <w:rsid w:val="216E4A4F"/>
    <w:rsid w:val="216F7663"/>
    <w:rsid w:val="21782350"/>
    <w:rsid w:val="21796D3B"/>
    <w:rsid w:val="217A40A2"/>
    <w:rsid w:val="217F7132"/>
    <w:rsid w:val="21804AF9"/>
    <w:rsid w:val="219519F6"/>
    <w:rsid w:val="219F2875"/>
    <w:rsid w:val="21A47E8B"/>
    <w:rsid w:val="21A50B34"/>
    <w:rsid w:val="21A77FCC"/>
    <w:rsid w:val="21B06EA4"/>
    <w:rsid w:val="21D818E3"/>
    <w:rsid w:val="21DB2344"/>
    <w:rsid w:val="21DB24E8"/>
    <w:rsid w:val="21F04E7F"/>
    <w:rsid w:val="21F91CD4"/>
    <w:rsid w:val="221655EB"/>
    <w:rsid w:val="2219725E"/>
    <w:rsid w:val="22270BC8"/>
    <w:rsid w:val="2234118D"/>
    <w:rsid w:val="22351A5F"/>
    <w:rsid w:val="22484A0C"/>
    <w:rsid w:val="224B7599"/>
    <w:rsid w:val="22533BDA"/>
    <w:rsid w:val="225E628C"/>
    <w:rsid w:val="226454A5"/>
    <w:rsid w:val="2276303B"/>
    <w:rsid w:val="2277734E"/>
    <w:rsid w:val="227930C6"/>
    <w:rsid w:val="22857CBD"/>
    <w:rsid w:val="22A21485"/>
    <w:rsid w:val="22C500B9"/>
    <w:rsid w:val="22CA6FFD"/>
    <w:rsid w:val="22CE0AC0"/>
    <w:rsid w:val="22D80C0E"/>
    <w:rsid w:val="22DC3DB7"/>
    <w:rsid w:val="22F03DB7"/>
    <w:rsid w:val="230E1A60"/>
    <w:rsid w:val="23131962"/>
    <w:rsid w:val="23152DEF"/>
    <w:rsid w:val="23316521"/>
    <w:rsid w:val="23333814"/>
    <w:rsid w:val="2334175D"/>
    <w:rsid w:val="23377279"/>
    <w:rsid w:val="233E3FBF"/>
    <w:rsid w:val="234D7B6F"/>
    <w:rsid w:val="23522DD6"/>
    <w:rsid w:val="23696C97"/>
    <w:rsid w:val="23A62C8D"/>
    <w:rsid w:val="23A96F89"/>
    <w:rsid w:val="23AD53B1"/>
    <w:rsid w:val="23B267EF"/>
    <w:rsid w:val="23BA1EB0"/>
    <w:rsid w:val="23BC4DED"/>
    <w:rsid w:val="23D44908"/>
    <w:rsid w:val="23ED1676"/>
    <w:rsid w:val="23F03FF6"/>
    <w:rsid w:val="23FA25D5"/>
    <w:rsid w:val="23FD1BC3"/>
    <w:rsid w:val="241C01AD"/>
    <w:rsid w:val="241E3F25"/>
    <w:rsid w:val="241F3D8B"/>
    <w:rsid w:val="242E67C2"/>
    <w:rsid w:val="242F2D96"/>
    <w:rsid w:val="24345FD2"/>
    <w:rsid w:val="24442CA2"/>
    <w:rsid w:val="24582BC0"/>
    <w:rsid w:val="245B7A3E"/>
    <w:rsid w:val="2465235E"/>
    <w:rsid w:val="246833F2"/>
    <w:rsid w:val="247B38AE"/>
    <w:rsid w:val="249063C6"/>
    <w:rsid w:val="249271E1"/>
    <w:rsid w:val="249C5365"/>
    <w:rsid w:val="24A30C5B"/>
    <w:rsid w:val="24A81A41"/>
    <w:rsid w:val="24AE45F1"/>
    <w:rsid w:val="24B410D9"/>
    <w:rsid w:val="24B51B7D"/>
    <w:rsid w:val="24C80424"/>
    <w:rsid w:val="24DC3351"/>
    <w:rsid w:val="24E95B02"/>
    <w:rsid w:val="24EA02AB"/>
    <w:rsid w:val="24FF12FF"/>
    <w:rsid w:val="2500187D"/>
    <w:rsid w:val="250F60C6"/>
    <w:rsid w:val="25161E70"/>
    <w:rsid w:val="251B66B7"/>
    <w:rsid w:val="252533B0"/>
    <w:rsid w:val="252858C5"/>
    <w:rsid w:val="252A0D1B"/>
    <w:rsid w:val="25315EDA"/>
    <w:rsid w:val="25547980"/>
    <w:rsid w:val="25554B63"/>
    <w:rsid w:val="255676EF"/>
    <w:rsid w:val="25571DF9"/>
    <w:rsid w:val="255B6005"/>
    <w:rsid w:val="25606C8F"/>
    <w:rsid w:val="257A0E47"/>
    <w:rsid w:val="257D08AA"/>
    <w:rsid w:val="25837377"/>
    <w:rsid w:val="25851E17"/>
    <w:rsid w:val="2599369A"/>
    <w:rsid w:val="259A3A7F"/>
    <w:rsid w:val="25A214D3"/>
    <w:rsid w:val="25A641D2"/>
    <w:rsid w:val="25BB20A7"/>
    <w:rsid w:val="25BF34E6"/>
    <w:rsid w:val="25C0680D"/>
    <w:rsid w:val="25C601F5"/>
    <w:rsid w:val="25D47E5C"/>
    <w:rsid w:val="25D532B6"/>
    <w:rsid w:val="25DB5D12"/>
    <w:rsid w:val="25E81F02"/>
    <w:rsid w:val="25F92623"/>
    <w:rsid w:val="25FC2044"/>
    <w:rsid w:val="25FC2720"/>
    <w:rsid w:val="26012547"/>
    <w:rsid w:val="260333D3"/>
    <w:rsid w:val="261B579F"/>
    <w:rsid w:val="261E78B1"/>
    <w:rsid w:val="264477D1"/>
    <w:rsid w:val="26546F1A"/>
    <w:rsid w:val="266229E0"/>
    <w:rsid w:val="266B6230"/>
    <w:rsid w:val="269D25A0"/>
    <w:rsid w:val="269E1273"/>
    <w:rsid w:val="269E1E98"/>
    <w:rsid w:val="26A52BA4"/>
    <w:rsid w:val="26AC4D92"/>
    <w:rsid w:val="26E34DC9"/>
    <w:rsid w:val="270F560D"/>
    <w:rsid w:val="2710742B"/>
    <w:rsid w:val="27206D71"/>
    <w:rsid w:val="27250046"/>
    <w:rsid w:val="2726040D"/>
    <w:rsid w:val="272A788B"/>
    <w:rsid w:val="27391679"/>
    <w:rsid w:val="27394B06"/>
    <w:rsid w:val="27406B3E"/>
    <w:rsid w:val="2740781F"/>
    <w:rsid w:val="2745133C"/>
    <w:rsid w:val="27465706"/>
    <w:rsid w:val="275316E3"/>
    <w:rsid w:val="275E5370"/>
    <w:rsid w:val="277201D5"/>
    <w:rsid w:val="277976C4"/>
    <w:rsid w:val="277B168E"/>
    <w:rsid w:val="277F726D"/>
    <w:rsid w:val="278B7B24"/>
    <w:rsid w:val="27903767"/>
    <w:rsid w:val="27A31E0C"/>
    <w:rsid w:val="27AB56C3"/>
    <w:rsid w:val="27AC1689"/>
    <w:rsid w:val="27AE4C81"/>
    <w:rsid w:val="27B96817"/>
    <w:rsid w:val="27BA5ABB"/>
    <w:rsid w:val="27BF3329"/>
    <w:rsid w:val="27C47C14"/>
    <w:rsid w:val="27D05589"/>
    <w:rsid w:val="28044169"/>
    <w:rsid w:val="281F026C"/>
    <w:rsid w:val="283566FD"/>
    <w:rsid w:val="284677BF"/>
    <w:rsid w:val="284A527D"/>
    <w:rsid w:val="284B3352"/>
    <w:rsid w:val="2853676F"/>
    <w:rsid w:val="285A5CE2"/>
    <w:rsid w:val="28686781"/>
    <w:rsid w:val="28697739"/>
    <w:rsid w:val="287074B7"/>
    <w:rsid w:val="287F193A"/>
    <w:rsid w:val="28884B08"/>
    <w:rsid w:val="288E500B"/>
    <w:rsid w:val="2898788F"/>
    <w:rsid w:val="28B035A5"/>
    <w:rsid w:val="28B157A8"/>
    <w:rsid w:val="28B36B32"/>
    <w:rsid w:val="28B918F3"/>
    <w:rsid w:val="28BE4A2E"/>
    <w:rsid w:val="28C378CA"/>
    <w:rsid w:val="28C51D9C"/>
    <w:rsid w:val="28D71033"/>
    <w:rsid w:val="28DF17A9"/>
    <w:rsid w:val="28E02A1E"/>
    <w:rsid w:val="28F06F86"/>
    <w:rsid w:val="28F40ACC"/>
    <w:rsid w:val="29000207"/>
    <w:rsid w:val="290A7C51"/>
    <w:rsid w:val="290F3A61"/>
    <w:rsid w:val="291450BA"/>
    <w:rsid w:val="29346BAC"/>
    <w:rsid w:val="293848A4"/>
    <w:rsid w:val="29390124"/>
    <w:rsid w:val="293C5A15"/>
    <w:rsid w:val="29424D37"/>
    <w:rsid w:val="294664E5"/>
    <w:rsid w:val="294C2448"/>
    <w:rsid w:val="29512BC8"/>
    <w:rsid w:val="295274C6"/>
    <w:rsid w:val="29573746"/>
    <w:rsid w:val="29595E3B"/>
    <w:rsid w:val="29602490"/>
    <w:rsid w:val="2970128E"/>
    <w:rsid w:val="297E4E56"/>
    <w:rsid w:val="2993460E"/>
    <w:rsid w:val="29954C89"/>
    <w:rsid w:val="299A5D04"/>
    <w:rsid w:val="29A33E85"/>
    <w:rsid w:val="29AB6AB9"/>
    <w:rsid w:val="29AD6458"/>
    <w:rsid w:val="29B035A5"/>
    <w:rsid w:val="29CD4ED2"/>
    <w:rsid w:val="29E32E95"/>
    <w:rsid w:val="29E73C0E"/>
    <w:rsid w:val="29F909FD"/>
    <w:rsid w:val="29FC5296"/>
    <w:rsid w:val="2A02143F"/>
    <w:rsid w:val="2A040FE1"/>
    <w:rsid w:val="2A0F72DD"/>
    <w:rsid w:val="2A190C35"/>
    <w:rsid w:val="2A2653AE"/>
    <w:rsid w:val="2A2969FE"/>
    <w:rsid w:val="2A2D2B46"/>
    <w:rsid w:val="2A390639"/>
    <w:rsid w:val="2A3C4F12"/>
    <w:rsid w:val="2A3F3258"/>
    <w:rsid w:val="2A493D76"/>
    <w:rsid w:val="2A581000"/>
    <w:rsid w:val="2A5C7555"/>
    <w:rsid w:val="2A6C506A"/>
    <w:rsid w:val="2A70515F"/>
    <w:rsid w:val="2A934F5E"/>
    <w:rsid w:val="2A965962"/>
    <w:rsid w:val="2AA251B2"/>
    <w:rsid w:val="2AAF4CEE"/>
    <w:rsid w:val="2AB31C8B"/>
    <w:rsid w:val="2ABA4F7A"/>
    <w:rsid w:val="2AC64F5F"/>
    <w:rsid w:val="2AD357BE"/>
    <w:rsid w:val="2AD83271"/>
    <w:rsid w:val="2ADA568B"/>
    <w:rsid w:val="2AE5255F"/>
    <w:rsid w:val="2AEC4033"/>
    <w:rsid w:val="2AEF3A6B"/>
    <w:rsid w:val="2AF3526C"/>
    <w:rsid w:val="2B08760D"/>
    <w:rsid w:val="2B264065"/>
    <w:rsid w:val="2B327B7C"/>
    <w:rsid w:val="2B391563"/>
    <w:rsid w:val="2B4843B0"/>
    <w:rsid w:val="2B5E3610"/>
    <w:rsid w:val="2B620B9B"/>
    <w:rsid w:val="2B7502BB"/>
    <w:rsid w:val="2B845AF5"/>
    <w:rsid w:val="2B881C53"/>
    <w:rsid w:val="2B9F1F49"/>
    <w:rsid w:val="2BA27994"/>
    <w:rsid w:val="2BA612E3"/>
    <w:rsid w:val="2BAC3108"/>
    <w:rsid w:val="2BB5452D"/>
    <w:rsid w:val="2BB54755"/>
    <w:rsid w:val="2BB62C95"/>
    <w:rsid w:val="2BCB2422"/>
    <w:rsid w:val="2BD75546"/>
    <w:rsid w:val="2BE271C2"/>
    <w:rsid w:val="2BE44087"/>
    <w:rsid w:val="2BEB6870"/>
    <w:rsid w:val="2BF00CC8"/>
    <w:rsid w:val="2BF725AC"/>
    <w:rsid w:val="2BF72652"/>
    <w:rsid w:val="2BF8471F"/>
    <w:rsid w:val="2BFA2941"/>
    <w:rsid w:val="2C0479F7"/>
    <w:rsid w:val="2C0F5212"/>
    <w:rsid w:val="2C136246"/>
    <w:rsid w:val="2C1B64D9"/>
    <w:rsid w:val="2C276BD8"/>
    <w:rsid w:val="2C2F7C93"/>
    <w:rsid w:val="2C446F25"/>
    <w:rsid w:val="2C7164B1"/>
    <w:rsid w:val="2C7D74E9"/>
    <w:rsid w:val="2C7E3688"/>
    <w:rsid w:val="2C817F8D"/>
    <w:rsid w:val="2C930FE8"/>
    <w:rsid w:val="2CB467D4"/>
    <w:rsid w:val="2CC05F7C"/>
    <w:rsid w:val="2CC529EE"/>
    <w:rsid w:val="2CC807B9"/>
    <w:rsid w:val="2CC96B63"/>
    <w:rsid w:val="2CD06F4A"/>
    <w:rsid w:val="2CD25F7A"/>
    <w:rsid w:val="2CD367CC"/>
    <w:rsid w:val="2CD5539D"/>
    <w:rsid w:val="2CD739E1"/>
    <w:rsid w:val="2CDD0461"/>
    <w:rsid w:val="2CE262D8"/>
    <w:rsid w:val="2CED15B8"/>
    <w:rsid w:val="2CF10507"/>
    <w:rsid w:val="2CFA5FBA"/>
    <w:rsid w:val="2D024C1A"/>
    <w:rsid w:val="2D055557"/>
    <w:rsid w:val="2D2378FF"/>
    <w:rsid w:val="2D264D90"/>
    <w:rsid w:val="2D294951"/>
    <w:rsid w:val="2D2D392E"/>
    <w:rsid w:val="2D355E3C"/>
    <w:rsid w:val="2D407D4D"/>
    <w:rsid w:val="2D4A2D45"/>
    <w:rsid w:val="2D536667"/>
    <w:rsid w:val="2D543104"/>
    <w:rsid w:val="2D591727"/>
    <w:rsid w:val="2D5A7CD8"/>
    <w:rsid w:val="2D674215"/>
    <w:rsid w:val="2D6A41F8"/>
    <w:rsid w:val="2D6E3B48"/>
    <w:rsid w:val="2D720E3E"/>
    <w:rsid w:val="2D7545FA"/>
    <w:rsid w:val="2D773EEE"/>
    <w:rsid w:val="2D7B23E8"/>
    <w:rsid w:val="2D7E72BA"/>
    <w:rsid w:val="2D8A262B"/>
    <w:rsid w:val="2DA1654B"/>
    <w:rsid w:val="2DAF3E40"/>
    <w:rsid w:val="2DB568F3"/>
    <w:rsid w:val="2DBC16D8"/>
    <w:rsid w:val="2DC55411"/>
    <w:rsid w:val="2DC57599"/>
    <w:rsid w:val="2DE25DD3"/>
    <w:rsid w:val="2DE43D39"/>
    <w:rsid w:val="2DE50015"/>
    <w:rsid w:val="2DE630A0"/>
    <w:rsid w:val="2DE81790"/>
    <w:rsid w:val="2DF4181D"/>
    <w:rsid w:val="2E047A8A"/>
    <w:rsid w:val="2E09336E"/>
    <w:rsid w:val="2E1271F2"/>
    <w:rsid w:val="2E1A66A7"/>
    <w:rsid w:val="2E2640B9"/>
    <w:rsid w:val="2E29569F"/>
    <w:rsid w:val="2E2E1FC8"/>
    <w:rsid w:val="2E363F40"/>
    <w:rsid w:val="2E396E7F"/>
    <w:rsid w:val="2E4E006E"/>
    <w:rsid w:val="2E693078"/>
    <w:rsid w:val="2E6B02C8"/>
    <w:rsid w:val="2E6D023D"/>
    <w:rsid w:val="2E6F1A11"/>
    <w:rsid w:val="2E7B65B0"/>
    <w:rsid w:val="2E7C3BDB"/>
    <w:rsid w:val="2E871F6C"/>
    <w:rsid w:val="2E896457"/>
    <w:rsid w:val="2E8A2EE2"/>
    <w:rsid w:val="2E931833"/>
    <w:rsid w:val="2E985B60"/>
    <w:rsid w:val="2E9D40C2"/>
    <w:rsid w:val="2EA228FC"/>
    <w:rsid w:val="2EA82C15"/>
    <w:rsid w:val="2ECB3D0A"/>
    <w:rsid w:val="2ED5090E"/>
    <w:rsid w:val="2EDE6949"/>
    <w:rsid w:val="2EE86A9B"/>
    <w:rsid w:val="2EFF40D6"/>
    <w:rsid w:val="2F054668"/>
    <w:rsid w:val="2F0A3D1E"/>
    <w:rsid w:val="2F173186"/>
    <w:rsid w:val="2F2F2439"/>
    <w:rsid w:val="2F3338C2"/>
    <w:rsid w:val="2F362BC8"/>
    <w:rsid w:val="2F3F147E"/>
    <w:rsid w:val="2F45212B"/>
    <w:rsid w:val="2F465E03"/>
    <w:rsid w:val="2F4B49E0"/>
    <w:rsid w:val="2F533AF6"/>
    <w:rsid w:val="2F580C88"/>
    <w:rsid w:val="2F6D4363"/>
    <w:rsid w:val="2F741F83"/>
    <w:rsid w:val="2F762970"/>
    <w:rsid w:val="2F77689C"/>
    <w:rsid w:val="2F7C4F38"/>
    <w:rsid w:val="2F8A473E"/>
    <w:rsid w:val="2F930E35"/>
    <w:rsid w:val="2FA103B5"/>
    <w:rsid w:val="2FA95FD3"/>
    <w:rsid w:val="2FAA77E0"/>
    <w:rsid w:val="2FB54A7E"/>
    <w:rsid w:val="2FC13315"/>
    <w:rsid w:val="2FC8361B"/>
    <w:rsid w:val="2FC97349"/>
    <w:rsid w:val="2FD220BD"/>
    <w:rsid w:val="2FDD2A14"/>
    <w:rsid w:val="2FDD345C"/>
    <w:rsid w:val="2FEF6BF1"/>
    <w:rsid w:val="2FF81ACE"/>
    <w:rsid w:val="30087E73"/>
    <w:rsid w:val="300D74FF"/>
    <w:rsid w:val="30297EDA"/>
    <w:rsid w:val="303D53CA"/>
    <w:rsid w:val="304B58D0"/>
    <w:rsid w:val="3062519A"/>
    <w:rsid w:val="306F72D2"/>
    <w:rsid w:val="307425A3"/>
    <w:rsid w:val="30763604"/>
    <w:rsid w:val="30806265"/>
    <w:rsid w:val="309440A1"/>
    <w:rsid w:val="309D0BE3"/>
    <w:rsid w:val="30A064C2"/>
    <w:rsid w:val="30A47092"/>
    <w:rsid w:val="30AA3BFA"/>
    <w:rsid w:val="30AB2AFE"/>
    <w:rsid w:val="30AF3B85"/>
    <w:rsid w:val="30B3242C"/>
    <w:rsid w:val="30BB1910"/>
    <w:rsid w:val="30D25A79"/>
    <w:rsid w:val="30D32E6E"/>
    <w:rsid w:val="30D611CA"/>
    <w:rsid w:val="30DF1DCF"/>
    <w:rsid w:val="30E51768"/>
    <w:rsid w:val="30ED1814"/>
    <w:rsid w:val="310127B1"/>
    <w:rsid w:val="310337EB"/>
    <w:rsid w:val="31046251"/>
    <w:rsid w:val="31053B1E"/>
    <w:rsid w:val="31172428"/>
    <w:rsid w:val="31211C86"/>
    <w:rsid w:val="31303240"/>
    <w:rsid w:val="313C08E6"/>
    <w:rsid w:val="314365C3"/>
    <w:rsid w:val="31555CDE"/>
    <w:rsid w:val="315A429A"/>
    <w:rsid w:val="31757561"/>
    <w:rsid w:val="317D2383"/>
    <w:rsid w:val="31954963"/>
    <w:rsid w:val="319C0AE5"/>
    <w:rsid w:val="31A6408A"/>
    <w:rsid w:val="31B14330"/>
    <w:rsid w:val="31BA1489"/>
    <w:rsid w:val="31BA38A5"/>
    <w:rsid w:val="31D10829"/>
    <w:rsid w:val="31D178DC"/>
    <w:rsid w:val="31D9148B"/>
    <w:rsid w:val="31E340B8"/>
    <w:rsid w:val="31EB4AA6"/>
    <w:rsid w:val="31EF1B9E"/>
    <w:rsid w:val="31F2079F"/>
    <w:rsid w:val="31F374E7"/>
    <w:rsid w:val="31F864B7"/>
    <w:rsid w:val="31FB717E"/>
    <w:rsid w:val="320358CC"/>
    <w:rsid w:val="32136F68"/>
    <w:rsid w:val="326354F7"/>
    <w:rsid w:val="326477E0"/>
    <w:rsid w:val="326D18F1"/>
    <w:rsid w:val="327403DA"/>
    <w:rsid w:val="329522E8"/>
    <w:rsid w:val="329616E4"/>
    <w:rsid w:val="32A11167"/>
    <w:rsid w:val="32A654E7"/>
    <w:rsid w:val="32AE0C76"/>
    <w:rsid w:val="32AF0847"/>
    <w:rsid w:val="32B358AD"/>
    <w:rsid w:val="32B56AA5"/>
    <w:rsid w:val="32C30843"/>
    <w:rsid w:val="32C65EB4"/>
    <w:rsid w:val="32C84DAD"/>
    <w:rsid w:val="32DA70DA"/>
    <w:rsid w:val="32F8285C"/>
    <w:rsid w:val="32FC0972"/>
    <w:rsid w:val="32FC3933"/>
    <w:rsid w:val="32FF2900"/>
    <w:rsid w:val="33010F28"/>
    <w:rsid w:val="3311530F"/>
    <w:rsid w:val="331317FE"/>
    <w:rsid w:val="331C1E90"/>
    <w:rsid w:val="33203D2B"/>
    <w:rsid w:val="33222915"/>
    <w:rsid w:val="332309C6"/>
    <w:rsid w:val="33233E67"/>
    <w:rsid w:val="334F16EB"/>
    <w:rsid w:val="335229FE"/>
    <w:rsid w:val="335850B9"/>
    <w:rsid w:val="33694CF9"/>
    <w:rsid w:val="336E1BE8"/>
    <w:rsid w:val="33702C81"/>
    <w:rsid w:val="337A4FF6"/>
    <w:rsid w:val="33843A2B"/>
    <w:rsid w:val="33892C67"/>
    <w:rsid w:val="338F1F96"/>
    <w:rsid w:val="33927966"/>
    <w:rsid w:val="339671C3"/>
    <w:rsid w:val="339B7340"/>
    <w:rsid w:val="33A54175"/>
    <w:rsid w:val="33B11E93"/>
    <w:rsid w:val="33B31878"/>
    <w:rsid w:val="33B3436F"/>
    <w:rsid w:val="33B54DB3"/>
    <w:rsid w:val="33CA11F3"/>
    <w:rsid w:val="33DD3914"/>
    <w:rsid w:val="33F8659C"/>
    <w:rsid w:val="33FF5161"/>
    <w:rsid w:val="340F789E"/>
    <w:rsid w:val="34126A58"/>
    <w:rsid w:val="342F7B43"/>
    <w:rsid w:val="343F298C"/>
    <w:rsid w:val="3442248B"/>
    <w:rsid w:val="34524C30"/>
    <w:rsid w:val="34557D58"/>
    <w:rsid w:val="34847D29"/>
    <w:rsid w:val="348A1163"/>
    <w:rsid w:val="349A231F"/>
    <w:rsid w:val="349F4C0E"/>
    <w:rsid w:val="34A039C5"/>
    <w:rsid w:val="34B248CF"/>
    <w:rsid w:val="34B917CD"/>
    <w:rsid w:val="34C42D84"/>
    <w:rsid w:val="34E4534C"/>
    <w:rsid w:val="34F915C4"/>
    <w:rsid w:val="34FE687A"/>
    <w:rsid w:val="34FF38FF"/>
    <w:rsid w:val="35142D5B"/>
    <w:rsid w:val="351622D8"/>
    <w:rsid w:val="35164F44"/>
    <w:rsid w:val="351E4C32"/>
    <w:rsid w:val="35266AE6"/>
    <w:rsid w:val="352C5EB5"/>
    <w:rsid w:val="353627DC"/>
    <w:rsid w:val="353D08F6"/>
    <w:rsid w:val="35404E95"/>
    <w:rsid w:val="355118CA"/>
    <w:rsid w:val="355D56CC"/>
    <w:rsid w:val="35691EF5"/>
    <w:rsid w:val="356B100D"/>
    <w:rsid w:val="35790CFF"/>
    <w:rsid w:val="358857E2"/>
    <w:rsid w:val="35970D28"/>
    <w:rsid w:val="35B82BBA"/>
    <w:rsid w:val="35BA7105"/>
    <w:rsid w:val="35BF02B8"/>
    <w:rsid w:val="35C57104"/>
    <w:rsid w:val="35EE3ED5"/>
    <w:rsid w:val="35FA7C22"/>
    <w:rsid w:val="35FE5AA8"/>
    <w:rsid w:val="36141D8A"/>
    <w:rsid w:val="36305F08"/>
    <w:rsid w:val="364F5EED"/>
    <w:rsid w:val="365A126D"/>
    <w:rsid w:val="365E253E"/>
    <w:rsid w:val="36645BE7"/>
    <w:rsid w:val="36691639"/>
    <w:rsid w:val="36762EBA"/>
    <w:rsid w:val="36826596"/>
    <w:rsid w:val="36851BE2"/>
    <w:rsid w:val="368A2FEA"/>
    <w:rsid w:val="368E73B2"/>
    <w:rsid w:val="36A205C4"/>
    <w:rsid w:val="36A62454"/>
    <w:rsid w:val="36A84AAF"/>
    <w:rsid w:val="36B239E0"/>
    <w:rsid w:val="36B83D65"/>
    <w:rsid w:val="36C330CF"/>
    <w:rsid w:val="36CF0DCA"/>
    <w:rsid w:val="36E678E3"/>
    <w:rsid w:val="370457D7"/>
    <w:rsid w:val="37167A7F"/>
    <w:rsid w:val="371B36BC"/>
    <w:rsid w:val="371E516A"/>
    <w:rsid w:val="3730610A"/>
    <w:rsid w:val="37392636"/>
    <w:rsid w:val="374800C8"/>
    <w:rsid w:val="37514DBF"/>
    <w:rsid w:val="37710A1C"/>
    <w:rsid w:val="37793D50"/>
    <w:rsid w:val="377E4FAF"/>
    <w:rsid w:val="37822A79"/>
    <w:rsid w:val="378C2A42"/>
    <w:rsid w:val="379838D8"/>
    <w:rsid w:val="37991E9C"/>
    <w:rsid w:val="379C290A"/>
    <w:rsid w:val="37A16410"/>
    <w:rsid w:val="37A25464"/>
    <w:rsid w:val="37B674B8"/>
    <w:rsid w:val="37C52881"/>
    <w:rsid w:val="37C56D30"/>
    <w:rsid w:val="37D3697D"/>
    <w:rsid w:val="37D914AA"/>
    <w:rsid w:val="37D97B8D"/>
    <w:rsid w:val="37DA6B7F"/>
    <w:rsid w:val="37E521FE"/>
    <w:rsid w:val="38032861"/>
    <w:rsid w:val="380A7653"/>
    <w:rsid w:val="380F20AB"/>
    <w:rsid w:val="381215D3"/>
    <w:rsid w:val="3814611A"/>
    <w:rsid w:val="381B0CC2"/>
    <w:rsid w:val="38310356"/>
    <w:rsid w:val="38313246"/>
    <w:rsid w:val="383E029A"/>
    <w:rsid w:val="383F77C8"/>
    <w:rsid w:val="38487300"/>
    <w:rsid w:val="384F717C"/>
    <w:rsid w:val="38821A3E"/>
    <w:rsid w:val="38893FF2"/>
    <w:rsid w:val="388A4596"/>
    <w:rsid w:val="388B7489"/>
    <w:rsid w:val="38AB7F02"/>
    <w:rsid w:val="38B63950"/>
    <w:rsid w:val="38D81226"/>
    <w:rsid w:val="38E13708"/>
    <w:rsid w:val="38F92C81"/>
    <w:rsid w:val="38FD7C40"/>
    <w:rsid w:val="390B0538"/>
    <w:rsid w:val="39161217"/>
    <w:rsid w:val="39183FC5"/>
    <w:rsid w:val="39194865"/>
    <w:rsid w:val="392D55E7"/>
    <w:rsid w:val="392F77B8"/>
    <w:rsid w:val="39327D89"/>
    <w:rsid w:val="39382F3B"/>
    <w:rsid w:val="393B13B6"/>
    <w:rsid w:val="39474D4F"/>
    <w:rsid w:val="39502D89"/>
    <w:rsid w:val="395942C7"/>
    <w:rsid w:val="396226AE"/>
    <w:rsid w:val="398937F5"/>
    <w:rsid w:val="399529E6"/>
    <w:rsid w:val="39A14A37"/>
    <w:rsid w:val="39A23EAD"/>
    <w:rsid w:val="39A767E9"/>
    <w:rsid w:val="39A94CAD"/>
    <w:rsid w:val="39AA2F60"/>
    <w:rsid w:val="39AD1A2B"/>
    <w:rsid w:val="39AD3929"/>
    <w:rsid w:val="39B74528"/>
    <w:rsid w:val="39BA1D42"/>
    <w:rsid w:val="39BA475C"/>
    <w:rsid w:val="39C7750D"/>
    <w:rsid w:val="39C82828"/>
    <w:rsid w:val="39CC4D81"/>
    <w:rsid w:val="39DC481D"/>
    <w:rsid w:val="39EE6C2D"/>
    <w:rsid w:val="3A105BB8"/>
    <w:rsid w:val="3A132B98"/>
    <w:rsid w:val="3A25705B"/>
    <w:rsid w:val="3A2A00C1"/>
    <w:rsid w:val="3A2E0450"/>
    <w:rsid w:val="3A326339"/>
    <w:rsid w:val="3A4B4EF0"/>
    <w:rsid w:val="3A4F1E25"/>
    <w:rsid w:val="3A631B70"/>
    <w:rsid w:val="3A79380C"/>
    <w:rsid w:val="3A9041B9"/>
    <w:rsid w:val="3AA77E8B"/>
    <w:rsid w:val="3ABC4C22"/>
    <w:rsid w:val="3ABC72BC"/>
    <w:rsid w:val="3AC21656"/>
    <w:rsid w:val="3AC743D5"/>
    <w:rsid w:val="3AE36D4E"/>
    <w:rsid w:val="3AE97E30"/>
    <w:rsid w:val="3AFF3CC6"/>
    <w:rsid w:val="3B067855"/>
    <w:rsid w:val="3B074687"/>
    <w:rsid w:val="3B0D21A6"/>
    <w:rsid w:val="3B1039B8"/>
    <w:rsid w:val="3B132935"/>
    <w:rsid w:val="3B215498"/>
    <w:rsid w:val="3B292EB7"/>
    <w:rsid w:val="3B2A5D24"/>
    <w:rsid w:val="3B3952E4"/>
    <w:rsid w:val="3B422133"/>
    <w:rsid w:val="3B4E35FD"/>
    <w:rsid w:val="3B6C547A"/>
    <w:rsid w:val="3B6E40C2"/>
    <w:rsid w:val="3B70247D"/>
    <w:rsid w:val="3B731B97"/>
    <w:rsid w:val="3B7D2B00"/>
    <w:rsid w:val="3B86632D"/>
    <w:rsid w:val="3B8B3B7A"/>
    <w:rsid w:val="3B8D5930"/>
    <w:rsid w:val="3B9D3297"/>
    <w:rsid w:val="3B9E1971"/>
    <w:rsid w:val="3B9E41EB"/>
    <w:rsid w:val="3B9F61FC"/>
    <w:rsid w:val="3B9F6FCD"/>
    <w:rsid w:val="3BA43A0F"/>
    <w:rsid w:val="3BBB6CE5"/>
    <w:rsid w:val="3BBC6FD3"/>
    <w:rsid w:val="3BC66F24"/>
    <w:rsid w:val="3BC92295"/>
    <w:rsid w:val="3BD67E40"/>
    <w:rsid w:val="3BD84C0E"/>
    <w:rsid w:val="3BF10200"/>
    <w:rsid w:val="3C0C34A1"/>
    <w:rsid w:val="3C130491"/>
    <w:rsid w:val="3C1E11C8"/>
    <w:rsid w:val="3C291261"/>
    <w:rsid w:val="3C3E7FD3"/>
    <w:rsid w:val="3C432323"/>
    <w:rsid w:val="3C4F74C3"/>
    <w:rsid w:val="3C64126C"/>
    <w:rsid w:val="3C72428C"/>
    <w:rsid w:val="3C7544A7"/>
    <w:rsid w:val="3CAA2F90"/>
    <w:rsid w:val="3CBF64AE"/>
    <w:rsid w:val="3CC14643"/>
    <w:rsid w:val="3CD810EA"/>
    <w:rsid w:val="3CDA3DF8"/>
    <w:rsid w:val="3CE6016C"/>
    <w:rsid w:val="3CE82ECA"/>
    <w:rsid w:val="3CF47E45"/>
    <w:rsid w:val="3CFD4BC8"/>
    <w:rsid w:val="3D0616CA"/>
    <w:rsid w:val="3D0806FC"/>
    <w:rsid w:val="3D0951C2"/>
    <w:rsid w:val="3D0C6389"/>
    <w:rsid w:val="3D0F17F1"/>
    <w:rsid w:val="3D1444C9"/>
    <w:rsid w:val="3D1F7BB9"/>
    <w:rsid w:val="3D2F0AF9"/>
    <w:rsid w:val="3D447F25"/>
    <w:rsid w:val="3D45031D"/>
    <w:rsid w:val="3D49347F"/>
    <w:rsid w:val="3D560DDB"/>
    <w:rsid w:val="3D5C05FC"/>
    <w:rsid w:val="3D5D4D8D"/>
    <w:rsid w:val="3D68087C"/>
    <w:rsid w:val="3D7309E6"/>
    <w:rsid w:val="3D770EA7"/>
    <w:rsid w:val="3D781416"/>
    <w:rsid w:val="3D7A7FEA"/>
    <w:rsid w:val="3D7F55DD"/>
    <w:rsid w:val="3D8E52AA"/>
    <w:rsid w:val="3D9A35B5"/>
    <w:rsid w:val="3DAF68BD"/>
    <w:rsid w:val="3DBC415D"/>
    <w:rsid w:val="3DBD6105"/>
    <w:rsid w:val="3DBD7EB3"/>
    <w:rsid w:val="3DC9555F"/>
    <w:rsid w:val="3DC95D3A"/>
    <w:rsid w:val="3DD545BA"/>
    <w:rsid w:val="3DDE2F12"/>
    <w:rsid w:val="3DE612F8"/>
    <w:rsid w:val="3E017CEA"/>
    <w:rsid w:val="3E046358"/>
    <w:rsid w:val="3E090244"/>
    <w:rsid w:val="3E0C27F5"/>
    <w:rsid w:val="3E0D0ACC"/>
    <w:rsid w:val="3E372FD0"/>
    <w:rsid w:val="3E3B1F21"/>
    <w:rsid w:val="3E4959FF"/>
    <w:rsid w:val="3E4E4FAF"/>
    <w:rsid w:val="3E58789C"/>
    <w:rsid w:val="3E725486"/>
    <w:rsid w:val="3E782709"/>
    <w:rsid w:val="3E7B19BF"/>
    <w:rsid w:val="3E8407CA"/>
    <w:rsid w:val="3E8D5AD7"/>
    <w:rsid w:val="3E990325"/>
    <w:rsid w:val="3EA76CDE"/>
    <w:rsid w:val="3EB412B6"/>
    <w:rsid w:val="3EBB1A35"/>
    <w:rsid w:val="3ECF103B"/>
    <w:rsid w:val="3ED100BA"/>
    <w:rsid w:val="3ED77E2C"/>
    <w:rsid w:val="3EDA2A4C"/>
    <w:rsid w:val="3EDC25BB"/>
    <w:rsid w:val="3EE355D0"/>
    <w:rsid w:val="3EEA342B"/>
    <w:rsid w:val="3EF24F32"/>
    <w:rsid w:val="3EF45B57"/>
    <w:rsid w:val="3F07032D"/>
    <w:rsid w:val="3F077A76"/>
    <w:rsid w:val="3F0A173A"/>
    <w:rsid w:val="3F1104B7"/>
    <w:rsid w:val="3F283241"/>
    <w:rsid w:val="3F2E27DE"/>
    <w:rsid w:val="3F2F4DBC"/>
    <w:rsid w:val="3F3409F6"/>
    <w:rsid w:val="3F3F64ED"/>
    <w:rsid w:val="3F4114BB"/>
    <w:rsid w:val="3F4741C2"/>
    <w:rsid w:val="3F532FCE"/>
    <w:rsid w:val="3F5433AF"/>
    <w:rsid w:val="3F6167F3"/>
    <w:rsid w:val="3F67750B"/>
    <w:rsid w:val="3F6A5E19"/>
    <w:rsid w:val="3F7F035D"/>
    <w:rsid w:val="3F8517D1"/>
    <w:rsid w:val="3F880A8E"/>
    <w:rsid w:val="3F9410E8"/>
    <w:rsid w:val="3FAB750E"/>
    <w:rsid w:val="3FAC28EC"/>
    <w:rsid w:val="3FB553D0"/>
    <w:rsid w:val="3FB5602E"/>
    <w:rsid w:val="3FCE03D0"/>
    <w:rsid w:val="3FD50795"/>
    <w:rsid w:val="3FE05F81"/>
    <w:rsid w:val="3FE31AF7"/>
    <w:rsid w:val="3FEB53A7"/>
    <w:rsid w:val="3FED0B9F"/>
    <w:rsid w:val="3FED77CF"/>
    <w:rsid w:val="4000261A"/>
    <w:rsid w:val="401B5C80"/>
    <w:rsid w:val="401C75D5"/>
    <w:rsid w:val="402A647F"/>
    <w:rsid w:val="402B4A0B"/>
    <w:rsid w:val="402E2093"/>
    <w:rsid w:val="40363F4D"/>
    <w:rsid w:val="403B7CC5"/>
    <w:rsid w:val="403F2454"/>
    <w:rsid w:val="40445D67"/>
    <w:rsid w:val="406E21B0"/>
    <w:rsid w:val="40892D3C"/>
    <w:rsid w:val="409357D7"/>
    <w:rsid w:val="40A3518C"/>
    <w:rsid w:val="40A92971"/>
    <w:rsid w:val="40BA3BCC"/>
    <w:rsid w:val="40BF1E6D"/>
    <w:rsid w:val="40C27BA5"/>
    <w:rsid w:val="40CB0130"/>
    <w:rsid w:val="40D46D05"/>
    <w:rsid w:val="40D82DA5"/>
    <w:rsid w:val="40E83F0F"/>
    <w:rsid w:val="41007BDC"/>
    <w:rsid w:val="41073893"/>
    <w:rsid w:val="411A6012"/>
    <w:rsid w:val="4122362A"/>
    <w:rsid w:val="413875E5"/>
    <w:rsid w:val="41544319"/>
    <w:rsid w:val="415828E6"/>
    <w:rsid w:val="41632058"/>
    <w:rsid w:val="416622EA"/>
    <w:rsid w:val="41674DE2"/>
    <w:rsid w:val="41680CCB"/>
    <w:rsid w:val="416820D8"/>
    <w:rsid w:val="416F47BC"/>
    <w:rsid w:val="41744D2D"/>
    <w:rsid w:val="41782C16"/>
    <w:rsid w:val="417D2A7D"/>
    <w:rsid w:val="417D547E"/>
    <w:rsid w:val="41872CB2"/>
    <w:rsid w:val="41903C3A"/>
    <w:rsid w:val="41992BFF"/>
    <w:rsid w:val="41A673E8"/>
    <w:rsid w:val="41B2577E"/>
    <w:rsid w:val="41B42ED1"/>
    <w:rsid w:val="41B6635B"/>
    <w:rsid w:val="41C36320"/>
    <w:rsid w:val="41C40B7D"/>
    <w:rsid w:val="41C65FDB"/>
    <w:rsid w:val="41C720B8"/>
    <w:rsid w:val="41C77552"/>
    <w:rsid w:val="41CD07B6"/>
    <w:rsid w:val="41D67544"/>
    <w:rsid w:val="41DE524C"/>
    <w:rsid w:val="41E53E7C"/>
    <w:rsid w:val="41E56974"/>
    <w:rsid w:val="41E73751"/>
    <w:rsid w:val="41EA3383"/>
    <w:rsid w:val="41F63BF0"/>
    <w:rsid w:val="41FD2F74"/>
    <w:rsid w:val="420D0268"/>
    <w:rsid w:val="421B789E"/>
    <w:rsid w:val="422A34F7"/>
    <w:rsid w:val="422C3859"/>
    <w:rsid w:val="42355E2B"/>
    <w:rsid w:val="423B46C8"/>
    <w:rsid w:val="424A1313"/>
    <w:rsid w:val="4251772D"/>
    <w:rsid w:val="425B73A1"/>
    <w:rsid w:val="427009D4"/>
    <w:rsid w:val="427A45C5"/>
    <w:rsid w:val="427D3E02"/>
    <w:rsid w:val="42811335"/>
    <w:rsid w:val="42867002"/>
    <w:rsid w:val="428D0CE2"/>
    <w:rsid w:val="429C3C6C"/>
    <w:rsid w:val="429F2355"/>
    <w:rsid w:val="42A02937"/>
    <w:rsid w:val="42A53B32"/>
    <w:rsid w:val="42A929F1"/>
    <w:rsid w:val="42B12458"/>
    <w:rsid w:val="42D41AC1"/>
    <w:rsid w:val="42E2324B"/>
    <w:rsid w:val="42E2667C"/>
    <w:rsid w:val="42E4573F"/>
    <w:rsid w:val="42ED13FA"/>
    <w:rsid w:val="43080B8A"/>
    <w:rsid w:val="431A5C36"/>
    <w:rsid w:val="432F1E46"/>
    <w:rsid w:val="43301127"/>
    <w:rsid w:val="434A0C40"/>
    <w:rsid w:val="43515CE6"/>
    <w:rsid w:val="435573ED"/>
    <w:rsid w:val="435825E3"/>
    <w:rsid w:val="435B2648"/>
    <w:rsid w:val="436D797E"/>
    <w:rsid w:val="437B2397"/>
    <w:rsid w:val="437E5696"/>
    <w:rsid w:val="437F38D5"/>
    <w:rsid w:val="4395047D"/>
    <w:rsid w:val="43AE2D57"/>
    <w:rsid w:val="43B748CA"/>
    <w:rsid w:val="43CC4705"/>
    <w:rsid w:val="43D321DE"/>
    <w:rsid w:val="43D54C6E"/>
    <w:rsid w:val="43EC71D5"/>
    <w:rsid w:val="43F656A1"/>
    <w:rsid w:val="43F93B34"/>
    <w:rsid w:val="441D563E"/>
    <w:rsid w:val="442D6CC5"/>
    <w:rsid w:val="442E1554"/>
    <w:rsid w:val="44353AA3"/>
    <w:rsid w:val="4438745F"/>
    <w:rsid w:val="44406A3F"/>
    <w:rsid w:val="444529B0"/>
    <w:rsid w:val="44502B26"/>
    <w:rsid w:val="44650203"/>
    <w:rsid w:val="446D0CC9"/>
    <w:rsid w:val="447D42EB"/>
    <w:rsid w:val="44907295"/>
    <w:rsid w:val="44936AA4"/>
    <w:rsid w:val="449864C2"/>
    <w:rsid w:val="449B0D06"/>
    <w:rsid w:val="449B3875"/>
    <w:rsid w:val="44B85A7C"/>
    <w:rsid w:val="44C50B95"/>
    <w:rsid w:val="44C678C5"/>
    <w:rsid w:val="44C81EDE"/>
    <w:rsid w:val="44CE17E0"/>
    <w:rsid w:val="44DC4C56"/>
    <w:rsid w:val="44E3184B"/>
    <w:rsid w:val="44E6438A"/>
    <w:rsid w:val="44ED6D6D"/>
    <w:rsid w:val="44F718F4"/>
    <w:rsid w:val="450B3D7F"/>
    <w:rsid w:val="450C606F"/>
    <w:rsid w:val="45142F62"/>
    <w:rsid w:val="45277C2B"/>
    <w:rsid w:val="453D16F3"/>
    <w:rsid w:val="45494BDC"/>
    <w:rsid w:val="45521829"/>
    <w:rsid w:val="455509B2"/>
    <w:rsid w:val="455933CC"/>
    <w:rsid w:val="455952B5"/>
    <w:rsid w:val="456575D3"/>
    <w:rsid w:val="45832BE9"/>
    <w:rsid w:val="4585575A"/>
    <w:rsid w:val="45856FB2"/>
    <w:rsid w:val="45903D17"/>
    <w:rsid w:val="45981686"/>
    <w:rsid w:val="459B08EB"/>
    <w:rsid w:val="459E79E0"/>
    <w:rsid w:val="45A1791E"/>
    <w:rsid w:val="45A302EA"/>
    <w:rsid w:val="45D43FEC"/>
    <w:rsid w:val="45EA5B4B"/>
    <w:rsid w:val="45EB5A91"/>
    <w:rsid w:val="45F605F5"/>
    <w:rsid w:val="45F64DDB"/>
    <w:rsid w:val="45F77D00"/>
    <w:rsid w:val="46064F4A"/>
    <w:rsid w:val="460A63A6"/>
    <w:rsid w:val="460D21A5"/>
    <w:rsid w:val="460F3276"/>
    <w:rsid w:val="461C4376"/>
    <w:rsid w:val="461E35B1"/>
    <w:rsid w:val="46266E32"/>
    <w:rsid w:val="46290FDC"/>
    <w:rsid w:val="462D1C89"/>
    <w:rsid w:val="46335D93"/>
    <w:rsid w:val="4634069A"/>
    <w:rsid w:val="4635704A"/>
    <w:rsid w:val="46432815"/>
    <w:rsid w:val="46456C98"/>
    <w:rsid w:val="465847DF"/>
    <w:rsid w:val="465965D7"/>
    <w:rsid w:val="46625A9C"/>
    <w:rsid w:val="46652577"/>
    <w:rsid w:val="4666550B"/>
    <w:rsid w:val="46713F31"/>
    <w:rsid w:val="467B7F14"/>
    <w:rsid w:val="468C7DC0"/>
    <w:rsid w:val="468D078C"/>
    <w:rsid w:val="469606B1"/>
    <w:rsid w:val="46A41C10"/>
    <w:rsid w:val="46A43EC2"/>
    <w:rsid w:val="46BC2B5C"/>
    <w:rsid w:val="46C87D15"/>
    <w:rsid w:val="46D00C57"/>
    <w:rsid w:val="46D62BD3"/>
    <w:rsid w:val="46E56B96"/>
    <w:rsid w:val="46E82D94"/>
    <w:rsid w:val="46EF5CE6"/>
    <w:rsid w:val="47006E96"/>
    <w:rsid w:val="471B772A"/>
    <w:rsid w:val="471C21F3"/>
    <w:rsid w:val="47207727"/>
    <w:rsid w:val="47234B32"/>
    <w:rsid w:val="4727115F"/>
    <w:rsid w:val="473531B0"/>
    <w:rsid w:val="473E3E35"/>
    <w:rsid w:val="474105D3"/>
    <w:rsid w:val="47461DE6"/>
    <w:rsid w:val="475E38E3"/>
    <w:rsid w:val="47615063"/>
    <w:rsid w:val="476152FA"/>
    <w:rsid w:val="47625ED1"/>
    <w:rsid w:val="476615BC"/>
    <w:rsid w:val="47720BCC"/>
    <w:rsid w:val="47767549"/>
    <w:rsid w:val="47833AB8"/>
    <w:rsid w:val="479B27D8"/>
    <w:rsid w:val="479E0D55"/>
    <w:rsid w:val="47A85DE1"/>
    <w:rsid w:val="47AB2EC4"/>
    <w:rsid w:val="47C17AB9"/>
    <w:rsid w:val="47C26320"/>
    <w:rsid w:val="47C40DD5"/>
    <w:rsid w:val="47C717DD"/>
    <w:rsid w:val="47CA1B4A"/>
    <w:rsid w:val="47CC3FCD"/>
    <w:rsid w:val="47CE2EB5"/>
    <w:rsid w:val="47E75E09"/>
    <w:rsid w:val="47F12514"/>
    <w:rsid w:val="47F203FA"/>
    <w:rsid w:val="47F212DB"/>
    <w:rsid w:val="47F8396F"/>
    <w:rsid w:val="47F85EE4"/>
    <w:rsid w:val="48013E62"/>
    <w:rsid w:val="48050E93"/>
    <w:rsid w:val="480C01AC"/>
    <w:rsid w:val="48224D77"/>
    <w:rsid w:val="48311BC9"/>
    <w:rsid w:val="483406B2"/>
    <w:rsid w:val="48384D06"/>
    <w:rsid w:val="483A3A6D"/>
    <w:rsid w:val="48490939"/>
    <w:rsid w:val="484B09F4"/>
    <w:rsid w:val="48555BA5"/>
    <w:rsid w:val="48590C9F"/>
    <w:rsid w:val="486442DE"/>
    <w:rsid w:val="486E7793"/>
    <w:rsid w:val="48727B3A"/>
    <w:rsid w:val="48792D23"/>
    <w:rsid w:val="489B205E"/>
    <w:rsid w:val="489C026E"/>
    <w:rsid w:val="489D3E02"/>
    <w:rsid w:val="48B045AA"/>
    <w:rsid w:val="48B131E5"/>
    <w:rsid w:val="48B309E2"/>
    <w:rsid w:val="48C20A74"/>
    <w:rsid w:val="48C57AA8"/>
    <w:rsid w:val="48DF4C20"/>
    <w:rsid w:val="48F531F2"/>
    <w:rsid w:val="49135A4F"/>
    <w:rsid w:val="4918679A"/>
    <w:rsid w:val="492313F9"/>
    <w:rsid w:val="49250FB3"/>
    <w:rsid w:val="492655AA"/>
    <w:rsid w:val="49266DBA"/>
    <w:rsid w:val="49301F00"/>
    <w:rsid w:val="494A47AF"/>
    <w:rsid w:val="494D3F74"/>
    <w:rsid w:val="495913D8"/>
    <w:rsid w:val="49671A47"/>
    <w:rsid w:val="496A324C"/>
    <w:rsid w:val="496A4823"/>
    <w:rsid w:val="496F29A9"/>
    <w:rsid w:val="49724F89"/>
    <w:rsid w:val="499661F8"/>
    <w:rsid w:val="499A2DFD"/>
    <w:rsid w:val="499C2488"/>
    <w:rsid w:val="49A158C8"/>
    <w:rsid w:val="49AB0F9B"/>
    <w:rsid w:val="49AB707C"/>
    <w:rsid w:val="49CB5668"/>
    <w:rsid w:val="49D62EE3"/>
    <w:rsid w:val="49E56336"/>
    <w:rsid w:val="49E750FC"/>
    <w:rsid w:val="4A0550BC"/>
    <w:rsid w:val="4A0A1A38"/>
    <w:rsid w:val="4A1238C1"/>
    <w:rsid w:val="4A165965"/>
    <w:rsid w:val="4A1E549B"/>
    <w:rsid w:val="4A1F137E"/>
    <w:rsid w:val="4A2625E8"/>
    <w:rsid w:val="4A26339D"/>
    <w:rsid w:val="4A3239D7"/>
    <w:rsid w:val="4A354FC8"/>
    <w:rsid w:val="4A3739DE"/>
    <w:rsid w:val="4A45195C"/>
    <w:rsid w:val="4A4554B8"/>
    <w:rsid w:val="4A46437E"/>
    <w:rsid w:val="4A492729"/>
    <w:rsid w:val="4A504301"/>
    <w:rsid w:val="4A5643D3"/>
    <w:rsid w:val="4A584626"/>
    <w:rsid w:val="4A662B98"/>
    <w:rsid w:val="4A687024"/>
    <w:rsid w:val="4A736BA4"/>
    <w:rsid w:val="4A7576B2"/>
    <w:rsid w:val="4A767D68"/>
    <w:rsid w:val="4A7C762B"/>
    <w:rsid w:val="4A9B4382"/>
    <w:rsid w:val="4AB717B3"/>
    <w:rsid w:val="4AB862CB"/>
    <w:rsid w:val="4ABC20DC"/>
    <w:rsid w:val="4AE37901"/>
    <w:rsid w:val="4AE831ED"/>
    <w:rsid w:val="4AE87B39"/>
    <w:rsid w:val="4AE9776E"/>
    <w:rsid w:val="4AF163DD"/>
    <w:rsid w:val="4AF57E3F"/>
    <w:rsid w:val="4AFE6346"/>
    <w:rsid w:val="4B006D51"/>
    <w:rsid w:val="4B0241AB"/>
    <w:rsid w:val="4B045373"/>
    <w:rsid w:val="4B190D88"/>
    <w:rsid w:val="4B221043"/>
    <w:rsid w:val="4B230500"/>
    <w:rsid w:val="4B294D26"/>
    <w:rsid w:val="4B452106"/>
    <w:rsid w:val="4B486463"/>
    <w:rsid w:val="4B4C5565"/>
    <w:rsid w:val="4B530556"/>
    <w:rsid w:val="4B676167"/>
    <w:rsid w:val="4B6927F5"/>
    <w:rsid w:val="4B8D2F9A"/>
    <w:rsid w:val="4BA10E14"/>
    <w:rsid w:val="4BA23DBE"/>
    <w:rsid w:val="4BA55545"/>
    <w:rsid w:val="4BAA0F20"/>
    <w:rsid w:val="4BAA4D3A"/>
    <w:rsid w:val="4BBE1726"/>
    <w:rsid w:val="4BCC333C"/>
    <w:rsid w:val="4BCD5CB2"/>
    <w:rsid w:val="4BD44480"/>
    <w:rsid w:val="4BD80F12"/>
    <w:rsid w:val="4BE86A43"/>
    <w:rsid w:val="4BF43F64"/>
    <w:rsid w:val="4C016ACF"/>
    <w:rsid w:val="4C0A60FF"/>
    <w:rsid w:val="4C0B4B4B"/>
    <w:rsid w:val="4C0D2ABF"/>
    <w:rsid w:val="4C115F9A"/>
    <w:rsid w:val="4C1E4D22"/>
    <w:rsid w:val="4C215AB1"/>
    <w:rsid w:val="4C245054"/>
    <w:rsid w:val="4C2A56EA"/>
    <w:rsid w:val="4C397E56"/>
    <w:rsid w:val="4C3A656B"/>
    <w:rsid w:val="4C3E5B98"/>
    <w:rsid w:val="4C536E11"/>
    <w:rsid w:val="4C545E87"/>
    <w:rsid w:val="4C63431C"/>
    <w:rsid w:val="4C7038FB"/>
    <w:rsid w:val="4C8D1398"/>
    <w:rsid w:val="4C9B65D5"/>
    <w:rsid w:val="4C9E1300"/>
    <w:rsid w:val="4CA2609D"/>
    <w:rsid w:val="4CA84402"/>
    <w:rsid w:val="4CAC099F"/>
    <w:rsid w:val="4CBD7ED0"/>
    <w:rsid w:val="4CCC1EC1"/>
    <w:rsid w:val="4CCD39DA"/>
    <w:rsid w:val="4CD3428B"/>
    <w:rsid w:val="4CDA3BBE"/>
    <w:rsid w:val="4CF84A81"/>
    <w:rsid w:val="4CFA195C"/>
    <w:rsid w:val="4CFE5496"/>
    <w:rsid w:val="4D003831"/>
    <w:rsid w:val="4D153868"/>
    <w:rsid w:val="4D274A20"/>
    <w:rsid w:val="4D31145C"/>
    <w:rsid w:val="4D4050A2"/>
    <w:rsid w:val="4D4D1F03"/>
    <w:rsid w:val="4D507BAA"/>
    <w:rsid w:val="4D585D8F"/>
    <w:rsid w:val="4D6171D4"/>
    <w:rsid w:val="4D6235AF"/>
    <w:rsid w:val="4D942A4E"/>
    <w:rsid w:val="4D952497"/>
    <w:rsid w:val="4DA7135D"/>
    <w:rsid w:val="4DB36975"/>
    <w:rsid w:val="4DBB69CB"/>
    <w:rsid w:val="4DBE5CAD"/>
    <w:rsid w:val="4DBF646A"/>
    <w:rsid w:val="4DC1224F"/>
    <w:rsid w:val="4DC1385B"/>
    <w:rsid w:val="4DC23A1D"/>
    <w:rsid w:val="4DE0125A"/>
    <w:rsid w:val="4DE16743"/>
    <w:rsid w:val="4DE3320B"/>
    <w:rsid w:val="4DF63552"/>
    <w:rsid w:val="4DFB0E73"/>
    <w:rsid w:val="4DFD7989"/>
    <w:rsid w:val="4E053FFC"/>
    <w:rsid w:val="4E156875"/>
    <w:rsid w:val="4E1B2BEC"/>
    <w:rsid w:val="4E220FEC"/>
    <w:rsid w:val="4E2D0E3F"/>
    <w:rsid w:val="4E2E6F12"/>
    <w:rsid w:val="4E3C3076"/>
    <w:rsid w:val="4E440892"/>
    <w:rsid w:val="4E4F5AD5"/>
    <w:rsid w:val="4E515659"/>
    <w:rsid w:val="4E5649B7"/>
    <w:rsid w:val="4E583220"/>
    <w:rsid w:val="4E626CA6"/>
    <w:rsid w:val="4E733F02"/>
    <w:rsid w:val="4E737820"/>
    <w:rsid w:val="4E7F66AF"/>
    <w:rsid w:val="4E976DC6"/>
    <w:rsid w:val="4E983E9E"/>
    <w:rsid w:val="4E994025"/>
    <w:rsid w:val="4EC11D47"/>
    <w:rsid w:val="4EDD5F57"/>
    <w:rsid w:val="4EE96187"/>
    <w:rsid w:val="4EF339FA"/>
    <w:rsid w:val="4F073684"/>
    <w:rsid w:val="4F170FE3"/>
    <w:rsid w:val="4F1B5D19"/>
    <w:rsid w:val="4F22401A"/>
    <w:rsid w:val="4F2578FD"/>
    <w:rsid w:val="4F2E75E9"/>
    <w:rsid w:val="4F2F7823"/>
    <w:rsid w:val="4F3124AF"/>
    <w:rsid w:val="4F58400A"/>
    <w:rsid w:val="4F687188"/>
    <w:rsid w:val="4F6B36C8"/>
    <w:rsid w:val="4F70158F"/>
    <w:rsid w:val="4F744FF3"/>
    <w:rsid w:val="4F755D84"/>
    <w:rsid w:val="4F7E70DF"/>
    <w:rsid w:val="4F833132"/>
    <w:rsid w:val="4F873C54"/>
    <w:rsid w:val="4F9953D9"/>
    <w:rsid w:val="4F9C7485"/>
    <w:rsid w:val="4FB84B0C"/>
    <w:rsid w:val="4FB92C41"/>
    <w:rsid w:val="4FC50219"/>
    <w:rsid w:val="4FD50CFC"/>
    <w:rsid w:val="4FE21DA7"/>
    <w:rsid w:val="4FE237A9"/>
    <w:rsid w:val="500568C9"/>
    <w:rsid w:val="500E57B6"/>
    <w:rsid w:val="501D3533"/>
    <w:rsid w:val="50265E0A"/>
    <w:rsid w:val="50303590"/>
    <w:rsid w:val="503E3E6C"/>
    <w:rsid w:val="503F29AA"/>
    <w:rsid w:val="504464B2"/>
    <w:rsid w:val="50533FDE"/>
    <w:rsid w:val="506E3D65"/>
    <w:rsid w:val="50720309"/>
    <w:rsid w:val="507679C8"/>
    <w:rsid w:val="50964706"/>
    <w:rsid w:val="509C72CA"/>
    <w:rsid w:val="50A60283"/>
    <w:rsid w:val="50A8046F"/>
    <w:rsid w:val="50C23E1F"/>
    <w:rsid w:val="50DB3F55"/>
    <w:rsid w:val="50DB42B0"/>
    <w:rsid w:val="50DF4CCA"/>
    <w:rsid w:val="50E920C0"/>
    <w:rsid w:val="510E1291"/>
    <w:rsid w:val="51257533"/>
    <w:rsid w:val="51266347"/>
    <w:rsid w:val="51421041"/>
    <w:rsid w:val="51695F30"/>
    <w:rsid w:val="516971C2"/>
    <w:rsid w:val="516D3C99"/>
    <w:rsid w:val="517D0051"/>
    <w:rsid w:val="51821105"/>
    <w:rsid w:val="518E50BF"/>
    <w:rsid w:val="51914BFA"/>
    <w:rsid w:val="519743FE"/>
    <w:rsid w:val="51AD019C"/>
    <w:rsid w:val="51C539F2"/>
    <w:rsid w:val="51CE0F1C"/>
    <w:rsid w:val="51D96987"/>
    <w:rsid w:val="51DD23AF"/>
    <w:rsid w:val="51E1216F"/>
    <w:rsid w:val="51EF38C2"/>
    <w:rsid w:val="52022B19"/>
    <w:rsid w:val="52024B61"/>
    <w:rsid w:val="520A3EC1"/>
    <w:rsid w:val="521331D3"/>
    <w:rsid w:val="52165A85"/>
    <w:rsid w:val="5219601D"/>
    <w:rsid w:val="521A7742"/>
    <w:rsid w:val="5237369C"/>
    <w:rsid w:val="524B5398"/>
    <w:rsid w:val="525052C1"/>
    <w:rsid w:val="52531B64"/>
    <w:rsid w:val="525F53C4"/>
    <w:rsid w:val="52605EB5"/>
    <w:rsid w:val="52646EF4"/>
    <w:rsid w:val="527B1EA7"/>
    <w:rsid w:val="528A3A88"/>
    <w:rsid w:val="528E5D2E"/>
    <w:rsid w:val="52964C3F"/>
    <w:rsid w:val="52976ACB"/>
    <w:rsid w:val="52A5375E"/>
    <w:rsid w:val="52AD62F0"/>
    <w:rsid w:val="52B06ED5"/>
    <w:rsid w:val="52B31203"/>
    <w:rsid w:val="52BE382F"/>
    <w:rsid w:val="52C109C7"/>
    <w:rsid w:val="52E87389"/>
    <w:rsid w:val="52F13D68"/>
    <w:rsid w:val="52F14916"/>
    <w:rsid w:val="52F15438"/>
    <w:rsid w:val="52F27850"/>
    <w:rsid w:val="52F5553C"/>
    <w:rsid w:val="52F61A46"/>
    <w:rsid w:val="52FB6928"/>
    <w:rsid w:val="53077D47"/>
    <w:rsid w:val="530F6DFA"/>
    <w:rsid w:val="53231F6A"/>
    <w:rsid w:val="533F163E"/>
    <w:rsid w:val="53410CAF"/>
    <w:rsid w:val="53427BF5"/>
    <w:rsid w:val="53470061"/>
    <w:rsid w:val="53640FB9"/>
    <w:rsid w:val="536F129E"/>
    <w:rsid w:val="53731FA9"/>
    <w:rsid w:val="537379F5"/>
    <w:rsid w:val="538763F5"/>
    <w:rsid w:val="539602FC"/>
    <w:rsid w:val="53AB0F39"/>
    <w:rsid w:val="53AC6D69"/>
    <w:rsid w:val="53B64EF4"/>
    <w:rsid w:val="53B96E02"/>
    <w:rsid w:val="53C44EFC"/>
    <w:rsid w:val="53D40D72"/>
    <w:rsid w:val="53F05153"/>
    <w:rsid w:val="53F20208"/>
    <w:rsid w:val="53F62F70"/>
    <w:rsid w:val="54036C5D"/>
    <w:rsid w:val="540B6279"/>
    <w:rsid w:val="540C6200"/>
    <w:rsid w:val="54164FFB"/>
    <w:rsid w:val="541805F8"/>
    <w:rsid w:val="54306825"/>
    <w:rsid w:val="54315028"/>
    <w:rsid w:val="54340D1E"/>
    <w:rsid w:val="54390C4D"/>
    <w:rsid w:val="543F69EA"/>
    <w:rsid w:val="544269FA"/>
    <w:rsid w:val="5449226A"/>
    <w:rsid w:val="54531868"/>
    <w:rsid w:val="5463340B"/>
    <w:rsid w:val="546E63A5"/>
    <w:rsid w:val="549D508A"/>
    <w:rsid w:val="54A83B6A"/>
    <w:rsid w:val="54B00772"/>
    <w:rsid w:val="54B55507"/>
    <w:rsid w:val="54C13FE1"/>
    <w:rsid w:val="54CB6928"/>
    <w:rsid w:val="54CF2637"/>
    <w:rsid w:val="54D53927"/>
    <w:rsid w:val="54E52FCE"/>
    <w:rsid w:val="54E8396B"/>
    <w:rsid w:val="552E230F"/>
    <w:rsid w:val="552E5B8E"/>
    <w:rsid w:val="55344AA7"/>
    <w:rsid w:val="55450A62"/>
    <w:rsid w:val="5545557F"/>
    <w:rsid w:val="554A6F26"/>
    <w:rsid w:val="554D4DF9"/>
    <w:rsid w:val="555B3C65"/>
    <w:rsid w:val="5566250B"/>
    <w:rsid w:val="556B30E1"/>
    <w:rsid w:val="557E442A"/>
    <w:rsid w:val="55855303"/>
    <w:rsid w:val="559B01C1"/>
    <w:rsid w:val="559D6683"/>
    <w:rsid w:val="55A05722"/>
    <w:rsid w:val="55AA51DC"/>
    <w:rsid w:val="55AC51D2"/>
    <w:rsid w:val="55B57209"/>
    <w:rsid w:val="55BB2052"/>
    <w:rsid w:val="55CC4CE0"/>
    <w:rsid w:val="55E17C68"/>
    <w:rsid w:val="55F01E60"/>
    <w:rsid w:val="560340F7"/>
    <w:rsid w:val="56034FE5"/>
    <w:rsid w:val="560B0323"/>
    <w:rsid w:val="562E14F6"/>
    <w:rsid w:val="5643330B"/>
    <w:rsid w:val="56435C36"/>
    <w:rsid w:val="564630E7"/>
    <w:rsid w:val="56463262"/>
    <w:rsid w:val="564D4547"/>
    <w:rsid w:val="56597E7E"/>
    <w:rsid w:val="566B7CB2"/>
    <w:rsid w:val="56703E00"/>
    <w:rsid w:val="56775F49"/>
    <w:rsid w:val="5690783C"/>
    <w:rsid w:val="56B73F34"/>
    <w:rsid w:val="56CC39BF"/>
    <w:rsid w:val="56DA7B3E"/>
    <w:rsid w:val="56DB15AB"/>
    <w:rsid w:val="56DB4767"/>
    <w:rsid w:val="56E8239C"/>
    <w:rsid w:val="56EA751A"/>
    <w:rsid w:val="56FD5EBA"/>
    <w:rsid w:val="570A68D4"/>
    <w:rsid w:val="570E304A"/>
    <w:rsid w:val="571C4EBD"/>
    <w:rsid w:val="57212E09"/>
    <w:rsid w:val="572D7A00"/>
    <w:rsid w:val="573B5933"/>
    <w:rsid w:val="574B6E23"/>
    <w:rsid w:val="574F3E1A"/>
    <w:rsid w:val="575C0F35"/>
    <w:rsid w:val="577C320D"/>
    <w:rsid w:val="57817933"/>
    <w:rsid w:val="578373DA"/>
    <w:rsid w:val="57882B96"/>
    <w:rsid w:val="578C1755"/>
    <w:rsid w:val="579A77B4"/>
    <w:rsid w:val="57B167F1"/>
    <w:rsid w:val="57C739B4"/>
    <w:rsid w:val="57CE3F8B"/>
    <w:rsid w:val="57D439DA"/>
    <w:rsid w:val="57E16AAA"/>
    <w:rsid w:val="57FB23A3"/>
    <w:rsid w:val="58053E65"/>
    <w:rsid w:val="5806280B"/>
    <w:rsid w:val="5810450B"/>
    <w:rsid w:val="58112D56"/>
    <w:rsid w:val="583A5ADD"/>
    <w:rsid w:val="583D16A6"/>
    <w:rsid w:val="58514265"/>
    <w:rsid w:val="585711D8"/>
    <w:rsid w:val="586A0E04"/>
    <w:rsid w:val="586E501F"/>
    <w:rsid w:val="587652BA"/>
    <w:rsid w:val="58767159"/>
    <w:rsid w:val="588C28BA"/>
    <w:rsid w:val="58A32508"/>
    <w:rsid w:val="58A4666C"/>
    <w:rsid w:val="58AA2C10"/>
    <w:rsid w:val="58BB0FC8"/>
    <w:rsid w:val="58C44394"/>
    <w:rsid w:val="58CB7238"/>
    <w:rsid w:val="58D2085F"/>
    <w:rsid w:val="58EC0029"/>
    <w:rsid w:val="58EE5BFF"/>
    <w:rsid w:val="59001EC2"/>
    <w:rsid w:val="590567A5"/>
    <w:rsid w:val="590813FF"/>
    <w:rsid w:val="59170968"/>
    <w:rsid w:val="591F4500"/>
    <w:rsid w:val="59476115"/>
    <w:rsid w:val="59505C28"/>
    <w:rsid w:val="596036FA"/>
    <w:rsid w:val="596671F9"/>
    <w:rsid w:val="59767B64"/>
    <w:rsid w:val="597E04AB"/>
    <w:rsid w:val="597E4E00"/>
    <w:rsid w:val="59954F81"/>
    <w:rsid w:val="59A92D62"/>
    <w:rsid w:val="59B166C6"/>
    <w:rsid w:val="59B551B2"/>
    <w:rsid w:val="59B566F6"/>
    <w:rsid w:val="59D54192"/>
    <w:rsid w:val="59DC072B"/>
    <w:rsid w:val="59E409AA"/>
    <w:rsid w:val="59E545C2"/>
    <w:rsid w:val="59F31C71"/>
    <w:rsid w:val="5A01467E"/>
    <w:rsid w:val="5A02402A"/>
    <w:rsid w:val="5A0500A5"/>
    <w:rsid w:val="5A0507C0"/>
    <w:rsid w:val="5A0C0D0A"/>
    <w:rsid w:val="5A157255"/>
    <w:rsid w:val="5A20384C"/>
    <w:rsid w:val="5A2C4407"/>
    <w:rsid w:val="5A356064"/>
    <w:rsid w:val="5A492336"/>
    <w:rsid w:val="5A4B0471"/>
    <w:rsid w:val="5A501EB9"/>
    <w:rsid w:val="5A5876EB"/>
    <w:rsid w:val="5A5C2670"/>
    <w:rsid w:val="5A5F25C6"/>
    <w:rsid w:val="5A6E7F19"/>
    <w:rsid w:val="5A702DFA"/>
    <w:rsid w:val="5A762715"/>
    <w:rsid w:val="5AA5621A"/>
    <w:rsid w:val="5AA97C52"/>
    <w:rsid w:val="5AAD3889"/>
    <w:rsid w:val="5AAF1EE6"/>
    <w:rsid w:val="5AD21143"/>
    <w:rsid w:val="5AD85F2F"/>
    <w:rsid w:val="5AE53787"/>
    <w:rsid w:val="5AE8363F"/>
    <w:rsid w:val="5AEC079D"/>
    <w:rsid w:val="5AF43B36"/>
    <w:rsid w:val="5B055025"/>
    <w:rsid w:val="5B08003F"/>
    <w:rsid w:val="5B084465"/>
    <w:rsid w:val="5B1738FC"/>
    <w:rsid w:val="5B1E7E93"/>
    <w:rsid w:val="5B1F30B9"/>
    <w:rsid w:val="5B204660"/>
    <w:rsid w:val="5B260968"/>
    <w:rsid w:val="5B2E0D70"/>
    <w:rsid w:val="5B31040E"/>
    <w:rsid w:val="5B387448"/>
    <w:rsid w:val="5B6014DE"/>
    <w:rsid w:val="5B754DB6"/>
    <w:rsid w:val="5B7E55EB"/>
    <w:rsid w:val="5B7F34B4"/>
    <w:rsid w:val="5B8016BF"/>
    <w:rsid w:val="5B92793F"/>
    <w:rsid w:val="5BA224C2"/>
    <w:rsid w:val="5BA31F7F"/>
    <w:rsid w:val="5BA61185"/>
    <w:rsid w:val="5BB01190"/>
    <w:rsid w:val="5BB532AA"/>
    <w:rsid w:val="5BB73F35"/>
    <w:rsid w:val="5BC1147D"/>
    <w:rsid w:val="5BC87CF7"/>
    <w:rsid w:val="5BD1426E"/>
    <w:rsid w:val="5BD668B8"/>
    <w:rsid w:val="5BDC0C81"/>
    <w:rsid w:val="5BEE4E2D"/>
    <w:rsid w:val="5C036F81"/>
    <w:rsid w:val="5C0A119D"/>
    <w:rsid w:val="5C1C6902"/>
    <w:rsid w:val="5C200685"/>
    <w:rsid w:val="5C392D72"/>
    <w:rsid w:val="5C3A6C84"/>
    <w:rsid w:val="5C475FEA"/>
    <w:rsid w:val="5C5465E7"/>
    <w:rsid w:val="5C553768"/>
    <w:rsid w:val="5C556D88"/>
    <w:rsid w:val="5C577204"/>
    <w:rsid w:val="5C631A00"/>
    <w:rsid w:val="5C63771E"/>
    <w:rsid w:val="5C652199"/>
    <w:rsid w:val="5C727551"/>
    <w:rsid w:val="5C727DF8"/>
    <w:rsid w:val="5C732359"/>
    <w:rsid w:val="5C7659A5"/>
    <w:rsid w:val="5C8833E1"/>
    <w:rsid w:val="5C8A53C0"/>
    <w:rsid w:val="5C917F67"/>
    <w:rsid w:val="5CA62C21"/>
    <w:rsid w:val="5CA8130D"/>
    <w:rsid w:val="5CAE0971"/>
    <w:rsid w:val="5CB609AD"/>
    <w:rsid w:val="5CBE5BA7"/>
    <w:rsid w:val="5CC5575D"/>
    <w:rsid w:val="5CCA0EAA"/>
    <w:rsid w:val="5CCA3858"/>
    <w:rsid w:val="5CD02783"/>
    <w:rsid w:val="5CDD3C76"/>
    <w:rsid w:val="5CE03AF3"/>
    <w:rsid w:val="5CE366FE"/>
    <w:rsid w:val="5CF50FC0"/>
    <w:rsid w:val="5CFD6EFF"/>
    <w:rsid w:val="5D09460F"/>
    <w:rsid w:val="5D1538E2"/>
    <w:rsid w:val="5D160E0A"/>
    <w:rsid w:val="5D1B7756"/>
    <w:rsid w:val="5D24203A"/>
    <w:rsid w:val="5D3F0AA2"/>
    <w:rsid w:val="5D566AAD"/>
    <w:rsid w:val="5D59272F"/>
    <w:rsid w:val="5D5D3C28"/>
    <w:rsid w:val="5D6B0764"/>
    <w:rsid w:val="5D7243BE"/>
    <w:rsid w:val="5D775089"/>
    <w:rsid w:val="5D7D7782"/>
    <w:rsid w:val="5D8C19A7"/>
    <w:rsid w:val="5D9E4E89"/>
    <w:rsid w:val="5DA0413E"/>
    <w:rsid w:val="5DA42C12"/>
    <w:rsid w:val="5DA77DF8"/>
    <w:rsid w:val="5DAE5E5A"/>
    <w:rsid w:val="5DC475A2"/>
    <w:rsid w:val="5DC7366C"/>
    <w:rsid w:val="5DD17999"/>
    <w:rsid w:val="5DD62B4F"/>
    <w:rsid w:val="5DDA0937"/>
    <w:rsid w:val="5DE65812"/>
    <w:rsid w:val="5DF41B97"/>
    <w:rsid w:val="5DF8796A"/>
    <w:rsid w:val="5E084C69"/>
    <w:rsid w:val="5E0A78BA"/>
    <w:rsid w:val="5E0D7652"/>
    <w:rsid w:val="5E1B32E5"/>
    <w:rsid w:val="5E266B47"/>
    <w:rsid w:val="5E3528ED"/>
    <w:rsid w:val="5E3552D9"/>
    <w:rsid w:val="5E4458DD"/>
    <w:rsid w:val="5E4513D1"/>
    <w:rsid w:val="5E471063"/>
    <w:rsid w:val="5E4B17B2"/>
    <w:rsid w:val="5E616AE4"/>
    <w:rsid w:val="5E684B3F"/>
    <w:rsid w:val="5E795980"/>
    <w:rsid w:val="5E841599"/>
    <w:rsid w:val="5E8F038E"/>
    <w:rsid w:val="5EAB0F11"/>
    <w:rsid w:val="5EAC3900"/>
    <w:rsid w:val="5EB51CEC"/>
    <w:rsid w:val="5EB8090B"/>
    <w:rsid w:val="5EBC5F9E"/>
    <w:rsid w:val="5ED450D2"/>
    <w:rsid w:val="5EE72C3B"/>
    <w:rsid w:val="5EE75C28"/>
    <w:rsid w:val="5EEB1D21"/>
    <w:rsid w:val="5EF575E9"/>
    <w:rsid w:val="5F001680"/>
    <w:rsid w:val="5F0C4827"/>
    <w:rsid w:val="5F153454"/>
    <w:rsid w:val="5F155348"/>
    <w:rsid w:val="5F155DC1"/>
    <w:rsid w:val="5F34112B"/>
    <w:rsid w:val="5F361583"/>
    <w:rsid w:val="5F3725A0"/>
    <w:rsid w:val="5F3C7AEA"/>
    <w:rsid w:val="5F48187B"/>
    <w:rsid w:val="5F787E39"/>
    <w:rsid w:val="5F7C1742"/>
    <w:rsid w:val="5F7D4E1D"/>
    <w:rsid w:val="5F8108E9"/>
    <w:rsid w:val="5F8B596B"/>
    <w:rsid w:val="5F93160D"/>
    <w:rsid w:val="5F944AC0"/>
    <w:rsid w:val="5F970FA4"/>
    <w:rsid w:val="5FA10F8B"/>
    <w:rsid w:val="5FAC7F12"/>
    <w:rsid w:val="5FB213EA"/>
    <w:rsid w:val="5FBB477D"/>
    <w:rsid w:val="5FBB7242"/>
    <w:rsid w:val="5FC439FE"/>
    <w:rsid w:val="5FD650D9"/>
    <w:rsid w:val="5FDE41F6"/>
    <w:rsid w:val="5FE90193"/>
    <w:rsid w:val="5FE90728"/>
    <w:rsid w:val="5FE9381E"/>
    <w:rsid w:val="5FED515E"/>
    <w:rsid w:val="5FFE63DD"/>
    <w:rsid w:val="601A2BC8"/>
    <w:rsid w:val="602A50B5"/>
    <w:rsid w:val="60327128"/>
    <w:rsid w:val="603D0F1D"/>
    <w:rsid w:val="6043716C"/>
    <w:rsid w:val="60496342"/>
    <w:rsid w:val="605D63C5"/>
    <w:rsid w:val="605E7E22"/>
    <w:rsid w:val="60650E88"/>
    <w:rsid w:val="6069307A"/>
    <w:rsid w:val="60775AAE"/>
    <w:rsid w:val="608110BC"/>
    <w:rsid w:val="608270F9"/>
    <w:rsid w:val="60867892"/>
    <w:rsid w:val="60911377"/>
    <w:rsid w:val="60943B88"/>
    <w:rsid w:val="60981D74"/>
    <w:rsid w:val="60A078CB"/>
    <w:rsid w:val="60A07F6A"/>
    <w:rsid w:val="60A9459B"/>
    <w:rsid w:val="60AA5077"/>
    <w:rsid w:val="60AC63D0"/>
    <w:rsid w:val="60C2565D"/>
    <w:rsid w:val="60DB4BC3"/>
    <w:rsid w:val="60E94998"/>
    <w:rsid w:val="60EE2811"/>
    <w:rsid w:val="60F0789A"/>
    <w:rsid w:val="60F23014"/>
    <w:rsid w:val="60F611BD"/>
    <w:rsid w:val="6103018B"/>
    <w:rsid w:val="610920AA"/>
    <w:rsid w:val="611539DF"/>
    <w:rsid w:val="611867DD"/>
    <w:rsid w:val="611B3A4D"/>
    <w:rsid w:val="611D2854"/>
    <w:rsid w:val="611F2AAF"/>
    <w:rsid w:val="61234856"/>
    <w:rsid w:val="61307DF4"/>
    <w:rsid w:val="61354623"/>
    <w:rsid w:val="61373D76"/>
    <w:rsid w:val="613A1C1F"/>
    <w:rsid w:val="613E0F5E"/>
    <w:rsid w:val="61426F4C"/>
    <w:rsid w:val="6146003C"/>
    <w:rsid w:val="616808E7"/>
    <w:rsid w:val="61706E67"/>
    <w:rsid w:val="617B5BE9"/>
    <w:rsid w:val="61871FC1"/>
    <w:rsid w:val="619047B4"/>
    <w:rsid w:val="61952D71"/>
    <w:rsid w:val="61956261"/>
    <w:rsid w:val="61A83257"/>
    <w:rsid w:val="61B0497C"/>
    <w:rsid w:val="61B438DB"/>
    <w:rsid w:val="61BB01CB"/>
    <w:rsid w:val="61BD73A9"/>
    <w:rsid w:val="61CE032E"/>
    <w:rsid w:val="61CE23E0"/>
    <w:rsid w:val="61DA4314"/>
    <w:rsid w:val="61DB3AF1"/>
    <w:rsid w:val="61DF62FB"/>
    <w:rsid w:val="61E91B05"/>
    <w:rsid w:val="61EB7BD9"/>
    <w:rsid w:val="620B7376"/>
    <w:rsid w:val="621A4988"/>
    <w:rsid w:val="623B56C7"/>
    <w:rsid w:val="62436227"/>
    <w:rsid w:val="62451899"/>
    <w:rsid w:val="6249578F"/>
    <w:rsid w:val="624F3D8D"/>
    <w:rsid w:val="625053E7"/>
    <w:rsid w:val="62576725"/>
    <w:rsid w:val="625A3E15"/>
    <w:rsid w:val="6261092B"/>
    <w:rsid w:val="62654B9F"/>
    <w:rsid w:val="627D6F28"/>
    <w:rsid w:val="628D4170"/>
    <w:rsid w:val="628D6516"/>
    <w:rsid w:val="629C7C59"/>
    <w:rsid w:val="62A12599"/>
    <w:rsid w:val="62BA6AB7"/>
    <w:rsid w:val="62C33EC4"/>
    <w:rsid w:val="62D75E40"/>
    <w:rsid w:val="62D82F16"/>
    <w:rsid w:val="62DA1FD4"/>
    <w:rsid w:val="62DC69EA"/>
    <w:rsid w:val="62F941E5"/>
    <w:rsid w:val="62FF05F8"/>
    <w:rsid w:val="63010574"/>
    <w:rsid w:val="6308392C"/>
    <w:rsid w:val="630A70A4"/>
    <w:rsid w:val="630F6D0E"/>
    <w:rsid w:val="63135B10"/>
    <w:rsid w:val="6313603E"/>
    <w:rsid w:val="63164065"/>
    <w:rsid w:val="631B2E02"/>
    <w:rsid w:val="632627FD"/>
    <w:rsid w:val="632D5120"/>
    <w:rsid w:val="63320AE8"/>
    <w:rsid w:val="633609DD"/>
    <w:rsid w:val="633865C8"/>
    <w:rsid w:val="633F2993"/>
    <w:rsid w:val="63435FDB"/>
    <w:rsid w:val="634720B3"/>
    <w:rsid w:val="6347265C"/>
    <w:rsid w:val="63605557"/>
    <w:rsid w:val="6366020B"/>
    <w:rsid w:val="637645FA"/>
    <w:rsid w:val="6379453E"/>
    <w:rsid w:val="637E3B76"/>
    <w:rsid w:val="63860BC4"/>
    <w:rsid w:val="638925F5"/>
    <w:rsid w:val="639332E1"/>
    <w:rsid w:val="63953FA2"/>
    <w:rsid w:val="639B48EF"/>
    <w:rsid w:val="639D37DB"/>
    <w:rsid w:val="63AF4D90"/>
    <w:rsid w:val="63D66489"/>
    <w:rsid w:val="63DA7027"/>
    <w:rsid w:val="63FC70D8"/>
    <w:rsid w:val="64056E03"/>
    <w:rsid w:val="640712B6"/>
    <w:rsid w:val="641138B9"/>
    <w:rsid w:val="6421675C"/>
    <w:rsid w:val="64223115"/>
    <w:rsid w:val="642655C0"/>
    <w:rsid w:val="642F5BB1"/>
    <w:rsid w:val="643141C9"/>
    <w:rsid w:val="64354398"/>
    <w:rsid w:val="643E4FFA"/>
    <w:rsid w:val="64417C85"/>
    <w:rsid w:val="6449030E"/>
    <w:rsid w:val="644A01F6"/>
    <w:rsid w:val="645C3530"/>
    <w:rsid w:val="64613801"/>
    <w:rsid w:val="647543CB"/>
    <w:rsid w:val="64873061"/>
    <w:rsid w:val="6487731C"/>
    <w:rsid w:val="648D7D30"/>
    <w:rsid w:val="64A17694"/>
    <w:rsid w:val="64A56DD5"/>
    <w:rsid w:val="64AB1B0B"/>
    <w:rsid w:val="64AB4917"/>
    <w:rsid w:val="64B40855"/>
    <w:rsid w:val="64BC75FF"/>
    <w:rsid w:val="64DC6549"/>
    <w:rsid w:val="64E16FA4"/>
    <w:rsid w:val="64F00A8B"/>
    <w:rsid w:val="64F178C7"/>
    <w:rsid w:val="64F75691"/>
    <w:rsid w:val="64F95D6C"/>
    <w:rsid w:val="64F96B39"/>
    <w:rsid w:val="64FA5675"/>
    <w:rsid w:val="650E1074"/>
    <w:rsid w:val="65101F58"/>
    <w:rsid w:val="65112B32"/>
    <w:rsid w:val="651A6C6B"/>
    <w:rsid w:val="65403962"/>
    <w:rsid w:val="65476131"/>
    <w:rsid w:val="65563722"/>
    <w:rsid w:val="65622F6B"/>
    <w:rsid w:val="656805FE"/>
    <w:rsid w:val="65693DAB"/>
    <w:rsid w:val="65727758"/>
    <w:rsid w:val="657A0420"/>
    <w:rsid w:val="657E6E64"/>
    <w:rsid w:val="65822B18"/>
    <w:rsid w:val="659153D2"/>
    <w:rsid w:val="65943A27"/>
    <w:rsid w:val="659B46C4"/>
    <w:rsid w:val="659D71F0"/>
    <w:rsid w:val="65A20878"/>
    <w:rsid w:val="65AD4B14"/>
    <w:rsid w:val="65BF66D3"/>
    <w:rsid w:val="65C51EF0"/>
    <w:rsid w:val="65D54FE3"/>
    <w:rsid w:val="65E80DB8"/>
    <w:rsid w:val="65F80CBE"/>
    <w:rsid w:val="66002792"/>
    <w:rsid w:val="660C3E24"/>
    <w:rsid w:val="660F2AF1"/>
    <w:rsid w:val="66153DCE"/>
    <w:rsid w:val="661C136B"/>
    <w:rsid w:val="661E2941"/>
    <w:rsid w:val="662A3766"/>
    <w:rsid w:val="662F1A60"/>
    <w:rsid w:val="6635189E"/>
    <w:rsid w:val="663633CD"/>
    <w:rsid w:val="664240C0"/>
    <w:rsid w:val="66636DA7"/>
    <w:rsid w:val="666B78D1"/>
    <w:rsid w:val="66796B5A"/>
    <w:rsid w:val="66807B4C"/>
    <w:rsid w:val="668B156B"/>
    <w:rsid w:val="669A3FDB"/>
    <w:rsid w:val="669D1BB0"/>
    <w:rsid w:val="66B146E5"/>
    <w:rsid w:val="66BB6685"/>
    <w:rsid w:val="66DB6969"/>
    <w:rsid w:val="66DF7311"/>
    <w:rsid w:val="66ED1A86"/>
    <w:rsid w:val="66F87017"/>
    <w:rsid w:val="66F91E5A"/>
    <w:rsid w:val="66FD0B72"/>
    <w:rsid w:val="66FE1743"/>
    <w:rsid w:val="67066CA5"/>
    <w:rsid w:val="67066F2C"/>
    <w:rsid w:val="67360093"/>
    <w:rsid w:val="673646AF"/>
    <w:rsid w:val="67382819"/>
    <w:rsid w:val="673A6AD0"/>
    <w:rsid w:val="6742109E"/>
    <w:rsid w:val="674754D8"/>
    <w:rsid w:val="674C326A"/>
    <w:rsid w:val="67505F8C"/>
    <w:rsid w:val="6754618C"/>
    <w:rsid w:val="675A5610"/>
    <w:rsid w:val="676A649C"/>
    <w:rsid w:val="677C4B42"/>
    <w:rsid w:val="678216A2"/>
    <w:rsid w:val="678F6349"/>
    <w:rsid w:val="679B62DE"/>
    <w:rsid w:val="67A12EEA"/>
    <w:rsid w:val="67A71109"/>
    <w:rsid w:val="67D427A6"/>
    <w:rsid w:val="67E50D68"/>
    <w:rsid w:val="67E876F8"/>
    <w:rsid w:val="67F151EE"/>
    <w:rsid w:val="68037140"/>
    <w:rsid w:val="680A4442"/>
    <w:rsid w:val="680D2817"/>
    <w:rsid w:val="680E259D"/>
    <w:rsid w:val="68175212"/>
    <w:rsid w:val="681D3CFE"/>
    <w:rsid w:val="681D4485"/>
    <w:rsid w:val="682243E5"/>
    <w:rsid w:val="68345E8F"/>
    <w:rsid w:val="68463361"/>
    <w:rsid w:val="685704B8"/>
    <w:rsid w:val="685E0169"/>
    <w:rsid w:val="687F577F"/>
    <w:rsid w:val="68A07A2E"/>
    <w:rsid w:val="68AA26A4"/>
    <w:rsid w:val="68B64B7D"/>
    <w:rsid w:val="68D67B01"/>
    <w:rsid w:val="68EF6521"/>
    <w:rsid w:val="68F00FB3"/>
    <w:rsid w:val="68F23C58"/>
    <w:rsid w:val="68FE7E12"/>
    <w:rsid w:val="690B1F30"/>
    <w:rsid w:val="6915613A"/>
    <w:rsid w:val="69291CA3"/>
    <w:rsid w:val="693D1D24"/>
    <w:rsid w:val="6941672D"/>
    <w:rsid w:val="69431D21"/>
    <w:rsid w:val="69434618"/>
    <w:rsid w:val="69441155"/>
    <w:rsid w:val="69474DBA"/>
    <w:rsid w:val="694A3F8D"/>
    <w:rsid w:val="695B234C"/>
    <w:rsid w:val="69750960"/>
    <w:rsid w:val="69773B51"/>
    <w:rsid w:val="6978726A"/>
    <w:rsid w:val="69806615"/>
    <w:rsid w:val="6985107E"/>
    <w:rsid w:val="6994697F"/>
    <w:rsid w:val="699E2076"/>
    <w:rsid w:val="69A4150A"/>
    <w:rsid w:val="69B1626F"/>
    <w:rsid w:val="69B47508"/>
    <w:rsid w:val="69B95959"/>
    <w:rsid w:val="69BF098B"/>
    <w:rsid w:val="69D87020"/>
    <w:rsid w:val="69DB2379"/>
    <w:rsid w:val="69FB496B"/>
    <w:rsid w:val="6A002D52"/>
    <w:rsid w:val="6A0E0F0D"/>
    <w:rsid w:val="6A1A7DA3"/>
    <w:rsid w:val="6A2C0A43"/>
    <w:rsid w:val="6A2F1349"/>
    <w:rsid w:val="6A620439"/>
    <w:rsid w:val="6A65793C"/>
    <w:rsid w:val="6A6D70AD"/>
    <w:rsid w:val="6A763D63"/>
    <w:rsid w:val="6A7F636D"/>
    <w:rsid w:val="6A803E6B"/>
    <w:rsid w:val="6A806A08"/>
    <w:rsid w:val="6A8079F4"/>
    <w:rsid w:val="6A813E93"/>
    <w:rsid w:val="6A815350"/>
    <w:rsid w:val="6A907CC5"/>
    <w:rsid w:val="6A934C00"/>
    <w:rsid w:val="6ACA2DA8"/>
    <w:rsid w:val="6AD21FD2"/>
    <w:rsid w:val="6AD40FE2"/>
    <w:rsid w:val="6AEA3AF3"/>
    <w:rsid w:val="6AFE7B11"/>
    <w:rsid w:val="6B036375"/>
    <w:rsid w:val="6B0D1E06"/>
    <w:rsid w:val="6B172FBF"/>
    <w:rsid w:val="6B1B4384"/>
    <w:rsid w:val="6B1C0AB8"/>
    <w:rsid w:val="6B24670E"/>
    <w:rsid w:val="6B352F4C"/>
    <w:rsid w:val="6B3903BD"/>
    <w:rsid w:val="6B3E3547"/>
    <w:rsid w:val="6B4042AF"/>
    <w:rsid w:val="6B4248DF"/>
    <w:rsid w:val="6B457B5D"/>
    <w:rsid w:val="6B4D3DA4"/>
    <w:rsid w:val="6B5133D4"/>
    <w:rsid w:val="6B605292"/>
    <w:rsid w:val="6B6663E0"/>
    <w:rsid w:val="6B6B0EBB"/>
    <w:rsid w:val="6B977F95"/>
    <w:rsid w:val="6B9B03D2"/>
    <w:rsid w:val="6BA37E39"/>
    <w:rsid w:val="6BA442DD"/>
    <w:rsid w:val="6BA83EBF"/>
    <w:rsid w:val="6BB228F3"/>
    <w:rsid w:val="6BC90CA9"/>
    <w:rsid w:val="6BCA0CBA"/>
    <w:rsid w:val="6BCD297E"/>
    <w:rsid w:val="6BCE7BB4"/>
    <w:rsid w:val="6BE67DA3"/>
    <w:rsid w:val="6BFE7090"/>
    <w:rsid w:val="6C0E0210"/>
    <w:rsid w:val="6C0F02A4"/>
    <w:rsid w:val="6C215EAA"/>
    <w:rsid w:val="6C23619F"/>
    <w:rsid w:val="6C250B24"/>
    <w:rsid w:val="6C272818"/>
    <w:rsid w:val="6C285EC3"/>
    <w:rsid w:val="6C296DEC"/>
    <w:rsid w:val="6C356D1E"/>
    <w:rsid w:val="6C3E6713"/>
    <w:rsid w:val="6C415424"/>
    <w:rsid w:val="6C6C184A"/>
    <w:rsid w:val="6C8B5CBD"/>
    <w:rsid w:val="6CA426C9"/>
    <w:rsid w:val="6CA5024E"/>
    <w:rsid w:val="6CA86739"/>
    <w:rsid w:val="6CAF64F0"/>
    <w:rsid w:val="6CB82F86"/>
    <w:rsid w:val="6CC27AFA"/>
    <w:rsid w:val="6CC4347E"/>
    <w:rsid w:val="6CC914C9"/>
    <w:rsid w:val="6CEC29E0"/>
    <w:rsid w:val="6CF34043"/>
    <w:rsid w:val="6CF87248"/>
    <w:rsid w:val="6D0A632B"/>
    <w:rsid w:val="6D1C31AB"/>
    <w:rsid w:val="6D236405"/>
    <w:rsid w:val="6D2572E1"/>
    <w:rsid w:val="6D2710B1"/>
    <w:rsid w:val="6D3A062B"/>
    <w:rsid w:val="6D416971"/>
    <w:rsid w:val="6D4366A2"/>
    <w:rsid w:val="6D4B5A6F"/>
    <w:rsid w:val="6D4C114E"/>
    <w:rsid w:val="6D4E4D86"/>
    <w:rsid w:val="6D5B63B1"/>
    <w:rsid w:val="6D5F532D"/>
    <w:rsid w:val="6D8F2990"/>
    <w:rsid w:val="6DAB0AB3"/>
    <w:rsid w:val="6DAD09E7"/>
    <w:rsid w:val="6DB450BF"/>
    <w:rsid w:val="6DB454F1"/>
    <w:rsid w:val="6DC776F2"/>
    <w:rsid w:val="6DDA7D44"/>
    <w:rsid w:val="6DDA7EFC"/>
    <w:rsid w:val="6DDE4FBC"/>
    <w:rsid w:val="6DE953A6"/>
    <w:rsid w:val="6DF40E20"/>
    <w:rsid w:val="6DF7618E"/>
    <w:rsid w:val="6DFC7C53"/>
    <w:rsid w:val="6E0049E6"/>
    <w:rsid w:val="6E033462"/>
    <w:rsid w:val="6E1A32D7"/>
    <w:rsid w:val="6E262217"/>
    <w:rsid w:val="6E274D67"/>
    <w:rsid w:val="6E2A2884"/>
    <w:rsid w:val="6E3A3FA2"/>
    <w:rsid w:val="6E404E1C"/>
    <w:rsid w:val="6E461ED6"/>
    <w:rsid w:val="6E4C3EAC"/>
    <w:rsid w:val="6E4E22DB"/>
    <w:rsid w:val="6E6D600F"/>
    <w:rsid w:val="6E6E50FE"/>
    <w:rsid w:val="6E6F23D2"/>
    <w:rsid w:val="6E703F6F"/>
    <w:rsid w:val="6E747F5E"/>
    <w:rsid w:val="6E883E1C"/>
    <w:rsid w:val="6E8923FE"/>
    <w:rsid w:val="6EB10711"/>
    <w:rsid w:val="6EBF7EC8"/>
    <w:rsid w:val="6ECB5174"/>
    <w:rsid w:val="6ECD706A"/>
    <w:rsid w:val="6ED22832"/>
    <w:rsid w:val="6EDA3E7D"/>
    <w:rsid w:val="6EE3190F"/>
    <w:rsid w:val="6EE374F1"/>
    <w:rsid w:val="6EF219D0"/>
    <w:rsid w:val="6EF2710D"/>
    <w:rsid w:val="6EF63917"/>
    <w:rsid w:val="6EF777C3"/>
    <w:rsid w:val="6F1928EC"/>
    <w:rsid w:val="6F1B6F94"/>
    <w:rsid w:val="6F305E09"/>
    <w:rsid w:val="6F371057"/>
    <w:rsid w:val="6F527B03"/>
    <w:rsid w:val="6F574EC2"/>
    <w:rsid w:val="6F5F1689"/>
    <w:rsid w:val="6F631DB9"/>
    <w:rsid w:val="6F64115B"/>
    <w:rsid w:val="6F665D2F"/>
    <w:rsid w:val="6F6D3855"/>
    <w:rsid w:val="6F6F147B"/>
    <w:rsid w:val="6F700842"/>
    <w:rsid w:val="6F7307C0"/>
    <w:rsid w:val="6F7E6BF3"/>
    <w:rsid w:val="6F8561D3"/>
    <w:rsid w:val="6F866E0F"/>
    <w:rsid w:val="6F8E32A4"/>
    <w:rsid w:val="6F8E7BB8"/>
    <w:rsid w:val="6FBB1EE9"/>
    <w:rsid w:val="6FCD06FE"/>
    <w:rsid w:val="700B1339"/>
    <w:rsid w:val="700D4D3A"/>
    <w:rsid w:val="70110080"/>
    <w:rsid w:val="70281518"/>
    <w:rsid w:val="704F5DD1"/>
    <w:rsid w:val="7059471E"/>
    <w:rsid w:val="7066609D"/>
    <w:rsid w:val="706A53C9"/>
    <w:rsid w:val="706C2EEF"/>
    <w:rsid w:val="706C32D1"/>
    <w:rsid w:val="70791FB8"/>
    <w:rsid w:val="70803ADA"/>
    <w:rsid w:val="7084689A"/>
    <w:rsid w:val="7088527F"/>
    <w:rsid w:val="70967C90"/>
    <w:rsid w:val="70A56322"/>
    <w:rsid w:val="70A86E7F"/>
    <w:rsid w:val="70AD0AC2"/>
    <w:rsid w:val="70C76378"/>
    <w:rsid w:val="70D05364"/>
    <w:rsid w:val="70D22BCF"/>
    <w:rsid w:val="70E6279A"/>
    <w:rsid w:val="70E747DC"/>
    <w:rsid w:val="7105441D"/>
    <w:rsid w:val="71063E3D"/>
    <w:rsid w:val="711823FD"/>
    <w:rsid w:val="711B0DB4"/>
    <w:rsid w:val="712A6981"/>
    <w:rsid w:val="7138613C"/>
    <w:rsid w:val="714B0ACD"/>
    <w:rsid w:val="71557825"/>
    <w:rsid w:val="7168573A"/>
    <w:rsid w:val="717B209B"/>
    <w:rsid w:val="71880CF2"/>
    <w:rsid w:val="718C078F"/>
    <w:rsid w:val="71907CAE"/>
    <w:rsid w:val="719A4569"/>
    <w:rsid w:val="71A03E6A"/>
    <w:rsid w:val="71A122B5"/>
    <w:rsid w:val="71A4081C"/>
    <w:rsid w:val="71AC5D09"/>
    <w:rsid w:val="71AE1D11"/>
    <w:rsid w:val="71BD0FE6"/>
    <w:rsid w:val="71BD695B"/>
    <w:rsid w:val="71C01EC2"/>
    <w:rsid w:val="71C07BA6"/>
    <w:rsid w:val="71D92806"/>
    <w:rsid w:val="71DB1E04"/>
    <w:rsid w:val="71DB582E"/>
    <w:rsid w:val="71DC2D77"/>
    <w:rsid w:val="71E82A49"/>
    <w:rsid w:val="71E84146"/>
    <w:rsid w:val="71EA67C2"/>
    <w:rsid w:val="71F60D1E"/>
    <w:rsid w:val="71FB277D"/>
    <w:rsid w:val="71FC0C91"/>
    <w:rsid w:val="72042C25"/>
    <w:rsid w:val="72062ED0"/>
    <w:rsid w:val="72100D33"/>
    <w:rsid w:val="722C2F9C"/>
    <w:rsid w:val="7231501A"/>
    <w:rsid w:val="723C329D"/>
    <w:rsid w:val="723C3AEB"/>
    <w:rsid w:val="72456643"/>
    <w:rsid w:val="724745B5"/>
    <w:rsid w:val="725158C4"/>
    <w:rsid w:val="725F72B6"/>
    <w:rsid w:val="726201A2"/>
    <w:rsid w:val="7264647C"/>
    <w:rsid w:val="7270752F"/>
    <w:rsid w:val="727B21C6"/>
    <w:rsid w:val="729C3197"/>
    <w:rsid w:val="72A52945"/>
    <w:rsid w:val="72AB4ACD"/>
    <w:rsid w:val="72B912A6"/>
    <w:rsid w:val="72BA61C3"/>
    <w:rsid w:val="72BD231B"/>
    <w:rsid w:val="72BD3E0F"/>
    <w:rsid w:val="72C35C78"/>
    <w:rsid w:val="72DD29D8"/>
    <w:rsid w:val="72E476B5"/>
    <w:rsid w:val="72E53CA7"/>
    <w:rsid w:val="72E652A7"/>
    <w:rsid w:val="72E80587"/>
    <w:rsid w:val="72F27FE6"/>
    <w:rsid w:val="73045DCF"/>
    <w:rsid w:val="73070488"/>
    <w:rsid w:val="730E577A"/>
    <w:rsid w:val="73231410"/>
    <w:rsid w:val="73283D84"/>
    <w:rsid w:val="732C4B4D"/>
    <w:rsid w:val="732E6D16"/>
    <w:rsid w:val="73351FB6"/>
    <w:rsid w:val="733D1677"/>
    <w:rsid w:val="733D6E8A"/>
    <w:rsid w:val="7345000E"/>
    <w:rsid w:val="73456D4A"/>
    <w:rsid w:val="735100E5"/>
    <w:rsid w:val="7363682B"/>
    <w:rsid w:val="73771408"/>
    <w:rsid w:val="73825420"/>
    <w:rsid w:val="739128B2"/>
    <w:rsid w:val="73967272"/>
    <w:rsid w:val="73B8070B"/>
    <w:rsid w:val="73C60751"/>
    <w:rsid w:val="73CB3349"/>
    <w:rsid w:val="73CE546B"/>
    <w:rsid w:val="73D246C4"/>
    <w:rsid w:val="73D774A2"/>
    <w:rsid w:val="73D97135"/>
    <w:rsid w:val="73E134AE"/>
    <w:rsid w:val="73E15D9B"/>
    <w:rsid w:val="73E73BE0"/>
    <w:rsid w:val="73FA5CAB"/>
    <w:rsid w:val="73FE7CAF"/>
    <w:rsid w:val="74092522"/>
    <w:rsid w:val="740C4DDE"/>
    <w:rsid w:val="74185868"/>
    <w:rsid w:val="741C481A"/>
    <w:rsid w:val="74313774"/>
    <w:rsid w:val="743D52CE"/>
    <w:rsid w:val="744E7463"/>
    <w:rsid w:val="74620320"/>
    <w:rsid w:val="747A1C99"/>
    <w:rsid w:val="747D7BDD"/>
    <w:rsid w:val="748150A6"/>
    <w:rsid w:val="749B3ECF"/>
    <w:rsid w:val="74A21C6B"/>
    <w:rsid w:val="74A72748"/>
    <w:rsid w:val="74AA7CE9"/>
    <w:rsid w:val="74BB3C7B"/>
    <w:rsid w:val="74CD6028"/>
    <w:rsid w:val="74E7487C"/>
    <w:rsid w:val="74E81BF9"/>
    <w:rsid w:val="74F77051"/>
    <w:rsid w:val="74F90F94"/>
    <w:rsid w:val="75155309"/>
    <w:rsid w:val="75196123"/>
    <w:rsid w:val="751A02DC"/>
    <w:rsid w:val="752346FA"/>
    <w:rsid w:val="752F3F68"/>
    <w:rsid w:val="75322959"/>
    <w:rsid w:val="75361A36"/>
    <w:rsid w:val="753C1A65"/>
    <w:rsid w:val="754F0A78"/>
    <w:rsid w:val="7555339E"/>
    <w:rsid w:val="75621CA8"/>
    <w:rsid w:val="75682C6A"/>
    <w:rsid w:val="75745BA4"/>
    <w:rsid w:val="758A67CC"/>
    <w:rsid w:val="758D4761"/>
    <w:rsid w:val="75A15B8A"/>
    <w:rsid w:val="75A346C9"/>
    <w:rsid w:val="75A844A9"/>
    <w:rsid w:val="75B139BF"/>
    <w:rsid w:val="75B16B57"/>
    <w:rsid w:val="75BD1C41"/>
    <w:rsid w:val="75C716BF"/>
    <w:rsid w:val="75CC037E"/>
    <w:rsid w:val="75CD67FB"/>
    <w:rsid w:val="75E86DE5"/>
    <w:rsid w:val="75EF774E"/>
    <w:rsid w:val="75FB4791"/>
    <w:rsid w:val="76092C49"/>
    <w:rsid w:val="761E0A76"/>
    <w:rsid w:val="762560DA"/>
    <w:rsid w:val="762878B8"/>
    <w:rsid w:val="76396082"/>
    <w:rsid w:val="763D5E69"/>
    <w:rsid w:val="76404CE1"/>
    <w:rsid w:val="764F4240"/>
    <w:rsid w:val="76530DD9"/>
    <w:rsid w:val="76530EC8"/>
    <w:rsid w:val="765E60A6"/>
    <w:rsid w:val="76664776"/>
    <w:rsid w:val="767C53C9"/>
    <w:rsid w:val="76873718"/>
    <w:rsid w:val="768F70F7"/>
    <w:rsid w:val="76A03F3E"/>
    <w:rsid w:val="76A55AAB"/>
    <w:rsid w:val="76AA4A1E"/>
    <w:rsid w:val="76B1273A"/>
    <w:rsid w:val="76B161E7"/>
    <w:rsid w:val="76BA5DAA"/>
    <w:rsid w:val="76C03290"/>
    <w:rsid w:val="76F97B92"/>
    <w:rsid w:val="76FA1255"/>
    <w:rsid w:val="770514A0"/>
    <w:rsid w:val="771C50AB"/>
    <w:rsid w:val="77265374"/>
    <w:rsid w:val="77313052"/>
    <w:rsid w:val="7732219A"/>
    <w:rsid w:val="774B7C10"/>
    <w:rsid w:val="77522522"/>
    <w:rsid w:val="77592488"/>
    <w:rsid w:val="775B4F9D"/>
    <w:rsid w:val="77783600"/>
    <w:rsid w:val="777D2173"/>
    <w:rsid w:val="778902B9"/>
    <w:rsid w:val="778925D9"/>
    <w:rsid w:val="77CF26E1"/>
    <w:rsid w:val="77D15D7E"/>
    <w:rsid w:val="77E04C39"/>
    <w:rsid w:val="77EA10E8"/>
    <w:rsid w:val="77EE641C"/>
    <w:rsid w:val="77FA113E"/>
    <w:rsid w:val="7813260F"/>
    <w:rsid w:val="78157419"/>
    <w:rsid w:val="781E71C5"/>
    <w:rsid w:val="7827616A"/>
    <w:rsid w:val="782A02FC"/>
    <w:rsid w:val="78306EF8"/>
    <w:rsid w:val="78307C78"/>
    <w:rsid w:val="78574485"/>
    <w:rsid w:val="78606869"/>
    <w:rsid w:val="78810243"/>
    <w:rsid w:val="78810C2A"/>
    <w:rsid w:val="78882EAE"/>
    <w:rsid w:val="78970D25"/>
    <w:rsid w:val="78A13BFA"/>
    <w:rsid w:val="78B002E0"/>
    <w:rsid w:val="78B31920"/>
    <w:rsid w:val="78C5099B"/>
    <w:rsid w:val="78D41EDF"/>
    <w:rsid w:val="78E338A9"/>
    <w:rsid w:val="78F014AC"/>
    <w:rsid w:val="78FA376C"/>
    <w:rsid w:val="78FF28F9"/>
    <w:rsid w:val="79033744"/>
    <w:rsid w:val="790E1CCD"/>
    <w:rsid w:val="791508BB"/>
    <w:rsid w:val="7917675F"/>
    <w:rsid w:val="7930488D"/>
    <w:rsid w:val="793547C6"/>
    <w:rsid w:val="793D3E80"/>
    <w:rsid w:val="79501E4C"/>
    <w:rsid w:val="7960393B"/>
    <w:rsid w:val="79683DBD"/>
    <w:rsid w:val="7971587E"/>
    <w:rsid w:val="797809C0"/>
    <w:rsid w:val="798152B2"/>
    <w:rsid w:val="798477DC"/>
    <w:rsid w:val="79863252"/>
    <w:rsid w:val="799C4845"/>
    <w:rsid w:val="79A25BD4"/>
    <w:rsid w:val="79A91081"/>
    <w:rsid w:val="79C1605A"/>
    <w:rsid w:val="79CB6ED9"/>
    <w:rsid w:val="79D00993"/>
    <w:rsid w:val="79D33265"/>
    <w:rsid w:val="79E22BE5"/>
    <w:rsid w:val="79ED70F0"/>
    <w:rsid w:val="79F10BF9"/>
    <w:rsid w:val="79F735C0"/>
    <w:rsid w:val="79FF7789"/>
    <w:rsid w:val="7A1466B1"/>
    <w:rsid w:val="7A181EF4"/>
    <w:rsid w:val="7A37260E"/>
    <w:rsid w:val="7A3E1EDF"/>
    <w:rsid w:val="7A403F33"/>
    <w:rsid w:val="7A427B14"/>
    <w:rsid w:val="7A4E2566"/>
    <w:rsid w:val="7A610296"/>
    <w:rsid w:val="7A6D0A59"/>
    <w:rsid w:val="7A7719FB"/>
    <w:rsid w:val="7A88301C"/>
    <w:rsid w:val="7A8D7CF3"/>
    <w:rsid w:val="7AAD1F10"/>
    <w:rsid w:val="7AB06274"/>
    <w:rsid w:val="7AB33449"/>
    <w:rsid w:val="7AD71133"/>
    <w:rsid w:val="7ADC2B63"/>
    <w:rsid w:val="7AF10BC1"/>
    <w:rsid w:val="7AF34829"/>
    <w:rsid w:val="7AFD5155"/>
    <w:rsid w:val="7B024B7C"/>
    <w:rsid w:val="7B29556A"/>
    <w:rsid w:val="7B4265C2"/>
    <w:rsid w:val="7B44366B"/>
    <w:rsid w:val="7B49002D"/>
    <w:rsid w:val="7B4A2F30"/>
    <w:rsid w:val="7B4D7010"/>
    <w:rsid w:val="7B651FE3"/>
    <w:rsid w:val="7B6C5FAE"/>
    <w:rsid w:val="7B78717B"/>
    <w:rsid w:val="7B7B2B16"/>
    <w:rsid w:val="7B890DF9"/>
    <w:rsid w:val="7B8B2BED"/>
    <w:rsid w:val="7B8E4E8E"/>
    <w:rsid w:val="7BAF2247"/>
    <w:rsid w:val="7BB507E4"/>
    <w:rsid w:val="7BCB0F1E"/>
    <w:rsid w:val="7BD15602"/>
    <w:rsid w:val="7BD75B21"/>
    <w:rsid w:val="7BDA1655"/>
    <w:rsid w:val="7BDD35A6"/>
    <w:rsid w:val="7BE129E3"/>
    <w:rsid w:val="7BE12A37"/>
    <w:rsid w:val="7BED2AE7"/>
    <w:rsid w:val="7BFA4FD1"/>
    <w:rsid w:val="7C2823C0"/>
    <w:rsid w:val="7C2C58B4"/>
    <w:rsid w:val="7C2E0199"/>
    <w:rsid w:val="7C2F52A5"/>
    <w:rsid w:val="7C2F6A37"/>
    <w:rsid w:val="7C3325CF"/>
    <w:rsid w:val="7C4368B3"/>
    <w:rsid w:val="7C64369E"/>
    <w:rsid w:val="7C6826E6"/>
    <w:rsid w:val="7C68679D"/>
    <w:rsid w:val="7C6E490A"/>
    <w:rsid w:val="7C7575D0"/>
    <w:rsid w:val="7C975A3F"/>
    <w:rsid w:val="7C990C10"/>
    <w:rsid w:val="7C9D1793"/>
    <w:rsid w:val="7CA5416C"/>
    <w:rsid w:val="7CC40361"/>
    <w:rsid w:val="7CC6350D"/>
    <w:rsid w:val="7CE158A1"/>
    <w:rsid w:val="7CE315D5"/>
    <w:rsid w:val="7D0D3D0F"/>
    <w:rsid w:val="7D2701C2"/>
    <w:rsid w:val="7D2D6238"/>
    <w:rsid w:val="7D326608"/>
    <w:rsid w:val="7D3A1E3A"/>
    <w:rsid w:val="7D3D049D"/>
    <w:rsid w:val="7D4E455D"/>
    <w:rsid w:val="7D4F6073"/>
    <w:rsid w:val="7D543B16"/>
    <w:rsid w:val="7D5578A3"/>
    <w:rsid w:val="7D57208A"/>
    <w:rsid w:val="7D5A204B"/>
    <w:rsid w:val="7D60559A"/>
    <w:rsid w:val="7D651C73"/>
    <w:rsid w:val="7D7562A2"/>
    <w:rsid w:val="7D7D498E"/>
    <w:rsid w:val="7D890613"/>
    <w:rsid w:val="7D8E3DC6"/>
    <w:rsid w:val="7D9F2B56"/>
    <w:rsid w:val="7DA341CA"/>
    <w:rsid w:val="7DA700F2"/>
    <w:rsid w:val="7DA912DF"/>
    <w:rsid w:val="7DAF0AC7"/>
    <w:rsid w:val="7DBC6EF1"/>
    <w:rsid w:val="7DC01404"/>
    <w:rsid w:val="7DD12E88"/>
    <w:rsid w:val="7DD43863"/>
    <w:rsid w:val="7DE50A9A"/>
    <w:rsid w:val="7DE650AD"/>
    <w:rsid w:val="7DEB2A3A"/>
    <w:rsid w:val="7DF52776"/>
    <w:rsid w:val="7DF708BC"/>
    <w:rsid w:val="7DF71CF4"/>
    <w:rsid w:val="7E041BAA"/>
    <w:rsid w:val="7E053E1C"/>
    <w:rsid w:val="7E0C6C3E"/>
    <w:rsid w:val="7E254760"/>
    <w:rsid w:val="7E290097"/>
    <w:rsid w:val="7E295B72"/>
    <w:rsid w:val="7E2A26CE"/>
    <w:rsid w:val="7E2B43EA"/>
    <w:rsid w:val="7E3336DE"/>
    <w:rsid w:val="7E484108"/>
    <w:rsid w:val="7E5C05A5"/>
    <w:rsid w:val="7E851D4C"/>
    <w:rsid w:val="7E8907D6"/>
    <w:rsid w:val="7EA71A11"/>
    <w:rsid w:val="7EC65D6A"/>
    <w:rsid w:val="7ECB5620"/>
    <w:rsid w:val="7ED5296C"/>
    <w:rsid w:val="7ED86152"/>
    <w:rsid w:val="7EDA402E"/>
    <w:rsid w:val="7EE90C95"/>
    <w:rsid w:val="7EEC4462"/>
    <w:rsid w:val="7EED2D8D"/>
    <w:rsid w:val="7F003426"/>
    <w:rsid w:val="7F02511B"/>
    <w:rsid w:val="7F0676DD"/>
    <w:rsid w:val="7F0B1F3E"/>
    <w:rsid w:val="7F104F2A"/>
    <w:rsid w:val="7F265472"/>
    <w:rsid w:val="7F383C2F"/>
    <w:rsid w:val="7F387AC7"/>
    <w:rsid w:val="7F437E1A"/>
    <w:rsid w:val="7F4871A6"/>
    <w:rsid w:val="7F5274DF"/>
    <w:rsid w:val="7F5A09F0"/>
    <w:rsid w:val="7F685063"/>
    <w:rsid w:val="7F8A56CC"/>
    <w:rsid w:val="7F9E1BDA"/>
    <w:rsid w:val="7FA51F7A"/>
    <w:rsid w:val="7FCB78C5"/>
    <w:rsid w:val="7FCF444A"/>
    <w:rsid w:val="7FE24E56"/>
    <w:rsid w:val="7FE75E77"/>
    <w:rsid w:val="7FEB6C06"/>
    <w:rsid w:val="7FF44134"/>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6">
    <w:name w:val="heading 1"/>
    <w:basedOn w:val="1"/>
    <w:next w:val="1"/>
    <w:link w:val="67"/>
    <w:qFormat/>
    <w:uiPriority w:val="0"/>
    <w:pPr>
      <w:keepNext/>
      <w:outlineLvl w:val="0"/>
    </w:pPr>
    <w:rPr>
      <w:rFonts w:ascii="仿宋_GB2312" w:hAnsi="宋体" w:eastAsia="仿宋_GB2312"/>
      <w:b/>
      <w:kern w:val="2"/>
      <w:sz w:val="32"/>
    </w:rPr>
  </w:style>
  <w:style w:type="paragraph" w:styleId="7">
    <w:name w:val="heading 2"/>
    <w:basedOn w:val="1"/>
    <w:next w:val="1"/>
    <w:link w:val="177"/>
    <w:qFormat/>
    <w:uiPriority w:val="9"/>
    <w:pPr>
      <w:keepNext/>
      <w:keepLines/>
      <w:widowControl/>
      <w:spacing w:before="260" w:after="260"/>
      <w:ind w:left="284"/>
      <w:jc w:val="left"/>
      <w:outlineLvl w:val="1"/>
    </w:pPr>
    <w:rPr>
      <w:rFonts w:ascii="Arial" w:hAnsi="Arial"/>
      <w:b/>
      <w:bCs/>
      <w:sz w:val="28"/>
      <w:szCs w:val="32"/>
    </w:rPr>
  </w:style>
  <w:style w:type="paragraph" w:styleId="8">
    <w:name w:val="heading 3"/>
    <w:basedOn w:val="1"/>
    <w:next w:val="1"/>
    <w:link w:val="197"/>
    <w:qFormat/>
    <w:uiPriority w:val="0"/>
    <w:pPr>
      <w:keepNext/>
      <w:spacing w:before="624" w:beforeLines="200" w:line="400" w:lineRule="exact"/>
      <w:jc w:val="center"/>
      <w:outlineLvl w:val="2"/>
    </w:pPr>
    <w:rPr>
      <w:rFonts w:ascii="Times New Roman"/>
      <w:b/>
      <w:bCs/>
      <w:kern w:val="2"/>
      <w:szCs w:val="24"/>
    </w:rPr>
  </w:style>
  <w:style w:type="paragraph" w:styleId="9">
    <w:name w:val="heading 4"/>
    <w:basedOn w:val="1"/>
    <w:next w:val="1"/>
    <w:link w:val="156"/>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10">
    <w:name w:val="heading 5"/>
    <w:basedOn w:val="1"/>
    <w:next w:val="1"/>
    <w:link w:val="145"/>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11">
    <w:name w:val="heading 6"/>
    <w:basedOn w:val="1"/>
    <w:next w:val="1"/>
    <w:link w:val="175"/>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12">
    <w:name w:val="heading 7"/>
    <w:basedOn w:val="1"/>
    <w:next w:val="1"/>
    <w:link w:val="149"/>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3">
    <w:name w:val="heading 8"/>
    <w:basedOn w:val="1"/>
    <w:next w:val="1"/>
    <w:link w:val="183"/>
    <w:qFormat/>
    <w:uiPriority w:val="0"/>
    <w:pPr>
      <w:keepNext/>
      <w:tabs>
        <w:tab w:val="left" w:pos="1440"/>
      </w:tabs>
      <w:spacing w:line="360" w:lineRule="auto"/>
      <w:ind w:left="1440" w:hanging="1440"/>
      <w:outlineLvl w:val="7"/>
    </w:pPr>
    <w:rPr>
      <w:rFonts w:ascii="仿宋_GB2312" w:eastAsia="仿宋_GB2312"/>
      <w:b/>
      <w:kern w:val="2"/>
    </w:rPr>
  </w:style>
  <w:style w:type="paragraph" w:styleId="14">
    <w:name w:val="heading 9"/>
    <w:basedOn w:val="1"/>
    <w:next w:val="1"/>
    <w:link w:val="163"/>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0"/>
    <w:pPr>
      <w:ind w:firstLine="420"/>
    </w:pPr>
  </w:style>
  <w:style w:type="paragraph" w:styleId="3">
    <w:name w:val="Body Text Indent"/>
    <w:basedOn w:val="1"/>
    <w:next w:val="1"/>
    <w:link w:val="195"/>
    <w:qFormat/>
    <w:uiPriority w:val="0"/>
    <w:pPr>
      <w:widowControl/>
      <w:ind w:firstLine="652" w:firstLineChars="233"/>
    </w:pPr>
    <w:rPr>
      <w:rFonts w:ascii="Times New Roman"/>
      <w:sz w:val="28"/>
    </w:rPr>
  </w:style>
  <w:style w:type="paragraph" w:styleId="4">
    <w:name w:val="Normal Indent"/>
    <w:basedOn w:val="1"/>
    <w:next w:val="5"/>
    <w:link w:val="188"/>
    <w:qFormat/>
    <w:uiPriority w:val="0"/>
    <w:pPr>
      <w:spacing w:line="300" w:lineRule="auto"/>
      <w:ind w:firstLine="420" w:firstLineChars="200"/>
    </w:pPr>
    <w:rPr>
      <w:rFonts w:ascii="Times New Roman"/>
      <w:kern w:val="2"/>
      <w:sz w:val="21"/>
      <w:szCs w:val="24"/>
    </w:rPr>
  </w:style>
  <w:style w:type="paragraph" w:styleId="5">
    <w:name w:val="toc 4"/>
    <w:basedOn w:val="1"/>
    <w:next w:val="1"/>
    <w:unhideWhenUsed/>
    <w:qFormat/>
    <w:uiPriority w:val="39"/>
    <w:pPr>
      <w:ind w:left="1260" w:leftChars="600"/>
    </w:pPr>
  </w:style>
  <w:style w:type="paragraph" w:styleId="15">
    <w:name w:val="toc 7"/>
    <w:basedOn w:val="1"/>
    <w:next w:val="1"/>
    <w:unhideWhenUsed/>
    <w:qFormat/>
    <w:uiPriority w:val="39"/>
    <w:pPr>
      <w:ind w:left="2520" w:leftChars="1200"/>
    </w:pPr>
  </w:style>
  <w:style w:type="paragraph" w:styleId="16">
    <w:name w:val="caption"/>
    <w:basedOn w:val="1"/>
    <w:next w:val="1"/>
    <w:link w:val="172"/>
    <w:qFormat/>
    <w:uiPriority w:val="0"/>
    <w:pPr>
      <w:spacing w:before="152" w:after="160"/>
    </w:pPr>
    <w:rPr>
      <w:rFonts w:ascii="Arial" w:hAnsi="Arial" w:eastAsia="黑体"/>
      <w:kern w:val="2"/>
      <w:sz w:val="20"/>
    </w:rPr>
  </w:style>
  <w:style w:type="paragraph" w:styleId="17">
    <w:name w:val="Document Map"/>
    <w:basedOn w:val="1"/>
    <w:link w:val="146"/>
    <w:qFormat/>
    <w:uiPriority w:val="0"/>
    <w:pPr>
      <w:shd w:val="clear" w:color="auto" w:fill="000080"/>
    </w:pPr>
    <w:rPr>
      <w:rFonts w:ascii="Times New Roman"/>
      <w:kern w:val="2"/>
      <w:sz w:val="21"/>
    </w:rPr>
  </w:style>
  <w:style w:type="paragraph" w:styleId="18">
    <w:name w:val="annotation text"/>
    <w:basedOn w:val="1"/>
    <w:link w:val="152"/>
    <w:qFormat/>
    <w:uiPriority w:val="0"/>
    <w:pPr>
      <w:jc w:val="left"/>
    </w:pPr>
    <w:rPr>
      <w:rFonts w:ascii="Times New Roman"/>
      <w:kern w:val="2"/>
      <w:sz w:val="21"/>
      <w:szCs w:val="24"/>
    </w:rPr>
  </w:style>
  <w:style w:type="paragraph" w:styleId="19">
    <w:name w:val="Body Text 3"/>
    <w:basedOn w:val="1"/>
    <w:link w:val="140"/>
    <w:qFormat/>
    <w:uiPriority w:val="0"/>
    <w:pPr>
      <w:jc w:val="center"/>
    </w:pPr>
    <w:rPr>
      <w:rFonts w:ascii="Times New Roman"/>
      <w:b/>
      <w:spacing w:val="-20"/>
      <w:w w:val="110"/>
      <w:kern w:val="2"/>
      <w:sz w:val="52"/>
    </w:rPr>
  </w:style>
  <w:style w:type="paragraph" w:styleId="20">
    <w:name w:val="Body Text"/>
    <w:basedOn w:val="1"/>
    <w:next w:val="1"/>
    <w:link w:val="181"/>
    <w:qFormat/>
    <w:uiPriority w:val="0"/>
    <w:pPr>
      <w:spacing w:after="120"/>
    </w:pPr>
    <w:rPr>
      <w:rFonts w:ascii="Times New Roman"/>
      <w:kern w:val="2"/>
      <w:sz w:val="21"/>
    </w:rPr>
  </w:style>
  <w:style w:type="paragraph" w:styleId="21">
    <w:name w:val="HTML Address"/>
    <w:basedOn w:val="1"/>
    <w:qFormat/>
    <w:uiPriority w:val="0"/>
    <w:pPr>
      <w:widowControl/>
      <w:jc w:val="left"/>
    </w:pPr>
    <w:rPr>
      <w:rFonts w:hAnsi="宋体" w:cs="宋体"/>
      <w:i/>
      <w:iCs/>
      <w:szCs w:val="24"/>
    </w:rPr>
  </w:style>
  <w:style w:type="paragraph" w:styleId="22">
    <w:name w:val="toc 5"/>
    <w:basedOn w:val="1"/>
    <w:next w:val="1"/>
    <w:unhideWhenUsed/>
    <w:qFormat/>
    <w:uiPriority w:val="39"/>
    <w:pPr>
      <w:ind w:left="1680" w:leftChars="800"/>
    </w:pPr>
  </w:style>
  <w:style w:type="paragraph" w:styleId="23">
    <w:name w:val="toc 3"/>
    <w:basedOn w:val="1"/>
    <w:next w:val="1"/>
    <w:unhideWhenUsed/>
    <w:qFormat/>
    <w:uiPriority w:val="39"/>
    <w:pPr>
      <w:ind w:left="840" w:leftChars="400"/>
    </w:pPr>
  </w:style>
  <w:style w:type="paragraph" w:styleId="24">
    <w:name w:val="Plain Text"/>
    <w:basedOn w:val="1"/>
    <w:link w:val="185"/>
    <w:qFormat/>
    <w:uiPriority w:val="0"/>
    <w:rPr>
      <w:rFonts w:hAnsi="Courier New"/>
      <w:kern w:val="2"/>
      <w:sz w:val="21"/>
    </w:rPr>
  </w:style>
  <w:style w:type="paragraph" w:styleId="25">
    <w:name w:val="toc 8"/>
    <w:basedOn w:val="1"/>
    <w:next w:val="1"/>
    <w:unhideWhenUsed/>
    <w:qFormat/>
    <w:uiPriority w:val="39"/>
    <w:pPr>
      <w:ind w:left="2940" w:leftChars="1400"/>
    </w:pPr>
  </w:style>
  <w:style w:type="paragraph" w:styleId="26">
    <w:name w:val="Date"/>
    <w:basedOn w:val="1"/>
    <w:next w:val="1"/>
    <w:link w:val="155"/>
    <w:qFormat/>
    <w:uiPriority w:val="0"/>
    <w:rPr>
      <w:rFonts w:ascii="Times New Roman"/>
      <w:kern w:val="2"/>
      <w:sz w:val="28"/>
    </w:rPr>
  </w:style>
  <w:style w:type="paragraph" w:styleId="27">
    <w:name w:val="Body Text Indent 2"/>
    <w:basedOn w:val="1"/>
    <w:link w:val="133"/>
    <w:qFormat/>
    <w:uiPriority w:val="99"/>
    <w:pPr>
      <w:tabs>
        <w:tab w:val="left" w:pos="5625"/>
      </w:tabs>
      <w:ind w:left="1138" w:leftChars="542"/>
    </w:pPr>
    <w:rPr>
      <w:rFonts w:ascii="Times New Roman"/>
      <w:kern w:val="2"/>
    </w:rPr>
  </w:style>
  <w:style w:type="paragraph" w:styleId="28">
    <w:name w:val="Balloon Text"/>
    <w:basedOn w:val="1"/>
    <w:link w:val="189"/>
    <w:qFormat/>
    <w:uiPriority w:val="99"/>
    <w:rPr>
      <w:rFonts w:ascii="Times New Roman"/>
      <w:kern w:val="2"/>
      <w:sz w:val="18"/>
      <w:szCs w:val="18"/>
    </w:rPr>
  </w:style>
  <w:style w:type="paragraph" w:styleId="29">
    <w:name w:val="footer"/>
    <w:basedOn w:val="1"/>
    <w:next w:val="20"/>
    <w:link w:val="178"/>
    <w:qFormat/>
    <w:uiPriority w:val="99"/>
    <w:pPr>
      <w:tabs>
        <w:tab w:val="center" w:pos="4153"/>
        <w:tab w:val="right" w:pos="8306"/>
      </w:tabs>
      <w:snapToGrid w:val="0"/>
      <w:jc w:val="left"/>
    </w:pPr>
    <w:rPr>
      <w:rFonts w:ascii="Times New Roman"/>
      <w:kern w:val="2"/>
      <w:sz w:val="18"/>
      <w:szCs w:val="18"/>
    </w:rPr>
  </w:style>
  <w:style w:type="paragraph" w:styleId="30">
    <w:name w:val="header"/>
    <w:basedOn w:val="1"/>
    <w:link w:val="165"/>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1">
    <w:name w:val="toc 1"/>
    <w:basedOn w:val="1"/>
    <w:next w:val="1"/>
    <w:unhideWhenUsed/>
    <w:qFormat/>
    <w:uiPriority w:val="39"/>
    <w:pPr>
      <w:tabs>
        <w:tab w:val="left" w:pos="1418"/>
        <w:tab w:val="right" w:leader="dot" w:pos="8302"/>
      </w:tabs>
      <w:spacing w:line="960" w:lineRule="auto"/>
    </w:pPr>
  </w:style>
  <w:style w:type="paragraph" w:styleId="32">
    <w:name w:val="Subtitle"/>
    <w:basedOn w:val="1"/>
    <w:next w:val="1"/>
    <w:link w:val="196"/>
    <w:qFormat/>
    <w:uiPriority w:val="0"/>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0"/>
    <w:pPr>
      <w:numPr>
        <w:ilvl w:val="1"/>
        <w:numId w:val="1"/>
      </w:numPr>
      <w:spacing w:line="360" w:lineRule="auto"/>
      <w:jc w:val="left"/>
    </w:pPr>
    <w:rPr>
      <w:szCs w:val="24"/>
    </w:rPr>
  </w:style>
  <w:style w:type="paragraph" w:styleId="34">
    <w:name w:val="toc 6"/>
    <w:basedOn w:val="1"/>
    <w:next w:val="1"/>
    <w:unhideWhenUsed/>
    <w:qFormat/>
    <w:uiPriority w:val="39"/>
    <w:pPr>
      <w:ind w:left="2100" w:leftChars="1000"/>
    </w:pPr>
  </w:style>
  <w:style w:type="paragraph" w:styleId="35">
    <w:name w:val="Body Text Indent 3"/>
    <w:basedOn w:val="1"/>
    <w:link w:val="138"/>
    <w:qFormat/>
    <w:uiPriority w:val="0"/>
    <w:pPr>
      <w:spacing w:line="410" w:lineRule="exact"/>
      <w:ind w:left="619" w:leftChars="295" w:firstLine="390" w:firstLineChars="179"/>
    </w:pPr>
    <w:rPr>
      <w:rFonts w:hAnsi="宋体"/>
      <w:spacing w:val="4"/>
      <w:kern w:val="2"/>
      <w:sz w:val="21"/>
    </w:rPr>
  </w:style>
  <w:style w:type="paragraph" w:styleId="36">
    <w:name w:val="toc 2"/>
    <w:basedOn w:val="1"/>
    <w:next w:val="1"/>
    <w:unhideWhenUsed/>
    <w:qFormat/>
    <w:uiPriority w:val="39"/>
    <w:pPr>
      <w:tabs>
        <w:tab w:val="right" w:leader="dot" w:pos="8302"/>
      </w:tabs>
      <w:spacing w:line="960" w:lineRule="auto"/>
      <w:ind w:left="420" w:leftChars="200"/>
    </w:pPr>
  </w:style>
  <w:style w:type="paragraph" w:styleId="37">
    <w:name w:val="toc 9"/>
    <w:basedOn w:val="1"/>
    <w:next w:val="1"/>
    <w:unhideWhenUsed/>
    <w:qFormat/>
    <w:uiPriority w:val="39"/>
    <w:pPr>
      <w:ind w:left="3360" w:leftChars="1600"/>
    </w:pPr>
  </w:style>
  <w:style w:type="paragraph" w:styleId="38">
    <w:name w:val="Body Text 2"/>
    <w:basedOn w:val="1"/>
    <w:link w:val="169"/>
    <w:qFormat/>
    <w:uiPriority w:val="0"/>
    <w:rPr>
      <w:rFonts w:ascii="楷体_GB2312" w:hAnsi="Copperplate Gothic Bold" w:eastAsia="楷体_GB2312"/>
      <w:kern w:val="2"/>
      <w:sz w:val="28"/>
    </w:rPr>
  </w:style>
  <w:style w:type="paragraph" w:styleId="3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0">
    <w:name w:val="Normal (Web)"/>
    <w:basedOn w:val="1"/>
    <w:qFormat/>
    <w:uiPriority w:val="99"/>
    <w:pPr>
      <w:widowControl/>
      <w:spacing w:before="100" w:beforeAutospacing="1" w:after="100" w:afterAutospacing="1"/>
      <w:jc w:val="left"/>
    </w:pPr>
    <w:rPr>
      <w:rFonts w:hAnsi="宋体"/>
      <w:szCs w:val="24"/>
    </w:rPr>
  </w:style>
  <w:style w:type="paragraph" w:styleId="41">
    <w:name w:val="Title"/>
    <w:basedOn w:val="1"/>
    <w:next w:val="1"/>
    <w:link w:val="180"/>
    <w:qFormat/>
    <w:uiPriority w:val="0"/>
    <w:pPr>
      <w:spacing w:before="240" w:after="60"/>
      <w:jc w:val="center"/>
      <w:outlineLvl w:val="0"/>
    </w:pPr>
    <w:rPr>
      <w:rFonts w:ascii="Cambria" w:hAnsi="Cambria"/>
      <w:b/>
      <w:bCs/>
      <w:kern w:val="2"/>
      <w:sz w:val="32"/>
      <w:szCs w:val="32"/>
    </w:rPr>
  </w:style>
  <w:style w:type="paragraph" w:styleId="42">
    <w:name w:val="annotation subject"/>
    <w:basedOn w:val="18"/>
    <w:next w:val="18"/>
    <w:link w:val="139"/>
    <w:qFormat/>
    <w:uiPriority w:val="0"/>
    <w:rPr>
      <w:b/>
      <w:bCs/>
    </w:rPr>
  </w:style>
  <w:style w:type="paragraph" w:styleId="43">
    <w:name w:val="Body Text First Indent"/>
    <w:basedOn w:val="20"/>
    <w:qFormat/>
    <w:uiPriority w:val="0"/>
    <w:pPr>
      <w:ind w:firstLine="420" w:firstLineChars="1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样式 首行缩进:  2 字符"/>
    <w:basedOn w:val="1"/>
    <w:qFormat/>
    <w:uiPriority w:val="0"/>
    <w:pPr>
      <w:spacing w:line="400" w:lineRule="exact"/>
      <w:ind w:firstLine="200" w:firstLineChars="200"/>
    </w:pPr>
    <w:rPr>
      <w:rFonts w:ascii="Times New Roman" w:cs="宋体"/>
      <w:szCs w:val="24"/>
    </w:rPr>
  </w:style>
  <w:style w:type="paragraph" w:customStyle="1" w:styleId="60">
    <w:name w:val="首行缩进"/>
    <w:basedOn w:val="1"/>
    <w:qFormat/>
    <w:uiPriority w:val="99"/>
    <w:pPr>
      <w:spacing w:line="360" w:lineRule="auto"/>
      <w:ind w:firstLine="480" w:firstLineChars="200"/>
    </w:pPr>
    <w:rPr>
      <w:szCs w:val="22"/>
      <w:lang w:val="zh-CN"/>
    </w:rPr>
  </w:style>
  <w:style w:type="paragraph" w:styleId="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2">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63">
    <w:name w:val="TOC 标题1"/>
    <w:basedOn w:val="6"/>
    <w:next w:val="1"/>
    <w:qFormat/>
    <w:uiPriority w:val="39"/>
    <w:pPr>
      <w:tabs>
        <w:tab w:val="left" w:pos="1800"/>
        <w:tab w:val="left" w:pos="1830"/>
      </w:tabs>
      <w:spacing w:before="480" w:line="276" w:lineRule="auto"/>
      <w:outlineLvl w:val="9"/>
    </w:pPr>
    <w:rPr>
      <w:rFonts w:ascii="仿宋" w:hAnsi="仿宋" w:eastAsia="仿宋"/>
      <w:color w:val="000000"/>
      <w:kern w:val="0"/>
      <w:szCs w:val="32"/>
    </w:rPr>
  </w:style>
  <w:style w:type="paragraph" w:customStyle="1" w:styleId="64">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5">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6">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7">
    <w:name w:val="标题 1 字符"/>
    <w:link w:val="6"/>
    <w:qFormat/>
    <w:uiPriority w:val="0"/>
    <w:rPr>
      <w:rFonts w:ascii="仿宋_GB2312" w:hAnsi="宋体" w:eastAsia="仿宋_GB2312"/>
      <w:b/>
      <w:kern w:val="2"/>
      <w:sz w:val="32"/>
    </w:rPr>
  </w:style>
  <w:style w:type="paragraph" w:customStyle="1" w:styleId="68">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9">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0">
    <w:name w:val="p0"/>
    <w:basedOn w:val="1"/>
    <w:qFormat/>
    <w:uiPriority w:val="0"/>
    <w:pPr>
      <w:widowControl/>
      <w:snapToGrid w:val="0"/>
      <w:spacing w:line="312" w:lineRule="atLeast"/>
      <w:textAlignment w:val="baseline"/>
    </w:pPr>
    <w:rPr>
      <w:szCs w:val="21"/>
    </w:rPr>
  </w:style>
  <w:style w:type="paragraph" w:customStyle="1" w:styleId="71">
    <w:name w:val="_Style 37"/>
    <w:basedOn w:val="1"/>
    <w:qFormat/>
    <w:uiPriority w:val="0"/>
    <w:pPr>
      <w:widowControl/>
      <w:spacing w:after="160" w:line="240" w:lineRule="exact"/>
      <w:jc w:val="center"/>
    </w:pPr>
    <w:rPr>
      <w:rFonts w:hAnsi="宋体"/>
      <w:b/>
      <w:sz w:val="28"/>
      <w:szCs w:val="28"/>
      <w:lang w:eastAsia="en-US"/>
    </w:rPr>
  </w:style>
  <w:style w:type="paragraph" w:customStyle="1" w:styleId="72">
    <w:name w:val="Char11"/>
    <w:basedOn w:val="1"/>
    <w:qFormat/>
    <w:uiPriority w:val="0"/>
    <w:rPr>
      <w:rFonts w:hAnsi="宋体"/>
      <w:szCs w:val="24"/>
    </w:rPr>
  </w:style>
  <w:style w:type="paragraph" w:customStyle="1" w:styleId="73">
    <w:name w:val="正文序号 3"/>
    <w:basedOn w:val="1"/>
    <w:qFormat/>
    <w:uiPriority w:val="0"/>
    <w:pPr>
      <w:numPr>
        <w:ilvl w:val="2"/>
        <w:numId w:val="2"/>
      </w:numPr>
      <w:spacing w:before="60"/>
    </w:pPr>
    <w:rPr>
      <w:szCs w:val="24"/>
    </w:rPr>
  </w:style>
  <w:style w:type="paragraph" w:customStyle="1" w:styleId="74">
    <w:name w:val="表内文字"/>
    <w:basedOn w:val="1"/>
    <w:qFormat/>
    <w:uiPriority w:val="0"/>
    <w:pPr>
      <w:jc w:val="left"/>
    </w:pPr>
    <w:rPr>
      <w:szCs w:val="24"/>
    </w:rPr>
  </w:style>
  <w:style w:type="paragraph" w:customStyle="1" w:styleId="75">
    <w:name w:val="表格文字中"/>
    <w:basedOn w:val="1"/>
    <w:qFormat/>
    <w:uiPriority w:val="0"/>
    <w:pPr>
      <w:adjustRightInd w:val="0"/>
      <w:snapToGrid w:val="0"/>
      <w:ind w:left="22" w:leftChars="8"/>
      <w:jc w:val="center"/>
    </w:pPr>
    <w:rPr>
      <w:szCs w:val="24"/>
    </w:rPr>
  </w:style>
  <w:style w:type="paragraph" w:customStyle="1" w:styleId="76">
    <w:name w:val="Char1"/>
    <w:basedOn w:val="1"/>
    <w:qFormat/>
    <w:uiPriority w:val="0"/>
    <w:pPr>
      <w:tabs>
        <w:tab w:val="left" w:pos="360"/>
      </w:tabs>
      <w:ind w:left="360" w:hanging="360" w:hangingChars="200"/>
    </w:pPr>
    <w:rPr>
      <w:szCs w:val="24"/>
    </w:rPr>
  </w:style>
  <w:style w:type="paragraph" w:customStyle="1" w:styleId="77">
    <w:name w:val="样式3"/>
    <w:basedOn w:val="24"/>
    <w:qFormat/>
    <w:uiPriority w:val="0"/>
    <w:pPr>
      <w:spacing w:line="0" w:lineRule="atLeast"/>
      <w:outlineLvl w:val="0"/>
    </w:pPr>
    <w:rPr>
      <w:sz w:val="28"/>
    </w:rPr>
  </w:style>
  <w:style w:type="paragraph" w:customStyle="1" w:styleId="78">
    <w:name w:val="日期1"/>
    <w:basedOn w:val="1"/>
    <w:next w:val="1"/>
    <w:qFormat/>
    <w:uiPriority w:val="0"/>
    <w:rPr>
      <w:rFonts w:ascii="黑体" w:eastAsia="黑体"/>
      <w:sz w:val="28"/>
    </w:rPr>
  </w:style>
  <w:style w:type="paragraph" w:customStyle="1" w:styleId="79">
    <w:name w:val="缺省文本"/>
    <w:basedOn w:val="1"/>
    <w:qFormat/>
    <w:uiPriority w:val="0"/>
    <w:pPr>
      <w:autoSpaceDE w:val="0"/>
      <w:autoSpaceDN w:val="0"/>
      <w:adjustRightInd w:val="0"/>
      <w:jc w:val="left"/>
    </w:pPr>
  </w:style>
  <w:style w:type="paragraph" w:customStyle="1" w:styleId="80">
    <w:name w:val="ec_msonormal"/>
    <w:basedOn w:val="1"/>
    <w:qFormat/>
    <w:uiPriority w:val="0"/>
    <w:pPr>
      <w:widowControl/>
      <w:spacing w:before="100" w:beforeAutospacing="1" w:after="100" w:afterAutospacing="1"/>
      <w:jc w:val="left"/>
    </w:pPr>
    <w:rPr>
      <w:rFonts w:hAnsi="宋体" w:cs="宋体"/>
      <w:szCs w:val="24"/>
    </w:rPr>
  </w:style>
  <w:style w:type="paragraph" w:customStyle="1" w:styleId="81">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82">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序号 2"/>
    <w:basedOn w:val="1"/>
    <w:qFormat/>
    <w:uiPriority w:val="0"/>
    <w:pPr>
      <w:numPr>
        <w:ilvl w:val="1"/>
        <w:numId w:val="2"/>
      </w:numPr>
      <w:spacing w:before="60"/>
    </w:pPr>
    <w:rPr>
      <w:szCs w:val="24"/>
    </w:rPr>
  </w:style>
  <w:style w:type="paragraph" w:customStyle="1" w:styleId="84">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5">
    <w:name w:val="Char121"/>
    <w:basedOn w:val="1"/>
    <w:qFormat/>
    <w:uiPriority w:val="0"/>
    <w:pPr>
      <w:tabs>
        <w:tab w:val="left" w:pos="360"/>
      </w:tabs>
      <w:ind w:left="360" w:hanging="360" w:hangingChars="200"/>
    </w:pPr>
    <w:rPr>
      <w:szCs w:val="24"/>
    </w:rPr>
  </w:style>
  <w:style w:type="paragraph" w:customStyle="1" w:styleId="86">
    <w:name w:val="普通(网站)1"/>
    <w:basedOn w:val="1"/>
    <w:qFormat/>
    <w:uiPriority w:val="0"/>
    <w:pPr>
      <w:widowControl/>
      <w:spacing w:before="100" w:beforeAutospacing="1" w:after="100" w:afterAutospacing="1"/>
      <w:jc w:val="left"/>
    </w:pPr>
    <w:rPr>
      <w:rFonts w:hAnsi="宋体" w:cs="宋体"/>
      <w:szCs w:val="24"/>
    </w:rPr>
  </w:style>
  <w:style w:type="paragraph" w:customStyle="1" w:styleId="87">
    <w:name w:val="插图编号"/>
    <w:basedOn w:val="1"/>
    <w:next w:val="4"/>
    <w:qFormat/>
    <w:uiPriority w:val="0"/>
    <w:pPr>
      <w:tabs>
        <w:tab w:val="left" w:pos="1440"/>
      </w:tabs>
      <w:spacing w:line="360" w:lineRule="auto"/>
      <w:ind w:left="1021" w:hanging="1021"/>
    </w:pPr>
    <w:rPr>
      <w:spacing w:val="20"/>
      <w:szCs w:val="24"/>
    </w:rPr>
  </w:style>
  <w:style w:type="paragraph" w:customStyle="1" w:styleId="88">
    <w:name w:val="List Paragraph1"/>
    <w:basedOn w:val="1"/>
    <w:qFormat/>
    <w:uiPriority w:val="34"/>
    <w:pPr>
      <w:ind w:firstLine="420" w:firstLineChars="200"/>
    </w:pPr>
  </w:style>
  <w:style w:type="paragraph" w:customStyle="1" w:styleId="89">
    <w:name w:val="日期11"/>
    <w:basedOn w:val="1"/>
    <w:next w:val="1"/>
    <w:qFormat/>
    <w:uiPriority w:val="0"/>
    <w:rPr>
      <w:rFonts w:ascii="黑体" w:eastAsia="黑体"/>
      <w:sz w:val="28"/>
    </w:rPr>
  </w:style>
  <w:style w:type="paragraph" w:customStyle="1" w:styleId="90">
    <w:name w:val="Q/19LGT01—2001"/>
    <w:basedOn w:val="1"/>
    <w:qFormat/>
    <w:uiPriority w:val="0"/>
    <w:pPr>
      <w:tabs>
        <w:tab w:val="left" w:pos="555"/>
      </w:tabs>
      <w:spacing w:line="360" w:lineRule="auto"/>
      <w:ind w:firstLine="420" w:firstLineChars="200"/>
    </w:pPr>
    <w:rPr>
      <w:rFonts w:hAnsi="宋体"/>
      <w:bCs/>
    </w:rPr>
  </w:style>
  <w:style w:type="paragraph" w:customStyle="1" w:styleId="91">
    <w:name w:val="??¨???¨????ì?¨¨??¨?o??????ì?¨¨?"/>
    <w:basedOn w:val="1"/>
    <w:qFormat/>
    <w:uiPriority w:val="0"/>
    <w:pPr>
      <w:autoSpaceDE w:val="0"/>
      <w:autoSpaceDN w:val="0"/>
      <w:adjustRightInd w:val="0"/>
      <w:jc w:val="left"/>
    </w:pPr>
  </w:style>
  <w:style w:type="paragraph" w:customStyle="1" w:styleId="92">
    <w:name w:val="表格标题"/>
    <w:basedOn w:val="1"/>
    <w:qFormat/>
    <w:uiPriority w:val="0"/>
    <w:pPr>
      <w:adjustRightInd w:val="0"/>
      <w:snapToGrid w:val="0"/>
      <w:spacing w:before="50" w:beforeLines="50" w:after="50" w:afterLines="50"/>
      <w:ind w:left="22" w:leftChars="8"/>
      <w:jc w:val="center"/>
    </w:pPr>
    <w:rPr>
      <w:b/>
      <w:bCs/>
      <w:color w:val="000000"/>
      <w:sz w:val="32"/>
      <w:szCs w:val="32"/>
    </w:rPr>
  </w:style>
  <w:style w:type="paragraph" w:customStyle="1" w:styleId="93">
    <w:name w:val="Char3"/>
    <w:basedOn w:val="1"/>
    <w:qFormat/>
    <w:uiPriority w:val="0"/>
    <w:pPr>
      <w:tabs>
        <w:tab w:val="left" w:pos="360"/>
      </w:tabs>
    </w:pPr>
    <w:rPr>
      <w:szCs w:val="24"/>
    </w:rPr>
  </w:style>
  <w:style w:type="paragraph" w:customStyle="1" w:styleId="94">
    <w:name w:val="正文序号 1"/>
    <w:basedOn w:val="1"/>
    <w:qFormat/>
    <w:uiPriority w:val="0"/>
    <w:pPr>
      <w:numPr>
        <w:ilvl w:val="0"/>
        <w:numId w:val="2"/>
      </w:numPr>
      <w:spacing w:before="60"/>
    </w:pPr>
    <w:rPr>
      <w:szCs w:val="24"/>
    </w:rPr>
  </w:style>
  <w:style w:type="paragraph" w:customStyle="1" w:styleId="95">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6">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7">
    <w:name w:val="小标题 2"/>
    <w:basedOn w:val="1"/>
    <w:qFormat/>
    <w:uiPriority w:val="0"/>
    <w:pPr>
      <w:autoSpaceDE w:val="0"/>
      <w:autoSpaceDN w:val="0"/>
      <w:adjustRightInd w:val="0"/>
    </w:pPr>
    <w:rPr>
      <w:rFonts w:ascii="黑体" w:eastAsia="黑体" w:cs="黑体"/>
      <w:szCs w:val="24"/>
    </w:rPr>
  </w:style>
  <w:style w:type="paragraph" w:styleId="98">
    <w:name w:val="List Paragraph"/>
    <w:basedOn w:val="1"/>
    <w:link w:val="168"/>
    <w:qFormat/>
    <w:uiPriority w:val="34"/>
    <w:pPr>
      <w:ind w:firstLine="420" w:firstLineChars="200"/>
    </w:pPr>
    <w:rPr>
      <w:rFonts w:ascii="Calibri" w:hAnsi="Calibri"/>
      <w:kern w:val="2"/>
      <w:sz w:val="21"/>
      <w:szCs w:val="22"/>
    </w:rPr>
  </w:style>
  <w:style w:type="paragraph" w:customStyle="1" w:styleId="99">
    <w:name w:val="Char"/>
    <w:basedOn w:val="1"/>
    <w:qFormat/>
    <w:uiPriority w:val="0"/>
    <w:rPr>
      <w:rFonts w:hAnsi="宋体"/>
      <w:szCs w:val="24"/>
    </w:rPr>
  </w:style>
  <w:style w:type="paragraph" w:customStyle="1" w:styleId="100">
    <w:name w:val="1册标题2"/>
    <w:basedOn w:val="1"/>
    <w:next w:val="1"/>
    <w:qFormat/>
    <w:uiPriority w:val="0"/>
    <w:pPr>
      <w:adjustRightInd w:val="0"/>
      <w:spacing w:before="156" w:beforeLines="50" w:after="156" w:afterLines="50" w:line="300" w:lineRule="auto"/>
      <w:jc w:val="center"/>
      <w:textAlignment w:val="baseline"/>
      <w:outlineLvl w:val="1"/>
    </w:pPr>
    <w:rPr>
      <w:rFonts w:ascii="Arial" w:hAnsi="Arial" w:eastAsia="黑体"/>
      <w:bCs/>
      <w:sz w:val="32"/>
      <w:szCs w:val="24"/>
    </w:rPr>
  </w:style>
  <w:style w:type="paragraph" w:customStyle="1" w:styleId="101">
    <w:name w:val="Form Header 1"/>
    <w:basedOn w:val="1"/>
    <w:next w:val="1"/>
    <w:qFormat/>
    <w:uiPriority w:val="0"/>
    <w:pPr>
      <w:widowControl/>
      <w:spacing w:before="80" w:after="80"/>
      <w:jc w:val="left"/>
    </w:pPr>
    <w:rPr>
      <w:rFonts w:ascii="Arial" w:hAnsi="Arial"/>
      <w:b/>
      <w:lang w:val="de-DE" w:eastAsia="en-US"/>
    </w:rPr>
  </w:style>
  <w:style w:type="paragraph" w:customStyle="1" w:styleId="102">
    <w:name w:val="(a)正文"/>
    <w:basedOn w:val="1"/>
    <w:qFormat/>
    <w:uiPriority w:val="0"/>
    <w:pPr>
      <w:widowControl/>
      <w:tabs>
        <w:tab w:val="left" w:pos="1871"/>
        <w:tab w:val="left" w:pos="2081"/>
      </w:tabs>
      <w:spacing w:line="360" w:lineRule="exact"/>
      <w:ind w:left="1871" w:hanging="510"/>
    </w:pPr>
  </w:style>
  <w:style w:type="paragraph" w:customStyle="1" w:styleId="103">
    <w:name w:val="纯文本1"/>
    <w:basedOn w:val="1"/>
    <w:qFormat/>
    <w:uiPriority w:val="0"/>
    <w:pPr>
      <w:spacing w:line="324" w:lineRule="auto"/>
    </w:pPr>
    <w:rPr>
      <w:rFonts w:hAnsi="Courier New" w:cs="Courier New"/>
      <w:szCs w:val="21"/>
    </w:rPr>
  </w:style>
  <w:style w:type="paragraph" w:customStyle="1" w:styleId="104">
    <w:name w:val="列出段落11"/>
    <w:basedOn w:val="1"/>
    <w:qFormat/>
    <w:uiPriority w:val="0"/>
    <w:pPr>
      <w:ind w:firstLine="420" w:firstLineChars="200"/>
    </w:pPr>
  </w:style>
  <w:style w:type="paragraph" w:customStyle="1" w:styleId="105">
    <w:name w:val="_Style 95"/>
    <w:basedOn w:val="6"/>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6">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7">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8">
    <w:name w:val="排列"/>
    <w:basedOn w:val="1"/>
    <w:qFormat/>
    <w:uiPriority w:val="0"/>
    <w:pPr>
      <w:adjustRightInd w:val="0"/>
      <w:spacing w:line="360" w:lineRule="auto"/>
      <w:ind w:hanging="627"/>
      <w:jc w:val="left"/>
    </w:pPr>
    <w:rPr>
      <w:b/>
    </w:rPr>
  </w:style>
  <w:style w:type="paragraph" w:customStyle="1" w:styleId="109">
    <w:name w:val="列出段落1"/>
    <w:basedOn w:val="1"/>
    <w:qFormat/>
    <w:uiPriority w:val="0"/>
    <w:pPr>
      <w:ind w:firstLine="420" w:firstLineChars="200"/>
    </w:pPr>
  </w:style>
  <w:style w:type="paragraph" w:customStyle="1" w:styleId="110">
    <w:name w:val="Char1 Char Char Char"/>
    <w:basedOn w:val="1"/>
    <w:qFormat/>
    <w:uiPriority w:val="0"/>
  </w:style>
  <w:style w:type="paragraph" w:customStyle="1" w:styleId="111">
    <w:name w:val="Char12"/>
    <w:basedOn w:val="1"/>
    <w:qFormat/>
    <w:uiPriority w:val="0"/>
    <w:pPr>
      <w:tabs>
        <w:tab w:val="left" w:pos="360"/>
      </w:tabs>
    </w:pPr>
    <w:rPr>
      <w:szCs w:val="24"/>
    </w:rPr>
  </w:style>
  <w:style w:type="paragraph" w:customStyle="1" w:styleId="112">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13">
    <w:name w:val="二级条标题"/>
    <w:basedOn w:val="1"/>
    <w:next w:val="1"/>
    <w:qFormat/>
    <w:uiPriority w:val="0"/>
    <w:pPr>
      <w:widowControl/>
      <w:numPr>
        <w:ilvl w:val="3"/>
        <w:numId w:val="3"/>
      </w:numPr>
      <w:jc w:val="left"/>
      <w:outlineLvl w:val="3"/>
    </w:pPr>
    <w:rPr>
      <w:rFonts w:eastAsia="黑体"/>
    </w:rPr>
  </w:style>
  <w:style w:type="paragraph" w:customStyle="1" w:styleId="114">
    <w:name w:val="正文段"/>
    <w:basedOn w:val="1"/>
    <w:qFormat/>
    <w:uiPriority w:val="0"/>
    <w:pPr>
      <w:adjustRightInd w:val="0"/>
      <w:snapToGrid w:val="0"/>
      <w:spacing w:line="360" w:lineRule="auto"/>
    </w:pPr>
    <w:rPr>
      <w:rFonts w:eastAsia="仿宋_GB2312"/>
      <w:spacing w:val="-8"/>
    </w:rPr>
  </w:style>
  <w:style w:type="paragraph" w:customStyle="1" w:styleId="115">
    <w:name w:val="Char2"/>
    <w:basedOn w:val="1"/>
    <w:qFormat/>
    <w:uiPriority w:val="0"/>
    <w:pPr>
      <w:numPr>
        <w:ilvl w:val="0"/>
        <w:numId w:val="4"/>
      </w:numPr>
      <w:tabs>
        <w:tab w:val="left" w:pos="1200"/>
        <w:tab w:val="clear" w:pos="720"/>
      </w:tabs>
      <w:ind w:left="1200" w:hanging="360"/>
    </w:pPr>
    <w:rPr>
      <w:szCs w:val="24"/>
    </w:rPr>
  </w:style>
  <w:style w:type="paragraph" w:customStyle="1" w:styleId="116">
    <w:name w:val="_Style 3"/>
    <w:basedOn w:val="1"/>
    <w:qFormat/>
    <w:uiPriority w:val="34"/>
    <w:pPr>
      <w:ind w:firstLine="420" w:firstLineChars="200"/>
    </w:pPr>
    <w:rPr>
      <w:rFonts w:ascii="Calibri" w:hAnsi="Calibri"/>
      <w:szCs w:val="22"/>
    </w:rPr>
  </w:style>
  <w:style w:type="paragraph" w:customStyle="1" w:styleId="117">
    <w:name w:val="Char2 Char Char Char"/>
    <w:basedOn w:val="1"/>
    <w:qFormat/>
    <w:uiPriority w:val="0"/>
    <w:rPr>
      <w:rFonts w:ascii="Tahoma" w:hAnsi="Tahoma"/>
    </w:rPr>
  </w:style>
  <w:style w:type="paragraph" w:customStyle="1" w:styleId="118">
    <w:name w:val="?§?§?¨¤?§o????¨¤?"/>
    <w:basedOn w:val="1"/>
    <w:qFormat/>
    <w:uiPriority w:val="0"/>
    <w:pPr>
      <w:autoSpaceDE w:val="0"/>
      <w:autoSpaceDN w:val="0"/>
      <w:adjustRightInd w:val="0"/>
      <w:jc w:val="left"/>
    </w:pPr>
  </w:style>
  <w:style w:type="paragraph" w:customStyle="1" w:styleId="119">
    <w:name w:val="文字列表"/>
    <w:basedOn w:val="1"/>
    <w:qFormat/>
    <w:uiPriority w:val="0"/>
    <w:pPr>
      <w:tabs>
        <w:tab w:val="left" w:pos="420"/>
      </w:tabs>
      <w:spacing w:line="360" w:lineRule="auto"/>
      <w:ind w:left="358" w:leftChars="128" w:firstLine="2"/>
    </w:pPr>
    <w:rPr>
      <w:spacing w:val="20"/>
      <w:szCs w:val="24"/>
    </w:rPr>
  </w:style>
  <w:style w:type="paragraph" w:customStyle="1" w:styleId="120">
    <w:name w:val="正文序号 4"/>
    <w:basedOn w:val="1"/>
    <w:qFormat/>
    <w:uiPriority w:val="0"/>
    <w:pPr>
      <w:numPr>
        <w:ilvl w:val="3"/>
        <w:numId w:val="2"/>
      </w:numPr>
      <w:spacing w:before="60"/>
    </w:pPr>
    <w:rPr>
      <w:szCs w:val="24"/>
    </w:rPr>
  </w:style>
  <w:style w:type="paragraph" w:customStyle="1" w:styleId="121">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2">
    <w:name w:val="表格文字"/>
    <w:basedOn w:val="1"/>
    <w:qFormat/>
    <w:uiPriority w:val="0"/>
    <w:pPr>
      <w:spacing w:before="120" w:after="120"/>
    </w:pPr>
    <w:rPr>
      <w:rFonts w:ascii="新宋体" w:hAnsi="宋体" w:eastAsia="新宋体"/>
      <w:bCs/>
      <w:color w:val="000000"/>
      <w:sz w:val="18"/>
      <w:szCs w:val="18"/>
    </w:rPr>
  </w:style>
  <w:style w:type="paragraph" w:customStyle="1" w:styleId="123">
    <w:name w:val="招标书 正文"/>
    <w:basedOn w:val="1"/>
    <w:link w:val="176"/>
    <w:qFormat/>
    <w:uiPriority w:val="0"/>
    <w:pPr>
      <w:widowControl/>
      <w:snapToGrid w:val="0"/>
      <w:spacing w:line="560" w:lineRule="exact"/>
      <w:ind w:firstLine="560" w:firstLineChars="200"/>
      <w:jc w:val="left"/>
    </w:pPr>
    <w:rPr>
      <w:rFonts w:hAnsi="宋体"/>
      <w:color w:val="000000"/>
      <w:szCs w:val="28"/>
    </w:rPr>
  </w:style>
  <w:style w:type="paragraph" w:customStyle="1" w:styleId="124">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5">
    <w:name w:val="样式 正文缩进 + 首行缩进:  2 字符 段前: 0.5 行 段后: 0.5 行"/>
    <w:basedOn w:val="4"/>
    <w:link w:val="194"/>
    <w:qFormat/>
    <w:uiPriority w:val="0"/>
    <w:pPr>
      <w:spacing w:before="156" w:beforeLines="50" w:after="156" w:afterLines="50" w:line="360" w:lineRule="auto"/>
      <w:ind w:firstLine="480"/>
    </w:pPr>
    <w:rPr>
      <w:sz w:val="24"/>
      <w:szCs w:val="20"/>
    </w:rPr>
  </w:style>
  <w:style w:type="paragraph" w:customStyle="1" w:styleId="126">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7">
    <w:name w:val="selected"/>
    <w:qFormat/>
    <w:uiPriority w:val="0"/>
    <w:rPr>
      <w:shd w:val="clear" w:color="auto" w:fill="B00006"/>
    </w:rPr>
  </w:style>
  <w:style w:type="character" w:customStyle="1" w:styleId="128">
    <w:name w:val="emtidy-6"/>
    <w:basedOn w:val="46"/>
    <w:qFormat/>
    <w:uiPriority w:val="0"/>
  </w:style>
  <w:style w:type="character" w:customStyle="1" w:styleId="129">
    <w:name w:val="Char Char7"/>
    <w:qFormat/>
    <w:uiPriority w:val="0"/>
    <w:rPr>
      <w:rFonts w:ascii="宋体" w:hAnsi="Courier New" w:eastAsia="宋体"/>
      <w:kern w:val="2"/>
      <w:sz w:val="21"/>
      <w:lang w:val="en-US" w:eastAsia="zh-CN" w:bidi="ar-SA"/>
    </w:rPr>
  </w:style>
  <w:style w:type="character" w:customStyle="1" w:styleId="130">
    <w:name w:val="font41"/>
    <w:basedOn w:val="46"/>
    <w:qFormat/>
    <w:uiPriority w:val="0"/>
    <w:rPr>
      <w:rFonts w:hint="eastAsia" w:ascii="宋体" w:hAnsi="宋体" w:eastAsia="宋体" w:cs="宋体"/>
      <w:color w:val="FF0000"/>
      <w:sz w:val="18"/>
      <w:szCs w:val="18"/>
      <w:u w:val="none"/>
    </w:rPr>
  </w:style>
  <w:style w:type="character" w:customStyle="1" w:styleId="131">
    <w:name w:val="emtidy-2"/>
    <w:basedOn w:val="46"/>
    <w:qFormat/>
    <w:uiPriority w:val="0"/>
  </w:style>
  <w:style w:type="character" w:customStyle="1" w:styleId="132">
    <w:name w:val="c-icon"/>
    <w:basedOn w:val="46"/>
    <w:qFormat/>
    <w:uiPriority w:val="0"/>
  </w:style>
  <w:style w:type="character" w:customStyle="1" w:styleId="133">
    <w:name w:val="正文文本缩进 2 字符"/>
    <w:link w:val="27"/>
    <w:qFormat/>
    <w:uiPriority w:val="99"/>
    <w:rPr>
      <w:kern w:val="2"/>
      <w:sz w:val="24"/>
    </w:rPr>
  </w:style>
  <w:style w:type="character" w:customStyle="1" w:styleId="134">
    <w:name w:val="indent"/>
    <w:basedOn w:val="46"/>
    <w:qFormat/>
    <w:uiPriority w:val="0"/>
  </w:style>
  <w:style w:type="character" w:customStyle="1" w:styleId="135">
    <w:name w:val="hover3"/>
    <w:qFormat/>
    <w:uiPriority w:val="0"/>
    <w:rPr>
      <w:shd w:val="clear" w:color="auto" w:fill="EEEEEE"/>
    </w:rPr>
  </w:style>
  <w:style w:type="character" w:customStyle="1" w:styleId="136">
    <w:name w:val="glyphicon4"/>
    <w:basedOn w:val="46"/>
    <w:qFormat/>
    <w:uiPriority w:val="0"/>
  </w:style>
  <w:style w:type="character" w:customStyle="1" w:styleId="137">
    <w:name w:val="font01"/>
    <w:basedOn w:val="46"/>
    <w:qFormat/>
    <w:uiPriority w:val="0"/>
    <w:rPr>
      <w:rFonts w:ascii="宋体" w:hAnsi="宋体" w:eastAsia="宋体" w:cs="宋体"/>
      <w:color w:val="C00000"/>
      <w:sz w:val="20"/>
      <w:szCs w:val="20"/>
      <w:u w:val="none"/>
    </w:rPr>
  </w:style>
  <w:style w:type="character" w:customStyle="1" w:styleId="138">
    <w:name w:val="正文文本缩进 3 字符"/>
    <w:link w:val="35"/>
    <w:qFormat/>
    <w:uiPriority w:val="0"/>
    <w:rPr>
      <w:rFonts w:ascii="宋体" w:hAnsi="宋体"/>
      <w:spacing w:val="4"/>
      <w:kern w:val="2"/>
      <w:sz w:val="21"/>
    </w:rPr>
  </w:style>
  <w:style w:type="character" w:customStyle="1" w:styleId="139">
    <w:name w:val="批注主题 字符"/>
    <w:link w:val="42"/>
    <w:qFormat/>
    <w:uiPriority w:val="0"/>
    <w:rPr>
      <w:rFonts w:eastAsia="宋体"/>
      <w:b/>
      <w:bCs/>
      <w:kern w:val="2"/>
      <w:sz w:val="21"/>
      <w:szCs w:val="24"/>
      <w:lang w:val="en-US" w:eastAsia="zh-CN" w:bidi="ar-SA"/>
    </w:rPr>
  </w:style>
  <w:style w:type="character" w:customStyle="1" w:styleId="140">
    <w:name w:val="正文文本 3 字符"/>
    <w:link w:val="19"/>
    <w:qFormat/>
    <w:uiPriority w:val="0"/>
    <w:rPr>
      <w:b/>
      <w:spacing w:val="-20"/>
      <w:w w:val="110"/>
      <w:kern w:val="2"/>
      <w:sz w:val="52"/>
    </w:rPr>
  </w:style>
  <w:style w:type="character" w:customStyle="1" w:styleId="141">
    <w:name w:val="font111"/>
    <w:qFormat/>
    <w:uiPriority w:val="0"/>
    <w:rPr>
      <w:rFonts w:hint="eastAsia" w:ascii="宋体" w:hAnsi="宋体" w:eastAsia="宋体" w:cs="宋体"/>
      <w:color w:val="00B0F0"/>
      <w:sz w:val="20"/>
      <w:szCs w:val="20"/>
      <w:u w:val="none"/>
    </w:rPr>
  </w:style>
  <w:style w:type="character" w:customStyle="1" w:styleId="142">
    <w:name w:val="font81"/>
    <w:qFormat/>
    <w:uiPriority w:val="0"/>
    <w:rPr>
      <w:rFonts w:ascii="宋体" w:hAnsi="宋体" w:eastAsia="宋体" w:cs="宋体"/>
      <w:color w:val="00B0F0"/>
      <w:sz w:val="20"/>
      <w:szCs w:val="20"/>
      <w:u w:val="none"/>
    </w:rPr>
  </w:style>
  <w:style w:type="character" w:customStyle="1" w:styleId="143">
    <w:name w:val="gpa"/>
    <w:qFormat/>
    <w:uiPriority w:val="0"/>
    <w:rPr>
      <w:rFonts w:ascii="Arial" w:hAnsi="Arial" w:cs="Arial"/>
      <w:sz w:val="15"/>
      <w:szCs w:val="15"/>
    </w:rPr>
  </w:style>
  <w:style w:type="character" w:customStyle="1" w:styleId="144">
    <w:name w:val="font101"/>
    <w:basedOn w:val="46"/>
    <w:qFormat/>
    <w:uiPriority w:val="0"/>
    <w:rPr>
      <w:rFonts w:hint="eastAsia" w:ascii="宋体" w:hAnsi="宋体" w:eastAsia="宋体" w:cs="宋体"/>
      <w:color w:val="00B0F0"/>
      <w:sz w:val="20"/>
      <w:szCs w:val="20"/>
      <w:u w:val="none"/>
    </w:rPr>
  </w:style>
  <w:style w:type="character" w:customStyle="1" w:styleId="145">
    <w:name w:val="标题 5 字符"/>
    <w:link w:val="10"/>
    <w:qFormat/>
    <w:uiPriority w:val="0"/>
    <w:rPr>
      <w:rFonts w:ascii="Arial Unicode MS" w:hAnsi="Arial Unicode MS"/>
      <w:bCs/>
      <w:kern w:val="2"/>
      <w:sz w:val="24"/>
      <w:szCs w:val="24"/>
    </w:rPr>
  </w:style>
  <w:style w:type="character" w:customStyle="1" w:styleId="146">
    <w:name w:val="文档结构图 字符"/>
    <w:link w:val="17"/>
    <w:qFormat/>
    <w:uiPriority w:val="0"/>
    <w:rPr>
      <w:kern w:val="2"/>
      <w:sz w:val="21"/>
      <w:shd w:val="clear" w:color="auto" w:fill="000080"/>
    </w:rPr>
  </w:style>
  <w:style w:type="character" w:customStyle="1" w:styleId="147">
    <w:name w:val="font121"/>
    <w:basedOn w:val="46"/>
    <w:qFormat/>
    <w:uiPriority w:val="0"/>
    <w:rPr>
      <w:rFonts w:ascii="宋体" w:hAnsi="宋体" w:eastAsia="宋体" w:cs="宋体"/>
      <w:color w:val="C00000"/>
      <w:sz w:val="20"/>
      <w:szCs w:val="20"/>
      <w:u w:val="none"/>
    </w:rPr>
  </w:style>
  <w:style w:type="character" w:customStyle="1" w:styleId="148">
    <w:name w:val="emtidy-5"/>
    <w:basedOn w:val="46"/>
    <w:qFormat/>
    <w:uiPriority w:val="0"/>
  </w:style>
  <w:style w:type="character" w:customStyle="1" w:styleId="149">
    <w:name w:val="标题 7 字符"/>
    <w:link w:val="12"/>
    <w:qFormat/>
    <w:uiPriority w:val="0"/>
    <w:rPr>
      <w:rFonts w:ascii="Arial" w:hAnsi="Arial"/>
      <w:b/>
      <w:color w:val="000000"/>
      <w:kern w:val="2"/>
      <w:sz w:val="15"/>
    </w:rPr>
  </w:style>
  <w:style w:type="character" w:customStyle="1" w:styleId="150">
    <w:name w:val="style5 style5"/>
    <w:basedOn w:val="46"/>
    <w:qFormat/>
    <w:uiPriority w:val="0"/>
  </w:style>
  <w:style w:type="character" w:customStyle="1" w:styleId="151">
    <w:name w:val="c1"/>
    <w:qFormat/>
    <w:uiPriority w:val="0"/>
    <w:rPr>
      <w:sz w:val="28"/>
      <w:szCs w:val="28"/>
    </w:rPr>
  </w:style>
  <w:style w:type="character" w:customStyle="1" w:styleId="152">
    <w:name w:val="批注文字 字符"/>
    <w:link w:val="18"/>
    <w:qFormat/>
    <w:uiPriority w:val="0"/>
    <w:rPr>
      <w:rFonts w:eastAsia="宋体"/>
      <w:kern w:val="2"/>
      <w:sz w:val="21"/>
      <w:szCs w:val="24"/>
      <w:lang w:val="en-US" w:eastAsia="zh-CN" w:bidi="ar-SA"/>
    </w:rPr>
  </w:style>
  <w:style w:type="character" w:customStyle="1" w:styleId="153">
    <w:name w:val="para1"/>
    <w:qFormat/>
    <w:uiPriority w:val="0"/>
    <w:rPr>
      <w:rFonts w:hint="default" w:ascii="Arial" w:hAnsi="Arial" w:cs="Arial"/>
      <w:sz w:val="18"/>
      <w:szCs w:val="18"/>
    </w:rPr>
  </w:style>
  <w:style w:type="character" w:customStyle="1" w:styleId="154">
    <w:name w:val="font141"/>
    <w:qFormat/>
    <w:uiPriority w:val="0"/>
    <w:rPr>
      <w:rFonts w:ascii="宋体" w:hAnsi="宋体" w:eastAsia="宋体" w:cs="宋体"/>
      <w:color w:val="C00000"/>
      <w:sz w:val="20"/>
      <w:szCs w:val="20"/>
      <w:u w:val="none"/>
    </w:rPr>
  </w:style>
  <w:style w:type="character" w:customStyle="1" w:styleId="155">
    <w:name w:val="日期 字符"/>
    <w:link w:val="26"/>
    <w:qFormat/>
    <w:uiPriority w:val="0"/>
    <w:rPr>
      <w:kern w:val="2"/>
      <w:sz w:val="28"/>
    </w:rPr>
  </w:style>
  <w:style w:type="character" w:customStyle="1" w:styleId="156">
    <w:name w:val="标题 4 字符"/>
    <w:link w:val="9"/>
    <w:qFormat/>
    <w:uiPriority w:val="0"/>
    <w:rPr>
      <w:rFonts w:ascii="Arial" w:hAnsi="Arial"/>
      <w:bCs/>
      <w:kern w:val="2"/>
      <w:sz w:val="24"/>
      <w:szCs w:val="28"/>
    </w:rPr>
  </w:style>
  <w:style w:type="character" w:customStyle="1" w:styleId="157">
    <w:name w:val="introduction1"/>
    <w:qFormat/>
    <w:uiPriority w:val="0"/>
  </w:style>
  <w:style w:type="character" w:customStyle="1" w:styleId="158">
    <w:name w:val="base"/>
    <w:basedOn w:val="46"/>
    <w:qFormat/>
    <w:uiPriority w:val="0"/>
  </w:style>
  <w:style w:type="character" w:customStyle="1" w:styleId="159">
    <w:name w:val="font131"/>
    <w:basedOn w:val="46"/>
    <w:qFormat/>
    <w:uiPriority w:val="0"/>
    <w:rPr>
      <w:rFonts w:hint="eastAsia" w:ascii="宋体" w:hAnsi="宋体" w:eastAsia="宋体" w:cs="宋体"/>
      <w:color w:val="FF0000"/>
      <w:sz w:val="20"/>
      <w:szCs w:val="20"/>
      <w:u w:val="none"/>
    </w:rPr>
  </w:style>
  <w:style w:type="character" w:customStyle="1" w:styleId="160">
    <w:name w:val="unnamed11"/>
    <w:basedOn w:val="46"/>
    <w:qFormat/>
    <w:uiPriority w:val="0"/>
  </w:style>
  <w:style w:type="character" w:customStyle="1" w:styleId="161">
    <w:name w:val="font51"/>
    <w:basedOn w:val="46"/>
    <w:qFormat/>
    <w:uiPriority w:val="0"/>
    <w:rPr>
      <w:rFonts w:hint="eastAsia" w:ascii="宋体" w:hAnsi="宋体" w:eastAsia="宋体" w:cs="宋体"/>
      <w:color w:val="000000"/>
      <w:sz w:val="20"/>
      <w:szCs w:val="20"/>
      <w:u w:val="none"/>
    </w:rPr>
  </w:style>
  <w:style w:type="character" w:customStyle="1" w:styleId="162">
    <w:name w:val="hour_am"/>
    <w:basedOn w:val="46"/>
    <w:qFormat/>
    <w:uiPriority w:val="0"/>
  </w:style>
  <w:style w:type="character" w:customStyle="1" w:styleId="163">
    <w:name w:val="标题 9 字符"/>
    <w:link w:val="14"/>
    <w:qFormat/>
    <w:uiPriority w:val="0"/>
    <w:rPr>
      <w:rFonts w:ascii="Arial" w:hAnsi="Arial" w:eastAsia="黑体"/>
      <w:kern w:val="2"/>
      <w:sz w:val="21"/>
      <w:szCs w:val="21"/>
    </w:rPr>
  </w:style>
  <w:style w:type="character" w:customStyle="1" w:styleId="164">
    <w:name w:val="正文文本 2 Char1"/>
    <w:semiHidden/>
    <w:qFormat/>
    <w:uiPriority w:val="99"/>
    <w:rPr>
      <w:kern w:val="2"/>
      <w:sz w:val="21"/>
    </w:rPr>
  </w:style>
  <w:style w:type="character" w:customStyle="1" w:styleId="165">
    <w:name w:val="页眉 字符"/>
    <w:link w:val="30"/>
    <w:qFormat/>
    <w:uiPriority w:val="0"/>
    <w:rPr>
      <w:rFonts w:eastAsia="宋体"/>
      <w:kern w:val="2"/>
      <w:sz w:val="18"/>
      <w:szCs w:val="18"/>
      <w:lang w:val="en-US" w:eastAsia="zh-CN" w:bidi="ar-SA"/>
    </w:rPr>
  </w:style>
  <w:style w:type="character" w:customStyle="1" w:styleId="166">
    <w:name w:val="emtidy-3"/>
    <w:basedOn w:val="46"/>
    <w:qFormat/>
    <w:uiPriority w:val="0"/>
  </w:style>
  <w:style w:type="character" w:customStyle="1" w:styleId="167">
    <w:name w:val="tmpztreemove_arrow"/>
    <w:qFormat/>
    <w:uiPriority w:val="0"/>
    <w:rPr>
      <w:shd w:val="clear" w:color="auto" w:fill="FFFFFF"/>
    </w:rPr>
  </w:style>
  <w:style w:type="character" w:customStyle="1" w:styleId="168">
    <w:name w:val="列出段落 字符"/>
    <w:link w:val="98"/>
    <w:qFormat/>
    <w:uiPriority w:val="34"/>
    <w:rPr>
      <w:rFonts w:ascii="Calibri" w:hAnsi="Calibri"/>
      <w:kern w:val="2"/>
      <w:sz w:val="21"/>
      <w:szCs w:val="22"/>
    </w:rPr>
  </w:style>
  <w:style w:type="character" w:customStyle="1" w:styleId="169">
    <w:name w:val="正文文本 2 字符"/>
    <w:link w:val="38"/>
    <w:qFormat/>
    <w:uiPriority w:val="0"/>
    <w:rPr>
      <w:rFonts w:ascii="楷体_GB2312" w:hAnsi="Copperplate Gothic Bold" w:eastAsia="楷体_GB2312"/>
      <w:kern w:val="2"/>
      <w:sz w:val="28"/>
    </w:rPr>
  </w:style>
  <w:style w:type="character" w:customStyle="1" w:styleId="170">
    <w:name w:val="hui3"/>
    <w:qFormat/>
    <w:uiPriority w:val="0"/>
    <w:rPr>
      <w:color w:val="333333"/>
    </w:rPr>
  </w:style>
  <w:style w:type="character" w:customStyle="1" w:styleId="171">
    <w:name w:val="emtidy-4"/>
    <w:basedOn w:val="46"/>
    <w:qFormat/>
    <w:uiPriority w:val="0"/>
  </w:style>
  <w:style w:type="character" w:customStyle="1" w:styleId="172">
    <w:name w:val="题注 字符"/>
    <w:link w:val="16"/>
    <w:qFormat/>
    <w:uiPriority w:val="0"/>
    <w:rPr>
      <w:rFonts w:ascii="Arial" w:hAnsi="Arial" w:eastAsia="黑体" w:cs="Arial"/>
      <w:kern w:val="2"/>
    </w:rPr>
  </w:style>
  <w:style w:type="character" w:customStyle="1" w:styleId="173">
    <w:name w:val="old"/>
    <w:qFormat/>
    <w:uiPriority w:val="0"/>
    <w:rPr>
      <w:color w:val="999999"/>
    </w:rPr>
  </w:style>
  <w:style w:type="character" w:customStyle="1" w:styleId="174">
    <w:name w:val="font21"/>
    <w:basedOn w:val="46"/>
    <w:qFormat/>
    <w:uiPriority w:val="0"/>
    <w:rPr>
      <w:rFonts w:ascii="宋体" w:hAnsi="宋体" w:eastAsia="宋体" w:cs="宋体"/>
      <w:color w:val="FF0000"/>
      <w:sz w:val="20"/>
      <w:szCs w:val="20"/>
      <w:u w:val="none"/>
    </w:rPr>
  </w:style>
  <w:style w:type="character" w:customStyle="1" w:styleId="175">
    <w:name w:val="标题 6 字符"/>
    <w:link w:val="11"/>
    <w:qFormat/>
    <w:uiPriority w:val="0"/>
    <w:rPr>
      <w:rFonts w:ascii="Arial Unicode MS" w:hAnsi="Arial Unicode MS"/>
      <w:bCs/>
      <w:kern w:val="2"/>
      <w:sz w:val="24"/>
      <w:szCs w:val="24"/>
    </w:rPr>
  </w:style>
  <w:style w:type="character" w:customStyle="1" w:styleId="176">
    <w:name w:val="招标书 正文 Char"/>
    <w:link w:val="123"/>
    <w:qFormat/>
    <w:uiPriority w:val="0"/>
    <w:rPr>
      <w:rFonts w:ascii="宋体" w:hAnsi="宋体"/>
      <w:color w:val="000000"/>
      <w:sz w:val="24"/>
      <w:szCs w:val="28"/>
    </w:rPr>
  </w:style>
  <w:style w:type="character" w:customStyle="1" w:styleId="177">
    <w:name w:val="标题 2 字符"/>
    <w:link w:val="7"/>
    <w:qFormat/>
    <w:uiPriority w:val="9"/>
    <w:rPr>
      <w:rFonts w:ascii="Arial" w:hAnsi="Arial"/>
      <w:b/>
      <w:bCs/>
      <w:sz w:val="28"/>
      <w:szCs w:val="32"/>
    </w:rPr>
  </w:style>
  <w:style w:type="character" w:customStyle="1" w:styleId="178">
    <w:name w:val="页脚 字符"/>
    <w:link w:val="29"/>
    <w:qFormat/>
    <w:uiPriority w:val="99"/>
    <w:rPr>
      <w:rFonts w:eastAsia="宋体"/>
      <w:kern w:val="2"/>
      <w:sz w:val="18"/>
      <w:szCs w:val="18"/>
      <w:lang w:val="en-US" w:eastAsia="zh-CN" w:bidi="ar-SA"/>
    </w:rPr>
  </w:style>
  <w:style w:type="character" w:customStyle="1" w:styleId="179">
    <w:name w:val="font11"/>
    <w:basedOn w:val="46"/>
    <w:qFormat/>
    <w:uiPriority w:val="0"/>
    <w:rPr>
      <w:rFonts w:hint="eastAsia" w:ascii="宋体" w:hAnsi="宋体" w:eastAsia="宋体" w:cs="宋体"/>
      <w:color w:val="000000"/>
      <w:sz w:val="20"/>
      <w:szCs w:val="20"/>
      <w:u w:val="none"/>
    </w:rPr>
  </w:style>
  <w:style w:type="character" w:customStyle="1" w:styleId="180">
    <w:name w:val="标题 字符"/>
    <w:link w:val="41"/>
    <w:qFormat/>
    <w:uiPriority w:val="0"/>
    <w:rPr>
      <w:rFonts w:ascii="Cambria" w:hAnsi="Cambria"/>
      <w:b/>
      <w:bCs/>
      <w:kern w:val="2"/>
      <w:sz w:val="32"/>
      <w:szCs w:val="32"/>
    </w:rPr>
  </w:style>
  <w:style w:type="character" w:customStyle="1" w:styleId="181">
    <w:name w:val="正文文本 字符"/>
    <w:link w:val="20"/>
    <w:qFormat/>
    <w:uiPriority w:val="0"/>
    <w:rPr>
      <w:kern w:val="2"/>
      <w:sz w:val="21"/>
    </w:rPr>
  </w:style>
  <w:style w:type="character" w:customStyle="1" w:styleId="182">
    <w:name w:val="button"/>
    <w:basedOn w:val="46"/>
    <w:qFormat/>
    <w:uiPriority w:val="0"/>
  </w:style>
  <w:style w:type="character" w:customStyle="1" w:styleId="183">
    <w:name w:val="标题 8 字符"/>
    <w:link w:val="13"/>
    <w:qFormat/>
    <w:uiPriority w:val="0"/>
    <w:rPr>
      <w:rFonts w:ascii="仿宋_GB2312" w:eastAsia="仿宋_GB2312"/>
      <w:b/>
      <w:kern w:val="2"/>
      <w:sz w:val="24"/>
    </w:rPr>
  </w:style>
  <w:style w:type="character" w:customStyle="1" w:styleId="184">
    <w:name w:val="c lh15"/>
    <w:basedOn w:val="46"/>
    <w:qFormat/>
    <w:uiPriority w:val="0"/>
  </w:style>
  <w:style w:type="character" w:customStyle="1" w:styleId="185">
    <w:name w:val="纯文本 字符"/>
    <w:link w:val="24"/>
    <w:qFormat/>
    <w:uiPriority w:val="0"/>
    <w:rPr>
      <w:rFonts w:ascii="宋体" w:hAnsi="Courier New" w:eastAsia="宋体"/>
      <w:kern w:val="2"/>
      <w:sz w:val="21"/>
      <w:lang w:val="en-US" w:eastAsia="zh-CN" w:bidi="ar-SA"/>
    </w:rPr>
  </w:style>
  <w:style w:type="character" w:customStyle="1" w:styleId="186">
    <w:name w:val="font71"/>
    <w:qFormat/>
    <w:uiPriority w:val="0"/>
    <w:rPr>
      <w:rFonts w:hint="eastAsia" w:ascii="宋体" w:hAnsi="宋体" w:eastAsia="宋体" w:cs="宋体"/>
      <w:color w:val="000000"/>
      <w:sz w:val="20"/>
      <w:szCs w:val="20"/>
      <w:u w:val="none"/>
    </w:rPr>
  </w:style>
  <w:style w:type="character" w:customStyle="1" w:styleId="187">
    <w:name w:val="hour_pm"/>
    <w:basedOn w:val="46"/>
    <w:qFormat/>
    <w:uiPriority w:val="0"/>
  </w:style>
  <w:style w:type="character" w:customStyle="1" w:styleId="188">
    <w:name w:val="正文缩进 字符"/>
    <w:link w:val="4"/>
    <w:qFormat/>
    <w:uiPriority w:val="0"/>
    <w:rPr>
      <w:kern w:val="2"/>
      <w:sz w:val="21"/>
      <w:szCs w:val="24"/>
    </w:rPr>
  </w:style>
  <w:style w:type="character" w:customStyle="1" w:styleId="189">
    <w:name w:val="批注框文本 字符"/>
    <w:link w:val="28"/>
    <w:qFormat/>
    <w:uiPriority w:val="99"/>
    <w:rPr>
      <w:kern w:val="2"/>
      <w:sz w:val="18"/>
      <w:szCs w:val="18"/>
    </w:rPr>
  </w:style>
  <w:style w:type="character" w:customStyle="1" w:styleId="190">
    <w:name w:val="font31"/>
    <w:basedOn w:val="46"/>
    <w:qFormat/>
    <w:uiPriority w:val="0"/>
    <w:rPr>
      <w:rFonts w:hint="eastAsia" w:ascii="宋体" w:hAnsi="宋体" w:eastAsia="宋体" w:cs="宋体"/>
      <w:color w:val="000000"/>
      <w:sz w:val="20"/>
      <w:szCs w:val="20"/>
      <w:u w:val="none"/>
    </w:rPr>
  </w:style>
  <w:style w:type="character" w:customStyle="1" w:styleId="191">
    <w:name w:val="font91"/>
    <w:basedOn w:val="46"/>
    <w:qFormat/>
    <w:uiPriority w:val="0"/>
    <w:rPr>
      <w:rFonts w:hint="eastAsia" w:ascii="宋体" w:hAnsi="宋体" w:eastAsia="宋体" w:cs="宋体"/>
      <w:color w:val="000000"/>
      <w:sz w:val="20"/>
      <w:szCs w:val="20"/>
      <w:u w:val="none"/>
    </w:rPr>
  </w:style>
  <w:style w:type="character" w:customStyle="1" w:styleId="192">
    <w:name w:val="副标题 Char1"/>
    <w:qFormat/>
    <w:uiPriority w:val="11"/>
    <w:rPr>
      <w:rFonts w:ascii="Cambria" w:hAnsi="Cambria" w:cs="Times New Roman"/>
      <w:b/>
      <w:bCs/>
      <w:kern w:val="28"/>
      <w:sz w:val="32"/>
      <w:szCs w:val="32"/>
    </w:rPr>
  </w:style>
  <w:style w:type="character" w:customStyle="1" w:styleId="193">
    <w:name w:val="displayarti"/>
    <w:qFormat/>
    <w:uiPriority w:val="0"/>
    <w:rPr>
      <w:color w:val="FFFFFF"/>
      <w:shd w:val="clear" w:color="auto" w:fill="A00000"/>
    </w:rPr>
  </w:style>
  <w:style w:type="character" w:customStyle="1" w:styleId="194">
    <w:name w:val="样式 正文缩进 + 首行缩进:  2 字符 段前: 0.5 行 段后: 0.5 行 Char"/>
    <w:link w:val="125"/>
    <w:qFormat/>
    <w:uiPriority w:val="0"/>
    <w:rPr>
      <w:rFonts w:cs="宋体"/>
      <w:kern w:val="2"/>
      <w:sz w:val="24"/>
    </w:rPr>
  </w:style>
  <w:style w:type="character" w:customStyle="1" w:styleId="195">
    <w:name w:val="正文文本缩进 字符"/>
    <w:link w:val="3"/>
    <w:qFormat/>
    <w:uiPriority w:val="0"/>
    <w:rPr>
      <w:sz w:val="28"/>
    </w:rPr>
  </w:style>
  <w:style w:type="character" w:customStyle="1" w:styleId="196">
    <w:name w:val="副标题 字符"/>
    <w:link w:val="32"/>
    <w:qFormat/>
    <w:uiPriority w:val="0"/>
    <w:rPr>
      <w:rFonts w:ascii="Cambria" w:hAnsi="Cambria"/>
      <w:b/>
      <w:bCs/>
      <w:kern w:val="28"/>
      <w:sz w:val="32"/>
      <w:szCs w:val="32"/>
    </w:rPr>
  </w:style>
  <w:style w:type="character" w:customStyle="1" w:styleId="197">
    <w:name w:val="标题 3 字符"/>
    <w:link w:val="8"/>
    <w:qFormat/>
    <w:uiPriority w:val="0"/>
    <w:rPr>
      <w:b/>
      <w:bCs/>
      <w:kern w:val="2"/>
      <w:sz w:val="24"/>
      <w:szCs w:val="24"/>
    </w:rPr>
  </w:style>
  <w:style w:type="character" w:customStyle="1" w:styleId="198">
    <w:name w:val="font61"/>
    <w:basedOn w:val="46"/>
    <w:qFormat/>
    <w:uiPriority w:val="0"/>
    <w:rPr>
      <w:rFonts w:hint="eastAsia" w:ascii="宋体" w:hAnsi="宋体" w:eastAsia="宋体" w:cs="宋体"/>
      <w:color w:val="C00000"/>
      <w:sz w:val="20"/>
      <w:szCs w:val="20"/>
      <w:u w:val="none"/>
    </w:rPr>
  </w:style>
  <w:style w:type="character" w:customStyle="1" w:styleId="199">
    <w:name w:val="ziti12-333-25"/>
    <w:basedOn w:val="46"/>
    <w:qFormat/>
    <w:uiPriority w:val="0"/>
  </w:style>
  <w:style w:type="character" w:customStyle="1" w:styleId="200">
    <w:name w:val="style31"/>
    <w:qFormat/>
    <w:uiPriority w:val="0"/>
    <w:rPr>
      <w:sz w:val="21"/>
      <w:szCs w:val="21"/>
    </w:rPr>
  </w:style>
  <w:style w:type="character" w:customStyle="1" w:styleId="201">
    <w:name w:val="ca-01"/>
    <w:qFormat/>
    <w:uiPriority w:val="0"/>
    <w:rPr>
      <w:rFonts w:hint="eastAsia" w:ascii="宋体" w:hAnsi="宋体" w:eastAsia="宋体"/>
      <w:sz w:val="28"/>
      <w:szCs w:val="28"/>
    </w:rPr>
  </w:style>
  <w:style w:type="character" w:customStyle="1" w:styleId="202">
    <w:name w:val="正文文本 3 Char1"/>
    <w:semiHidden/>
    <w:qFormat/>
    <w:uiPriority w:val="99"/>
    <w:rPr>
      <w:kern w:val="2"/>
      <w:sz w:val="16"/>
      <w:szCs w:val="16"/>
    </w:rPr>
  </w:style>
  <w:style w:type="character" w:customStyle="1" w:styleId="203">
    <w:name w:val="font22"/>
    <w:basedOn w:val="46"/>
    <w:qFormat/>
    <w:uiPriority w:val="0"/>
    <w:rPr>
      <w:rFonts w:hint="eastAsia" w:ascii="宋体" w:hAnsi="宋体" w:eastAsia="宋体" w:cs="宋体"/>
      <w:color w:val="000000"/>
      <w:sz w:val="20"/>
      <w:szCs w:val="20"/>
      <w:u w:val="none"/>
    </w:rPr>
  </w:style>
  <w:style w:type="character" w:customStyle="1" w:styleId="204">
    <w:name w:val="font13"/>
    <w:basedOn w:val="46"/>
    <w:qFormat/>
    <w:uiPriority w:val="0"/>
    <w:rPr>
      <w:rFonts w:hint="eastAsia" w:ascii="宋体" w:hAnsi="宋体" w:eastAsia="宋体" w:cs="宋体"/>
      <w:color w:val="000000"/>
      <w:sz w:val="20"/>
      <w:szCs w:val="20"/>
      <w:u w:val="none"/>
      <w:vertAlign w:val="superscript"/>
    </w:rPr>
  </w:style>
  <w:style w:type="character" w:customStyle="1" w:styleId="205">
    <w:name w:val="font132"/>
    <w:basedOn w:val="46"/>
    <w:qFormat/>
    <w:uiPriority w:val="0"/>
    <w:rPr>
      <w:rFonts w:hint="eastAsia" w:ascii="宋体" w:hAnsi="宋体" w:eastAsia="宋体" w:cs="宋体"/>
      <w:color w:val="000000"/>
      <w:sz w:val="16"/>
      <w:szCs w:val="16"/>
      <w:u w:val="none"/>
    </w:rPr>
  </w:style>
  <w:style w:type="character" w:customStyle="1" w:styleId="206">
    <w:name w:val="font171"/>
    <w:basedOn w:val="46"/>
    <w:qFormat/>
    <w:uiPriority w:val="0"/>
    <w:rPr>
      <w:rFonts w:ascii="宋体" w:hAnsi="宋体" w:eastAsia="宋体" w:cs="宋体"/>
      <w:color w:val="000000"/>
      <w:sz w:val="16"/>
      <w:szCs w:val="16"/>
      <w:u w:val="none"/>
    </w:rPr>
  </w:style>
  <w:style w:type="character" w:customStyle="1" w:styleId="207">
    <w:name w:val="font151"/>
    <w:basedOn w:val="46"/>
    <w:qFormat/>
    <w:uiPriority w:val="0"/>
    <w:rPr>
      <w:rFonts w:hint="default" w:ascii="Tahoma" w:hAnsi="Tahoma" w:eastAsia="Tahoma" w:cs="Tahoma"/>
      <w:color w:val="000000"/>
      <w:sz w:val="16"/>
      <w:szCs w:val="16"/>
      <w:u w:val="none"/>
    </w:rPr>
  </w:style>
  <w:style w:type="character" w:customStyle="1" w:styleId="208">
    <w:name w:val="font161"/>
    <w:basedOn w:val="46"/>
    <w:qFormat/>
    <w:uiPriority w:val="0"/>
    <w:rPr>
      <w:rFonts w:hint="eastAsia" w:ascii="宋体" w:hAnsi="宋体" w:eastAsia="宋体" w:cs="宋体"/>
      <w:color w:val="000000"/>
      <w:sz w:val="16"/>
      <w:szCs w:val="16"/>
      <w:u w:val="none"/>
    </w:rPr>
  </w:style>
  <w:style w:type="character" w:customStyle="1" w:styleId="209">
    <w:name w:val="font112"/>
    <w:basedOn w:val="46"/>
    <w:qFormat/>
    <w:uiPriority w:val="0"/>
    <w:rPr>
      <w:rFonts w:hint="eastAsia" w:ascii="宋体" w:hAnsi="宋体" w:eastAsia="宋体" w:cs="宋体"/>
      <w:color w:val="000000"/>
      <w:sz w:val="20"/>
      <w:szCs w:val="20"/>
      <w:u w:val="none"/>
    </w:rPr>
  </w:style>
  <w:style w:type="character" w:customStyle="1" w:styleId="210">
    <w:name w:val="span-long"/>
    <w:basedOn w:val="46"/>
    <w:qFormat/>
    <w:uiPriority w:val="0"/>
  </w:style>
  <w:style w:type="character" w:customStyle="1" w:styleId="211">
    <w:name w:val="proollist"/>
    <w:basedOn w:val="46"/>
    <w:qFormat/>
    <w:uiPriority w:val="0"/>
  </w:style>
  <w:style w:type="character" w:customStyle="1" w:styleId="212">
    <w:name w:val="hilite6"/>
    <w:basedOn w:val="46"/>
    <w:qFormat/>
    <w:uiPriority w:val="0"/>
    <w:rPr>
      <w:color w:val="FFFFFF"/>
      <w:shd w:val="clear" w:color="auto" w:fill="666677"/>
    </w:rPr>
  </w:style>
  <w:style w:type="character" w:customStyle="1" w:styleId="213">
    <w:name w:val="phone"/>
    <w:basedOn w:val="46"/>
    <w:qFormat/>
    <w:uiPriority w:val="0"/>
    <w:rPr>
      <w:color w:val="FF8833"/>
      <w:sz w:val="18"/>
      <w:szCs w:val="18"/>
    </w:rPr>
  </w:style>
  <w:style w:type="character" w:customStyle="1" w:styleId="214">
    <w:name w:val="number"/>
    <w:basedOn w:val="46"/>
    <w:qFormat/>
    <w:uiPriority w:val="0"/>
    <w:rPr>
      <w:color w:val="FF8833"/>
      <w:sz w:val="18"/>
      <w:szCs w:val="18"/>
    </w:rPr>
  </w:style>
  <w:style w:type="character" w:customStyle="1" w:styleId="215">
    <w:name w:val="stclosebtn"/>
    <w:basedOn w:val="46"/>
    <w:qFormat/>
    <w:uiPriority w:val="0"/>
  </w:style>
  <w:style w:type="character" w:customStyle="1" w:styleId="216">
    <w:name w:val="input-direction"/>
    <w:basedOn w:val="46"/>
    <w:qFormat/>
    <w:uiPriority w:val="0"/>
    <w:rPr>
      <w:color w:val="FF6600"/>
    </w:rPr>
  </w:style>
  <w:style w:type="character" w:customStyle="1" w:styleId="217">
    <w:name w:val="beforeinfotext"/>
    <w:basedOn w:val="46"/>
    <w:qFormat/>
    <w:uiPriority w:val="0"/>
    <w:rPr>
      <w:color w:val="666666"/>
    </w:rPr>
  </w:style>
  <w:style w:type="character" w:customStyle="1" w:styleId="218">
    <w:name w:val="active"/>
    <w:basedOn w:val="46"/>
    <w:qFormat/>
    <w:uiPriority w:val="0"/>
    <w:rPr>
      <w:color w:val="00FF00"/>
      <w:shd w:val="clear" w:color="auto" w:fill="000000"/>
    </w:rPr>
  </w:style>
  <w:style w:type="character" w:customStyle="1" w:styleId="219">
    <w:name w:val="hilite"/>
    <w:basedOn w:val="46"/>
    <w:qFormat/>
    <w:uiPriority w:val="0"/>
    <w:rPr>
      <w:color w:val="FFFFFF"/>
      <w:shd w:val="clear" w:color="auto" w:fill="666677"/>
    </w:rPr>
  </w:style>
  <w:style w:type="paragraph" w:customStyle="1" w:styleId="220">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221">
    <w:name w:val="招标文件正文"/>
    <w:qFormat/>
    <w:uiPriority w:val="0"/>
    <w:pPr>
      <w:spacing w:before="120" w:after="120" w:line="300" w:lineRule="auto"/>
      <w:ind w:firstLine="200" w:firstLineChars="200"/>
    </w:pPr>
    <w:rPr>
      <w:rFonts w:ascii="宋体" w:hAnsi="Times New Roman" w:eastAsia="宋体" w:cs="Times New Roman"/>
      <w:spacing w:val="10"/>
      <w:w w:val="95"/>
      <w:sz w:val="21"/>
      <w:szCs w:val="22"/>
      <w:lang w:val="en-US" w:eastAsia="zh-CN" w:bidi="ar-SA"/>
    </w:rPr>
  </w:style>
  <w:style w:type="paragraph" w:customStyle="1" w:styleId="222">
    <w:name w:val="表格文本"/>
    <w:basedOn w:val="1"/>
    <w:qFormat/>
    <w:uiPriority w:val="0"/>
    <w:pPr>
      <w:adjustRightInd w:val="0"/>
      <w:snapToGrid w:val="0"/>
      <w:spacing w:beforeLines="50" w:afterLines="50"/>
      <w:jc w:val="left"/>
    </w:pPr>
    <w:rPr>
      <w:rFonts w:ascii="Arial" w:hAnsi="Arial"/>
      <w:szCs w:val="21"/>
    </w:rPr>
  </w:style>
  <w:style w:type="paragraph" w:customStyle="1" w:styleId="223">
    <w:name w:val="样式 表格内内容 + 首行缩进:  0.85 厘米 段后: 7.8 磅"/>
    <w:basedOn w:val="222"/>
    <w:qFormat/>
    <w:uiPriority w:val="0"/>
    <w:pPr>
      <w:widowControl/>
      <w:adjustRightInd/>
      <w:snapToGrid/>
      <w:spacing w:beforeLines="0" w:afterLines="0" w:line="360" w:lineRule="auto"/>
      <w:jc w:val="both"/>
    </w:pPr>
    <w:rPr>
      <w:rFonts w:ascii="宋体" w:hAnsi="宋体"/>
      <w:szCs w:val="20"/>
    </w:rPr>
  </w:style>
  <w:style w:type="paragraph" w:customStyle="1" w:styleId="224">
    <w:name w:val="★B00.宋体小四"/>
    <w:basedOn w:val="1"/>
    <w:qFormat/>
    <w:uiPriority w:val="0"/>
    <w:pPr>
      <w:spacing w:line="360" w:lineRule="auto"/>
      <w:ind w:firstLine="420" w:firstLineChars="200"/>
    </w:pPr>
    <w:rPr>
      <w:rFonts w:hAnsi="宋体"/>
      <w:szCs w:val="21"/>
    </w:rPr>
  </w:style>
  <w:style w:type="paragraph" w:customStyle="1" w:styleId="225">
    <w:name w:val="A1.宋体小四→首行缩进"/>
    <w:basedOn w:val="1"/>
    <w:qFormat/>
    <w:uiPriority w:val="0"/>
    <w:pPr>
      <w:spacing w:before="60" w:after="60" w:line="360" w:lineRule="auto"/>
      <w:ind w:firstLine="480" w:firstLineChars="200"/>
    </w:pPr>
    <w:rPr>
      <w:rFonts w:ascii="Times New Roman"/>
      <w:kern w:val="24"/>
    </w:rPr>
  </w:style>
  <w:style w:type="paragraph" w:customStyle="1" w:styleId="226">
    <w:name w:val="标题 41"/>
    <w:basedOn w:val="1"/>
    <w:qFormat/>
    <w:uiPriority w:val="1"/>
    <w:pPr>
      <w:ind w:left="1745"/>
      <w:jc w:val="left"/>
      <w:outlineLvl w:val="4"/>
    </w:pPr>
    <w:rPr>
      <w:rFonts w:hAnsi="宋体"/>
      <w:sz w:val="26"/>
      <w:szCs w:val="26"/>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144</Pages>
  <Words>70069</Words>
  <Characters>76072</Characters>
  <Lines>489</Lines>
  <Paragraphs>137</Paragraphs>
  <TotalTime>56</TotalTime>
  <ScaleCrop>false</ScaleCrop>
  <LinksUpToDate>false</LinksUpToDate>
  <CharactersWithSpaces>78422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2023-05-13T05:20:00Z</dcterms:created>
  <dc:creator>ZH</dc:creator>
  <cp:lastModifiedBy>Baymax</cp:lastModifiedBy>
  <cp:lastPrinted>2021-07-29T07:31:00Z</cp:lastPrinted>
  <dcterms:modified xsi:type="dcterms:W3CDTF">2023-07-03T05:02:10Z</dcterms:modified>
  <dc:title>政府采购货物和服务项目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4232BB2DAEC342D986B195556659A66A_13</vt:lpwstr>
  </property>
</Properties>
</file>