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宋体" w:asciiTheme="minorEastAsia" w:hAnsiTheme="minorEastAsia" w:eastAsiaTheme="minorEastAsia"/>
          <w:b/>
          <w:bCs/>
        </w:rPr>
      </w:pPr>
      <w:r>
        <w:rPr>
          <w:rFonts w:hint="eastAsia" w:cs="宋体" w:asciiTheme="minorEastAsia" w:hAnsiTheme="minorEastAsia" w:eastAsiaTheme="minorEastAsia"/>
          <w:b/>
          <w:bCs/>
        </w:rPr>
        <w:t>项目编号：ZMZB2023ZXYY-74</w:t>
      </w:r>
    </w:p>
    <w:p>
      <w:pPr>
        <w:jc w:val="center"/>
        <w:rPr>
          <w:rFonts w:cs="宋体" w:asciiTheme="minorEastAsia" w:hAnsiTheme="minorEastAsia" w:eastAsiaTheme="minorEastAsia"/>
        </w:rPr>
      </w:pPr>
    </w:p>
    <w:p>
      <w:pPr>
        <w:jc w:val="both"/>
        <w:rPr>
          <w:rFonts w:cs="宋体" w:asciiTheme="minorEastAsia" w:hAnsiTheme="minorEastAsia" w:eastAsiaTheme="minorEastAsia"/>
        </w:rPr>
      </w:pPr>
    </w:p>
    <w:p>
      <w:pPr>
        <w:spacing w:line="360" w:lineRule="auto"/>
        <w:jc w:val="center"/>
        <w:rPr>
          <w:rFonts w:cs="宋体" w:asciiTheme="minorEastAsia" w:hAnsiTheme="minorEastAsia" w:eastAsiaTheme="minorEastAsia"/>
          <w:b/>
          <w:bCs/>
        </w:rPr>
      </w:pPr>
      <w:r>
        <w:rPr>
          <w:rFonts w:hint="eastAsia" w:cs="宋体" w:asciiTheme="minorEastAsia" w:hAnsiTheme="minorEastAsia" w:eastAsiaTheme="minorEastAsia"/>
          <w:b/>
          <w:bCs/>
        </w:rPr>
        <w:t>西安市中心医院经开院区智能化及物联网系统项目</w:t>
      </w:r>
    </w:p>
    <w:p>
      <w:pPr>
        <w:jc w:val="center"/>
        <w:rPr>
          <w:rFonts w:cs="宋体" w:asciiTheme="minorEastAsia" w:hAnsiTheme="minorEastAsia" w:eastAsiaTheme="minorEastAsia"/>
          <w:b/>
          <w:bCs/>
        </w:rPr>
      </w:pPr>
    </w:p>
    <w:p>
      <w:pPr>
        <w:jc w:val="center"/>
        <w:rPr>
          <w:rFonts w:cs="宋体" w:asciiTheme="minorEastAsia" w:hAnsiTheme="minorEastAsia" w:eastAsiaTheme="minorEastAsia"/>
          <w:b/>
          <w:bCs/>
        </w:rPr>
      </w:pPr>
    </w:p>
    <w:p>
      <w:pPr>
        <w:jc w:val="center"/>
        <w:rPr>
          <w:rFonts w:cs="宋体" w:asciiTheme="minorEastAsia" w:hAnsiTheme="minorEastAsia" w:eastAsiaTheme="minorEastAsia"/>
          <w:b/>
          <w:bCs/>
        </w:rPr>
      </w:pPr>
      <w:r>
        <w:rPr>
          <w:rFonts w:hint="eastAsia" w:cs="宋体" w:asciiTheme="minorEastAsia" w:hAnsiTheme="minorEastAsia" w:eastAsiaTheme="minorEastAsia"/>
          <w:b/>
          <w:bCs/>
        </w:rPr>
        <w:t>招标文件</w:t>
      </w:r>
    </w:p>
    <w:p>
      <w:pPr>
        <w:spacing w:line="560" w:lineRule="exact"/>
        <w:ind w:firstLine="496" w:firstLineChars="200"/>
        <w:jc w:val="both"/>
        <w:rPr>
          <w:rFonts w:cs="宋体" w:asciiTheme="minorEastAsia" w:hAnsiTheme="minorEastAsia" w:eastAsiaTheme="minorEastAsia"/>
          <w:b/>
          <w:bCs/>
        </w:rPr>
      </w:pPr>
    </w:p>
    <w:p>
      <w:pPr>
        <w:spacing w:line="560" w:lineRule="exact"/>
        <w:jc w:val="both"/>
        <w:rPr>
          <w:rFonts w:cs="宋体" w:asciiTheme="minorEastAsia" w:hAnsiTheme="minorEastAsia" w:eastAsiaTheme="minorEastAsia"/>
          <w:b/>
          <w:bCs/>
        </w:rPr>
      </w:pPr>
    </w:p>
    <w:p>
      <w:pPr>
        <w:spacing w:line="560" w:lineRule="exact"/>
        <w:ind w:firstLine="496" w:firstLineChars="200"/>
        <w:jc w:val="both"/>
        <w:rPr>
          <w:rFonts w:cs="宋体" w:asciiTheme="minorEastAsia" w:hAnsiTheme="minorEastAsia" w:eastAsiaTheme="minorEastAsia"/>
          <w:b/>
          <w:bCs/>
        </w:rPr>
      </w:pPr>
    </w:p>
    <w:p>
      <w:pPr>
        <w:spacing w:line="560" w:lineRule="exact"/>
        <w:ind w:firstLine="496" w:firstLineChars="200"/>
        <w:jc w:val="both"/>
        <w:rPr>
          <w:rFonts w:cs="宋体" w:asciiTheme="minorEastAsia" w:hAnsiTheme="minorEastAsia" w:eastAsiaTheme="minorEastAsia"/>
          <w:b/>
          <w:bCs/>
        </w:rPr>
      </w:pPr>
    </w:p>
    <w:p>
      <w:pPr>
        <w:spacing w:line="560" w:lineRule="exact"/>
        <w:ind w:firstLine="496" w:firstLineChars="200"/>
        <w:jc w:val="both"/>
        <w:rPr>
          <w:rFonts w:cs="宋体" w:asciiTheme="minorEastAsia" w:hAnsiTheme="minorEastAsia" w:eastAsiaTheme="minorEastAsia"/>
          <w:b/>
          <w:bCs/>
        </w:rPr>
      </w:pPr>
    </w:p>
    <w:p>
      <w:pPr>
        <w:spacing w:line="560" w:lineRule="exact"/>
        <w:ind w:firstLine="496" w:firstLineChars="200"/>
        <w:jc w:val="both"/>
        <w:rPr>
          <w:rFonts w:cs="宋体" w:asciiTheme="minorEastAsia" w:hAnsiTheme="minorEastAsia" w:eastAsiaTheme="minorEastAsia"/>
          <w:b/>
          <w:bCs/>
        </w:rPr>
      </w:pPr>
    </w:p>
    <w:p>
      <w:pPr>
        <w:spacing w:line="560" w:lineRule="exact"/>
        <w:ind w:firstLine="496" w:firstLineChars="200"/>
        <w:jc w:val="center"/>
        <w:rPr>
          <w:rFonts w:cs="宋体" w:asciiTheme="minorEastAsia" w:hAnsiTheme="minorEastAsia" w:eastAsiaTheme="minorEastAsia"/>
        </w:rPr>
      </w:pPr>
    </w:p>
    <w:p>
      <w:pPr>
        <w:spacing w:line="560" w:lineRule="exact"/>
        <w:ind w:firstLine="496" w:firstLineChars="200"/>
        <w:jc w:val="center"/>
        <w:rPr>
          <w:rFonts w:cs="宋体" w:asciiTheme="minorEastAsia" w:hAnsiTheme="minorEastAsia" w:eastAsiaTheme="minorEastAsia"/>
        </w:rPr>
      </w:pPr>
    </w:p>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陕西卓佲项目管理有限公司</w:t>
      </w:r>
    </w:p>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TIME \@ "yyyy年M月"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2023年5月</w:t>
      </w:r>
      <w:r>
        <w:rPr>
          <w:rFonts w:hint="eastAsia" w:cs="宋体" w:asciiTheme="minorEastAsia" w:hAnsiTheme="minorEastAsia" w:eastAsiaTheme="minorEastAsia"/>
        </w:rPr>
        <w:fldChar w:fldCharType="end"/>
      </w:r>
      <w:r>
        <w:rPr>
          <w:rFonts w:hint="eastAsia" w:cs="宋体" w:asciiTheme="minorEastAsia" w:hAnsiTheme="minorEastAsia" w:eastAsiaTheme="minorEastAsia"/>
        </w:rPr>
        <w:br w:type="page"/>
      </w:r>
    </w:p>
    <w:p>
      <w:pPr>
        <w:jc w:val="center"/>
        <w:rPr>
          <w:rFonts w:asciiTheme="minorEastAsia" w:hAnsiTheme="minorEastAsia" w:eastAsiaTheme="minorEastAsia"/>
        </w:rPr>
      </w:pPr>
      <w:bookmarkStart w:id="0" w:name="_Toc100219612"/>
      <w:r>
        <w:rPr>
          <w:rFonts w:asciiTheme="minorEastAsia" w:hAnsiTheme="minorEastAsia" w:eastAsiaTheme="minorEastAsia"/>
        </w:rPr>
        <w:t>目录</w:t>
      </w:r>
    </w:p>
    <w:p>
      <w:pPr>
        <w:pStyle w:val="26"/>
        <w:tabs>
          <w:tab w:val="right" w:leader="dot" w:pos="8290"/>
        </w:tabs>
        <w:spacing w:before="0" w:beforeLines="0" w:after="0" w:afterLines="0"/>
        <w:rPr>
          <w:rFonts w:ascii="宋体" w:hAnsi="宋体" w:cstheme="minorBidi"/>
          <w:kern w:val="2"/>
          <w:sz w:val="24"/>
          <w14:ligatures w14:val="standardContextual"/>
        </w:rPr>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fldChar w:fldCharType="begin"/>
      </w:r>
      <w:r>
        <w:instrText xml:space="preserve"> HYPERLINK \l "_Toc135129520" </w:instrText>
      </w:r>
      <w:r>
        <w:fldChar w:fldCharType="separate"/>
      </w:r>
      <w:r>
        <w:rPr>
          <w:rStyle w:val="47"/>
          <w:rFonts w:ascii="宋体" w:hAnsi="宋体" w:cs="宋体"/>
          <w:sz w:val="24"/>
        </w:rPr>
        <w:t>第一章  投标邀请函</w:t>
      </w:r>
      <w:r>
        <w:rPr>
          <w:rFonts w:ascii="宋体" w:hAnsi="宋体"/>
          <w:sz w:val="24"/>
        </w:rPr>
        <w:tab/>
      </w:r>
      <w:r>
        <w:rPr>
          <w:rFonts w:ascii="宋体" w:hAnsi="宋体"/>
          <w:sz w:val="24"/>
        </w:rPr>
        <w:fldChar w:fldCharType="begin"/>
      </w:r>
      <w:r>
        <w:rPr>
          <w:rFonts w:ascii="宋体" w:hAnsi="宋体"/>
          <w:sz w:val="24"/>
        </w:rPr>
        <w:instrText xml:space="preserve"> PAGEREF _Toc135129520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26"/>
        <w:tabs>
          <w:tab w:val="right" w:leader="dot" w:pos="8290"/>
        </w:tabs>
        <w:spacing w:before="0" w:beforeLines="0" w:after="0" w:afterLines="0"/>
        <w:rPr>
          <w:rFonts w:ascii="宋体" w:hAnsi="宋体" w:cstheme="minorBidi"/>
          <w:kern w:val="2"/>
          <w:sz w:val="24"/>
          <w14:ligatures w14:val="standardContextual"/>
        </w:rPr>
      </w:pPr>
      <w:r>
        <w:fldChar w:fldCharType="begin"/>
      </w:r>
      <w:r>
        <w:instrText xml:space="preserve"> HYPERLINK \l "_Toc135129521" </w:instrText>
      </w:r>
      <w:r>
        <w:fldChar w:fldCharType="separate"/>
      </w:r>
      <w:r>
        <w:rPr>
          <w:rStyle w:val="47"/>
          <w:rFonts w:ascii="宋体" w:hAnsi="宋体" w:cs="宋体"/>
          <w:sz w:val="24"/>
        </w:rPr>
        <w:t>第二章  供应商须知</w:t>
      </w:r>
      <w:r>
        <w:rPr>
          <w:rFonts w:ascii="宋体" w:hAnsi="宋体"/>
          <w:sz w:val="24"/>
        </w:rPr>
        <w:tab/>
      </w:r>
      <w:r>
        <w:rPr>
          <w:rFonts w:ascii="宋体" w:hAnsi="宋体"/>
          <w:sz w:val="24"/>
        </w:rPr>
        <w:fldChar w:fldCharType="begin"/>
      </w:r>
      <w:r>
        <w:rPr>
          <w:rFonts w:ascii="宋体" w:hAnsi="宋体"/>
          <w:sz w:val="24"/>
        </w:rPr>
        <w:instrText xml:space="preserve"> PAGEREF _Toc135129521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"_Toc135129522" </w:instrText>
      </w:r>
      <w:r>
        <w:fldChar w:fldCharType="separate"/>
      </w:r>
      <w:r>
        <w:rPr>
          <w:rStyle w:val="47"/>
          <w:rFonts w:ascii="宋体" w:hAnsi="宋体" w:cs="宋体"/>
        </w:rPr>
        <w:t>〖前附表〗</w:t>
      </w:r>
      <w:r>
        <w:rPr>
          <w:rFonts w:ascii="宋体" w:hAnsi="宋体"/>
        </w:rPr>
        <w:tab/>
      </w:r>
      <w:r>
        <w:rPr>
          <w:rFonts w:ascii="宋体" w:hAnsi="宋体"/>
        </w:rPr>
        <w:fldChar w:fldCharType="begin"/>
      </w:r>
      <w:r>
        <w:rPr>
          <w:rFonts w:ascii="宋体" w:hAnsi="宋体"/>
        </w:rPr>
        <w:instrText xml:space="preserve"> PAGEREF _Toc135129522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"_Toc135129523" </w:instrText>
      </w:r>
      <w:r>
        <w:fldChar w:fldCharType="separate"/>
      </w:r>
      <w:r>
        <w:rPr>
          <w:rStyle w:val="47"/>
          <w:rFonts w:ascii="宋体" w:hAnsi="宋体" w:cs="宋体"/>
        </w:rPr>
        <w:t>一、有关定义</w:t>
      </w:r>
      <w:r>
        <w:rPr>
          <w:rFonts w:ascii="宋体" w:hAnsi="宋体"/>
        </w:rPr>
        <w:tab/>
      </w:r>
      <w:r>
        <w:rPr>
          <w:rFonts w:ascii="宋体" w:hAnsi="宋体"/>
        </w:rPr>
        <w:fldChar w:fldCharType="begin"/>
      </w:r>
      <w:r>
        <w:rPr>
          <w:rFonts w:ascii="宋体" w:hAnsi="宋体"/>
        </w:rPr>
        <w:instrText xml:space="preserve"> PAGEREF _Toc135129523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"_Toc135129524" </w:instrText>
      </w:r>
      <w:r>
        <w:fldChar w:fldCharType="separate"/>
      </w:r>
      <w:r>
        <w:rPr>
          <w:rStyle w:val="47"/>
          <w:rFonts w:ascii="宋体" w:hAnsi="宋体" w:cs="宋体"/>
        </w:rPr>
        <w:t>二、供应商注意事项</w:t>
      </w:r>
      <w:r>
        <w:rPr>
          <w:rFonts w:ascii="宋体" w:hAnsi="宋体"/>
        </w:rPr>
        <w:tab/>
      </w:r>
      <w:r>
        <w:rPr>
          <w:rFonts w:ascii="宋体" w:hAnsi="宋体"/>
        </w:rPr>
        <w:fldChar w:fldCharType="begin"/>
      </w:r>
      <w:r>
        <w:rPr>
          <w:rFonts w:ascii="宋体" w:hAnsi="宋体"/>
        </w:rPr>
        <w:instrText xml:space="preserve"> PAGEREF _Toc135129524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"_Toc135129525" </w:instrText>
      </w:r>
      <w:r>
        <w:fldChar w:fldCharType="separate"/>
      </w:r>
      <w:r>
        <w:rPr>
          <w:rStyle w:val="47"/>
          <w:rFonts w:ascii="宋体" w:hAnsi="宋体" w:cs="宋体"/>
        </w:rPr>
        <w:t>三、招标文件</w:t>
      </w:r>
      <w:r>
        <w:rPr>
          <w:rFonts w:ascii="宋体" w:hAnsi="宋体"/>
        </w:rPr>
        <w:tab/>
      </w:r>
      <w:r>
        <w:rPr>
          <w:rFonts w:ascii="宋体" w:hAnsi="宋体"/>
        </w:rPr>
        <w:fldChar w:fldCharType="begin"/>
      </w:r>
      <w:r>
        <w:rPr>
          <w:rFonts w:ascii="宋体" w:hAnsi="宋体"/>
        </w:rPr>
        <w:instrText xml:space="preserve"> PAGEREF _Toc135129525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"_Toc135129526" </w:instrText>
      </w:r>
      <w:r>
        <w:fldChar w:fldCharType="separate"/>
      </w:r>
      <w:r>
        <w:rPr>
          <w:rStyle w:val="47"/>
          <w:rFonts w:ascii="宋体" w:hAnsi="宋体" w:cs="宋体"/>
        </w:rPr>
        <w:t>四、投标文件</w:t>
      </w:r>
      <w:r>
        <w:rPr>
          <w:rFonts w:ascii="宋体" w:hAnsi="宋体"/>
        </w:rPr>
        <w:tab/>
      </w:r>
      <w:r>
        <w:rPr>
          <w:rFonts w:ascii="宋体" w:hAnsi="宋体"/>
        </w:rPr>
        <w:fldChar w:fldCharType="begin"/>
      </w:r>
      <w:r>
        <w:rPr>
          <w:rFonts w:ascii="宋体" w:hAnsi="宋体"/>
        </w:rPr>
        <w:instrText xml:space="preserve"> PAGEREF _Toc135129526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"_Toc135129527" </w:instrText>
      </w:r>
      <w:r>
        <w:fldChar w:fldCharType="separate"/>
      </w:r>
      <w:r>
        <w:rPr>
          <w:rStyle w:val="47"/>
          <w:rFonts w:ascii="宋体" w:hAnsi="宋体" w:cs="宋体"/>
        </w:rPr>
        <w:t>五、开标程序</w:t>
      </w:r>
      <w:r>
        <w:rPr>
          <w:rFonts w:ascii="宋体" w:hAnsi="宋体"/>
        </w:rPr>
        <w:tab/>
      </w:r>
      <w:r>
        <w:rPr>
          <w:rFonts w:ascii="宋体" w:hAnsi="宋体"/>
        </w:rPr>
        <w:fldChar w:fldCharType="begin"/>
      </w:r>
      <w:r>
        <w:rPr>
          <w:rFonts w:ascii="宋体" w:hAnsi="宋体"/>
        </w:rPr>
        <w:instrText xml:space="preserve"> PAGEREF _Toc135129527 \h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"_Toc135129528" </w:instrText>
      </w:r>
      <w:r>
        <w:fldChar w:fldCharType="separate"/>
      </w:r>
      <w:r>
        <w:rPr>
          <w:rStyle w:val="47"/>
          <w:rFonts w:ascii="宋体" w:hAnsi="宋体" w:cs="宋体"/>
        </w:rPr>
        <w:t>六、资格审查</w:t>
      </w:r>
      <w:r>
        <w:rPr>
          <w:rFonts w:ascii="宋体" w:hAnsi="宋体"/>
        </w:rPr>
        <w:tab/>
      </w:r>
      <w:r>
        <w:rPr>
          <w:rFonts w:ascii="宋体" w:hAnsi="宋体"/>
        </w:rPr>
        <w:fldChar w:fldCharType="begin"/>
      </w:r>
      <w:r>
        <w:rPr>
          <w:rFonts w:ascii="宋体" w:hAnsi="宋体"/>
        </w:rPr>
        <w:instrText xml:space="preserve"> PAGEREF _Toc135129528 \h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"_Toc135129529" </w:instrText>
      </w:r>
      <w:r>
        <w:fldChar w:fldCharType="separate"/>
      </w:r>
      <w:r>
        <w:rPr>
          <w:rStyle w:val="47"/>
          <w:rFonts w:ascii="宋体" w:hAnsi="宋体" w:cs="宋体"/>
        </w:rPr>
        <w:t>七、评审方法和程序</w:t>
      </w:r>
      <w:r>
        <w:rPr>
          <w:rFonts w:ascii="宋体" w:hAnsi="宋体"/>
        </w:rPr>
        <w:tab/>
      </w:r>
      <w:r>
        <w:rPr>
          <w:rFonts w:ascii="宋体" w:hAnsi="宋体"/>
        </w:rPr>
        <w:fldChar w:fldCharType="begin"/>
      </w:r>
      <w:r>
        <w:rPr>
          <w:rFonts w:ascii="宋体" w:hAnsi="宋体"/>
        </w:rPr>
        <w:instrText xml:space="preserve"> PAGEREF _Toc135129529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"_Toc135129530" </w:instrText>
      </w:r>
      <w:r>
        <w:fldChar w:fldCharType="separate"/>
      </w:r>
      <w:r>
        <w:rPr>
          <w:rStyle w:val="47"/>
          <w:rFonts w:ascii="宋体" w:hAnsi="宋体" w:cs="宋体"/>
        </w:rPr>
        <w:t>八、中标</w:t>
      </w:r>
      <w:r>
        <w:rPr>
          <w:rFonts w:ascii="宋体" w:hAnsi="宋体"/>
        </w:rPr>
        <w:tab/>
      </w:r>
      <w:r>
        <w:rPr>
          <w:rFonts w:ascii="宋体" w:hAnsi="宋体"/>
        </w:rPr>
        <w:fldChar w:fldCharType="begin"/>
      </w:r>
      <w:r>
        <w:rPr>
          <w:rFonts w:ascii="宋体" w:hAnsi="宋体"/>
        </w:rPr>
        <w:instrText xml:space="preserve"> PAGEREF _Toc135129530 \h </w:instrText>
      </w:r>
      <w:r>
        <w:rPr>
          <w:rFonts w:ascii="宋体" w:hAnsi="宋体"/>
        </w:rPr>
        <w:fldChar w:fldCharType="separate"/>
      </w:r>
      <w:r>
        <w:rPr>
          <w:rFonts w:ascii="宋体" w:hAnsi="宋体"/>
        </w:rPr>
        <w:t>39</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"_Toc135129531" </w:instrText>
      </w:r>
      <w:r>
        <w:fldChar w:fldCharType="separate"/>
      </w:r>
      <w:r>
        <w:rPr>
          <w:rStyle w:val="47"/>
          <w:rFonts w:ascii="宋体" w:hAnsi="宋体" w:cs="宋体"/>
        </w:rPr>
        <w:t>九、合同签订、履行及验收</w:t>
      </w:r>
      <w:r>
        <w:rPr>
          <w:rFonts w:ascii="宋体" w:hAnsi="宋体"/>
        </w:rPr>
        <w:tab/>
      </w:r>
      <w:r>
        <w:rPr>
          <w:rFonts w:ascii="宋体" w:hAnsi="宋体"/>
        </w:rPr>
        <w:fldChar w:fldCharType="begin"/>
      </w:r>
      <w:r>
        <w:rPr>
          <w:rFonts w:ascii="宋体" w:hAnsi="宋体"/>
        </w:rPr>
        <w:instrText xml:space="preserve"> PAGEREF _Toc135129531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pPr>
        <w:pStyle w:val="20"/>
        <w:tabs>
          <w:tab w:val="right" w:leader="dot" w:pos="8290"/>
        </w:tabs>
        <w:ind w:left="994"/>
        <w:rPr>
          <w:rFonts w:ascii="宋体" w:hAnsi="宋体" w:cstheme="minorBidi"/>
          <w:kern w:val="2"/>
          <w14:ligatures w14:val="standardContextual"/>
        </w:rPr>
      </w:pPr>
      <w:r>
        <w:fldChar w:fldCharType="begin"/>
      </w:r>
      <w:r>
        <w:instrText xml:space="preserve"> HYPERLINK \l "_Toc135129532" </w:instrText>
      </w:r>
      <w:r>
        <w:fldChar w:fldCharType="separate"/>
      </w:r>
      <w:r>
        <w:rPr>
          <w:rStyle w:val="47"/>
          <w:rFonts w:ascii="宋体" w:hAnsi="宋体" w:cs="宋体"/>
        </w:rPr>
        <w:t>十、废标及重新招标</w:t>
      </w:r>
      <w:r>
        <w:rPr>
          <w:rFonts w:ascii="宋体" w:hAnsi="宋体"/>
        </w:rPr>
        <w:tab/>
      </w:r>
      <w:r>
        <w:rPr>
          <w:rFonts w:ascii="宋体" w:hAnsi="宋体"/>
        </w:rPr>
        <w:fldChar w:fldCharType="begin"/>
      </w:r>
      <w:r>
        <w:rPr>
          <w:rFonts w:ascii="宋体" w:hAnsi="宋体"/>
        </w:rPr>
        <w:instrText xml:space="preserve"> PAGEREF _Toc135129532 \h </w:instrText>
      </w:r>
      <w:r>
        <w:rPr>
          <w:rFonts w:ascii="宋体" w:hAnsi="宋体"/>
        </w:rPr>
        <w:fldChar w:fldCharType="separate"/>
      </w:r>
      <w:r>
        <w:rPr>
          <w:rFonts w:ascii="宋体" w:hAnsi="宋体"/>
        </w:rPr>
        <w:t>41</w:t>
      </w:r>
      <w:r>
        <w:rPr>
          <w:rFonts w:ascii="宋体" w:hAnsi="宋体"/>
        </w:rPr>
        <w:fldChar w:fldCharType="end"/>
      </w:r>
      <w:r>
        <w:rPr>
          <w:rFonts w:ascii="宋体" w:hAnsi="宋体"/>
        </w:rPr>
        <w:fldChar w:fldCharType="end"/>
      </w:r>
    </w:p>
    <w:p>
      <w:pPr>
        <w:pStyle w:val="26"/>
        <w:tabs>
          <w:tab w:val="right" w:leader="dot" w:pos="8290"/>
        </w:tabs>
        <w:spacing w:before="0" w:beforeLines="0" w:after="0" w:afterLines="0"/>
        <w:rPr>
          <w:rFonts w:ascii="宋体" w:hAnsi="宋体" w:cstheme="minorBidi"/>
          <w:kern w:val="2"/>
          <w:sz w:val="24"/>
          <w14:ligatures w14:val="standardContextual"/>
        </w:rPr>
      </w:pPr>
      <w:r>
        <w:fldChar w:fldCharType="begin"/>
      </w:r>
      <w:r>
        <w:instrText xml:space="preserve"> HYPERLINK \l "_Toc135129533" </w:instrText>
      </w:r>
      <w:r>
        <w:fldChar w:fldCharType="separate"/>
      </w:r>
      <w:r>
        <w:rPr>
          <w:rStyle w:val="47"/>
          <w:rFonts w:ascii="宋体" w:hAnsi="宋体" w:cs="宋体"/>
          <w:sz w:val="24"/>
        </w:rPr>
        <w:t>第三章 招标内容及要求</w:t>
      </w:r>
      <w:r>
        <w:rPr>
          <w:rFonts w:ascii="宋体" w:hAnsi="宋体"/>
          <w:sz w:val="24"/>
        </w:rPr>
        <w:tab/>
      </w:r>
      <w:r>
        <w:rPr>
          <w:rFonts w:ascii="宋体" w:hAnsi="宋体"/>
          <w:sz w:val="24"/>
        </w:rPr>
        <w:fldChar w:fldCharType="begin"/>
      </w:r>
      <w:r>
        <w:rPr>
          <w:rFonts w:ascii="宋体" w:hAnsi="宋体"/>
          <w:sz w:val="24"/>
        </w:rPr>
        <w:instrText xml:space="preserve"> PAGEREF _Toc135129533 \h </w:instrText>
      </w:r>
      <w:r>
        <w:rPr>
          <w:rFonts w:ascii="宋体" w:hAnsi="宋体"/>
          <w:sz w:val="24"/>
        </w:rPr>
        <w:fldChar w:fldCharType="separate"/>
      </w:r>
      <w:r>
        <w:rPr>
          <w:rFonts w:ascii="宋体" w:hAnsi="宋体"/>
          <w:sz w:val="24"/>
        </w:rPr>
        <w:t>43</w:t>
      </w:r>
      <w:r>
        <w:rPr>
          <w:rFonts w:ascii="宋体" w:hAnsi="宋体"/>
          <w:sz w:val="24"/>
        </w:rPr>
        <w:fldChar w:fldCharType="end"/>
      </w:r>
      <w:r>
        <w:rPr>
          <w:rFonts w:ascii="宋体" w:hAnsi="宋体"/>
          <w:sz w:val="24"/>
        </w:rPr>
        <w:fldChar w:fldCharType="end"/>
      </w:r>
    </w:p>
    <w:p>
      <w:pPr>
        <w:pStyle w:val="26"/>
        <w:tabs>
          <w:tab w:val="right" w:leader="dot" w:pos="8290"/>
        </w:tabs>
        <w:spacing w:before="0" w:beforeLines="0" w:after="0" w:afterLines="0"/>
        <w:rPr>
          <w:rFonts w:ascii="宋体" w:hAnsi="宋体" w:cstheme="minorBidi"/>
          <w:kern w:val="2"/>
          <w:sz w:val="24"/>
          <w14:ligatures w14:val="standardContextual"/>
        </w:rPr>
      </w:pPr>
      <w:r>
        <w:fldChar w:fldCharType="begin"/>
      </w:r>
      <w:r>
        <w:instrText xml:space="preserve"> HYPERLINK \l "_Toc135129534" </w:instrText>
      </w:r>
      <w:r>
        <w:fldChar w:fldCharType="separate"/>
      </w:r>
      <w:r>
        <w:rPr>
          <w:rStyle w:val="47"/>
          <w:rFonts w:ascii="宋体" w:hAnsi="宋体" w:cs="宋体"/>
          <w:sz w:val="24"/>
        </w:rPr>
        <w:t>第四章 合同范本（仅供参考）</w:t>
      </w:r>
      <w:r>
        <w:rPr>
          <w:rFonts w:ascii="宋体" w:hAnsi="宋体"/>
          <w:sz w:val="24"/>
        </w:rPr>
        <w:tab/>
      </w:r>
      <w:r>
        <w:rPr>
          <w:rFonts w:ascii="宋体" w:hAnsi="宋体"/>
          <w:sz w:val="24"/>
        </w:rPr>
        <w:fldChar w:fldCharType="begin"/>
      </w:r>
      <w:r>
        <w:rPr>
          <w:rFonts w:ascii="宋体" w:hAnsi="宋体"/>
          <w:sz w:val="24"/>
        </w:rPr>
        <w:instrText xml:space="preserve"> PAGEREF _Toc135129534 \h </w:instrText>
      </w:r>
      <w:r>
        <w:rPr>
          <w:rFonts w:ascii="宋体" w:hAnsi="宋体"/>
          <w:sz w:val="24"/>
        </w:rPr>
        <w:fldChar w:fldCharType="separate"/>
      </w:r>
      <w:r>
        <w:rPr>
          <w:rFonts w:ascii="宋体" w:hAnsi="宋体"/>
          <w:sz w:val="24"/>
        </w:rPr>
        <w:t>151</w:t>
      </w:r>
      <w:r>
        <w:rPr>
          <w:rFonts w:ascii="宋体" w:hAnsi="宋体"/>
          <w:sz w:val="24"/>
        </w:rPr>
        <w:fldChar w:fldCharType="end"/>
      </w:r>
      <w:r>
        <w:rPr>
          <w:rFonts w:ascii="宋体" w:hAnsi="宋体"/>
          <w:sz w:val="24"/>
        </w:rPr>
        <w:fldChar w:fldCharType="end"/>
      </w:r>
    </w:p>
    <w:p>
      <w:pPr>
        <w:pStyle w:val="26"/>
        <w:tabs>
          <w:tab w:val="right" w:leader="dot" w:pos="8290"/>
        </w:tabs>
        <w:spacing w:before="0" w:beforeLines="0" w:after="0" w:afterLines="0"/>
        <w:rPr>
          <w:rFonts w:ascii="宋体" w:hAnsi="宋体" w:cstheme="minorBidi"/>
          <w:kern w:val="2"/>
          <w:sz w:val="24"/>
          <w14:ligatures w14:val="standardContextual"/>
        </w:rPr>
      </w:pPr>
      <w:r>
        <w:fldChar w:fldCharType="begin"/>
      </w:r>
      <w:r>
        <w:instrText xml:space="preserve"> HYPERLINK \l "_Toc135129535" </w:instrText>
      </w:r>
      <w:r>
        <w:fldChar w:fldCharType="separate"/>
      </w:r>
      <w:r>
        <w:rPr>
          <w:rStyle w:val="47"/>
          <w:rFonts w:ascii="宋体" w:hAnsi="宋体" w:cs="宋体"/>
          <w:sz w:val="24"/>
        </w:rPr>
        <w:t>第五章  投标文件构成及格式</w:t>
      </w:r>
      <w:r>
        <w:rPr>
          <w:rFonts w:ascii="宋体" w:hAnsi="宋体"/>
          <w:sz w:val="24"/>
        </w:rPr>
        <w:tab/>
      </w:r>
      <w:r>
        <w:rPr>
          <w:rFonts w:ascii="宋体" w:hAnsi="宋体"/>
          <w:sz w:val="24"/>
        </w:rPr>
        <w:fldChar w:fldCharType="begin"/>
      </w:r>
      <w:r>
        <w:rPr>
          <w:rFonts w:ascii="宋体" w:hAnsi="宋体"/>
          <w:sz w:val="24"/>
        </w:rPr>
        <w:instrText xml:space="preserve"> PAGEREF _Toc135129535 \h </w:instrText>
      </w:r>
      <w:r>
        <w:rPr>
          <w:rFonts w:ascii="宋体" w:hAnsi="宋体"/>
          <w:sz w:val="24"/>
        </w:rPr>
        <w:fldChar w:fldCharType="separate"/>
      </w:r>
      <w:r>
        <w:rPr>
          <w:rFonts w:ascii="宋体" w:hAnsi="宋体"/>
          <w:sz w:val="24"/>
        </w:rPr>
        <w:t>159</w:t>
      </w:r>
      <w:r>
        <w:rPr>
          <w:rFonts w:ascii="宋体" w:hAnsi="宋体"/>
          <w:sz w:val="24"/>
        </w:rPr>
        <w:fldChar w:fldCharType="end"/>
      </w:r>
      <w:r>
        <w:rPr>
          <w:rFonts w:ascii="宋体" w:hAnsi="宋体"/>
          <w:sz w:val="24"/>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"_Toc135129536" </w:instrText>
      </w:r>
      <w:r>
        <w:fldChar w:fldCharType="separate"/>
      </w:r>
      <w:r>
        <w:rPr>
          <w:rStyle w:val="47"/>
          <w:rFonts w:ascii="宋体" w:hAnsi="宋体" w:cs="宋体"/>
        </w:rPr>
        <w:t>第一部分  投标函</w:t>
      </w:r>
      <w:r>
        <w:rPr>
          <w:rFonts w:ascii="宋体" w:hAnsi="宋体"/>
        </w:rPr>
        <w:tab/>
      </w:r>
      <w:r>
        <w:rPr>
          <w:rFonts w:ascii="宋体" w:hAnsi="宋体"/>
        </w:rPr>
        <w:fldChar w:fldCharType="begin"/>
      </w:r>
      <w:r>
        <w:rPr>
          <w:rFonts w:ascii="宋体" w:hAnsi="宋体"/>
        </w:rPr>
        <w:instrText xml:space="preserve"> PAGEREF _Toc135129536 \h </w:instrText>
      </w:r>
      <w:r>
        <w:rPr>
          <w:rFonts w:ascii="宋体" w:hAnsi="宋体"/>
        </w:rPr>
        <w:fldChar w:fldCharType="separate"/>
      </w:r>
      <w:r>
        <w:rPr>
          <w:rFonts w:ascii="宋体" w:hAnsi="宋体"/>
        </w:rPr>
        <w:t>161</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"_Toc135129537" </w:instrText>
      </w:r>
      <w:r>
        <w:fldChar w:fldCharType="separate"/>
      </w:r>
      <w:r>
        <w:rPr>
          <w:rStyle w:val="47"/>
          <w:rFonts w:ascii="宋体" w:hAnsi="宋体" w:cs="宋体"/>
        </w:rPr>
        <w:t>第二部分 开标一览表</w:t>
      </w:r>
      <w:r>
        <w:rPr>
          <w:rFonts w:ascii="宋体" w:hAnsi="宋体"/>
        </w:rPr>
        <w:tab/>
      </w:r>
      <w:r>
        <w:rPr>
          <w:rFonts w:ascii="宋体" w:hAnsi="宋体"/>
        </w:rPr>
        <w:fldChar w:fldCharType="begin"/>
      </w:r>
      <w:r>
        <w:rPr>
          <w:rFonts w:ascii="宋体" w:hAnsi="宋体"/>
        </w:rPr>
        <w:instrText xml:space="preserve"> PAGEREF _Toc135129537 \h </w:instrText>
      </w:r>
      <w:r>
        <w:rPr>
          <w:rFonts w:ascii="宋体" w:hAnsi="宋体"/>
        </w:rPr>
        <w:fldChar w:fldCharType="separate"/>
      </w:r>
      <w:r>
        <w:rPr>
          <w:rFonts w:ascii="宋体" w:hAnsi="宋体"/>
        </w:rPr>
        <w:t>163</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"_Toc135129538" </w:instrText>
      </w:r>
      <w:r>
        <w:fldChar w:fldCharType="separate"/>
      </w:r>
      <w:r>
        <w:rPr>
          <w:rStyle w:val="47"/>
          <w:rFonts w:ascii="宋体" w:hAnsi="宋体" w:cs="宋体"/>
        </w:rPr>
        <w:t>第三部分  资格证明文件</w:t>
      </w:r>
      <w:r>
        <w:rPr>
          <w:rFonts w:ascii="宋体" w:hAnsi="宋体"/>
        </w:rPr>
        <w:tab/>
      </w:r>
      <w:r>
        <w:rPr>
          <w:rFonts w:ascii="宋体" w:hAnsi="宋体"/>
        </w:rPr>
        <w:fldChar w:fldCharType="begin"/>
      </w:r>
      <w:r>
        <w:rPr>
          <w:rFonts w:ascii="宋体" w:hAnsi="宋体"/>
        </w:rPr>
        <w:instrText xml:space="preserve"> PAGEREF _Toc135129538 \h </w:instrText>
      </w:r>
      <w:r>
        <w:rPr>
          <w:rFonts w:ascii="宋体" w:hAnsi="宋体"/>
        </w:rPr>
        <w:fldChar w:fldCharType="separate"/>
      </w:r>
      <w:r>
        <w:rPr>
          <w:rFonts w:ascii="宋体" w:hAnsi="宋体"/>
        </w:rPr>
        <w:t>165</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"_Toc135129539" </w:instrText>
      </w:r>
      <w:r>
        <w:fldChar w:fldCharType="separate"/>
      </w:r>
      <w:r>
        <w:rPr>
          <w:rStyle w:val="47"/>
          <w:rFonts w:ascii="宋体" w:hAnsi="宋体" w:cs="宋体"/>
        </w:rPr>
        <w:t xml:space="preserve">第四部分  </w:t>
      </w:r>
      <w:r>
        <w:rPr>
          <w:rStyle w:val="47"/>
          <w:rFonts w:ascii="宋体" w:hAnsi="宋体"/>
        </w:rPr>
        <w:t>供应商概况</w:t>
      </w:r>
      <w:r>
        <w:rPr>
          <w:rFonts w:ascii="宋体" w:hAnsi="宋体"/>
        </w:rPr>
        <w:tab/>
      </w:r>
      <w:r>
        <w:rPr>
          <w:rFonts w:ascii="宋体" w:hAnsi="宋体"/>
        </w:rPr>
        <w:fldChar w:fldCharType="begin"/>
      </w:r>
      <w:r>
        <w:rPr>
          <w:rFonts w:ascii="宋体" w:hAnsi="宋体"/>
        </w:rPr>
        <w:instrText xml:space="preserve"> PAGEREF _Toc135129539 \h </w:instrText>
      </w:r>
      <w:r>
        <w:rPr>
          <w:rFonts w:ascii="宋体" w:hAnsi="宋体"/>
        </w:rPr>
        <w:fldChar w:fldCharType="separate"/>
      </w:r>
      <w:r>
        <w:rPr>
          <w:rFonts w:ascii="宋体" w:hAnsi="宋体"/>
        </w:rPr>
        <w:t>173</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"_Toc135129540" </w:instrText>
      </w:r>
      <w:r>
        <w:fldChar w:fldCharType="separate"/>
      </w:r>
      <w:r>
        <w:rPr>
          <w:rStyle w:val="47"/>
          <w:rFonts w:ascii="宋体" w:hAnsi="宋体"/>
        </w:rPr>
        <w:t>第五部分  供应商参加政府采购活动承诺书</w:t>
      </w:r>
      <w:r>
        <w:rPr>
          <w:rFonts w:ascii="宋体" w:hAnsi="宋体"/>
        </w:rPr>
        <w:tab/>
      </w:r>
      <w:r>
        <w:rPr>
          <w:rFonts w:ascii="宋体" w:hAnsi="宋体"/>
        </w:rPr>
        <w:fldChar w:fldCharType="begin"/>
      </w:r>
      <w:r>
        <w:rPr>
          <w:rFonts w:ascii="宋体" w:hAnsi="宋体"/>
        </w:rPr>
        <w:instrText xml:space="preserve"> PAGEREF _Toc135129540 \h </w:instrText>
      </w:r>
      <w:r>
        <w:rPr>
          <w:rFonts w:ascii="宋体" w:hAnsi="宋体"/>
        </w:rPr>
        <w:fldChar w:fldCharType="separate"/>
      </w:r>
      <w:r>
        <w:rPr>
          <w:rFonts w:ascii="宋体" w:hAnsi="宋体"/>
        </w:rPr>
        <w:t>174</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"_Toc135129541" </w:instrText>
      </w:r>
      <w:r>
        <w:fldChar w:fldCharType="separate"/>
      </w:r>
      <w:r>
        <w:rPr>
          <w:rStyle w:val="47"/>
          <w:rFonts w:ascii="宋体" w:hAnsi="宋体" w:cs="宋体"/>
        </w:rPr>
        <w:t>第六部分  商务和技术响应偏离表</w:t>
      </w:r>
      <w:r>
        <w:rPr>
          <w:rFonts w:ascii="宋体" w:hAnsi="宋体"/>
        </w:rPr>
        <w:tab/>
      </w:r>
      <w:r>
        <w:rPr>
          <w:rFonts w:ascii="宋体" w:hAnsi="宋体"/>
        </w:rPr>
        <w:fldChar w:fldCharType="begin"/>
      </w:r>
      <w:r>
        <w:rPr>
          <w:rFonts w:ascii="宋体" w:hAnsi="宋体"/>
        </w:rPr>
        <w:instrText xml:space="preserve"> PAGEREF _Toc135129541 \h </w:instrText>
      </w:r>
      <w:r>
        <w:rPr>
          <w:rFonts w:ascii="宋体" w:hAnsi="宋体"/>
        </w:rPr>
        <w:fldChar w:fldCharType="separate"/>
      </w:r>
      <w:r>
        <w:rPr>
          <w:rFonts w:ascii="宋体" w:hAnsi="宋体"/>
        </w:rPr>
        <w:t>176</w:t>
      </w:r>
      <w:r>
        <w:rPr>
          <w:rFonts w:ascii="宋体" w:hAnsi="宋体"/>
        </w:rPr>
        <w:fldChar w:fldCharType="end"/>
      </w:r>
      <w:r>
        <w:rPr>
          <w:rFonts w:ascii="宋体" w:hAnsi="宋体"/>
        </w:rPr>
        <w:fldChar w:fldCharType="end"/>
      </w:r>
      <w:bookmarkStart w:id="171" w:name="_GoBack"/>
      <w:bookmarkEnd w:id="171"/>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"_Toc135129542" </w:instrText>
      </w:r>
      <w:r>
        <w:fldChar w:fldCharType="separate"/>
      </w:r>
      <w:r>
        <w:rPr>
          <w:rStyle w:val="47"/>
          <w:rFonts w:ascii="宋体" w:hAnsi="宋体" w:cs="宋体"/>
        </w:rPr>
        <w:t>第七部分  技术与服务方案</w:t>
      </w:r>
      <w:r>
        <w:rPr>
          <w:rFonts w:ascii="宋体" w:hAnsi="宋体"/>
        </w:rPr>
        <w:tab/>
      </w:r>
      <w:r>
        <w:rPr>
          <w:rFonts w:ascii="宋体" w:hAnsi="宋体"/>
        </w:rPr>
        <w:fldChar w:fldCharType="begin"/>
      </w:r>
      <w:r>
        <w:rPr>
          <w:rFonts w:ascii="宋体" w:hAnsi="宋体"/>
        </w:rPr>
        <w:instrText xml:space="preserve"> PAGEREF _Toc135129542 \h </w:instrText>
      </w:r>
      <w:r>
        <w:rPr>
          <w:rFonts w:ascii="宋体" w:hAnsi="宋体"/>
        </w:rPr>
        <w:fldChar w:fldCharType="separate"/>
      </w:r>
      <w:r>
        <w:rPr>
          <w:rFonts w:ascii="宋体" w:hAnsi="宋体"/>
        </w:rPr>
        <w:t>178</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"_Toc135129543" </w:instrText>
      </w:r>
      <w:r>
        <w:fldChar w:fldCharType="separate"/>
      </w:r>
      <w:r>
        <w:rPr>
          <w:rStyle w:val="47"/>
          <w:rFonts w:ascii="宋体" w:hAnsi="宋体" w:cs="宋体"/>
        </w:rPr>
        <w:t>第八部分  服务承诺</w:t>
      </w:r>
      <w:r>
        <w:rPr>
          <w:rFonts w:ascii="宋体" w:hAnsi="宋体"/>
        </w:rPr>
        <w:tab/>
      </w:r>
      <w:r>
        <w:rPr>
          <w:rFonts w:ascii="宋体" w:hAnsi="宋体"/>
        </w:rPr>
        <w:fldChar w:fldCharType="begin"/>
      </w:r>
      <w:r>
        <w:rPr>
          <w:rFonts w:ascii="宋体" w:hAnsi="宋体"/>
        </w:rPr>
        <w:instrText xml:space="preserve"> PAGEREF _Toc135129543 \h </w:instrText>
      </w:r>
      <w:r>
        <w:rPr>
          <w:rFonts w:ascii="宋体" w:hAnsi="宋体"/>
        </w:rPr>
        <w:fldChar w:fldCharType="separate"/>
      </w:r>
      <w:r>
        <w:rPr>
          <w:rFonts w:ascii="宋体" w:hAnsi="宋体"/>
        </w:rPr>
        <w:t>179</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"_Toc135129544" </w:instrText>
      </w:r>
      <w:r>
        <w:fldChar w:fldCharType="separate"/>
      </w:r>
      <w:r>
        <w:rPr>
          <w:rStyle w:val="47"/>
          <w:rFonts w:ascii="宋体" w:hAnsi="宋体" w:cs="宋体"/>
        </w:rPr>
        <w:t>第九部分  供应商业绩一览表</w:t>
      </w:r>
      <w:r>
        <w:rPr>
          <w:rFonts w:ascii="宋体" w:hAnsi="宋体"/>
        </w:rPr>
        <w:tab/>
      </w:r>
      <w:r>
        <w:rPr>
          <w:rFonts w:ascii="宋体" w:hAnsi="宋体"/>
        </w:rPr>
        <w:fldChar w:fldCharType="begin"/>
      </w:r>
      <w:r>
        <w:rPr>
          <w:rFonts w:ascii="宋体" w:hAnsi="宋体"/>
        </w:rPr>
        <w:instrText xml:space="preserve"> PAGEREF _Toc135129544 \h </w:instrText>
      </w:r>
      <w:r>
        <w:rPr>
          <w:rFonts w:ascii="宋体" w:hAnsi="宋体"/>
        </w:rPr>
        <w:fldChar w:fldCharType="separate"/>
      </w:r>
      <w:r>
        <w:rPr>
          <w:rFonts w:ascii="宋体" w:hAnsi="宋体"/>
        </w:rPr>
        <w:t>180</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"_Toc135129545" </w:instrText>
      </w:r>
      <w:r>
        <w:fldChar w:fldCharType="separate"/>
      </w:r>
      <w:r>
        <w:rPr>
          <w:rStyle w:val="47"/>
          <w:rFonts w:ascii="宋体" w:hAnsi="宋体" w:cs="宋体"/>
        </w:rPr>
        <w:t>第十部分  供应商认为有必要说明的其他问题</w:t>
      </w:r>
      <w:r>
        <w:rPr>
          <w:rFonts w:ascii="宋体" w:hAnsi="宋体"/>
        </w:rPr>
        <w:tab/>
      </w:r>
      <w:r>
        <w:rPr>
          <w:rFonts w:ascii="宋体" w:hAnsi="宋体"/>
        </w:rPr>
        <w:fldChar w:fldCharType="begin"/>
      </w:r>
      <w:r>
        <w:rPr>
          <w:rFonts w:ascii="宋体" w:hAnsi="宋体"/>
        </w:rPr>
        <w:instrText xml:space="preserve"> PAGEREF _Toc135129545 \h </w:instrText>
      </w:r>
      <w:r>
        <w:rPr>
          <w:rFonts w:ascii="宋体" w:hAnsi="宋体"/>
        </w:rPr>
        <w:fldChar w:fldCharType="separate"/>
      </w:r>
      <w:r>
        <w:rPr>
          <w:rFonts w:ascii="宋体" w:hAnsi="宋体"/>
        </w:rPr>
        <w:t>181</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"_Toc135129546" </w:instrText>
      </w:r>
      <w:r>
        <w:fldChar w:fldCharType="separate"/>
      </w:r>
      <w:r>
        <w:rPr>
          <w:rStyle w:val="47"/>
          <w:rFonts w:ascii="宋体" w:hAnsi="宋体" w:cs="宋体"/>
        </w:rPr>
        <w:t>附件一、中小企业声明</w:t>
      </w:r>
      <w:r>
        <w:rPr>
          <w:rFonts w:ascii="宋体" w:hAnsi="宋体"/>
        </w:rPr>
        <w:tab/>
      </w:r>
      <w:r>
        <w:rPr>
          <w:rFonts w:ascii="宋体" w:hAnsi="宋体"/>
        </w:rPr>
        <w:fldChar w:fldCharType="begin"/>
      </w:r>
      <w:r>
        <w:rPr>
          <w:rFonts w:ascii="宋体" w:hAnsi="宋体"/>
        </w:rPr>
        <w:instrText xml:space="preserve"> PAGEREF _Toc135129546 \h </w:instrText>
      </w:r>
      <w:r>
        <w:rPr>
          <w:rFonts w:ascii="宋体" w:hAnsi="宋体"/>
        </w:rPr>
        <w:fldChar w:fldCharType="separate"/>
      </w:r>
      <w:r>
        <w:rPr>
          <w:rFonts w:ascii="宋体" w:hAnsi="宋体"/>
        </w:rPr>
        <w:t>182</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"_Toc135129547" </w:instrText>
      </w:r>
      <w:r>
        <w:fldChar w:fldCharType="separate"/>
      </w:r>
      <w:r>
        <w:rPr>
          <w:rStyle w:val="47"/>
          <w:rFonts w:ascii="宋体" w:hAnsi="宋体" w:cs="宋体"/>
        </w:rPr>
        <w:t>附件二、残疾人福利性单位声明</w:t>
      </w:r>
      <w:r>
        <w:rPr>
          <w:rFonts w:ascii="宋体" w:hAnsi="宋体"/>
        </w:rPr>
        <w:tab/>
      </w:r>
      <w:r>
        <w:rPr>
          <w:rFonts w:ascii="宋体" w:hAnsi="宋体"/>
        </w:rPr>
        <w:fldChar w:fldCharType="begin"/>
      </w:r>
      <w:r>
        <w:rPr>
          <w:rFonts w:ascii="宋体" w:hAnsi="宋体"/>
        </w:rPr>
        <w:instrText xml:space="preserve"> PAGEREF _Toc135129547 \h </w:instrText>
      </w:r>
      <w:r>
        <w:rPr>
          <w:rFonts w:ascii="宋体" w:hAnsi="宋体"/>
        </w:rPr>
        <w:fldChar w:fldCharType="separate"/>
      </w:r>
      <w:r>
        <w:rPr>
          <w:rFonts w:ascii="宋体" w:hAnsi="宋体"/>
        </w:rPr>
        <w:t>187</w:t>
      </w:r>
      <w:r>
        <w:rPr>
          <w:rFonts w:ascii="宋体" w:hAnsi="宋体"/>
        </w:rPr>
        <w:fldChar w:fldCharType="end"/>
      </w:r>
      <w:r>
        <w:rPr>
          <w:rFonts w:ascii="宋体" w:hAnsi="宋体"/>
        </w:rPr>
        <w:fldChar w:fldCharType="end"/>
      </w:r>
    </w:p>
    <w:p>
      <w:pPr>
        <w:pStyle w:val="31"/>
        <w:tabs>
          <w:tab w:val="right" w:leader="dot" w:pos="8290"/>
        </w:tabs>
        <w:ind w:left="497"/>
        <w:rPr>
          <w:rFonts w:ascii="宋体" w:hAnsi="宋体" w:cstheme="minorBidi"/>
          <w:kern w:val="2"/>
          <w14:ligatures w14:val="standardContextual"/>
        </w:rPr>
      </w:pPr>
      <w:r>
        <w:fldChar w:fldCharType="begin"/>
      </w:r>
      <w:r>
        <w:instrText xml:space="preserve"> HYPERLINK \l "_Toc135129548" </w:instrText>
      </w:r>
      <w:r>
        <w:fldChar w:fldCharType="separate"/>
      </w:r>
      <w:r>
        <w:rPr>
          <w:rStyle w:val="47"/>
          <w:rFonts w:ascii="宋体" w:hAnsi="宋体" w:cs="宋体"/>
        </w:rPr>
        <w:t>附件三、监狱企业证明文件</w:t>
      </w:r>
      <w:r>
        <w:rPr>
          <w:rFonts w:ascii="宋体" w:hAnsi="宋体"/>
        </w:rPr>
        <w:tab/>
      </w:r>
      <w:r>
        <w:rPr>
          <w:rFonts w:ascii="宋体" w:hAnsi="宋体"/>
        </w:rPr>
        <w:fldChar w:fldCharType="begin"/>
      </w:r>
      <w:r>
        <w:rPr>
          <w:rFonts w:ascii="宋体" w:hAnsi="宋体"/>
        </w:rPr>
        <w:instrText xml:space="preserve"> PAGEREF _Toc135129548 \h </w:instrText>
      </w:r>
      <w:r>
        <w:rPr>
          <w:rFonts w:ascii="宋体" w:hAnsi="宋体"/>
        </w:rPr>
        <w:fldChar w:fldCharType="separate"/>
      </w:r>
      <w:r>
        <w:rPr>
          <w:rFonts w:ascii="宋体" w:hAnsi="宋体"/>
        </w:rPr>
        <w:t>187</w:t>
      </w:r>
      <w:r>
        <w:rPr>
          <w:rFonts w:ascii="宋体" w:hAnsi="宋体"/>
        </w:rPr>
        <w:fldChar w:fldCharType="end"/>
      </w:r>
      <w:r>
        <w:rPr>
          <w:rFonts w:ascii="宋体" w:hAnsi="宋体"/>
        </w:rPr>
        <w:fldChar w:fldCharType="end"/>
      </w:r>
    </w:p>
    <w:p>
      <w:pPr>
        <w:rPr>
          <w:rFonts w:ascii="宋体" w:hAnsi="宋体" w:cs="宋体"/>
        </w:rPr>
      </w:pPr>
      <w:r>
        <w:rPr>
          <w:rFonts w:hint="eastAsia" w:ascii="宋体" w:hAnsi="宋体" w:cs="宋体"/>
        </w:rPr>
        <w:fldChar w:fldCharType="end"/>
      </w:r>
    </w:p>
    <w:p>
      <w:pPr>
        <w:pStyle w:val="6"/>
        <w:tabs>
          <w:tab w:val="center" w:pos="4158"/>
          <w:tab w:val="left" w:pos="6761"/>
        </w:tabs>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b/>
      </w:r>
    </w:p>
    <w:p>
      <w:pPr>
        <w:pStyle w:val="6"/>
        <w:tabs>
          <w:tab w:val="center" w:pos="4158"/>
          <w:tab w:val="left" w:pos="6761"/>
        </w:tabs>
        <w:rPr>
          <w:rFonts w:cs="宋体" w:asciiTheme="minorEastAsia" w:hAnsiTheme="minorEastAsia" w:eastAsiaTheme="minorEastAsia"/>
          <w:sz w:val="24"/>
          <w:szCs w:val="24"/>
        </w:rPr>
        <w:sectPr>
          <w:headerReference r:id="rId4" w:type="first"/>
          <w:headerReference r:id="rId3" w:type="default"/>
          <w:footerReference r:id="rId5" w:type="default"/>
          <w:pgSz w:w="11906" w:h="16838"/>
          <w:pgMar w:top="1440" w:right="1803" w:bottom="1440" w:left="1803" w:header="850" w:footer="992" w:gutter="0"/>
          <w:cols w:space="0" w:num="1"/>
          <w:titlePg/>
          <w:docGrid w:type="linesAndChars" w:linePitch="395" w:charSpace="1724"/>
        </w:sectPr>
      </w:pPr>
    </w:p>
    <w:p>
      <w:pPr>
        <w:pStyle w:val="6"/>
        <w:tabs>
          <w:tab w:val="center" w:pos="4158"/>
          <w:tab w:val="left" w:pos="6761"/>
        </w:tabs>
        <w:rPr>
          <w:rFonts w:cs="宋体" w:asciiTheme="minorEastAsia" w:hAnsiTheme="minorEastAsia" w:eastAsiaTheme="minorEastAsia"/>
          <w:sz w:val="24"/>
          <w:szCs w:val="24"/>
        </w:rPr>
      </w:pPr>
      <w:bookmarkStart w:id="1" w:name="_Toc135129520"/>
      <w:r>
        <w:rPr>
          <w:rFonts w:hint="eastAsia" w:cs="宋体" w:asciiTheme="minorEastAsia" w:hAnsiTheme="minorEastAsia" w:eastAsiaTheme="minorEastAsia"/>
          <w:sz w:val="24"/>
          <w:szCs w:val="24"/>
        </w:rPr>
        <w:t>第一章  投标邀请函</w:t>
      </w:r>
      <w:bookmarkEnd w:id="0"/>
      <w:bookmarkEnd w:id="1"/>
    </w:p>
    <w:p>
      <w:pPr>
        <w:pStyle w:val="11"/>
        <w:numPr>
          <w:ilvl w:val="5"/>
          <w:numId w:val="0"/>
        </w:numPr>
        <w:spacing w:before="150" w:after="150" w:line="360" w:lineRule="auto"/>
        <w:ind w:left="-863" w:leftChars="-348" w:firstLine="744" w:firstLineChars="3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tbl>
      <w:tblPr>
        <w:tblStyle w:val="3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558" w:type="dxa"/>
          </w:tcPr>
          <w:p>
            <w:pPr>
              <w:pStyle w:val="32"/>
              <w:spacing w:before="150" w:beforeAutospacing="0" w:after="15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经开院区智能化及物联网系统项目招标项目的潜在投标人应在全国公共资源交易平台（陕西省·西安市）网站〖首页〉电子交易平台〉陕西政府采购交易系统〉企业端〗获取招标文件，并于2023年</w:t>
            </w:r>
            <w:r>
              <w:rPr>
                <w:rFonts w:hint="eastAsia" w:asciiTheme="minorEastAsia" w:hAnsiTheme="minorEastAsia" w:eastAsiaTheme="minorEastAsia"/>
                <w:lang w:val="en-US" w:eastAsia="zh-CN"/>
              </w:rPr>
              <w:t>6</w:t>
            </w:r>
            <w:r>
              <w:rPr>
                <w:rFonts w:hint="eastAsia" w:asciiTheme="minorEastAsia" w:hAnsiTheme="minorEastAsia" w:eastAsiaTheme="minorEastAsia"/>
              </w:rPr>
              <w:t>月</w:t>
            </w:r>
            <w:r>
              <w:rPr>
                <w:rFonts w:hint="eastAsia" w:asciiTheme="minorEastAsia" w:hAnsiTheme="minorEastAsia" w:eastAsiaTheme="minorEastAsia"/>
                <w:lang w:val="en-US" w:eastAsia="zh-CN"/>
              </w:rPr>
              <w:t>9</w:t>
            </w:r>
            <w:r>
              <w:rPr>
                <w:rFonts w:hint="eastAsia" w:asciiTheme="minorEastAsia" w:hAnsiTheme="minorEastAsia" w:eastAsiaTheme="minorEastAsia"/>
              </w:rPr>
              <w:t>日09时</w:t>
            </w:r>
            <w:r>
              <w:rPr>
                <w:rFonts w:hint="eastAsia" w:asciiTheme="minorEastAsia" w:hAnsiTheme="minorEastAsia" w:eastAsiaTheme="minorEastAsia"/>
                <w:lang w:val="en-US" w:eastAsia="zh-CN"/>
              </w:rPr>
              <w:t>3</w:t>
            </w:r>
            <w:r>
              <w:rPr>
                <w:rFonts w:hint="eastAsia" w:asciiTheme="minorEastAsia" w:hAnsiTheme="minorEastAsia" w:eastAsiaTheme="minorEastAsia"/>
              </w:rPr>
              <w:t>0分（北京时间）前递交投标文件。</w:t>
            </w:r>
          </w:p>
        </w:tc>
      </w:tr>
    </w:tbl>
    <w:p>
      <w:pPr>
        <w:pStyle w:val="9"/>
        <w:keepNext w:val="0"/>
        <w:numPr>
          <w:ilvl w:val="3"/>
          <w:numId w:val="0"/>
        </w:numPr>
        <w:shd w:val="clear" w:color="auto" w:fill="FFFFFF"/>
        <w:spacing w:before="150" w:after="0" w:line="36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一、项目基本情况</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项目编号：ZMZB2023ZXYY-74</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项目名称：经开院区智能化及物联网系统项目</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采购方式：公开招标</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预算金额：</w:t>
      </w:r>
      <w:r>
        <w:rPr>
          <w:rFonts w:hint="eastAsia" w:asciiTheme="minorEastAsia" w:hAnsiTheme="minorEastAsia" w:eastAsiaTheme="minorEastAsia"/>
          <w:lang w:val="zh-CN"/>
        </w:rPr>
        <w:t>2125</w:t>
      </w:r>
      <w:r>
        <w:rPr>
          <w:rFonts w:hint="eastAsia" w:asciiTheme="minorEastAsia" w:hAnsiTheme="minorEastAsia" w:eastAsiaTheme="minorEastAsia"/>
        </w:rPr>
        <w:t>0000.00元</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最高限价：</w:t>
      </w:r>
      <w:r>
        <w:rPr>
          <w:rFonts w:hint="eastAsia" w:asciiTheme="minorEastAsia" w:hAnsiTheme="minorEastAsia" w:eastAsiaTheme="minorEastAsia"/>
          <w:lang w:val="zh-CN"/>
        </w:rPr>
        <w:t>2125</w:t>
      </w:r>
      <w:r>
        <w:rPr>
          <w:rFonts w:hint="eastAsia" w:asciiTheme="minorEastAsia" w:hAnsiTheme="minorEastAsia" w:eastAsiaTheme="minorEastAsia"/>
        </w:rPr>
        <w:t>0000.00元</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采购需求：</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合同包1(经开院区智能化及物联网系统项目):</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合同包预算金额：</w:t>
      </w:r>
      <w:r>
        <w:rPr>
          <w:rFonts w:hint="eastAsia" w:asciiTheme="minorEastAsia" w:hAnsiTheme="minorEastAsia" w:eastAsiaTheme="minorEastAsia"/>
          <w:lang w:val="zh-CN"/>
        </w:rPr>
        <w:t>2125</w:t>
      </w:r>
      <w:r>
        <w:rPr>
          <w:rFonts w:hint="eastAsia" w:asciiTheme="minorEastAsia" w:hAnsiTheme="minorEastAsia" w:eastAsiaTheme="minorEastAsia"/>
        </w:rPr>
        <w:t>0000.00元</w:t>
      </w:r>
    </w:p>
    <w:tbl>
      <w:tblPr>
        <w:tblStyle w:val="36"/>
        <w:tblW w:w="9278" w:type="dxa"/>
        <w:jc w:val="center"/>
        <w:tblLayout w:type="fixed"/>
        <w:tblCellMar>
          <w:top w:w="0" w:type="dxa"/>
          <w:left w:w="0" w:type="dxa"/>
          <w:bottom w:w="0" w:type="dxa"/>
          <w:right w:w="0" w:type="dxa"/>
        </w:tblCellMar>
      </w:tblPr>
      <w:tblGrid>
        <w:gridCol w:w="731"/>
        <w:gridCol w:w="1444"/>
        <w:gridCol w:w="1324"/>
        <w:gridCol w:w="1065"/>
        <w:gridCol w:w="1404"/>
        <w:gridCol w:w="1660"/>
        <w:gridCol w:w="1650"/>
      </w:tblGrid>
      <w:tr>
        <w:tblPrEx>
          <w:tblCellMar>
            <w:top w:w="0" w:type="dxa"/>
            <w:left w:w="0" w:type="dxa"/>
            <w:bottom w:w="0" w:type="dxa"/>
            <w:right w:w="0" w:type="dxa"/>
          </w:tblCellMar>
        </w:tblPrEx>
        <w:trPr>
          <w:trHeight w:val="1192" w:hRule="atLeast"/>
          <w:tblHeader/>
          <w:jc w:val="center"/>
        </w:trPr>
        <w:tc>
          <w:tcPr>
            <w:tcW w:w="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品目号</w:t>
            </w:r>
          </w:p>
        </w:tc>
        <w:tc>
          <w:tcPr>
            <w:tcW w:w="14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ind w:firstLine="456" w:firstLineChars="200"/>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品目</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名称</w:t>
            </w:r>
          </w:p>
        </w:tc>
        <w:tc>
          <w:tcPr>
            <w:tcW w:w="13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采购标的</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数量</w:t>
            </w:r>
          </w:p>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（单位）</w:t>
            </w:r>
          </w:p>
        </w:tc>
        <w:tc>
          <w:tcPr>
            <w:tcW w:w="14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技术规格、参数及要求</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品目预算(元)</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最高限价(元)</w:t>
            </w:r>
          </w:p>
        </w:tc>
      </w:tr>
      <w:tr>
        <w:tblPrEx>
          <w:tblCellMar>
            <w:top w:w="0" w:type="dxa"/>
            <w:left w:w="0" w:type="dxa"/>
            <w:bottom w:w="0" w:type="dxa"/>
            <w:right w:w="0" w:type="dxa"/>
          </w:tblCellMar>
        </w:tblPrEx>
        <w:trPr>
          <w:trHeight w:val="1213" w:hRule="atLeast"/>
          <w:jc w:val="center"/>
        </w:trPr>
        <w:tc>
          <w:tcPr>
            <w:tcW w:w="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center"/>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1-1</w:t>
            </w:r>
          </w:p>
        </w:tc>
        <w:tc>
          <w:tcPr>
            <w:tcW w:w="14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软件集成实施服务</w:t>
            </w:r>
          </w:p>
        </w:tc>
        <w:tc>
          <w:tcPr>
            <w:tcW w:w="13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经开院区智能化及物联网系统</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center"/>
              <w:textAlignment w:val="baseline"/>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rPr>
              <w:t>1</w:t>
            </w:r>
            <w:r>
              <w:rPr>
                <w:rFonts w:hint="eastAsia" w:asciiTheme="minorEastAsia" w:hAnsiTheme="minorEastAsia" w:eastAsiaTheme="minorEastAsia"/>
                <w:sz w:val="22"/>
                <w:szCs w:val="22"/>
                <w:lang w:val="en-US" w:eastAsia="zh-CN"/>
              </w:rPr>
              <w:t>批</w:t>
            </w:r>
          </w:p>
        </w:tc>
        <w:tc>
          <w:tcPr>
            <w:tcW w:w="14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详见采购文件</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zh-CN"/>
              </w:rPr>
              <w:t>2125</w:t>
            </w:r>
            <w:r>
              <w:rPr>
                <w:rFonts w:hint="eastAsia" w:asciiTheme="minorEastAsia" w:hAnsiTheme="minorEastAsia" w:eastAsiaTheme="minorEastAsia"/>
                <w:sz w:val="22"/>
                <w:szCs w:val="22"/>
              </w:rPr>
              <w:t>0000.00</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2"/>
              <w:shd w:val="clear" w:color="auto" w:fill="FFFFFF"/>
              <w:spacing w:before="0" w:beforeAutospacing="0" w:after="0" w:afterAutospacing="0" w:line="360" w:lineRule="auto"/>
              <w:jc w:val="both"/>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zh-CN"/>
              </w:rPr>
              <w:t>2125</w:t>
            </w:r>
            <w:r>
              <w:rPr>
                <w:rFonts w:hint="eastAsia" w:asciiTheme="minorEastAsia" w:hAnsiTheme="minorEastAsia" w:eastAsiaTheme="minorEastAsia"/>
                <w:sz w:val="22"/>
                <w:szCs w:val="22"/>
              </w:rPr>
              <w:t>0000.00</w:t>
            </w:r>
          </w:p>
        </w:tc>
      </w:tr>
    </w:tbl>
    <w:p>
      <w:pPr>
        <w:widowControl w:val="0"/>
        <w:spacing w:line="360" w:lineRule="auto"/>
        <w:ind w:firstLine="496" w:firstLineChars="200"/>
        <w:rPr>
          <w:rFonts w:cs="宋体" w:asciiTheme="minorEastAsia" w:hAnsiTheme="minorEastAsia" w:eastAsiaTheme="minorEastAsia"/>
        </w:rPr>
      </w:pPr>
      <w:r>
        <w:rPr>
          <w:rFonts w:hint="eastAsia" w:cs="宋体" w:asciiTheme="minorEastAsia" w:hAnsiTheme="minorEastAsia" w:eastAsiaTheme="minorEastAsia"/>
        </w:rPr>
        <w:t>本合同包不接受联合体投标</w:t>
      </w:r>
    </w:p>
    <w:p>
      <w:pPr>
        <w:widowControl w:val="0"/>
        <w:spacing w:line="360" w:lineRule="auto"/>
        <w:ind w:firstLine="496" w:firstLineChars="200"/>
        <w:rPr>
          <w:rFonts w:cs="宋体" w:asciiTheme="minorEastAsia" w:hAnsiTheme="minorEastAsia" w:eastAsiaTheme="minorEastAsia"/>
        </w:rPr>
      </w:pPr>
      <w:r>
        <w:rPr>
          <w:rFonts w:hint="eastAsia" w:cs="宋体" w:asciiTheme="minorEastAsia" w:hAnsiTheme="minorEastAsia" w:eastAsiaTheme="minorEastAsia"/>
        </w:rPr>
        <w:t>合同履行期限：自合同签订后到该项目服务期结束（具体服务起止日期可随合同签订时间相应顺延）</w:t>
      </w:r>
    </w:p>
    <w:p>
      <w:pPr>
        <w:pStyle w:val="9"/>
        <w:keepNext w:val="0"/>
        <w:numPr>
          <w:ilvl w:val="3"/>
          <w:numId w:val="0"/>
        </w:numPr>
        <w:shd w:val="clear" w:color="auto" w:fill="FFFFFF"/>
        <w:spacing w:before="150" w:after="0" w:line="360" w:lineRule="auto"/>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二、申请人的资格要求：</w:t>
      </w:r>
    </w:p>
    <w:p>
      <w:pPr>
        <w:pStyle w:val="32"/>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1.满足《中华人民共和国政府釆购法》第二十二条规定;</w:t>
      </w:r>
    </w:p>
    <w:p>
      <w:pPr>
        <w:pStyle w:val="32"/>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2.落实政府采购政策需满足的资格要求：</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合同包1(经开院区智能化及物联网系统项目)落实政府采购政策需满足的资格要求如下:</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（1）《政府采购促进中小企业发展管理办法》（财库〔2020〕46号）； </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（2）《财政部 司法部关于政府采购支持监狱企业发展有关问题的通知》（财库〔2014〕68号）；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（3）《国务院办公厅关于建立政府强制采购节能产品制度的通知》（国办发〔2007〕51号）；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（4）《财政部 国家发展改革委关于印发〈节能产品政府采购实施意见〉的通知》（财库〔2004〕185号）；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（5）《财政部环保总局关于环境标志产品政府采购实施的意见》（财库〔2006〕90号）；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（6）《三部门联合发布关于促进残疾人就业政府采购政策的通知》（财库〔2017〕141号）；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（7）《财政部 发展改革委 生态环境部 市场监管总局关于调整优化节能产品、环境标志产品政府采购执行机制的通知》（财库〔2019〕9号）；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（8）陕西省财政厅关于印发《陕西省中小企业政府采购信用融资办法》（陕财办采〔2018〕23号）；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（9）《财政部 农业农村部 国家乡村振兴局关于运用政府采购政策支持乡村产业振兴的通知》（财库〔2021〕19号）。</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3.本项目的特定资格要求：</w:t>
      </w:r>
    </w:p>
    <w:p>
      <w:pPr>
        <w:pStyle w:val="32"/>
        <w:spacing w:before="0" w:beforeAutospacing="0" w:after="0" w:afterAutospacing="0" w:line="360" w:lineRule="auto"/>
        <w:jc w:val="both"/>
        <w:textAlignment w:val="baseline"/>
        <w:rPr>
          <w:rFonts w:asciiTheme="minorEastAsia" w:hAnsiTheme="minorEastAsia" w:eastAsiaTheme="minorEastAsia"/>
        </w:rPr>
      </w:pPr>
      <w:r>
        <w:rPr>
          <w:rFonts w:hint="eastAsia" w:asciiTheme="minorEastAsia" w:hAnsiTheme="minorEastAsia" w:eastAsiaTheme="minorEastAsia"/>
        </w:rPr>
        <w:t>合同包1(经开院区智能化及物联网系统项目)特定资格要求如下:</w:t>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（1）具有独立承担民事责任能力的法人、其他组织或自然人，提供合法有效的统一社会信用代码营业执照（事业单位提供事业单位法人证书，自然人应提供身份证）；</w:t>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2）财务状况证明：供应商提供2021年度或2022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（3）具有履行合同所必需的设备和专业技术能力的书面声明；</w:t>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（4）税收缴纳证明：提供2022年8月以来至少一个月的纳税证明或完税证明，依法免税的单位应提供相关证明材料； </w:t>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（5）社会保障资金缴纳证明：提供2022年8月以来至少一个月的社会保障资金缴存单据或社保机构开具的社会保险参保缴费情况证明,依法不需要缴纳社会保障资金的供应商应提供相关文件证明；</w:t>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（6）参加政府采购活动前3年内在经营活动中没有重大违法记录的书面声明；</w:t>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（7）非法定代表人参加投标的，须提供法定代表人委托授权书及被授权人身份证，法定代表人参加投标时,只需提供法定代表人身份证； </w:t>
      </w:r>
    </w:p>
    <w:p>
      <w:pPr>
        <w:spacing w:line="360" w:lineRule="auto"/>
        <w:rPr>
          <w:rFonts w:cs="Tahoma" w:asciiTheme="minorEastAsia" w:hAnsiTheme="minorEastAsia" w:eastAsiaTheme="minorEastAsia"/>
          <w:color w:val="333333"/>
          <w:shd w:val="clear" w:color="auto" w:fill="FFFFFF"/>
        </w:rPr>
      </w:pPr>
      <w:r>
        <w:rPr>
          <w:rFonts w:hint="eastAsia" w:cs="宋体" w:asciiTheme="minorEastAsia" w:hAnsiTheme="minorEastAsia" w:eastAsiaTheme="minorEastAsia"/>
        </w:rPr>
        <w:t>（8）本项目不接受</w:t>
      </w:r>
      <w:r>
        <w:rPr>
          <w:rFonts w:hint="eastAsia" w:cs="Tahoma" w:asciiTheme="minorEastAsia" w:hAnsiTheme="minorEastAsia" w:eastAsiaTheme="minorEastAsia"/>
          <w:color w:val="333333"/>
          <w:shd w:val="clear" w:color="auto" w:fill="FFFFFF"/>
        </w:rPr>
        <w:t>联合体投标。</w:t>
      </w:r>
    </w:p>
    <w:p>
      <w:pPr>
        <w:pStyle w:val="9"/>
        <w:keepNext w:val="0"/>
        <w:numPr>
          <w:ilvl w:val="3"/>
          <w:numId w:val="0"/>
        </w:numPr>
        <w:shd w:val="clear" w:color="auto" w:fill="FFFFFF"/>
        <w:spacing w:before="150" w:after="0" w:line="360" w:lineRule="auto"/>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三、获取招标文件</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时间：2023年5月</w:t>
      </w:r>
      <w:r>
        <w:rPr>
          <w:rFonts w:hint="eastAsia" w:asciiTheme="minorEastAsia" w:hAnsiTheme="minorEastAsia" w:eastAsiaTheme="minorEastAsia"/>
          <w:lang w:val="en-US" w:eastAsia="zh-CN"/>
        </w:rPr>
        <w:t>16</w:t>
      </w:r>
      <w:r>
        <w:rPr>
          <w:rFonts w:hint="eastAsia" w:asciiTheme="minorEastAsia" w:hAnsiTheme="minorEastAsia" w:eastAsiaTheme="minorEastAsia"/>
        </w:rPr>
        <w:t>日至2023年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23</w:t>
      </w:r>
      <w:r>
        <w:rPr>
          <w:rFonts w:hint="eastAsia" w:asciiTheme="minorEastAsia" w:hAnsiTheme="minorEastAsia" w:eastAsiaTheme="minorEastAsia"/>
        </w:rPr>
        <w:t>日，每天上午00:00:00至12:00:00，下午12:00:00至23:59:59（北京时间,法定节假日除外）</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途径：全国公共资源交易平台（陕西省·西安市）网站〖首页〉电子交易平台〉陕西政府采购交易系统〉企业端〗。</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方式：在线获取</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售价：免费获取</w:t>
      </w:r>
    </w:p>
    <w:p>
      <w:pPr>
        <w:pStyle w:val="9"/>
        <w:keepNext w:val="0"/>
        <w:numPr>
          <w:ilvl w:val="3"/>
          <w:numId w:val="0"/>
        </w:numPr>
        <w:shd w:val="clear" w:color="auto" w:fill="FFFFFF"/>
        <w:spacing w:before="150" w:after="0" w:line="360" w:lineRule="auto"/>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四、提交投标文件截止时间、开标时间和地点</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时间：2023年</w:t>
      </w:r>
      <w:r>
        <w:rPr>
          <w:rFonts w:hint="eastAsia" w:asciiTheme="minorEastAsia" w:hAnsiTheme="minorEastAsia" w:eastAsiaTheme="minorEastAsia"/>
          <w:lang w:val="en-US" w:eastAsia="zh-CN"/>
        </w:rPr>
        <w:t>6</w:t>
      </w:r>
      <w:r>
        <w:rPr>
          <w:rFonts w:hint="eastAsia" w:asciiTheme="minorEastAsia" w:hAnsiTheme="minorEastAsia" w:eastAsiaTheme="minorEastAsia"/>
        </w:rPr>
        <w:t>月</w:t>
      </w:r>
      <w:r>
        <w:rPr>
          <w:rFonts w:hint="eastAsia" w:asciiTheme="minorEastAsia" w:hAnsiTheme="minorEastAsia" w:eastAsiaTheme="minorEastAsia"/>
          <w:lang w:val="en-US" w:eastAsia="zh-CN"/>
        </w:rPr>
        <w:t>9</w:t>
      </w:r>
      <w:r>
        <w:rPr>
          <w:rFonts w:hint="eastAsia" w:asciiTheme="minorEastAsia" w:hAnsiTheme="minorEastAsia" w:eastAsiaTheme="minorEastAsia"/>
        </w:rPr>
        <w:t>日</w:t>
      </w:r>
      <w:r>
        <w:rPr>
          <w:rFonts w:hint="eastAsia" w:asciiTheme="minorEastAsia" w:hAnsiTheme="minorEastAsia" w:eastAsiaTheme="minorEastAsia"/>
          <w:lang w:val="en-US" w:eastAsia="zh-CN"/>
        </w:rPr>
        <w:t>09</w:t>
      </w:r>
      <w:r>
        <w:rPr>
          <w:rFonts w:hint="eastAsia" w:asciiTheme="minorEastAsia" w:hAnsiTheme="minorEastAsia" w:eastAsiaTheme="minorEastAsia"/>
        </w:rPr>
        <w:t>时</w:t>
      </w:r>
      <w:r>
        <w:rPr>
          <w:rFonts w:hint="eastAsia" w:asciiTheme="minorEastAsia" w:hAnsiTheme="minorEastAsia" w:eastAsiaTheme="minorEastAsia"/>
          <w:lang w:val="en-US" w:eastAsia="zh-CN"/>
        </w:rPr>
        <w:t>3</w:t>
      </w:r>
      <w:r>
        <w:rPr>
          <w:rFonts w:hint="eastAsia" w:asciiTheme="minorEastAsia" w:hAnsiTheme="minorEastAsia" w:eastAsiaTheme="minorEastAsia"/>
        </w:rPr>
        <w:t>0分00秒 （北京时间）</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提交投标文件地点：全国公共资源交易平台（陕西省·西安市）网站〖首页〉电子交易平台〉陕西政府采购交易系统〉企业端〗，在线提交。</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开标地点：西安市未央区文景北路16号白桦林国际B座三层311室</w:t>
      </w:r>
    </w:p>
    <w:p>
      <w:pPr>
        <w:pStyle w:val="9"/>
        <w:keepNext w:val="0"/>
        <w:numPr>
          <w:ilvl w:val="3"/>
          <w:numId w:val="0"/>
        </w:numPr>
        <w:shd w:val="clear" w:color="auto" w:fill="FFFFFF"/>
        <w:spacing w:before="150" w:after="0" w:line="360" w:lineRule="auto"/>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五、公告期限</w:t>
      </w:r>
    </w:p>
    <w:p>
      <w:pPr>
        <w:pStyle w:val="32"/>
        <w:shd w:val="clear" w:color="auto" w:fill="FFFFFF"/>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自本公告发布之日起5个工作日。</w:t>
      </w:r>
    </w:p>
    <w:p>
      <w:pPr>
        <w:pStyle w:val="9"/>
        <w:keepNext w:val="0"/>
        <w:numPr>
          <w:ilvl w:val="3"/>
          <w:numId w:val="0"/>
        </w:numPr>
        <w:shd w:val="clear" w:color="auto" w:fill="FFFFFF"/>
        <w:spacing w:before="150" w:after="0" w:line="360" w:lineRule="auto"/>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六、其他补充事宜</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注：（1）本项目为电子化政府采购项目，供应商初次使用电子交易平台时,请先阅读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（3）打开【全国公共资源交易平台（陕西省·西安市）】网站（简称西安市公共资源交易平台，官网地址：</w:t>
      </w:r>
      <w:r>
        <w:fldChar w:fldCharType="begin"/>
      </w:r>
      <w:r>
        <w:instrText xml:space="preserve"> HYPERLINK "http://sxggzyjy.xa.gov.cn/" </w:instrText>
      </w:r>
      <w:r>
        <w:fldChar w:fldCharType="separate"/>
      </w:r>
      <w:r>
        <w:rPr>
          <w:rFonts w:hint="eastAsia" w:cs="宋体" w:asciiTheme="minorEastAsia" w:hAnsiTheme="minorEastAsia" w:eastAsiaTheme="minorEastAsia"/>
        </w:rPr>
        <w:t>http://sxggzyjy.xa.gov.cn/</w:t>
      </w:r>
      <w:r>
        <w:rPr>
          <w:rFonts w:hint="eastAsia" w:cs="宋体" w:asciiTheme="minorEastAsia" w:hAnsiTheme="minorEastAsia" w:eastAsiaTheme="minorEastAsia"/>
        </w:rPr>
        <w:fldChar w:fldCharType="end"/>
      </w:r>
      <w:r>
        <w:rPr>
          <w:rFonts w:hint="eastAsia" w:cs="宋体" w:asciiTheme="minorEastAsia" w:hAnsiTheme="minorEastAsia" w:eastAsiaTheme="minorEastAsia"/>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 xml:space="preserve">（4）请供应商务必及时下载项目招标文件并做好备份,否则会影响投标文件编制及后续投标活动。 </w:t>
      </w:r>
    </w:p>
    <w:p>
      <w:pPr>
        <w:spacing w:line="560" w:lineRule="exact"/>
        <w:ind w:firstLine="496" w:firstLineChars="200"/>
        <w:jc w:val="both"/>
        <w:rPr>
          <w:rFonts w:asciiTheme="minorEastAsia" w:hAnsiTheme="minorEastAsia" w:eastAsiaTheme="minorEastAsia"/>
        </w:rPr>
      </w:pPr>
      <w:r>
        <w:rPr>
          <w:rFonts w:hint="eastAsia" w:cs="宋体" w:asciiTheme="minorEastAsia" w:hAnsiTheme="minorEastAsia" w:eastAsiaTheme="minorEastAsia"/>
        </w:rPr>
        <w:t>（5）按照陕西省财政厅《关于政府采购供应商注册登记有关事项的通知》中的要求,供应商应通过陕西省政府采购网(http:〃www.ccgp shaanxi.gov.cn/)注册登记,加入陕西省政府采购供应商库 。</w:t>
      </w:r>
      <w:r>
        <w:rPr>
          <w:rFonts w:hint="eastAsia" w:cs="黑体" w:asciiTheme="minorEastAsia" w:hAnsiTheme="minorEastAsia" w:eastAsiaTheme="minorEastAsia"/>
          <w:color w:val="000000"/>
        </w:rPr>
        <w:t xml:space="preserve"> </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（6）制作电子投标文件（*.SXSTF）需要使用专用制作工具。软件下载及操作说明详见西安市公共资源交易平台〖首页·〉服务指南·〉下载专区〗中的《政府采购项目投标文件制作软件及操作手册》。</w:t>
      </w:r>
    </w:p>
    <w:p>
      <w:pPr>
        <w:shd w:val="clear" w:color="auto" w:fill="FFFFFF"/>
        <w:spacing w:before="150" w:line="360" w:lineRule="auto"/>
        <w:ind w:firstLine="496" w:firstLineChars="200"/>
        <w:textAlignment w:val="baseline"/>
        <w:rPr>
          <w:rFonts w:cs="宋体" w:asciiTheme="minorEastAsia" w:hAnsiTheme="minorEastAsia" w:eastAsiaTheme="minorEastAsia"/>
        </w:rPr>
      </w:pPr>
      <w:r>
        <w:rPr>
          <w:rFonts w:hint="eastAsia" w:cs="宋体" w:asciiTheme="minorEastAsia" w:hAnsiTheme="minorEastAsia" w:eastAsiaTheme="minorEastAsia"/>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shd w:val="clear" w:color="auto" w:fill="FFFFFF"/>
        <w:spacing w:before="150" w:line="360" w:lineRule="auto"/>
        <w:ind w:firstLine="496" w:firstLineChars="200"/>
        <w:textAlignment w:val="baseline"/>
        <w:rPr>
          <w:rFonts w:cs="宋体" w:asciiTheme="minorEastAsia" w:hAnsiTheme="minorEastAsia" w:eastAsiaTheme="minorEastAsia"/>
        </w:rPr>
      </w:pPr>
      <w:r>
        <w:rPr>
          <w:rFonts w:hint="eastAsia" w:cs="宋体" w:asciiTheme="minorEastAsia" w:hAnsiTheme="minorEastAsia" w:eastAsiaTheme="minorEastAsia"/>
        </w:rPr>
        <w:t>（8）本项目将采用“不见面开标”形式。操作说明详见平台〖首页·〉服务指南·〉下载专区〗中的《西安公共资源交易不见面开标大厅供应商操作手册》。</w:t>
      </w:r>
    </w:p>
    <w:p>
      <w:pPr>
        <w:pStyle w:val="9"/>
        <w:keepNext w:val="0"/>
        <w:numPr>
          <w:ilvl w:val="3"/>
          <w:numId w:val="0"/>
        </w:numPr>
        <w:shd w:val="clear" w:color="auto" w:fill="FFFFFF"/>
        <w:spacing w:before="150" w:after="0" w:line="360" w:lineRule="auto"/>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七、对本次招标提出询问，请按以下方式联系。</w:t>
      </w:r>
    </w:p>
    <w:p>
      <w:pPr>
        <w:pStyle w:val="11"/>
        <w:numPr>
          <w:ilvl w:val="5"/>
          <w:numId w:val="0"/>
        </w:numPr>
        <w:spacing w:before="0" w:after="0" w:line="360" w:lineRule="auto"/>
        <w:ind w:firstLine="248" w:firstLineChars="100"/>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1.釆购人信息</w:t>
      </w:r>
    </w:p>
    <w:p>
      <w:pPr>
        <w:pStyle w:val="11"/>
        <w:numPr>
          <w:ilvl w:val="5"/>
          <w:numId w:val="0"/>
        </w:numPr>
        <w:spacing w:before="0" w:after="0" w:line="360" w:lineRule="auto"/>
        <w:ind w:firstLine="248" w:firstLineChars="100"/>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名称：西安市中心医院</w:t>
      </w:r>
    </w:p>
    <w:p>
      <w:pPr>
        <w:pStyle w:val="11"/>
        <w:numPr>
          <w:ilvl w:val="5"/>
          <w:numId w:val="0"/>
        </w:numPr>
        <w:spacing w:before="0" w:after="0" w:line="360" w:lineRule="auto"/>
        <w:ind w:firstLine="248" w:firstLineChars="100"/>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地址：西安市后宰门185号</w:t>
      </w:r>
    </w:p>
    <w:p>
      <w:pPr>
        <w:pStyle w:val="11"/>
        <w:numPr>
          <w:ilvl w:val="5"/>
          <w:numId w:val="0"/>
        </w:numPr>
        <w:spacing w:before="0" w:after="0" w:line="360" w:lineRule="auto"/>
        <w:ind w:firstLine="248" w:firstLineChars="100"/>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联系方式：南老师 029-62812557   </w:t>
      </w:r>
    </w:p>
    <w:p>
      <w:pPr>
        <w:pStyle w:val="11"/>
        <w:numPr>
          <w:ilvl w:val="5"/>
          <w:numId w:val="0"/>
        </w:numPr>
        <w:spacing w:before="0" w:after="0" w:line="360" w:lineRule="auto"/>
        <w:ind w:firstLine="248" w:firstLineChars="100"/>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2.釆购代理机构信息</w:t>
      </w:r>
    </w:p>
    <w:p>
      <w:pPr>
        <w:pStyle w:val="32"/>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名称：陕西卓佲项目管理有限公司</w:t>
      </w:r>
    </w:p>
    <w:p>
      <w:pPr>
        <w:pStyle w:val="32"/>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地址：西安市雁塔区科技路10号华奥大厦A座20层2002室</w:t>
      </w:r>
    </w:p>
    <w:p>
      <w:pPr>
        <w:pStyle w:val="32"/>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联系方式：17778966062</w:t>
      </w:r>
    </w:p>
    <w:p>
      <w:pPr>
        <w:pStyle w:val="11"/>
        <w:numPr>
          <w:ilvl w:val="5"/>
          <w:numId w:val="0"/>
        </w:numPr>
        <w:spacing w:before="0" w:after="0" w:line="360" w:lineRule="auto"/>
        <w:ind w:left="-863" w:leftChars="-348" w:firstLine="992" w:firstLineChars="400"/>
        <w:textAlignment w:val="baseline"/>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3.项目联系方式</w:t>
      </w:r>
    </w:p>
    <w:p>
      <w:pPr>
        <w:pStyle w:val="32"/>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项目联系人：董菊莉 杜华龙 米文佳 干欣彤</w:t>
      </w:r>
    </w:p>
    <w:p>
      <w:pPr>
        <w:pStyle w:val="32"/>
        <w:spacing w:before="0" w:beforeAutospacing="0" w:after="0" w:afterAutospacing="0" w:line="360" w:lineRule="auto"/>
        <w:ind w:firstLine="480"/>
        <w:jc w:val="both"/>
        <w:textAlignment w:val="baseline"/>
        <w:rPr>
          <w:rFonts w:asciiTheme="minorEastAsia" w:hAnsiTheme="minorEastAsia" w:eastAsiaTheme="minorEastAsia"/>
        </w:rPr>
      </w:pPr>
      <w:r>
        <w:rPr>
          <w:rFonts w:hint="eastAsia" w:asciiTheme="minorEastAsia" w:hAnsiTheme="minorEastAsia" w:eastAsiaTheme="minorEastAsia"/>
        </w:rPr>
        <w:t>电话： 17778966062</w:t>
      </w:r>
    </w:p>
    <w:p>
      <w:pPr>
        <w:pStyle w:val="32"/>
        <w:shd w:val="clear" w:color="auto" w:fill="FFFFFF"/>
        <w:spacing w:before="0" w:beforeAutospacing="0" w:after="0" w:afterAutospacing="0" w:line="360" w:lineRule="auto"/>
        <w:ind w:firstLine="480"/>
        <w:jc w:val="right"/>
        <w:textAlignment w:val="baseline"/>
        <w:rPr>
          <w:rFonts w:asciiTheme="minorEastAsia" w:hAnsiTheme="minorEastAsia" w:eastAsiaTheme="minorEastAsia"/>
        </w:rPr>
      </w:pPr>
      <w:r>
        <w:rPr>
          <w:rFonts w:hint="eastAsia" w:asciiTheme="minorEastAsia" w:hAnsiTheme="minorEastAsia" w:eastAsiaTheme="minorEastAsia"/>
        </w:rPr>
        <w:t>陕西卓佲项目管理有限公司</w:t>
      </w:r>
    </w:p>
    <w:p>
      <w:pPr>
        <w:pStyle w:val="32"/>
        <w:shd w:val="clear" w:color="auto" w:fill="FFFFFF"/>
        <w:spacing w:before="0" w:beforeAutospacing="0" w:after="0" w:afterAutospacing="0" w:line="360" w:lineRule="auto"/>
        <w:ind w:firstLine="480"/>
        <w:jc w:val="right"/>
        <w:textAlignment w:val="baseline"/>
        <w:rPr>
          <w:rFonts w:asciiTheme="minorEastAsia" w:hAnsiTheme="minorEastAsia" w:eastAsiaTheme="minorEastAsia"/>
        </w:rPr>
      </w:pPr>
      <w:r>
        <w:rPr>
          <w:rFonts w:hint="eastAsia" w:asciiTheme="minorEastAsia" w:hAnsiTheme="minorEastAsia" w:eastAsiaTheme="minorEastAsia"/>
        </w:rPr>
        <w:t>2023年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16</w:t>
      </w:r>
      <w:r>
        <w:rPr>
          <w:rFonts w:hint="eastAsia" w:asciiTheme="minorEastAsia" w:hAnsiTheme="minorEastAsia" w:eastAsiaTheme="minorEastAsia"/>
        </w:rPr>
        <w:t>日</w:t>
      </w:r>
    </w:p>
    <w:p>
      <w:pPr>
        <w:spacing w:line="560" w:lineRule="exact"/>
        <w:ind w:firstLine="496" w:firstLineChars="200"/>
        <w:jc w:val="both"/>
        <w:rPr>
          <w:rFonts w:cs="宋体" w:asciiTheme="minorEastAsia" w:hAnsiTheme="minorEastAsia" w:eastAsiaTheme="minorEastAsia"/>
        </w:rPr>
      </w:pPr>
      <w:bookmarkStart w:id="2" w:name="_Toc100219613"/>
      <w:bookmarkStart w:id="3" w:name="_Toc534656409"/>
      <w:bookmarkStart w:id="4" w:name="_Toc533363262"/>
      <w:bookmarkStart w:id="5" w:name="_Toc445407251"/>
      <w:bookmarkStart w:id="6" w:name="_Toc533363235"/>
      <w:bookmarkStart w:id="7" w:name="_Toc534656414"/>
      <w:bookmarkStart w:id="8" w:name="_Toc97563329"/>
      <w:bookmarkStart w:id="9" w:name="_Toc498349068"/>
      <w:r>
        <w:rPr>
          <w:rFonts w:hint="eastAsia" w:cs="宋体" w:asciiTheme="minorEastAsia" w:hAnsiTheme="minorEastAsia" w:eastAsiaTheme="minorEastAsia"/>
        </w:rPr>
        <w:br w:type="page"/>
      </w:r>
    </w:p>
    <w:p>
      <w:pPr>
        <w:pStyle w:val="6"/>
        <w:spacing w:line="240" w:lineRule="auto"/>
        <w:rPr>
          <w:rFonts w:cs="宋体" w:asciiTheme="minorEastAsia" w:hAnsiTheme="minorEastAsia" w:eastAsiaTheme="minorEastAsia"/>
          <w:sz w:val="24"/>
          <w:szCs w:val="24"/>
        </w:rPr>
      </w:pPr>
      <w:bookmarkStart w:id="10" w:name="_Toc135129521"/>
      <w:r>
        <w:rPr>
          <w:rFonts w:hint="eastAsia" w:cs="宋体" w:asciiTheme="minorEastAsia" w:hAnsiTheme="minorEastAsia" w:eastAsiaTheme="minorEastAsia"/>
          <w:sz w:val="24"/>
          <w:szCs w:val="24"/>
        </w:rPr>
        <w:t>第二章  供应商须知</w:t>
      </w:r>
      <w:bookmarkEnd w:id="2"/>
      <w:bookmarkEnd w:id="3"/>
      <w:bookmarkEnd w:id="4"/>
      <w:bookmarkEnd w:id="5"/>
      <w:bookmarkEnd w:id="6"/>
      <w:bookmarkEnd w:id="7"/>
      <w:bookmarkEnd w:id="8"/>
      <w:bookmarkEnd w:id="9"/>
      <w:bookmarkEnd w:id="10"/>
    </w:p>
    <w:p>
      <w:pPr>
        <w:pStyle w:val="7"/>
        <w:spacing w:line="240" w:lineRule="auto"/>
        <w:ind w:firstLine="497"/>
        <w:jc w:val="left"/>
        <w:rPr>
          <w:rFonts w:cs="宋体" w:asciiTheme="minorEastAsia" w:hAnsiTheme="minorEastAsia" w:eastAsiaTheme="minorEastAsia"/>
          <w:sz w:val="24"/>
          <w:szCs w:val="24"/>
        </w:rPr>
      </w:pPr>
      <w:bookmarkStart w:id="11" w:name="_Toc135129522"/>
      <w:r>
        <w:rPr>
          <w:rFonts w:hint="eastAsia" w:cs="宋体" w:asciiTheme="minorEastAsia" w:hAnsiTheme="minorEastAsia" w:eastAsiaTheme="minorEastAsia"/>
          <w:sz w:val="24"/>
          <w:szCs w:val="24"/>
        </w:rPr>
        <w:t>〖前附表〗</w:t>
      </w:r>
      <w:bookmarkEnd w:id="11"/>
    </w:p>
    <w:tbl>
      <w:tblPr>
        <w:tblStyle w:val="37"/>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2F2F2"/>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序号</w:t>
            </w:r>
          </w:p>
        </w:tc>
        <w:tc>
          <w:tcPr>
            <w:tcW w:w="3402" w:type="dxa"/>
            <w:tcBorders>
              <w:top w:val="single" w:color="auto" w:sz="12" w:space="0"/>
              <w:bottom w:val="single" w:color="auto" w:sz="2" w:space="0"/>
            </w:tcBorders>
            <w:shd w:val="clear" w:color="auto" w:fill="F2F2F2"/>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内容</w:t>
            </w:r>
          </w:p>
        </w:tc>
        <w:tc>
          <w:tcPr>
            <w:tcW w:w="4490" w:type="dxa"/>
            <w:tcBorders>
              <w:top w:val="single" w:color="auto" w:sz="12" w:space="0"/>
              <w:bottom w:val="single" w:color="auto" w:sz="2" w:space="0"/>
            </w:tcBorders>
            <w:shd w:val="clear" w:color="auto" w:fill="F2F2F2"/>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3402" w:type="dxa"/>
            <w:tcBorders>
              <w:top w:val="single" w:color="auto" w:sz="2" w:space="0"/>
            </w:tcBorders>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4490" w:type="dxa"/>
            <w:tcBorders>
              <w:top w:val="single" w:color="auto" w:sz="2" w:space="0"/>
            </w:tcBorders>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西安市中心医院经开院区智能化及物联网系统项目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项目编号</w:t>
            </w:r>
          </w:p>
        </w:tc>
        <w:tc>
          <w:tcPr>
            <w:tcW w:w="4490"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ZMZB2023ZXYY-74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备案（核准）编号</w:t>
            </w:r>
          </w:p>
        </w:tc>
        <w:tc>
          <w:tcPr>
            <w:tcW w:w="4490"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ZCBN-西安市-2023-00862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是否预留份额</w:t>
            </w:r>
          </w:p>
          <w:p>
            <w:pPr>
              <w:jc w:val="center"/>
              <w:rPr>
                <w:rFonts w:cs="宋体" w:asciiTheme="minorEastAsia" w:hAnsiTheme="minorEastAsia" w:eastAsiaTheme="minorEastAsia"/>
              </w:rPr>
            </w:pPr>
            <w:r>
              <w:rPr>
                <w:rFonts w:hint="eastAsia" w:cs="宋体" w:asciiTheme="minorEastAsia" w:hAnsiTheme="minorEastAsia" w:eastAsiaTheme="minorEastAsia"/>
              </w:rPr>
              <w:t>专门面向中小企业采购</w:t>
            </w:r>
          </w:p>
        </w:tc>
        <w:tc>
          <w:tcPr>
            <w:tcW w:w="4490" w:type="dxa"/>
            <w:shd w:val="clear" w:color="auto" w:fill="auto"/>
            <w:vAlign w:val="center"/>
          </w:tcPr>
          <w:p>
            <w:pPr>
              <w:jc w:val="center"/>
              <w:rPr>
                <w:rFonts w:cs="宋体" w:asciiTheme="minorEastAsia" w:hAnsiTheme="minorEastAsia" w:eastAsiaTheme="minorEastAsia"/>
              </w:rPr>
            </w:pPr>
            <w:r>
              <w:rPr>
                <w:rFonts w:ascii="Segoe UI Symbol" w:hAnsi="Segoe UI Symbol" w:cs="Segoe UI Symbol" w:eastAsiaTheme="minorEastAsia"/>
              </w:rPr>
              <w:t>☐</w:t>
            </w:r>
            <w:r>
              <w:rPr>
                <w:rFonts w:hint="eastAsia" w:ascii="宋体" w:hAnsi="宋体" w:cs="宋体"/>
              </w:rPr>
              <w:t>是</w:t>
            </w:r>
            <w:r>
              <w:rPr>
                <w:rFonts w:hint="eastAsia" w:cs="宋体" w:asciiTheme="minorEastAsia" w:hAnsiTheme="minorEastAsia" w:eastAsiaTheme="minorEastAsia"/>
              </w:rPr>
              <w:t xml:space="preserve">  </w:t>
            </w:r>
            <w:r>
              <w:rPr>
                <w:rFonts w:ascii="Segoe UI Symbol" w:hAnsi="Segoe UI Symbol" w:cs="Segoe UI Symbol" w:eastAsiaTheme="minorEastAsia"/>
              </w:rPr>
              <w:t>☑</w:t>
            </w:r>
            <w:r>
              <w:rPr>
                <w:rFonts w:hint="eastAsia" w:ascii="宋体" w:hAnsi="宋体" w:cs="宋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预算金额</w:t>
            </w:r>
          </w:p>
        </w:tc>
        <w:tc>
          <w:tcPr>
            <w:tcW w:w="4490"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lang w:val="zh-CN"/>
              </w:rPr>
              <w:t>2125</w:t>
            </w:r>
            <w:r>
              <w:rPr>
                <w:rFonts w:hint="eastAsia" w:cs="宋体" w:asciiTheme="minorEastAsia" w:hAnsiTheme="minorEastAsia" w:eastAsiaTheme="minorEastAsia"/>
              </w:rPr>
              <w:t>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cs="宋体" w:asciiTheme="minorEastAsia" w:hAnsiTheme="minorEastAsia" w:eastAsiaTheme="minorEastAsia"/>
              </w:rPr>
            </w:pP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最高限价</w:t>
            </w:r>
          </w:p>
        </w:tc>
        <w:tc>
          <w:tcPr>
            <w:tcW w:w="4490"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lang w:val="zh-CN"/>
              </w:rPr>
              <w:t>2125</w:t>
            </w:r>
            <w:r>
              <w:rPr>
                <w:rFonts w:hint="eastAsia" w:cs="宋体" w:asciiTheme="minorEastAsia" w:hAnsiTheme="minorEastAsia" w:eastAsiaTheme="minorEastAsia"/>
              </w:rPr>
              <w:t>0000.00元</w:t>
            </w:r>
          </w:p>
          <w:p>
            <w:pPr>
              <w:jc w:val="center"/>
              <w:rPr>
                <w:rFonts w:cs="宋体" w:asciiTheme="minorEastAsia" w:hAnsiTheme="minorEastAsia" w:eastAsiaTheme="minorEastAsia"/>
              </w:rPr>
            </w:pPr>
            <w:r>
              <w:rPr>
                <w:rFonts w:hint="eastAsia" w:cs="宋体" w:asciiTheme="minorEastAsia" w:hAnsiTheme="minorEastAsia" w:eastAsiaTheme="minorEastAsia"/>
                <w:b/>
                <w:bCs/>
              </w:rPr>
              <w:t>备注：</w:t>
            </w:r>
            <w:r>
              <w:rPr>
                <w:rFonts w:hint="eastAsia" w:cs="宋体" w:asciiTheme="minorEastAsia" w:hAnsiTheme="minorEastAsia" w:eastAsiaTheme="minorEastAsia"/>
                <w:b/>
                <w:bCs/>
                <w:color w:val="000000"/>
              </w:rPr>
              <w:t>超过最高限价的按无效投标处理。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是否接受联合体</w:t>
            </w:r>
          </w:p>
        </w:tc>
        <w:tc>
          <w:tcPr>
            <w:tcW w:w="4490" w:type="dxa"/>
            <w:shd w:val="clear" w:color="auto" w:fill="auto"/>
            <w:vAlign w:val="center"/>
          </w:tcPr>
          <w:p>
            <w:pPr>
              <w:jc w:val="center"/>
              <w:rPr>
                <w:rFonts w:cs="宋体" w:asciiTheme="minorEastAsia" w:hAnsiTheme="minorEastAsia" w:eastAsiaTheme="minorEastAsia"/>
              </w:rPr>
            </w:pPr>
            <w:r>
              <w:rPr>
                <w:rFonts w:ascii="Segoe UI Symbol" w:hAnsi="Segoe UI Symbol" w:cs="Segoe UI Symbol" w:eastAsiaTheme="minorEastAsia"/>
              </w:rPr>
              <w:t>☐</w:t>
            </w:r>
            <w:r>
              <w:rPr>
                <w:rFonts w:hint="eastAsia" w:cs="宋体" w:asciiTheme="minorEastAsia" w:hAnsiTheme="minorEastAsia" w:eastAsiaTheme="minorEastAsia"/>
              </w:rPr>
              <w:t xml:space="preserve">是  </w:t>
            </w:r>
            <w:r>
              <w:rPr>
                <w:rFonts w:ascii="Segoe UI Symbol" w:hAnsi="Segoe UI Symbol" w:cs="Segoe UI Symbol" w:eastAsiaTheme="minorEastAsia"/>
              </w:rPr>
              <w:t>☑</w:t>
            </w:r>
            <w:r>
              <w:rPr>
                <w:rFonts w:hint="eastAsia" w:cs="宋体" w:asciiTheme="minorEastAsia" w:hAnsiTheme="minorEastAsia" w:eastAsia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是否允许进口产品</w:t>
            </w:r>
          </w:p>
        </w:tc>
        <w:tc>
          <w:tcPr>
            <w:tcW w:w="4490" w:type="dxa"/>
            <w:shd w:val="clear" w:color="auto" w:fill="auto"/>
            <w:vAlign w:val="center"/>
          </w:tcPr>
          <w:p>
            <w:pPr>
              <w:jc w:val="center"/>
              <w:rPr>
                <w:rFonts w:asciiTheme="minorEastAsia" w:hAnsiTheme="minorEastAsia" w:eastAsiaTheme="minorEastAsia"/>
              </w:rPr>
            </w:pPr>
            <w:r>
              <w:rPr>
                <w:rFonts w:ascii="Segoe UI Symbol" w:hAnsi="Segoe UI Symbol" w:cs="Segoe UI Symbol" w:eastAsiaTheme="minorEastAsia"/>
              </w:rPr>
              <w:t>☐</w:t>
            </w:r>
            <w:r>
              <w:rPr>
                <w:rFonts w:hint="eastAsia" w:cs="宋体" w:asciiTheme="minorEastAsia" w:hAnsiTheme="minorEastAsia" w:eastAsiaTheme="minorEastAsia"/>
              </w:rPr>
              <w:t xml:space="preserve">是  </w:t>
            </w:r>
            <w:r>
              <w:rPr>
                <w:rFonts w:ascii="Segoe UI Symbol" w:hAnsi="Segoe UI Symbol" w:cs="Segoe UI Symbol" w:eastAsiaTheme="minorEastAsia"/>
              </w:rPr>
              <w:t>☑</w:t>
            </w:r>
            <w:r>
              <w:rPr>
                <w:rFonts w:hint="eastAsia" w:cs="宋体" w:asciiTheme="minorEastAsia" w:hAnsiTheme="minorEastAsia" w:eastAsia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投标保证金</w:t>
            </w:r>
          </w:p>
        </w:tc>
        <w:tc>
          <w:tcPr>
            <w:tcW w:w="4490"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36"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投标文件份数</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投标供应商无需提供；中标供应商下载中标（成交）通知书后，向采购代理机构提供一正两副（和上传文件保持一致的）纸质投标（响应）文件用于备案及档案保存。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现场踏勘和集中答疑</w:t>
            </w:r>
          </w:p>
        </w:tc>
        <w:tc>
          <w:tcPr>
            <w:tcW w:w="4490" w:type="dxa"/>
            <w:shd w:val="clear" w:color="auto" w:fill="auto"/>
            <w:vAlign w:val="center"/>
          </w:tcPr>
          <w:p>
            <w:pP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2023年5月24日14:30分经开院区南门集合统一组织现踏勘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政府采购信息发布媒体</w:t>
            </w:r>
          </w:p>
          <w:p>
            <w:pPr>
              <w:jc w:val="center"/>
              <w:rPr>
                <w:rFonts w:cs="宋体" w:asciiTheme="minorEastAsia" w:hAnsiTheme="minorEastAsia" w:eastAsiaTheme="minorEastAsia"/>
              </w:rPr>
            </w:pPr>
            <w:r>
              <w:rPr>
                <w:rFonts w:hint="eastAsia" w:cs="宋体" w:asciiTheme="minorEastAsia" w:hAnsiTheme="minorEastAsia" w:eastAsiaTheme="minorEastAsia"/>
              </w:rPr>
              <w:t>（采购公告、采购结果公告、变更公告）</w:t>
            </w:r>
          </w:p>
        </w:tc>
        <w:tc>
          <w:tcPr>
            <w:tcW w:w="4490"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1．陕西省政府采购网：仅提供项目公告，官网地址：http://ccgp-shaanxi.gov.cn/。</w:t>
            </w:r>
          </w:p>
          <w:p>
            <w:pPr>
              <w:rPr>
                <w:rFonts w:cs="宋体" w:asciiTheme="minorEastAsia" w:hAnsiTheme="minorEastAsia" w:eastAsiaTheme="minorEastAsia"/>
              </w:rPr>
            </w:pPr>
            <w:r>
              <w:rPr>
                <w:rFonts w:hint="eastAsia" w:cs="宋体" w:asciiTheme="minorEastAsia" w:hAnsiTheme="minorEastAsia" w:eastAsiaTheme="minorEastAsia"/>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询问和质疑</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投诉受理</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1．受理单位：西安市财政局政府采购管理处</w:t>
            </w:r>
          </w:p>
          <w:p>
            <w:pPr>
              <w:jc w:val="both"/>
              <w:rPr>
                <w:rFonts w:cs="宋体" w:asciiTheme="minorEastAsia" w:hAnsiTheme="minorEastAsia" w:eastAsiaTheme="minorEastAsia"/>
              </w:rPr>
            </w:pPr>
            <w:r>
              <w:rPr>
                <w:rFonts w:hint="eastAsia" w:cs="宋体" w:asciiTheme="minorEastAsia" w:hAnsiTheme="minorEastAsia" w:eastAsiaTheme="minorEastAsia"/>
              </w:rPr>
              <w:t>2．联系电话：029-89821846</w:t>
            </w:r>
          </w:p>
          <w:p>
            <w:pPr>
              <w:jc w:val="both"/>
              <w:rPr>
                <w:rFonts w:cs="宋体" w:asciiTheme="minorEastAsia" w:hAnsiTheme="minorEastAsia" w:eastAsiaTheme="minorEastAsia"/>
              </w:rPr>
            </w:pPr>
            <w:r>
              <w:rPr>
                <w:rFonts w:hint="eastAsia" w:cs="宋体" w:asciiTheme="minorEastAsia" w:hAnsiTheme="minorEastAsia" w:eastAsiaTheme="minorEastAsia"/>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信用信息查询截至时点</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开标形式</w:t>
            </w:r>
          </w:p>
        </w:tc>
        <w:tc>
          <w:tcPr>
            <w:tcW w:w="4490" w:type="dxa"/>
            <w:shd w:val="clear" w:color="auto" w:fill="auto"/>
            <w:vAlign w:val="center"/>
          </w:tcPr>
          <w:p>
            <w:pPr>
              <w:jc w:val="both"/>
              <w:rPr>
                <w:rFonts w:cs="宋体" w:asciiTheme="minorEastAsia" w:hAnsiTheme="minorEastAsia" w:eastAsiaTheme="minorEastAsia"/>
              </w:rPr>
            </w:pPr>
            <w:r>
              <w:rPr>
                <w:rFonts w:ascii="Segoe UI Symbol" w:hAnsi="Segoe UI Symbol" w:cs="Segoe UI Symbol" w:eastAsiaTheme="minorEastAsia"/>
              </w:rPr>
              <w:t>☑</w:t>
            </w:r>
            <w:r>
              <w:rPr>
                <w:rFonts w:hint="eastAsia" w:ascii="宋体" w:hAnsi="宋体" w:cs="宋体"/>
              </w:rPr>
              <w:t>不见面开标</w:t>
            </w:r>
            <w:r>
              <w:rPr>
                <w:rFonts w:hint="eastAsia" w:cs="宋体" w:asciiTheme="minorEastAsia" w:hAnsiTheme="minorEastAsia" w:eastAsiaTheme="minorEastAsia"/>
              </w:rPr>
              <w:t xml:space="preserve">  </w:t>
            </w:r>
            <w:r>
              <w:rPr>
                <w:rFonts w:ascii="Segoe UI Symbol" w:hAnsi="Segoe UI Symbol" w:cs="Segoe UI Symbol" w:eastAsiaTheme="minorEastAsia"/>
              </w:rPr>
              <w:t>☐</w:t>
            </w:r>
            <w:r>
              <w:rPr>
                <w:rFonts w:hint="eastAsia" w:ascii="宋体" w:hAnsi="宋体" w:cs="宋体"/>
              </w:rPr>
              <w:t>见面开标</w:t>
            </w:r>
          </w:p>
          <w:p>
            <w:pPr>
              <w:jc w:val="both"/>
              <w:rPr>
                <w:rFonts w:cs="宋体" w:asciiTheme="minorEastAsia" w:hAnsiTheme="minorEastAsia" w:eastAsiaTheme="minorEastAsia"/>
              </w:rPr>
            </w:pPr>
            <w:r>
              <w:rPr>
                <w:rFonts w:hint="eastAsia" w:cs="宋体" w:asciiTheme="minorEastAsia" w:hAnsiTheme="minorEastAsia" w:eastAsiaTheme="minorEastAsia"/>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是否允许递交多个备选投标方案</w:t>
            </w:r>
          </w:p>
        </w:tc>
        <w:tc>
          <w:tcPr>
            <w:tcW w:w="4490" w:type="dxa"/>
            <w:shd w:val="clear" w:color="auto" w:fill="auto"/>
            <w:vAlign w:val="center"/>
          </w:tcPr>
          <w:p>
            <w:pPr>
              <w:jc w:val="both"/>
              <w:rPr>
                <w:rFonts w:cs="宋体" w:asciiTheme="minorEastAsia" w:hAnsiTheme="minorEastAsia" w:eastAsiaTheme="minorEastAsia"/>
              </w:rPr>
            </w:pPr>
            <w:r>
              <w:rPr>
                <w:rFonts w:ascii="Segoe UI Symbol" w:hAnsi="Segoe UI Symbol" w:cs="Segoe UI Symbol" w:eastAsiaTheme="minorEastAsia"/>
              </w:rPr>
              <w:t>☐</w:t>
            </w:r>
            <w:r>
              <w:rPr>
                <w:rFonts w:hint="eastAsia" w:ascii="宋体" w:hAnsi="宋体" w:cs="宋体"/>
              </w:rPr>
              <w:t>是</w:t>
            </w:r>
            <w:r>
              <w:rPr>
                <w:rFonts w:hint="eastAsia" w:cs="宋体" w:asciiTheme="minorEastAsia" w:hAnsiTheme="minorEastAsia" w:eastAsiaTheme="minorEastAsia"/>
              </w:rPr>
              <w:t xml:space="preserve">  </w:t>
            </w:r>
            <w:r>
              <w:rPr>
                <w:rFonts w:ascii="Segoe UI Symbol" w:hAnsi="Segoe UI Symbol" w:cs="Segoe UI Symbol" w:eastAsiaTheme="minorEastAsia"/>
              </w:rPr>
              <w:t>☑</w:t>
            </w:r>
            <w:r>
              <w:rPr>
                <w:rFonts w:hint="eastAsia" w:ascii="宋体" w:hAnsi="宋体" w:cs="宋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17</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中标通知书</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 xml:space="preserve">中标供应商可登录【全国公共资源交易平台（陕西省•西安市）】网站〖首页〉电子交易平台〉企业端〗后，在〖我的项目/项目流程〗模块中点击下载“中标（成交）通知书”。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西安市公共资源交易中心电子化政府采购系统技术支持（软件开发商）</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国泰新点软件股份有限公司</w:t>
            </w:r>
          </w:p>
          <w:p>
            <w:pPr>
              <w:rPr>
                <w:rFonts w:cs="宋体" w:asciiTheme="minorEastAsia" w:hAnsiTheme="minorEastAsia" w:eastAsiaTheme="minorEastAsia"/>
              </w:rPr>
            </w:pPr>
            <w:r>
              <w:rPr>
                <w:rFonts w:hint="eastAsia" w:cs="宋体" w:asciiTheme="minorEastAsia" w:hAnsiTheme="minorEastAsia" w:eastAsiaTheme="minorEastAsia"/>
              </w:rPr>
              <w:t>1．技术支持热线：400-998-0000/400-928-0095</w:t>
            </w:r>
          </w:p>
          <w:p>
            <w:pPr>
              <w:rPr>
                <w:rFonts w:cs="宋体" w:asciiTheme="minorEastAsia" w:hAnsiTheme="minorEastAsia" w:eastAsiaTheme="minorEastAsia"/>
              </w:rPr>
            </w:pPr>
            <w:r>
              <w:rPr>
                <w:rFonts w:hint="eastAsia" w:cs="宋体" w:asciiTheme="minorEastAsia" w:hAnsiTheme="minorEastAsia" w:eastAsiaTheme="minorEastAsia"/>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CA业务网点</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陕西省数字证书认证中心股份有限公司</w:t>
            </w:r>
          </w:p>
          <w:p>
            <w:pPr>
              <w:jc w:val="both"/>
              <w:rPr>
                <w:rFonts w:cs="宋体" w:asciiTheme="minorEastAsia" w:hAnsiTheme="minorEastAsia" w:eastAsiaTheme="minorEastAsia"/>
              </w:rPr>
            </w:pPr>
            <w:r>
              <w:rPr>
                <w:rFonts w:hint="eastAsia" w:cs="宋体" w:asciiTheme="minorEastAsia" w:hAnsiTheme="minorEastAsia" w:eastAsiaTheme="minorEastAsia"/>
              </w:rPr>
              <w:t>网点1：西安市高新三路信息港大厦1楼客服中心</w:t>
            </w:r>
          </w:p>
          <w:p>
            <w:pPr>
              <w:jc w:val="both"/>
              <w:rPr>
                <w:rFonts w:cs="宋体" w:asciiTheme="minorEastAsia" w:hAnsiTheme="minorEastAsia" w:eastAsiaTheme="minorEastAsia"/>
              </w:rPr>
            </w:pPr>
            <w:r>
              <w:rPr>
                <w:rFonts w:hint="eastAsia" w:cs="宋体" w:asciiTheme="minorEastAsia" w:hAnsiTheme="minorEastAsia" w:eastAsiaTheme="minorEastAsia"/>
              </w:rPr>
              <w:t>客服电话：4006-369-888</w:t>
            </w:r>
          </w:p>
          <w:p>
            <w:pPr>
              <w:jc w:val="both"/>
              <w:rPr>
                <w:rFonts w:cs="宋体" w:asciiTheme="minorEastAsia" w:hAnsiTheme="minorEastAsia" w:eastAsiaTheme="minorEastAsia"/>
              </w:rPr>
            </w:pPr>
            <w:r>
              <w:rPr>
                <w:rFonts w:hint="eastAsia" w:cs="宋体" w:asciiTheme="minorEastAsia" w:hAnsiTheme="minorEastAsia" w:eastAsiaTheme="minorEastAsia"/>
              </w:rPr>
              <w:t>网点2：西安市长安北路14号省体育公寓B座一楼</w:t>
            </w:r>
          </w:p>
          <w:p>
            <w:pPr>
              <w:jc w:val="both"/>
              <w:rPr>
                <w:rFonts w:cs="宋体" w:asciiTheme="minorEastAsia" w:hAnsiTheme="minorEastAsia" w:eastAsiaTheme="minorEastAsia"/>
              </w:rPr>
            </w:pPr>
            <w:r>
              <w:rPr>
                <w:rFonts w:hint="eastAsia" w:cs="宋体" w:asciiTheme="minorEastAsia" w:hAnsiTheme="minorEastAsia" w:eastAsiaTheme="minorEastAsia"/>
              </w:rPr>
              <w:t>咨询电话：029-88661241</w:t>
            </w:r>
          </w:p>
          <w:p>
            <w:pPr>
              <w:jc w:val="both"/>
              <w:rPr>
                <w:rFonts w:cs="宋体" w:asciiTheme="minorEastAsia" w:hAnsiTheme="minorEastAsia" w:eastAsiaTheme="minorEastAsia"/>
              </w:rPr>
            </w:pPr>
            <w:r>
              <w:rPr>
                <w:rFonts w:hint="eastAsia" w:cs="宋体" w:asciiTheme="minorEastAsia" w:hAnsiTheme="minorEastAsia" w:eastAsiaTheme="minorEastAsia"/>
              </w:rPr>
              <w:t>网点3：西安市文景北路16号白桦林国际B座2楼11#窗口</w:t>
            </w:r>
          </w:p>
          <w:p>
            <w:pPr>
              <w:jc w:val="both"/>
              <w:rPr>
                <w:rFonts w:cs="宋体" w:asciiTheme="minorEastAsia" w:hAnsiTheme="minorEastAsia" w:eastAsiaTheme="minorEastAsia"/>
              </w:rPr>
            </w:pPr>
            <w:r>
              <w:rPr>
                <w:rFonts w:hint="eastAsia" w:cs="宋体" w:asciiTheme="minorEastAsia" w:hAnsiTheme="minorEastAsia" w:eastAsiaTheme="minorEastAsia"/>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代理服务费</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参照国家计委颁布的《招标代理服务收费管理暂行办法》（计价格[2002]1980号）和发改办价格[2003]857号文件等法律法规规定的计价标准的80%收取（含税），按照中标金额差额定率累进法计算，由中标/成交单位一次性支付。</w:t>
            </w:r>
          </w:p>
          <w:p>
            <w:pPr>
              <w:jc w:val="both"/>
              <w:rPr>
                <w:rFonts w:cs="宋体" w:asciiTheme="minorEastAsia" w:hAnsiTheme="minorEastAsia" w:eastAsiaTheme="minorEastAsia"/>
              </w:rPr>
            </w:pPr>
            <w:r>
              <w:rPr>
                <w:rFonts w:hint="eastAsia" w:cs="宋体" w:asciiTheme="minorEastAsia" w:hAnsiTheme="minorEastAsia" w:eastAsiaTheme="minorEastAsia"/>
              </w:rPr>
              <w:t>供应商将招标代理服务费计入投标报价但不单独列明，中标单位在领取中标通知书前，须向采购代理机构一次性支付招标代理服务费；代理服务费以转账、电汇或现金等形式交纳。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所属行业</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硬件部分所属行业为工业</w:t>
            </w:r>
          </w:p>
          <w:p>
            <w:pPr>
              <w:jc w:val="both"/>
              <w:rPr>
                <w:rFonts w:cs="宋体" w:asciiTheme="minorEastAsia" w:hAnsiTheme="minorEastAsia" w:eastAsiaTheme="minorEastAsia"/>
              </w:rPr>
            </w:pPr>
            <w:r>
              <w:rPr>
                <w:rFonts w:hint="eastAsia" w:cs="宋体" w:asciiTheme="minorEastAsia" w:hAnsiTheme="minorEastAsia" w:eastAsiaTheme="minorEastAsia"/>
              </w:rPr>
              <w:t>软件部分所属行业为</w:t>
            </w:r>
            <w:r>
              <w:rPr>
                <w:rFonts w:hint="eastAsia" w:ascii="宋体" w:hAnsi="宋体" w:cs="宋体"/>
                <w:color w:val="000000"/>
                <w:shd w:val="clear" w:color="auto" w:fill="FFFFFF"/>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核心产品</w:t>
            </w:r>
          </w:p>
        </w:tc>
        <w:tc>
          <w:tcPr>
            <w:tcW w:w="4490" w:type="dxa"/>
            <w:shd w:val="clear" w:color="auto" w:fill="auto"/>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数字化手术控制系统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23</w:t>
            </w:r>
          </w:p>
        </w:tc>
        <w:tc>
          <w:tcPr>
            <w:tcW w:w="3402"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项目属性</w:t>
            </w:r>
          </w:p>
        </w:tc>
        <w:tc>
          <w:tcPr>
            <w:tcW w:w="4490" w:type="dxa"/>
            <w:shd w:val="clear" w:color="auto" w:fill="auto"/>
            <w:vAlign w:val="center"/>
          </w:tcPr>
          <w:p>
            <w:pPr>
              <w:jc w:val="both"/>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服务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12" w:hRule="atLeast"/>
          <w:jc w:val="center"/>
        </w:trPr>
        <w:tc>
          <w:tcPr>
            <w:tcW w:w="97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3402" w:type="dxa"/>
            <w:shd w:val="clear" w:color="auto" w:fill="auto"/>
            <w:vAlign w:val="center"/>
          </w:tcPr>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商务条款</w:t>
            </w:r>
          </w:p>
        </w:tc>
        <w:tc>
          <w:tcPr>
            <w:tcW w:w="4490" w:type="dxa"/>
            <w:shd w:val="clear" w:color="auto" w:fill="auto"/>
            <w:vAlign w:val="center"/>
          </w:tcPr>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1.交付期：180日历日。</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2.质保期：贰年。</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2.1交付完毕通过验收投入使用之日起贰年。</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2.2质保免费维护期满后为有偿维护，每年维护费用维护期限双方协商确定，质保期满后投标人对采购人提供终身技术咨询服务。</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3.交货地点：采购人指定地点。</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4.付款方式：</w:t>
            </w:r>
          </w:p>
          <w:p>
            <w:pPr>
              <w:rPr>
                <w:rFonts w:asciiTheme="minorEastAsia" w:hAnsiTheme="minorEastAsia" w:eastAsiaTheme="minorEastAsia"/>
              </w:rPr>
            </w:pPr>
            <w:r>
              <w:rPr>
                <w:rFonts w:hint="eastAsia" w:cs="宋体" w:asciiTheme="minorEastAsia" w:hAnsiTheme="minorEastAsia" w:eastAsiaTheme="minorEastAsia"/>
              </w:rPr>
              <w:t>根据入场实施方案进行确定实施阶段目标：</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4.1、第一阶段付款：递交详细实施方案与阶段性验收目标并签订合同，支付合同总价30%作为预付款；</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4.2、第二阶段付款：设备到货并完成所有开发软件原型书面确认后，支付合同总价的30%；</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4.3、第三阶段付款：项目实施完成并调试上线运行及验收完成，支付合同总价的37%；</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4.4、第四阶段付款：本项目整体验收合格后，支付合同总价的3%。</w:t>
            </w:r>
          </w:p>
          <w:p>
            <w:pPr>
              <w:pStyle w:val="19"/>
              <w:rPr>
                <w:rFonts w:cs="宋体" w:asciiTheme="minorEastAsia" w:hAnsiTheme="minorEastAsia" w:eastAsiaTheme="minorEastAsia"/>
                <w:sz w:val="24"/>
              </w:rPr>
            </w:pPr>
            <w:r>
              <w:rPr>
                <w:rFonts w:hint="eastAsia" w:cs="宋体" w:asciiTheme="minorEastAsia" w:hAnsiTheme="minorEastAsia" w:eastAsiaTheme="minorEastAsia"/>
                <w:b/>
                <w:bCs/>
                <w:sz w:val="24"/>
              </w:rPr>
              <w:t>注：商务条款为实质性条款，不允许负偏离</w:t>
            </w:r>
          </w:p>
        </w:tc>
      </w:tr>
    </w:tbl>
    <w:p>
      <w:pPr>
        <w:pStyle w:val="8"/>
        <w:rPr>
          <w:rFonts w:cs="宋体" w:asciiTheme="minorEastAsia" w:hAnsiTheme="minorEastAsia" w:eastAsiaTheme="minorEastAsia"/>
          <w:b/>
          <w:bCs/>
          <w:sz w:val="24"/>
          <w:szCs w:val="24"/>
        </w:rPr>
      </w:pPr>
      <w:bookmarkStart w:id="12" w:name="_Toc135129523"/>
      <w:r>
        <w:rPr>
          <w:rFonts w:hint="eastAsia" w:cs="宋体" w:asciiTheme="minorEastAsia" w:hAnsiTheme="minorEastAsia" w:eastAsiaTheme="minorEastAsia"/>
          <w:b/>
          <w:bCs/>
          <w:sz w:val="24"/>
          <w:szCs w:val="24"/>
        </w:rPr>
        <w:t>一、有关定义</w:t>
      </w:r>
      <w:bookmarkEnd w:id="12"/>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1．采购人：依法进行政府采购的西安市市级机关、事业单位或团体组织。</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2．供应商：指向采购人提供货物、工程或者服务的法人、其他组织或者自然人。</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3．同级政府采购监管部门：西安市财政局政府采购管理处。</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47"/>
          <w:rFonts w:hint="eastAsia" w:cs="宋体" w:asciiTheme="minorEastAsia" w:hAnsiTheme="minorEastAsia" w:eastAsiaTheme="minorEastAsia"/>
          <w:color w:val="auto"/>
          <w:u w:val="none"/>
        </w:rPr>
        <w:t>http://sxggzyjy.xa.gov.cn/</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7"/>
          <w:rFonts w:hint="eastAsia" w:cs="宋体" w:asciiTheme="minorEastAsia" w:hAnsiTheme="minorEastAsia" w:eastAsiaTheme="minorEastAsia"/>
          <w:color w:val="auto"/>
          <w:u w:val="none"/>
        </w:rPr>
        <w:t>http://www.sxggzyjy.cn:9002/TPBidder/memberLogin</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w:t>
      </w:r>
    </w:p>
    <w:p>
      <w:pPr>
        <w:pStyle w:val="8"/>
        <w:rPr>
          <w:rFonts w:cs="宋体" w:asciiTheme="minorEastAsia" w:hAnsiTheme="minorEastAsia" w:eastAsiaTheme="minorEastAsia"/>
          <w:b/>
          <w:bCs/>
          <w:sz w:val="24"/>
          <w:szCs w:val="24"/>
        </w:rPr>
      </w:pPr>
      <w:bookmarkStart w:id="13" w:name="_Toc135129524"/>
      <w:r>
        <w:rPr>
          <w:rFonts w:hint="eastAsia" w:cs="宋体" w:asciiTheme="minorEastAsia" w:hAnsiTheme="minorEastAsia" w:eastAsiaTheme="minorEastAsia"/>
          <w:b/>
          <w:bCs/>
          <w:sz w:val="24"/>
          <w:szCs w:val="24"/>
        </w:rPr>
        <w:t>二、供应商注意事项</w:t>
      </w:r>
      <w:bookmarkEnd w:id="13"/>
    </w:p>
    <w:p>
      <w:pPr>
        <w:pStyle w:val="103"/>
        <w:ind w:firstLine="499"/>
        <w:rPr>
          <w:rFonts w:asciiTheme="minorEastAsia" w:hAnsiTheme="minorEastAsia" w:eastAsiaTheme="minorEastAsia"/>
          <w:b/>
          <w:bCs/>
        </w:rPr>
      </w:pPr>
      <w:bookmarkStart w:id="14" w:name="_Toc21146"/>
      <w:r>
        <w:rPr>
          <w:rFonts w:hint="eastAsia" w:asciiTheme="minorEastAsia" w:hAnsiTheme="minorEastAsia" w:eastAsiaTheme="minorEastAsia"/>
          <w:b/>
          <w:bCs/>
        </w:rPr>
        <w:t>（一）供应商投标流程</w:t>
      </w:r>
      <w:bookmarkEnd w:id="14"/>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使用电子交易系统的采购项目（即线上项目），将同时提供WORD\PDF格式（仅用于预览）和SXSZF格式（用于制作电子投标文件）两个版本，文件内容一致。</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1．预览采购文件：打开西安市公共资源交易平台〖首页·〉交易大厅·〉政府采购〗栏目，下载和阅读本项目采购文件的预览版本（WORD\PDF格式）；</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2．办理注册登记（针对初次使用电子交易系统的用户）：</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（1）办理诚信入库注册：在决定参加本项目采购活动后，供应商应先在西安市公共资源交易平台上完成“诚信入库登记”；</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办理数字认证（CA锁）：一般分为法人锁（必选）、企业锁主锁（必选）及副锁（可选）。CA锁将用于对电子投标文件进行签章、加密、递交及开标时解密等相关操作。CA办理及售后服务统一由第三方机构（陕西CA、深圳CA、西部CA、北京CA四家数字证书公司）负责。</w:t>
      </w:r>
    </w:p>
    <w:p>
      <w:pPr>
        <w:widowControl w:val="0"/>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办理须知：</w:t>
      </w:r>
    </w:p>
    <w:p>
      <w:pPr>
        <w:widowControl w:val="0"/>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http://</w:t>
      </w:r>
      <w:r>
        <w:fldChar w:fldCharType="begin"/>
      </w:r>
      <w:r>
        <w:instrText xml:space="preserve"> HYPERLINK "http://www.snca.com.cn/channel/show/27.html" </w:instrText>
      </w:r>
      <w:r>
        <w:fldChar w:fldCharType="separate"/>
      </w:r>
      <w:r>
        <w:rPr>
          <w:rStyle w:val="47"/>
          <w:rFonts w:hint="eastAsia" w:cs="宋体" w:asciiTheme="minorEastAsia" w:hAnsiTheme="minorEastAsia" w:eastAsiaTheme="minorEastAsia"/>
          <w:color w:val="auto"/>
          <w:u w:val="none"/>
        </w:rPr>
        <w:t>www.snca.com.cn/channel/show/27.html</w:t>
      </w:r>
      <w:r>
        <w:rPr>
          <w:rStyle w:val="47"/>
          <w:rFonts w:hint="eastAsia" w:cs="宋体" w:asciiTheme="minorEastAsia" w:hAnsiTheme="minorEastAsia" w:eastAsiaTheme="minorEastAsia"/>
          <w:color w:val="auto"/>
          <w:u w:val="none"/>
        </w:rPr>
        <w:fldChar w:fldCharType="end"/>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（3）绑定和激活CA：将数字证书与诚信库中的供应商账户进行绑定。</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5．提交电子投标文件：在提交投标文件截止时间前及时提交加密后电子投标文件，逾期提交的，系统将会拒收；</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7．等待专家评审：评审期间，可能需要对评审专家提出的问题进行澄清或答复。在主持人宣布评审结束前，供应商请勿擅自离席，否则由此造成的不利后果，由供应商自行承担。</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8．中标供应商注册：按照陕西省政府采购监管部门的要求，采购代理机构在发布中标公告前，应由中标供应商在陕西省政府采购网上完成注册。</w:t>
      </w:r>
    </w:p>
    <w:p>
      <w:pPr>
        <w:pStyle w:val="103"/>
        <w:ind w:firstLine="499"/>
        <w:rPr>
          <w:rFonts w:asciiTheme="minorEastAsia" w:hAnsiTheme="minorEastAsia" w:eastAsiaTheme="minorEastAsia"/>
          <w:b/>
          <w:bCs/>
        </w:rPr>
      </w:pPr>
      <w:bookmarkStart w:id="15" w:name="_Toc18855"/>
      <w:r>
        <w:rPr>
          <w:rFonts w:hint="eastAsia" w:asciiTheme="minorEastAsia" w:hAnsiTheme="minorEastAsia" w:eastAsiaTheme="minorEastAsia"/>
          <w:b/>
          <w:bCs/>
        </w:rPr>
        <w:t>（二）关于询问、质疑和投诉</w:t>
      </w:r>
      <w:bookmarkEnd w:id="15"/>
    </w:p>
    <w:p>
      <w:pPr>
        <w:pStyle w:val="103"/>
        <w:ind w:firstLine="497"/>
        <w:rPr>
          <w:rFonts w:cs="宋体" w:asciiTheme="minorEastAsia" w:hAnsiTheme="minorEastAsia" w:eastAsiaTheme="minorEastAsia"/>
        </w:rPr>
      </w:pPr>
      <w:bookmarkStart w:id="16" w:name="_Toc25855"/>
      <w:r>
        <w:rPr>
          <w:rFonts w:hint="eastAsia" w:cs="宋体" w:asciiTheme="minorEastAsia" w:hAnsiTheme="minorEastAsia" w:eastAsiaTheme="minorEastAsia"/>
        </w:rPr>
        <w:t>1．询问</w:t>
      </w:r>
      <w:bookmarkEnd w:id="16"/>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供应商对政府采购活动事项有疑问的，可以向采购人或采购代理机构提出询问。采购人或采购代理机构将在3个工作日内对供应商依法提出的询问作出答复。</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根据采购人和采购代理机构签订的《政府采购委托代理协议》，针对采购需求（包括采购内容、技术或服务要求、商务要求、合同条款、供应商资格条件、评审要素及分值一览表）的询问请向采购人提出。</w:t>
      </w:r>
    </w:p>
    <w:p>
      <w:pPr>
        <w:pStyle w:val="103"/>
        <w:ind w:firstLine="497"/>
        <w:rPr>
          <w:rFonts w:asciiTheme="minorEastAsia" w:hAnsiTheme="minorEastAsia" w:eastAsiaTheme="minorEastAsia"/>
        </w:rPr>
      </w:pPr>
      <w:bookmarkStart w:id="17" w:name="_Toc7787"/>
      <w:r>
        <w:rPr>
          <w:rFonts w:hint="eastAsia" w:asciiTheme="minorEastAsia" w:hAnsiTheme="minorEastAsia" w:eastAsiaTheme="minorEastAsia"/>
        </w:rPr>
        <w:t>2．质疑</w:t>
      </w:r>
      <w:bookmarkEnd w:id="17"/>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（1）供应商认为采购文件、采购过程、成交结果使自己的权益受到损害的，可以在知道或应知其权益受到损害之日起7个工作日内以书面形式向采购人、采购代理机构提出。</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（2）质疑方式：</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① 在线质疑：</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登录西安市公共资源交易平台〖首页·〉电子交易平台·〉企业端〗，在〖我的项目〗中点击“项目流程·〉提出质疑”，填写表单并提交质疑。</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② 书面质疑：</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书面质疑函应按照财政部国库司制定的《政府采购供应商质疑函范本》（见下方链接）进行填写，签字、盖章后提交至采购人、采购代理机构。</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质疑函范本地址：</w:t>
      </w:r>
      <w:r>
        <w:fldChar w:fldCharType="begin"/>
      </w:r>
      <w:r>
        <w:instrText xml:space="preserve"> HYPERLINK "http://download.ccgp.gov.cn/2018/zhiyihanfanben.zip" </w:instrText>
      </w:r>
      <w:r>
        <w:fldChar w:fldCharType="separate"/>
      </w:r>
      <w:r>
        <w:rPr>
          <w:rStyle w:val="47"/>
          <w:rFonts w:hint="eastAsia" w:cs="宋体" w:asciiTheme="minorEastAsia" w:hAnsiTheme="minorEastAsia" w:eastAsiaTheme="minorEastAsia"/>
          <w:color w:val="auto"/>
          <w:u w:val="none"/>
        </w:rPr>
        <w:t>http://download.ccgp.gov.cn/2018/zhiyihanfanben.zip</w:t>
      </w:r>
      <w:r>
        <w:rPr>
          <w:rStyle w:val="47"/>
          <w:rFonts w:hint="eastAsia" w:cs="宋体" w:asciiTheme="minorEastAsia" w:hAnsiTheme="minorEastAsia" w:eastAsiaTheme="minorEastAsia"/>
          <w:color w:val="auto"/>
          <w:u w:val="none"/>
        </w:rPr>
        <w:fldChar w:fldCharType="end"/>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（4）在法定质疑期内，针对同一采购程序环节的质疑应当一次性提出。采购人、采购代理机构将在收到书面质疑后7个工作日内做出答复，并以书面形式通知质疑人和其他有关供应商。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（5）有下列情形之一的，属于无效质疑：</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① 对采购文件提出质疑的质疑人不是依法获取采购文件的潜在供应商；对采购过程、中标结果提出质疑的质疑人不是参与本次政府采购项目的供应商；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② 超过法定期限或未以书面形式提出的；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③ 缺乏必要的证明材料，或捏造事实、提供虚假材料，或以非法手段取得证明材料的；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④ 质疑函没有合法有效的签字、盖章或委托授权书的（代理人提出质疑和投诉，应当提交供应商签署的授权委托书）；</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⑤ 针对同一采购程序环节又提出其他质疑事项的，或质疑答复后就同一事项再次提出质疑的；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⑥ 不符合法律、法规、规章和政府采购监管机构规定的其他条件的。</w:t>
      </w:r>
    </w:p>
    <w:p>
      <w:pPr>
        <w:pStyle w:val="103"/>
        <w:ind w:firstLine="497"/>
        <w:rPr>
          <w:rFonts w:cs="宋体" w:asciiTheme="minorEastAsia" w:hAnsiTheme="minorEastAsia" w:eastAsiaTheme="minorEastAsia"/>
        </w:rPr>
      </w:pPr>
      <w:bookmarkStart w:id="18" w:name="_Toc26875"/>
      <w:r>
        <w:rPr>
          <w:rFonts w:hint="eastAsia" w:cs="宋体" w:asciiTheme="minorEastAsia" w:hAnsiTheme="minorEastAsia" w:eastAsiaTheme="minorEastAsia"/>
        </w:rPr>
        <w:t>3．投诉</w:t>
      </w:r>
      <w:bookmarkEnd w:id="18"/>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（2）供应商投诉的事项不得超出已质疑事项的范围。供应商提出投诉时，应当提交投诉书和必要的证明材料，并按财政部《投诉书范本》给定的格式进行填写。</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投诉书范本地址：</w:t>
      </w:r>
    </w:p>
    <w:p>
      <w:pPr>
        <w:spacing w:line="560" w:lineRule="exact"/>
        <w:ind w:firstLine="496" w:firstLineChars="200"/>
        <w:jc w:val="both"/>
        <w:rPr>
          <w:rFonts w:cs="宋体" w:asciiTheme="minorEastAsia" w:hAnsiTheme="minorEastAsia" w:eastAsiaTheme="minorEastAsia"/>
        </w:rPr>
      </w:pPr>
      <w:r>
        <w:fldChar w:fldCharType="begin"/>
      </w:r>
      <w:r>
        <w:instrText xml:space="preserve"> HYPERLINK "http://download.ccgp.gov.cn/2018/tousushufanben.zip" </w:instrText>
      </w:r>
      <w:r>
        <w:fldChar w:fldCharType="separate"/>
      </w:r>
      <w:r>
        <w:rPr>
          <w:rStyle w:val="47"/>
          <w:rFonts w:hint="eastAsia" w:cs="宋体" w:asciiTheme="minorEastAsia" w:hAnsiTheme="minorEastAsia" w:eastAsiaTheme="minorEastAsia"/>
        </w:rPr>
        <w:t>http://download.ccgp.gov.cn/2018/tousushufanben.zip</w:t>
      </w:r>
      <w:r>
        <w:rPr>
          <w:rStyle w:val="47"/>
          <w:rFonts w:hint="eastAsia" w:cs="宋体" w:asciiTheme="minorEastAsia" w:hAnsiTheme="minorEastAsia" w:eastAsiaTheme="minorEastAsia"/>
        </w:rPr>
        <w:fldChar w:fldCharType="end"/>
      </w:r>
    </w:p>
    <w:p>
      <w:pPr>
        <w:pStyle w:val="103"/>
        <w:ind w:firstLine="497"/>
        <w:rPr>
          <w:rFonts w:cs="宋体" w:asciiTheme="minorEastAsia" w:hAnsiTheme="minorEastAsia" w:eastAsiaTheme="minorEastAsia"/>
        </w:rPr>
      </w:pPr>
      <w:bookmarkStart w:id="19" w:name="_Toc6468"/>
      <w:r>
        <w:rPr>
          <w:rFonts w:hint="eastAsia" w:cs="宋体" w:asciiTheme="minorEastAsia" w:hAnsiTheme="minorEastAsia" w:eastAsiaTheme="minorEastAsia"/>
        </w:rPr>
        <w:t>4．恶意质疑、投诉的法律后果</w:t>
      </w:r>
      <w:bookmarkEnd w:id="19"/>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（1）对捏造事实、提供虚假材料进行质疑、投诉的行为予以严肃处理：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（2）对捏造事实诬告陷害他人、诽谤他人的法律适用：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《中华人民共和国刑法》第246条【侮辱罪、诽谤罪】以暴力或者其他方法公然侮辱他人或者捏造事实诽谤他人，情节严重的，处三年以下有期徒刑、拘役、管制或者剥夺政治权利。</w:t>
      </w:r>
    </w:p>
    <w:p>
      <w:pPr>
        <w:pStyle w:val="103"/>
        <w:ind w:firstLine="499"/>
        <w:rPr>
          <w:rFonts w:asciiTheme="minorEastAsia" w:hAnsiTheme="minorEastAsia" w:eastAsiaTheme="minorEastAsia"/>
          <w:b/>
          <w:bCs/>
        </w:rPr>
      </w:pPr>
      <w:bookmarkStart w:id="20" w:name="_Toc15150"/>
      <w:r>
        <w:rPr>
          <w:rFonts w:hint="eastAsia" w:asciiTheme="minorEastAsia" w:hAnsiTheme="minorEastAsia" w:eastAsiaTheme="minorEastAsia"/>
          <w:b/>
          <w:bCs/>
        </w:rPr>
        <w:t>（三）关于保证金</w:t>
      </w:r>
      <w:bookmarkEnd w:id="20"/>
    </w:p>
    <w:p>
      <w:pPr>
        <w:pStyle w:val="103"/>
        <w:ind w:firstLine="497"/>
        <w:rPr>
          <w:rFonts w:asciiTheme="minorEastAsia" w:hAnsiTheme="minorEastAsia" w:eastAsiaTheme="minorEastAsia"/>
        </w:rPr>
      </w:pPr>
      <w:bookmarkStart w:id="21" w:name="_Toc21776"/>
      <w:r>
        <w:rPr>
          <w:rFonts w:hint="eastAsia" w:asciiTheme="minorEastAsia" w:hAnsiTheme="minorEastAsia" w:eastAsiaTheme="minorEastAsia"/>
        </w:rPr>
        <w:t>1．西安市政府采购信用担保及信用融资政策</w:t>
      </w:r>
      <w:bookmarkEnd w:id="21"/>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《实施方案》链接地址：</w:t>
      </w:r>
    </w:p>
    <w:p>
      <w:pPr>
        <w:spacing w:line="560" w:lineRule="exact"/>
        <w:ind w:firstLine="496" w:firstLineChars="200"/>
        <w:jc w:val="both"/>
        <w:rPr>
          <w:rFonts w:cs="宋体" w:asciiTheme="minorEastAsia" w:hAnsiTheme="minorEastAsia" w:eastAsiaTheme="minorEastAsia"/>
        </w:rPr>
      </w:pPr>
      <w:r>
        <w:fldChar w:fldCharType="begin"/>
      </w:r>
      <w:r>
        <w:instrText xml:space="preserve"> HYPERLINK "http://xaczj.xa.gov.cn/zfcg/cgfg/5db90552fd850863a9e4594d.html" </w:instrText>
      </w:r>
      <w:r>
        <w:fldChar w:fldCharType="separate"/>
      </w:r>
      <w:r>
        <w:rPr>
          <w:rStyle w:val="47"/>
          <w:rFonts w:hint="eastAsia" w:cs="宋体" w:asciiTheme="minorEastAsia" w:hAnsiTheme="minorEastAsia" w:eastAsiaTheme="minorEastAsia"/>
          <w:color w:val="auto"/>
          <w:u w:val="none"/>
        </w:rPr>
        <w:t>http://xaczj.xa.gov.cn/zfcg/cgfg/5db90552fd850863a9e4594d.html</w:t>
      </w:r>
      <w:r>
        <w:rPr>
          <w:rStyle w:val="47"/>
          <w:rFonts w:hint="eastAsia" w:cs="宋体" w:asciiTheme="minorEastAsia" w:hAnsiTheme="minorEastAsia" w:eastAsiaTheme="minorEastAsia"/>
          <w:color w:val="auto"/>
          <w:u w:val="none"/>
        </w:rPr>
        <w:fldChar w:fldCharType="end"/>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《合作机构名单》链接地址：</w:t>
      </w:r>
    </w:p>
    <w:p>
      <w:pPr>
        <w:spacing w:line="560" w:lineRule="exact"/>
        <w:ind w:firstLine="496" w:firstLineChars="200"/>
        <w:jc w:val="both"/>
        <w:rPr>
          <w:rFonts w:cs="宋体" w:asciiTheme="minorEastAsia" w:hAnsiTheme="minorEastAsia" w:eastAsiaTheme="minorEastAsia"/>
        </w:rPr>
      </w:pPr>
      <w:r>
        <w:fldChar w:fldCharType="begin"/>
      </w:r>
      <w:r>
        <w:instrText xml:space="preserve"> HYPERLINK "http://xaczj.xa.gov.cn/zfcg/cgfg/5db9054565cbd804f69e97e0.html" </w:instrText>
      </w:r>
      <w:r>
        <w:fldChar w:fldCharType="separate"/>
      </w:r>
      <w:r>
        <w:rPr>
          <w:rStyle w:val="47"/>
          <w:rFonts w:hint="eastAsia" w:cs="宋体" w:asciiTheme="minorEastAsia" w:hAnsiTheme="minorEastAsia" w:eastAsiaTheme="minorEastAsia"/>
          <w:color w:val="auto"/>
          <w:u w:val="none"/>
        </w:rPr>
        <w:t>http://xaczj.xa.gov.cn/zfcg/cgfg/5db9054565cbd804f69e97e0.html</w:t>
      </w:r>
      <w:r>
        <w:rPr>
          <w:rStyle w:val="47"/>
          <w:rFonts w:hint="eastAsia" w:cs="宋体" w:asciiTheme="minorEastAsia" w:hAnsiTheme="minorEastAsia" w:eastAsiaTheme="minorEastAsia"/>
          <w:color w:val="auto"/>
          <w:u w:val="none"/>
        </w:rPr>
        <w:fldChar w:fldCharType="end"/>
      </w:r>
    </w:p>
    <w:p>
      <w:pPr>
        <w:pStyle w:val="103"/>
        <w:ind w:firstLine="497"/>
        <w:rPr>
          <w:rFonts w:asciiTheme="minorEastAsia" w:hAnsiTheme="minorEastAsia" w:eastAsiaTheme="minorEastAsia"/>
        </w:rPr>
      </w:pPr>
      <w:bookmarkStart w:id="22" w:name="_Toc184"/>
      <w:r>
        <w:rPr>
          <w:rFonts w:hint="eastAsia" w:asciiTheme="minorEastAsia" w:hAnsiTheme="minorEastAsia" w:eastAsiaTheme="minorEastAsia"/>
        </w:rPr>
        <w:t>2．投标保证金</w:t>
      </w:r>
      <w:bookmarkEnd w:id="22"/>
    </w:p>
    <w:p>
      <w:pPr>
        <w:spacing w:line="560" w:lineRule="exact"/>
        <w:ind w:firstLine="496" w:firstLineChars="200"/>
        <w:jc w:val="both"/>
        <w:rPr>
          <w:rFonts w:asciiTheme="minorEastAsia" w:hAnsiTheme="minorEastAsia" w:eastAsiaTheme="minorEastAsia"/>
        </w:rPr>
      </w:pPr>
      <w:r>
        <w:rPr>
          <w:rFonts w:hint="eastAsia" w:cs="宋体" w:asciiTheme="minorEastAsia" w:hAnsiTheme="minorEastAsia" w:eastAsiaTheme="minorEastAsia"/>
        </w:rPr>
        <w:t>按照西安市财政局《关于促进政府采购公平竞争优化营商环境的通知》第三条规定，供应商参与西安市政府采购活动时，免交投标保证金。</w:t>
      </w:r>
    </w:p>
    <w:p>
      <w:pPr>
        <w:pStyle w:val="103"/>
        <w:ind w:firstLine="499"/>
        <w:rPr>
          <w:rFonts w:asciiTheme="minorEastAsia" w:hAnsiTheme="minorEastAsia" w:eastAsiaTheme="minorEastAsia"/>
          <w:b/>
          <w:bCs/>
        </w:rPr>
      </w:pPr>
      <w:bookmarkStart w:id="23" w:name="_Toc9929"/>
      <w:r>
        <w:rPr>
          <w:rFonts w:hint="eastAsia" w:asciiTheme="minorEastAsia" w:hAnsiTheme="minorEastAsia" w:eastAsiaTheme="minorEastAsia"/>
          <w:b/>
          <w:bCs/>
        </w:rPr>
        <w:t>（四）关于联合体</w:t>
      </w:r>
      <w:bookmarkEnd w:id="23"/>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4．供应商以联合体形式参加政府采购活动时，遵循以下规则：</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③ 采用资格前审的项目，联合体应当在提交资格前审申请文件前组成。资格前审后联合体不得增减、更换成员。</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④ 资格审查阶段，采购人将对所有联合体成员进行信用记录查询，联合体成员存在不良信用记录的，视同联合体存在不良信用记录。</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⑤ 招标文件要求供应商交纳保证金的，可以由联合体中的一方或者多方共同交纳保证金，其交纳的保证金对联合体各方均具有约束力。</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⑥ 招标文件要求供应商提供履约人员和设备情况的，联合体各方均应提供，以说明其作为独立供应商所具有的能有效执行合同的能力和资源。</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⑦ 招标文件要求供应商提供同类或类似项目业绩的，联合体各方符合招标文件要求的同类或类似业绩可以累计，但联合体一方或多方共同参与的同一业绩不重复计算。</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⑨ 对采购项目提出投诉时，应当由组成联合体的所有供应商共同提出。</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（5）联合体投标无效，本项目不接受联合体投标</w:t>
      </w:r>
    </w:p>
    <w:p>
      <w:pPr>
        <w:pStyle w:val="103"/>
        <w:ind w:firstLine="499"/>
        <w:rPr>
          <w:rFonts w:asciiTheme="minorEastAsia" w:hAnsiTheme="minorEastAsia" w:eastAsiaTheme="minorEastAsia"/>
          <w:b/>
          <w:bCs/>
        </w:rPr>
      </w:pPr>
      <w:bookmarkStart w:id="24" w:name="_Toc7087"/>
      <w:r>
        <w:rPr>
          <w:rFonts w:hint="eastAsia" w:asciiTheme="minorEastAsia" w:hAnsiTheme="minorEastAsia" w:eastAsiaTheme="minorEastAsia"/>
          <w:b/>
          <w:bCs/>
        </w:rPr>
        <w:t>（五）关于进口产品</w:t>
      </w:r>
      <w:bookmarkEnd w:id="24"/>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103"/>
        <w:ind w:firstLine="499"/>
        <w:rPr>
          <w:rFonts w:asciiTheme="minorEastAsia" w:hAnsiTheme="minorEastAsia" w:eastAsiaTheme="minorEastAsia"/>
          <w:b/>
          <w:bCs/>
        </w:rPr>
      </w:pPr>
      <w:bookmarkStart w:id="25" w:name="_Toc15301"/>
      <w:r>
        <w:rPr>
          <w:rFonts w:hint="eastAsia" w:asciiTheme="minorEastAsia" w:hAnsiTheme="minorEastAsia" w:eastAsiaTheme="minorEastAsia"/>
          <w:b/>
          <w:bCs/>
        </w:rPr>
        <w:t>（六）关于政府采购政策</w:t>
      </w:r>
      <w:bookmarkEnd w:id="25"/>
    </w:p>
    <w:p>
      <w:pPr>
        <w:pStyle w:val="103"/>
        <w:ind w:firstLine="0" w:firstLineChars="0"/>
        <w:rPr>
          <w:rFonts w:asciiTheme="minorEastAsia" w:hAnsiTheme="minorEastAsia" w:eastAsiaTheme="minorEastAsia"/>
        </w:rPr>
      </w:pPr>
      <w:bookmarkStart w:id="26" w:name="_Toc2460"/>
      <w:r>
        <w:rPr>
          <w:rFonts w:hint="eastAsia" w:asciiTheme="minorEastAsia" w:hAnsiTheme="minorEastAsia" w:eastAsiaTheme="minorEastAsia"/>
        </w:rPr>
        <w:t>1．对中小企业、监狱企业、残疾人福利性单位的优惠政策</w:t>
      </w:r>
      <w:bookmarkEnd w:id="26"/>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（2）根据财政部、司法部联合下发的《关于政府采购支持监狱企业发展有关问题的通知》（财库〔2014〕68号）的规定，监狱企业视同小型、微型企业。</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103"/>
        <w:ind w:firstLine="0" w:firstLineChars="0"/>
        <w:rPr>
          <w:rFonts w:asciiTheme="minorEastAsia" w:hAnsiTheme="minorEastAsia" w:eastAsiaTheme="minorEastAsia"/>
        </w:rPr>
      </w:pPr>
      <w:bookmarkStart w:id="27" w:name="_Toc22143"/>
      <w:r>
        <w:rPr>
          <w:rFonts w:hint="eastAsia" w:asciiTheme="minorEastAsia" w:hAnsiTheme="minorEastAsia" w:eastAsiaTheme="minorEastAsia"/>
        </w:rPr>
        <w:t>2．节能、环保产品采购政策</w:t>
      </w:r>
      <w:bookmarkEnd w:id="27"/>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（3）《节能产品政府采购品目清单》见财政部、发展改革委《关于印发节能产品政府采购品目清单的通知》（财库〔2019〕19号）附件。</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（4）《环境标志产品政府采购品目清单》见财政部、生态环境部《关于印发环境标志产品政府采购品目清单的通知》（财库〔2019〕18号）附件。</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（5）“国家确定的认证机构”名单见市场监管总局《关于发布参与实施政府采购节能产品、环境标志产品认证机构名录的公告》（2019年第16号）。</w:t>
      </w:r>
    </w:p>
    <w:p>
      <w:pPr>
        <w:pStyle w:val="103"/>
        <w:ind w:firstLine="497"/>
        <w:rPr>
          <w:rFonts w:asciiTheme="minorEastAsia" w:hAnsiTheme="minorEastAsia" w:eastAsiaTheme="minorEastAsia"/>
        </w:rPr>
      </w:pPr>
      <w:bookmarkStart w:id="28" w:name="_Toc19090"/>
      <w:r>
        <w:rPr>
          <w:rFonts w:hint="eastAsia" w:asciiTheme="minorEastAsia" w:hAnsiTheme="minorEastAsia" w:eastAsiaTheme="minorEastAsia"/>
        </w:rPr>
        <w:t>3．陕西省中小企业政府采购信用融资办法</w:t>
      </w:r>
      <w:bookmarkEnd w:id="28"/>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链接地址：</w:t>
      </w:r>
      <w:r>
        <w:fldChar w:fldCharType="begin"/>
      </w:r>
      <w:r>
        <w:instrText xml:space="preserve"> HYPERLINK "http://www.ccgp-shaanxi.gov.cn/zcdservice/zcd/shanxi/article/zcdt/1390497710741917696" </w:instrText>
      </w:r>
      <w:r>
        <w:fldChar w:fldCharType="separate"/>
      </w:r>
      <w:r>
        <w:rPr>
          <w:rStyle w:val="47"/>
          <w:rFonts w:hint="eastAsia" w:cs="宋体" w:asciiTheme="minorEastAsia" w:hAnsiTheme="minorEastAsia" w:eastAsiaTheme="minorEastAsia"/>
          <w:color w:val="auto"/>
          <w:u w:val="none"/>
        </w:rPr>
        <w:t>http://www.ccgp-shaanxi.gov.cn/zcdservice/zcd/shanxi/article/zcdt/1390497710741917696</w:t>
      </w:r>
      <w:r>
        <w:rPr>
          <w:rStyle w:val="47"/>
          <w:rFonts w:hint="eastAsia" w:cs="宋体" w:asciiTheme="minorEastAsia" w:hAnsiTheme="minorEastAsia" w:eastAsiaTheme="minorEastAsia"/>
          <w:color w:val="auto"/>
          <w:u w:val="none"/>
        </w:rPr>
        <w:fldChar w:fldCharType="end"/>
      </w:r>
    </w:p>
    <w:p>
      <w:pPr>
        <w:pStyle w:val="103"/>
        <w:ind w:firstLine="499"/>
        <w:rPr>
          <w:rFonts w:asciiTheme="minorEastAsia" w:hAnsiTheme="minorEastAsia" w:eastAsiaTheme="minorEastAsia"/>
          <w:b/>
          <w:bCs/>
        </w:rPr>
      </w:pPr>
      <w:bookmarkStart w:id="29" w:name="_Toc9302"/>
      <w:r>
        <w:rPr>
          <w:rFonts w:hint="eastAsia" w:asciiTheme="minorEastAsia" w:hAnsiTheme="minorEastAsia" w:eastAsiaTheme="minorEastAsia"/>
          <w:b/>
          <w:bCs/>
        </w:rPr>
        <w:t>（七）关于现场踏勘和集中答疑</w:t>
      </w:r>
      <w:bookmarkEnd w:id="29"/>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采购人可以根据项目实际情况决定是否组织现场踏勘并领取基础图纸，并集中开标前答疑。投标邀请函中明确载明安排上述活动的，各供应商应派出技术、预算等相关人员，在招标文件约定的时间、地点参加现场踏勘\标前集中答疑。</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凡未参加现场踏勘和集中答疑的供应商，由此带来的不利后果由该供应商自行承担。</w:t>
      </w:r>
    </w:p>
    <w:p>
      <w:pPr>
        <w:pStyle w:val="103"/>
        <w:ind w:firstLine="499"/>
        <w:rPr>
          <w:rFonts w:asciiTheme="minorEastAsia" w:hAnsiTheme="minorEastAsia" w:eastAsiaTheme="minorEastAsia"/>
          <w:b/>
          <w:bCs/>
        </w:rPr>
      </w:pPr>
      <w:bookmarkStart w:id="30" w:name="_Toc25219"/>
      <w:r>
        <w:rPr>
          <w:rFonts w:hint="eastAsia" w:asciiTheme="minorEastAsia" w:hAnsiTheme="minorEastAsia" w:eastAsiaTheme="minorEastAsia"/>
          <w:b/>
          <w:bCs/>
        </w:rPr>
        <w:t>（八）关于同一品牌产品的处理</w:t>
      </w:r>
      <w:bookmarkEnd w:id="30"/>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03"/>
        <w:ind w:firstLine="499"/>
        <w:rPr>
          <w:rFonts w:asciiTheme="minorEastAsia" w:hAnsiTheme="minorEastAsia" w:eastAsiaTheme="minorEastAsia"/>
          <w:b/>
          <w:bCs/>
        </w:rPr>
      </w:pPr>
      <w:bookmarkStart w:id="31" w:name="_Toc15678"/>
      <w:r>
        <w:rPr>
          <w:rFonts w:hint="eastAsia" w:asciiTheme="minorEastAsia" w:hAnsiTheme="minorEastAsia" w:eastAsiaTheme="minorEastAsia"/>
          <w:b/>
          <w:bCs/>
        </w:rPr>
        <w:t>（九）关于知识产权和保密事项</w:t>
      </w:r>
      <w:bookmarkEnd w:id="31"/>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1．所有涉及知识产权的产品及设计，供应商必须确保委托人、采购人拥有其合法的、不受限制的无偿使用权，并免受任何侵权诉讼或索偿；否则，由此产生的一切经济损失和法律责任由供应商承担。</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pPr>
        <w:pStyle w:val="103"/>
        <w:ind w:firstLine="499"/>
        <w:rPr>
          <w:rFonts w:asciiTheme="minorEastAsia" w:hAnsiTheme="minorEastAsia" w:eastAsiaTheme="minorEastAsia"/>
          <w:b/>
          <w:bCs/>
        </w:rPr>
      </w:pPr>
      <w:bookmarkStart w:id="32" w:name="_Toc17978"/>
      <w:r>
        <w:rPr>
          <w:rFonts w:hint="eastAsia" w:asciiTheme="minorEastAsia" w:hAnsiTheme="minorEastAsia" w:eastAsiaTheme="minorEastAsia"/>
          <w:b/>
          <w:bCs/>
        </w:rPr>
        <w:t>（十）关于信用记录的查询和使用</w:t>
      </w:r>
      <w:bookmarkEnd w:id="32"/>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7"/>
          <w:rFonts w:hint="eastAsia" w:cs="宋体" w:asciiTheme="minorEastAsia" w:hAnsiTheme="minorEastAsia" w:eastAsiaTheme="minorEastAsia"/>
          <w:color w:val="auto"/>
          <w:u w:val="none"/>
        </w:rPr>
        <w:t>https://www.creditchina.gov.cn</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/）和【中国政府采购网】（</w:t>
      </w:r>
      <w:r>
        <w:fldChar w:fldCharType="begin"/>
      </w:r>
      <w:r>
        <w:instrText xml:space="preserve"> HYPERLINK "http://www.ccgp.gov.cn/" </w:instrText>
      </w:r>
      <w:r>
        <w:fldChar w:fldCharType="separate"/>
      </w:r>
      <w:r>
        <w:rPr>
          <w:rStyle w:val="47"/>
          <w:rFonts w:hint="eastAsia" w:cs="宋体" w:asciiTheme="minorEastAsia" w:hAnsiTheme="minorEastAsia" w:eastAsiaTheme="minorEastAsia"/>
          <w:color w:val="auto"/>
          <w:u w:val="none"/>
        </w:rPr>
        <w:t>http://www.ccgp.gov.cn/）</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对供应商的信用情况进行甄别。</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3．供应商在参加政府采购活动前3年内因违法经营被禁止在一定期限内参加政府采购活动，期限届满的，可以参加政府采购活动的，但供应商应提供相关证明材料。</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4．信用记录查询结果打印后，将与其他采购文件一并保存。</w:t>
      </w:r>
    </w:p>
    <w:p>
      <w:pPr>
        <w:pStyle w:val="103"/>
        <w:ind w:firstLine="499"/>
        <w:rPr>
          <w:rFonts w:asciiTheme="minorEastAsia" w:hAnsiTheme="minorEastAsia" w:eastAsiaTheme="minorEastAsia"/>
          <w:b/>
          <w:bCs/>
        </w:rPr>
      </w:pPr>
      <w:bookmarkStart w:id="33" w:name="_Toc5362"/>
      <w:r>
        <w:rPr>
          <w:rFonts w:hint="eastAsia" w:asciiTheme="minorEastAsia" w:hAnsiTheme="minorEastAsia" w:eastAsiaTheme="minorEastAsia"/>
          <w:b/>
          <w:bCs/>
        </w:rPr>
        <w:t>（十一）其他重要事项</w:t>
      </w:r>
      <w:bookmarkEnd w:id="33"/>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1．招标文件内所附网络链接仅供参考，不保证其长期有效性。</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2．供应商的投标费用自理。</w:t>
      </w:r>
    </w:p>
    <w:p>
      <w:pPr>
        <w:pStyle w:val="8"/>
        <w:rPr>
          <w:rFonts w:cs="宋体" w:asciiTheme="minorEastAsia" w:hAnsiTheme="minorEastAsia" w:eastAsiaTheme="minorEastAsia"/>
          <w:sz w:val="24"/>
          <w:szCs w:val="24"/>
        </w:rPr>
      </w:pPr>
      <w:bookmarkStart w:id="34" w:name="_Toc135129525"/>
      <w:r>
        <w:rPr>
          <w:rFonts w:hint="eastAsia" w:cs="宋体" w:asciiTheme="minorEastAsia" w:hAnsiTheme="minorEastAsia" w:eastAsiaTheme="minorEastAsia"/>
          <w:sz w:val="24"/>
          <w:szCs w:val="24"/>
        </w:rPr>
        <w:t>三、招标文件</w:t>
      </w:r>
      <w:bookmarkEnd w:id="34"/>
    </w:p>
    <w:p>
      <w:pPr>
        <w:pStyle w:val="103"/>
        <w:ind w:firstLine="499"/>
        <w:rPr>
          <w:rFonts w:asciiTheme="minorEastAsia" w:hAnsiTheme="minorEastAsia" w:eastAsiaTheme="minorEastAsia"/>
          <w:b/>
          <w:bCs/>
        </w:rPr>
      </w:pPr>
      <w:bookmarkStart w:id="35" w:name="_Toc23274"/>
      <w:r>
        <w:rPr>
          <w:rFonts w:hint="eastAsia" w:asciiTheme="minorEastAsia" w:hAnsiTheme="minorEastAsia" w:eastAsiaTheme="minorEastAsia"/>
          <w:b/>
          <w:bCs/>
        </w:rPr>
        <w:t>（一）招标文件的解释权</w:t>
      </w:r>
      <w:bookmarkEnd w:id="35"/>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本项目招标文件的解释权归采购代理机构，评标委员会成员应根据政府采购法律法规和招标文件所载明的评审方法、标准进行评审。</w:t>
      </w:r>
    </w:p>
    <w:p>
      <w:pPr>
        <w:pStyle w:val="103"/>
        <w:ind w:firstLine="499"/>
        <w:rPr>
          <w:rFonts w:asciiTheme="minorEastAsia" w:hAnsiTheme="minorEastAsia" w:eastAsiaTheme="minorEastAsia"/>
          <w:b/>
          <w:bCs/>
        </w:rPr>
      </w:pPr>
      <w:bookmarkStart w:id="36" w:name="_Toc30024"/>
      <w:r>
        <w:rPr>
          <w:rFonts w:hint="eastAsia" w:asciiTheme="minorEastAsia" w:hAnsiTheme="minorEastAsia" w:eastAsiaTheme="minorEastAsia"/>
          <w:b/>
          <w:bCs/>
        </w:rPr>
        <w:t>（二）招标文件主要内容</w:t>
      </w:r>
      <w:bookmarkEnd w:id="36"/>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第1章  投标邀请函</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第2章  供应商须知</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第3章  招标内容及要求</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第4章  合同文本</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第5章  投标文件构成及格式</w:t>
      </w:r>
    </w:p>
    <w:p>
      <w:pPr>
        <w:pStyle w:val="103"/>
        <w:ind w:firstLine="499"/>
        <w:rPr>
          <w:rFonts w:asciiTheme="minorEastAsia" w:hAnsiTheme="minorEastAsia" w:eastAsiaTheme="minorEastAsia"/>
          <w:b/>
          <w:bCs/>
        </w:rPr>
      </w:pPr>
      <w:bookmarkStart w:id="37" w:name="_Toc26313"/>
      <w:r>
        <w:rPr>
          <w:rFonts w:hint="eastAsia" w:asciiTheme="minorEastAsia" w:hAnsiTheme="minorEastAsia" w:eastAsiaTheme="minorEastAsia"/>
          <w:b/>
          <w:bCs/>
        </w:rPr>
        <w:t>（三）招标文件的检查及阅读</w:t>
      </w:r>
      <w:bookmarkEnd w:id="37"/>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供应商应认真阅读和充分理解招标文件中所有的事项、格式条款和规范要求，在投标文件中对招标文件做出全面响 应，并按招标文件的要求提交全部资料。</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项目废标后重新组织招标的，采购代理机构将重新编制、发布新版招标文件，供应商应按新版招标文件重新编制投标文件。原招标文件及投标文件失效。</w:t>
      </w:r>
    </w:p>
    <w:p>
      <w:pPr>
        <w:pStyle w:val="103"/>
        <w:ind w:firstLine="499"/>
        <w:rPr>
          <w:rFonts w:asciiTheme="minorEastAsia" w:hAnsiTheme="minorEastAsia" w:eastAsiaTheme="minorEastAsia"/>
          <w:b/>
          <w:bCs/>
        </w:rPr>
      </w:pPr>
      <w:bookmarkStart w:id="38" w:name="_Toc5096"/>
      <w:r>
        <w:rPr>
          <w:rFonts w:hint="eastAsia" w:asciiTheme="minorEastAsia" w:hAnsiTheme="minorEastAsia" w:eastAsiaTheme="minorEastAsia"/>
          <w:b/>
          <w:bCs/>
        </w:rPr>
        <w:t>（四）招标文件的修改、澄清</w:t>
      </w:r>
      <w:bookmarkEnd w:id="38"/>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1．提交投标文件截止之日前，采购人或采购代理机构可能对已发出的招标文件进行澄清或者修改，澄清或者修改的内容为招标文件的组成部分。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4．请各供应商在提交投标文件截止时间之前，务必随时关注“政府采购信息发布媒体”上发布的变更公告，采购代理机构不再另行通知，因供应商未及时关注所造成的一切后果由供应商自行承担：</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（1）【</w:t>
      </w:r>
      <w:r>
        <w:fldChar w:fldCharType="begin"/>
      </w:r>
      <w:r>
        <w:instrText xml:space="preserve"> HYPERLINK "http://www.ccgp-shaanxi.gov.cn" </w:instrText>
      </w:r>
      <w:r>
        <w:fldChar w:fldCharType="separate"/>
      </w:r>
      <w:r>
        <w:rPr>
          <w:rStyle w:val="47"/>
          <w:rFonts w:hint="eastAsia" w:cs="宋体" w:asciiTheme="minorEastAsia" w:hAnsiTheme="minorEastAsia" w:eastAsiaTheme="minorEastAsia"/>
          <w:color w:val="auto"/>
          <w:u w:val="none"/>
        </w:rPr>
        <w:t>陕西省政府采购网</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w:t>
      </w:r>
      <w:r>
        <w:fldChar w:fldCharType="begin"/>
      </w:r>
      <w:r>
        <w:instrText xml:space="preserve"> HYPERLINK "http://www.ccgp-shaanxi.gov.cn/" </w:instrText>
      </w:r>
      <w:r>
        <w:fldChar w:fldCharType="separate"/>
      </w:r>
      <w:r>
        <w:rPr>
          <w:rStyle w:val="47"/>
          <w:rFonts w:hint="eastAsia" w:cs="宋体" w:asciiTheme="minorEastAsia" w:hAnsiTheme="minorEastAsia" w:eastAsiaTheme="minorEastAsia"/>
          <w:color w:val="auto"/>
          <w:u w:val="none"/>
        </w:rPr>
        <w:t>http://www.ccgp-shaanxi.gov.cn/</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）中的〖首页·〉信息公告·〉市级·〉西安市〗；</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w:t>
      </w:r>
      <w:r>
        <w:fldChar w:fldCharType="begin"/>
      </w:r>
      <w:r>
        <w:instrText xml:space="preserve"> HYPERLINK "http://xa.sxggzyjy.cn/" </w:instrText>
      </w:r>
      <w:r>
        <w:fldChar w:fldCharType="separate"/>
      </w:r>
      <w:r>
        <w:rPr>
          <w:rStyle w:val="47"/>
          <w:rFonts w:hint="eastAsia" w:cs="宋体" w:asciiTheme="minorEastAsia" w:hAnsiTheme="minorEastAsia" w:eastAsiaTheme="minorEastAsia"/>
          <w:color w:val="auto"/>
          <w:u w:val="none"/>
        </w:rPr>
        <w:t>全国公共资源交易网（陕西省·西安市）</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w:t>
      </w:r>
      <w:r>
        <w:fldChar w:fldCharType="begin"/>
      </w:r>
      <w:r>
        <w:instrText xml:space="preserve"> HYPERLINK "http://sxggzyjy.xa.gov.cn/" </w:instrText>
      </w:r>
      <w:r>
        <w:fldChar w:fldCharType="separate"/>
      </w:r>
      <w:r>
        <w:rPr>
          <w:rStyle w:val="47"/>
          <w:rFonts w:hint="eastAsia" w:cs="宋体" w:asciiTheme="minorEastAsia" w:hAnsiTheme="minorEastAsia" w:eastAsiaTheme="minorEastAsia"/>
          <w:color w:val="auto"/>
          <w:u w:val="none"/>
        </w:rPr>
        <w:t>http://sxggzyjy.xa.gov.cn/</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）中的〖首页·〉交易大厅·〉政府采购〗。</w:t>
      </w:r>
    </w:p>
    <w:p>
      <w:pPr>
        <w:pStyle w:val="8"/>
        <w:rPr>
          <w:rFonts w:cs="宋体" w:asciiTheme="minorEastAsia" w:hAnsiTheme="minorEastAsia" w:eastAsiaTheme="minorEastAsia"/>
          <w:sz w:val="24"/>
          <w:szCs w:val="24"/>
        </w:rPr>
      </w:pPr>
      <w:bookmarkStart w:id="39" w:name="_Toc135129526"/>
      <w:r>
        <w:rPr>
          <w:rFonts w:hint="eastAsia" w:cs="宋体" w:asciiTheme="minorEastAsia" w:hAnsiTheme="minorEastAsia" w:eastAsiaTheme="minorEastAsia"/>
          <w:sz w:val="24"/>
          <w:szCs w:val="24"/>
        </w:rPr>
        <w:t>四、投标文件</w:t>
      </w:r>
      <w:bookmarkEnd w:id="39"/>
    </w:p>
    <w:p>
      <w:pPr>
        <w:pStyle w:val="103"/>
        <w:ind w:firstLine="499"/>
        <w:rPr>
          <w:rFonts w:asciiTheme="minorEastAsia" w:hAnsiTheme="minorEastAsia" w:eastAsiaTheme="minorEastAsia"/>
          <w:b/>
          <w:bCs/>
        </w:rPr>
      </w:pPr>
      <w:bookmarkStart w:id="40" w:name="_Toc19870"/>
      <w:r>
        <w:rPr>
          <w:rFonts w:hint="eastAsia" w:asciiTheme="minorEastAsia" w:hAnsiTheme="minorEastAsia" w:eastAsiaTheme="minorEastAsia"/>
          <w:b/>
          <w:bCs/>
        </w:rPr>
        <w:t>（一）投标文件的式样</w:t>
      </w:r>
      <w:bookmarkEnd w:id="40"/>
    </w:p>
    <w:p>
      <w:pPr>
        <w:pStyle w:val="103"/>
        <w:ind w:firstLine="0" w:firstLineChars="0"/>
        <w:rPr>
          <w:rFonts w:asciiTheme="minorEastAsia" w:hAnsiTheme="minorEastAsia" w:eastAsiaTheme="minorEastAsia"/>
        </w:rPr>
      </w:pPr>
      <w:bookmarkStart w:id="41" w:name="_Toc23111"/>
      <w:r>
        <w:rPr>
          <w:rFonts w:hint="eastAsia" w:asciiTheme="minorEastAsia" w:hAnsiTheme="minorEastAsia" w:eastAsiaTheme="minorEastAsia"/>
        </w:rPr>
        <w:t>1．组成及格式</w:t>
      </w:r>
      <w:bookmarkEnd w:id="41"/>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供应商依照招标文件第五章《投标文件构成及格式》给定形式进行编制投标文件。</w:t>
      </w:r>
    </w:p>
    <w:p>
      <w:pPr>
        <w:pStyle w:val="103"/>
        <w:ind w:firstLine="0" w:firstLineChars="0"/>
        <w:rPr>
          <w:rFonts w:asciiTheme="minorEastAsia" w:hAnsiTheme="minorEastAsia" w:eastAsiaTheme="minorEastAsia"/>
        </w:rPr>
      </w:pPr>
      <w:bookmarkStart w:id="42" w:name="_Toc4658"/>
      <w:r>
        <w:rPr>
          <w:rFonts w:hint="eastAsia" w:asciiTheme="minorEastAsia" w:hAnsiTheme="minorEastAsia" w:eastAsiaTheme="minorEastAsia"/>
        </w:rPr>
        <w:t>2．语言</w:t>
      </w:r>
      <w:bookmarkEnd w:id="42"/>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招标活动的所有文件、资料、函电文字均使用简体中文，确需提交用其他语言形成的资料，必须翻译成简体中文，如有差异，以简体中文为准。</w:t>
      </w:r>
    </w:p>
    <w:p>
      <w:pPr>
        <w:pStyle w:val="103"/>
        <w:ind w:firstLine="0" w:firstLineChars="0"/>
        <w:rPr>
          <w:rFonts w:asciiTheme="minorEastAsia" w:hAnsiTheme="minorEastAsia" w:eastAsiaTheme="minorEastAsia"/>
        </w:rPr>
      </w:pPr>
      <w:bookmarkStart w:id="43" w:name="_Toc3436"/>
      <w:r>
        <w:rPr>
          <w:rFonts w:hint="eastAsia" w:asciiTheme="minorEastAsia" w:hAnsiTheme="minorEastAsia" w:eastAsiaTheme="minorEastAsia"/>
        </w:rPr>
        <w:t>3．计量单位</w:t>
      </w:r>
      <w:bookmarkEnd w:id="43"/>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投标文件的计量单位应使用中华人民共和国法定计量单位，但招标文件另有规定的除外。</w:t>
      </w:r>
    </w:p>
    <w:p>
      <w:pPr>
        <w:pStyle w:val="103"/>
        <w:ind w:firstLine="499"/>
        <w:rPr>
          <w:rFonts w:asciiTheme="minorEastAsia" w:hAnsiTheme="minorEastAsia" w:eastAsiaTheme="minorEastAsia"/>
          <w:b/>
          <w:bCs/>
        </w:rPr>
      </w:pPr>
      <w:bookmarkStart w:id="44" w:name="_Toc15553"/>
      <w:r>
        <w:rPr>
          <w:rFonts w:hint="eastAsia" w:asciiTheme="minorEastAsia" w:hAnsiTheme="minorEastAsia" w:eastAsiaTheme="minorEastAsia"/>
          <w:b/>
          <w:bCs/>
        </w:rPr>
        <w:t>（二）投标文件的有效期</w:t>
      </w:r>
      <w:bookmarkEnd w:id="44"/>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投标文件有效期为自开标之日起不少于90个日历日。如中标，延长至合同执行完毕时止。</w:t>
      </w:r>
    </w:p>
    <w:p>
      <w:pPr>
        <w:pStyle w:val="103"/>
        <w:ind w:firstLine="499"/>
        <w:rPr>
          <w:rFonts w:asciiTheme="minorEastAsia" w:hAnsiTheme="minorEastAsia" w:eastAsiaTheme="minorEastAsia"/>
          <w:b/>
          <w:bCs/>
        </w:rPr>
      </w:pPr>
      <w:bookmarkStart w:id="45" w:name="_Toc28137"/>
      <w:r>
        <w:rPr>
          <w:rFonts w:hint="eastAsia" w:asciiTheme="minorEastAsia" w:hAnsiTheme="minorEastAsia" w:eastAsiaTheme="minorEastAsia"/>
          <w:b/>
          <w:bCs/>
        </w:rPr>
        <w:t>（三）投标报价</w:t>
      </w:r>
      <w:bookmarkEnd w:id="45"/>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投标报价是供应商响应采购项目要求的全部工作内容的价格体现，包括完成采购内容所需的利润、税金及其它相关的一切费用。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1．供应商在报价时应充分考虑所有可能发生的费用，招标文件未列明，而供应商认为应当计取的费用均应列入报价中。报价时不论是否计取，采购人均按已计取对待。</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3．投标报价货币：人民币；单位：元。</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4．投标文件报价出现前后不一致的，除招标文件另有规定外，按照下列规则修正：</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（1）投标文件中开标一览表内容与投标文件中其他位置相应内容表述不一致的，以开标一览表为准；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（2）大写金额和小写金额不一致的，以大写金额为准；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（3）单价金额小数点或者百分比有明显错位的，以开标一览表的总价为准，并修改单价；</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（4）总价金额与按单价汇总金额不一致的，以单价金额计算结果为准。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同时出现两种以上不一致的，按照前款规定的顺序修正。修正后的报价经供应商确认后产生约束力，供应商不确认的，其投标无效。</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5．因供应商对招标文件理解不透、误解、疏漏或对市场行情了解不清造成的后果和风险，均由供应商自己负责。</w:t>
      </w:r>
    </w:p>
    <w:p>
      <w:pPr>
        <w:pStyle w:val="103"/>
        <w:ind w:firstLine="499"/>
        <w:rPr>
          <w:rFonts w:asciiTheme="minorEastAsia" w:hAnsiTheme="minorEastAsia" w:eastAsiaTheme="minorEastAsia"/>
          <w:b/>
          <w:bCs/>
        </w:rPr>
      </w:pPr>
      <w:bookmarkStart w:id="46" w:name="_Toc30313"/>
      <w:r>
        <w:rPr>
          <w:rFonts w:hint="eastAsia" w:asciiTheme="minorEastAsia" w:hAnsiTheme="minorEastAsia" w:eastAsiaTheme="minorEastAsia"/>
          <w:b/>
          <w:bCs/>
        </w:rPr>
        <w:t>（四）投标文件的制作和签章</w:t>
      </w:r>
      <w:bookmarkEnd w:id="46"/>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链接地址：</w:t>
      </w:r>
    </w:p>
    <w:p>
      <w:pPr>
        <w:spacing w:line="560" w:lineRule="exact"/>
        <w:ind w:firstLine="496" w:firstLineChars="200"/>
        <w:jc w:val="both"/>
        <w:rPr>
          <w:rFonts w:cs="宋体" w:asciiTheme="minorEastAsia" w:hAnsiTheme="minorEastAsia" w:eastAsiaTheme="minorEastAsia"/>
        </w:rPr>
      </w:pPr>
      <w:r>
        <w:fldChar w:fldCharType="begin"/>
      </w:r>
      <w:r>
        <w:instrText xml:space="preserve"> HYPERLINK "http://sxggzyjy.xa.gov.cn/fwzn/004003/20181115/4d59c184-e8f6-4d5a-a416-c2f6b0601e66.html" </w:instrText>
      </w:r>
      <w:r>
        <w:fldChar w:fldCharType="separate"/>
      </w:r>
      <w:r>
        <w:rPr>
          <w:rStyle w:val="47"/>
          <w:rFonts w:hint="eastAsia" w:cs="宋体" w:asciiTheme="minorEastAsia" w:hAnsiTheme="minorEastAsia" w:eastAsiaTheme="minorEastAsia"/>
        </w:rPr>
        <w:t>http://sxggzyjy.xa.gov.cn/fwzn/004003/20181115/4d59c184-e8f6-4d5a-a416-c2f6b0601e66.html</w:t>
      </w:r>
      <w:r>
        <w:rPr>
          <w:rStyle w:val="47"/>
          <w:rFonts w:hint="eastAsia" w:cs="宋体" w:asciiTheme="minorEastAsia" w:hAnsiTheme="minorEastAsia" w:eastAsiaTheme="minorEastAsia"/>
        </w:rPr>
        <w:fldChar w:fldCharType="end"/>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3．电子投标文件制作过程中，需要法定代表人签字或盖章的地方，请使用“法人CA锁”进行签章；需要加盖供应商公章的地方，请使用“企业CA锁”进行签章。</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103"/>
        <w:ind w:firstLine="499"/>
        <w:rPr>
          <w:rFonts w:asciiTheme="minorEastAsia" w:hAnsiTheme="minorEastAsia" w:eastAsiaTheme="minorEastAsia"/>
          <w:b/>
          <w:bCs/>
        </w:rPr>
      </w:pPr>
      <w:bookmarkStart w:id="47" w:name="_Toc15534"/>
      <w:r>
        <w:rPr>
          <w:rFonts w:hint="eastAsia" w:asciiTheme="minorEastAsia" w:hAnsiTheme="minorEastAsia" w:eastAsiaTheme="minorEastAsia"/>
          <w:b/>
          <w:bCs/>
        </w:rPr>
        <w:t>（五）投标文件的加密和提交</w:t>
      </w:r>
      <w:bookmarkEnd w:id="47"/>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1．在生成电子投标文件时，需要使用CA锁对投标文件进行加密。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注意：加密投标文件和开标时解密投标文件应当使用同一CA，否则将会导致解密失败。</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3．上传文件有误或需要重新提交的，可先撤销已经上传的文件，然后重新上传新文件。</w:t>
      </w:r>
    </w:p>
    <w:p>
      <w:pPr>
        <w:pStyle w:val="103"/>
        <w:ind w:firstLine="499"/>
        <w:rPr>
          <w:rFonts w:asciiTheme="minorEastAsia" w:hAnsiTheme="minorEastAsia" w:eastAsiaTheme="minorEastAsia"/>
          <w:b/>
          <w:bCs/>
        </w:rPr>
      </w:pPr>
      <w:bookmarkStart w:id="48" w:name="_Toc28545"/>
      <w:r>
        <w:rPr>
          <w:rFonts w:hint="eastAsia" w:asciiTheme="minorEastAsia" w:hAnsiTheme="minorEastAsia" w:eastAsiaTheme="minorEastAsia"/>
          <w:b/>
          <w:bCs/>
        </w:rPr>
        <w:t>（六）投标文件的补充、修改和撤回</w:t>
      </w:r>
      <w:bookmarkEnd w:id="48"/>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2．供应商在提交投标文件截止时间后，撤回投标文件的，投标保证金不予退还。</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103"/>
        <w:ind w:firstLine="499"/>
        <w:rPr>
          <w:rFonts w:asciiTheme="minorEastAsia" w:hAnsiTheme="minorEastAsia" w:eastAsiaTheme="minorEastAsia"/>
          <w:b/>
          <w:bCs/>
        </w:rPr>
      </w:pPr>
      <w:bookmarkStart w:id="49" w:name="_Toc5968"/>
      <w:r>
        <w:rPr>
          <w:rFonts w:hint="eastAsia" w:asciiTheme="minorEastAsia" w:hAnsiTheme="minorEastAsia" w:eastAsiaTheme="minorEastAsia"/>
          <w:b/>
          <w:bCs/>
        </w:rPr>
        <w:t>（七）关于投标文件的雷同性分析</w:t>
      </w:r>
      <w:bookmarkEnd w:id="49"/>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若“文件创建标识码”一致，则表示不同投标供应商使用投标文件制作软件时，使用同一源工程文件，该情形建议由评标委员会结合项目情况综合判定。</w:t>
      </w:r>
    </w:p>
    <w:p>
      <w:pPr>
        <w:pStyle w:val="103"/>
        <w:ind w:firstLine="499"/>
        <w:rPr>
          <w:rFonts w:asciiTheme="minorEastAsia" w:hAnsiTheme="minorEastAsia" w:eastAsiaTheme="minorEastAsia"/>
          <w:b/>
          <w:bCs/>
        </w:rPr>
      </w:pPr>
      <w:bookmarkStart w:id="50" w:name="_Toc11132"/>
      <w:r>
        <w:rPr>
          <w:rFonts w:hint="eastAsia" w:asciiTheme="minorEastAsia" w:hAnsiTheme="minorEastAsia" w:eastAsiaTheme="minorEastAsia"/>
          <w:b/>
          <w:bCs/>
        </w:rPr>
        <w:t>（八）投标文件被拒绝接收的情形</w:t>
      </w:r>
      <w:bookmarkEnd w:id="50"/>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1．误投的或采用旧版电子招标文件制作的；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2．逾期提交电子投标文件的。</w:t>
      </w:r>
    </w:p>
    <w:p>
      <w:pPr>
        <w:pStyle w:val="8"/>
        <w:rPr>
          <w:rFonts w:cs="宋体" w:asciiTheme="minorEastAsia" w:hAnsiTheme="minorEastAsia" w:eastAsiaTheme="minorEastAsia"/>
          <w:sz w:val="24"/>
          <w:szCs w:val="24"/>
        </w:rPr>
      </w:pPr>
      <w:bookmarkStart w:id="51" w:name="_Toc135129527"/>
      <w:r>
        <w:rPr>
          <w:rFonts w:hint="eastAsia" w:cs="宋体" w:asciiTheme="minorEastAsia" w:hAnsiTheme="minorEastAsia" w:eastAsiaTheme="minorEastAsia"/>
          <w:sz w:val="24"/>
          <w:szCs w:val="24"/>
        </w:rPr>
        <w:t>五、开标程序</w:t>
      </w:r>
      <w:bookmarkEnd w:id="51"/>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开标工作由采购代理机构组织实施，整个过程受同级政府采购监管机构的监督、管理。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“不见面开标”是依托政府采购云平台实现的供应商在线参与开标的一种组织形式。供应商无需抵达开标现场，即可在线实现开标、解密、澄清等操作。</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1．供应商登录：开标前，请各供应商至少提前半小时登录西安市公共资源交易平台〖首页·〉不见面开标〗系统。</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2．主持人宣布开标：提交投标文件截止时间过后，系统将不再接收任何投标文件。</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4．唱标：对于公开招标项目，“不见面开标”系统将自动展示供应商名单及其投标报价。</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5．开标结束：进入评审环节。供应商请保持在线，评审期间评标委员会可能会要求供应商做相应的澄清。因供应商擅自离席造成的不利后果，由供应商自行承担。</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“不见面开标”系统操作说明：详见西安市公共资源交易平台〖首页·〉服务指南·〉下载专区〗中的《西安公共资源交易不见面开标大厅供应商操作手册》。</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链接地址：</w:t>
      </w:r>
      <w:r>
        <w:fldChar w:fldCharType="begin"/>
      </w:r>
      <w:r>
        <w:instrText xml:space="preserve"> HYPERLINK "http://sxggzyjy.xa.gov.cn/fwzn/004003/20200426/bc8b2c1e-abe2-4168-913c-68ff93345faf.html" </w:instrText>
      </w:r>
      <w:r>
        <w:fldChar w:fldCharType="separate"/>
      </w:r>
      <w:r>
        <w:rPr>
          <w:rStyle w:val="47"/>
          <w:rFonts w:hint="eastAsia" w:cs="宋体" w:asciiTheme="minorEastAsia" w:hAnsiTheme="minorEastAsia" w:eastAsiaTheme="minorEastAsia"/>
          <w:color w:val="auto"/>
          <w:u w:val="none"/>
        </w:rPr>
        <w:t>http://sxggzyjy.xa.gov.cn/fwzn/004003/20200426/bc8b2c1e-abe2-4168-913c-68ff93345faf.html</w:t>
      </w:r>
      <w:r>
        <w:rPr>
          <w:rStyle w:val="47"/>
          <w:rFonts w:hint="eastAsia" w:cs="宋体" w:asciiTheme="minorEastAsia" w:hAnsiTheme="minorEastAsia" w:eastAsiaTheme="minorEastAsia"/>
          <w:color w:val="auto"/>
          <w:u w:val="none"/>
        </w:rPr>
        <w:fldChar w:fldCharType="end"/>
      </w:r>
    </w:p>
    <w:p>
      <w:pPr>
        <w:pStyle w:val="103"/>
        <w:ind w:firstLine="499"/>
        <w:rPr>
          <w:rFonts w:asciiTheme="minorEastAsia" w:hAnsiTheme="minorEastAsia" w:eastAsiaTheme="minorEastAsia"/>
          <w:b/>
          <w:bCs/>
        </w:rPr>
      </w:pPr>
      <w:bookmarkStart w:id="52" w:name="_Toc15581"/>
      <w:r>
        <w:rPr>
          <w:rFonts w:hint="eastAsia" w:asciiTheme="minorEastAsia" w:hAnsiTheme="minorEastAsia" w:eastAsiaTheme="minorEastAsia"/>
          <w:b/>
          <w:bCs/>
        </w:rPr>
        <w:t>（一）开标环节投标文件视为无效的情形</w:t>
      </w:r>
      <w:bookmarkEnd w:id="52"/>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1．供应商放弃或拒绝对电子投标文件进行解密的；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2．因供应商自身原因，导致未在规定的解密时限内完整解密的，如忘带CA锁、或携带的CA锁与加密文件的CA锁不同、或使用旧版招标文件编制投标文件等情形；</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3．上传的电子投标文件无法正常打开的；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4．政府采购法律法规规定的其他无效情形。</w:t>
      </w:r>
    </w:p>
    <w:p>
      <w:pPr>
        <w:pStyle w:val="103"/>
        <w:ind w:firstLine="499"/>
        <w:rPr>
          <w:rFonts w:asciiTheme="minorEastAsia" w:hAnsiTheme="minorEastAsia" w:eastAsiaTheme="minorEastAsia"/>
          <w:b/>
          <w:bCs/>
        </w:rPr>
      </w:pPr>
      <w:bookmarkStart w:id="53" w:name="_Toc4756"/>
      <w:r>
        <w:rPr>
          <w:rFonts w:hint="eastAsia" w:asciiTheme="minorEastAsia" w:hAnsiTheme="minorEastAsia" w:eastAsiaTheme="minorEastAsia"/>
          <w:b/>
          <w:bCs/>
        </w:rPr>
        <w:t>（二）突发状况的应急处置</w:t>
      </w:r>
      <w:bookmarkEnd w:id="53"/>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在开评标过程中，如因停电、断网、电子化系统故障等特殊原因导致电子化开、评标工作无法正常进行时，采购代理机构将及时汇报政府采购监管部门，并等待或中止后续活动。</w:t>
      </w:r>
    </w:p>
    <w:p>
      <w:pPr>
        <w:pStyle w:val="8"/>
        <w:rPr>
          <w:rFonts w:cs="宋体" w:asciiTheme="minorEastAsia" w:hAnsiTheme="minorEastAsia" w:eastAsiaTheme="minorEastAsia"/>
          <w:sz w:val="24"/>
          <w:szCs w:val="24"/>
        </w:rPr>
      </w:pPr>
      <w:bookmarkStart w:id="54" w:name="_Toc135129528"/>
      <w:r>
        <w:rPr>
          <w:rFonts w:hint="eastAsia" w:cs="宋体" w:asciiTheme="minorEastAsia" w:hAnsiTheme="minorEastAsia" w:eastAsiaTheme="minorEastAsia"/>
          <w:sz w:val="24"/>
          <w:szCs w:val="24"/>
        </w:rPr>
        <w:t>六、资格审查</w:t>
      </w:r>
      <w:bookmarkEnd w:id="54"/>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开标结束后，依据法律法规和招标文件的规定，对投标文件中的资格证明文件等进行审查，以确保供应商是否具备相应资格。</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供应商提供的资格证明文件缺少任何一项或有任何一项不满足，都将被视为无效投标。供应商所提供的资格证明文件应图文清晰、易于辨识，否则由此带来的不利后果由供应商自行承担。</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合格供应商不足3家的，不得评标。</w:t>
      </w:r>
    </w:p>
    <w:p>
      <w:pPr>
        <w:rPr>
          <w:rFonts w:cs="宋体" w:asciiTheme="minorEastAsia" w:hAnsiTheme="minorEastAsia" w:eastAsiaTheme="minorEastAsia"/>
        </w:rPr>
      </w:pPr>
      <w:r>
        <w:rPr>
          <w:rFonts w:hint="eastAsia" w:cs="宋体" w:asciiTheme="minorEastAsia" w:hAnsiTheme="minorEastAsia" w:eastAsiaTheme="minorEastAsia"/>
        </w:rPr>
        <w:br w:type="page"/>
      </w:r>
    </w:p>
    <w:p>
      <w:pPr>
        <w:spacing w:line="560" w:lineRule="exact"/>
        <w:rPr>
          <w:rFonts w:cs="宋体" w:asciiTheme="minorEastAsia" w:hAnsiTheme="minorEastAsia" w:eastAsiaTheme="minorEastAsia"/>
        </w:rPr>
      </w:pPr>
      <w:r>
        <w:rPr>
          <w:rFonts w:hint="eastAsia" w:cs="宋体" w:asciiTheme="minorEastAsia" w:hAnsiTheme="minorEastAsia" w:eastAsiaTheme="minorEastAsia"/>
        </w:rPr>
        <w:t>〖资格性审查表〗</w:t>
      </w:r>
    </w:p>
    <w:tbl>
      <w:tblPr>
        <w:tblStyle w:val="36"/>
        <w:tblW w:w="901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44"/>
        <w:gridCol w:w="2360"/>
        <w:gridCol w:w="58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844" w:type="dxa"/>
            <w:tcBorders>
              <w:top w:val="single" w:color="auto" w:sz="12" w:space="0"/>
              <w:bottom w:val="single" w:color="auto" w:sz="2" w:space="0"/>
            </w:tcBorders>
            <w:shd w:val="clear" w:color="auto" w:fill="F2F2F2"/>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序号</w:t>
            </w:r>
          </w:p>
        </w:tc>
        <w:tc>
          <w:tcPr>
            <w:tcW w:w="2360" w:type="dxa"/>
            <w:tcBorders>
              <w:top w:val="single" w:color="auto" w:sz="12" w:space="0"/>
              <w:bottom w:val="single" w:color="auto" w:sz="2" w:space="0"/>
            </w:tcBorders>
            <w:shd w:val="clear" w:color="auto" w:fill="F2F2F2"/>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资格项</w:t>
            </w:r>
          </w:p>
        </w:tc>
        <w:tc>
          <w:tcPr>
            <w:tcW w:w="5814" w:type="dxa"/>
            <w:tcBorders>
              <w:top w:val="single" w:color="auto" w:sz="12" w:space="0"/>
              <w:bottom w:val="single" w:color="auto" w:sz="2" w:space="0"/>
            </w:tcBorders>
            <w:shd w:val="clear" w:color="auto" w:fill="F2F2F2"/>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844" w:type="dxa"/>
            <w:tcBorders>
              <w:top w:val="single" w:color="auto" w:sz="2" w:space="0"/>
            </w:tcBorders>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一</w:t>
            </w:r>
          </w:p>
        </w:tc>
        <w:tc>
          <w:tcPr>
            <w:tcW w:w="8174" w:type="dxa"/>
            <w:gridSpan w:val="2"/>
            <w:tcBorders>
              <w:top w:val="single" w:color="auto" w:sz="2" w:space="0"/>
            </w:tcBorders>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7" w:hRule="atLeast"/>
          <w:jc w:val="center"/>
        </w:trPr>
        <w:tc>
          <w:tcPr>
            <w:tcW w:w="8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有效的主体资格证明</w:t>
            </w:r>
          </w:p>
        </w:tc>
        <w:tc>
          <w:tcPr>
            <w:tcW w:w="5814"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具有独立承担民事责任能力的法人、其他组织或自然人，提供合法有效的统一社会信用代码营业执照（事业单位提供事业单位法人证书，自然人应提供身份证）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09" w:hRule="atLeast"/>
          <w:jc w:val="center"/>
        </w:trPr>
        <w:tc>
          <w:tcPr>
            <w:tcW w:w="8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财务状况证明</w:t>
            </w:r>
          </w:p>
        </w:tc>
        <w:tc>
          <w:tcPr>
            <w:tcW w:w="5814" w:type="dxa"/>
            <w:vAlign w:val="center"/>
          </w:tcPr>
          <w:p>
            <w:pPr>
              <w:jc w:val="both"/>
              <w:rPr>
                <w:rFonts w:asciiTheme="minorEastAsia" w:hAnsiTheme="minorEastAsia" w:eastAsiaTheme="minorEastAsia"/>
              </w:rPr>
            </w:pPr>
            <w:r>
              <w:rPr>
                <w:rFonts w:hint="eastAsia" w:cs="宋体" w:asciiTheme="minorEastAsia" w:hAnsiTheme="minorEastAsia" w:eastAsiaTheme="minorEastAsia"/>
              </w:rPr>
              <w:t>供应商提供2021年度或2022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履行合同书面声明</w:t>
            </w:r>
          </w:p>
        </w:tc>
        <w:tc>
          <w:tcPr>
            <w:tcW w:w="5814"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具有履行合同所必需的设备和专业技术能力的书面声明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税收缴纳证明</w:t>
            </w:r>
          </w:p>
          <w:p>
            <w:pPr>
              <w:jc w:val="center"/>
              <w:rPr>
                <w:rFonts w:cs="宋体" w:asciiTheme="minorEastAsia" w:hAnsiTheme="minorEastAsia" w:eastAsiaTheme="minorEastAsia"/>
              </w:rPr>
            </w:pPr>
          </w:p>
        </w:tc>
        <w:tc>
          <w:tcPr>
            <w:tcW w:w="5814"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提供2022年8月以来至少一个月的纳税证明或完税证明，依法免税的单位应提供相关证明材料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7" w:hRule="atLeast"/>
          <w:jc w:val="center"/>
        </w:trPr>
        <w:tc>
          <w:tcPr>
            <w:tcW w:w="8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社会保障资金缴纳证明</w:t>
            </w:r>
          </w:p>
        </w:tc>
        <w:tc>
          <w:tcPr>
            <w:tcW w:w="5814"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提供2022年8月以来至少一个月的社会保障资金缴存单据或社保机构开具的社会保险参保缴费情况证明。依法不需要缴纳社会保障资金的供应商应提供相关文件证明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无重大违法记录声明</w:t>
            </w:r>
          </w:p>
        </w:tc>
        <w:tc>
          <w:tcPr>
            <w:tcW w:w="5814" w:type="dxa"/>
            <w:vAlign w:val="center"/>
          </w:tcPr>
          <w:p>
            <w:pPr>
              <w:jc w:val="both"/>
              <w:rPr>
                <w:rFonts w:cs="宋体" w:asciiTheme="minorEastAsia" w:hAnsiTheme="minorEastAsia" w:eastAsiaTheme="minorEastAsia"/>
              </w:rPr>
            </w:pPr>
            <w:r>
              <w:rPr>
                <w:rFonts w:cs="宋体" w:asciiTheme="minorEastAsia" w:hAnsiTheme="minorEastAsia" w:eastAsiaTheme="minorEastAsia"/>
              </w:rPr>
              <w:t>参加政府采购活动前3年内在经营活动中没有重大违法记录的书面声明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法定代表人委托授权书</w:t>
            </w:r>
          </w:p>
        </w:tc>
        <w:tc>
          <w:tcPr>
            <w:tcW w:w="5814"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非法定代表人参加投标的，须提供法定代表人委托授权书及被授权人身份证，法定代表人参加投标时,只需提供法定代表人身份证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844" w:type="dxa"/>
            <w:vAlign w:val="center"/>
          </w:tcPr>
          <w:p>
            <w:pPr>
              <w:jc w:val="center"/>
              <w:rPr>
                <w:rFonts w:cs="宋体" w:asciiTheme="minorEastAsia" w:hAnsiTheme="minorEastAsia" w:eastAsiaTheme="minorEastAsia"/>
              </w:rPr>
            </w:pPr>
            <w:r>
              <w:rPr>
                <w:rFonts w:cs="宋体" w:asciiTheme="minorEastAsia" w:hAnsiTheme="minorEastAsia" w:eastAsiaTheme="minorEastAsia"/>
              </w:rPr>
              <w:t>8</w:t>
            </w:r>
          </w:p>
        </w:tc>
        <w:tc>
          <w:tcPr>
            <w:tcW w:w="23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联合体</w:t>
            </w:r>
          </w:p>
        </w:tc>
        <w:tc>
          <w:tcPr>
            <w:tcW w:w="5814"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本项目不接受联合体投标</w:t>
            </w:r>
          </w:p>
        </w:tc>
      </w:tr>
    </w:tbl>
    <w:p>
      <w:pPr>
        <w:pStyle w:val="8"/>
        <w:rPr>
          <w:rFonts w:cs="宋体" w:asciiTheme="minorEastAsia" w:hAnsiTheme="minorEastAsia" w:eastAsiaTheme="minorEastAsia"/>
          <w:sz w:val="24"/>
          <w:szCs w:val="24"/>
        </w:rPr>
      </w:pPr>
      <w:bookmarkStart w:id="55" w:name="_Toc135129529"/>
      <w:r>
        <w:rPr>
          <w:rFonts w:hint="eastAsia" w:cs="宋体" w:asciiTheme="minorEastAsia" w:hAnsiTheme="minorEastAsia" w:eastAsiaTheme="minorEastAsia"/>
          <w:sz w:val="24"/>
          <w:szCs w:val="24"/>
        </w:rPr>
        <w:t>七、评审方法和程序</w:t>
      </w:r>
      <w:bookmarkEnd w:id="55"/>
    </w:p>
    <w:p>
      <w:pPr>
        <w:pStyle w:val="103"/>
        <w:ind w:firstLine="499"/>
        <w:rPr>
          <w:rFonts w:asciiTheme="minorEastAsia" w:hAnsiTheme="minorEastAsia" w:eastAsiaTheme="minorEastAsia"/>
          <w:b/>
          <w:bCs/>
        </w:rPr>
      </w:pPr>
      <w:bookmarkStart w:id="56" w:name="_Toc14369"/>
      <w:r>
        <w:rPr>
          <w:rFonts w:hint="eastAsia" w:asciiTheme="minorEastAsia" w:hAnsiTheme="minorEastAsia" w:eastAsiaTheme="minorEastAsia"/>
          <w:b/>
          <w:bCs/>
        </w:rPr>
        <w:t>（一）评标方法</w:t>
      </w:r>
      <w:bookmarkEnd w:id="56"/>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本项目采用综合评分法，即投标文件满足招标文件全部实质性要求，且按照评审因素的量化指标评审得分最高的供应商为中标候选人。</w:t>
      </w:r>
    </w:p>
    <w:p>
      <w:pPr>
        <w:pStyle w:val="103"/>
        <w:ind w:firstLine="499"/>
        <w:rPr>
          <w:rFonts w:asciiTheme="minorEastAsia" w:hAnsiTheme="minorEastAsia" w:eastAsiaTheme="minorEastAsia"/>
          <w:b/>
          <w:bCs/>
        </w:rPr>
      </w:pPr>
      <w:bookmarkStart w:id="57" w:name="_Toc15322"/>
      <w:r>
        <w:rPr>
          <w:rFonts w:hint="eastAsia" w:asciiTheme="minorEastAsia" w:hAnsiTheme="minorEastAsia" w:eastAsiaTheme="minorEastAsia"/>
          <w:b/>
          <w:bCs/>
        </w:rPr>
        <w:t>（二）评标程序</w:t>
      </w:r>
      <w:bookmarkEnd w:id="57"/>
    </w:p>
    <w:p>
      <w:pPr>
        <w:pStyle w:val="103"/>
        <w:ind w:firstLine="497"/>
        <w:rPr>
          <w:rFonts w:asciiTheme="minorEastAsia" w:hAnsiTheme="minorEastAsia" w:eastAsiaTheme="minorEastAsia"/>
        </w:rPr>
      </w:pPr>
      <w:bookmarkStart w:id="58" w:name="_Toc19236"/>
      <w:r>
        <w:rPr>
          <w:rFonts w:hint="eastAsia" w:asciiTheme="minorEastAsia" w:hAnsiTheme="minorEastAsia" w:eastAsiaTheme="minorEastAsia"/>
        </w:rPr>
        <w:t>1．组建评标委员会</w:t>
      </w:r>
      <w:bookmarkEnd w:id="58"/>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由采购代理机构组织评标委员会推选评标组长，采购人代表不得担任组长。</w:t>
      </w:r>
    </w:p>
    <w:p>
      <w:pPr>
        <w:pStyle w:val="103"/>
        <w:ind w:firstLine="497"/>
        <w:rPr>
          <w:rFonts w:asciiTheme="minorEastAsia" w:hAnsiTheme="minorEastAsia" w:eastAsiaTheme="minorEastAsia"/>
        </w:rPr>
      </w:pPr>
      <w:bookmarkStart w:id="59" w:name="_Toc1683"/>
      <w:r>
        <w:rPr>
          <w:rFonts w:hint="eastAsia" w:asciiTheme="minorEastAsia" w:hAnsiTheme="minorEastAsia" w:eastAsiaTheme="minorEastAsia"/>
        </w:rPr>
        <w:t>2．投标文件的符合性审查</w:t>
      </w:r>
      <w:bookmarkEnd w:id="59"/>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供应商资格性审查通过后，评标委员会对符合资格的投标人的投标文件进行符合性审查，以确定其是否满足招标文件的实质性要求。</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对于投标文件中含义不明确、同类问题表述不一致或者有明显文字和计算错误的内容，评标委员会应当以书面形式要求投标人作出必要的澄清、说明或者补正。</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cs="宋体" w:asciiTheme="minorEastAsia" w:hAnsiTheme="minorEastAsia" w:eastAsiaTheme="minorEastAsia"/>
        </w:rPr>
      </w:pPr>
      <w:r>
        <w:rPr>
          <w:rFonts w:hint="eastAsia" w:cs="宋体" w:asciiTheme="minorEastAsia" w:hAnsiTheme="minorEastAsia" w:eastAsiaTheme="minorEastAsia"/>
        </w:rPr>
        <w:t>〖符合性审查表〗</w:t>
      </w:r>
    </w:p>
    <w:tbl>
      <w:tblPr>
        <w:tblStyle w:val="36"/>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2F2F2"/>
            <w:vAlign w:val="center"/>
          </w:tcPr>
          <w:p>
            <w:pPr>
              <w:spacing w:line="560" w:lineRule="exact"/>
              <w:jc w:val="center"/>
              <w:rPr>
                <w:rFonts w:cs="宋体" w:asciiTheme="minorEastAsia" w:hAnsiTheme="minorEastAsia" w:eastAsiaTheme="minorEastAsia"/>
                <w:b/>
                <w:bCs/>
              </w:rPr>
            </w:pPr>
            <w:r>
              <w:rPr>
                <w:rFonts w:hint="eastAsia" w:cs="宋体" w:asciiTheme="minorEastAsia" w:hAnsiTheme="minorEastAsia" w:eastAsiaTheme="minorEastAsia"/>
                <w:b/>
                <w:bCs/>
              </w:rPr>
              <w:t>序号</w:t>
            </w:r>
          </w:p>
        </w:tc>
        <w:tc>
          <w:tcPr>
            <w:tcW w:w="2392" w:type="dxa"/>
            <w:tcBorders>
              <w:top w:val="single" w:color="auto" w:sz="12" w:space="0"/>
              <w:bottom w:val="single" w:color="auto" w:sz="2" w:space="0"/>
            </w:tcBorders>
            <w:shd w:val="clear" w:color="auto" w:fill="F2F2F2"/>
            <w:vAlign w:val="center"/>
          </w:tcPr>
          <w:p>
            <w:pPr>
              <w:spacing w:line="560" w:lineRule="exact"/>
              <w:jc w:val="center"/>
              <w:rPr>
                <w:rFonts w:cs="宋体" w:asciiTheme="minorEastAsia" w:hAnsiTheme="minorEastAsia" w:eastAsiaTheme="minorEastAsia"/>
                <w:b/>
                <w:bCs/>
              </w:rPr>
            </w:pPr>
            <w:r>
              <w:rPr>
                <w:rFonts w:hint="eastAsia" w:cs="宋体" w:asciiTheme="minorEastAsia" w:hAnsiTheme="minorEastAsia" w:eastAsiaTheme="minorEastAsia"/>
                <w:b/>
                <w:bCs/>
              </w:rPr>
              <w:t>符合性审查项</w:t>
            </w:r>
          </w:p>
        </w:tc>
        <w:tc>
          <w:tcPr>
            <w:tcW w:w="5498" w:type="dxa"/>
            <w:tcBorders>
              <w:top w:val="single" w:color="auto" w:sz="12" w:space="0"/>
              <w:bottom w:val="single" w:color="auto" w:sz="2" w:space="0"/>
            </w:tcBorders>
            <w:shd w:val="clear" w:color="auto" w:fill="F2F2F2"/>
            <w:vAlign w:val="center"/>
          </w:tcPr>
          <w:p>
            <w:pPr>
              <w:spacing w:line="560" w:lineRule="exact"/>
              <w:jc w:val="center"/>
              <w:rPr>
                <w:rFonts w:cs="宋体" w:asciiTheme="minorEastAsia" w:hAnsiTheme="minorEastAsia" w:eastAsiaTheme="minorEastAsia"/>
                <w:b/>
                <w:bCs/>
              </w:rPr>
            </w:pPr>
            <w:r>
              <w:rPr>
                <w:rFonts w:hint="eastAsia" w:cs="宋体" w:asciiTheme="minorEastAsia" w:hAnsiTheme="minorEastAsia" w:eastAsiaTheme="minorEastAsia"/>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2392" w:type="dxa"/>
            <w:tcBorders>
              <w:top w:val="single" w:color="auto" w:sz="2" w:space="0"/>
            </w:tcBorders>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投标文件的签署、盖章</w:t>
            </w:r>
          </w:p>
        </w:tc>
        <w:tc>
          <w:tcPr>
            <w:tcW w:w="5498" w:type="dxa"/>
            <w:tcBorders>
              <w:top w:val="single" w:color="auto" w:sz="2" w:space="0"/>
            </w:tcBorders>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投标文件的签署、盖章满足招标文件要求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2392" w:type="dxa"/>
            <w:tcBorders>
              <w:top w:val="single" w:color="auto" w:sz="2" w:space="0"/>
            </w:tcBorders>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投标报价是否超过预算或最高限价</w:t>
            </w:r>
          </w:p>
        </w:tc>
        <w:tc>
          <w:tcPr>
            <w:tcW w:w="5498" w:type="dxa"/>
            <w:tcBorders>
              <w:top w:val="single" w:color="auto" w:sz="2" w:space="0"/>
            </w:tcBorders>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投标报价未超过预算或最高限价</w:t>
            </w:r>
          </w:p>
          <w:p>
            <w:pPr>
              <w:jc w:val="both"/>
              <w:rPr>
                <w:rFonts w:cs="宋体"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2392"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交付期是否满足招标文件要求</w:t>
            </w:r>
          </w:p>
        </w:tc>
        <w:tc>
          <w:tcPr>
            <w:tcW w:w="5498"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交付期满足招标文件要求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2392"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质保期是否满足招标文件要求</w:t>
            </w:r>
          </w:p>
        </w:tc>
        <w:tc>
          <w:tcPr>
            <w:tcW w:w="5498"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质保期满足招标文件要求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2392"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投标文件的标的数量是否满足招标文件要求</w:t>
            </w:r>
          </w:p>
        </w:tc>
        <w:tc>
          <w:tcPr>
            <w:tcW w:w="5498"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投标文件的标的数量满足招标文件要求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2392"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投标文件有效期</w:t>
            </w:r>
          </w:p>
        </w:tc>
        <w:tc>
          <w:tcPr>
            <w:tcW w:w="5498"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2392" w:type="dxa"/>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投标文件的商务条款是否满足招标文件要求</w:t>
            </w:r>
          </w:p>
        </w:tc>
        <w:tc>
          <w:tcPr>
            <w:tcW w:w="5498" w:type="dxa"/>
            <w:vAlign w:val="center"/>
          </w:tcPr>
          <w:p>
            <w:pPr>
              <w:jc w:val="both"/>
              <w:rPr>
                <w:rFonts w:cs="宋体" w:asciiTheme="minorEastAsia" w:hAnsiTheme="minorEastAsia" w:eastAsiaTheme="minorEastAsia"/>
              </w:rPr>
            </w:pPr>
            <w:r>
              <w:rPr>
                <w:rFonts w:hint="eastAsia" w:cs="宋体" w:asciiTheme="minorEastAsia" w:hAnsiTheme="minorEastAsia" w:eastAsiaTheme="minorEastAsia"/>
              </w:rPr>
              <w:t>投标文件的商务条款满足招标文件要求</w:t>
            </w:r>
          </w:p>
        </w:tc>
      </w:tr>
    </w:tbl>
    <w:p>
      <w:pPr>
        <w:pStyle w:val="103"/>
        <w:ind w:firstLine="497"/>
        <w:rPr>
          <w:rFonts w:asciiTheme="minorEastAsia" w:hAnsiTheme="minorEastAsia" w:eastAsiaTheme="minorEastAsia"/>
        </w:rPr>
      </w:pPr>
      <w:bookmarkStart w:id="60" w:name="_Toc11857"/>
      <w:r>
        <w:rPr>
          <w:rFonts w:hint="eastAsia" w:asciiTheme="minorEastAsia" w:hAnsiTheme="minorEastAsia" w:eastAsiaTheme="minorEastAsia"/>
        </w:rPr>
        <w:t>3．综合比较与评价</w:t>
      </w:r>
      <w:bookmarkEnd w:id="60"/>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评标委员会按《评审要素及分值一览表》中规定的评标方法和标准，对通过符合性审查的投标文件进行商务和技术评估，综合比较与评价。</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出现下列情形的，供应商投标无效：</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（1）投标文件报价出现本章第五小节“投标报价”所列需要修正情形，但供应商对修正后的报价不予确认的；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cs="宋体" w:asciiTheme="minorEastAsia" w:hAnsiTheme="minorEastAsia" w:eastAsiaTheme="minorEastAsia"/>
        </w:rPr>
      </w:pPr>
      <w:r>
        <w:rPr>
          <w:rFonts w:hint="eastAsia" w:cs="宋体" w:asciiTheme="minorEastAsia" w:hAnsiTheme="minorEastAsia" w:eastAsiaTheme="minorEastAsia"/>
        </w:rPr>
        <w:br w:type="page"/>
      </w:r>
    </w:p>
    <w:p>
      <w:pPr>
        <w:spacing w:line="560" w:lineRule="exact"/>
        <w:jc w:val="both"/>
        <w:rPr>
          <w:rFonts w:cs="宋体" w:asciiTheme="minorEastAsia" w:hAnsiTheme="minorEastAsia" w:eastAsiaTheme="minorEastAsia"/>
        </w:rPr>
      </w:pPr>
      <w:r>
        <w:rPr>
          <w:rFonts w:hint="eastAsia" w:cs="宋体" w:asciiTheme="minorEastAsia" w:hAnsiTheme="minorEastAsia" w:eastAsiaTheme="minorEastAsia"/>
        </w:rPr>
        <w:t>〖评审要素及分值一览表〗</w:t>
      </w:r>
    </w:p>
    <w:p>
      <w:pPr>
        <w:pStyle w:val="9"/>
        <w:numPr>
          <w:ilvl w:val="3"/>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评分标准：</w:t>
      </w:r>
    </w:p>
    <w:tbl>
      <w:tblPr>
        <w:tblStyle w:val="36"/>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456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vAlign w:val="center"/>
          </w:tcPr>
          <w:p>
            <w:pPr>
              <w:jc w:val="center"/>
              <w:rPr>
                <w:rFonts w:cs="宋体" w:asciiTheme="minorEastAsia" w:hAnsiTheme="minorEastAsia" w:eastAsiaTheme="minorEastAsia"/>
              </w:rPr>
            </w:pPr>
            <w:bookmarkStart w:id="61" w:name="_Toc10025"/>
            <w:r>
              <w:rPr>
                <w:rFonts w:hint="eastAsia" w:cs="宋体" w:asciiTheme="minorEastAsia" w:hAnsiTheme="minorEastAsia" w:eastAsiaTheme="minorEastAsia"/>
              </w:rPr>
              <w:t>序号</w:t>
            </w:r>
          </w:p>
        </w:tc>
        <w:tc>
          <w:tcPr>
            <w:tcW w:w="113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评分因素</w:t>
            </w:r>
          </w:p>
        </w:tc>
        <w:tc>
          <w:tcPr>
            <w:tcW w:w="709"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分值</w:t>
            </w:r>
          </w:p>
        </w:tc>
        <w:tc>
          <w:tcPr>
            <w:tcW w:w="4565"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评分标准</w:t>
            </w:r>
          </w:p>
        </w:tc>
        <w:tc>
          <w:tcPr>
            <w:tcW w:w="158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75"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13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报价</w:t>
            </w:r>
          </w:p>
        </w:tc>
        <w:tc>
          <w:tcPr>
            <w:tcW w:w="709"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30</w:t>
            </w:r>
          </w:p>
        </w:tc>
        <w:tc>
          <w:tcPr>
            <w:tcW w:w="456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rPr>
              <w:t>供应商的价格分值统一按下列公式计算：投标报价得分＝（评标基准价/投标报价）×30。评标基准价是指满足招标文件要求且投标价格最低的投标报价。</w:t>
            </w:r>
          </w:p>
          <w:p>
            <w:pPr>
              <w:rPr>
                <w:rFonts w:cs="宋体" w:asciiTheme="minorEastAsia" w:hAnsiTheme="minorEastAsia" w:eastAsiaTheme="minorEastAsia"/>
              </w:rPr>
            </w:pPr>
            <w:r>
              <w:rPr>
                <w:rFonts w:hint="eastAsia" w:cs="宋体" w:asciiTheme="minorEastAsia" w:hAnsiTheme="minorEastAsia" w:eastAsiaTheme="minorEastAsia"/>
              </w:rPr>
              <w:t>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588" w:type="dxa"/>
            <w:vAlign w:val="center"/>
          </w:tcPr>
          <w:p>
            <w:pPr>
              <w:rPr>
                <w:rFonts w:cs="宋体" w:asciiTheme="minorEastAsia" w:hAnsiTheme="minorEastAsia" w:eastAsiaTheme="minorEastAsia"/>
              </w:rPr>
            </w:pPr>
            <w:r>
              <w:rPr>
                <w:rFonts w:hint="eastAsia" w:cs="宋体" w:asciiTheme="minorEastAsia" w:hAnsiTheme="minorEastAsia" w:eastAsiaTheme="minorEastAsia"/>
              </w:rPr>
              <w:t>政策性优惠详见评审标准备注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75" w:type="dxa"/>
            <w:vMerge w:val="restart"/>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134" w:type="dxa"/>
            <w:vMerge w:val="restart"/>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技术指标和配置</w:t>
            </w:r>
          </w:p>
        </w:tc>
        <w:tc>
          <w:tcPr>
            <w:tcW w:w="709" w:type="dxa"/>
            <w:vMerge w:val="restart"/>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r>
              <w:rPr>
                <w:rFonts w:cs="宋体" w:asciiTheme="minorEastAsia" w:hAnsiTheme="minorEastAsia" w:eastAsiaTheme="minorEastAsia"/>
              </w:rPr>
              <w:t>5</w:t>
            </w:r>
          </w:p>
        </w:tc>
        <w:tc>
          <w:tcPr>
            <w:tcW w:w="4565" w:type="dxa"/>
            <w:vMerge w:val="restart"/>
            <w:vAlign w:val="center"/>
          </w:tcPr>
          <w:p>
            <w:pPr>
              <w:rPr>
                <w:rFonts w:cs="宋体" w:asciiTheme="minorEastAsia" w:hAnsiTheme="minorEastAsia" w:eastAsiaTheme="minorEastAsia"/>
              </w:rPr>
            </w:pPr>
            <w:r>
              <w:rPr>
                <w:rFonts w:hint="eastAsia" w:cs="宋体" w:asciiTheme="minorEastAsia" w:hAnsiTheme="minorEastAsia" w:eastAsiaTheme="minorEastAsia"/>
              </w:rPr>
              <w:t>1.硬件部分：基本分（10分），设备参数完全符合、响应招标文件要求，没有负偏离的得10分，标“▲”项参数负偏离一项扣</w:t>
            </w:r>
            <w:r>
              <w:rPr>
                <w:rFonts w:cs="宋体" w:asciiTheme="minorEastAsia" w:hAnsiTheme="minorEastAsia" w:eastAsiaTheme="minorEastAsia"/>
              </w:rPr>
              <w:t>1</w:t>
            </w:r>
            <w:r>
              <w:rPr>
                <w:rFonts w:hint="eastAsia" w:cs="宋体" w:asciiTheme="minorEastAsia" w:hAnsiTheme="minorEastAsia" w:eastAsiaTheme="minorEastAsia"/>
              </w:rPr>
              <w:t>分，未标“▲”项参数负偏离一项扣0.</w:t>
            </w:r>
            <w:r>
              <w:rPr>
                <w:rFonts w:cs="宋体" w:asciiTheme="minorEastAsia" w:hAnsiTheme="minorEastAsia" w:eastAsiaTheme="minorEastAsia"/>
              </w:rPr>
              <w:t>5</w:t>
            </w:r>
            <w:r>
              <w:rPr>
                <w:rFonts w:hint="eastAsia" w:cs="宋体" w:asciiTheme="minorEastAsia" w:hAnsiTheme="minorEastAsia" w:eastAsiaTheme="minorEastAsia"/>
              </w:rPr>
              <w:t>分，扣完为止。</w:t>
            </w:r>
          </w:p>
          <w:p>
            <w:pPr>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w:t>
            </w:r>
            <w:r>
              <w:rPr>
                <w:rFonts w:hint="eastAsia" w:cs="宋体" w:asciiTheme="minorEastAsia" w:hAnsiTheme="minorEastAsia" w:eastAsiaTheme="minorEastAsia"/>
              </w:rPr>
              <w:t>软件部分：除演示项外基本分（10分）：软件功能完全符合、响应招标文件要求，没有负偏离的得10分；标“★”参数负偏离一项扣</w:t>
            </w:r>
            <w:r>
              <w:rPr>
                <w:rFonts w:cs="宋体" w:asciiTheme="minorEastAsia" w:hAnsiTheme="minorEastAsia" w:eastAsiaTheme="minorEastAsia"/>
              </w:rPr>
              <w:t>1</w:t>
            </w:r>
            <w:r>
              <w:rPr>
                <w:rFonts w:hint="eastAsia" w:cs="宋体" w:asciiTheme="minorEastAsia" w:hAnsiTheme="minorEastAsia" w:eastAsiaTheme="minorEastAsia"/>
              </w:rPr>
              <w:t>分，未标“★”项参数负偏离一项扣0.</w:t>
            </w:r>
            <w:r>
              <w:rPr>
                <w:rFonts w:cs="宋体" w:asciiTheme="minorEastAsia" w:hAnsiTheme="minorEastAsia" w:eastAsiaTheme="minorEastAsia"/>
              </w:rPr>
              <w:t>5</w:t>
            </w:r>
            <w:r>
              <w:rPr>
                <w:rFonts w:hint="eastAsia" w:cs="宋体" w:asciiTheme="minorEastAsia" w:hAnsiTheme="minorEastAsia" w:eastAsiaTheme="minorEastAsia"/>
              </w:rPr>
              <w:t>分，扣完为止。</w:t>
            </w:r>
          </w:p>
          <w:p>
            <w:pPr>
              <w:rPr>
                <w:rFonts w:cs="宋体" w:asciiTheme="minorEastAsia" w:hAnsiTheme="minorEastAsia" w:eastAsiaTheme="minorEastAsia"/>
              </w:rPr>
            </w:pPr>
            <w:r>
              <w:rPr>
                <w:rFonts w:hint="eastAsia" w:cs="宋体" w:asciiTheme="minorEastAsia" w:hAnsiTheme="minorEastAsia" w:eastAsiaTheme="minorEastAsia"/>
              </w:rPr>
              <w:t>3</w:t>
            </w:r>
            <w:r>
              <w:rPr>
                <w:rFonts w:cs="宋体" w:asciiTheme="minorEastAsia" w:hAnsiTheme="minorEastAsia" w:eastAsiaTheme="minorEastAsia"/>
              </w:rPr>
              <w:t>.</w:t>
            </w:r>
            <w:r>
              <w:rPr>
                <w:rFonts w:hint="eastAsia" w:cs="宋体" w:asciiTheme="minorEastAsia" w:hAnsiTheme="minorEastAsia" w:eastAsiaTheme="minorEastAsia"/>
              </w:rPr>
              <w:t>软件功能演示部分：（1</w:t>
            </w:r>
            <w:r>
              <w:rPr>
                <w:rFonts w:cs="宋体" w:asciiTheme="minorEastAsia" w:hAnsiTheme="minorEastAsia" w:eastAsiaTheme="minorEastAsia"/>
              </w:rPr>
              <w:t>5</w:t>
            </w:r>
            <w:r>
              <w:rPr>
                <w:rFonts w:hint="eastAsia" w:cs="宋体" w:asciiTheme="minorEastAsia" w:hAnsiTheme="minorEastAsia" w:eastAsiaTheme="minorEastAsia"/>
              </w:rPr>
              <w:t>分）</w:t>
            </w:r>
          </w:p>
          <w:p>
            <w:pPr>
              <w:ind w:firstLine="496" w:firstLineChars="200"/>
              <w:rPr>
                <w:rFonts w:cs="仿宋" w:asciiTheme="minorEastAsia" w:hAnsiTheme="minorEastAsia" w:eastAsiaTheme="minorEastAsia"/>
                <w:color w:val="000000"/>
              </w:rPr>
            </w:pPr>
            <w:r>
              <w:rPr>
                <w:rFonts w:hint="eastAsia" w:cs="仿宋" w:asciiTheme="minorEastAsia" w:hAnsiTheme="minorEastAsia" w:eastAsiaTheme="minorEastAsia"/>
                <w:color w:val="000000"/>
              </w:rPr>
              <w:t>对本次项目</w:t>
            </w:r>
            <w:r>
              <w:rPr>
                <w:rFonts w:hint="eastAsia" w:asciiTheme="minorEastAsia" w:hAnsiTheme="minorEastAsia" w:eastAsiaTheme="minorEastAsia"/>
                <w:color w:val="000000"/>
              </w:rPr>
              <w:t>加</w:t>
            </w:r>
            <w:r>
              <w:rPr>
                <w:rFonts w:hint="eastAsia" w:cs="仿宋" w:asciiTheme="minorEastAsia" w:hAnsiTheme="minorEastAsia" w:eastAsiaTheme="minorEastAsia"/>
                <w:color w:val="000000"/>
              </w:rPr>
              <w:t>“</w:t>
            </w:r>
            <w:r>
              <w:rPr>
                <w:rFonts w:hint="eastAsia" w:cs="宋体" w:asciiTheme="minorEastAsia" w:hAnsiTheme="minorEastAsia" w:eastAsiaTheme="minorEastAsia"/>
                <w:color w:val="000000"/>
              </w:rPr>
              <w:t>◆</w:t>
            </w:r>
            <w:r>
              <w:rPr>
                <w:rFonts w:hint="eastAsia" w:cs="仿宋" w:asciiTheme="minorEastAsia" w:hAnsiTheme="minorEastAsia" w:eastAsiaTheme="minorEastAsia"/>
                <w:color w:val="000000"/>
              </w:rPr>
              <w:t>”</w:t>
            </w:r>
            <w:r>
              <w:rPr>
                <w:rFonts w:hint="eastAsia" w:asciiTheme="minorEastAsia" w:hAnsiTheme="minorEastAsia" w:eastAsiaTheme="minorEastAsia"/>
                <w:color w:val="000000"/>
              </w:rPr>
              <w:t>号</w:t>
            </w:r>
            <w:r>
              <w:rPr>
                <w:rFonts w:hint="eastAsia" w:cs="仿宋" w:asciiTheme="minorEastAsia" w:hAnsiTheme="minorEastAsia" w:eastAsiaTheme="minorEastAsia"/>
                <w:color w:val="000000"/>
              </w:rPr>
              <w:t>的主要功能点提供软件功能演示，不提供</w:t>
            </w:r>
            <w:r>
              <w:rPr>
                <w:rFonts w:hint="eastAsia" w:cs="仿宋" w:asciiTheme="minorEastAsia" w:hAnsiTheme="minorEastAsia" w:eastAsiaTheme="minorEastAsia"/>
              </w:rPr>
              <w:t>演示</w:t>
            </w:r>
            <w:r>
              <w:rPr>
                <w:rFonts w:hint="eastAsia" w:cs="仿宋" w:asciiTheme="minorEastAsia" w:hAnsiTheme="minorEastAsia" w:eastAsiaTheme="minorEastAsia"/>
                <w:color w:val="000000"/>
              </w:rPr>
              <w:t>不得分。</w:t>
            </w:r>
          </w:p>
          <w:p>
            <w:pPr>
              <w:ind w:firstLine="496" w:firstLineChars="200"/>
              <w:rPr>
                <w:rFonts w:cs="仿宋" w:asciiTheme="minorEastAsia" w:hAnsiTheme="minorEastAsia" w:eastAsiaTheme="minorEastAsia"/>
                <w:color w:val="000000"/>
              </w:rPr>
            </w:pPr>
            <w:r>
              <w:rPr>
                <w:rFonts w:cs="仿宋" w:asciiTheme="minorEastAsia" w:hAnsiTheme="minorEastAsia" w:eastAsiaTheme="minorEastAsia"/>
                <w:color w:val="000000"/>
              </w:rPr>
              <w:t>3.1</w:t>
            </w:r>
            <w:r>
              <w:rPr>
                <w:rFonts w:hint="eastAsia" w:cs="仿宋" w:asciiTheme="minorEastAsia" w:hAnsiTheme="minorEastAsia" w:eastAsiaTheme="minorEastAsia"/>
                <w:color w:val="000000"/>
              </w:rPr>
              <w:t>为提升护理质量检查的及时性，客观公正地评价各护理单元的护理质量水平,建立质量的数据反馈统计指标,使质量检查控制做到科学化、数据化，护理质量检查演示内容如下：</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1</w:t>
            </w:r>
            <w:r>
              <w:rPr>
                <w:rFonts w:hint="eastAsia" w:cs="仿宋" w:asciiTheme="minorEastAsia" w:hAnsiTheme="minorEastAsia" w:eastAsiaTheme="minorEastAsia"/>
                <w:color w:val="000000" w:themeColor="text1"/>
                <w14:textFill>
                  <w14:solidFill>
                    <w14:schemeClr w14:val="tx1"/>
                  </w14:solidFill>
                </w14:textFill>
              </w:rPr>
              <w:t>、不良事件上报提供医疗管理类、护理管理类、药品管理类、医技管理类、输血管理类等12大类，跌倒、坠床、压疮、管路护理等超过50子类的不良事件填报上报功能；（2分）</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2</w:t>
            </w:r>
            <w:r>
              <w:rPr>
                <w:rFonts w:hint="eastAsia" w:cs="仿宋" w:asciiTheme="minorEastAsia" w:hAnsiTheme="minorEastAsia" w:eastAsiaTheme="minorEastAsia"/>
                <w:color w:val="000000" w:themeColor="text1"/>
                <w14:textFill>
                  <w14:solidFill>
                    <w14:schemeClr w14:val="tx1"/>
                  </w14:solidFill>
                </w14:textFill>
              </w:rPr>
              <w:t>、支持患者基本信息、当事人信息和报告人信息自动生成功能；（0</w:t>
            </w:r>
            <w:r>
              <w:rPr>
                <w:rFonts w:cs="仿宋" w:asciiTheme="minorEastAsia" w:hAnsiTheme="minorEastAsia" w:eastAsiaTheme="minorEastAsia"/>
                <w:color w:val="000000" w:themeColor="text1"/>
                <w14:textFill>
                  <w14:solidFill>
                    <w14:schemeClr w14:val="tx1"/>
                  </w14:solidFill>
                </w14:textFill>
              </w:rPr>
              <w:t>.5</w:t>
            </w:r>
            <w:r>
              <w:rPr>
                <w:rFonts w:hint="eastAsia" w:cs="仿宋" w:asciiTheme="minorEastAsia" w:hAnsiTheme="minorEastAsia" w:eastAsiaTheme="minorEastAsia"/>
                <w:color w:val="000000" w:themeColor="text1"/>
                <w14:textFill>
                  <w14:solidFill>
                    <w14:schemeClr w14:val="tx1"/>
                  </w14:solidFill>
                </w14:textFill>
              </w:rPr>
              <w:t>分）</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3</w:t>
            </w:r>
            <w:r>
              <w:rPr>
                <w:rFonts w:hint="eastAsia" w:cs="仿宋" w:asciiTheme="minorEastAsia" w:hAnsiTheme="minorEastAsia" w:eastAsiaTheme="minorEastAsia"/>
                <w:color w:val="000000" w:themeColor="text1"/>
                <w14:textFill>
                  <w14:solidFill>
                    <w14:schemeClr w14:val="tx1"/>
                  </w14:solidFill>
                </w14:textFill>
              </w:rPr>
              <w:t>、事件分析整改支持对单个事件进行鱼骨图分析；（0</w:t>
            </w:r>
            <w:r>
              <w:rPr>
                <w:rFonts w:cs="仿宋" w:asciiTheme="minorEastAsia" w:hAnsiTheme="minorEastAsia" w:eastAsiaTheme="minorEastAsia"/>
                <w:color w:val="000000" w:themeColor="text1"/>
                <w14:textFill>
                  <w14:solidFill>
                    <w14:schemeClr w14:val="tx1"/>
                  </w14:solidFill>
                </w14:textFill>
              </w:rPr>
              <w:t>.5</w:t>
            </w:r>
            <w:r>
              <w:rPr>
                <w:rFonts w:hint="eastAsia" w:cs="仿宋" w:asciiTheme="minorEastAsia" w:hAnsiTheme="minorEastAsia" w:eastAsiaTheme="minorEastAsia"/>
                <w:color w:val="000000" w:themeColor="text1"/>
                <w14:textFill>
                  <w14:solidFill>
                    <w14:schemeClr w14:val="tx1"/>
                  </w14:solidFill>
                </w14:textFill>
              </w:rPr>
              <w:t>分）</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4</w:t>
            </w:r>
            <w:r>
              <w:rPr>
                <w:rFonts w:hint="eastAsia" w:cs="仿宋" w:asciiTheme="minorEastAsia" w:hAnsiTheme="minorEastAsia" w:eastAsiaTheme="minorEastAsia"/>
                <w:color w:val="000000" w:themeColor="text1"/>
                <w14:textFill>
                  <w14:solidFill>
                    <w14:schemeClr w14:val="tx1"/>
                  </w14:solidFill>
                </w14:textFill>
              </w:rPr>
              <w:t>、医疗安全不良事件RCA分析整改判定流程具有异常事件决策树工具，选择对应的判断节点自动流转到下个节点，并产生相应结论。（2分）</w:t>
            </w:r>
          </w:p>
          <w:p>
            <w:pPr>
              <w:ind w:firstLine="496" w:firstLineChars="200"/>
              <w:rPr>
                <w:rFonts w:cs="仿宋" w:asciiTheme="minorEastAsia" w:hAnsiTheme="minorEastAsia" w:eastAsiaTheme="minorEastAsia"/>
                <w:color w:val="000000"/>
              </w:rPr>
            </w:pPr>
            <w:r>
              <w:rPr>
                <w:rFonts w:hint="eastAsia" w:cs="仿宋" w:asciiTheme="minorEastAsia" w:hAnsiTheme="minorEastAsia" w:eastAsiaTheme="minorEastAsia"/>
                <w:color w:val="000000"/>
              </w:rPr>
              <w:t>评审项评审依据：以上软件功能演示内容，每一项演示缺项、少项或不完整的不得分，最多得</w:t>
            </w:r>
            <w:r>
              <w:rPr>
                <w:rFonts w:cs="仿宋" w:asciiTheme="minorEastAsia" w:hAnsiTheme="minorEastAsia" w:eastAsiaTheme="minorEastAsia"/>
                <w:color w:val="000000"/>
              </w:rPr>
              <w:t>5</w:t>
            </w:r>
            <w:r>
              <w:rPr>
                <w:rFonts w:hint="eastAsia" w:cs="仿宋" w:asciiTheme="minorEastAsia" w:hAnsiTheme="minorEastAsia" w:eastAsiaTheme="minorEastAsia"/>
                <w:color w:val="000000"/>
              </w:rPr>
              <w:t>分。</w:t>
            </w:r>
          </w:p>
          <w:p>
            <w:pPr>
              <w:ind w:firstLine="496" w:firstLineChars="200"/>
              <w:rPr>
                <w:rFonts w:cs="仿宋" w:asciiTheme="minorEastAsia" w:hAnsiTheme="minorEastAsia" w:eastAsiaTheme="minorEastAsia"/>
                <w:color w:val="000000"/>
              </w:rPr>
            </w:pPr>
            <w:r>
              <w:rPr>
                <w:rFonts w:cs="仿宋" w:asciiTheme="minorEastAsia" w:hAnsiTheme="minorEastAsia" w:eastAsiaTheme="minorEastAsia"/>
                <w:color w:val="000000"/>
              </w:rPr>
              <w:t>3</w:t>
            </w:r>
            <w:r>
              <w:rPr>
                <w:rFonts w:hint="eastAsia" w:cs="仿宋" w:asciiTheme="minorEastAsia" w:hAnsiTheme="minorEastAsia" w:eastAsiaTheme="minorEastAsia"/>
                <w:color w:val="000000"/>
              </w:rPr>
              <w:t>.</w:t>
            </w:r>
            <w:r>
              <w:rPr>
                <w:rFonts w:cs="仿宋" w:asciiTheme="minorEastAsia" w:hAnsiTheme="minorEastAsia" w:eastAsiaTheme="minorEastAsia"/>
                <w:color w:val="000000"/>
              </w:rPr>
              <w:t>2</w:t>
            </w:r>
            <w:r>
              <w:rPr>
                <w:rFonts w:hint="eastAsia" w:cs="仿宋" w:asciiTheme="minorEastAsia" w:hAnsiTheme="minorEastAsia" w:eastAsiaTheme="minorEastAsia"/>
                <w:color w:val="000000"/>
              </w:rPr>
              <w:t>供应商所提供的智慧手术产品可实现手术室智能化管理，可提供实时信息交互及预警上报，并能够根据排班自动派单，催单的一站式报修运维服务，手术室智能化管理演示内容如下：</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1、以BIM可视化形式集中监控数字手术室、医用气体、手术环境、洁净空调、隔离电源、UPS、行为管理各个子系统的运行数据，不以BIM可视化形式演示不得分；（3分）</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2、以BIM可视化形式通过每间手术室排台压力动态查看各手术间等候手术排台资源，不以BIM可视化形式演示不得分；（2分）</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3</w:t>
            </w:r>
            <w:r>
              <w:rPr>
                <w:rFonts w:hint="eastAsia" w:cs="仿宋" w:asciiTheme="minorEastAsia" w:hAnsiTheme="minorEastAsia" w:eastAsiaTheme="minorEastAsia"/>
                <w:color w:val="000000" w:themeColor="text1"/>
                <w14:textFill>
                  <w14:solidFill>
                    <w14:schemeClr w14:val="tx1"/>
                  </w14:solidFill>
                </w14:textFill>
              </w:rPr>
              <w:t>、以BIM可视化方式展示手术情况统计信息；并能结合图文方式展示今日手术情况，按科室手术统计日间、门诊、急诊、住院患者手术台数，提供各手术等级手术台数，提供各手术间今日、明日手术排台一览图，提供周视图下门急诊住院手术台数图表展示，不以BIM可视化形式演示不得分；（计</w:t>
            </w:r>
            <w:r>
              <w:rPr>
                <w:rFonts w:cs="仿宋" w:asciiTheme="minorEastAsia" w:hAnsiTheme="minorEastAsia" w:eastAsiaTheme="minorEastAsia"/>
                <w:color w:val="000000" w:themeColor="text1"/>
                <w14:textFill>
                  <w14:solidFill>
                    <w14:schemeClr w14:val="tx1"/>
                  </w14:solidFill>
                </w14:textFill>
              </w:rPr>
              <w:t>2</w:t>
            </w:r>
            <w:r>
              <w:rPr>
                <w:rFonts w:hint="eastAsia" w:cs="仿宋" w:asciiTheme="minorEastAsia" w:hAnsiTheme="minorEastAsia" w:eastAsiaTheme="minorEastAsia"/>
                <w:color w:val="000000" w:themeColor="text1"/>
                <w14:textFill>
                  <w14:solidFill>
                    <w14:schemeClr w14:val="tx1"/>
                  </w14:solidFill>
                </w14:textFill>
              </w:rPr>
              <w:t>分）</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4、以BIM可视化方式展示各手术间温度、湿度、压差、洁净时间的实时监测；展示医用气体实时监测；展示各手术间隔离电源、UPS运行情况实时监测；展示洁净空调组态，不以BIM可视化形式演示不得分；（计2分）</w:t>
            </w:r>
          </w:p>
          <w:p>
            <w:pPr>
              <w:ind w:firstLine="496" w:firstLineChars="200"/>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5</w:t>
            </w:r>
            <w:r>
              <w:rPr>
                <w:rFonts w:hint="eastAsia" w:cs="仿宋" w:asciiTheme="minorEastAsia" w:hAnsiTheme="minorEastAsia" w:eastAsiaTheme="minorEastAsia"/>
                <w:color w:val="000000" w:themeColor="text1"/>
                <w14:textFill>
                  <w14:solidFill>
                    <w14:schemeClr w14:val="tx1"/>
                  </w14:solidFill>
                </w14:textFill>
              </w:rPr>
              <w:t>、以BIM可视化方式展示和管理手术衣、手术鞋的发放及回收，不以BIM可视化形式演示不得分；（计1分）</w:t>
            </w:r>
          </w:p>
          <w:p>
            <w:pPr>
              <w:ind w:firstLine="496" w:firstLineChars="200"/>
              <w:rPr>
                <w:rFonts w:cs="仿宋" w:asciiTheme="minorEastAsia" w:hAnsiTheme="minorEastAsia" w:eastAsiaTheme="minorEastAsia"/>
                <w:color w:val="000000"/>
              </w:rPr>
            </w:pPr>
            <w:r>
              <w:rPr>
                <w:rFonts w:hint="eastAsia" w:cs="仿宋" w:asciiTheme="minorEastAsia" w:hAnsiTheme="minorEastAsia" w:eastAsiaTheme="minorEastAsia"/>
                <w:color w:val="000000"/>
              </w:rPr>
              <w:t>评审项评审依据：以上软件功能演示内容，每一项演示缺项、少项或不完整的不得分，最多得</w:t>
            </w:r>
            <w:r>
              <w:rPr>
                <w:rFonts w:cs="仿宋" w:asciiTheme="minorEastAsia" w:hAnsiTheme="minorEastAsia" w:eastAsiaTheme="minorEastAsia"/>
                <w:color w:val="000000"/>
              </w:rPr>
              <w:t>10</w:t>
            </w:r>
            <w:r>
              <w:rPr>
                <w:rFonts w:hint="eastAsia" w:cs="仿宋" w:asciiTheme="minorEastAsia" w:hAnsiTheme="minorEastAsia" w:eastAsiaTheme="minorEastAsia"/>
                <w:color w:val="000000"/>
              </w:rPr>
              <w:t>分。</w:t>
            </w:r>
          </w:p>
          <w:p>
            <w:pPr>
              <w:ind w:firstLine="496" w:firstLineChars="200"/>
              <w:rPr>
                <w:rFonts w:cs="仿宋" w:asciiTheme="minorEastAsia" w:hAnsiTheme="minorEastAsia" w:eastAsiaTheme="minorEastAsia"/>
                <w:color w:val="FF0000"/>
              </w:rPr>
            </w:pPr>
            <w:r>
              <w:rPr>
                <w:rFonts w:hint="eastAsia" w:cs="仿宋" w:asciiTheme="minorEastAsia" w:hAnsiTheme="minorEastAsia" w:eastAsiaTheme="minorEastAsia"/>
                <w:color w:val="000000"/>
              </w:rPr>
              <w:t>备注：以上两项软件功能演示由各投标人自行搭建演示环境，按照西安市公共资源交易中心要求，通过在线方式（腾讯会议）提供真实系统进行演示，不接受视频、PPT、DEMO等非真实系统演示，演示时长不超过1</w:t>
            </w:r>
            <w:r>
              <w:rPr>
                <w:rFonts w:cs="仿宋" w:asciiTheme="minorEastAsia" w:hAnsiTheme="minorEastAsia" w:eastAsiaTheme="minorEastAsia"/>
                <w:color w:val="000000"/>
              </w:rPr>
              <w:t>5</w:t>
            </w:r>
            <w:r>
              <w:rPr>
                <w:rFonts w:hint="eastAsia" w:cs="仿宋" w:asciiTheme="minorEastAsia" w:hAnsiTheme="minorEastAsia" w:eastAsiaTheme="minorEastAsia"/>
                <w:color w:val="000000"/>
              </w:rPr>
              <w:t>分钟。</w:t>
            </w:r>
          </w:p>
        </w:tc>
        <w:tc>
          <w:tcPr>
            <w:tcW w:w="1588" w:type="dxa"/>
            <w:vMerge w:val="restart"/>
            <w:vAlign w:val="center"/>
          </w:tcPr>
          <w:p>
            <w:pPr>
              <w:rPr>
                <w:rFonts w:cs="宋体"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vMerge w:val="continue"/>
            <w:vAlign w:val="center"/>
          </w:tcPr>
          <w:p>
            <w:pPr>
              <w:jc w:val="center"/>
              <w:rPr>
                <w:rFonts w:cs="宋体" w:asciiTheme="minorEastAsia" w:hAnsiTheme="minorEastAsia" w:eastAsiaTheme="minorEastAsia"/>
              </w:rPr>
            </w:pPr>
          </w:p>
        </w:tc>
        <w:tc>
          <w:tcPr>
            <w:tcW w:w="1134" w:type="dxa"/>
            <w:vMerge w:val="continue"/>
            <w:vAlign w:val="center"/>
          </w:tcPr>
          <w:p>
            <w:pPr>
              <w:jc w:val="center"/>
              <w:rPr>
                <w:rFonts w:cs="宋体" w:asciiTheme="minorEastAsia" w:hAnsiTheme="minorEastAsia" w:eastAsiaTheme="minorEastAsia"/>
              </w:rPr>
            </w:pPr>
          </w:p>
        </w:tc>
        <w:tc>
          <w:tcPr>
            <w:tcW w:w="709" w:type="dxa"/>
            <w:vMerge w:val="continue"/>
            <w:vAlign w:val="center"/>
          </w:tcPr>
          <w:p>
            <w:pPr>
              <w:jc w:val="center"/>
              <w:rPr>
                <w:rFonts w:cs="宋体" w:asciiTheme="minorEastAsia" w:hAnsiTheme="minorEastAsia" w:eastAsiaTheme="minorEastAsia"/>
              </w:rPr>
            </w:pPr>
          </w:p>
        </w:tc>
        <w:tc>
          <w:tcPr>
            <w:tcW w:w="4565" w:type="dxa"/>
            <w:vMerge w:val="continue"/>
            <w:vAlign w:val="center"/>
          </w:tcPr>
          <w:p>
            <w:pPr>
              <w:rPr>
                <w:rFonts w:cs="宋体" w:asciiTheme="minorEastAsia" w:hAnsiTheme="minorEastAsia" w:eastAsiaTheme="minorEastAsia"/>
              </w:rPr>
            </w:pPr>
          </w:p>
        </w:tc>
        <w:tc>
          <w:tcPr>
            <w:tcW w:w="1588" w:type="dxa"/>
            <w:vMerge w:val="continue"/>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75"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113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质量保证</w:t>
            </w:r>
          </w:p>
        </w:tc>
        <w:tc>
          <w:tcPr>
            <w:tcW w:w="709"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4565" w:type="dxa"/>
          </w:tcPr>
          <w:p>
            <w:pPr>
              <w:rPr>
                <w:rFonts w:cs="宋体" w:asciiTheme="minorEastAsia" w:hAnsiTheme="minorEastAsia" w:eastAsiaTheme="minorEastAsia"/>
              </w:rPr>
            </w:pPr>
            <w:r>
              <w:rPr>
                <w:rFonts w:hint="eastAsia" w:cs="宋体" w:asciiTheme="minorEastAsia" w:hAnsiTheme="minorEastAsia" w:eastAsiaTheme="minorEastAsia"/>
              </w:rPr>
              <w:t>提供投标产品</w:t>
            </w:r>
            <w:r>
              <w:rPr>
                <w:rFonts w:hint="eastAsia" w:cs="宋体" w:asciiTheme="minorEastAsia" w:hAnsiTheme="minorEastAsia" w:eastAsiaTheme="minorEastAsia"/>
                <w:color w:val="000000" w:themeColor="text1"/>
                <w14:textFill>
                  <w14:solidFill>
                    <w14:schemeClr w14:val="tx1"/>
                  </w14:solidFill>
                </w14:textFill>
              </w:rPr>
              <w:t>（移动护理PDA终端、手术行为管理、物联网基站）</w:t>
            </w:r>
            <w:r>
              <w:rPr>
                <w:rFonts w:hint="eastAsia" w:cs="宋体" w:asciiTheme="minorEastAsia" w:hAnsiTheme="minorEastAsia" w:eastAsiaTheme="minorEastAsia"/>
              </w:rPr>
              <w:t>来源渠道合法的证明文件（包括但不限于销售协议、代理协议、原厂授权等）每提供一个得1分，最高得3分。</w:t>
            </w:r>
          </w:p>
        </w:tc>
        <w:tc>
          <w:tcPr>
            <w:tcW w:w="1588" w:type="dxa"/>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675"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113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技术方案</w:t>
            </w:r>
          </w:p>
        </w:tc>
        <w:tc>
          <w:tcPr>
            <w:tcW w:w="709"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4565" w:type="dxa"/>
            <w:vAlign w:val="center"/>
          </w:tcPr>
          <w:p>
            <w:pPr>
              <w:rPr>
                <w:rFonts w:cs="宋体" w:asciiTheme="minorEastAsia" w:hAnsiTheme="minorEastAsia" w:eastAsiaTheme="minorEastAsia"/>
              </w:rPr>
            </w:pPr>
            <w:r>
              <w:rPr>
                <w:rFonts w:hint="eastAsia" w:cs="宋体" w:asciiTheme="minorEastAsia" w:hAnsiTheme="minorEastAsia" w:eastAsiaTheme="minorEastAsia"/>
              </w:rPr>
              <w:t>具有完整的技术方案，包含产品选型是否合理、模块功能是否完善、兼容性及可扩展性、设计规范的先进性、使用的安全可靠性，方案制定内容齐全，各类措施健全，完全满足采购需求并符合本项目实施特点的5分；以上方面中每缺少一方面内容扣1分；每有一处内容与实际需求不符或不满足要求或与本项目需求不匹配或直接套用其他项目内容的扣0-1分，扣完为止。</w:t>
            </w:r>
          </w:p>
        </w:tc>
        <w:tc>
          <w:tcPr>
            <w:tcW w:w="1588" w:type="dxa"/>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675"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113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设计方案</w:t>
            </w:r>
          </w:p>
        </w:tc>
        <w:tc>
          <w:tcPr>
            <w:tcW w:w="709" w:type="dxa"/>
            <w:vAlign w:val="center"/>
          </w:tcPr>
          <w:p>
            <w:pPr>
              <w:jc w:val="center"/>
              <w:rPr>
                <w:rFonts w:cs="宋体" w:asciiTheme="minorEastAsia" w:hAnsiTheme="minorEastAsia" w:eastAsiaTheme="minorEastAsia"/>
              </w:rPr>
            </w:pPr>
            <w:r>
              <w:rPr>
                <w:rFonts w:cs="宋体" w:asciiTheme="minorEastAsia" w:hAnsiTheme="minorEastAsia" w:eastAsiaTheme="minorEastAsia"/>
              </w:rPr>
              <w:t>8</w:t>
            </w:r>
          </w:p>
        </w:tc>
        <w:tc>
          <w:tcPr>
            <w:tcW w:w="4565" w:type="dxa"/>
            <w:vAlign w:val="center"/>
          </w:tcPr>
          <w:p>
            <w:r>
              <w:rPr>
                <w:rFonts w:hint="eastAsia" w:cs="宋体" w:asciiTheme="minorEastAsia" w:hAnsiTheme="minorEastAsia" w:eastAsiaTheme="minorEastAsia"/>
              </w:rPr>
              <w:t>针对洁净手术部的建设特点，为保证项目落地建设效果，供应商依据所领取基础图纸按照采购需求提供符合采购人实际要求的智慧手术部功能流线布局设计图纸，内容包含</w:t>
            </w:r>
            <w:r>
              <w:rPr>
                <w:rFonts w:hint="eastAsia" w:cs="宋体" w:asciiTheme="minorEastAsia" w:hAnsiTheme="minorEastAsia" w:eastAsiaTheme="minorEastAsia"/>
              </w:rPr>
              <w:sym w:font="Wingdings" w:char="F081"/>
            </w:r>
            <w:r>
              <w:rPr>
                <w:rFonts w:hint="eastAsia" w:cs="宋体" w:asciiTheme="minorEastAsia" w:hAnsiTheme="minorEastAsia" w:eastAsiaTheme="minorEastAsia"/>
                <w:color w:val="000000" w:themeColor="text1"/>
                <w14:textFill>
                  <w14:solidFill>
                    <w14:schemeClr w14:val="tx1"/>
                  </w14:solidFill>
                </w14:textFill>
              </w:rPr>
              <w:t>结合招标文件，洁净手术部智能化及物联网各系统设计完整，规划满足功能需求，</w:t>
            </w:r>
            <w:r>
              <w:rPr>
                <w:rFonts w:hint="eastAsia" w:cs="宋体" w:asciiTheme="minorEastAsia" w:hAnsiTheme="minorEastAsia" w:eastAsiaTheme="minorEastAsia"/>
                <w:color w:val="000000" w:themeColor="text1"/>
                <w14:textFill>
                  <w14:solidFill>
                    <w14:schemeClr w14:val="tx1"/>
                  </w14:solidFill>
                </w14:textFill>
              </w:rPr>
              <w:sym w:font="Wingdings" w:char="F082"/>
            </w:r>
            <w:r>
              <w:rPr>
                <w:rFonts w:hint="eastAsia" w:cs="宋体" w:asciiTheme="minorEastAsia" w:hAnsiTheme="minorEastAsia" w:eastAsiaTheme="minorEastAsia"/>
                <w:color w:val="000000" w:themeColor="text1"/>
                <w14:textFill>
                  <w14:solidFill>
                    <w14:schemeClr w14:val="tx1"/>
                  </w14:solidFill>
                </w14:textFill>
              </w:rPr>
              <w:t>设计满足手术部医生、护士、患者、护工、设备管理需求，</w:t>
            </w:r>
            <w:r>
              <w:rPr>
                <w:rFonts w:hint="eastAsia" w:asciiTheme="minorEastAsia" w:hAnsiTheme="minorEastAsia" w:eastAsiaTheme="minorEastAsia"/>
                <w:color w:val="000000" w:themeColor="text1"/>
                <w14:textFill>
                  <w14:solidFill>
                    <w14:schemeClr w14:val="tx1"/>
                  </w14:solidFill>
                </w14:textFill>
              </w:rPr>
              <w:sym w:font="Wingdings" w:char="F083"/>
            </w:r>
            <w:r>
              <w:rPr>
                <w:rFonts w:hint="eastAsia" w:asciiTheme="minorEastAsia" w:hAnsiTheme="minorEastAsia" w:eastAsiaTheme="minorEastAsia"/>
                <w:color w:val="000000" w:themeColor="text1"/>
                <w14:textFill>
                  <w14:solidFill>
                    <w14:schemeClr w14:val="tx1"/>
                  </w14:solidFill>
                </w14:textFill>
              </w:rPr>
              <w:t>设计满足向医院提供有效预防和控制医院手术室感染管理需求，</w:t>
            </w:r>
            <w:r>
              <w:rPr>
                <w:rFonts w:hint="eastAsia" w:ascii="宋体" w:hAnsi="宋体" w:cs="宋体"/>
                <w:color w:val="000000" w:themeColor="text1"/>
                <w14:textFill>
                  <w14:solidFill>
                    <w14:schemeClr w14:val="tx1"/>
                  </w14:solidFill>
                </w14:textFill>
              </w:rPr>
              <w:t>④</w:t>
            </w:r>
            <w:r>
              <w:rPr>
                <w:rFonts w:hint="eastAsia" w:cs="宋体" w:asciiTheme="minorEastAsia" w:hAnsiTheme="minorEastAsia" w:eastAsiaTheme="minorEastAsia"/>
                <w:color w:val="000000" w:themeColor="text1"/>
                <w14:textFill>
                  <w14:solidFill>
                    <w14:schemeClr w14:val="tx1"/>
                  </w14:solidFill>
                </w14:textFill>
              </w:rPr>
              <w:t>设计满足手术部各系统互联互通，且能形成联动，符合医院手术室流程管理需求，完全满足需求</w:t>
            </w:r>
            <w:r>
              <w:rPr>
                <w:rFonts w:hint="eastAsia" w:cs="宋体" w:asciiTheme="minorEastAsia" w:hAnsiTheme="minorEastAsia" w:eastAsiaTheme="minorEastAsia"/>
              </w:rPr>
              <w:t>并符合本项目实施特点的8分；以上方面中每缺少一方面内容扣2分；每有一处内容与实际需求不符或不满足要求或与本项目需求不匹配或直接套用其他项目内容的扣0-2分，扣完为止。</w:t>
            </w:r>
          </w:p>
        </w:tc>
        <w:tc>
          <w:tcPr>
            <w:tcW w:w="1588" w:type="dxa"/>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75"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113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实施方案</w:t>
            </w:r>
          </w:p>
        </w:tc>
        <w:tc>
          <w:tcPr>
            <w:tcW w:w="709"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4565" w:type="dxa"/>
            <w:vAlign w:val="center"/>
          </w:tcPr>
          <w:p>
            <w:pPr>
              <w:rPr>
                <w:rFonts w:cs="宋体" w:asciiTheme="minorEastAsia" w:hAnsiTheme="minorEastAsia" w:eastAsiaTheme="minorEastAsia"/>
              </w:rPr>
            </w:pPr>
            <w:r>
              <w:rPr>
                <w:rFonts w:hint="eastAsia" w:cs="宋体" w:asciiTheme="minorEastAsia" w:hAnsiTheme="minorEastAsia" w:eastAsiaTheme="minorEastAsia"/>
              </w:rPr>
              <w:t>具有完整的项目实施方案，包括项目总体实施进度、项目供货方案、项目人员组成、项目组织及协调方案、系统安装调试方案、项目验收方案内容。</w:t>
            </w:r>
          </w:p>
          <w:p>
            <w:pPr>
              <w:rPr>
                <w:rFonts w:cs="宋体" w:asciiTheme="minorEastAsia" w:hAnsiTheme="minorEastAsia" w:eastAsiaTheme="minorEastAsia"/>
              </w:rPr>
            </w:pPr>
            <w:r>
              <w:rPr>
                <w:rFonts w:hint="eastAsia" w:cs="宋体" w:asciiTheme="minorEastAsia" w:hAnsiTheme="minorEastAsia" w:eastAsiaTheme="minorEastAsia"/>
              </w:rPr>
              <w:t>方案制定内容齐全，各类措施健全，完全满足采购需求并符合本项目实施特点的6分；以上方面中每缺少一方面内容扣1分；每有一处内容与实际需求不符或不满足要求或与本项目需求不匹配或直接套用其他项目内容的扣0-1分，扣完为止。</w:t>
            </w:r>
          </w:p>
        </w:tc>
        <w:tc>
          <w:tcPr>
            <w:tcW w:w="1588" w:type="dxa"/>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456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rPr>
              <w:t>根据供应商提供的售后服务方案计分，包括售后服务承诺及保障措施、售后服务人员配置及响应计划、故障处理及应急预案、质量保证期限及质量保证的范围承诺、本地化售后方案（包含驻场服务），售后服务方案完整且具有符合实际需求的得5分，每缺少一项扣1分，某一项不完整、或不符合实际需求的扣1分，扣完为止。</w:t>
            </w:r>
          </w:p>
        </w:tc>
        <w:tc>
          <w:tcPr>
            <w:tcW w:w="1588"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综合实力</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cs="宋体" w:asciiTheme="minorEastAsia" w:hAnsiTheme="minorEastAsia" w:eastAsiaTheme="minorEastAsia"/>
              </w:rPr>
              <w:t>3</w:t>
            </w:r>
          </w:p>
        </w:tc>
        <w:tc>
          <w:tcPr>
            <w:tcW w:w="4565"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rPr>
            </w:pPr>
            <w:r>
              <w:rPr>
                <w:rFonts w:hint="eastAsia" w:cs="仿宋" w:asciiTheme="minorEastAsia" w:hAnsiTheme="minorEastAsia" w:eastAsiaTheme="minorEastAsia"/>
                <w:color w:val="000000"/>
              </w:rPr>
              <w:t>投标人提供与智慧医院相关业务的软件著作权证书，软件著作权证书需含有以下关键字“运营管理”或“医院服务”或“数字化手术室”或“手术管理”或“设备管理”或“空气监测”。每提供一个软件著作权证书计</w:t>
            </w:r>
            <w:r>
              <w:rPr>
                <w:rFonts w:cs="仿宋" w:asciiTheme="minorEastAsia" w:hAnsiTheme="minorEastAsia" w:eastAsiaTheme="minorEastAsia"/>
                <w:color w:val="000000"/>
              </w:rPr>
              <w:t>0.5</w:t>
            </w:r>
            <w:r>
              <w:rPr>
                <w:rFonts w:hint="eastAsia" w:cs="仿宋" w:asciiTheme="minorEastAsia" w:hAnsiTheme="minorEastAsia" w:eastAsiaTheme="minorEastAsia"/>
                <w:color w:val="000000"/>
              </w:rPr>
              <w:t>分，</w:t>
            </w:r>
            <w:r>
              <w:rPr>
                <w:rFonts w:hint="eastAsia" w:cs="仿宋" w:asciiTheme="minorEastAsia" w:hAnsiTheme="minorEastAsia" w:eastAsiaTheme="minorEastAsia"/>
              </w:rPr>
              <w:t>本项最高</w:t>
            </w:r>
            <w:r>
              <w:rPr>
                <w:rFonts w:hint="eastAsia" w:cs="仿宋" w:asciiTheme="minorEastAsia" w:hAnsiTheme="minorEastAsia" w:eastAsiaTheme="minorEastAsia"/>
                <w:color w:val="000000"/>
              </w:rPr>
              <w:t>计</w:t>
            </w:r>
            <w:r>
              <w:rPr>
                <w:rFonts w:cs="仿宋" w:asciiTheme="minorEastAsia" w:hAnsiTheme="minorEastAsia" w:eastAsiaTheme="minorEastAsia"/>
                <w:color w:val="000000"/>
              </w:rPr>
              <w:t>3</w:t>
            </w:r>
            <w:r>
              <w:rPr>
                <w:rFonts w:hint="eastAsia" w:cs="仿宋" w:asciiTheme="minorEastAsia" w:hAnsiTheme="minorEastAsia" w:eastAsiaTheme="minorEastAsia"/>
                <w:color w:val="000000"/>
              </w:rPr>
              <w:t xml:space="preserve">分； </w:t>
            </w:r>
          </w:p>
          <w:p>
            <w:pPr>
              <w:rPr>
                <w:rFonts w:asciiTheme="minorEastAsia" w:hAnsiTheme="minorEastAsia" w:eastAsiaTheme="minorEastAsia"/>
              </w:rPr>
            </w:pPr>
            <w:r>
              <w:rPr>
                <w:rFonts w:hint="eastAsia" w:cs="仿宋" w:asciiTheme="minorEastAsia" w:hAnsiTheme="minorEastAsia" w:eastAsiaTheme="minorEastAsia"/>
                <w:color w:val="000000"/>
              </w:rPr>
              <w:t>以上评审依据：提供证书复印件加盖公章，否则不计分。</w:t>
            </w:r>
          </w:p>
        </w:tc>
        <w:tc>
          <w:tcPr>
            <w:tcW w:w="1588"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业绩</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cs="宋体" w:asciiTheme="minorEastAsia" w:hAnsiTheme="minorEastAsia" w:eastAsiaTheme="minorEastAsia"/>
              </w:rPr>
              <w:t>4</w:t>
            </w:r>
          </w:p>
        </w:tc>
        <w:tc>
          <w:tcPr>
            <w:tcW w:w="456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rPr>
              <w:t>投标人提供2019年1月1日至今类似业绩，每提供1个计</w:t>
            </w:r>
            <w:r>
              <w:rPr>
                <w:rFonts w:cs="宋体" w:asciiTheme="minorEastAsia" w:hAnsiTheme="minorEastAsia" w:eastAsiaTheme="minorEastAsia"/>
              </w:rPr>
              <w:t>2</w:t>
            </w:r>
            <w:r>
              <w:rPr>
                <w:rFonts w:hint="eastAsia" w:cs="宋体" w:asciiTheme="minorEastAsia" w:hAnsiTheme="minorEastAsia" w:eastAsiaTheme="minorEastAsia"/>
              </w:rPr>
              <w:t>分，最高计</w:t>
            </w:r>
            <w:r>
              <w:rPr>
                <w:rFonts w:cs="宋体" w:asciiTheme="minorEastAsia" w:hAnsiTheme="minorEastAsia" w:eastAsiaTheme="minorEastAsia"/>
              </w:rPr>
              <w:t>4</w:t>
            </w:r>
            <w:r>
              <w:rPr>
                <w:rFonts w:hint="eastAsia" w:cs="宋体" w:asciiTheme="minorEastAsia" w:hAnsiTheme="minorEastAsia" w:eastAsiaTheme="minorEastAsia"/>
              </w:rPr>
              <w:t>分。（以合同签订日期为准，提供完整合同复印件）</w:t>
            </w:r>
          </w:p>
        </w:tc>
        <w:tc>
          <w:tcPr>
            <w:tcW w:w="1588"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rPr>
              <w:t>10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节能环保产品</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rPr>
            </w:pPr>
            <w:r>
              <w:rPr>
                <w:rFonts w:cs="宋体" w:asciiTheme="minorEastAsia" w:hAnsiTheme="minorEastAsia" w:eastAsiaTheme="minorEastAsia"/>
              </w:rPr>
              <w:t>1</w:t>
            </w:r>
          </w:p>
        </w:tc>
        <w:tc>
          <w:tcPr>
            <w:tcW w:w="456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rPr>
              <w:t>供应商所投产品中每有一项经国家认证机构认定为节能产品的得0.5分，每有一项为环境标志产品的得0.5分，供应商所投产品中每有一项产品即为节能产品又是环境标志产品得1分（产品不重复计分，如某一产品得到1分，不能再计节能或环境标志产品的0.5分），最多得</w:t>
            </w:r>
            <w:r>
              <w:rPr>
                <w:rFonts w:cs="宋体" w:asciiTheme="minorEastAsia" w:hAnsiTheme="minorEastAsia" w:eastAsiaTheme="minorEastAsia"/>
              </w:rPr>
              <w:t>1</w:t>
            </w:r>
            <w:r>
              <w:rPr>
                <w:rFonts w:hint="eastAsia" w:cs="宋体" w:asciiTheme="minorEastAsia" w:hAnsiTheme="minorEastAsia" w:eastAsiaTheme="minorEastAsia"/>
              </w:rPr>
              <w:t>分。</w:t>
            </w:r>
          </w:p>
        </w:tc>
        <w:tc>
          <w:tcPr>
            <w:tcW w:w="1588"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rPr>
              <w:t>以国家确定的认证机构出具的、处于有效期内的节能产品、环境标志产品认证证书为准。</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 xml:space="preserve">评审标准备注： </w:t>
      </w:r>
    </w:p>
    <w:p>
      <w:pPr>
        <w:widowControl w:val="0"/>
        <w:spacing w:line="120" w:lineRule="auto"/>
        <w:ind w:firstLine="496" w:firstLineChars="200"/>
        <w:rPr>
          <w:rFonts w:cs="宋体" w:asciiTheme="minorEastAsia" w:hAnsiTheme="minorEastAsia" w:eastAsiaTheme="minorEastAsia"/>
        </w:rPr>
      </w:pPr>
      <w:r>
        <w:rPr>
          <w:rFonts w:hint="eastAsia" w:cs="宋体" w:asciiTheme="minorEastAsia" w:hAnsiTheme="minorEastAsia" w:eastAsiaTheme="minorEastAsia"/>
        </w:rPr>
        <w:t>（1）对于非专门面向中小企业的项目、残疾人福利性单位的项目，对小型和微型企业、残疾人福利性单位产品的价格给予10%的扣除，用扣除后的价格参与评审，残疾人福利性单位属于小型、微型企业的，不重复享受政策；</w:t>
      </w:r>
    </w:p>
    <w:p>
      <w:pPr>
        <w:widowControl w:val="0"/>
        <w:spacing w:line="120" w:lineRule="auto"/>
        <w:ind w:firstLine="496" w:firstLineChars="200"/>
        <w:rPr>
          <w:rFonts w:cs="宋体" w:asciiTheme="minorEastAsia" w:hAnsiTheme="minorEastAsia" w:eastAsiaTheme="minorEastAsia"/>
        </w:rPr>
      </w:pPr>
      <w:r>
        <w:rPr>
          <w:rFonts w:hint="eastAsia" w:cs="宋体" w:asciiTheme="minorEastAsia" w:hAnsiTheme="minorEastAsia" w:eastAsiaTheme="minorEastAsia"/>
        </w:rPr>
        <w:t>（2）《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pPr>
        <w:widowControl w:val="0"/>
        <w:spacing w:line="120" w:lineRule="auto"/>
        <w:ind w:firstLine="496" w:firstLineChars="200"/>
        <w:rPr>
          <w:rFonts w:cs="宋体" w:asciiTheme="minorEastAsia" w:hAnsiTheme="minorEastAsia" w:eastAsiaTheme="minorEastAsia"/>
        </w:rPr>
      </w:pPr>
      <w:r>
        <w:rPr>
          <w:rFonts w:hint="eastAsia" w:cs="宋体" w:asciiTheme="minorEastAsia" w:hAnsiTheme="minorEastAsia" w:eastAsiaTheme="minorEastAsia"/>
        </w:rPr>
        <w:t>（3）节能环保产品以节能产品、环境标志产品认证证书为准；</w:t>
      </w:r>
    </w:p>
    <w:p>
      <w:pPr>
        <w:widowControl w:val="0"/>
        <w:spacing w:line="120" w:lineRule="auto"/>
        <w:ind w:firstLine="496" w:firstLineChars="200"/>
        <w:rPr>
          <w:rFonts w:cs="宋体" w:asciiTheme="minorEastAsia" w:hAnsiTheme="minorEastAsia" w:eastAsiaTheme="minorEastAsia"/>
        </w:rPr>
      </w:pPr>
      <w:r>
        <w:rPr>
          <w:rFonts w:hint="eastAsia" w:cs="宋体" w:asciiTheme="minorEastAsia" w:hAnsiTheme="minorEastAsia" w:eastAsiaTheme="minorEastAsia"/>
        </w:rPr>
        <w:t>（4）技术参数正偏离须在技术响应表中注明正偏离的理由和佐证材料的页码；</w:t>
      </w:r>
    </w:p>
    <w:p>
      <w:pPr>
        <w:pStyle w:val="2"/>
        <w:ind w:left="0" w:leftChars="0" w:firstLine="496" w:firstLineChars="200"/>
        <w:rPr>
          <w:rFonts w:cs="宋体" w:asciiTheme="minorEastAsia" w:hAnsiTheme="minorEastAsia" w:eastAsiaTheme="minorEastAsia"/>
          <w:sz w:val="24"/>
        </w:rPr>
      </w:pPr>
      <w:r>
        <w:rPr>
          <w:rFonts w:hint="eastAsia" w:cs="宋体" w:asciiTheme="minorEastAsia" w:hAnsiTheme="minorEastAsia" w:eastAsiaTheme="minorEastAsia"/>
          <w:sz w:val="24"/>
        </w:rPr>
        <w:t>（5）评审指标出现漏项的最低得分为零分；</w:t>
      </w:r>
    </w:p>
    <w:p>
      <w:pPr>
        <w:pStyle w:val="103"/>
        <w:ind w:firstLine="497"/>
        <w:rPr>
          <w:rFonts w:asciiTheme="minorEastAsia" w:hAnsiTheme="minorEastAsia" w:eastAsiaTheme="minorEastAsia"/>
        </w:rPr>
      </w:pPr>
      <w:r>
        <w:rPr>
          <w:rFonts w:hint="eastAsia" w:asciiTheme="minorEastAsia" w:hAnsiTheme="minorEastAsia" w:eastAsiaTheme="minorEastAsia"/>
        </w:rPr>
        <w:t>4．推荐中标候选人</w:t>
      </w:r>
      <w:bookmarkEnd w:id="61"/>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03"/>
        <w:ind w:firstLine="497"/>
        <w:rPr>
          <w:rFonts w:asciiTheme="minorEastAsia" w:hAnsiTheme="minorEastAsia" w:eastAsiaTheme="minorEastAsia"/>
        </w:rPr>
      </w:pPr>
      <w:bookmarkStart w:id="62" w:name="_Toc12762"/>
      <w:r>
        <w:rPr>
          <w:rFonts w:hint="eastAsia" w:asciiTheme="minorEastAsia" w:hAnsiTheme="minorEastAsia" w:eastAsiaTheme="minorEastAsia"/>
        </w:rPr>
        <w:t>5．编写评审报告</w:t>
      </w:r>
      <w:bookmarkEnd w:id="62"/>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评审报告是评标委员会根据全体评标成员签字的原始评标记录和评标结果编写的报告，其主要内容包括：</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（1）招标公告刊登的媒体名称、开标日期和地点；</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（2）投标供应商名单和评标委员会成员名单；</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（3）评标方法；</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（4）开标记录和评标情况及说明，包括投标无效供应商名单及原因；</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（5）评标结果，确定的中标候选人名单或者经采购人委托直接确定的中标供应商；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（6）其他需要说明的情况，包括评标过程中投标供应商根据评标委员会要求进行的澄清、说明或者补正，评标委员会成员的更换等。</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03"/>
        <w:ind w:firstLine="499"/>
        <w:rPr>
          <w:rFonts w:asciiTheme="minorEastAsia" w:hAnsiTheme="minorEastAsia" w:eastAsiaTheme="minorEastAsia"/>
          <w:b/>
          <w:bCs/>
        </w:rPr>
      </w:pPr>
      <w:bookmarkStart w:id="63" w:name="_Toc8654"/>
      <w:r>
        <w:rPr>
          <w:rFonts w:hint="eastAsia" w:asciiTheme="minorEastAsia" w:hAnsiTheme="minorEastAsia" w:eastAsiaTheme="minorEastAsia"/>
          <w:b/>
          <w:bCs/>
        </w:rPr>
        <w:t>（三）评标争议处理规则</w:t>
      </w:r>
      <w:bookmarkEnd w:id="63"/>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103"/>
        <w:ind w:firstLine="499"/>
        <w:rPr>
          <w:rFonts w:asciiTheme="minorEastAsia" w:hAnsiTheme="minorEastAsia" w:eastAsiaTheme="minorEastAsia"/>
          <w:b/>
          <w:bCs/>
        </w:rPr>
      </w:pPr>
      <w:bookmarkStart w:id="64" w:name="_Toc4810"/>
      <w:r>
        <w:rPr>
          <w:rFonts w:hint="eastAsia" w:asciiTheme="minorEastAsia" w:hAnsiTheme="minorEastAsia" w:eastAsiaTheme="minorEastAsia"/>
          <w:b/>
          <w:bCs/>
        </w:rPr>
        <w:t>（四）评审现场人员的保密责任</w:t>
      </w:r>
      <w:bookmarkEnd w:id="64"/>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103"/>
        <w:ind w:firstLine="499"/>
        <w:rPr>
          <w:rFonts w:asciiTheme="minorEastAsia" w:hAnsiTheme="minorEastAsia" w:eastAsiaTheme="minorEastAsia"/>
          <w:b/>
          <w:bCs/>
        </w:rPr>
      </w:pPr>
      <w:bookmarkStart w:id="65" w:name="_Toc27257"/>
      <w:r>
        <w:rPr>
          <w:rFonts w:hint="eastAsia" w:asciiTheme="minorEastAsia" w:hAnsiTheme="minorEastAsia" w:eastAsiaTheme="minorEastAsia"/>
          <w:b/>
          <w:bCs/>
        </w:rPr>
        <w:t>（五）视同供应商串通投标的情形，其投标无效：</w:t>
      </w:r>
      <w:bookmarkEnd w:id="65"/>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1．不同供应商的投标文件由同一单位或者个人编制；</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2．不同供应商委托同一单位或者个人办理投标事宜；</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3．不同供应商的投标文件载明的项目管理成员或者联系人员为同一人；</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4．不同供应商的投标文件异常一致或者投标报价呈规律性差异。</w:t>
      </w:r>
    </w:p>
    <w:p>
      <w:pPr>
        <w:pStyle w:val="8"/>
        <w:rPr>
          <w:rFonts w:cs="宋体" w:asciiTheme="minorEastAsia" w:hAnsiTheme="minorEastAsia" w:eastAsiaTheme="minorEastAsia"/>
          <w:sz w:val="24"/>
          <w:szCs w:val="24"/>
        </w:rPr>
      </w:pPr>
      <w:bookmarkStart w:id="66" w:name="_Toc135129530"/>
      <w:r>
        <w:rPr>
          <w:rFonts w:hint="eastAsia" w:cs="宋体" w:asciiTheme="minorEastAsia" w:hAnsiTheme="minorEastAsia" w:eastAsiaTheme="minorEastAsia"/>
          <w:sz w:val="24"/>
          <w:szCs w:val="24"/>
        </w:rPr>
        <w:t>八、中标</w:t>
      </w:r>
      <w:bookmarkEnd w:id="66"/>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1．代理机构在评标结束后1个工作日内将评标报告送达采购单位，采购单位在收到评标报告后4个工作日内，按照评标报告中推荐的中标候选人顺序确认第一中标候选人为中标单位，同时书面复函代理机构。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2．采购代理机构将在中标供应商确定之日起1个工作日内，在【</w:t>
      </w:r>
      <w:r>
        <w:fldChar w:fldCharType="begin"/>
      </w:r>
      <w:r>
        <w:instrText xml:space="preserve"> HYPERLINK "http://www.ccgp-shaanxi.gov.cn" </w:instrText>
      </w:r>
      <w:r>
        <w:fldChar w:fldCharType="separate"/>
      </w:r>
      <w:r>
        <w:rPr>
          <w:rStyle w:val="47"/>
          <w:rFonts w:hint="eastAsia" w:cs="宋体" w:asciiTheme="minorEastAsia" w:hAnsiTheme="minorEastAsia" w:eastAsiaTheme="minorEastAsia"/>
          <w:color w:val="auto"/>
          <w:u w:val="none"/>
        </w:rPr>
        <w:t>陕西省政府采购网</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w:t>
      </w:r>
      <w:r>
        <w:fldChar w:fldCharType="begin"/>
      </w:r>
      <w:r>
        <w:instrText xml:space="preserve"> HYPERLINK "http://www.ccgp-shaanxi.gov.cn/" </w:instrText>
      </w:r>
      <w:r>
        <w:fldChar w:fldCharType="separate"/>
      </w:r>
      <w:r>
        <w:rPr>
          <w:rStyle w:val="47"/>
          <w:rFonts w:hint="eastAsia" w:cs="宋体" w:asciiTheme="minorEastAsia" w:hAnsiTheme="minorEastAsia" w:eastAsiaTheme="minorEastAsia"/>
          <w:color w:val="auto"/>
          <w:u w:val="none"/>
        </w:rPr>
        <w:t>http://www.ccgp-shaanxi.gov.cn/</w:t>
      </w:r>
      <w:r>
        <w:rPr>
          <w:rStyle w:val="47"/>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）上公布中标结果。中标公告期限为1个工作日。</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4．采购代理机构按照相关规定将评审报告送监管机构备案。</w:t>
      </w:r>
    </w:p>
    <w:p>
      <w:pPr>
        <w:pStyle w:val="8"/>
        <w:rPr>
          <w:rFonts w:cs="宋体" w:asciiTheme="minorEastAsia" w:hAnsiTheme="minorEastAsia" w:eastAsiaTheme="minorEastAsia"/>
          <w:sz w:val="24"/>
          <w:szCs w:val="24"/>
        </w:rPr>
      </w:pPr>
      <w:bookmarkStart w:id="67" w:name="_Toc135129531"/>
      <w:r>
        <w:rPr>
          <w:rFonts w:hint="eastAsia" w:cs="宋体" w:asciiTheme="minorEastAsia" w:hAnsiTheme="minorEastAsia" w:eastAsiaTheme="minorEastAsia"/>
          <w:sz w:val="24"/>
          <w:szCs w:val="24"/>
        </w:rPr>
        <w:t>九、合同签订、履行及验收</w:t>
      </w:r>
      <w:bookmarkEnd w:id="67"/>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招标文件、投标文件、澄清、补充合同等为政府采购合同的组成部分，具有同等法律效力。</w:t>
      </w:r>
    </w:p>
    <w:p>
      <w:pPr>
        <w:pStyle w:val="103"/>
        <w:ind w:firstLine="499"/>
        <w:rPr>
          <w:rFonts w:asciiTheme="minorEastAsia" w:hAnsiTheme="minorEastAsia" w:eastAsiaTheme="minorEastAsia"/>
          <w:b/>
          <w:bCs/>
        </w:rPr>
      </w:pPr>
      <w:bookmarkStart w:id="68" w:name="_Toc7975"/>
      <w:r>
        <w:rPr>
          <w:rFonts w:hint="eastAsia" w:asciiTheme="minorEastAsia" w:hAnsiTheme="minorEastAsia" w:eastAsiaTheme="minorEastAsia"/>
          <w:b/>
          <w:bCs/>
        </w:rPr>
        <w:t>（一）签订政府采购合同</w:t>
      </w:r>
      <w:bookmarkEnd w:id="68"/>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1．自中标通知书发出之日起30日内，采购人与中标供应商应按招标文件和中标供应商投标文件的约定，签订书面合同。</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2．中标供应商拒绝与采购人签订合同的，采购人可以按照《政府采购法实施条例》第四十九条规定，确定下一候选人为中标供应商，也可以重新开展政府采购活动。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4．质疑或者投诉事项可能影响中标、成交结果的，采购人应当暂停签订合同，已经签订合同的，应当中止履行合同。</w:t>
      </w:r>
    </w:p>
    <w:p>
      <w:pPr>
        <w:pStyle w:val="103"/>
        <w:ind w:firstLine="499"/>
        <w:rPr>
          <w:rFonts w:asciiTheme="minorEastAsia" w:hAnsiTheme="minorEastAsia" w:eastAsiaTheme="minorEastAsia"/>
          <w:b/>
          <w:bCs/>
        </w:rPr>
      </w:pPr>
      <w:bookmarkStart w:id="69" w:name="_Toc19981"/>
      <w:r>
        <w:rPr>
          <w:rFonts w:hint="eastAsia" w:asciiTheme="minorEastAsia" w:hAnsiTheme="minorEastAsia" w:eastAsiaTheme="minorEastAsia"/>
          <w:b/>
          <w:bCs/>
        </w:rPr>
        <w:t>（二）合同公告及备案</w:t>
      </w:r>
      <w:bookmarkEnd w:id="69"/>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1．采购人应当自政府采购合同签订之日起2个工作日内，在陕西省政府采购网对合同进行公示，但政府采购合同中涉及国家秘密、商业秘密的内容除外。</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2．采购人应自合同签订之日起7个工作日内将政府采购合同报送监管机构备案。</w:t>
      </w:r>
    </w:p>
    <w:p>
      <w:pPr>
        <w:pStyle w:val="103"/>
        <w:ind w:firstLine="499"/>
        <w:rPr>
          <w:rFonts w:asciiTheme="minorEastAsia" w:hAnsiTheme="minorEastAsia" w:eastAsiaTheme="minorEastAsia"/>
          <w:b/>
          <w:bCs/>
        </w:rPr>
      </w:pPr>
      <w:bookmarkStart w:id="70" w:name="_Toc20858"/>
      <w:r>
        <w:rPr>
          <w:rFonts w:hint="eastAsia" w:asciiTheme="minorEastAsia" w:hAnsiTheme="minorEastAsia" w:eastAsiaTheme="minorEastAsia"/>
          <w:b/>
          <w:bCs/>
        </w:rPr>
        <w:t>（三）履行合同</w:t>
      </w:r>
      <w:bookmarkEnd w:id="70"/>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1．合同一经签订，双方应严格履行合同规定的义务。</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2．在合同履行过程中，如发生合同纠纷，合同双方应按照《中华人民共和国民法典》及合同条款的有关规定进行处理。</w:t>
      </w:r>
    </w:p>
    <w:p>
      <w:pPr>
        <w:pStyle w:val="103"/>
        <w:ind w:firstLine="499"/>
        <w:rPr>
          <w:rFonts w:asciiTheme="minorEastAsia" w:hAnsiTheme="minorEastAsia" w:eastAsiaTheme="minorEastAsia"/>
          <w:b/>
          <w:bCs/>
        </w:rPr>
      </w:pPr>
      <w:bookmarkStart w:id="71" w:name="_Toc1157"/>
      <w:r>
        <w:rPr>
          <w:rFonts w:hint="eastAsia" w:asciiTheme="minorEastAsia" w:hAnsiTheme="minorEastAsia" w:eastAsiaTheme="minorEastAsia"/>
          <w:b/>
          <w:bCs/>
        </w:rPr>
        <w:t>（四）验收或考核</w:t>
      </w:r>
      <w:bookmarkEnd w:id="71"/>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1．采购人严格按照国家相关法律法规的要求及招标文件的要求组织验收或考核。</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2．采购人按《关于促进政府采购公平竞争优化营商环境的通知》（财库〔2019〕38号）、《保障中小企业款项支付条例》（国务院令第728号）等规定及采购合同的约定进行支付合同款项。</w:t>
      </w:r>
    </w:p>
    <w:p>
      <w:pPr>
        <w:pStyle w:val="8"/>
        <w:rPr>
          <w:rFonts w:cs="宋体" w:asciiTheme="minorEastAsia" w:hAnsiTheme="minorEastAsia" w:eastAsiaTheme="minorEastAsia"/>
          <w:sz w:val="24"/>
          <w:szCs w:val="24"/>
        </w:rPr>
      </w:pPr>
      <w:bookmarkStart w:id="72" w:name="_Toc135129532"/>
      <w:bookmarkStart w:id="73" w:name="_Toc100219614"/>
      <w:r>
        <w:rPr>
          <w:rFonts w:hint="eastAsia" w:cs="宋体" w:asciiTheme="minorEastAsia" w:hAnsiTheme="minorEastAsia" w:eastAsiaTheme="minorEastAsia"/>
          <w:sz w:val="24"/>
          <w:szCs w:val="24"/>
        </w:rPr>
        <w:t>十、废标及重新招标</w:t>
      </w:r>
      <w:bookmarkEnd w:id="72"/>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2．根据《政府采购法》第三十六条规定，在招标采购中，出现下列情形之一的，本项目按废标处理：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（1）出现影响采购公正的违法、违规行为的；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（2）供应商的报价均超过了采购预算，采购人不能支付的；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（3）因重大变故，采购任务取消的。</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废标后，除采购任务取消外，本项目将重新组织招标。</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4．招标文件未明确的其他事项，按《政府采购法》及其相关法律法规执行。</w:t>
      </w:r>
    </w:p>
    <w:p>
      <w:pPr>
        <w:rPr>
          <w:rFonts w:cs="宋体" w:asciiTheme="minorEastAsia" w:hAnsiTheme="minorEastAsia" w:eastAsiaTheme="minorEastAsia"/>
        </w:rPr>
      </w:pPr>
      <w:r>
        <w:rPr>
          <w:rFonts w:hint="eastAsia" w:cs="宋体" w:asciiTheme="minorEastAsia" w:hAnsiTheme="minorEastAsia" w:eastAsiaTheme="minorEastAsia"/>
        </w:rPr>
        <w:br w:type="page"/>
      </w:r>
    </w:p>
    <w:p>
      <w:pPr>
        <w:pStyle w:val="6"/>
        <w:pageBreakBefore/>
        <w:numPr>
          <w:ilvl w:val="0"/>
          <w:numId w:val="2"/>
        </w:numPr>
        <w:spacing w:before="395" w:beforeLines="100" w:after="395" w:afterLines="10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bookmarkStart w:id="74" w:name="_Toc135129533"/>
      <w:r>
        <w:rPr>
          <w:rFonts w:hint="eastAsia" w:cs="宋体" w:asciiTheme="minorEastAsia" w:hAnsiTheme="minorEastAsia" w:eastAsiaTheme="minorEastAsia"/>
          <w:sz w:val="24"/>
          <w:szCs w:val="24"/>
        </w:rPr>
        <w:t>招标内容及要求</w:t>
      </w:r>
      <w:bookmarkEnd w:id="73"/>
      <w:bookmarkEnd w:id="74"/>
      <w:bookmarkStart w:id="75" w:name="_Toc100219615"/>
    </w:p>
    <w:p>
      <w:pPr>
        <w:rPr>
          <w:rFonts w:cs="宋体" w:asciiTheme="minorEastAsia" w:hAnsiTheme="minorEastAsia" w:eastAsiaTheme="minorEastAsia"/>
          <w:b/>
        </w:rPr>
      </w:pPr>
      <w:r>
        <w:rPr>
          <w:rFonts w:hint="eastAsia" w:cs="宋体" w:asciiTheme="minorEastAsia" w:hAnsiTheme="minorEastAsia" w:eastAsiaTheme="minorEastAsia"/>
          <w:b/>
        </w:rPr>
        <w:t>一、项目概况</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西安市中心医院经开院区智能化及物联网系统项目建设内容包含门诊、病区、手术和医疗物联网四大部分，结合西安市中心医院经开院区的实际情况，围绕着西安市中心医院业务战略目标，通过与医院原有的信息化有机结合，打通HIS、LIS、PACS、手麻等系统进行实时数据交互。项目整体应按照“一院四区”相关需求基于平台化进行建设规划，应遵循总体规划、分步实施、持续可升级扩展的原则，以建立院内外信息互联互通的医院信息平台为主线，利用物联网、大数据、人工智能、5G等先进的技术，进行医疗信息化与医院智能化及医疗物联网顶层设计与融通，通过可感知、可执行、会思考、可成长四个维度为医院的智慧化提供整体支撑。以数字化、可视化、智能化管理对接医院智能化管理子系统，建立一个跨部门跨业务的多维度全域监测预警的运营平台，将医院门诊、住院、手术等多系统有目的地连接、协调和平衡各系统及设备，让医疗数据与建筑设备数据实现互联互通，对医院门诊、住院、手术全态势运行数据进行实时动态监测，医院建筑和设备运行流程实现自动化控制，建立基于医院全态势数据的应用预防体系，从而提升医疗系统的效率和整体服务能力，实现患者、医务人员、医疗设备、后勤设施之间的相互协同，加速医、教、研协同提升。同时医院管理者可以实时、准确的获取来自全院各方面的信息，从而将全院的各项管理调整到最佳状态，简化了医院内部流程，大大降低医院的运行成本，提高医院工作效率，围绕“以患者就医体验为中心，以医护患协同为基点”的一体化概念打造可持续发展型、智慧服务型、技术创新型现代化智慧医院，助力医院打造成西北乃至国内领先的样板智慧医院。</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1、建设要求及目标</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1）具有本次建设内容的数据融合接入能力，“以平台为中心”的建设思路，需实现底层终端设备、应用系统、视频监控系统、位置信息、医疗业务数据等标准化接入，进行数据交换统一管理；</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2）需实现本次建设内容接入数据的治理、流转、分发、管理、开发、储存等功能，提供多种数据分析、检索引擎，建立不同类型、业务、时空的数据模型，进行数据运营，发掘数据价值，形成数据资产；</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3）需为统一门户应用及业务系统提供标准化数据接口，保证应用层面的稳定性、灵活性及可扩展性，简化用户的访问，避免多应用多入口的复杂访问方式；</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4）需实现对非结构化数据智能发现与分类、多源头实时采集实时入库、加密高并发海量数据传输、多协议混合采集边缘计算、支持BI数据辅助决策指挥等功能；</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5）业务应用集成体系通过融合应用平台与数据运营平台构建。通过本次建设内容融合接入的系统提供标准化数据，提供数据管理、数据服务、数据质量监控、数据二次发掘开发、进而形成数据资产中心，为数据应用提供保障。整合并管理本次建设内容接入的数据集成与消息集成部分的内容，提供统一消息订阅及服务注册服务，提供标准数据，为智能运行中心提供开放的、易扩展的标准接口，实现门诊运营可视化BIM及手术BIM可视化协同管理一张图，实现业务运营、业务协同、环境态势分析、资产态势分析、事件中心、设备全生命周期管理等内容提供服务保障，并能提供满足监测通讯设备的运行状态、设备故障、设备离线、异常监测自动预警上报及一站式报修运维服务；</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6）院内导航导诊服务应基于CAD图的室内高精度三维地图数据的所有门、墙体结构等都必须现场实地测绘，与医院医疗服务平台无缝对接，并能结合医院信息系统中的看病流程及医技检查资源，动态对接就诊信息，提供最优路径的诊间导航服务；</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7）临床护理体系应紧密围绕“以患者为中心”的核心理念，以优化护理流程、规范护理操作、提高护理效率、提升护理质量、减少医疗差错为目的。借助条码识别技术，基于PDA多种闭环管理，诸如医嘱执行、手标本采集、备血输血等，通过闭环管理，优化业务流程，最大化降低医疗差错；实现“一处录入、多处共享”的信息共享机制，同时提供丰富的知识库如健康宣教单、护理计划单、病情摘要、护理措施、护理诊断等，支持在护理业务执行过程中自动生成相应记录单，从而大大减轻护理人员的工作量，提高了护理人员的工作效率，解放了护理人员的双手。解决护士站到病房最后十米问题，将护理人员的工作时间更多地留给患者，为患者提供更优质的护理服务。提供智能化提醒功能，包括医嘱提醒、待测体征，待评估、记录单待书写、检查检验报告返回等提醒，解放了护士的大脑，真正做到让护理人员轻松工作，同时又消除了人为差错隐患，保障了患者安全。自研结构化护理病历编辑器，满足医院对护理文书自定义扩展需求。</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8）护理管理体系应实现护理管理工作中精细化、过程化、规范化、透明化，更好、更快、更准确地进行数据的收集、分析、整改、处理，并及时进行跟踪和反馈，提升护理工作的整体效率以及优质化服务。基于PDCA的护理质量管控，同时支持移动PAD端和PC端。提供护理三级质控检查、院级抽查、专项督导和高风险专项督导等多种质控方式。为提升护理质量检查的及时性，系统提供多种智能工作提醒、限期提醒和手机短信提醒。涵盖护理部、医务科、输血科、药学部等多个主管部门的不良事件管理，包括不良事件监测、不良事件上报、不良事件审核、不良事件分析整改、不良事件跟踪评价等业务管理功能，以及鱼骨图及其它图形分析、不良事件分类统计、不良事件各科室月度环比、不量事件各科室月度同比等统计分析。能够时间轴显示不良事件处理过程，具有异常事件决策树。无需手工收集、汇总数据，各项数据在业务过程中自动采集，自动汇总。融合三甲医院最佳管理实践自动生成各项报告，包括鱼骨图、柏拉图、柱状图、直线图、环状图等各种图形、图标，为领导科学决策提供依据。</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9）智慧手术部体系应利用数字化手段对手术室的人员、物资、设备、环境、工作流程等各环节进行重组、优化和干预，实现了术前、术中、术后围术期流程管理的全覆盖。应运用物联网及5G技术，将手术室的环境、设备、人员、事件进行数字化协同管理，构建"以患者为中心"的服务理念, 保证患者安全,提高护士的工作效率。通过高质量手术数据采集和应用，并集中控制相关设施提高安全与效率，重构以医护人员为中心的人员管理、手术排程；应运用物联网技术，优化手术患者、护工、设备管理以及围术期整体护理的流程安全闭环，让手术护理质量管理、标本管理、输血管理标准化、无纸化、数字化，重构手术护理业务的流程优化；构建全数字化的手术安全核查；手术协同呼叫、家属关怀、病理标本确认；4K数字化手术室的影像信号可以通过光纤无损无延时传输到示教室、报告厅专业示教场所，并可通过医院局域网传输至各科室、主任/医生办公室及其他院区相关场所，通过无损高质量影像开展手术远程指导、手术示教系统，构建高品质的手术围术期术前、术中、术后的应用协同形成手术室及受控空间的数字化高效协作；</w:t>
      </w:r>
    </w:p>
    <w:p>
      <w:pPr>
        <w:spacing w:line="40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10）医疗物联网体系应避免传统碎片化医疗物联网应用的建设方式，采用灵活扩展、开放的建设原则，将医疗物联网技术进行统一接入和管理，建立医疗物联网服务能力层，在满足本次建设婴儿防盗、医疗设备管理、无线冷链管理、患者体征监测的基础上，应能提供给所有的医疗物联网应用使用，满足医院未来扩展和部署更多的医疗物联网应用；（说明：投标人应按招标文件要求提供承诺函。）</w:t>
      </w:r>
    </w:p>
    <w:p>
      <w:pPr>
        <w:pBdr>
          <w:bottom w:val="single" w:color="auto" w:sz="4" w:space="1"/>
        </w:pBdr>
        <w:spacing w:before="395" w:beforeLines="100"/>
        <w:ind w:left="420" w:hanging="420"/>
        <w:rPr>
          <w:rFonts w:cs="宋体" w:asciiTheme="minorEastAsia" w:hAnsiTheme="minorEastAsia" w:eastAsiaTheme="minorEastAsia"/>
          <w:b/>
        </w:rPr>
      </w:pPr>
      <w:r>
        <w:rPr>
          <w:rFonts w:hint="eastAsia" w:cs="宋体" w:asciiTheme="minorEastAsia" w:hAnsiTheme="minorEastAsia" w:eastAsiaTheme="minorEastAsia"/>
          <w:b/>
        </w:rPr>
        <w:t>二、采购内容</w:t>
      </w:r>
    </w:p>
    <w:tbl>
      <w:tblPr>
        <w:tblStyle w:val="36"/>
        <w:tblW w:w="88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578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1.智慧医院运营协同平台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智慧医院运营协同平台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2.院内导航导诊服务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院内导航导诊服务</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2.2</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智能导医机器人</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3.移动医护系统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3.1临床护理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3.1.1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移动护理系统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3.1.2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结构化护理病历系统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3.1.3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移动护理PDA终端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3.2移动查房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3.2.1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移动医生查房系统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3.2.2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移动查房平板电脑</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3.3护理管理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护理质控管理系统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护理医疗安全不良事件上报系统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药品不良反应报告与管理系统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3.3.4</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医疗器械不良事件报告与管理系统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3.3.5</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护理人员档案管理系统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3.3.6</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护理排班管理系统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3.3.7</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护理满意度调查系统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3.3.8</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护士长工作手册系统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3.3.9</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护理部工作手册系统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3.3.10</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护理敏感指标管理系统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3.3.11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护理助手系统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3.3.12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护患通系统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4.围术期管理系统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手术患者家属等候区公告系统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交互大屏（等候区公告）</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手术排班协同公告系统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交互大屏（手术排班协同公告）</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手术过程交互系统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手术间门口嵌入信息屏一体机（含安装套件）</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4.4</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手术室护士站集中交互管理系统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护士站显示大屏</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护士工作站</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4.5</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手术室医护协同系统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手术室协同终端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医疗病理标本专用摄像机</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联网门禁套装</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r>
              <w:rPr>
                <w:rFonts w:cs="Calibri" w:asciiTheme="minorEastAsia" w:hAnsiTheme="minorEastAsia" w:eastAsiaTheme="minorEastAsia"/>
                <w:color w:val="000000"/>
              </w:rPr>
              <w:t xml:space="preserve"> </w:t>
            </w:r>
            <w:r>
              <w:rPr>
                <w:rFonts w:hint="eastAsia" w:cs="宋体" w:asciiTheme="minorEastAsia" w:hAnsiTheme="minorEastAsia" w:eastAsiaTheme="minorEastAsia"/>
                <w:color w:val="000000"/>
              </w:rPr>
              <w:t>手术室BIM数字孪生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BIM手术部护士站集中管理系统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手术室后勤设备在线监测与智能调控系统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医气监测接口</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项</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UPS监测接口</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项</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隔离电源监测接口</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项</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净化空调监测接口</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项</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重点房间环境监测终端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压差监测终端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尘埃粒子监测终端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智能边缘运算采集终端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数据采集箱</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6.手术行为管理系统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手术行为管理系统管理软件</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智能发衣机</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智能衣服回收机</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智能更衣柜控制柜（主柜）</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智能衣柜（辅柜）（三列单层）</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智能衣柜（辅柜）（三列双层）</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智能发鞋机</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智能拖鞋回收机</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智能鞋柜控制柜（主柜）</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智能鞋柜（辅柜）（十层）</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矮凳柜</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行为管理端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行为PC工作站</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信息公告显示屏</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RFID标签</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restart"/>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手术资源管理系统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物联网网关（RFID+蓝牙）</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定位信标</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高端医疗设备特殊标签</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患者智能手环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vMerge w:val="continue"/>
            <w:vAlign w:val="center"/>
          </w:tcPr>
          <w:p>
            <w:pPr>
              <w:rPr>
                <w:rFonts w:cs="宋体" w:asciiTheme="minorEastAsia" w:hAnsiTheme="minorEastAsia" w:eastAsiaTheme="minorEastAsia"/>
                <w:color w:val="000000"/>
              </w:rPr>
            </w:pP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智能工作手环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7.手术示教系统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7.1报告厅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数字手术科教系统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示教工作站</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报告厅4K无损超高清手术影像终端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手术室专用4K高清全景摄像机</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7.2手术室示教室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数字手术科教系统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示教工作站</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手术室示教室4K无损超高清手术影像终端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手术室专用4K高清全景摄像机</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4K显示系统（含安装套件）</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专业音箱</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专业功放</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无线话筒</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调音台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音频处理器</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抑制器</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电源时序控制器</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示教室综合布线</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批</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网络机柜</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7.3手术示教管理系统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手术影像资源管理系统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4K超高清示教终端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移动端应用</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点</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4K无损超高清手术影像终端</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8.数字化手术室系统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8.1数字化手术室集中管理系统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中心管理系统基础模块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医疗系统中间接口管理系统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数字化手术室集中管理系统互联</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8.2 4K数字化手术室（腔镜间*2间、骨科*1间）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名称</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单位</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智慧手术交互显示终端</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4K医用显示系统（吊臂安装）</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医用吊臂（显示）</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4K无损超高清手术影像终端</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手术室无线麦克风</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音频处理终端</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吸顶扬声器</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只</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手术室专用4K高清全景摄像机</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4K术野摄像机</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医用吊臂（显示+术野）</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数字化手术控制系统</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智能数字化手术室软件系统</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术中患者医疗数据及影像数据交互集成系统</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灯光控制系统</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5780" w:type="dxa"/>
            <w:shd w:val="clear" w:color="000000" w:fill="FFFFFF"/>
            <w:noWrap/>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4K手术室综合布线（含设备安装、系统调试）</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批</w:t>
            </w:r>
          </w:p>
        </w:tc>
        <w:tc>
          <w:tcPr>
            <w:tcW w:w="1020" w:type="dxa"/>
            <w:shd w:val="clear" w:color="000000" w:fill="FFFFFF"/>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8.3 数字化手术室布线预留-（2间）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数字化手术室布线预留</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项</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9.信息化手术室系统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术中患者医疗数据及影像数据交互集成系统</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触摸显示大屏（含OPS电脑）</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显示屏嵌入式套件</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10.医疗物联网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10.1物联网集成平台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10.1.1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物联网集成平台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10.1.2</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定位引擎及地图引擎</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10.2婴儿防盗系统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10.2.1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婴儿防盗系统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10.3体征监测系统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10.3.1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体征监测系统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10.4冷链管理系统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10.4.1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冷链管理系统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10.5高值医疗设备管理系统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10.5.1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高值医疗设备管理系统</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10.6物联网基础网络硬件设备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单位</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物联网基站（LORAWAN）</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物联网网关（RFID+蓝牙）</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室内定位信标</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室外定位信标</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汇聚交换机</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24口POE接入交换机</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万兆单模光模块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千兆单模光模块</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婴儿定位脚环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婴儿脚环专用腕带</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条</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充电储存盒</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声光报警器</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定位标签</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578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高值医疗设备标签</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冷链监测终端-单路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16</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冷链监测终端-双路</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17</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电子体温计</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18</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电子体温计背胶</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19</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智能床垫</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无线血压计</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无线血氧仪</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40" w:type="dxa"/>
            <w:gridSpan w:val="4"/>
            <w:shd w:val="clear" w:color="000000" w:fill="FFFFFF"/>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10.7 物联网基础网络综合布线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六类非屏蔽网线</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米</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光纤配线架</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套</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数据配线架</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光纤跳线LC-LC</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条</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理线器</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六类水晶头</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盒</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578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综合布线实施</w:t>
            </w:r>
          </w:p>
        </w:tc>
        <w:tc>
          <w:tcPr>
            <w:tcW w:w="1020"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项</w:t>
            </w:r>
          </w:p>
        </w:tc>
        <w:tc>
          <w:tcPr>
            <w:tcW w:w="1020"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r>
    </w:tbl>
    <w:p>
      <w:pPr>
        <w:rPr>
          <w:rFonts w:cs="宋体" w:asciiTheme="minorEastAsia" w:hAnsiTheme="minorEastAsia" w:eastAsiaTheme="minorEastAsia"/>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497"/>
        <w:rPr>
          <w:rFonts w:asciiTheme="minorEastAsia" w:hAnsiTheme="minorEastAsia" w:eastAsiaTheme="minorEastAsia"/>
          <w:sz w:val="24"/>
          <w:szCs w:val="24"/>
        </w:rPr>
      </w:pPr>
    </w:p>
    <w:p>
      <w:pPr>
        <w:pStyle w:val="137"/>
        <w:ind w:firstLine="0" w:firstLineChars="0"/>
        <w:rPr>
          <w:rFonts w:asciiTheme="minorEastAsia" w:hAnsiTheme="minorEastAsia" w:eastAsiaTheme="minorEastAsia"/>
          <w:sz w:val="24"/>
          <w:szCs w:val="24"/>
        </w:rPr>
      </w:pPr>
    </w:p>
    <w:p>
      <w:pPr>
        <w:pBdr>
          <w:bottom w:val="single" w:color="auto" w:sz="4" w:space="1"/>
        </w:pBdr>
        <w:spacing w:before="395" w:beforeLines="100"/>
        <w:rPr>
          <w:rFonts w:cs="宋体" w:asciiTheme="minorEastAsia" w:hAnsiTheme="minorEastAsia" w:eastAsiaTheme="minorEastAsia"/>
          <w:b/>
        </w:rPr>
      </w:pPr>
      <w:r>
        <w:rPr>
          <w:rFonts w:hint="eastAsia" w:cs="宋体" w:asciiTheme="minorEastAsia" w:hAnsiTheme="minorEastAsia" w:eastAsiaTheme="minorEastAsia"/>
          <w:b/>
        </w:rPr>
        <w:t>三、技术要求</w:t>
      </w:r>
    </w:p>
    <w:p>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1</w:t>
      </w:r>
      <w:r>
        <w:rPr>
          <w:rFonts w:cs="宋体" w:asciiTheme="minorEastAsia" w:hAnsiTheme="minorEastAsia" w:eastAsiaTheme="minorEastAsia"/>
          <w:b/>
          <w:bCs/>
        </w:rPr>
        <w:t>.</w:t>
      </w:r>
      <w:r>
        <w:rPr>
          <w:rFonts w:hint="eastAsia" w:cs="宋体" w:asciiTheme="minorEastAsia" w:hAnsiTheme="minorEastAsia" w:eastAsiaTheme="minorEastAsia"/>
          <w:b/>
          <w:bCs/>
        </w:rPr>
        <w:t>智慧医院运营协同平台</w:t>
      </w:r>
    </w:p>
    <w:tbl>
      <w:tblPr>
        <w:tblStyle w:val="36"/>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6247"/>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6247"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661"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1" w:hRule="atLeast"/>
        </w:trPr>
        <w:tc>
          <w:tcPr>
            <w:tcW w:w="675"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平台架构</w:t>
            </w:r>
          </w:p>
        </w:tc>
        <w:tc>
          <w:tcPr>
            <w:tcW w:w="6247" w:type="dxa"/>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1.系统需能充分利用医院现有基础设施、设备、网络等资源，确保全年365天×24小时不间断的运行；</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2.平台需采用B/S架构，基于微服务模式实现统一化治理与负载均衡；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3.平台需提供开放兼容的API接口；</w:t>
            </w:r>
          </w:p>
          <w:p>
            <w:pPr>
              <w:rPr>
                <w:rFonts w:cs="宋体" w:asciiTheme="minorEastAsia" w:hAnsiTheme="minorEastAsia" w:eastAsiaTheme="minorEastAsia"/>
              </w:rPr>
            </w:pPr>
            <w:r>
              <w:rPr>
                <w:rFonts w:cs="宋体" w:asciiTheme="minorEastAsia" w:hAnsiTheme="minorEastAsia" w:eastAsiaTheme="minorEastAsia"/>
                <w:color w:val="000000"/>
              </w:rPr>
              <w:t>4</w:t>
            </w:r>
            <w:r>
              <w:rPr>
                <w:rFonts w:hint="eastAsia" w:cs="宋体" w:asciiTheme="minorEastAsia" w:hAnsiTheme="minorEastAsia" w:eastAsiaTheme="minorEastAsia"/>
                <w:color w:val="000000"/>
              </w:rPr>
              <w:t>.</w:t>
            </w:r>
            <w:r>
              <w:rPr>
                <w:rFonts w:hint="eastAsia" w:cs="宋体" w:asciiTheme="minorEastAsia" w:hAnsiTheme="minorEastAsia" w:eastAsiaTheme="minorEastAsia"/>
              </w:rPr>
              <w:t>数据库需支持Mysql、sql server、Oracle等关系型数据库。支持终端数据，实时数据，推送到手机端，web端无刷新展示。</w:t>
            </w:r>
          </w:p>
          <w:p>
            <w:pPr>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.系统客户端需支持Windows7及以上版本系统，同时支持移动端的功能应用；</w:t>
            </w:r>
          </w:p>
          <w:p>
            <w:pPr>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.平台与医院大平台全部基于一套标准基础数据字典，包括人员，角色，科室，建筑，设备、组织架构，避免出现多账号，实现多系统无缝融合；</w:t>
            </w:r>
          </w:p>
          <w:p>
            <w:pPr>
              <w:rPr>
                <w:rFonts w:cs="宋体" w:asciiTheme="minorEastAsia" w:hAnsiTheme="minorEastAsia" w:eastAsiaTheme="minorEastAsia"/>
              </w:rPr>
            </w:pPr>
            <w:r>
              <w:rPr>
                <w:rFonts w:cs="宋体" w:asciiTheme="minorEastAsia" w:hAnsiTheme="minorEastAsia" w:eastAsiaTheme="minorEastAsia"/>
              </w:rPr>
              <w:t>7</w:t>
            </w:r>
            <w:r>
              <w:rPr>
                <w:rFonts w:hint="eastAsia" w:cs="宋体" w:asciiTheme="minorEastAsia" w:hAnsiTheme="minorEastAsia" w:eastAsiaTheme="minorEastAsia"/>
              </w:rPr>
              <w:t>.平台能融于医院现有的信息系统，与HIS、LIS、PACS、EMR、手麻、短信平台融合对接；</w:t>
            </w:r>
          </w:p>
          <w:p>
            <w:pPr>
              <w:rPr>
                <w:rFonts w:cs="宋体" w:asciiTheme="minorEastAsia" w:hAnsiTheme="minorEastAsia" w:eastAsiaTheme="minorEastAsia"/>
              </w:rPr>
            </w:pPr>
            <w:r>
              <w:rPr>
                <w:rFonts w:cs="宋体" w:asciiTheme="minorEastAsia" w:hAnsiTheme="minorEastAsia" w:eastAsiaTheme="minorEastAsia"/>
              </w:rPr>
              <w:t>8</w:t>
            </w:r>
            <w:r>
              <w:rPr>
                <w:rFonts w:hint="eastAsia" w:cs="宋体" w:asciiTheme="minorEastAsia" w:hAnsiTheme="minorEastAsia" w:eastAsiaTheme="minorEastAsia"/>
              </w:rPr>
              <w:t>.平台需支持能耗审计，自动生成审计报告；</w:t>
            </w:r>
          </w:p>
          <w:p>
            <w:pPr>
              <w:rPr>
                <w:rFonts w:cs="宋体" w:asciiTheme="minorEastAsia" w:hAnsiTheme="minorEastAsia" w:eastAsiaTheme="minorEastAsia"/>
              </w:rPr>
            </w:pPr>
            <w:r>
              <w:rPr>
                <w:rFonts w:cs="宋体" w:asciiTheme="minorEastAsia" w:hAnsiTheme="minorEastAsia" w:eastAsiaTheme="minorEastAsia"/>
              </w:rPr>
              <w:t>9</w:t>
            </w:r>
            <w:r>
              <w:rPr>
                <w:rFonts w:hint="eastAsia" w:cs="宋体" w:asciiTheme="minorEastAsia" w:hAnsiTheme="minorEastAsia" w:eastAsiaTheme="minorEastAsia"/>
              </w:rPr>
              <w:t>.平台需支持能耗补偿功能，可进行能耗数据的预处理、补偿、校准等；</w:t>
            </w:r>
          </w:p>
          <w:p>
            <w:pP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0</w:t>
            </w:r>
            <w:r>
              <w:rPr>
                <w:rFonts w:hint="eastAsia" w:cs="宋体" w:asciiTheme="minorEastAsia" w:hAnsiTheme="minorEastAsia" w:eastAsiaTheme="minorEastAsia"/>
              </w:rPr>
              <w:t xml:space="preserve">.系统需支持高度可扩展性；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.系统需保证与我国现行的有关法律、法规、规章制度相一致，并能满足各级医疗机构和各级卫生行政部门对信息的要求，并符合各上级部门医疗规范要求。</w:t>
            </w:r>
          </w:p>
        </w:tc>
        <w:tc>
          <w:tcPr>
            <w:tcW w:w="661" w:type="dxa"/>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1" w:hRule="atLeast"/>
        </w:trPr>
        <w:tc>
          <w:tcPr>
            <w:tcW w:w="675"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本次相关建设范围内的基础运维平台</w:t>
            </w:r>
          </w:p>
        </w:tc>
        <w:tc>
          <w:tcPr>
            <w:tcW w:w="6247" w:type="dxa"/>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平台对接与本次相关建设范围内的建筑信息维护包括但不限于建筑楼层面积，所属部门、空间大小，平面图、剖面图等；部门管理，部门所在建筑管理；角色权限管理、用户管理、规则设置、审批流程自定义设置、日志管理、建筑维护。</w:t>
            </w:r>
          </w:p>
          <w:p>
            <w:pPr>
              <w:rPr>
                <w:rFonts w:cs="宋体" w:asciiTheme="minorEastAsia" w:hAnsiTheme="minorEastAsia" w:eastAsiaTheme="minorEastAsia"/>
              </w:rPr>
            </w:pPr>
            <w:r>
              <w:rPr>
                <w:rFonts w:hint="eastAsia" w:cs="宋体" w:asciiTheme="minorEastAsia" w:hAnsiTheme="minorEastAsia" w:eastAsiaTheme="minorEastAsia"/>
                <w:color w:val="000000"/>
              </w:rPr>
              <w:t>2.审批流程设置支持灵活配置各种审批场景，满足各种审批需求；预警和参数规则配置支持不同场景不同需求的预警阈值及任意参数规则设置，灵活配置系统的不同预警</w:t>
            </w:r>
            <w:r>
              <w:rPr>
                <w:rFonts w:hint="eastAsia" w:cs="宋体" w:asciiTheme="minorEastAsia" w:hAnsiTheme="minorEastAsia" w:eastAsiaTheme="minorEastAsia"/>
              </w:rPr>
              <w:t>情况和规则情况。</w:t>
            </w:r>
          </w:p>
          <w:p>
            <w:pPr>
              <w:rPr>
                <w:rFonts w:cs="宋体" w:asciiTheme="minorEastAsia" w:hAnsiTheme="minorEastAsia" w:eastAsiaTheme="minorEastAsia"/>
              </w:rPr>
            </w:pPr>
            <w:r>
              <w:rPr>
                <w:rFonts w:hint="eastAsia" w:cs="宋体" w:asciiTheme="minorEastAsia" w:hAnsiTheme="minorEastAsia" w:eastAsiaTheme="minorEastAsia"/>
              </w:rPr>
              <w:t>3.平台支持配置功能的维护，菜单管理、字典管理、系统版本管理等。</w:t>
            </w:r>
          </w:p>
          <w:p>
            <w:pPr>
              <w:rPr>
                <w:rFonts w:cs="宋体" w:asciiTheme="minorEastAsia" w:hAnsiTheme="minorEastAsia" w:eastAsiaTheme="minorEastAsia"/>
              </w:rPr>
            </w:pPr>
            <w:r>
              <w:rPr>
                <w:rFonts w:hint="eastAsia" w:cs="宋体" w:asciiTheme="minorEastAsia" w:hAnsiTheme="minorEastAsia" w:eastAsiaTheme="minorEastAsia"/>
              </w:rPr>
              <w:t>4.系统要求统一平台框架、统一数据库架构管理，数据库设计支持高并发管理，智能化设备运行及故障在线监测系统要求支持实时数据库机制。</w:t>
            </w:r>
          </w:p>
          <w:p>
            <w:pPr>
              <w:rPr>
                <w:rFonts w:cs="宋体" w:asciiTheme="minorEastAsia" w:hAnsiTheme="minorEastAsia" w:eastAsiaTheme="minorEastAsia"/>
                <w:color w:val="000000"/>
              </w:rPr>
            </w:pPr>
            <w:r>
              <w:rPr>
                <w:rFonts w:hint="eastAsia" w:cs="宋体" w:asciiTheme="minorEastAsia" w:hAnsiTheme="minorEastAsia" w:eastAsiaTheme="minorEastAsia"/>
              </w:rPr>
              <w:t>5.建筑空间维护：平台需支持设备所在建筑位置自定义标注维护。</w:t>
            </w:r>
          </w:p>
        </w:tc>
        <w:tc>
          <w:tcPr>
            <w:tcW w:w="661"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75"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医院信息采集系统接口对接</w:t>
            </w:r>
          </w:p>
        </w:tc>
        <w:tc>
          <w:tcPr>
            <w:tcW w:w="6247" w:type="dxa"/>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需对接医院信息采集系统</w:t>
            </w:r>
          </w:p>
        </w:tc>
        <w:tc>
          <w:tcPr>
            <w:tcW w:w="661"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2" w:hRule="atLeast"/>
        </w:trPr>
        <w:tc>
          <w:tcPr>
            <w:tcW w:w="675"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智慧医院协同运营业务中台</w:t>
            </w:r>
          </w:p>
        </w:tc>
        <w:tc>
          <w:tcPr>
            <w:tcW w:w="6247" w:type="dxa"/>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1.实现对非结构化数据智能发现与分类、多源头实时采集实时入库、加密高并发海量数据传输、多协议混合采集边缘计算、BI数据辅助决策指挥等功能；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2.业务中台通过融合集成平台与数据运营平台构建：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1）融合应用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包括数据集成部分和消息集成两个部分：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（1）数据集成部分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支持对接医院信息化系统数据，进行医疗系统中间件接口管理，例如：HIS、LIS、PACS、EMR、手麻系统；</w:t>
            </w:r>
          </w:p>
          <w:p>
            <w:pPr>
              <w:rPr>
                <w:rFonts w:cs="宋体" w:asciiTheme="minorEastAsia" w:hAnsiTheme="minorEastAsia" w:eastAsiaTheme="minorEastAsia"/>
              </w:rPr>
            </w:pPr>
            <w:r>
              <w:rPr>
                <w:rFonts w:hint="eastAsia" w:cs="宋体" w:asciiTheme="minorEastAsia" w:hAnsiTheme="minorEastAsia" w:eastAsiaTheme="minorEastAsia"/>
                <w:color w:val="000000"/>
              </w:rPr>
              <w:t>支持物联网IOT设备子系统接口对接，支持对接本次建设内容智慧手术部中洁净空调管理、隔离电源管理、医用气体管理、UPS管理、能耗管理、环境管控（包含温湿度、PM2.5、压差、尘埃粒子）相关机电设施的在线监测管理及预警运维体系；提供满足终端模块数据采集上传清洗功</w:t>
            </w:r>
            <w:r>
              <w:rPr>
                <w:rFonts w:hint="eastAsia" w:cs="宋体" w:asciiTheme="minorEastAsia" w:hAnsiTheme="minorEastAsia" w:eastAsiaTheme="minorEastAsia"/>
              </w:rPr>
              <w:t>能。支持对监测通讯设备的运行状态、设备故障、设备离线、异常监测自动预警上报功能，能够根据排班自动派单，催单及一站式报修运维服务。</w:t>
            </w:r>
          </w:p>
          <w:p>
            <w:pPr>
              <w:rPr>
                <w:rFonts w:cs="宋体" w:asciiTheme="minorEastAsia" w:hAnsiTheme="minorEastAsia" w:eastAsiaTheme="minorEastAsia"/>
              </w:rPr>
            </w:pPr>
            <w:r>
              <w:rPr>
                <w:rFonts w:hint="eastAsia" w:cs="宋体" w:asciiTheme="minorEastAsia" w:hAnsiTheme="minorEastAsia" w:eastAsiaTheme="minorEastAsia"/>
              </w:rPr>
              <w:t>平台支持终端模块数据采集上传清洗功能。</w:t>
            </w:r>
          </w:p>
          <w:p>
            <w:pPr>
              <w:rPr>
                <w:rFonts w:cs="宋体" w:asciiTheme="minorEastAsia" w:hAnsiTheme="minorEastAsia" w:eastAsiaTheme="minorEastAsia"/>
              </w:rPr>
            </w:pPr>
            <w:r>
              <w:rPr>
                <w:rFonts w:hint="eastAsia" w:cs="宋体" w:asciiTheme="minorEastAsia" w:hAnsiTheme="minorEastAsia" w:eastAsiaTheme="minorEastAsia"/>
              </w:rPr>
              <w:t>（2）消息集成部分</w:t>
            </w:r>
          </w:p>
          <w:p>
            <w:pPr>
              <w:rPr>
                <w:rFonts w:cs="宋体" w:asciiTheme="minorEastAsia" w:hAnsiTheme="minorEastAsia" w:eastAsiaTheme="minorEastAsia"/>
              </w:rPr>
            </w:pPr>
            <w:r>
              <w:rPr>
                <w:rFonts w:hint="eastAsia" w:cs="宋体" w:asciiTheme="minorEastAsia" w:hAnsiTheme="minorEastAsia" w:eastAsiaTheme="minorEastAsia"/>
              </w:rPr>
              <w:t>支持对接应用子系统、物联网IOT设备子系统、位置信息等消息的标准化处理；</w:t>
            </w:r>
          </w:p>
          <w:p>
            <w:pPr>
              <w:rPr>
                <w:rFonts w:cs="宋体" w:asciiTheme="minorEastAsia" w:hAnsiTheme="minorEastAsia" w:eastAsiaTheme="minorEastAsia"/>
              </w:rPr>
            </w:pPr>
            <w:r>
              <w:rPr>
                <w:rFonts w:hint="eastAsia" w:cs="宋体" w:asciiTheme="minorEastAsia" w:hAnsiTheme="minorEastAsia" w:eastAsiaTheme="minorEastAsia"/>
              </w:rPr>
              <w:t>能提供满足监测通讯设备的运行状态、设备故障、设备离线、异常监测自动预警上报及一站式报修运维服务。</w:t>
            </w:r>
          </w:p>
          <w:p>
            <w:pPr>
              <w:rPr>
                <w:rFonts w:cs="宋体" w:asciiTheme="minorEastAsia" w:hAnsiTheme="minorEastAsia" w:eastAsiaTheme="minorEastAsia"/>
              </w:rPr>
            </w:pPr>
            <w:r>
              <w:rPr>
                <w:rFonts w:hint="eastAsia" w:cs="宋体" w:asciiTheme="minorEastAsia" w:hAnsiTheme="minorEastAsia" w:eastAsiaTheme="minorEastAsia"/>
              </w:rPr>
              <w:t>2）服务集成部分</w:t>
            </w:r>
          </w:p>
          <w:p>
            <w:pPr>
              <w:rPr>
                <w:rFonts w:cs="宋体" w:asciiTheme="minorEastAsia" w:hAnsiTheme="minorEastAsia" w:eastAsiaTheme="minorEastAsia"/>
                <w:color w:val="000000"/>
              </w:rPr>
            </w:pPr>
            <w:r>
              <w:rPr>
                <w:rFonts w:hint="eastAsia" w:cs="宋体" w:asciiTheme="minorEastAsia" w:hAnsiTheme="minorEastAsia" w:eastAsiaTheme="minorEastAsia"/>
              </w:rPr>
              <w:t>整合并管理数据集成与消息集成的内容，提供统一消息订阅及服务注册服务，提供标准数据，为医院运营协同提供开放的、易扩展的标准接口。</w:t>
            </w:r>
          </w:p>
        </w:tc>
        <w:tc>
          <w:tcPr>
            <w:tcW w:w="661"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trPr>
        <w:tc>
          <w:tcPr>
            <w:tcW w:w="675"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数据交互统一管理系统</w:t>
            </w:r>
          </w:p>
        </w:tc>
        <w:tc>
          <w:tcPr>
            <w:tcW w:w="6247" w:type="dxa"/>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1.具有本次建设内容的数据融合接入能力，“以平台为中心”的建设思路，需实现底层终端设备、应用系统、视频监控系统、位置信息、医疗业务数据等标准化接入，进行数据交换统一管理；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2.需实现本次建设内容接入数据的治理、流转、分发、管理、开发、储存等功能，提供多种数据分析、检索引擎，建立不同类型、业务、时空的数据模型，进行数据运营，发掘数据价值，形成数据资产；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3.需为统一门户应用及业务系统提供标准化数据接口，保证应用层面的稳定性、灵活性及可扩展性；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4.需实现对非结构化数据智能发现与分类、多源头实时采集实时入库、加密高并发海量数据传输、多协议混合采集边缘计算、支持BI数据辅助决策指挥等功能；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业务应用集成体系通过融合应用平台与数据运营平台构建。通过本次建设内容融合接入的系统提供标准化数据，提供数据管理、数据服务、数据质量监控、数据二次发掘开发、进而形成数据资产中心，为数据应用提供保障。整合并管理本次建设内容接入的数据集成与消息集成部分的内容，提供统一消息订阅及服务注册服务，提供标准数据，为智能运行中心提供开放的、易扩展的标准接口，实现门诊运营可视化BIM及手术BIM可视化协同管理一张图，实现业务运营、业务协同、环境态势分析、资产态势分析、事件中心、设备全生命周期管理等内容提供服务保障。</w:t>
            </w:r>
          </w:p>
        </w:tc>
        <w:tc>
          <w:tcPr>
            <w:tcW w:w="661"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75"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可视化BI分析决策系统</w:t>
            </w:r>
          </w:p>
        </w:tc>
        <w:tc>
          <w:tcPr>
            <w:tcW w:w="6247" w:type="dxa"/>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1.能实时对门诊相关数据进行监控和分析，包括但不限于急诊量、就诊人数、平均就诊时长、诊室接诊、诊室收入、趋势变化等；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2.能展示包括但不限于出院人次、入院人次、出院方式分析、平均住院日等指标；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3.能展示住院收入、住院次均费用，住院各科室人次与收入分析；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4.能展示包括但不限于床位数、已占用数、空床数、空床比例等指标，通过对科室的资源和关键业务指标的关联分析，支持行政科室和临床科室合理控制医疗资源的使用；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5.能对包括但不限于当日手术台数、完成情况、完成率、准点开台率、手术排台及利用率、手术医生的百例手术和同类手术分析等指标数据进行实时监控分析。</w:t>
            </w:r>
          </w:p>
        </w:tc>
        <w:tc>
          <w:tcPr>
            <w:tcW w:w="661"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75" w:type="dxa"/>
            <w:shd w:val="clear" w:color="000000" w:fill="FFFFFF"/>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1134" w:type="dxa"/>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软件中间件及统一数据接口服务</w:t>
            </w:r>
          </w:p>
        </w:tc>
        <w:tc>
          <w:tcPr>
            <w:tcW w:w="6247" w:type="dxa"/>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1.医疗系统中间件接口管理系统（HIS、PACS、LIS、EMR、手麻）；</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2.与本次智慧手术部建设范围相关的围术期监测系统中间件接口对接（环境、压差）；</w:t>
            </w:r>
          </w:p>
          <w:p>
            <w:pPr>
              <w:rPr>
                <w:rFonts w:cs="宋体" w:asciiTheme="minorEastAsia" w:hAnsiTheme="minorEastAsia" w:eastAsiaTheme="minorEastAsia"/>
                <w:color w:val="000000"/>
              </w:rPr>
            </w:pPr>
            <w:r>
              <w:rPr>
                <w:rFonts w:hint="eastAsia" w:cs="宋体" w:asciiTheme="minorEastAsia" w:hAnsiTheme="minorEastAsia" w:eastAsiaTheme="minorEastAsia"/>
              </w:rPr>
              <w:t>3. 与本次智慧手术部建设范围相关的机电系统中间件接口对接（医用气体、UPS、隔离电源、净化机组、能耗）；</w:t>
            </w:r>
          </w:p>
        </w:tc>
        <w:tc>
          <w:tcPr>
            <w:tcW w:w="661" w:type="dxa"/>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2</w:t>
      </w:r>
      <w:r>
        <w:rPr>
          <w:rFonts w:cs="宋体" w:asciiTheme="minorEastAsia" w:hAnsiTheme="minorEastAsia" w:eastAsiaTheme="minorEastAsia"/>
          <w:b/>
          <w:bCs/>
          <w:color w:val="000000"/>
        </w:rPr>
        <w:t>.</w:t>
      </w:r>
      <w:r>
        <w:rPr>
          <w:rFonts w:hint="eastAsia" w:cs="宋体" w:asciiTheme="minorEastAsia" w:hAnsiTheme="minorEastAsia" w:eastAsiaTheme="minorEastAsia"/>
          <w:b/>
          <w:bCs/>
          <w:color w:val="000000"/>
        </w:rPr>
        <w:t>院内导航导诊服务</w:t>
      </w:r>
    </w:p>
    <w:p>
      <w:pPr>
        <w:pStyle w:val="137"/>
        <w:ind w:firstLine="0" w:firstLineChars="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2.1</w:t>
      </w:r>
      <w:r>
        <w:rPr>
          <w:rFonts w:hint="eastAsia" w:cs="宋体" w:asciiTheme="minorEastAsia" w:hAnsiTheme="minorEastAsia" w:eastAsiaTheme="minorEastAsia"/>
          <w:b/>
          <w:bCs/>
          <w:sz w:val="24"/>
          <w:szCs w:val="24"/>
        </w:rPr>
        <w:t>院内导航导诊服务</w:t>
      </w:r>
    </w:p>
    <w:tbl>
      <w:tblPr>
        <w:tblStyle w:val="36"/>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21"/>
        <w:gridCol w:w="6243"/>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7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39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室内导航</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要求路线在拐角处支持平滑路线，要求提供门诊楼室内任意两点的室内语音导航；要求提供模拟导航和真实导航两种方式；要求导航软件根据患者当前的位置实时提供语音、文字和图标导航提示，根据患者的当前位置提示患者乘坐扶梯、电梯或楼梯，根据患者当前行走路线和方式进行路线偏离的自适应和修正，并根据患者的当前位置提供导航引导功能；要求在室内语音导航过程中的关键路口提供室内VR实景路口放大图功能，以3D实景的方式引导患者前往目的地就诊；室内语音要求在导航过程中每个转弯提供语音、文字等提醒方式，要求支持室内高精度三维地图随导航朝向旋转，沿线导航精度不低于2米。</w:t>
            </w:r>
          </w:p>
        </w:tc>
        <w:tc>
          <w:tcPr>
            <w:tcW w:w="393"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室内外一体化导航</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APP端要求提供从家开始到医院大门，再到院区建筑物楼内科室窗口的无缝一体化导航服务，无需唤起第三方APP应用。提供地铁、自驾、公交等多种出行方式，同时支持院内搜索和院外周边服务搜索，支持从院外到院内再到室内的无缝定位。</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室内搜索</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支持室内导航软件可根据患者当前的位置实时提供图像、语音导航引导功能，支持医院室外搜索，用户可搜索医院周边的饭店、超市、酒店等信息。</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诊间导航</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与预约系统、导医机器人、医院微信公众号对接，提供根据患者的就诊消息和当前的就诊环节，向患者推送下一步的就诊提示信息，无需患者输入，根据就诊提示信息中的目的地自动引导患者前往科室就诊功能；与HIS系统对接，与医院线下的场景结合，对如自动挂号机、收费窗口等环节打印出来的单据提供目的地二维码，患者手机即扫即导航，从各入口精准定位科室。</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手机定位签到</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要求支持手机定位签到功能，当患者到达指定就诊/检验报道区域，打开手机定位签到界面，点击“签到”，可以通过连接我院信息系统，实现非接触式签到/报到功能。</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位置分享</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提供室内地图的位置分享功能，亲友、医患/护患之间可通过位置分享功能，一键导航到亲友/护士所在位置，极大方便患者就诊。</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全景VR查看</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提供基于全景VR图的实景查看，通过全景VR图，患者可以了解医院环境的真实面貌，准确判断所处环境。</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兴趣点点选</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要求用户地图上的兴趣点可点选导航。</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指北针</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要求在地图种显示指北针效果，随地图旋转指北针可自动转动。</w:t>
            </w:r>
          </w:p>
        </w:tc>
        <w:tc>
          <w:tcPr>
            <w:tcW w:w="39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7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393"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2</w:t>
      </w:r>
      <w:r>
        <w:rPr>
          <w:rFonts w:cs="宋体" w:asciiTheme="minorEastAsia" w:hAnsiTheme="minorEastAsia" w:eastAsiaTheme="minorEastAsia"/>
          <w:b/>
          <w:bCs/>
        </w:rPr>
        <w:t>.2</w:t>
      </w:r>
      <w:r>
        <w:rPr>
          <w:rFonts w:hint="eastAsia" w:cs="宋体" w:asciiTheme="minorEastAsia" w:hAnsiTheme="minorEastAsia" w:eastAsiaTheme="minorEastAsia"/>
          <w:b/>
          <w:bCs/>
        </w:rPr>
        <w:t>智能导医机器人</w:t>
      </w:r>
    </w:p>
    <w:p>
      <w:pPr>
        <w:rPr>
          <w:rFonts w:cs="宋体" w:asciiTheme="minorEastAsia" w:hAnsiTheme="minorEastAsia" w:eastAsiaTheme="minorEastAsia"/>
          <w:b/>
          <w:bCs/>
        </w:rPr>
      </w:pPr>
      <w:r>
        <w:rPr>
          <w:rFonts w:hint="eastAsia" w:cs="宋体" w:asciiTheme="minorEastAsia" w:hAnsiTheme="minorEastAsia" w:eastAsiaTheme="minorEastAsia"/>
          <w:b/>
          <w:bCs/>
        </w:rPr>
        <w:t>2</w:t>
      </w:r>
      <w:r>
        <w:rPr>
          <w:rFonts w:cs="宋体" w:asciiTheme="minorEastAsia" w:hAnsiTheme="minorEastAsia" w:eastAsiaTheme="minorEastAsia"/>
          <w:b/>
          <w:bCs/>
        </w:rPr>
        <w:t>.2.1</w:t>
      </w:r>
      <w:r>
        <w:rPr>
          <w:rFonts w:hint="eastAsia" w:cs="宋体" w:asciiTheme="minorEastAsia" w:hAnsiTheme="minorEastAsia" w:eastAsiaTheme="minorEastAsia"/>
          <w:b/>
          <w:bCs/>
        </w:rPr>
        <w:t>智能导医机器人软件功能</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02"/>
        <w:gridCol w:w="630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9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2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导诊接待、人脸识别</w:t>
            </w:r>
          </w:p>
        </w:tc>
        <w:tc>
          <w:tcPr>
            <w:tcW w:w="359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迎宾区域时，主动与患者聊天交流，缓解患者等候办理医疗业务时的焦躁情绪。当人靠近机器人时，机器人主动问候，同时提醒佩戴口罩。</w:t>
            </w:r>
          </w:p>
        </w:tc>
        <w:tc>
          <w:tcPr>
            <w:tcW w:w="407"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2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预检分诊</w:t>
            </w:r>
          </w:p>
        </w:tc>
        <w:tc>
          <w:tcPr>
            <w:tcW w:w="359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内设导诊数据库，根据患者症状描述，直接推荐给患者符合的挂号科室，或患者通过机器人界面端人体图像点击选择症状，推荐给患者符合的挂号科室。</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2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流程查询</w:t>
            </w:r>
          </w:p>
        </w:tc>
        <w:tc>
          <w:tcPr>
            <w:tcW w:w="359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根据医院需求，提供给患者各种流程的查询，便于患者在机器人上实时查询。</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2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健康宣教</w:t>
            </w:r>
          </w:p>
        </w:tc>
        <w:tc>
          <w:tcPr>
            <w:tcW w:w="359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利用语音播报、自主移动、视频播放等智能技术，在患者需要时主动对患者进行健康内容宣教，如提示患者相关疾病预防，术后注意事项等知识。</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2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常见问题回答</w:t>
            </w:r>
          </w:p>
        </w:tc>
        <w:tc>
          <w:tcPr>
            <w:tcW w:w="359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通过提前预设患者看病常见问题的医疗语料资料、社保卡如何使用，智能导医机器人可以通过语音识别、语义理解和机器人大屏显示结合的方式自主解答顾客提出的相关问题。</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2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院内导航系统集成</w:t>
            </w:r>
          </w:p>
        </w:tc>
        <w:tc>
          <w:tcPr>
            <w:tcW w:w="359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嵌入3D电子地图，患者可以通过触摸屏查看地图，查询院内地址并获取目的地二维码。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具备自主带路功能，通过语音与机器人交互，可实现同层带路工作迎宾区域时，机器人需不间断的四处查看等候区域患者情况，如等候人员较多，应主动先去疏导患者，起到疏导患者的功能。</w:t>
            </w:r>
          </w:p>
        </w:tc>
        <w:tc>
          <w:tcPr>
            <w:tcW w:w="407"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2</w:t>
      </w:r>
      <w:r>
        <w:rPr>
          <w:rFonts w:cs="宋体" w:asciiTheme="minorEastAsia" w:hAnsiTheme="minorEastAsia" w:eastAsiaTheme="minorEastAsia"/>
          <w:b/>
          <w:bCs/>
        </w:rPr>
        <w:t>.2.2</w:t>
      </w:r>
      <w:r>
        <w:rPr>
          <w:rFonts w:hint="eastAsia" w:cs="宋体" w:asciiTheme="minorEastAsia" w:hAnsiTheme="minorEastAsia" w:eastAsiaTheme="minorEastAsia"/>
          <w:b/>
          <w:bCs/>
        </w:rPr>
        <w:t>智能导医机器人硬件技术参数</w:t>
      </w:r>
    </w:p>
    <w:tbl>
      <w:tblPr>
        <w:tblStyle w:val="36"/>
        <w:tblW w:w="51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91"/>
        <w:gridCol w:w="629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358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技术参数</w:t>
            </w:r>
          </w:p>
        </w:tc>
        <w:tc>
          <w:tcPr>
            <w:tcW w:w="42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cs="宋体" w:asciiTheme="minorEastAsia" w:hAnsiTheme="minorEastAsia" w:eastAsiaTheme="minorEastAsia"/>
                <w:color w:val="000000"/>
              </w:rPr>
              <w:t>1</w:t>
            </w:r>
          </w:p>
        </w:tc>
        <w:tc>
          <w:tcPr>
            <w:tcW w:w="62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智能导医机器人</w:t>
            </w:r>
          </w:p>
        </w:tc>
        <w:tc>
          <w:tcPr>
            <w:tcW w:w="3584"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1.操作系统：Android 5及以上；</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2.基础架构：ARM框架；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3.屏幕：≥13.0英寸；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4.触摸屏分辨率≥：1920*1080；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5.运行内存（RAM）：≥4GB，机身存储：≥32GB；</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6.无线网络：支持wifi和4G/5G；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7.表情屏: ≥7英寸，≥10组表情；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8.摄像头像素：≥800万；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9.电池类型：锂电池及以上；待机时间6-8小时；电量低于10%时，提示是否自动返回充电，待机充电≥5小时；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10.语音识别、视觉（网络摄像头）、多阵列麦克风,支持360°声源定位；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11.输入方式：语音，触控；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12.导航和避障：超声波/激光雷达。</w:t>
            </w:r>
          </w:p>
        </w:tc>
        <w:tc>
          <w:tcPr>
            <w:tcW w:w="42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3</w:t>
      </w:r>
      <w:r>
        <w:rPr>
          <w:rFonts w:cs="宋体" w:asciiTheme="minorEastAsia" w:hAnsiTheme="minorEastAsia" w:eastAsiaTheme="minorEastAsia"/>
          <w:b/>
          <w:bCs/>
        </w:rPr>
        <w:t>.</w:t>
      </w:r>
      <w:r>
        <w:rPr>
          <w:rFonts w:hint="eastAsia" w:cs="宋体" w:asciiTheme="minorEastAsia" w:hAnsiTheme="minorEastAsia" w:eastAsiaTheme="minorEastAsia"/>
          <w:b/>
          <w:bCs/>
        </w:rPr>
        <w:t>移动医护系统</w:t>
      </w:r>
    </w:p>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.1</w:t>
      </w:r>
      <w:r>
        <w:rPr>
          <w:rFonts w:hint="eastAsia" w:cs="宋体" w:asciiTheme="minorEastAsia" w:hAnsiTheme="minorEastAsia" w:eastAsiaTheme="minorEastAsia"/>
          <w:b/>
          <w:bCs/>
          <w:sz w:val="24"/>
          <w:szCs w:val="24"/>
        </w:rPr>
        <w:t>护理管理</w:t>
      </w:r>
    </w:p>
    <w:p>
      <w:pPr>
        <w:rPr>
          <w:rFonts w:cs="宋体" w:asciiTheme="minorEastAsia" w:hAnsiTheme="minorEastAsia" w:eastAsiaTheme="minorEastAsia"/>
          <w:b/>
          <w:bCs/>
        </w:rPr>
      </w:pPr>
      <w:r>
        <w:rPr>
          <w:rFonts w:cs="宋体" w:asciiTheme="minorEastAsia" w:hAnsiTheme="minorEastAsia" w:eastAsiaTheme="minorEastAsia"/>
          <w:b/>
          <w:bCs/>
        </w:rPr>
        <w:t>3.1.1</w:t>
      </w:r>
      <w:r>
        <w:rPr>
          <w:rFonts w:hint="eastAsia" w:cs="宋体" w:asciiTheme="minorEastAsia" w:hAnsiTheme="minorEastAsia" w:eastAsiaTheme="minorEastAsia"/>
          <w:b/>
          <w:bCs/>
        </w:rPr>
        <w:t>移动护理系统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57"/>
        <w:gridCol w:w="629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病人信息管理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病人卡片：展示当前科室在院病人的信息，至少包括病人床号、住院号、姓名、性别、年龄、主治医生、责任护士；支持不同颜色标识护理级别；提供跌倒、坠床、压疮、导管滑脱等高风险标识；提供高温标识；提供过敏药物标识；提供预术和手术标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2．我的病人：支持快速查询我管理的病人。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3．入科管理：支持病人入科操作。</w:t>
            </w:r>
          </w:p>
        </w:tc>
        <w:tc>
          <w:tcPr>
            <w:tcW w:w="414"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扫码核查</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1．病人核对：支持在标本采集、医嘱执行、病房巡视、快速病理、手术核查等业务环节通过扫描患者腕带确认病人身份信息。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2．临床医嘱核对：至少提供医嘱扫码核对、点选核对两种核对功能。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3．检验采样：提供检验标本采集前的安全核对功能。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4．快速病理标本采集：提供快速病理标本采集前的安全核对功能。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5．手术核查：支持手术各环节扫描患者腕带确认患者身份的验证功能。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智能提醒</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★提供待执行医嘱、测体温提醒、测血压提醒、待巡视提醒、待评估提醒、待宣教提醒。支持≥200ML输液巡视提醒功能。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执行动态</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提供中医治疗类、基础护理类执行计划的生成。</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9"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医嘱管理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1．医嘱审核：支持医嘱批量审核，具有按全部、长期、临时检索功能。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2．输液医嘱执行：提供医嘱执行功能，并将医嘱执行结果实时反馈至PC端护士站。支持不同颜色区分执行状态，支持自动费用记账功能。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3．皮试校验：至少提供2种皮试校验环节。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4．医嘱核对：提供新开、停止、作废等有变更的医嘱的核对功能。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5．欠费医嘱查询：提供欠费医嘱查询功能，支持按时间段筛选。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6．医嘱本：提供医嘱本查看功能，显示医嘱内容、用量、用法、频率，支持医嘱类型、医嘱状态、开始时间和结束时间检索。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7．未执行医嘱查询：提供未执行医嘱的查询功能，支持按日期检索。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8．分类执行单查询：提供诊疗单、处置单执行情况的查询，支持按医嘱状态查询，支持用法筛选。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摆药管理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提供双人摆药核查功能。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体征管理</w:t>
            </w:r>
          </w:p>
        </w:tc>
        <w:tc>
          <w:tcPr>
            <w:tcW w:w="3599" w:type="pct"/>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color w:val="000000"/>
              </w:rPr>
              <w:t>1．整点生命体征采集：提</w:t>
            </w:r>
            <w:r>
              <w:rPr>
                <w:rFonts w:hint="eastAsia" w:cs="宋体" w:asciiTheme="minorEastAsia" w:hAnsiTheme="minorEastAsia" w:eastAsiaTheme="minorEastAsia"/>
              </w:rPr>
              <w:t>供≥6个时间整点的生命体征采集，至少包括体温、脉搏、呼吸、血压、心率、物理降温、呼吸机、疼痛评分、疼痛再评估、大小便、体重、肛温、出水量、入出水量、药物过敏信息的采集功能。</w:t>
            </w:r>
          </w:p>
          <w:p>
            <w:pPr>
              <w:rPr>
                <w:rFonts w:cs="宋体" w:asciiTheme="minorEastAsia" w:hAnsiTheme="minorEastAsia" w:eastAsiaTheme="minorEastAsia"/>
                <w:color w:val="000000"/>
              </w:rPr>
            </w:pPr>
            <w:r>
              <w:rPr>
                <w:rFonts w:hint="eastAsia" w:cs="宋体" w:asciiTheme="minorEastAsia" w:hAnsiTheme="minorEastAsia" w:eastAsiaTheme="minorEastAsia"/>
              </w:rPr>
              <w:t>2．体温单：支持移动端在线查看≥7日体</w:t>
            </w:r>
            <w:r>
              <w:rPr>
                <w:rFonts w:hint="eastAsia" w:cs="宋体" w:asciiTheme="minorEastAsia" w:hAnsiTheme="minorEastAsia" w:eastAsiaTheme="minorEastAsia"/>
                <w:color w:val="000000"/>
              </w:rPr>
              <w:t>温单，支持区域放大和缩小。</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发热录入</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w:t>
            </w:r>
            <w:r>
              <w:rPr>
                <w:rFonts w:hint="eastAsia" w:cs="宋体" w:asciiTheme="minorEastAsia" w:hAnsiTheme="minorEastAsia" w:eastAsiaTheme="minorEastAsia"/>
              </w:rPr>
              <w:t>实时</w:t>
            </w:r>
            <w:r>
              <w:rPr>
                <w:rFonts w:hint="eastAsia" w:cs="宋体" w:asciiTheme="minorEastAsia" w:hAnsiTheme="minorEastAsia" w:eastAsiaTheme="minorEastAsia"/>
                <w:color w:val="000000"/>
              </w:rPr>
              <w:t>的体温、脉搏、呼吸、血压录入，以及列表查看。</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健康宣教</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提供针对不同病种的个性化健康教育指导，至少包括入院宣教、住院期间、出院前和出院当日的宣教内容。</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护理病历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操作简便的移动端护理病历书写，包括入院首次评估单、特定时间点血糖记录单、即时血糖记录单、血压护理记录单、产科待产记录单、催产素使用观察记录单、手术护理记录单、出入水量记录表、疼痛护理评估单、手指式脉搏血氧监测记录、新生儿护理及母乳喂养巡视记录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2．支持与电脑端护理病历数据共享操作。</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护理记录单</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1．提供操作简便的移动端护理记录单书写，支持体征信息的自动生成，支持入量信息的自动生成，支持病情摘要点选操作，支持复制上一个时间点的病情摘要，具有病情摘要知识库。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2．支持与电脑端护理记录单数据共享操作。</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风险评估</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1．提供高风险人群风险评估功能，包括跌倒风险因素评估表、压疮风险评估表、 导管滑脱风险评估表、坠床风险因素评估表、镇静评估表、自理能力评估表、血栓风险因素评估单；提供高风险患者判断标准、风险评估和高风险患者防范措施。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2．支持与电脑端风险评估表数据共享操作。</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护理计划</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1．提供标准的护理计划单书写功能，支持高危患者判断，为高危患者指定护理计划。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2．支持与电脑端护理计划单数据共享操作。</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更换责护</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支持临时更换责护和批量更换责护。</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巡视记录</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1．支持扫描腕带或扫描床头卡进行病房巡视；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2．自动巡视记录生成：能够根据输液执行和输液完成自动生成相应巡视记录，能够将健康教育作为巡视记录，能够将输血巡视作为巡视记录。</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16</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闭环管理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支持输液闭环、检查闭环、检验闭环、皮试闭环、手术闭环、摆药闭环、出院带药闭环等闭环管理。</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17</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查询统计</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1．出院病人查询：支持出院病人的基本信息查询，能够查看出院病人的医嘱执行、医嘱查看、体征查询、护理病历、手术查询等。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2．护理统计：提供病区病人汇总信息，包括病人总数、特级护理人数、一级护理人数、二级护理人数、三级护理人数、无护理级别人数、病危人数人数、高风险人数人数、手术人数信息等。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3．日清单查询：提供在院病人日清单查询，可根据日期查看当日发生的费用明细，详细列明每一项的单位、数量、单价、金额，以及当日费用合计。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4．护理工作量查询：提供护理人员每日工作量总数和明细数量查询功能。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18</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4"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cs="宋体" w:asciiTheme="minorEastAsia" w:hAnsiTheme="minorEastAsia" w:eastAsiaTheme="minorEastAsia"/>
          <w:b/>
          <w:bCs/>
        </w:rPr>
        <w:t>3.1.2</w:t>
      </w:r>
      <w:r>
        <w:rPr>
          <w:rFonts w:hint="eastAsia" w:cs="宋体" w:asciiTheme="minorEastAsia" w:hAnsiTheme="minorEastAsia" w:eastAsiaTheme="minorEastAsia"/>
          <w:b/>
          <w:bCs/>
        </w:rPr>
        <w:t>结构化护理病历系统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98"/>
        <w:gridCol w:w="632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患者一览</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1.支持以卡片形式清晰展示患者信息，至少标明患者床位号、住院号、姓名、性别、费用类别、诊断、过敏、主治医生、责任护士、护理级别等。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2.支持患者详细信息查看，可查看患者入院时间、饮食、费用等相关信息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3.患者分组：可定义患者分组，根据分组快速筛选患者。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4.重点标识：可查看患者高风险、手术、发热等重点标识。</w:t>
            </w:r>
          </w:p>
        </w:tc>
        <w:tc>
          <w:tcPr>
            <w:tcW w:w="407"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常用功能定义</w:t>
            </w:r>
          </w:p>
        </w:tc>
        <w:tc>
          <w:tcPr>
            <w:tcW w:w="3606" w:type="pct"/>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支持病区自定义常用功能，便于护理人员操作常用功能。</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体征管理</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1.支持批量体征录入、随机个体体征录入、查看体温单。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★2.提供异常体征智能护理措施指引功能，体温、呼吸、脉搏、血压体征信息超过设定阈值后系统给与相应的护理措施指引。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3.支持出水量、入水量根据护理记录单出入水量自动同步生成。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4.支持体征单录入的体征信息共享至其他需要的护理文书中。</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5.提供体征一览表查看功能，能够直观查看每个患者所有测量时间点的体温、心率、呼吸和脉搏数据，并可标识出时间段的最高体温。</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病区事务</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1.腕带打印：病人腕带预览与打印，支持腕带模板的制作。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2.床头卡打印：病人床头卡预览有打印，支持床头卡模板的制作。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3.执行单打印：支持医嘱执行单的预览与打印，提供患者批量打印功能，支持按医嘱类别、医嘱项目、打印状态、医嘱状态筛选过滤执行单进行打印。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4.补打：提供床头卡、腕带的补打申请和补打审批功能。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5.打印记录：具有腕带、床头卡和执行单打印记录查询功能。</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护理记录</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护理记录单、血压记录单、血糖记录单、中心静脉压监测记录单、手指式脉搏血氧监测记录单、输血护理记录单、一周血糖曲线图、一周血压曲线图、自动化腹膜透析（APD）记录单等各种护理文书的结构化录入、预览和打印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2.支持自定义护理记录单模板。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3.护理记录单：支持体征数据共享、一键出入水量合计、病情摘要知识库。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4.针对同一转科患者支持转入科室查看转出科室已写护理文书数据的查看。</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护理评估</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1.护理评估：提供入院首次护理评估、压疮风险因素评估表、跌倒/坠床危险因素评估表、导管滑脱风险评估表、水肿评估表、疼痛护理评估单、自理能力评估表、Autar DVT风险因素评估表等各种风险评估表的结构化录入、预览和打印功能。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2.支持自定义护理评估单模板。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3.护理评估评定与防范措施：能够根据结构化录入的结果，系统自动计算评估得分和风险等级，并能够智能化提示防范措施。</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护理计划</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提供基于科室的护理计划结构化录入、预览与打印。支持护理计划随患者病情变化动态组装护理措施。</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健康教育</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提供基于病种的健康教育宣教表，且随患者病情诊断变化或转科后健康教育宣教表能够根据病种宣教模板进行动态组装。</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专科护理文书</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根据医院需要能够支持专科护理文书模板的制定和护理文书的结构化录入。如孕产妇护理评估记录单、待产记录单、催产素使用观察记录、新生儿护理及母乳喂养巡视单、产程图等专科护理文书。</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手术室护理文书</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根据医院需要能够支持手术室护理文书模板的制定和护理文书的结构化录入。如手术安全核查表、术前交接单、术前访视单、手术护理记录单、手术交接单、手术访视单等。</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护理交接班</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1.提供各个班次交接项目自动统计功能，至少包括原有、现有、入院、出院、转入、转出、死亡、手术、预术、病危、病重、I级护理、II级护理、Ⅲ级护理等。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各班次交接项目明细，支持项目标识（如新、危、术、分娩）、支持标识位置设置（如诊断右下方、诊断正下方），项目明细至少包括出院、死亡、转出、入院、转入、手术、预术、危重、分娩、I级护理、Ⅱ级护理、Ⅲ级护理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3.提供交接项目和交接项目明细排序功能。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4.支持交接班报告话术模板定义功能，话术模板能够根据各科室需要进行调整。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5.提供交接班报告插入知识库、插入护理记录单病情摘要功能。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6.要求交接班报告支持交接内容跨单元格自动换行功能。</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巡视管理</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1.提供在院病人和出院病人的病房巡视、输液巡视和输血巡视查询功能。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2.巡视补录：提供巡视补录和巡视补录审批功能，巡视补录申请要求能够支持补录时间和补录原因的申请。</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文书模板制作</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1.支持可视化病历文书模板的制作。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2.支持《电子病历基本数据集》护理操作记录、护理评估与计划等护理相关的数据集标准，支持科室护理模板并需提供结构化护理病历编辑器著作权。</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出科病历</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提供出科、出院病历的修改申请和修改审批功能，只有申请审批通过的病历才允许科室修改。</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权限管理</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1.提供用户、角色、权限管理，支持为角色分配允许操作的功能，为用户分配角色。</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2.设备注册管理：只有注册审批通过的计算机才可以使用该系统，增加系统使用的安全性。</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0"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16</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模板配置</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1.定义包括模板名称、模板类型、适用人群、扩展属性、模板字体、行高、对齐方式、展现形式（横版/竖版）等，可灵活配置病历属性、病历使用范围以及病历的展示类型。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2.模板库管理支持查看引用其他病区维护的模板。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3.支持根据现场病历类型（文件类/列表类）灵活配置，满足多种病历展示形式。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4.支持扩展属性配置，可为每个病历配置美观、方便、实用的展现形式。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5.默认支持移动端与PC端实时同步，同一个记录单护士既可以在PC端书写也可以在移动端书写。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6.支持设置特定病历在保存时进行未录入内容提醒，协助用户规范化进行文书书写。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7.支持为单个病历模板配置适用科室，可实现配置一个模板实现全院通用的效果，实现针对性与通用性同时管理。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8.支持各个记录单之中相同的数据共享通用，录入一次，多病历共通展示。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9.能够实现同种病历可为移动端与PC端针对性的配置合理、使用方便的展示方式。</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17</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控件管理</w:t>
            </w:r>
          </w:p>
        </w:tc>
        <w:tc>
          <w:tcPr>
            <w:tcW w:w="3606" w:type="pct"/>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1.满足电子病历运用等级评价及数据互联互通评测标准的要求。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2.支持通过控件类型来控制数据元的展现形式。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3.支持配置风险类评估单自动计算风险等级，自动关联防范措施。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4.同表单内可通过‘关联控件’功能与其他控件做出关联，根据场景进行级联绑定，用于实现联动需求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5.支持通过‘控件允许值逻辑判断’进行填写校验，给出提示，确保数据在安全范围之内，减少误操作。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6.支持评估单中出水量、入水量等合计功能设置自动计算，节省人工计算与核对的时间成本。</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7.支持基础数据的维护，实现病历结构化点选，提高书写效率。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8.支持病历中的各种时间字段自定义配置显示格式。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9.支持为项目控件配置移动端分类，能够在移动端分页面展示项目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10.支持简单逻辑的‘条件设置’，可实现配置病历中各种项之间的逻辑关系。</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61" w:type="pct"/>
            <w:shd w:val="clear" w:color="auto" w:fill="auto"/>
            <w:vAlign w:val="center"/>
          </w:tcPr>
          <w:p>
            <w:pPr>
              <w:jc w:val="right"/>
              <w:rPr>
                <w:rFonts w:cs="宋体" w:asciiTheme="minorEastAsia" w:hAnsiTheme="minorEastAsia" w:eastAsiaTheme="minorEastAsia"/>
                <w:color w:val="000000"/>
              </w:rPr>
            </w:pPr>
            <w:r>
              <w:rPr>
                <w:rFonts w:hint="eastAsia" w:cs="宋体" w:asciiTheme="minorEastAsia" w:hAnsiTheme="minorEastAsia" w:eastAsiaTheme="minorEastAsia"/>
                <w:color w:val="000000"/>
              </w:rPr>
              <w:t>18</w:t>
            </w:r>
          </w:p>
        </w:tc>
        <w:tc>
          <w:tcPr>
            <w:tcW w:w="62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07"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3</w:t>
      </w:r>
      <w:r>
        <w:rPr>
          <w:rFonts w:cs="宋体" w:asciiTheme="minorEastAsia" w:hAnsiTheme="minorEastAsia" w:eastAsiaTheme="minorEastAsia"/>
          <w:b/>
          <w:bCs/>
        </w:rPr>
        <w:t>.1.3</w:t>
      </w:r>
      <w:r>
        <w:rPr>
          <w:rFonts w:hint="eastAsia" w:cs="宋体" w:asciiTheme="minorEastAsia" w:hAnsiTheme="minorEastAsia" w:eastAsiaTheme="minorEastAsia"/>
          <w:b/>
          <w:bCs/>
        </w:rPr>
        <w:t>移动护理PDA终端</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98"/>
        <w:gridCol w:w="632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设备名称</w:t>
            </w:r>
          </w:p>
        </w:tc>
        <w:tc>
          <w:tcPr>
            <w:tcW w:w="3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技术参数</w:t>
            </w:r>
          </w:p>
        </w:tc>
        <w:tc>
          <w:tcPr>
            <w:tcW w:w="4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26"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移动护理PDA终端</w:t>
            </w:r>
          </w:p>
        </w:tc>
        <w:tc>
          <w:tcPr>
            <w:tcW w:w="360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1.处理器：配置不低于八核处理器，频率≥2.3GHZ；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2.运行内存：≥4GB RAM；</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3.储存内存：≥64GB ROM，支持用户存储扩展；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4.续航能力：可充电的锂离子电池，容量≥5000mAh，工作时间≥10小时，Type-C接口，支持OTG；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5.屏幕尺寸：≥5.0英寸，电容多点触控，支持戴手套/带水触摸；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6.屏幕分辨率：分辨率≥1280*720；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7.摄像头：后置≥1300万像素；</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8.手电筒：支持一键启动手电功能；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9.外壳材料：抑菌材料，可耐受酒精、过氧化氢、丙乙醇、聚维酮碘等医院常用消毒剂（含屏幕部分）；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10.按键：为便于消毒清洗设备正面必须为触控按键，不得有实体按键；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11.防摔抗震：可承受1.5m高处到地面的多次跌落；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12.防水防尘工业等级：≥IP67；</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13.无故障时间：平均无故障时间不低于20000小时；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14.WIFI网络：支持802.11a/b/g/n/ac协议，2.4G/5G双频；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15.4G网络：支持4G全网通，双卡双待；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16.蓝牙网络：Bluetooth5.0（支持BLE）；</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17.定位系统：支持主流定位服务，GPS，北斗等；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18.扫描：上下倾斜视角：±60°，左右偏移视角：±55°，激光安全等级：Class 2，旋转视角：360°，图像分辨率：1280(H)×800(V)；条码扫描：十字纳米激光扫描、暖白光照明，红色激光瞄准；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19.条码读取：支持GS1条码识别，扫描工具同步支持设置GS1应用标识分隔符开关功能；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20.准心模式：可实现PDA准心扫描，防止相邻条码的误读；</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21.扫描按键：支持左右两侧实体扫描按键及屏幕虚拟扫描按键；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22.操作系统：Android 9.0或以上；</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23.二维码快捷设置：通过扫描二维码快速实现复制其他设备部分设置，如条码、WiFi等设置；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24.安全管理桌面：系统自带安全管理桌面，限制使用指定APP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25.网络安全管理：不借助任何第三方软件实现添加网络白（黑）名单功能，屏蔽非法网络，确保设备院内医疗使用；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26.系统安全：具有密码验证机制，在安装新的APP需要输入密码方可确认、可设置APP使用权限，禁止使用非法APP应用。</w:t>
            </w:r>
          </w:p>
        </w:tc>
        <w:tc>
          <w:tcPr>
            <w:tcW w:w="4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pStyle w:val="137"/>
        <w:ind w:firstLine="0" w:firstLineChars="0"/>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3</w:t>
      </w:r>
      <w:r>
        <w:rPr>
          <w:rFonts w:cs="宋体" w:asciiTheme="minorEastAsia" w:hAnsiTheme="minorEastAsia" w:eastAsiaTheme="minorEastAsia"/>
          <w:b/>
          <w:bCs/>
          <w:color w:val="000000"/>
          <w:sz w:val="24"/>
          <w:szCs w:val="24"/>
        </w:rPr>
        <w:t>.2</w:t>
      </w:r>
      <w:r>
        <w:rPr>
          <w:rFonts w:hint="eastAsia" w:cs="宋体" w:asciiTheme="minorEastAsia" w:hAnsiTheme="minorEastAsia" w:eastAsiaTheme="minorEastAsia"/>
          <w:b/>
          <w:bCs/>
          <w:color w:val="000000"/>
          <w:sz w:val="24"/>
          <w:szCs w:val="24"/>
        </w:rPr>
        <w:t>移动查房</w:t>
      </w:r>
    </w:p>
    <w:p>
      <w:pPr>
        <w:pStyle w:val="137"/>
        <w:ind w:firstLine="0" w:firstLineChars="0"/>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3</w:t>
      </w:r>
      <w:r>
        <w:rPr>
          <w:rFonts w:cs="宋体" w:asciiTheme="minorEastAsia" w:hAnsiTheme="minorEastAsia" w:eastAsiaTheme="minorEastAsia"/>
          <w:b/>
          <w:bCs/>
          <w:color w:val="000000"/>
          <w:sz w:val="24"/>
          <w:szCs w:val="24"/>
        </w:rPr>
        <w:t>.2.1</w:t>
      </w:r>
      <w:r>
        <w:rPr>
          <w:rFonts w:hint="eastAsia" w:cs="宋体" w:asciiTheme="minorEastAsia" w:hAnsiTheme="minorEastAsia" w:eastAsiaTheme="minorEastAsia"/>
          <w:b/>
          <w:bCs/>
          <w:color w:val="000000"/>
          <w:sz w:val="24"/>
          <w:szCs w:val="24"/>
        </w:rPr>
        <w:t>移动医生查房系统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08"/>
        <w:gridCol w:w="636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64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患者信息概览</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通过患者卡片的方式集中展示在院患者的信息，主要包括：床号、姓名、性别、年龄、入院天数、护理级别、住院号、医保类型、医生、责任护士、可用余额、诊断信息等信息。</w:t>
            </w:r>
          </w:p>
        </w:tc>
        <w:tc>
          <w:tcPr>
            <w:tcW w:w="407"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基本信息</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项目列表方式展示在院患者的信息，主要包括：床号、姓名、性别、年龄、住院号、医保类型、婚姻、出生日期、身份证号、入院日期、入院天数、疾病诊断、病情、医生、责任护士、押金总额、可用余额等信息。</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医嘱信息查阅</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通过医嘱查看页面，可方便的了解患者的医嘱内容、是否停止等重要信息，主要包括：医嘱类型、医嘱类别、开始时间、停止时间、医嘱内容、规格、医嘱状态等信息。</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体征信息查阅</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体征查询功能，可查看患者体温单的相关信息，主要包括：患者住院日期、患者诊断、体征测量时间点、患者呼吸、脉搏、体温、血压、大便、小便、出/入水量等信息；通过折线图表的方式展示，医生可查看和对比分析。</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检查信息集成</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通过检查报告查看功能，可查看患者检查项目的项目名称、检查部位、申请医生、申请时间、报告医生、报告时间、病历摘要、疾病诊断、检查目的、检查报告所见、检查诊断建议等详细信息。</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检验信息集成</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检验报告查看功能，能够查看患者检验项目报告的项目名称、检验结果、参考值、单位、检验医师、检验时间等信息；检验结果有异常标识，患者检验结果高于或低于参考值时，通过红色(高于)或蓝色(低于)的箭头标识，方便医生的查看及重点关注；打开对应检验明细项目的趋势分析图，通过折线图的方式展示患者最近的检验结果，便于对比分析患者检验指标的变化情况。</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住院病历调阅</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对住院病历文书进行相关的文件转换操作后，实现对住院病历文书的集成调阅，能够查看患者的住院病历文书信息，主要包括患者的入院记录、首次病程、日程病程、各类知情同意书及告知单、转科记录、会诊记录、出院记录等住院病历文书。</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护理病历调阅</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通过护理病历文书的调阅功能，能够查看患者住院期间的护理文书信息，主要包括患者的护理计划单、住院告知书、风险评估单、日常护理单、血糖记录单、体征记录单等护理文书。</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医嘱管理功能</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根据患者当前诊疗情况，床旁实现医嘱的快速停止、取消，避免重复抄在小本子上回到办公室再进行医嘱的操作管理。</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查房备忘录</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医师在查房过程中，可对重点患者的关键病情信息进行实时记录。</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消息提醒</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对病历书写时效、病历审签、危急值、抗生素等进行智能化消息提醒。</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审批管理</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支持病历修改审批、病历解锁审批、病历召回审批、抗生素使用审批等临床的审批管理。</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5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64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07"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3</w:t>
      </w:r>
      <w:r>
        <w:rPr>
          <w:rFonts w:cs="宋体" w:asciiTheme="minorEastAsia" w:hAnsiTheme="minorEastAsia" w:eastAsiaTheme="minorEastAsia"/>
          <w:b/>
          <w:bCs/>
          <w:color w:val="000000"/>
          <w:sz w:val="24"/>
          <w:szCs w:val="24"/>
        </w:rPr>
        <w:t>.2.2</w:t>
      </w:r>
      <w:r>
        <w:rPr>
          <w:rFonts w:hint="eastAsia" w:cs="宋体" w:asciiTheme="minorEastAsia" w:hAnsiTheme="minorEastAsia" w:eastAsiaTheme="minorEastAsia"/>
          <w:b/>
          <w:bCs/>
          <w:color w:val="000000"/>
          <w:sz w:val="24"/>
          <w:szCs w:val="24"/>
        </w:rPr>
        <w:t>移动查房平板电脑</w:t>
      </w:r>
    </w:p>
    <w:tbl>
      <w:tblPr>
        <w:tblStyle w:val="36"/>
        <w:tblW w:w="5151" w:type="pct"/>
        <w:tblInd w:w="0" w:type="dxa"/>
        <w:tblLayout w:type="autofit"/>
        <w:tblCellMar>
          <w:top w:w="0" w:type="dxa"/>
          <w:left w:w="108" w:type="dxa"/>
          <w:bottom w:w="0" w:type="dxa"/>
          <w:right w:w="108" w:type="dxa"/>
        </w:tblCellMar>
      </w:tblPr>
      <w:tblGrid>
        <w:gridCol w:w="713"/>
        <w:gridCol w:w="1210"/>
        <w:gridCol w:w="6269"/>
        <w:gridCol w:w="581"/>
      </w:tblGrid>
      <w:tr>
        <w:tblPrEx>
          <w:tblCellMar>
            <w:top w:w="0" w:type="dxa"/>
            <w:left w:w="108" w:type="dxa"/>
            <w:bottom w:w="0" w:type="dxa"/>
            <w:right w:w="108" w:type="dxa"/>
          </w:tblCellMar>
        </w:tblPrEx>
        <w:trPr>
          <w:trHeight w:val="278" w:hRule="atLeast"/>
        </w:trPr>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98"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设备名称</w:t>
            </w:r>
          </w:p>
        </w:tc>
        <w:tc>
          <w:tcPr>
            <w:tcW w:w="3641"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技术参数</w:t>
            </w:r>
          </w:p>
        </w:tc>
        <w:tc>
          <w:tcPr>
            <w:tcW w:w="399"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CellMar>
            <w:top w:w="0" w:type="dxa"/>
            <w:left w:w="108" w:type="dxa"/>
            <w:bottom w:w="0" w:type="dxa"/>
            <w:right w:w="108" w:type="dxa"/>
          </w:tblCellMar>
        </w:tblPrEx>
        <w:trPr>
          <w:trHeight w:val="27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98" w:type="pct"/>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平板电脑</w:t>
            </w:r>
          </w:p>
        </w:tc>
        <w:tc>
          <w:tcPr>
            <w:tcW w:w="3641" w:type="pct"/>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配置≥8英寸/8+128GB/支持WIFI，支持4G全网通。</w:t>
            </w:r>
          </w:p>
        </w:tc>
        <w:tc>
          <w:tcPr>
            <w:tcW w:w="399"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pStyle w:val="137"/>
        <w:ind w:firstLine="0" w:firstLineChars="0"/>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3</w:t>
      </w:r>
      <w:r>
        <w:rPr>
          <w:rFonts w:cs="宋体" w:asciiTheme="minorEastAsia" w:hAnsiTheme="minorEastAsia" w:eastAsiaTheme="minorEastAsia"/>
          <w:b/>
          <w:bCs/>
          <w:color w:val="000000"/>
          <w:sz w:val="24"/>
          <w:szCs w:val="24"/>
        </w:rPr>
        <w:t>.3</w:t>
      </w:r>
      <w:r>
        <w:rPr>
          <w:rFonts w:hint="eastAsia" w:cs="宋体" w:asciiTheme="minorEastAsia" w:hAnsiTheme="minorEastAsia" w:eastAsiaTheme="minorEastAsia"/>
          <w:b/>
          <w:bCs/>
          <w:color w:val="000000"/>
          <w:sz w:val="24"/>
          <w:szCs w:val="24"/>
        </w:rPr>
        <w:t>护理管理</w:t>
      </w:r>
    </w:p>
    <w:p>
      <w:pPr>
        <w:pStyle w:val="137"/>
        <w:ind w:firstLine="0" w:firstLineChars="0"/>
        <w:rPr>
          <w:rFonts w:cs="宋体" w:asciiTheme="minorEastAsia" w:hAnsiTheme="minorEastAsia" w:eastAsiaTheme="minorEastAsia"/>
          <w:b/>
          <w:bCs/>
          <w:color w:val="000000"/>
          <w:sz w:val="24"/>
          <w:szCs w:val="24"/>
        </w:rPr>
      </w:pPr>
      <w:r>
        <w:rPr>
          <w:rFonts w:cs="宋体" w:asciiTheme="minorEastAsia" w:hAnsiTheme="minorEastAsia" w:eastAsiaTheme="minorEastAsia"/>
          <w:b/>
          <w:bCs/>
          <w:color w:val="000000"/>
          <w:sz w:val="24"/>
          <w:szCs w:val="24"/>
        </w:rPr>
        <w:t>3.3.1</w:t>
      </w:r>
      <w:r>
        <w:rPr>
          <w:rFonts w:hint="eastAsia" w:cs="宋体" w:asciiTheme="minorEastAsia" w:hAnsiTheme="minorEastAsia" w:eastAsiaTheme="minorEastAsia"/>
          <w:b/>
          <w:bCs/>
          <w:color w:val="000000"/>
          <w:sz w:val="24"/>
          <w:szCs w:val="24"/>
        </w:rPr>
        <w:t>护理质控管理系统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31"/>
        <w:gridCol w:w="632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62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质量检查</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支持三级护理质量检查，支持结构化的存在问题可点选操作。 </w:t>
            </w:r>
          </w:p>
        </w:tc>
        <w:tc>
          <w:tcPr>
            <w:tcW w:w="414"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计划制定</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支持按时间、按周期、按频次自定义护理三级质控计划。</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分析整改</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为病区自查、二级质控组抽查、三级质控组抽查、督导检查、院级抽查的问题提供分析整改的功能，包括原因分析、整改措施、效果评价，且支持基于PDCA的多次分析整改。</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跟踪评价</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对每级护理质控的存在问题整改结果进行跟踪效果评价。</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改进措施</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护理部可对多次跟踪效果评价不合格的问题分析后给出改进措施。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院级抽查</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提供院级抽查功能，通过院级抽查能够达到对三级质控数据的抽查质控。</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督导检查</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提供自定义督导检查项目的功能，支持督导检查模板制定；</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提供高风险患者(跌倒、坠床、压疮等)专项督导检查功能。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0"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质控查检</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★要求具有护理三级质控月度质控报告快速生成的功能，报告具有评价法、鱼骨图等工具，具有重点问题确定和分析整改功能，支持报告导出成WORD文档</w:t>
            </w:r>
            <w:r>
              <w:rPr>
                <w:rFonts w:hint="eastAsia" w:cs="宋体" w:asciiTheme="minorEastAsia" w:hAnsiTheme="minorEastAsia" w:eastAsiaTheme="minorEastAsia"/>
              </w:rPr>
              <w:t>或WPS文档</w:t>
            </w:r>
            <w:r>
              <w:rPr>
                <w:rFonts w:hint="eastAsia" w:cs="宋体" w:asciiTheme="minorEastAsia" w:hAnsiTheme="minorEastAsia" w:eastAsiaTheme="minorEastAsia"/>
                <w:color w:val="000000"/>
              </w:rPr>
              <w:t>。</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夜值班质控管理</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要求可对全院或大科制作夜值班检查计划，可按人分配检查表和检查范围。</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0</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工作预览</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为病区护士长、质控组组长和护理部主任提供护理质控工作一览表，通过图标直观展示护理质控进度和本人待办事项。</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1</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检查监控</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提供护理部实施监控护理三级质控进度的功能。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2</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消息提醒</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提供护理质控PDCA环节中各个节点的微信/短信等提醒功能。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3</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统计分析</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1.支持仪表盘、柏拉图、柱状图、折线图等多种统计分析图表；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2.提供以柏拉图形式展示病区存在问题分析；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3.提供单项质量检查平均得分折线分析、病区质量检查排名、质控组质量检查排名、临床护理质量统计、临床护理质量对比、全年质量检查得分分析等统计分析；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4.支持对单项质量进行分析，支持存在问题汇总，支持按单个查检表进行问题分析。</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4</w:t>
            </w:r>
          </w:p>
        </w:tc>
        <w:tc>
          <w:tcPr>
            <w:tcW w:w="6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62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4"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color w:val="000000"/>
          <w:sz w:val="24"/>
          <w:szCs w:val="24"/>
        </w:rPr>
        <w:t>3</w:t>
      </w:r>
      <w:r>
        <w:rPr>
          <w:rFonts w:cs="宋体" w:asciiTheme="minorEastAsia" w:hAnsiTheme="minorEastAsia" w:eastAsiaTheme="minorEastAsia"/>
          <w:b/>
          <w:bCs/>
          <w:color w:val="000000"/>
          <w:sz w:val="24"/>
          <w:szCs w:val="24"/>
        </w:rPr>
        <w:t>.3.2</w:t>
      </w:r>
      <w:r>
        <w:rPr>
          <w:rFonts w:hint="eastAsia" w:cs="宋体" w:asciiTheme="minorEastAsia" w:hAnsiTheme="minorEastAsia" w:eastAsiaTheme="minorEastAsia"/>
          <w:b/>
          <w:bCs/>
          <w:sz w:val="24"/>
          <w:szCs w:val="24"/>
        </w:rPr>
        <w:t>护理医疗安全不良事件上报系统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24"/>
        <w:gridCol w:w="6332"/>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62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0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不良事件监测</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具备部分不良事件监测（跌倒/坠床、压疮等）的功能。</w:t>
            </w:r>
          </w:p>
        </w:tc>
        <w:tc>
          <w:tcPr>
            <w:tcW w:w="408"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不良事件上报</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◆1.提供医疗管理类、护理管理类、药品管理类、医技管理类、输血管理类等≥12大类，跌倒、坠床、压疮、管路护理等超过50子类的不良事件填报上报功能。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2.提供实名上报和匿名上报。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◆3.支持患者基本信息、当事人信息和报告人信息自动生成功能。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4.支持患者家属不良事件上报。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5.支持照片采集功能。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事件经过及处理措施</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时间经过及处理措施的全结构化描述，包括基本信息、事件发生前、事件发生时、事件发现时、事件处置，每个环节能够采用结构化话术模板，通过数据高度共享与互联互通，实现自动生成事件经过及处理措施。</w:t>
            </w:r>
          </w:p>
          <w:p>
            <w:pPr>
              <w:rPr>
                <w:rFonts w:asciiTheme="minorEastAsia" w:hAnsiTheme="minorEastAsia" w:eastAsiaTheme="minorEastAsia"/>
              </w:rPr>
            </w:pPr>
            <w:r>
              <w:rPr>
                <w:rFonts w:hint="eastAsia" w:cs="宋体" w:asciiTheme="minorEastAsia" w:hAnsiTheme="minorEastAsia" w:eastAsiaTheme="minorEastAsia"/>
                <w:color w:val="000000"/>
              </w:rPr>
              <w:t>【投标时提供带“★”部分的证明材料</w:t>
            </w:r>
            <w:r>
              <w:rPr>
                <w:rFonts w:cs="宋体" w:asciiTheme="minorEastAsia" w:hAnsiTheme="minorEastAsia" w:eastAsiaTheme="minorEastAsia"/>
                <w:color w:val="000000"/>
              </w:rPr>
              <w:t xml:space="preserve"> （证明材料包括但不限于检测报告、计算机软件著作权登记证书、官网或软件截图、产品彩页等）】</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讨论记录</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支持事件经过及处理措施、讨论发言、总结发言的记录。</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事件分析整改</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1.支持病区使用鱼骨图进行原因分析和整改措施。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◆2.对单个事件进行鱼骨图分析。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◆3.医疗安全不良事件RCA分析整改判定流程具有异常事件决策树工具；选择对应的判断节点自动流转到下个节点，并产生相应结论。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事件审核</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支持上报事件按照审核流程设置相应的处理流程；处理流程通过时间轴进行展示，清晰显示审核流程，并生成事件处理的反馈信息；已上报的事件可主动推送给相关的角色或用户进行审核。</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审核不通过事件处理</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对审核意见为“不通过”的事件，将推送回上报人进行补充或修订，同时显示审核人意见反馈结果；提供一键重新上报（改由其他审核节点重新填写审核信息）。</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事件跟踪评价</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系统提供单个事件的追踪，对于审核通过的不良事件，主管部门可以对时间跟踪评价。针对不同级别的不良事件，支持跟踪评价的流程的灵活配置。对于需要持续整改的不良事件，可以持续进行PDCA流程。</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不良事件报告</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自动生成不良事件月度、季度、半年度、全年度的不良事件报告，报告内容至少包括不良事件同比、不良事件环比、不良事件各科室对比、不良事件分级占比，不良事件柏拉图等图表信息。支持导出WORD格式的报告。</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统计分析</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多层级的事件报表查询，包括帕累托图（柏拉图）、饼状图、条形图、柱状图、关键词等报表，可根据上报科室、事件类型、事件级别、上报时间段等条件进行多方位的统计汇总。应至少包括不良事件各科室同比分析、不良事件各科室环比分析、不良事件类别分布、不良事件科室分布、不良事件班次分布等。</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压力性损伤事件专项分析</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压疮包括压疮部位构成比、患者护理级别构成比、事件发生科室构成比、科室压疮预警人数构成比、预警患者年龄构成比、压疮预警患者风险程度构成比、事件发生时患者活动过程构成比、患者发生前护理措施构成比、事件发生后护理措施沟通比等14项对比指标专项分析。</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管理滑脱事件专项分析</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管路滑脱包括患者护理级别构成比、管道类型构成比、管道固定方法构成比、患者有无陪伴着构成比、事件发生时工作人员是否在患者身边构成比、事件发生前是否进行风险评估构成比等28项对比指标专项分析。</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给药缺陷类事件专项分析</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给药缺陷类包括事件等级构成比、事件发生地点构成比、患者护理级构成比、事件类型分布构成比、当时人年限构成比等11项对比指标专项分析。</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跌倒（坠床）类事件专项分析</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跌倒（坠床）类事件分析包括事件分类构成比、事件发生地点构成比、事件原因分布构成比、事件发生前护理措施构成比、事件发生后护理措施构成比、事件发生后安全指导构成比、事件发生时现场其他人员状态构成比、事件发生后处理方法构成比等26项对比指标专项分析。</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不良事件上报国家平台</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支持直接导出国家平台需要的医疗安全（不良）事件信息。</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16</w:t>
            </w:r>
          </w:p>
        </w:tc>
        <w:tc>
          <w:tcPr>
            <w:tcW w:w="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62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08"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color w:val="000000"/>
          <w:sz w:val="24"/>
          <w:szCs w:val="24"/>
        </w:rPr>
        <w:t>3</w:t>
      </w:r>
      <w:r>
        <w:rPr>
          <w:rFonts w:cs="宋体" w:asciiTheme="minorEastAsia" w:hAnsiTheme="minorEastAsia" w:eastAsiaTheme="minorEastAsia"/>
          <w:b/>
          <w:bCs/>
          <w:color w:val="000000"/>
          <w:sz w:val="24"/>
          <w:szCs w:val="24"/>
        </w:rPr>
        <w:t>.3.3</w:t>
      </w:r>
      <w:r>
        <w:rPr>
          <w:rFonts w:hint="eastAsia" w:cs="宋体" w:asciiTheme="minorEastAsia" w:hAnsiTheme="minorEastAsia" w:eastAsiaTheme="minorEastAsia"/>
          <w:b/>
          <w:bCs/>
          <w:sz w:val="24"/>
          <w:szCs w:val="24"/>
        </w:rPr>
        <w:t>药品不良反应报告与管理系统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33"/>
        <w:gridCol w:w="631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61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事件上报</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支持进行药品不良反应事件上报，上报页面选项与国家药品不良反应事件监测平台一致，包括事件基本信息、怀疑用药信息、并用药品信息、不良反应过程描述信息、关联性评价等模块。</w:t>
            </w:r>
          </w:p>
        </w:tc>
        <w:tc>
          <w:tcPr>
            <w:tcW w:w="414"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不良事件审核</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提供逐级审核功能，审核不通过，填写审核不通过原因后返回病区进行完善。</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支持以时间轴形式查看审核进度。</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不良事件查看列表</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供医院不良事件管理部门查看所有上报至主管部门的药品不良反应事件，支持查看明细、导出等功能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上报进度查询</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可查询本人或本科室上报的药品不良反应事件当前上报进度，上报进度支持状态显示。</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各科室药品不良反应事件统计</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以柱状图的形式展示各个科室上报的药品不良反应事件次数排名，筛选条件包括科室、日期等。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药品不良反应事件走势图</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以折线图的形式展示医院每日上报药品不良反应事件的频次，可按全院或单科室进行查看，筛选条件包括科室、日期等。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药品不良反应结果统计</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以环状图的形式展示药品不良反应结果占比，筛选条件包括科室、日期等。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不良事件药品占比排名</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以柱状图的形式展示上报的药品不良反应事件中患者使用药品的次数排名，筛选条件包括科室、日期、分类（怀疑用药、并用药品）、TOP数等。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药品安全不良事件查询</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以列表的形式展示药品不良反应事件统计，列表包括序号、主管部门、发生科室、患者姓名、患者性别、患者年龄、上报人。</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药品不良反应事件汇总</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以列表的形式展示每个事件上报页面的所有信息，与国家药品不良反应监测平台要求统计项目保持一致。</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60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615"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4"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.3.4</w:t>
      </w:r>
      <w:r>
        <w:rPr>
          <w:rFonts w:hint="eastAsia" w:cs="宋体" w:asciiTheme="minorEastAsia" w:hAnsiTheme="minorEastAsia" w:eastAsiaTheme="minorEastAsia"/>
          <w:b/>
          <w:bCs/>
          <w:sz w:val="24"/>
          <w:szCs w:val="24"/>
        </w:rPr>
        <w:t>医疗器械不良事件报告与管理系统</w:t>
      </w:r>
    </w:p>
    <w:tbl>
      <w:tblPr>
        <w:tblStyle w:val="36"/>
        <w:tblW w:w="879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78"/>
        <w:gridCol w:w="63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6335"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720"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事件上报</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支持进行医疗器械不良事件上报，上报页面选项与国家医疗器械不良事件监测平台一致，包括报告基本信息、医疗器械情况、不良事件情况、使用情况、事件初步原因分析与处置等模块。</w:t>
            </w:r>
          </w:p>
        </w:tc>
        <w:tc>
          <w:tcPr>
            <w:tcW w:w="720" w:type="dxa"/>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不良事件审核</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提供逐级审核功能，审核不通过，填写审核不通过原因后返回病区进行完善。</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支持以时间轴形式查看审核进度。</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不良事件查看列表</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供医院不良事件管理部门查看所有上报至主管部门的医疗器械不良事件，支持查看明细、导出等功能</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上报进度查询</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可查询本人或本科室上报的医疗器械不良事件当前上报进度，上报进度支持状态显示。</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各科室医疗器械不良事件统计</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以柱状图的形式展示各个科室上报的医疗器械不良事件次数排名，筛选条件包括科室、日期等。</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医疗器械不良事件走势图</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以折线图的形式展示医院每日上报医疗器械不良事件的频次，可按全院或单科室进行查看，筛选条件包括科室、日期等。</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医疗器械不良反应事件结果统计</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以环状图的形式展示医疗器械不良反应结果占比，筛选条件包括科室、日期等。</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不良事件器械占比排名</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以柱状图的形式展示上报的医疗器械不良事件中患者使用器械的次数排名，筛选条件包括科室、日期、分类（怀疑用药、并用药品）、TOP数等。</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医疗器械不良事件查询</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以列表的形式展示医疗器械不良事件统计，列表包括序号、主管部门、发生科室、患者姓名、患者性别、患者年龄、上报人。</w:t>
            </w:r>
          </w:p>
        </w:tc>
        <w:tc>
          <w:tcPr>
            <w:tcW w:w="720" w:type="dxa"/>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8" w:type="dxa"/>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1078" w:type="dxa"/>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6335" w:type="dxa"/>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720" w:type="dxa"/>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.3.5</w:t>
      </w:r>
      <w:r>
        <w:rPr>
          <w:rFonts w:hint="eastAsia" w:cs="宋体" w:asciiTheme="minorEastAsia" w:hAnsiTheme="minorEastAsia" w:eastAsiaTheme="minorEastAsia"/>
          <w:b/>
          <w:bCs/>
          <w:sz w:val="24"/>
          <w:szCs w:val="24"/>
        </w:rPr>
        <w:t>护理人员档案管理系统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54"/>
        <w:gridCol w:w="6292"/>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8"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护理人员档案管理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1．支持从</w:t>
            </w:r>
            <w:r>
              <w:rPr>
                <w:rFonts w:hint="eastAsia" w:cs="宋体" w:asciiTheme="minorEastAsia" w:hAnsiTheme="minorEastAsia" w:eastAsiaTheme="minorEastAsia"/>
              </w:rPr>
              <w:t>医院现有系统</w:t>
            </w:r>
            <w:r>
              <w:rPr>
                <w:rFonts w:hint="eastAsia" w:cs="宋体" w:asciiTheme="minorEastAsia" w:hAnsiTheme="minorEastAsia" w:eastAsiaTheme="minorEastAsia"/>
                <w:color w:val="000000"/>
              </w:rPr>
              <w:t>同步护理人员基本信息的功能。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2．个人档案管理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1）具有护理人员从入院到退休档案的建立和修改功能。支持档案的初审和终审，支持层级进阶、业务培训、考试记录等部分动态档案的自动生成功能。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2）支持个人头像与各种证书照片通过平板端、手机端同步上传。</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3．档案修改审批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支持档案修改的申请与审批功能。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4．调配管理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具有人员调配、调离和转科的功能，支持调配申请、审批和接收全流程操作。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5．规培管理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具有规培护士登记、规培护士轮转功能，支持手动轮转和自动轮转。</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6．实习/进修管理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具有实习护士登记、进修护士登记、轮转功能。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7．离退休管理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具有离职申请、离职审批、退休申请、退休审批功能。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8．层级进阶管理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具有完整的层级进阶流程，对于不同的层级支持不同的进阶流程。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9．统计分析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包括护理人员信息统计、护理人员职称分布图、护理人员人事编制状态分析、护理人员离职率分析、护理人员层级分布情况、护理人员学历分布、护理人员衣裤鞋信息查询等各种维度的统计分析功能，支持导出EXCEL格式。</w:t>
            </w:r>
          </w:p>
        </w:tc>
        <w:tc>
          <w:tcPr>
            <w:tcW w:w="414"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数据查询</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1.可按职工性质分类查询；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2.提供工号、姓名、简码的快速查询；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3.提供人员高级查询；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4.可按科室显示人员；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5.可自定义显示列</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6.护理人员建档、基本信息修改及人员注销；</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7.自定义字段是否显示；自定义字段是否可修改；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8.可自定义excel导入模版；</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9.excel数据导入；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10.excel数据导出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11.支持个人全档案简历查看，导出和打印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12.支持照片的个人导入，批量导入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13.支持护士的证件管理，含有效期，原证件照片上传，以及有效期督察功能。</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调配管理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1.指定到人员、调出科室、调出日期，执行调动；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2.撤消调动记录，清除相关数据痕迹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3.调动记录可自动生成个人档案记录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4.调动记录汇总查询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5.指定到人员、临时借调科室、借调日期，执行借调</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6.临时调动记录汇总查询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7.记录人员外派的情况，如参加抗险救灾任务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8.护士外出进修结果登记</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37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统计分析</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1.分析全院及各科护士鞋衣帽情况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2.分析全院及各科男女护士比例情况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3.分析全院及各科护士职称分布情况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4.分析全院及各科护士职工性质分布情况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5.分析全院及各科护士职务情况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6.分析全院及各科护士层级分布情况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7.分析全院及各科护士学历分布情况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8.分析全院及各科护士专业类别分布情况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9.分析全院及各科护士工作年限情况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10.分析全院及各科护士各年龄段分布情况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11.分析全院及各科护士注销情况</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ind w:right="208"/>
              <w:jc w:val="right"/>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4"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.3.6</w:t>
      </w:r>
      <w:r>
        <w:rPr>
          <w:rFonts w:hint="eastAsia" w:cs="宋体" w:asciiTheme="minorEastAsia" w:hAnsiTheme="minorEastAsia" w:eastAsiaTheme="minorEastAsia"/>
          <w:b/>
          <w:bCs/>
          <w:sz w:val="24"/>
          <w:szCs w:val="24"/>
        </w:rPr>
        <w:t>护理排班管理系统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48"/>
        <w:gridCol w:w="629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3"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护理排班管理</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1.人员管理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提供人员排序、带教老师匹配等相关功能。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2.护理排班</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1）支持手动排班和一键排班，提供排班规则设置功能。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2）支持按周、月和季度排班，提供排班人员分组、排班人员排序的功能，支持导出到EXCEL和打印预览的功能。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3）支持备班自动分组和实习生随带教老师自动排班功能。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3.班次管理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提供护理部统一维护班次功能，支持各病区自定义班次名称功能。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4.护士意愿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支持护士填写护士意愿，护士长排班查看护士意愿功能。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5.手机端排班表查看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支持护理人员通过手机端系统查看个人排班和全院排班。</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6.统计分析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1）具有床位使用率、护患比、床护比自动计算的功能；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2）具有全院护理人员值班统计、全院各病区夜班费月度统计、全院护理人员夜班费统计、各层级护理人员夜班人次统计、全院休假人员统计、全院护理人员值班情况等各种自动生成的统计分析。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3）提供全院各病区护患比统计、历史护患比曲线图分析等敏感指标数据的生成。</w:t>
            </w:r>
          </w:p>
        </w:tc>
        <w:tc>
          <w:tcPr>
            <w:tcW w:w="414"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规则设置</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1.支持设定各护理单元的排班分组信息。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2.支持可以按需设定各科室的班次，如班次的颜色，班时值等。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3.支持设定各护理单元的夜班费计算规则。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4.支持设定医院每天的工作时间换算规则，夜班计入换算规则。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5.支持设定医院的各种假日，比如国家法定假日、院庆日等。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6.支持维护各类假期类型，比如国庆节等。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7.支持设定排班的各种约束，比如每周每人工作时间限制，白班人员数量等。</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统计分析</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1.可以统计各科室各种班次的排班、在岗、休假等信息。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2.支持根据排班信息，自动计算夜班费。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3.支持统计科室执业护士人数及核定床位数，分析各科床护比。</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4.支持统计上班护士人数及在院病人数，分析各科护患比。</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5.支持分析护士的私人需求提交次数及满足情况。</w:t>
            </w:r>
          </w:p>
        </w:tc>
        <w:tc>
          <w:tcPr>
            <w:tcW w:w="41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4"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w:t>
      </w: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7</w:t>
      </w:r>
      <w:r>
        <w:rPr>
          <w:rFonts w:hint="eastAsia" w:cs="宋体" w:asciiTheme="minorEastAsia" w:hAnsiTheme="minorEastAsia" w:eastAsiaTheme="minorEastAsia"/>
          <w:b/>
          <w:bCs/>
          <w:sz w:val="24"/>
          <w:szCs w:val="24"/>
        </w:rPr>
        <w:t>护理满意度调查系统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65"/>
        <w:gridCol w:w="628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3"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护理满意度调查</w:t>
            </w:r>
          </w:p>
        </w:tc>
        <w:tc>
          <w:tcPr>
            <w:tcW w:w="358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1.模板设置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支持满意度调查模板的设置，具有最满意度护士和最不满意护士的模板项目选择。</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2.分配权限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支持病区护士长为护士分配满意度调查表的权限。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3.调查登记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1）支持通过护理人员通过PAD（平板）调取相应的调查表对患者进行调查。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2）支持患者通过手机在线主动填写调查表。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★3）支持科室对科室进行满意度调查。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4.支持护士对护士进行满意度调查。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5.统计分析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具有调查满意率统计、最满意护士排名、最不满意护士排名、调查项目满意率统计、各科室月度最满意护士次数统计功能。</w:t>
            </w:r>
          </w:p>
        </w:tc>
        <w:tc>
          <w:tcPr>
            <w:tcW w:w="415"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其他功能</w:t>
            </w:r>
          </w:p>
        </w:tc>
        <w:tc>
          <w:tcPr>
            <w:tcW w:w="358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1.支持对门诊、出院、在院等患者进行调查。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2.提供调查计划制定功能。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3.支持任务名单的手动筛选和自动筛选。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4.支持自动化调查，调查时间可自定义。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5.支持短信、微信、APP、电话等多种调查方式。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6.支持按权限处理随访异常。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7.对于收集来的满意度调查增加转投诉功能，进入投诉管理流程。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8.支持查看随访异常处理记录。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9.支持过滤名单检索。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10.支持已过滤患者移除名单。</w:t>
            </w:r>
          </w:p>
        </w:tc>
        <w:tc>
          <w:tcPr>
            <w:tcW w:w="415"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5"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3.3.8</w:t>
      </w:r>
      <w:r>
        <w:rPr>
          <w:rFonts w:hint="eastAsia" w:cs="宋体" w:asciiTheme="minorEastAsia" w:hAnsiTheme="minorEastAsia" w:eastAsiaTheme="minorEastAsia"/>
          <w:b/>
          <w:bCs/>
          <w:sz w:val="24"/>
          <w:szCs w:val="24"/>
        </w:rPr>
        <w:t>护士长工作手册系统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61"/>
        <w:gridCol w:w="628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9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9" w:hRule="atLeast"/>
        </w:trPr>
        <w:tc>
          <w:tcPr>
            <w:tcW w:w="380"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护士长工作手册</w:t>
            </w:r>
          </w:p>
        </w:tc>
        <w:tc>
          <w:tcPr>
            <w:tcW w:w="359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1.护士长日程记录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支持护士长设置周程，提供护士长日程记录功能，系统至少具有、超时未记、超时已记录、已完成状态的提醒功能。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2.手机端日程记录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支持护士长通过手机端记录日程，系统至少具有超时未记、超时已记录、已完成状态的提醒功能。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3.记录全局检索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支持病区护士长根据关键字全局检索日程记录的功能。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4.规章制度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支持规章制度的建立和分目录查看。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5.工作计划与总结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1）提供病区的工作计划和总结填报功能，支持病区查看护理部的工作计划。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2）支持工作计划采用甘特图形式展示。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★6.护理专项记录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至少应支持护理查房记录、护理疑难病例讨论记录、业务学习记录、人员调配记录、护士谈心记录、质控会纪要、工休座谈会常用护理记录功能。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7.会诊记录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支持院内会诊、院外会诊和专科会诊等。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8.假日查房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具有护士长节假日查房及查房监控功能。</w:t>
            </w:r>
          </w:p>
        </w:tc>
        <w:tc>
          <w:tcPr>
            <w:tcW w:w="415"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1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9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5"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.3.9</w:t>
      </w:r>
      <w:r>
        <w:rPr>
          <w:rFonts w:hint="eastAsia" w:cs="宋体" w:asciiTheme="minorEastAsia" w:hAnsiTheme="minorEastAsia" w:eastAsiaTheme="minorEastAsia"/>
          <w:b/>
          <w:bCs/>
          <w:sz w:val="24"/>
          <w:szCs w:val="24"/>
        </w:rPr>
        <w:t>护理部工作手册系统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66"/>
        <w:gridCol w:w="6281"/>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8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trPr>
        <w:tc>
          <w:tcPr>
            <w:tcW w:w="38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护理部工作手册</w:t>
            </w:r>
          </w:p>
        </w:tc>
        <w:tc>
          <w:tcPr>
            <w:tcW w:w="358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1.重点信息统计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具有病危病人、高风险病人等重点人群的统计功能，以折线图或柱状图形式展示。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2.记录全局检索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支持护理部根据关键字全局检索日程记录的功能。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3.规章制度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提供各种规章制度文档管理功能，可自建文档目录，支持规章制度文档查看监控功能。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4.工作计划与总结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1）提供护理部工作计划和总结填报功能，支持护理部查看病区的工作计划与总结。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2）支持工作计划采用甘特图形式展示。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5.护理专项记录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至少应支持护理查房记录、护理疑难病例讨论记录、业务学习记录、人员调配记录、质控会纪要、工休座谈会、会诊记录、应急演练记录等常用专项记录的查看功能。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6.年度责任目标与优质护理服务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具有年度责任目标和优质护理服务的制定功能，年度责任目标要求体现检查方法、评分标准和自查结果，优质护理服务要求体现落实措施和完成进度。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7.公告管理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1）提供新建、修改公告功能，支持图片和文档上传功能，支持下发范围的选择。</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2）支持护理人员通过手机端查看公告信息的功能，并提供消息系统功能。</w:t>
            </w:r>
          </w:p>
        </w:tc>
        <w:tc>
          <w:tcPr>
            <w:tcW w:w="415"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5"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.3.10</w:t>
      </w:r>
      <w:r>
        <w:rPr>
          <w:rFonts w:hint="eastAsia" w:cs="宋体" w:asciiTheme="minorEastAsia" w:hAnsiTheme="minorEastAsia" w:eastAsiaTheme="minorEastAsia"/>
          <w:b/>
          <w:bCs/>
          <w:sz w:val="24"/>
          <w:szCs w:val="24"/>
        </w:rPr>
        <w:t>护理敏感指标管理系统</w:t>
      </w:r>
    </w:p>
    <w:tbl>
      <w:tblPr>
        <w:tblStyle w:val="36"/>
        <w:tblW w:w="51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83"/>
        <w:gridCol w:w="624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4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9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0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0" w:hRule="atLeast"/>
        </w:trPr>
        <w:tc>
          <w:tcPr>
            <w:tcW w:w="36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4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护理敏感指标管理</w:t>
            </w:r>
          </w:p>
        </w:tc>
        <w:tc>
          <w:tcPr>
            <w:tcW w:w="359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1.数据采集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系统应支持对于国家护理质量数据平台所要求的全院护理质量数据进行自动采集，每个护理质量数据应支持自动采集或手动填报两种模式。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2.ICU敏感指标统计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系统应支持对于国家护理质量数据平台所要求的ICU护理质量数据的自动采集。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3.敏感指标分析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应提供按月、季度、年对护理敏感指标数据进行统计图分析，包括床护比、护患比、白班护患比、夜班护患比、护理时数、导尿管非计划拔管率、胃肠管非计划保管率、气管导管非计划拔管率、VAP、PICC、CVC、CAUTI、住院患者身体约束等敏感指标分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4.护理敏感指标数据范围查看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护理部可以查看全院所有病区的护理敏感指标数据和统计。</w:t>
            </w:r>
          </w:p>
        </w:tc>
        <w:tc>
          <w:tcPr>
            <w:tcW w:w="404"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4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9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04"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.3.11</w:t>
      </w:r>
      <w:r>
        <w:rPr>
          <w:rFonts w:hint="eastAsia" w:cs="宋体" w:asciiTheme="minorEastAsia" w:hAnsiTheme="minorEastAsia" w:eastAsiaTheme="minorEastAsia"/>
          <w:b/>
          <w:bCs/>
          <w:sz w:val="24"/>
          <w:szCs w:val="24"/>
        </w:rPr>
        <w:t>护理助手系统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88"/>
        <w:gridCol w:w="624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4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8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0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4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护士手机端</w:t>
            </w:r>
          </w:p>
        </w:tc>
        <w:tc>
          <w:tcPr>
            <w:tcW w:w="358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1.基于医院微信企业号建立安全、高效的护士手机端日常工作助手。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2.扫码:支持考试签到、培训签到、护士长节假日查房签到、扫码登录等功能。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3.培训教育:应提供线上学习课件、自测学习、学习分享、在线培训、培训记录、在线考试、考试记录等线上培训和考试功能。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4.排班查看:支持在线查看个人排班和病区排班表。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5.调配管理:提供人员调配申请、调配接收、轮转结束申请、轮转结束审批等先生申请、审批功能。支持待办事项红点提醒功能。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6.个人资料上传:支持通过护士手机端系统上传个人的头像和图片资料至个人档案。</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7.日程录入:提供便捷的护士长日程录入功能。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8.公告及消息:提供公告提醒及公告查看功能，支持护理管理信息平台各系统各流程节点的消息提醒和查看功能。</w:t>
            </w:r>
          </w:p>
        </w:tc>
        <w:tc>
          <w:tcPr>
            <w:tcW w:w="408"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6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4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08" w:type="pct"/>
            <w:vMerge w:val="continue"/>
            <w:vAlign w:val="center"/>
          </w:tcPr>
          <w:p>
            <w:pPr>
              <w:rPr>
                <w:rFonts w:cs="宋体" w:asciiTheme="minorEastAsia" w:hAnsiTheme="minorEastAsia" w:eastAsiaTheme="minorEastAsia"/>
                <w:color w:val="000000"/>
              </w:rPr>
            </w:pPr>
          </w:p>
        </w:tc>
      </w:tr>
    </w:tbl>
    <w:p>
      <w:pPr>
        <w:pStyle w:val="137"/>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w:t>
      </w:r>
      <w:r>
        <w:rPr>
          <w:rFonts w:cs="宋体" w:asciiTheme="minorEastAsia" w:hAnsiTheme="minorEastAsia" w:eastAsiaTheme="minorEastAsia"/>
          <w:b/>
          <w:bCs/>
          <w:sz w:val="24"/>
          <w:szCs w:val="24"/>
        </w:rPr>
        <w:t>.3.12</w:t>
      </w:r>
      <w:r>
        <w:rPr>
          <w:rFonts w:hint="eastAsia" w:cs="宋体" w:asciiTheme="minorEastAsia" w:hAnsiTheme="minorEastAsia" w:eastAsiaTheme="minorEastAsia"/>
          <w:b/>
          <w:bCs/>
          <w:sz w:val="24"/>
          <w:szCs w:val="24"/>
        </w:rPr>
        <w:t>护患通系统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78"/>
        <w:gridCol w:w="625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3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功能模块</w:t>
            </w:r>
          </w:p>
        </w:tc>
        <w:tc>
          <w:tcPr>
            <w:tcW w:w="359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0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4"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3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患者手机端</w:t>
            </w:r>
          </w:p>
        </w:tc>
        <w:tc>
          <w:tcPr>
            <w:tcW w:w="359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1.基于微信服务号为患者提供诊后延续性护理服务。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2.专题讲座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应支持小视频类健康宣教，支持评价、分享、点赞等功能。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3.康复助手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应支持文字类健康知识的分类与展示。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4.健康宣教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应提供移动护理系统推送的健康宣教内容的接收与评价。</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5.满意度评价</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应提供在线实时进行满意度评价的功能。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6.诊后随访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提供智能化的诊后随访功能。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7.在线咨询</w:t>
            </w:r>
          </w:p>
          <w:p>
            <w:pPr>
              <w:rPr>
                <w:rFonts w:cs="宋体" w:asciiTheme="minorEastAsia" w:hAnsiTheme="minorEastAsia" w:eastAsiaTheme="minorEastAsia"/>
                <w:color w:val="000000"/>
                <w:highlight w:val="yellow"/>
              </w:rPr>
            </w:pPr>
            <w:r>
              <w:rPr>
                <w:rFonts w:hint="eastAsia" w:cs="宋体" w:asciiTheme="minorEastAsia" w:hAnsiTheme="minorEastAsia" w:eastAsiaTheme="minorEastAsia"/>
                <w:color w:val="000000"/>
              </w:rPr>
              <w:t>提供简单易用的在线咨询和答复功能。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8.个人注册</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应至少提供2种患者注册方式，尽量减少患者手动输入信息的工作量。</w:t>
            </w:r>
          </w:p>
        </w:tc>
        <w:tc>
          <w:tcPr>
            <w:tcW w:w="408"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6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3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其他功能</w:t>
            </w:r>
          </w:p>
        </w:tc>
        <w:tc>
          <w:tcPr>
            <w:tcW w:w="359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1.支持PC网页</w:t>
            </w:r>
            <w:r>
              <w:rPr>
                <w:rFonts w:hint="eastAsia" w:cs="宋体" w:asciiTheme="minorEastAsia" w:hAnsiTheme="minorEastAsia" w:eastAsiaTheme="minorEastAsia"/>
              </w:rPr>
              <w:t>端和医、护移动</w:t>
            </w:r>
            <w:r>
              <w:rPr>
                <w:rFonts w:hint="eastAsia" w:cs="宋体" w:asciiTheme="minorEastAsia" w:hAnsiTheme="minorEastAsia" w:eastAsiaTheme="minorEastAsia"/>
                <w:color w:val="000000"/>
              </w:rPr>
              <w:t>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2.支持医医沟通，医护沟通，医患沟通。</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3.支持电话、微信、短信等多种沟通渠道。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4.支持文字、视频、语音、图片等多种沟通方式。</w:t>
            </w:r>
          </w:p>
        </w:tc>
        <w:tc>
          <w:tcPr>
            <w:tcW w:w="408"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3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9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08"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4</w:t>
      </w:r>
      <w:r>
        <w:rPr>
          <w:rFonts w:cs="宋体" w:asciiTheme="minorEastAsia" w:hAnsiTheme="minorEastAsia" w:eastAsiaTheme="minorEastAsia"/>
          <w:b/>
          <w:bCs/>
        </w:rPr>
        <w:t>.</w:t>
      </w:r>
      <w:r>
        <w:rPr>
          <w:rFonts w:hint="eastAsia" w:cs="宋体" w:asciiTheme="minorEastAsia" w:hAnsiTheme="minorEastAsia" w:eastAsiaTheme="minorEastAsia"/>
          <w:b/>
          <w:bCs/>
        </w:rPr>
        <w:t>围术期管理系统</w:t>
      </w:r>
    </w:p>
    <w:p>
      <w:pPr>
        <w:rPr>
          <w:rFonts w:cs="宋体" w:asciiTheme="minorEastAsia" w:hAnsiTheme="minorEastAsia" w:eastAsiaTheme="minorEastAsia"/>
          <w:b/>
          <w:bCs/>
        </w:rPr>
      </w:pPr>
      <w:r>
        <w:rPr>
          <w:rFonts w:cs="宋体" w:asciiTheme="minorEastAsia" w:hAnsiTheme="minorEastAsia" w:eastAsiaTheme="minorEastAsia"/>
          <w:b/>
          <w:bCs/>
        </w:rPr>
        <w:t>4.1</w:t>
      </w:r>
      <w:r>
        <w:rPr>
          <w:rFonts w:hint="eastAsia" w:cs="宋体" w:asciiTheme="minorEastAsia" w:hAnsiTheme="minorEastAsia" w:eastAsiaTheme="minorEastAsia"/>
          <w:b/>
          <w:bCs/>
        </w:rPr>
        <w:t>手术患者家属等候区公告系统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106"/>
        <w:gridCol w:w="628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31"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名称</w:t>
            </w:r>
          </w:p>
        </w:tc>
        <w:tc>
          <w:tcPr>
            <w:tcW w:w="3588"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6"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31"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手术宣教</w:t>
            </w:r>
          </w:p>
        </w:tc>
        <w:tc>
          <w:tcPr>
            <w:tcW w:w="3588"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需支持轮播术后康复、温馨关怀、舒缓音频等宣教内容，支持自由配置宣教内容，支持音视频宣教、图文宣教。</w:t>
            </w:r>
          </w:p>
        </w:tc>
        <w:tc>
          <w:tcPr>
            <w:tcW w:w="416"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31"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各手术进程一览</w:t>
            </w:r>
          </w:p>
        </w:tc>
        <w:tc>
          <w:tcPr>
            <w:tcW w:w="3588"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需支持展示各手术患者手术进程信息，手术进程实时获取实时刷新，并对隐私内容进行数据脱敏。</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31"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家属呼叫通知</w:t>
            </w:r>
          </w:p>
        </w:tc>
        <w:tc>
          <w:tcPr>
            <w:tcW w:w="3588"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医护人员在手术间内一键发起家属谈话呼叫之后，家属等候区公告大屏语音加弹窗字幕通知被呼叫家属前往谈话间进行谈话，同手术室医护患协同系统及术中患者医疗数据及影像数据交互集成系统一同构建患者谈话流程闭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31"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8"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31"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交互大屏（等候区公告）</w:t>
            </w:r>
          </w:p>
        </w:tc>
        <w:tc>
          <w:tcPr>
            <w:tcW w:w="3588"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1.显示参数：≥55英寸，≥1920×1080@60Hz，≥300cd/m2；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2.操作系统：Android 7.1或以上；</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3.CPU不低于：Cortex-A17，4核，主频1.8 GHz；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4.存储参数：内存≥2G,内置存储≥8G；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5.网络：支持有线、无线WIFI；</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▲6.可通过设备管理系统进行集中管理，实现一站式报修运维服务。</w:t>
            </w:r>
          </w:p>
        </w:tc>
        <w:tc>
          <w:tcPr>
            <w:tcW w:w="416"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4</w:t>
      </w:r>
      <w:r>
        <w:rPr>
          <w:rFonts w:cs="宋体" w:asciiTheme="minorEastAsia" w:hAnsiTheme="minorEastAsia" w:eastAsiaTheme="minorEastAsia"/>
          <w:b/>
          <w:bCs/>
        </w:rPr>
        <w:t>.2</w:t>
      </w:r>
      <w:r>
        <w:rPr>
          <w:rFonts w:hint="eastAsia" w:cs="宋体" w:asciiTheme="minorEastAsia" w:hAnsiTheme="minorEastAsia" w:eastAsiaTheme="minorEastAsia"/>
          <w:b/>
          <w:bCs/>
        </w:rPr>
        <w:t>手术排班协同公告系统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105"/>
        <w:gridCol w:w="628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8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各手术间当台手术汇览</w:t>
            </w:r>
          </w:p>
        </w:tc>
        <w:tc>
          <w:tcPr>
            <w:tcW w:w="3582"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需支持一张屏展示各手术间当台手术信息、手术进程信息，包括患者信息、手术名称、麻醉信息、医护信息、手术进程等；系统支持通过手麻系统及物联设备自动获取手术进程节点并实时刷新变更。</w:t>
            </w:r>
          </w:p>
        </w:tc>
        <w:tc>
          <w:tcPr>
            <w:tcW w:w="423"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各手术间当日排班一览</w:t>
            </w:r>
          </w:p>
        </w:tc>
        <w:tc>
          <w:tcPr>
            <w:tcW w:w="3582"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大屏一屏滚动展示各手术间手术排班信息、各台次进程信息，包括患者信息、台次信息、手术名称、麻醉信息、医护信息、手术进程等；系统需支持通过手麻系统及物联设备自动获取手术进程节点并实时刷新变更。</w:t>
            </w:r>
          </w:p>
        </w:tc>
        <w:tc>
          <w:tcPr>
            <w:tcW w:w="42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各手术间手术进程及排班汇览</w:t>
            </w:r>
          </w:p>
        </w:tc>
        <w:tc>
          <w:tcPr>
            <w:tcW w:w="3582"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★需支持大屏分览展示各手术间手术进程；支持切换手术间查看该手术间当日手术排班信息，包括患者信息、手术名称、麻醉信息、医护信息、手术进程。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tc>
        <w:tc>
          <w:tcPr>
            <w:tcW w:w="42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通知公告</w:t>
            </w:r>
          </w:p>
        </w:tc>
        <w:tc>
          <w:tcPr>
            <w:tcW w:w="3582"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需支持手术室通知公告滚动展示</w:t>
            </w:r>
          </w:p>
        </w:tc>
        <w:tc>
          <w:tcPr>
            <w:tcW w:w="42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2"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2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36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交互大屏（手术排班协同公告）</w:t>
            </w:r>
          </w:p>
        </w:tc>
        <w:tc>
          <w:tcPr>
            <w:tcW w:w="3582"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1.显示参数：≥55英寸，≥1920×1080@60Hz，≥300cd/m2；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2.操作系统：Android 7.1及以上；</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3.CPU不低于：Cortex-A17，4核，主频1.8 GHz；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4.存储参数：内存≥2G,内置存储≥8G；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5.网络：支持有线、无线WIFI；</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6.可通过设备管理系统进行集中管理，实现一站式报修运维服务。</w:t>
            </w:r>
          </w:p>
        </w:tc>
        <w:tc>
          <w:tcPr>
            <w:tcW w:w="4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4</w:t>
      </w:r>
      <w:r>
        <w:rPr>
          <w:rFonts w:cs="宋体" w:asciiTheme="minorEastAsia" w:hAnsiTheme="minorEastAsia" w:eastAsiaTheme="minorEastAsia"/>
          <w:b/>
          <w:bCs/>
        </w:rPr>
        <w:t>.3</w:t>
      </w:r>
      <w:r>
        <w:rPr>
          <w:rFonts w:hint="eastAsia" w:cs="宋体" w:asciiTheme="minorEastAsia" w:hAnsiTheme="minorEastAsia" w:eastAsiaTheme="minorEastAsia"/>
          <w:b/>
          <w:bCs/>
        </w:rPr>
        <w:t>手术过程交互系统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91"/>
        <w:gridCol w:w="628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8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★各手术间当台手术汇览</w:t>
            </w:r>
          </w:p>
        </w:tc>
        <w:tc>
          <w:tcPr>
            <w:tcW w:w="3583"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1.需支持一张屏展示各手术间当台手术信息、手术进程信息，包括患者信息、手术名称、麻醉信息、医护信息、手术进程等；系统支持通过手麻系统及物联设备自动获取手术进程节点并实时刷新变更。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2.需支持实时监测术间环境情况并进行环境预警推送。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tc>
        <w:tc>
          <w:tcPr>
            <w:tcW w:w="422"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3"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2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手术间门口嵌入信息屏一体机（含内嵌式安装套件）</w:t>
            </w:r>
          </w:p>
        </w:tc>
        <w:tc>
          <w:tcPr>
            <w:tcW w:w="3583"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1.电容触控：≥10点投射式电容触控技术，≤5毫秒快速响应；</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2.屏幕尺寸：≥21英寸；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3.高清显示：液晶屏，分辨率≥1920*1080，亮度≥250cd/m2，色彩清晰自然；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4.兼容系统：安卓触控一体机；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5.性能稳定：支持 7*24 小时工作；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6.结构工艺：密封性好，表面 IP65 防水，纯平纤薄结构；</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7.耐用材质：全钣金结构，一体成形，耐蚀抗氧化；</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8.支持定制：含嵌墙安装套件；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▲9.可通过设备管理系统进行集中管理，实现一站式报修运维服务。</w:t>
            </w:r>
          </w:p>
        </w:tc>
        <w:tc>
          <w:tcPr>
            <w:tcW w:w="4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4</w:t>
      </w:r>
      <w:r>
        <w:rPr>
          <w:rFonts w:cs="宋体" w:asciiTheme="minorEastAsia" w:hAnsiTheme="minorEastAsia" w:eastAsiaTheme="minorEastAsia"/>
          <w:b/>
          <w:bCs/>
        </w:rPr>
        <w:t>.4</w:t>
      </w:r>
      <w:r>
        <w:rPr>
          <w:rFonts w:hint="eastAsia" w:cs="宋体" w:asciiTheme="minorEastAsia" w:hAnsiTheme="minorEastAsia" w:eastAsiaTheme="minorEastAsia"/>
          <w:b/>
          <w:bCs/>
        </w:rPr>
        <w:t>手术室护士站集中交互管理系统</w:t>
      </w:r>
    </w:p>
    <w:tbl>
      <w:tblPr>
        <w:tblStyle w:val="36"/>
        <w:tblW w:w="51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92"/>
        <w:gridCol w:w="628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89"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4"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今日手术情况统计</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包括今日手术数、今日手术执行率、今日手术完成率；</w:t>
            </w:r>
          </w:p>
        </w:tc>
        <w:tc>
          <w:tcPr>
            <w:tcW w:w="413"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74" w:type="pct"/>
            <w:vMerge w:val="continue"/>
            <w:vAlign w:val="center"/>
          </w:tcPr>
          <w:p>
            <w:pPr>
              <w:rPr>
                <w:rFonts w:cs="宋体" w:asciiTheme="minorEastAsia" w:hAnsiTheme="minorEastAsia" w:eastAsiaTheme="minorEastAsia"/>
                <w:color w:val="000000"/>
              </w:rPr>
            </w:pP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昨日手术情况统计</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包括昨日手术间利用率、住院手术台数及占比、门急诊手术台数及占比、麻醉台数及占比；</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4" w:type="pct"/>
            <w:vMerge w:val="continue"/>
            <w:vAlign w:val="center"/>
          </w:tcPr>
          <w:p>
            <w:pPr>
              <w:rPr>
                <w:rFonts w:cs="宋体" w:asciiTheme="minorEastAsia" w:hAnsiTheme="minorEastAsia" w:eastAsiaTheme="minorEastAsia"/>
                <w:color w:val="000000"/>
              </w:rPr>
            </w:pP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当前手术进程统计</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包括等待手术台数、手术开始台数、手术麻醉台数、手术结束台数、苏醒台数等；</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74" w:type="pct"/>
            <w:vMerge w:val="continue"/>
            <w:vAlign w:val="center"/>
          </w:tcPr>
          <w:p>
            <w:pPr>
              <w:rPr>
                <w:rFonts w:cs="宋体" w:asciiTheme="minorEastAsia" w:hAnsiTheme="minorEastAsia" w:eastAsiaTheme="minorEastAsia"/>
                <w:color w:val="000000"/>
              </w:rPr>
            </w:pP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科室手术一览</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支持按手术科室统计日间、门诊、急诊、住院患者手术台数；</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4" w:type="pct"/>
            <w:vMerge w:val="continue"/>
            <w:vAlign w:val="center"/>
          </w:tcPr>
          <w:p>
            <w:pPr>
              <w:rPr>
                <w:rFonts w:cs="宋体" w:asciiTheme="minorEastAsia" w:hAnsiTheme="minorEastAsia" w:eastAsiaTheme="minorEastAsia"/>
                <w:color w:val="000000"/>
              </w:rPr>
            </w:pP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手术等级统计</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统计今日各手术等级手术台数；</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4" w:type="pct"/>
            <w:vMerge w:val="continue"/>
            <w:vAlign w:val="center"/>
          </w:tcPr>
          <w:p>
            <w:pPr>
              <w:rPr>
                <w:rFonts w:cs="宋体" w:asciiTheme="minorEastAsia" w:hAnsiTheme="minorEastAsia" w:eastAsiaTheme="minorEastAsia"/>
                <w:color w:val="000000"/>
              </w:rPr>
            </w:pP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手术间排台一览表</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统计各手术间今日、明日安排手术台数；</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4" w:type="pct"/>
            <w:vMerge w:val="continue"/>
            <w:vAlign w:val="center"/>
          </w:tcPr>
          <w:p>
            <w:pPr>
              <w:rPr>
                <w:rFonts w:cs="宋体" w:asciiTheme="minorEastAsia" w:hAnsiTheme="minorEastAsia" w:eastAsiaTheme="minorEastAsia"/>
                <w:color w:val="000000"/>
              </w:rPr>
            </w:pP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一周手术趋势统计</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支持周视图下门急诊住院手术台数图表展示；</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74" w:type="pct"/>
            <w:vMerge w:val="continue"/>
            <w:vAlign w:val="center"/>
          </w:tcPr>
          <w:p>
            <w:pPr>
              <w:rPr>
                <w:rFonts w:cs="宋体" w:asciiTheme="minorEastAsia" w:hAnsiTheme="minorEastAsia" w:eastAsiaTheme="minorEastAsia"/>
                <w:color w:val="000000"/>
              </w:rPr>
            </w:pP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手术排程</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支持实时动态展示手术排程信息及手术进程信息。</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37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护士站显示大屏</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1.显示参数：≥98英寸，支持4K显示，LED液晶显示屏 （IPS）画面比例16:9；</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2.分辨率：3840（H）×2160（V）、音响2×10W（中高音）+15W（低音）；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3.系统版本：Android 8.0 4 核 CPU+2 核 GPU 3G+32G；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4.支持无线传屏功能、支持 RS232 扩展控制接口；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5.本次配置包含:遥控器、电源线、壁挂支架、2个无线传屏器。</w:t>
            </w:r>
          </w:p>
        </w:tc>
        <w:tc>
          <w:tcPr>
            <w:tcW w:w="413"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37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护士工作站</w:t>
            </w:r>
          </w:p>
        </w:tc>
        <w:tc>
          <w:tcPr>
            <w:tcW w:w="3589"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工作站配置不低于I7-9700 8C 3.0G/8G/128 SSD+1T/P620/400W/键鼠/预装正版Windows10®专业版操作系统64位/24英寸，手术护士站管理操作终端。</w:t>
            </w:r>
          </w:p>
        </w:tc>
        <w:tc>
          <w:tcPr>
            <w:tcW w:w="413"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4</w:t>
      </w:r>
      <w:r>
        <w:rPr>
          <w:rFonts w:cs="宋体" w:asciiTheme="minorEastAsia" w:hAnsiTheme="minorEastAsia" w:eastAsiaTheme="minorEastAsia"/>
          <w:b/>
          <w:bCs/>
        </w:rPr>
        <w:t>.5</w:t>
      </w:r>
      <w:r>
        <w:rPr>
          <w:rFonts w:hint="eastAsia" w:cs="宋体" w:asciiTheme="minorEastAsia" w:hAnsiTheme="minorEastAsia" w:eastAsiaTheme="minorEastAsia"/>
          <w:b/>
          <w:bCs/>
        </w:rPr>
        <w:t>手术室医护协同系统</w:t>
      </w:r>
    </w:p>
    <w:tbl>
      <w:tblPr>
        <w:tblStyle w:val="36"/>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91"/>
        <w:gridCol w:w="6273"/>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75"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3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7"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手术室医护协同系统</w:t>
            </w:r>
          </w:p>
        </w:tc>
        <w:tc>
          <w:tcPr>
            <w:tcW w:w="3575"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向手术室各房间配置协同终端，组建手术室协同通讯体系，完成手术呼叫流程及病理标本远程确认的流程闭环，并能实时公告手术状态信息，各手术间、护士站、谈话间、其他功能间需配置≥13寸协同终端，具体功能如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1.通过向手术室各房间配置协同终端，组建手术室协同通讯体系；</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2.可实现一键呼叫护士站、手术间、谈话间、保洁室、值班室等；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3.紧急呼叫：支持配置多个按键，可对指定的设备（如：护士站、保洁室）进行一键紧急呼叫；</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4.可视对讲：支持双向高清可视全双工对讲；</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★5.病理标本：支持术间医护向家属谈话终端展示高清病理资料；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6.录音录像：支持对通话过程录音录像，通话记录全程录像留档；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★7.保洁提醒：通过一键通知进行保洁提醒；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8.手术数据：支持当台患者手术进程及手术信息。</w:t>
            </w:r>
          </w:p>
        </w:tc>
        <w:tc>
          <w:tcPr>
            <w:tcW w:w="430"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75"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30"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手术室医护协同终端</w:t>
            </w:r>
          </w:p>
        </w:tc>
        <w:tc>
          <w:tcPr>
            <w:tcW w:w="3575"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1.主机面板采用≥13寸IPS全触摸液晶屏，双扬声器，立体声播放音效；</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2.设备采用Andrid系统，具备摄像头，可与对讲分机及其他管理机之前双向可视对讲；</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3.支持音频输入，内置双全指向mic阵列，可支持≥2米远距离拾音；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4.支持音频输出功能，可通过音频输出接口外接功放；</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5.支持有线接入，支持标准POE供电；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▲6.支持医疗影像专用摄像机对接；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7.可通过设备管理系统进行集中管理，实现一站式报修运维服务。</w:t>
            </w:r>
          </w:p>
        </w:tc>
        <w:tc>
          <w:tcPr>
            <w:tcW w:w="430"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8"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医疗病理标本专用摄像机</w:t>
            </w:r>
          </w:p>
        </w:tc>
        <w:tc>
          <w:tcPr>
            <w:tcW w:w="3575"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1.产品用途：医疗行业；</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2.扫描元件：CMOS；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3.扫描速度：≤1秒；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4.像素：≥1500万像素；</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5.扫描模式：彩色、灰阶、黑白；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6.光源：自然光+LED补光灯；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7.变焦方式：自动对焦；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8.输出格式：图片（JPG、BMP、PNG、TIF）、文件（PDF、WORD、EXCEL、TXT）、视频（AVI、WMV纠错）；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9.支持定时拍摄、快速翻拍、影像录制、实时投影；</w:t>
            </w:r>
          </w:p>
        </w:tc>
        <w:tc>
          <w:tcPr>
            <w:tcW w:w="430"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22"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联网门禁套装</w:t>
            </w:r>
          </w:p>
        </w:tc>
        <w:tc>
          <w:tcPr>
            <w:tcW w:w="3575"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1.摄像头：CMOS,100W像素；</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2.操作方式：按键式，一键呼叫；</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3.传输方式：TCP/IP；</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4.输入电源：12VDC；</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5.设备功耗：待机2W，最大3W；</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6.安装方式： 嵌入式；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7.含配套电源、开门按钮、磁力锁等配件；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▲8.可通过设备管理系统进行集中管理，实现一站式报修运维服务。</w:t>
            </w:r>
          </w:p>
        </w:tc>
        <w:tc>
          <w:tcPr>
            <w:tcW w:w="430"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5</w:t>
      </w:r>
      <w:r>
        <w:rPr>
          <w:rFonts w:cs="宋体" w:asciiTheme="minorEastAsia" w:hAnsiTheme="minorEastAsia" w:eastAsiaTheme="minorEastAsia"/>
          <w:b/>
          <w:bCs/>
        </w:rPr>
        <w:t>.</w:t>
      </w:r>
      <w:r>
        <w:rPr>
          <w:rFonts w:hint="eastAsia" w:cs="宋体" w:asciiTheme="minorEastAsia" w:hAnsiTheme="minorEastAsia" w:eastAsiaTheme="minorEastAsia"/>
          <w:b/>
          <w:bCs/>
        </w:rPr>
        <w:t>手术室B</w:t>
      </w:r>
      <w:r>
        <w:rPr>
          <w:rFonts w:cs="宋体" w:asciiTheme="minorEastAsia" w:hAnsiTheme="minorEastAsia" w:eastAsiaTheme="minorEastAsia"/>
          <w:b/>
          <w:bCs/>
        </w:rPr>
        <w:t>IM</w:t>
      </w:r>
      <w:r>
        <w:rPr>
          <w:rFonts w:hint="eastAsia" w:cs="宋体" w:asciiTheme="minorEastAsia" w:hAnsiTheme="minorEastAsia" w:eastAsiaTheme="minorEastAsia"/>
          <w:b/>
          <w:bCs/>
        </w:rPr>
        <w:t>数字孪生</w:t>
      </w:r>
    </w:p>
    <w:p>
      <w:pPr>
        <w:rPr>
          <w:rFonts w:cs="宋体" w:asciiTheme="minorEastAsia" w:hAnsiTheme="minorEastAsia" w:eastAsiaTheme="minorEastAsia"/>
          <w:b/>
          <w:bCs/>
        </w:rPr>
      </w:pPr>
      <w:r>
        <w:rPr>
          <w:rFonts w:cs="宋体" w:asciiTheme="minorEastAsia" w:hAnsiTheme="minorEastAsia" w:eastAsiaTheme="minorEastAsia"/>
          <w:b/>
          <w:bCs/>
        </w:rPr>
        <w:t xml:space="preserve">5.1 </w:t>
      </w:r>
      <w:r>
        <w:rPr>
          <w:rFonts w:hint="eastAsia" w:cs="宋体" w:asciiTheme="minorEastAsia" w:hAnsiTheme="minorEastAsia" w:eastAsiaTheme="minorEastAsia"/>
          <w:b/>
          <w:bCs/>
        </w:rPr>
        <w:t>BIM手术部护士站集中管理系统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91"/>
        <w:gridCol w:w="627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80"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24"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功能要求</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通过BIM可视化运维，可以满足后勤人员在服务指挥中心直观的了解手术室设备运行真实情况。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1.手术室BIM以三维形式设计，可在护士站集中监控各个子系统的运行数据；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2.数字化手术间能实时监测环境、医气、洁净空调、隔离电源UPS及手术设备等情况，能在线监测各个手术间的排台压力；</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3.手术室BIM应结合医疗物联网系统，完成人员定位、设备定位、冷热源机电监测等功能。</w:t>
            </w:r>
          </w:p>
        </w:tc>
        <w:tc>
          <w:tcPr>
            <w:tcW w:w="424"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3"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◆护士站看板</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1.提供今日手术情况统计，包括今日手术数、今日手术执行率、今日手术完成率；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2.提供昨日手术情况统计，包括昨日手术间利用率、住院手术台数及占比、门急诊手术台数及占比、麻醉台数及占比；</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3.提供当前手术进程统计，包括等待手术台数、手术开始台数、手术麻醉台数、手术结束台数、苏醒台数等；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4.提供科室手术一览，支持按手术科室统计日间、门诊、急诊、住院患者手术台数；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5.提供手术等级统计，统计今日各手术等级手术台数；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6.提供手术间排台一览表，统计各手术间今日、明日安排手术台数；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7.提供一周手术趋势统计，支持周视图下门急诊住院手术台数图表展示。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◆数字手术室</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提供各手术间建筑及设备的BIM三维展示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◆在线压力监测</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提供各手术间排台压力情况在三维BIM中可视化展示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◆医用气体监测</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1.对接医气监测报警箱数据：氧气纯度、瞬时流量、累计流量、压力监测、泄露报警；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2.支持展示医气监测指标（医气实时流量、纯度、总流量、氧气、负压、空气）。</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◆环境监测</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提供各手术间环境监测项目的BIM三维展示，包括温度、湿度、压差、洁净时间。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◆隔离电源监测</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提供各手术间隔离电源监测运行情况在三维BIM中可视化展示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◆UPS监测</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提供各手术间UPS监测设备运行情况在三维BIM中可视化展示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◆洁净空调</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对接洁净空调自控系统，监测洁净空调运行参数，风阀、水阀开度，送风温湿度及送风PM2.5数值，防冻开关、滤网状态、电机状态等实时监测。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23"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◆行为管理</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提供手术衣手术鞋帽发放回收情况在三维BIM中可视化展示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vMerge w:val="continue"/>
            <w:vAlign w:val="center"/>
          </w:tcPr>
          <w:p>
            <w:pPr>
              <w:rPr>
                <w:rFonts w:cs="宋体" w:asciiTheme="minorEastAsia" w:hAnsiTheme="minorEastAsia" w:eastAsiaTheme="minorEastAsia"/>
                <w:color w:val="000000"/>
              </w:rPr>
            </w:pPr>
          </w:p>
        </w:tc>
        <w:tc>
          <w:tcPr>
            <w:tcW w:w="623" w:type="pct"/>
            <w:vMerge w:val="continue"/>
            <w:vAlign w:val="center"/>
          </w:tcPr>
          <w:p>
            <w:pPr>
              <w:rPr>
                <w:rFonts w:cs="宋体" w:asciiTheme="minorEastAsia" w:hAnsiTheme="minorEastAsia" w:eastAsiaTheme="minorEastAsia"/>
                <w:color w:val="000000"/>
              </w:rPr>
            </w:pP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（投标时提供带“◆”部分的功能演示）</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人员定位</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提供手术室内患者的实时位置信息</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资产定位</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提供手术室高值医疗设备的实时位置信息</w:t>
            </w:r>
          </w:p>
        </w:tc>
        <w:tc>
          <w:tcPr>
            <w:tcW w:w="424"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623"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接口服务</w:t>
            </w:r>
          </w:p>
        </w:tc>
        <w:tc>
          <w:tcPr>
            <w:tcW w:w="3580" w:type="pct"/>
            <w:shd w:val="clear" w:color="000000" w:fill="FFFFFF"/>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提供全院关联业务信息系统对接，技术支持服务。</w:t>
            </w:r>
          </w:p>
        </w:tc>
        <w:tc>
          <w:tcPr>
            <w:tcW w:w="424"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p>
    <w:p>
      <w:pPr>
        <w:rPr>
          <w:rFonts w:cs="宋体" w:asciiTheme="minorEastAsia" w:hAnsiTheme="minorEastAsia" w:eastAsiaTheme="minorEastAsia"/>
          <w:b/>
          <w:bCs/>
        </w:rPr>
      </w:pPr>
      <w:r>
        <w:rPr>
          <w:rFonts w:hint="eastAsia" w:cs="宋体" w:asciiTheme="minorEastAsia" w:hAnsiTheme="minorEastAsia" w:eastAsiaTheme="minorEastAsia"/>
          <w:b/>
          <w:bCs/>
        </w:rPr>
        <w:t>5</w:t>
      </w:r>
      <w:r>
        <w:rPr>
          <w:rFonts w:cs="宋体" w:asciiTheme="minorEastAsia" w:hAnsiTheme="minorEastAsia" w:eastAsiaTheme="minorEastAsia"/>
          <w:b/>
          <w:bCs/>
        </w:rPr>
        <w:t>.2</w:t>
      </w:r>
      <w:r>
        <w:rPr>
          <w:rFonts w:hint="eastAsia" w:cs="宋体" w:asciiTheme="minorEastAsia" w:hAnsiTheme="minorEastAsia" w:eastAsiaTheme="minorEastAsia"/>
          <w:b/>
          <w:bCs/>
        </w:rPr>
        <w:t>手术室后勤设备在线监测与智能调控系统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55"/>
        <w:gridCol w:w="622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5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6" w:type="pc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5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手术室后勤设备在线监测与智能调控系统</w:t>
            </w:r>
          </w:p>
        </w:tc>
        <w:tc>
          <w:tcPr>
            <w:tcW w:w="355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重点房间环境监测、医气在线监测、净化空调在线监测、手术环境智能策略调控。</w:t>
            </w:r>
          </w:p>
        </w:tc>
        <w:tc>
          <w:tcPr>
            <w:tcW w:w="416"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59"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医气监测接口</w:t>
            </w:r>
          </w:p>
        </w:tc>
        <w:tc>
          <w:tcPr>
            <w:tcW w:w="3552" w:type="pct"/>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医气接口定制开发，对接手术室医气监测系统系统，实现预警联动。</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59"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净化空调监测接口</w:t>
            </w:r>
          </w:p>
        </w:tc>
        <w:tc>
          <w:tcPr>
            <w:tcW w:w="3552" w:type="pct"/>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净化空调接口定制开发，对接净化空调系统，监测净化空调运行参数，风阀、水阀开度，送风温湿度，防冻开关、滤网状态、电机状态等实时监测。</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59"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隔离电源监测接口</w:t>
            </w:r>
          </w:p>
        </w:tc>
        <w:tc>
          <w:tcPr>
            <w:tcW w:w="3552" w:type="pct"/>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隔离电源监测接口定制开发</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59"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UPS监测接口</w:t>
            </w:r>
          </w:p>
        </w:tc>
        <w:tc>
          <w:tcPr>
            <w:tcW w:w="3552" w:type="pct"/>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UPS监测接口定制开发</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5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重点房间环境监测终端</w:t>
            </w:r>
          </w:p>
        </w:tc>
        <w:tc>
          <w:tcPr>
            <w:tcW w:w="355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1.监测指标参数: PM2.5、温度、湿度、二氧化碳；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2.供电方式:220V供电；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3.具有自动校准功能、具有校零校跨功能；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4.气体传感器具有交叉干扰补偿功能；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5.采用泵吸式采样或扩散式技术，可及时反映空气质量变化；</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6.具有本地数据读取、设备系统设置及数据校准，24小时不间断在线监测；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7.数据传输要求：有线RJ45/RS485，无线GPRS/NBIOT/LORA/eLTE/WIFI/4G/单传感时支持4~20mA输出；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8.数据接口：具有RS485接口、RS232接口、网口，后续可扩展其他指标检测，户外LED显示屏等；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9.主机自带≥3寸全彩液晶显示屏，集监测展示为一体，监测主机功率：≤5W；</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10.采样周期最快可达1S，可自定义设置采样周期；</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11.主机屏幕可根据监测数据配置匹配数据展示界面；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12.满足上电通网自启动，满足断网后数据自动保存，恢复后自行启动，并上传数据；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13.要求设备安装拆卸及接线简便，集成度高、超低功耗设计，方便点位迁移、设备维护和设备质控；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14.要求设备适用于各种气象条件，保证空气流通无死角，内外无温差；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▲15.各参数监测技术指标要求: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1）PM2.5技术指标: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测量范围: 0~1000μg/m3，分辨率：≤0.1μg/m3。</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2）温度技术指标: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测量范围: -20~80℃， 分辨率：≤0.1℃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3）湿度技术指标: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测量范围: 0~100%RH， 分辨率：≤1%RH</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4）二氧化碳技术指标: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测量范围: 0~2000PPM， 分辨率：≤0.1PPM</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▲16.可通过设备管理系统进行集中管理，实现一站式报修运维服务；</w:t>
            </w:r>
          </w:p>
          <w:p>
            <w:pPr>
              <w:rPr>
                <w:rFonts w:cs="宋体" w:asciiTheme="minorEastAsia" w:hAnsiTheme="minorEastAsia" w:eastAsiaTheme="minorEastAsia"/>
              </w:rPr>
            </w:pPr>
            <w:r>
              <w:rPr>
                <w:rFonts w:hint="eastAsia" w:cs="宋体" w:asciiTheme="minorEastAsia" w:hAnsiTheme="minorEastAsia" w:eastAsiaTheme="minorEastAsia"/>
                <w:color w:val="000000"/>
              </w:rPr>
              <w:t>17.安装位置：标本暂存间、无菌物品间、设备间、一次性物品间、仪器室、液体间、麻醉管制药品、麻醉物品、预麻室、无菌仪器室。</w:t>
            </w:r>
          </w:p>
        </w:tc>
        <w:tc>
          <w:tcPr>
            <w:tcW w:w="416" w:type="pct"/>
            <w:vMerge w:val="restart"/>
            <w:shd w:val="clear" w:color="000000" w:fill="FFFFFF"/>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59"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压差监测终端</w:t>
            </w:r>
          </w:p>
        </w:tc>
        <w:tc>
          <w:tcPr>
            <w:tcW w:w="3552" w:type="pct"/>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1.包含压差传感器变送器、测点固定架、压差气管、转接软管等；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2.测量范围：-50~+50Pa；</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3.输出信号：485通信方式；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4.支持高低压设置报警功能；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59"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尘埃粒子监测终端</w:t>
            </w:r>
          </w:p>
        </w:tc>
        <w:tc>
          <w:tcPr>
            <w:tcW w:w="3552" w:type="pct"/>
            <w:shd w:val="clear" w:color="auto" w:fill="auto"/>
            <w:noWrap/>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尘埃粒子计数器、计数器固定件、不锈钢采样管、等动力采样头、采样头保护罩。</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5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智能边缘运算采集终端</w:t>
            </w:r>
          </w:p>
        </w:tc>
        <w:tc>
          <w:tcPr>
            <w:tcW w:w="355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1.需支持多协议混合接入，所有前端采集设备数据就近接入运算终端，进行初步数据监控、处理后，应可靠上传至数据库服务器；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▲2.需支持B/S管理，支持用户及权限管理，支持面向对象的自定义编程，支持实时控制，支持web组态功能；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3.需支持数据监控分析，支持mqtt,opc,kafaka,rest api,soap等加密通讯；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4.需支持SNMP、KNX、CDT电力规约、BACNET、PPI、XMLDA等协议，并支持混合接入，即同一网关接入不同协议；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5.应自带数据库，支持数据存储，断网可存储采集数据，保证数据安全；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5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数据采集箱</w:t>
            </w:r>
          </w:p>
        </w:tc>
        <w:tc>
          <w:tcPr>
            <w:tcW w:w="3552"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成套箱：内含空开、变压器、熔断器、继电器、线槽、接线端子等。</w:t>
            </w:r>
          </w:p>
        </w:tc>
        <w:tc>
          <w:tcPr>
            <w:tcW w:w="416"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6</w:t>
      </w:r>
      <w:r>
        <w:rPr>
          <w:rFonts w:cs="宋体" w:asciiTheme="minorEastAsia" w:hAnsiTheme="minorEastAsia" w:eastAsiaTheme="minorEastAsia"/>
          <w:b/>
          <w:bCs/>
        </w:rPr>
        <w:t>.</w:t>
      </w:r>
      <w:r>
        <w:rPr>
          <w:rFonts w:hint="eastAsia" w:cs="宋体" w:asciiTheme="minorEastAsia" w:hAnsiTheme="minorEastAsia" w:eastAsiaTheme="minorEastAsia"/>
          <w:b/>
          <w:bCs/>
        </w:rPr>
        <w:t>手术行为管理系统</w:t>
      </w:r>
    </w:p>
    <w:p>
      <w:pPr>
        <w:rPr>
          <w:rFonts w:cs="宋体" w:asciiTheme="minorEastAsia" w:hAnsiTheme="minorEastAsia" w:eastAsiaTheme="minorEastAsia"/>
          <w:b/>
          <w:bCs/>
        </w:rPr>
      </w:pPr>
      <w:r>
        <w:rPr>
          <w:rFonts w:cs="宋体" w:asciiTheme="minorEastAsia" w:hAnsiTheme="minorEastAsia" w:eastAsiaTheme="minorEastAsia"/>
          <w:b/>
          <w:bCs/>
        </w:rPr>
        <w:t>6.1</w:t>
      </w:r>
      <w:r>
        <w:rPr>
          <w:rFonts w:hint="eastAsia" w:cs="宋体" w:asciiTheme="minorEastAsia" w:hAnsiTheme="minorEastAsia" w:eastAsiaTheme="minorEastAsia"/>
          <w:b/>
          <w:bCs/>
        </w:rPr>
        <w:t>手术行为管理系统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62"/>
        <w:gridCol w:w="621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4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手术行为管理系统管理软件</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1.标签与设备管理：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更衣系统综合管理系统中手术衣及人员工作卡等不同类别的标签，能注册分组管理标签，并变更标签的类别及状态信息。实现对IC卡的初始化及登记管理；同时可以实现对衣服与IC卡、衣服与衣柜、IC卡与衣柜之间的分配管理。更换新的洗手衣裤时开始使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2.用户信息及权限管理：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系统和医院信息系统进行无缝对接，自动同步医护人员的信息，并指定用户分配角色以获得相应的系统访问权限。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3.流程控制管理：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更衣系统能根据医院手术室实际管理流程设定手术室出入、取鞋、换鞋、取衣、换衣等流程，能够借助门禁、自动发衣机、自动衣鞋柜等自动化设备，自动通过设备屏幕进行视窗提示或语音提示违反相关流程的医护人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4.统计查询：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4.1柜子状态查询及远程开柜：管理员可以在管理端上直接查看各柜子使用情况，可以远程打开柜子。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4.2更衣柜信息统计：统计更衣柜的各类尺码的衣服的数量。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4.3还衣统计：将污衣置入回收桶，回收桶即时扫描标签，将对应的标签衣服设置为已归还，并记录操作数据。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4.4开柜记录统计：所有刷卡或标签开柜的记录将被记录，可以查询更衣柜的开柜时间、开柜标签号、开柜卡号、关柜时间。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4.5异常数据统计：用以查询禁用的柜、标签数据不对等意外情况。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4.6基于无线射频技术，自动记录衣服的领用、归还等重要的节点相关信息，支持手术室管理人员随时统计并查询一个完整流程中各个环节、各个控制点的信息数据，如手术衣使用数据，污衣回收数据等。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5.自动换鞋柜控制：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5.1鞋柜分配使用：使用者刷工作卡，系统采用随机分配的原则，自动分配空闲鞋柜并打开，同时语音提示鞋柜位置。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5.2鞋柜回收：使用者第二次刷卡时，系统将回收鞋柜，为防止使用者此时进行错误的存鞋操作，用户再次点击确认按钮打开鞋柜，并语音提示。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5.3支持IC临时用户功能：通过管理端可以将标签设定为标签IC卡用户，使用者通过刷IC卡就可以分配鞋柜。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5.4自助开柜功能：鞋柜使用者可以刷卡查询历史使用记录，系统允许/禁止使用者根据历史记录打开曾经使用的鞋柜。用于找回遗忘物品。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5.5鞋柜绑定：可给使用者绑定指定的鞋柜。绑定后，该鞋柜只供绑定者使用。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5.6鞋柜后台管理：鞋柜测试、柜子禁用/启用，记录查询、状态查询、绑定管理等。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5.7逾期自动回收：系统配置有逾期时间、逾期的鞋柜将自动回收。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6.自动更衣柜控制：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6.1临时柜分配使用：使用者刷工作卡，系统自动分配空闲的存有和使用者默认尺码一致的干净洗手衣的更衣柜。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6.2更衣柜回收：更衣柜可以任意打开，洗手衣被回收或使用逾期后，更衣柜将被回收。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6.3存干净洗手衣：管理员输入密码后，可以扫描标签，并打开空的更衣柜存入干净的洗手衣，供用户使用。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6.4支持标签临时用户功能：通过管理端可以将标签设定为标签支持IC临时用户功能：通过管理端可以将标签设定为标签IC卡用户，使用者通过刷IC卡就可以分配更衣柜柜。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6.5自助查询功能：更衣柜使用者可以刷卡查询历史使用记录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6.6更衣柜绑定：可给使用者绑定指定的更衣柜。绑定后，该柜只供绑定者使用。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6.7逾期自动回收：系统配置有逾期时间、逾期的更衣柜将自动回收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6.8开柜记录存档：所有刷卡或标签开柜的记录将被记录，可以查询更衣柜的开柜时间、开柜标签号、开柜卡号、关柜时间。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6.9权限设置：分为多级权限配置、低级权限可以打开管理后台，但为了安全不能打开已有使用者的柜子（供存衣服人员使用），高级权限才能进行所有后台开柜操作。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6.10更衣柜后台管理：更衣柜测试、柜子禁用/启用，记录查询、状态查询、绑定管理等。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7.其他：</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软件接口开发、管理软件升级,如配合甲方提供相应的接口，开放数据库，及说明文档等。</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智能发衣机</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1.为起到更好的显示及视觉效果，显示模块采用≥15英寸液晶显示及触摸屏；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2.操作性能：应用操作响应时间≤400ms；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3.读卡模块：支持IC等多介质卡（可根据医院一卡通类型定制）或指纹扫描模块等多介体取衣方式；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4.控制模块：自动分配相应型号服装给用户；可同时领取整套手术服；可控制用户领取衣服的数量；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5.衣物存贮：≥100套/台（可按尺码分组）；手工加衣，简单折叠就能存衣，单件衣服不需外包装，无需卷成圆筒状或者挤压打包；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6.发衣速度：≤5S，具有缺衣提醒功能；可显示相关衣服存取信息，方便管理员查看；可设置特殊权限；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7.柜体：一台发衣机有两个取衣口，考虑到空间利用可在设计时分开使用。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功能：支持自动选择大、中、小号手术衣类型自动发放手术衣，在自助取衣机上刷IC等卡或指纹扫描领取模块等多介体取衣方式对应人尺码的手术衣，并自动绑定IC等卡或者指纹进行信息关联登记。有良好的人机操作界面, 可对于手术衣按大、中、小号类别进行综合的管理。手术衣自助取放机库存提醒功能：当各尺码衣服库存数量低于设定值时，在管理系统中要弹出提醒信息框，提醒工作人员及时添加衣物的类别及数量。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9.工作原理：采用RFID应用技术，衣服与库位进行绑定管理，医务人员取衣时和衣物有绑定关系。发衣机械机构采用翻板结构，刷卡后翻开一层挡板即可掉落衣服，；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10.离线与流程自动修复：系统具备在断网状态下工作的能力，脱机完成衣服发放并记录，联网后系统自动与数据库对接完成异常数据的修复；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▲11.可通过设备管理系统进行集中管理，实现一站式报修运维服务。</w:t>
            </w:r>
          </w:p>
        </w:tc>
        <w:tc>
          <w:tcPr>
            <w:tcW w:w="416"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5"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智能衣服回收机</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1.为起到更好的显示及视觉效果，显示模块采用≥15英寸液晶显示及触摸屏；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2.传感单元：回收通道感应功能、红外感应功能、衣满提示功能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3.操作性能：应用操作响应时间≤500ms；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4.接口要求：RJ45、DC OUT、AC OUT等；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功能：自动回收使用过的手术衣。系统采用工业级设计，能够适应低温、恶劣的工作环境。医务人员术后更衣将手术衣物投入回收机时，回收机自动记录衣物的归还信息，并将信息回传至管理系统。手术衣自动回收机超量提醒功能：超过设定值时，在管理系统中要弹出提醒信息框，提醒工作人员及时清理对应回收机内的污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6.工作原理：利用RFID芯片识别技术，衣服归还时通过超高频RFID扫描归还衣服（植入RFID芯片），马上判断出医务人员归还信息，有可视界面展现归还情况，无需刷卡无需红外技术即可实现衣物的归还流程；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7.离线与流程自动修复：系统具备在断网状态下工作的能力，脱机完成衣服发放并记录，联网后系统自动与数据库对接完成异常数据的修复；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智能更衣柜控制柜（主柜）</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1.为起到更好的显示及视觉效果，显示模块采用≥15英寸液晶显示及触摸屏；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2.传感单元：缺衣提醒功能；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3.读卡模块：支持IC等多介质卡（可根据医院一卡通类型定制）、支持指纹方式模块等多介体取衣方式；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4.控制主机：配置≥4核CPU、≥4G内存、≥128G硬盘；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5.供电单元：AC220V，≥500W以上供电模块，防浪涌及雷击功能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6.操作性能：应用操作响应时间≤400ms；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7.接口：RJ45、DC OUT、AC OUT；可并轨接口，可扩容；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8.电控锁：360度防撬、防软片插入，安全可靠，寿命≥30万次；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9.功能：自动将所检测验证到的医护人员相关信息，根据持卡人的身份权限就近开启智能衣柜的柜门或进行相应的提示，并自动记录柜门开启时间。可对更衣柜进行清箱操作；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10.离线与流程自动修复：系统具备在断网状态下工作的能力，脱机完成衣服发放并记录，联网后系统自动与数据库对接完成异常数据的修复；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智能衣柜（辅柜）（三列单层）</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1.更衣柜要求：每台设备≥3个单箱；组合后总高度≥2000mm。具体尺寸如有特殊调动，可根据现场实际情况定制。接受更衣主柜控制；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2.每套辅柜都配置机械锁，以便管理员能够在断电等特殊情况下采取有效的应急措施，及时开锁，不影响工作。</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智能衣柜（辅柜）（三列双层）</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1.每台设备≥6个单箱；组合后总高度≥2000mm。具体尺寸如有特殊调动，可根据现场实际情况定制。接受更衣主柜控制；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2.每套辅柜都配置机械锁，以便管理员能够在断电等特殊情况下采取有效的应急措施，及时开锁，不影响工作。</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智能发鞋机</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1.显示模块采用≥15英寸液晶显示及触摸屏；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2.操作性能：应用操作响应时间≤400ms；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3.读卡模块：支持IC等多介质卡（可根据医院一卡通类型定制）或指纹扫描模块等多介体取鞋方式；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4.控制模块：自动分配相应型号的拖鞋给用户；可控制用户领取拖鞋的数量；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5.拖鞋存贮：≥100双/台（可按尺码分组）；手工加鞋，单双鞋子不需外包装；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6.发鞋速度：≤5S，缺鞋子或鞋子不足时有提醒功能；可显示相关拖鞋存取信息，方便管理员查看；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7.为了提高取鞋效率，防止高峰期取鞋拥挤，一台发鞋机≥两个取鞋口，考虑到空间利用可在设计时分开使用；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8.可设置特殊权限；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9.功能：支持自动选择几种规格拖鞋类型自动发放拖鞋，在智能发鞋机上刷卡或指纹扫描模块等多介体领取对应人尺码的拖鞋，并自动绑定IC卡或者指纹进行信息关联登记。有良好的人机操作界面, 可对于拖鞋可按几种规格拖鞋类别进行综合的管理。拖鞋自助取放机库存提醒功能：当各尺码拖鞋库存数量低于设定值时，在管理系统中要弹出提醒信息框，提醒工作人员及时添加拖鞋的类别及数量；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10.工作原理：采用成熟FRID应用技术，拖鞋与库位进行绑定管理，已达到和医务人员取拖鞋时绑定关系；发鞋机械机构要求采用翻板结构，刷卡后翻开一层挡板即可掉落拖鞋，既方便速度又快；</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11.离线与流程自动修复：系统具备在断网状态下工作的能力，脱机完成衣服发放并记录，联网后系统自动与数据库对接完成异常数据的修复；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5"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智能拖鞋回收机</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1.为起到更好的显示及视觉效果，显示模块采用≥15英寸液晶显示及触摸屏；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2.传感单元：回收通道感应功能、红外感应功能、鞋满提示功能；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3.操作性能：应用操作响应时间≤500ms；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4.接口要求：RJ45、DC OUT、AC OUT；</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5.外观、颜色可定制，表面处理便于清洁，不易油污.磨损；</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功能：回收使用过的手术室拖鞋。产品采用工业级设计，能够适应低温、恶劣的工作环境。医务人员术后将拖鞋投入回收机时，回收机自动记录拖鞋的归还信息，并将信息回传至管理系统。拖鞋自动回收机超量提醒功能：当回收机内的拖鞋数量超过设定值时，在管理系统中要弹出提醒信息框，提醒工作人员及时清理对应回收机内的污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7.工作原理：利用RFID芯片识别技术，拖鞋归还时通过超高频RFID扫描归还衣服（植入RFID芯片），马上判断出医务人员归还信息，有可视界面展现归还情况，无需刷卡无需红外技术即可实现拖鞋的归还流程；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8.离线与流程自动修复：系统具备在断网状态下工作的能力，脱机完成衣服发放并记录，联网后系统自动与数据库对接完成异常数据的修复；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2"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智能鞋柜控制柜（主柜）</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1.为起到更好的显示及视觉效果，显示模块采用≥15英寸液晶显示及触摸屏；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2.控制主机：≥4核CPU、≥4G内存、≥128G硬盘；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3.供电单元：AC220V，500W供电模块，防浪涌及雷击功能；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4.读卡模块：支持IC等多介质卡（可根据医院一卡通类型定制）、支持指纹方式模块等多介体取鞋方式；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5.接口：RJ45、DC OUT、AC OUT；可并轨接口，可扩容；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6.柜体要求：柜体尺寸、外观、颜色可定制，表面处理便于清洁，不易油污、磨损；</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功能：自动将所检测验证到的医护人员相关信息，根据持卡人的身份权限就近开启自智能鞋柜的柜门或进行相应的提示，并自动记录柜门开启时间。特殊情况下可对鞋柜进行清箱操作，并实现一次性清除各箱的状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8.离线与流程自动修复：系统具备在断网状态下工作的能力，脱机完成衣服发放并记录，联网后系统自动与数据库对接完成异常数据的修复；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智能鞋柜（辅柜）（十层）</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1.每台设备≥20个单箱；组合后总高度≥2000mm。具体尺寸如有特殊调动，可根据现场实际情况定制。接受鞋柜主柜控制；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2.每套辅柜都配置机械锁，以便管理员能够在断电等特殊情况下采取有效的应急措施，及时开锁，不影响工作。</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矮凳柜</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柜体及尺寸：柜体材质为镀锌板，尺寸根据医院定制。</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行为管理端</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1.应采用纯数字式射频基站芯片、无误码设计；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2.符合国家GB/T17626.4/IEC61000-4-4电快速瞬变脉冲群的抗干扰度测试；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3.内置铜绕天线和板载天线；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4.喇叭、蜂鸣器、红（蓝）绿双色LED；</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5.RS232接口，传输距离≤10米；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6.内置式芯片卡；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7.容量≥1024字节；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8.密码区：typeA、typeB，支持分别为6字节12位，位于每区的3块；</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9.无源自带天线，内含加密控制及通讯逻辑电路；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10.读写距离：≥5cm；</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11.数据保存期：≥10年，可改写≥10万次。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行为PC工作站</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1.CPU英特尔酷睿I</w:t>
            </w:r>
            <w:r>
              <w:rPr>
                <w:rFonts w:cs="宋体" w:asciiTheme="minorEastAsia" w:hAnsiTheme="minorEastAsia" w:eastAsiaTheme="minorEastAsia"/>
                <w:color w:val="000000"/>
              </w:rPr>
              <w:t>5</w:t>
            </w:r>
            <w:r>
              <w:rPr>
                <w:rFonts w:hint="eastAsia" w:cs="宋体" w:asciiTheme="minorEastAsia" w:hAnsiTheme="minorEastAsia" w:eastAsiaTheme="minorEastAsia"/>
                <w:color w:val="000000"/>
              </w:rPr>
              <w:t>十二代以上；</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2.≥4GB 内存；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3.≥1T 3.5英寸硬盘；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4.显示器：≥21英寸；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5.含键盘鼠标套装。</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信息公告显示屏</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1.显示参数：≥55英寸，≥1920×1080@60Hz，≥300cd/m2；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2.操作系统：Android </w:t>
            </w:r>
            <w:r>
              <w:rPr>
                <w:rFonts w:cs="宋体" w:asciiTheme="minorEastAsia" w:hAnsiTheme="minorEastAsia" w:eastAsiaTheme="minorEastAsia"/>
                <w:color w:val="000000"/>
              </w:rPr>
              <w:t>7.1</w:t>
            </w:r>
            <w:r>
              <w:rPr>
                <w:rFonts w:hint="eastAsia" w:cs="宋体" w:asciiTheme="minorEastAsia" w:hAnsiTheme="minorEastAsia" w:eastAsiaTheme="minorEastAsia"/>
                <w:color w:val="000000"/>
              </w:rPr>
              <w:t>或以上；</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3.CPU不低于：Cortex-A17，4核，主频1.8 GHz；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4.存储参数：内存≥2G,内置存储≥8G；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5.网络：支持有线、无线WIFI；</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6.可通过设备管理系统进行集中管理，实现一站式报修运维服务。</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RFID标签</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1.将RFID芯片封装缝合到手术衣上；</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2.符合标准：ISO 18000-6C；</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3.识读频率：902MHZ～928MHZ。</w:t>
            </w:r>
          </w:p>
        </w:tc>
        <w:tc>
          <w:tcPr>
            <w:tcW w:w="416"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cs="宋体" w:asciiTheme="minorEastAsia" w:hAnsiTheme="minorEastAsia" w:eastAsiaTheme="minorEastAsia"/>
          <w:b/>
          <w:bCs/>
        </w:rPr>
        <w:t>6.2</w:t>
      </w:r>
      <w:r>
        <w:rPr>
          <w:rFonts w:hint="eastAsia" w:cs="宋体" w:asciiTheme="minorEastAsia" w:hAnsiTheme="minorEastAsia" w:eastAsiaTheme="minorEastAsia"/>
          <w:b/>
          <w:bCs/>
        </w:rPr>
        <w:t>手术资源管理系统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62"/>
        <w:gridCol w:w="621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4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5"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手术资源管理系统</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1.人员/医疗设备实时位置显示,秒级搜索查找，便于院内调动共享，设备异常位置报警；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★2.对手术间患者进行无感知三级核查，支持预警提醒；【投标时提供带“★”部分的证明材料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★3.可记录人员/设备/病理标本轨迹，可追踪查询，实现护工任务管理及病理标本闭环；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4.支持医疗设备秒级盘点，可灵活自盘；实现医疗设备的一键报修，系统自动定位报修设备；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★5.监测医疗设备的运行状态，运行时长，建立设备运行日志；实现长期未开机设备的提醒，避免发生设备长期不开机的意外损耗；长期监测运行数据，可用于设备故障预警；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6.支持麻醉药品间、一次性物品间、无菌物品间、病理标本间、液体间、麻醉材料间等重点房间环境的在线监测与预警提醒；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7.提供全院关联业务信息系统对接，技术支持服务。</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物联网网关（RFID+蓝牙）</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1.医疗物联网技术采用无线通信技术实现融合，应无条件免费开放，实现统一接入和管理；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2.内置RFID+蓝牙，同时支持2.4GHz 传输，实现一网多用；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3.内嵌通信基站操作系统软件；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4.支持以太网通信，支持接入交换机；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5.供电方式：POE/DC；</w:t>
            </w:r>
          </w:p>
        </w:tc>
        <w:tc>
          <w:tcPr>
            <w:tcW w:w="416"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定位信标</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1.支持Bluetooth BLE 4.0和国际标准iBeacon协议；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2.支持防篡改、防蹭用技术；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3.支持锂亚电池供电，室内款蓝牙信标工作续航至少达到3年（每秒2-3个数据包）；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4.支持通过移动端部署和维护管理工具对蓝牙定位信标在室内地图上进行部署并上传iBeacon的信息，维护管理采集和显示iBeacon的信息和剩余电量；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5.支持方便快速更换已部署的蓝牙iBeacon定位信标节点，提供拆卸杆快捷方便拆卸和安装，不需要在医院手术室和室内建筑布线，不影响医院手术室运营；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6.防护等级≥IP53。</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高端医疗设备特殊标签</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需支持按照医院手术室不同类型高值医疗设备进行分类，同时应具备资产定位、电子围栏、资产开关状态实时监测、一键报障、一键盘点功能。</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患者智能手环</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需支持手术室患者室内定位、电子围栏、一键呼叫、心率、危险区域滞留、可充电。</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智能工作手环</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需支持手术室护工室内定位、工作消息通知、震动提醒、系统报警提示、多条信息存储、可充电。</w:t>
            </w:r>
          </w:p>
        </w:tc>
        <w:tc>
          <w:tcPr>
            <w:tcW w:w="416"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7</w:t>
      </w:r>
      <w:r>
        <w:rPr>
          <w:rFonts w:cs="宋体" w:asciiTheme="minorEastAsia" w:hAnsiTheme="minorEastAsia" w:eastAsiaTheme="minorEastAsia"/>
          <w:b/>
          <w:bCs/>
        </w:rPr>
        <w:t>.</w:t>
      </w:r>
      <w:r>
        <w:rPr>
          <w:rFonts w:hint="eastAsia" w:cs="宋体" w:asciiTheme="minorEastAsia" w:hAnsiTheme="minorEastAsia" w:eastAsiaTheme="minorEastAsia"/>
          <w:b/>
          <w:bCs/>
        </w:rPr>
        <w:t>手术示教系统</w:t>
      </w:r>
    </w:p>
    <w:p>
      <w:pPr>
        <w:rPr>
          <w:rFonts w:cs="宋体" w:asciiTheme="minorEastAsia" w:hAnsiTheme="minorEastAsia" w:eastAsiaTheme="minorEastAsia"/>
          <w:b/>
          <w:bCs/>
        </w:rPr>
      </w:pPr>
      <w:r>
        <w:rPr>
          <w:rFonts w:cs="宋体" w:asciiTheme="minorEastAsia" w:hAnsiTheme="minorEastAsia" w:eastAsiaTheme="minorEastAsia"/>
          <w:b/>
          <w:bCs/>
        </w:rPr>
        <w:t>7.1</w:t>
      </w:r>
      <w:r>
        <w:rPr>
          <w:rFonts w:hint="eastAsia" w:cs="宋体" w:asciiTheme="minorEastAsia" w:hAnsiTheme="minorEastAsia" w:eastAsiaTheme="minorEastAsia"/>
          <w:b/>
          <w:bCs/>
        </w:rPr>
        <w:t>报告厅</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62"/>
        <w:gridCol w:w="621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4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数字手术科教系统</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1.可通过示教交互控制软件可对直播的手术室内全景、术野、内镜、监护仪、术中超声等影像进行切换和控制；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2.可观看正在示教的手术室状态并实现一键呼叫，手术室允许后即可观看手术并进行双向互动；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3.支持多分屏模式，单画面、三画面、四画面、六画面可选；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4.支持一个手术室多显示器观看手术；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★5.设备控制模块，既可以控制示教室全景摄像机，也可对正在示教的手术室全景、术野摄像机进行远端控制。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示教工作站</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1.配置不低于英特尔I7十二代处理器，</w:t>
            </w:r>
            <w:r>
              <w:rPr>
                <w:rFonts w:hint="eastAsia" w:asciiTheme="minorEastAsia" w:hAnsiTheme="minorEastAsia" w:eastAsiaTheme="minorEastAsia"/>
              </w:rPr>
              <w:t>≥</w:t>
            </w:r>
            <w:r>
              <w:rPr>
                <w:rFonts w:hint="eastAsia" w:cs="宋体" w:asciiTheme="minorEastAsia" w:hAnsiTheme="minorEastAsia" w:eastAsiaTheme="minorEastAsia"/>
                <w:color w:val="000000"/>
              </w:rPr>
              <w:t>16GB内存，</w:t>
            </w:r>
            <w:r>
              <w:rPr>
                <w:rFonts w:hint="eastAsia" w:asciiTheme="minorEastAsia" w:hAnsiTheme="minorEastAsia" w:eastAsiaTheme="minorEastAsia"/>
              </w:rPr>
              <w:t>≥</w:t>
            </w:r>
            <w:r>
              <w:rPr>
                <w:rFonts w:hint="eastAsia" w:cs="宋体" w:asciiTheme="minorEastAsia" w:hAnsiTheme="minorEastAsia" w:eastAsiaTheme="minorEastAsia"/>
                <w:color w:val="000000"/>
              </w:rPr>
              <w:t>240GB SSD+2TB硬盘；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2.最大支持4路4K60信号同时解码输出；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3.支持2路及以上HDMI/DP输出，输出分辨率最大支持4K；</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4.支持TYPE C接口，可对接便携显示屏；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5.支持5路及以上USB接口和控制接口，可对示教室全景相机、手术室全景相机、术野相机等进行控制；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6.支持通过示教工作站对4K无损示教解码终端进行控制，包括但不限于画面切换、单画面、多画面、多个示教解码终端和多个显示屏等。</w:t>
            </w:r>
          </w:p>
        </w:tc>
        <w:tc>
          <w:tcPr>
            <w:tcW w:w="416"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4K无损超高清手术影像终端</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▲1.支持4K60 4:4:4无损手术影像采集；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2.支持3840×2160p@60/50fps、3840×2160p@30/25/24fps、1920×1080p@60/50fps、1920×1080p@30/25/24fps分辨率的采集和编码，并可向下兼容常见分辨率；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3.输入接口：HDMI2.0、USB2.0、USB-B、3.5mm音频；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4.输出接口：HDMI2.0、3.5mm音频；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5.网络接口：SFP+×1、10/100/1000Mbps自适应网口×1；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6.编码方式：H.265/H.264；</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7.流协议：支持三码流输出，其中一路4K60无损无压缩视频流、2路H.265/264视频流；支持UDP、TCP协议，支持RTSP、RTMP、HTTP流服务模式输出。</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7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手术室专用4K高清全景摄像机</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1.支持不低于20倍光学变倍，16倍数字变倍；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2.需支持内置Micro SD卡插槽，支持Micro SD卡存储；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3.接口需要具备1路音频输入、1路音频输出、1路报警输入、1路报警输出、1路HDMI2.0视频输出接口、1路3G-SDI视频输出接口、1个RS485接口、一个RS232接口、一个10M/100M自适应RJ45网络接口；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4.图像输出支持3840×2160p/25Hz；3840×2160p/30Hz；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3840×2160p/50Hz；3840×2160p/60Hz；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1920×1080p/25Hz；1920×1080p/30Hz；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1920×1080i/50Hz；1920×1080i/60Hz；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1920×1080p/50Hz；1920×1080p/60Hz。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5.云台转动范围：垂直旋转范围≥-30°～90°；水平旋转范围≥0°~350°。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6.需支持在额定供电电压的±25%的范围内正常工作；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7.需支持多码流输出，包含主码流、子码流和第三码流，每路码流可独立配置分辨率及帧率；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8.需支持H.265、H.264、MJPEG视频编码格式，且H.264有Baseline/Main/High Profile编码能力，具有开启/关闭Smart264或Smart265功能；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9.需支持MP2L2、G.711ulaw、G.711alaw、G.726、G.722.1、AAC及PCM音频编码格式；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10.输出的图像中可叠加文字和符号信息，字符需包括通道名称、时间、预置点信息、坐标信息、镜头倍数等信息；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11.需支持≥24块多边形区域隐私遮蔽，遮盖区域支持多种颜色可选；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12.需具备背光补偿、宽动态、强光抑制功能；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13.应具备自动镜像的功能；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14.应具备≥300个预置点，支持存预置位和调预置位功能；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15.需按照所设置的预置位完成≥8条巡航路径,每条巡航至少可设置32个预置点；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16.需支持对监视画面中的人脸进行检测，可框选出检测到的人脸。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17.中心分辨力应≥2000TVL；</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18.信噪比应≥55dB。</w:t>
            </w:r>
          </w:p>
        </w:tc>
        <w:tc>
          <w:tcPr>
            <w:tcW w:w="416"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cs="宋体" w:asciiTheme="minorEastAsia" w:hAnsiTheme="minorEastAsia" w:eastAsiaTheme="minorEastAsia"/>
          <w:b/>
          <w:bCs/>
        </w:rPr>
        <w:t>7.2</w:t>
      </w:r>
      <w:r>
        <w:rPr>
          <w:rFonts w:hint="eastAsia" w:cs="宋体" w:asciiTheme="minorEastAsia" w:hAnsiTheme="minorEastAsia" w:eastAsiaTheme="minorEastAsia"/>
          <w:b/>
          <w:bCs/>
        </w:rPr>
        <w:t>手术室示教室</w:t>
      </w:r>
    </w:p>
    <w:tbl>
      <w:tblPr>
        <w:tblStyle w:val="36"/>
        <w:tblW w:w="51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42"/>
        <w:gridCol w:w="6215"/>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5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数字手术科教系统</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1.可通过示教交互控制软件可对直播的手术室内全景、术野、内镜、监护仪、术中超声等影像进行切换和控制；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2.可观看正在示教的手术室状态并实现一键呼叫，手术室允许后即可观看手术并进行双向互动；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3.支持多分屏模式，单画面、三画面、四画面、六画面可选；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4.支持一个手术室多显示器观看手术；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5.设备控制模块，既可以控制示教室全景摄像机，也可对正在示教的手术室全景、术野摄像机进行远端控制；</w:t>
            </w:r>
          </w:p>
        </w:tc>
        <w:tc>
          <w:tcPr>
            <w:tcW w:w="41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示教工作站</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1.配置≥12核处理器，≥16GB内存，≥240GB SSD+2TB硬盘；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2.支持≥4路4K60信号同时解码输出；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3.支持≥2路及以上HDMI/DP输出，输出分辨率支持≥7680×5320；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4.支持TYPE C接口，可对接便携显示屏；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5.支持5路及以上USB接口和控制接口，可对示教室全景相机、手术室全景相机、术野相机等进行控制；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6.支持通过示教工作站对4K无损示教解码终端进行控制，包括但不限于画面切换、单画面、多画面、多个示教解码终端和多个显示屏等；</w:t>
            </w:r>
          </w:p>
        </w:tc>
        <w:tc>
          <w:tcPr>
            <w:tcW w:w="413"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4K无损超高清手术影像终端</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1.支持4K60 4:4:4无损手术影像采集；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2.支持3840×2160p@60/50fps、3840×2160p@30/25/24fps、1920×1080p@60/50fps、1920×1080p@30/25/24fps分辨率的采集和编码，并可向下兼容常见分辨率；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3.输入接口：HDMI2.0、USB2.0、USB-B、3.5mm音频；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4.输出接口：HDMI2.0、3.5mm音频；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5.网络接口：SFP+×1、10/100/1000Mbps自适应网口×1；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6.编码方式：H.265/H.264；</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7.流协议：支持三码流输出，其中一路4K60无损无压缩视频流、2路H.265/264视频流；支持UDP、TCP协议，支持RTSP、RTMP、HTTP流服务模式输出。</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手术室专用4K高清全景摄像机</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1.支持不低于20倍光学变倍，16倍数字变倍；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2.需支持内置Micro SD卡插槽，支持Micro SD卡存储；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3.接口需要具备1路音频输入、1路音频输出、1路报警输入、1路报警输出、1路HDMI2.0视频输出接口、1路3G-SDI视频输出接口、1个RS485接口、一个RS232接口、一个10M/100M自适应RJ45网络接口；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4.图像输出支持3840×2160p/25Hz；3840×2160p/30Hz；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3840×2160p/50Hz；3840×2160p/60Hz；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1920×1080p/25Hz；1920×1080p/30Hz；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1920×1080i/50Hz；1920×1080i/60Hz；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1920×1080p/50Hz；1920×1080p/60Hz。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5.云台转动范围：垂直旋转≥-30°～90°；水平旋转≥0°~350°；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6.需支持在额定供电电压的±25%的范围内正常工作；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7.需支持多码流输出，包含主码流、子码流和第三码流，每路码流可独立配置分辨率及帧率；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8.需支持H.265、H.264、MJPEG视频编码格式，且H.264有Baseline/Main/High Profile编码能力，具有开启/关闭Smart264或Smart265功能；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9.需支持MP2L2、G.711ulaw、G.711alaw、G.726、G.722.1、AAC及PCM音频编码格式；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10.输出的图像中可叠加文字和符号信息，字符需包括通道名称、时间、预置点信息、坐标信息、镜头倍数等信息；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11.需支持≥24块多边形区域隐私遮蔽，遮盖区域支持多种颜色可选；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12.需具备背光补偿、宽动态、强光抑制功能；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13.应具备自动镜像的功能；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14.应具备≥300个预置点，支持存预置位和调预置位功能；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15.需按照所设置的预置位完成≥8条巡航路径,每条巡航可设置≥32个预置点；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16.需支持对监视画面中的人脸进行检测，可框选出检测到的人脸；</w:t>
            </w:r>
          </w:p>
          <w:p>
            <w:pPr>
              <w:rPr>
                <w:rFonts w:cs="宋体" w:asciiTheme="minorEastAsia" w:hAnsiTheme="minorEastAsia" w:eastAsiaTheme="minorEastAsia"/>
              </w:rPr>
            </w:pPr>
            <w:r>
              <w:rPr>
                <w:rFonts w:hint="eastAsia" w:cs="宋体" w:asciiTheme="minorEastAsia" w:hAnsiTheme="minorEastAsia" w:eastAsiaTheme="minorEastAsia"/>
                <w:color w:val="000000"/>
              </w:rPr>
              <w:t>17.中心分辨力应≥2000TVL；18.信噪比应≥55dB。</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5"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4K显示系统（含安装套件）</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1.屏幕规格：屏幕尺寸≥65英寸，像素点距≤0.372×0.372mm，分辨率：3840×2160最大亮度≥500cd/m2，对比度≥1100:1，屏幕视角≥178/178°，输入接口DVI×2 DP×2响应时间≤8ms；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2.支持色彩：≥10亿色；</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3.医疗影像标准：完全符合DICOM3.14标准；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4.医疗校正曲线：内置多个亮度条件下的DICOM校正曲线DICOM250/DICOM300/DICOM350/DICOM400/DICOM450以及专业应用曲线CRT/DSI/DSA/CT(MRI)/RX1/RX2/GAMMA1.8/GAMMA2.0/GAMMA2.2/GAMMA2.4/Linear；</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5.亮度监测系统：内置亮度和温度监测软件保障显示器亮度稳定，在菜单中实时观察当前屏幕亮度数值和温度值，可直观的检查其工作有效性。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6.按键分屏功能：前框引出按键，便于医生进行操作，可一键完成分屏，一键快捷单屏/多屏快速切换具有多分屏功能，可将屏幕分将屏幕分为单屏、双屏、三屏、四屏以及画中画模式显示。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7.分屏调节功能：分屏后可单独进行GAMMA和色温调节，根据医生的使用习惯分别调节屏的GAMMA和色温，分屏后自动识别最佳分辨率。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8.含整体安装套件。</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专业音箱</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1.阻抗：8Ω；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2.频响范围：65Hz~20KHz；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3.额定功率：150W；</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4.灵敏度：≥95dB/W/M；</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5.覆盖角度：(H)80°(V)60°；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6.高音：3"锥形高音单元×2；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7.低音：8"低音×1。</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专业功放</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1.工业造型钢面板，专业设计坚固面耐用，面板防尘网可折洗结构设计，可拆卸清洗的散热通风口。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2.开机软启动，防止开机时向电网吸收大电流，干扰其它用电设备。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3.具备智能控制强制散热，</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4.两声道功放有三档输入灵敏度选择，接纳宽幅度范围信号源输入；输入灵敏度：0.775V/1V/1.44V</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5.完善可靠的安全保护措施和工作状态指示。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6.智能削峰限幅器，控制功率模块及扬声器系统在安全范围内工作。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7.标准XLR+TRS1/4” 复合输入接口，8.高品质变压器和低阻大容量电解滤波，9.适应不同场合所需，可选立体声或桥接工作模式。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10.输入座接地脚接地和悬浮控制。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11.输出功率（20Hz-20KHz/THD≤1％）：立体声/并联8Ω×2：200W×2；立体声/并联4Ω×2：300W×2；桥接8Ω：600W。</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5"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无线话筒</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1.采用PLL频率合成锁相环技术，微电脑集成中央处理器CPU总线控制系统。</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2.兼容手动选频和红外自动对频锁定频道， 杂讯锁定静噪控制及音码锁定静噪控制。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3.V/A显示屏在任何角度观察字体清晰同时显示信道号与工作频率。带8级射频电平显示，8级音频电平显示，频道菜单显示，静音显示。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4.先进的滤波及抗干扰功能能够有效阻隔外界不良信号及手机信号的干扰。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5.采用传统按键操控，内置高性能的语音压扩技术，支持平衡和非平衡两种选择输出端口。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6.系统指标：频率范围： 640-690MHZ  740-790MHz  807-830MHz、频道数目：≥500个、音频响应 ：80HZ-18KHZ(±2dB)、信噪比： ≥100dB、灵敏度 ：–105 dBm for 12 dB SINAD, typical、有效使用距离 ：空旷≥50米。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7.接收器指标：平衡200Ω 负载-13dBV，非平衡600Ω、音频输出阻抗： 平衡200Ω；1路合并非平衡600Ω。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8.麦克风指标：输出功率 ：高功率30mW；低功率3mW。</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9.系统包括有一台主机+两台桌面式无线麦克风和两个手持话筒。</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调音台</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1.支持≥8路麦克风输入兼容6路线路输入接口，支持≥2路立体声输入接口，≥4路RCA输入，话筒接口幻象电源：+48V。</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2.具有≥2组立体主输出、≥4路编组输出、≥4路辅助输出、≥1组立体声监听输出、≥1个耳机监听输出、≥2个效果输出、≥1组主混音断点插入、≥6个断点插入。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3.内置24位DSP效果器，提供100种预设效果。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4.具备13个60mm行程的高精密碳膜推子。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5.内置USB声卡模块，支持连接电脑进行音乐播放和声音录音；内置MP3播放器，支持1个USB接口接U盘播放音乐。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6.频率响应：20Hz-20kHz，±2dB；失真度：&lt;0.03% at+0dB,22Hz-22KHz A-weighted；灵敏度；+21dB~-30dB；信噪比：&lt;-100dBr A-weighted。</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音频处理器</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1.数字音频处理器支持≥4路平衡式话筒/线路输入通道，采用裸线接口端子，平衡接法；支持≥4路平衡式线路输出，采用裸线接口端子，平衡接法。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2.输入通道支持前级放大、信号发生器、扩展器、压缩器、5段参量均衡、AM自动混音功能、AFC自适应反馈消除、AEC回声消除、ANC噪声消除。</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3.输出通道支持31段参量均衡器、延时器、分频器、高低通滤波器、限幅器。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4.支持24bit/48KHz卓越的高品质声音，支持输入通道48V幻象供电，频率响应：20Hz-20KHz，总谐波失真＜0.002%@1KHz,4dBu，数/模动态范围(A-计权)：120dB；最大输出电平≥+24dBu，最大输入电平≥+24dBu。</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5.支持通过ipad或iPhone或安卓手机APP软件进行操作控制，面板具备USB接口，支持多媒体存储，可进行播放或存储录播。</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6.配置双向RS-232接口，可用于控制外部设备；配置RS-485接口，可实现自动摄像跟踪功能。配置8通道可编程GPIO控制接口（可自定义输入输出）。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7.支持断电自动保护记忆功能。支持通道拷贝、粘贴、联控功能。支持通过浏览器访问设备，下载自带管理控制软件；软件界面直观、图形化，可工作在XP/Windows7.8.10等系统环境下。</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抑制器</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1.采用≥96KHz采样频率，32-bit DSP处理器，24-bitA/D及D/A转换；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2.支持数字信号输入输出通道提供coaxial，AES及光纤接口。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3.支持144 x 32的LCD显示屏显示参数功能，提供6段LED显示输出电平；每通道24个LED灯显示啸叫抑制状态数量；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4.每通道支持压缩、限幅、噪声门、功能设置，可切换工作模式为直通或反馈抑制；可任意编辑固定和动态反馈点数量，可一键清除啸叫点；单机可存储30组用户程序。</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电源时序控制器</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1.设备采用标准1U机箱设计。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2.远程控制≥8通道电源时序打开/关闭—当船型开关处于off位置时有效。</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3.当远程控制有效时同时控制后板ALARM（报警）端口导通以起到级联控制ALARM（报警）功能。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4.单个通道最大负载功率≥2200W，所有通道负载总功率≥6000W。</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5.输入连接器：大功率线码式电源连接器。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6.输出连接器：多用途电源插座。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7.USB输出接口，可以接LED灯。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8.额定输出电压：AC~220V50Hz。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9.额定输出电流：≥30A。</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10.可控制电源：≥8路。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11.每路动作延时时间：≤1秒。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12.单路额定输出电源：≥10A。</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示教室综合布线</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1.提供连接示教室内核心平台配套各种线缆，其中视频线缆传输信号能力≥4K的标准。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2.线缆为高质量出厂定制线缆，减少现场焊接制作接头。</w:t>
            </w:r>
          </w:p>
        </w:tc>
        <w:tc>
          <w:tcPr>
            <w:tcW w:w="413"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65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网络机柜</w:t>
            </w:r>
          </w:p>
        </w:tc>
        <w:tc>
          <w:tcPr>
            <w:tcW w:w="355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标准19英寸42U机柜，符合消防认证IP30标准；同时安有万向脚轮和支撑脚固定；左右侧门可快速拆或装，带PDU。</w:t>
            </w:r>
          </w:p>
        </w:tc>
        <w:tc>
          <w:tcPr>
            <w:tcW w:w="413"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p>
    <w:p>
      <w:pPr>
        <w:rPr>
          <w:rFonts w:cs="宋体" w:asciiTheme="minorEastAsia" w:hAnsiTheme="minorEastAsia" w:eastAsiaTheme="minorEastAsia"/>
          <w:b/>
          <w:bCs/>
        </w:rPr>
      </w:pPr>
      <w:r>
        <w:rPr>
          <w:rFonts w:hint="eastAsia" w:cs="宋体" w:asciiTheme="minorEastAsia" w:hAnsiTheme="minorEastAsia" w:eastAsiaTheme="minorEastAsia"/>
          <w:b/>
          <w:bCs/>
        </w:rPr>
        <w:t>7</w:t>
      </w:r>
      <w:r>
        <w:rPr>
          <w:rFonts w:cs="宋体" w:asciiTheme="minorEastAsia" w:hAnsiTheme="minorEastAsia" w:eastAsiaTheme="minorEastAsia"/>
          <w:b/>
          <w:bCs/>
        </w:rPr>
        <w:t>.3</w:t>
      </w:r>
      <w:r>
        <w:rPr>
          <w:rFonts w:hint="eastAsia" w:cs="宋体" w:asciiTheme="minorEastAsia" w:hAnsiTheme="minorEastAsia" w:eastAsiaTheme="minorEastAsia"/>
          <w:b/>
          <w:bCs/>
        </w:rPr>
        <w:t>手术示教管理系统</w:t>
      </w:r>
    </w:p>
    <w:tbl>
      <w:tblPr>
        <w:tblStyle w:val="36"/>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34"/>
        <w:gridCol w:w="621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4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4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4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手术影像资源管理系统</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1.手术资源管理：手术信息查询；手术录像资料查看播放；在线上传发布手术资料；在线下载导出手术录像；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2.视频流媒体管理：实时视频流接入；视频流请求分发管理；示教直播管理；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3.系统WEB界面采用BS架构，直播和点播无需安装任何插件及客户端软件；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4.支持多间手术室同时录制及直播；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5.支持录制视频发布，并设置发布权限和发布分类；</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6.直播和点播支持多路同播；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7.点播页面支持视频和快照下载；支持实时快照和上传快照；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8.点播页面和直播页面支持多条件查询；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9.具有权限管理，可以根据用户角色控制直播，点播等模块的访问权限；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10.在线编辑：支持快速剪辑视频，支持建立手术索引，方便在线快速查找到指定位置，在线编辑后，直接生成文件至服务器，无需后期上传。</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9"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4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4K超高清示教终端</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基本架构：</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分体式终端，须采用嵌入式操作系统，非PC架构，通过遥控器进行会议控制包括控制声音、图像、会议管理等，非键盘鼠标操作，采用国产芯片。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音视频接口要求：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1.需配置具备至少4路视频输入接口，其中至少包含2路HDMI接口；至少2路视频高清输出接口，方便与会议室视频系统集成。上述接口需终端集成，不接受转接方式实现；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2.需配置具备至少6路音频输入接口；至少3路音频输出接口，方便与会议室音频系统集成；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3.需支持视频输出接口自适应，当HDMI1输出无连接时，HDMI2可以自动输出原HDMI1视频画面；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4.可以通过USB接口自动导入配置，进行设备安装部署。</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协议标准：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1.视频协议需支持H.264 SVC、H.265 SVC编码技术，能够适应不同线路带宽、不同设备能力、不同网络环境的组网需求；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2.音频协议需支持宽频高保真语音技术，支持OPUS、G.711、G.722音频编解码协议。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处理能力：</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1.需支持4K30fps、1080P60fps、1080P30fps分辨率并向下兼容；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2.需支持双流内容分享，支持4K高清双流；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3.需支持语音优化：回声消除、自动降噪、自动增益控制、自动增强、突出人声，支持唇音同步技术。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内容共享：</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1.需支持同时发送和接收双流，即多会场同时发送双流，会场可根据需要调看不同的辅流内容，分辨率达4K30fps；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2.可以共享手机内图片或共享手机屏幕到会议中；</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3.云平台可以配置启用允许一个会议中多个成员同时发送双流，支持最多50个人同时发送双流；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4.参会人可以发起电子白板功能，实现多方白板互动。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网络适应性：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1.需支持IPV4、IPV6双栈接入；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2.视频呼叫需支持64Kbps至8Mbps范围内动态自适应，并可实时显示当前自适应呼叫带宽。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显示要求：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1.需支持双屏显示输出，如远端会场图像、内容各占一屏；或远端发言会场、其他多分屏会场各占一屏；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2.可以通过翻页方式查看所有参会者画面。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通讯录：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1.终端可自动同步云端多级组织通讯录，可通过通讯录一键快速建立呼叫，可查看到通讯录中个人或终端设备的号码、上线、离线、忙线等信息。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终端自检：</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1.终端开机后可以自动对本机的网络状态、摄像头采集状态、扬声器输出状态、麦克风输入状态进行自检，并输出检测结果。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会议签到：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1.可以分享报名链接和二维码，进行签到；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2.手机客户端可以扫描二维码签到，硬件终端摄像机进行人脸信息采集和识别，实现人脸识别自动签到；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3.平台须可以自动统计签到结果，签到人员与未到人员可以分组显示。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会议录制：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1.具备录制功能，在会中可对正在召开的直播会议进行自主的录制，并可将会议内容进行保存、点播。</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9"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4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移动端应用</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基本架构：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1.提供不少于30个点的接入能力，以手机移动端、电脑客户端等形式加入；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2.可支持Windows、MAC OS、安卓、IOS操作系统，支持1080P高清分辨率。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协议标准：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1.视频需支持H.264 SVC编码技术，能够适应不同线路带宽、不同设备能力、不同网络环境的组网需求；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2.需支持宽频高保真语音技术，支持G.711、G.722、OPUS音频编解码协议。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应用功能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1.需支持预约会议，支持点对点呼叫、加入多方会议；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2.需支持周期会议合并展示，可整体或单独修改某个会议；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3.需支持发起会议功能，通过微信、邮件、短信、链接分享方式发起会议邀请；</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4.需支持会议主持功能。既可以主持主动发起的会议也支持主持其他的会议；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5.主持功能能设置静音，设置主会场，设置轮询，结束会议等功能；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6.需支持通过手机端、PC端发起视频直播；</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7.需支持同时发送和接收双流，即多会场同时发送双流，会场可根据需要调看不同的辅流内容；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8.在多分屏会议中，须能点击任意小分屏画面实现该画面图像放大全屏；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9.需支持日程功能，显示待参加及已经结束的会议列表；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10.需支持通讯录功能，显示所在的单位名称和单位通讯录，包括该单位的所有用户、群组、各类终端及客户端；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11.需支持虚拟摄像头、美颜和虚拟背景；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12.需支持会议过程中改名，且立即生效；</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13.需支持设置密码；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14.需支持锁定会议功能，会议锁定后分会议成员无法自行加入；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15.需支持等候室功能，需主持人同意后方可进入会议室；</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16.需支持通话中锁定工具栏，防止误触；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文档共享</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1.需支持在会议中及会议外共享屏幕、音视频文件及其他视频源；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2.PPT演讲者模式下共享桌面时，需支持仅共享幻灯片正文内容，发送端可以观看到完整的PPT演讲者视图（翻页、备注等），接收端看到的是PPT内容，看不到PPT的备注；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3.共享内容时，需支持自动采集PC声音，无需接插额外音频线缆；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呼叫共振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1.需支持同一账号同时在PC客户端和手机APP上登陆，在接收呼叫时两个客户端同时振铃，接听其中一个客户端，另一个即停止振铃。</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视频录制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2.需支持在PC、手机软件终端会议界面启动录制，录制文件自动存储到当前账号云文件夹中。</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4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4K无损超高清手术影像终端</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1.支持4K60 4:4:4无损手术影像采集；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2.支持3840×2160p@60/50fps、3840×2160p@30/25/24fps、1920×1080p@60/50fps、1920×1080p@30/25/24fps分辨率的采集和编码，并可向下兼容常见分辨率；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3.输入接口：HDMI2.0、USB2.0、USB-B、3.5mm音频；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4.输出接口：HDMI2.0、3.5mm音频；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5.网络接口：SFP+×1、10/100/1000Mbps自适应网口×1；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6.编码方式：H.265/H.264；</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7.流协议：支持三码流输出，其中一路4K60无损无压缩视频流、2路H.265/264视频流；支持UDP、TCP协议，支持RTSP、RTMP、HTTP流服务模式输出。</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8</w:t>
      </w:r>
      <w:r>
        <w:rPr>
          <w:rFonts w:cs="宋体" w:asciiTheme="minorEastAsia" w:hAnsiTheme="minorEastAsia" w:eastAsiaTheme="minorEastAsia"/>
          <w:b/>
          <w:bCs/>
        </w:rPr>
        <w:t>.</w:t>
      </w:r>
      <w:r>
        <w:rPr>
          <w:rFonts w:hint="eastAsia" w:cs="宋体" w:asciiTheme="minorEastAsia" w:hAnsiTheme="minorEastAsia" w:eastAsiaTheme="minorEastAsia"/>
          <w:b/>
          <w:bCs/>
        </w:rPr>
        <w:t>数字化手术室系统</w:t>
      </w:r>
    </w:p>
    <w:p>
      <w:pPr>
        <w:rPr>
          <w:rFonts w:cs="宋体" w:asciiTheme="minorEastAsia" w:hAnsiTheme="minorEastAsia" w:eastAsiaTheme="minorEastAsia"/>
          <w:b/>
          <w:bCs/>
        </w:rPr>
      </w:pPr>
      <w:r>
        <w:rPr>
          <w:rFonts w:cs="宋体" w:asciiTheme="minorEastAsia" w:hAnsiTheme="minorEastAsia" w:eastAsiaTheme="minorEastAsia"/>
          <w:b/>
          <w:bCs/>
        </w:rPr>
        <w:t>8.1</w:t>
      </w:r>
      <w:r>
        <w:rPr>
          <w:rFonts w:hint="eastAsia" w:cs="宋体" w:asciiTheme="minorEastAsia" w:hAnsiTheme="minorEastAsia" w:eastAsiaTheme="minorEastAsia"/>
          <w:b/>
          <w:bCs/>
        </w:rPr>
        <w:t>数字化手术室集中管理系统</w:t>
      </w: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61"/>
        <w:gridCol w:w="620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6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4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38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6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中心管理系统基础模块</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1.需采用LINUX等安全性高的操作系统，确保数据安全；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2.用户管理：用户信息编辑，同步OA系统用户；</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3.基础信息维护：医院名称，科室名称，手术间名称；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4.设备信息管理：设备配置信息，设备类别，ID，数量，规格统计；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5.角色管理：角色信息编辑，角色名称设置；角色权限分配：功能模块授权，功能操作授权，登录节点授权，设备使用授权，直播观看范围授权，录像访问范围授权；</w:t>
            </w:r>
          </w:p>
        </w:tc>
        <w:tc>
          <w:tcPr>
            <w:tcW w:w="407"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8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6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医疗系统中间接口管理系统</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1.医疗系统中间件接口管理系统（HIS、PACS、LIS、手麻）；</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2.手术系统中间件接口管理系统接口对接（环境、压差、环境、医气、UPS、隔离电源、净化机组）。</w:t>
            </w:r>
          </w:p>
        </w:tc>
        <w:tc>
          <w:tcPr>
            <w:tcW w:w="407"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38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6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数字化手术室集中管理系统互联</w:t>
            </w:r>
          </w:p>
        </w:tc>
        <w:tc>
          <w:tcPr>
            <w:tcW w:w="3548"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1.单台设备支持≥48路4K信号切换和交互；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2.提供≥48个10G SFP+端口，≥2个共享的万兆10GBase-T接口提供≥10G自适应的RJ45连接；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3.全面支持SDN；</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4.支持4K60 4:4:4信号无损无延时路由切换；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5.支持本地/远程堆叠，可以与万兆或千兆型号混合堆叠支持高达8台设备堆叠，支持全三层网络功能；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6.每路端口配置万兆单模光模块，实现4K信号光纤接入。</w:t>
            </w:r>
          </w:p>
        </w:tc>
        <w:tc>
          <w:tcPr>
            <w:tcW w:w="40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cs="宋体" w:asciiTheme="minorEastAsia" w:hAnsiTheme="minorEastAsia" w:eastAsiaTheme="minorEastAsia"/>
          <w:b/>
          <w:bCs/>
        </w:rPr>
        <w:t xml:space="preserve">8.2 </w:t>
      </w:r>
      <w:r>
        <w:rPr>
          <w:rFonts w:hint="eastAsia" w:cs="宋体" w:asciiTheme="minorEastAsia" w:hAnsiTheme="minorEastAsia" w:eastAsiaTheme="minorEastAsia"/>
          <w:b/>
          <w:bCs/>
        </w:rPr>
        <w:t>数字化手术室系统</w:t>
      </w:r>
    </w:p>
    <w:p>
      <w:pPr>
        <w:rPr>
          <w:rFonts w:cs="宋体" w:asciiTheme="minorEastAsia" w:hAnsiTheme="minorEastAsia" w:eastAsiaTheme="minorEastAsia"/>
          <w:b/>
          <w:bCs/>
        </w:rPr>
      </w:pPr>
      <w:r>
        <w:rPr>
          <w:rFonts w:hint="eastAsia" w:cs="宋体" w:asciiTheme="minorEastAsia" w:hAnsiTheme="minorEastAsia" w:eastAsiaTheme="minorEastAsia"/>
          <w:b/>
          <w:bCs/>
        </w:rPr>
        <w:t>8</w:t>
      </w:r>
      <w:r>
        <w:rPr>
          <w:rFonts w:cs="宋体" w:asciiTheme="minorEastAsia" w:hAnsiTheme="minorEastAsia" w:eastAsiaTheme="minorEastAsia"/>
          <w:b/>
          <w:bCs/>
        </w:rPr>
        <w:t xml:space="preserve">.2.1 </w:t>
      </w:r>
      <w:r>
        <w:rPr>
          <w:rFonts w:hint="eastAsia" w:cs="宋体" w:asciiTheme="minorEastAsia" w:hAnsiTheme="minorEastAsia" w:eastAsiaTheme="minorEastAsia"/>
          <w:b/>
          <w:bCs/>
        </w:rPr>
        <w:t>4K数字化手术室-（腔镜间*2间、骨科*</w:t>
      </w:r>
      <w:r>
        <w:rPr>
          <w:rFonts w:cs="宋体" w:asciiTheme="minorEastAsia" w:hAnsiTheme="minorEastAsia" w:eastAsiaTheme="minorEastAsia"/>
          <w:b/>
          <w:bCs/>
        </w:rPr>
        <w:t>1</w:t>
      </w:r>
      <w:r>
        <w:rPr>
          <w:rFonts w:hint="eastAsia" w:cs="宋体" w:asciiTheme="minorEastAsia" w:hAnsiTheme="minorEastAsia" w:eastAsiaTheme="minorEastAsia"/>
          <w:b/>
          <w:bCs/>
        </w:rPr>
        <w:t>间）</w:t>
      </w: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28"/>
        <w:gridCol w:w="6236"/>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6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智慧手术交互显示终端</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1．屏幕尺寸：≥65英寸，宽高比16：9；</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2．分辨率：≥3840×2160@60，向下兼容常见分辨率；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3．屏幕亮度：≥500cd/㎡；</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4．接口：HDMI2.0、SFP+、Audio、千兆网口、USB、S232；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5．色彩：≥10亿色；</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▲6．触控：全贴合电容触控，显示触控融为一体；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7．可实现观片灯模式，可代替观片灯实现观片功能；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8．显示器支持视频影像解码功能，解码分辨率最大支持3840×2160@60Hz 4:4:4，并向下兼容1080P60Hz、1080P30Hz等各种常见分辨率；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9．全玻璃前壳，嵌入式设计，安装后与墙面平齐；</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10．具备多种显示模式，支持多画面显示模式；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11．显示屏采用超窄边框、超大屏占比设计，屏占比≥92.7%；</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12．两线式接入设计，显示系统只需接入220V电源和光纤，就可实现显示系统整体供电、解码、影像无损无延时传输、触摸控制等所有功能，提高系统稳定性、可靠性和抗干扰能力，降低施工部署难度和维护投入；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13．智能软控菜单，支持通过触控屏切换信号源、显示模式、显示屏亮度调节等设备操作；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14．内置电子白板、批注功能，可通过手势快速调取，便于术前、术中讨论，术后总结；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15．嵌入式超窄边框、超薄一体化净化安装箱体，箱体精度高、易清洗、不生锈，可满足所有手术室嵌入安装要求；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16．嵌入式箱体采用前维护一体化液压伸缩支架，自带锁紧装置，按压弹出，便于安装及后续维护；</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17．前置USB3.0防水接口接口、电源开关；可外接其他外部设备；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18．支持触控透传，无需单独连接触控线即可实现对数字一体化工作站、接入的护士工作站等设备在不低于65寸触控屏上进行控制，实现患者PACS影像、病历等信息的控制功能；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19．超静音设计；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20.含整体安装套件。</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4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4K医用显示系统（吊臂安装）</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1.医用级4K超高清显示器，屏幕对角线尺寸≥31寸；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2.与整体手术室系统无缝整合，悬吊式安装在手术室内；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3.有安全线路，如系统发生故障，可切换到直连方式连通主机和显视器；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4.支持内窥镜影像显示,分辨率≥4096×2160，宽高比≥16：9；</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5.对比度：≥1400:1；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6.亮度：≥500cd/m2；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7.色彩：≥10亿色；</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8.伽玛1.8、2.0、2.2、2.4、2.6，DICOM，高亮；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9.视频输入信号：HDMI≥1；DVI-D≥1；BNC≥5，支持3G/HD/SD-SDI；</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10.视频输出信号：DVI-D≥1；BNC≥5，支持3G/HD/SD-SDI；</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医用吊臂（显示）</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1.支持安装1台≥32英寸显示器；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2.吊臂展开的有效距离为≥180cm，满足日常承重需求，材料优质。</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4K无损超高清手术影像终端</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1.支持4K60 4:4:4无损手术影像采集；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2.支持3840×2160p@60/50fps、3840×2160p@30/25/24fps、1920×1080p@60/50fps、1920×1080p@30/25/24fps分辨率的采集和编码，并可向下兼容常见分辨率；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3.输入接口：HDMI2.0、USB2.0、USB-B、3.5mm音频；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4.输出接口：HDMI2.0、3.5mm音频；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5.网络接口：SFP+×1、10/100/1000Mbps自适应网口×1；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6.编码方式：H.265/H.264；</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7.流协议：支持三码流输出，其中一路4K60无损无压缩视频流、2路H.265/264视频流；支持UDP、TCP协议，支持RTSP、RTMP、HTTP流服务模式输出。</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手术室无线麦克风</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1.医用级麦克风，集声音采集与播放一体，支持1台主机最多同时连接2只头戴式话筒单元，可满足主刀、助手和其他主要人员同时收听远端声音和讲话；</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2.具备一键静音功能；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3.噪音控制功能，可有效控制环境噪音，麦克接收单元可自动过滤环境杂音只识别讲解者声音，确保通话质量；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4.低电报警功能，电池电量低于10%自动报警并语音提示电量不足；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5.蓝牙连接，避免射频信号对手术室仪器设备影响问题，有效传输距离≥10米；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6.支持与其他蓝牙设备连接，可通过蓝牙连接手机；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7.主机采用高性能芯片组，支持蓝牙5.0；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8.多接口输入，支持3.5mm音频输入输出、USB接入，USB接口支持双向音频传输；</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9.充电式设计，内置高性能锂电池，支持50小时以上超长通话；</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10.主机支持音量控制，通过音量指示灯可显示5级音量；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11.高性能Type C充电接口，支持通过USB接口充电；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12.高集成设计，整机尺寸≤170×110×30mm，满足各种环境安装放置要求。</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音频处理终端</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1.4*4数字音频矩阵；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2.DSP芯片：Ti 450MHz FLOPS双核；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3.输入处理：前级放大、信号发生器、扩展器、压缩器、5段参量均衡、反相、自动增益、自动混音；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4.输出处理：31段参量均衡器、延时器、分频器、高低通滤波器、限幅器、反相；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5.功放模块：内置8Ω 2X145W D类数字功放；</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6.USB背景音乐播放与录制功能；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7.支持场景预设功能；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8.断电自动保护记忆功能；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9.支持RJ45和RS232。</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吸顶扬声器</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1.采用1只6.5寸中低音喇叭单元和1只1.5"球顶高音单元；</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2.采用吸顶安装方式，采用铁质网罩内贴防尘网棉；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3.具有精确设计的分频器优化功率响应及人声部分的中频表现力；</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4.额定功率≥100W；</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5.阻抗：8Ω；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6.灵敏度(1W/1M)≥92dB；</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7.频率响应(-10dB)：60Hz-20KHz；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8.安装开孔尺寸：≤250mm。</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手术室专用4K高清全景摄像机</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1.支持不低于20倍光学变倍，16倍数字变倍；</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2.需支持内置Micro SD卡插槽，支持Micro SD卡存储；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3.接口需要具备1路音频输入、1路音频输出、1路报警输入、1路报警输出、1路HDMI2.0视频输出接口、1路3G-SDI视频输出接口、1个RS485接口、一个RS232接口、一个10M/100M自适应RJ45网络接口；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4.图像输出支持3840×2160p/25Hz；3840×2160p/30Hz；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3840×2160p/50Hz；3840×2160p/60Hz；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1920×1080p/25Hz；1920×1080p/30Hz；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1920×1080i/50Hz；1920×1080i/60Hz；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1920×1080p/50Hz；1920×1080p/60Hz。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5.云台转动范围：垂直旋转范围≥-30°～90°；水平旋转范围≥0°~350°。</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6.需支持在额定供电电压的±25%的范围内正常工作；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7.需支持多码流输出，包含主码流、子码流和第三码流，每路码流可独立配置分辨率及帧率；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8.需支持H.265、H.264、MJPEG视频编码格式，且H.264有Baseline/Main/High Profile编码能力，具有开启/关闭Smart264或Smart265功能；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9.需支持MP2L2、G.711ulaw、G.711alaw、G.726、G.722.1、AAC及PCM音频编码格式；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10.输出的图像中可叠加文字和符号信息，字符需包括通道名称、时间、预置点信息、坐标信息、镜头倍数等信息；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11.需支持≥24块多边形区域隐私遮蔽，遮盖区域支持多种颜色可选；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12.需具备背光补偿、宽动态、强光抑制功能；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13.应具备自动镜像的功能；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14.应具备≥300个预置点，支持存预置位和调预置位功能；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15.需按照所设置的预置位完成≥8条巡航路径,每条巡航至少可设置32个预置点；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16.需支持对监视画面中的人脸进行检测，可框选出检测到的人脸。</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17.中心分辨力应≥2000TVL；18.信噪比应≥55dB。</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4K术野摄像机</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1.需具备</w:t>
            </w:r>
            <w:r>
              <w:rPr>
                <w:rFonts w:hint="eastAsia" w:cs="宋体" w:asciiTheme="minorEastAsia" w:hAnsiTheme="minorEastAsia" w:eastAsiaTheme="minorEastAsia"/>
              </w:rPr>
              <w:t>≥1</w:t>
            </w:r>
            <w:r>
              <w:rPr>
                <w:rFonts w:hint="eastAsia" w:cs="宋体" w:asciiTheme="minorEastAsia" w:hAnsiTheme="minorEastAsia" w:eastAsiaTheme="minorEastAsia"/>
                <w:color w:val="000000"/>
              </w:rPr>
              <w:t>个HDBaseT输出接口；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2.信噪比不低于50dB；</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3.支持不低于20倍光学变倍能力；</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4.支持输出分辨率：3840*2160/30、3840*2160/25、1920*1080/60、1920*1080/50</w:t>
            </w:r>
            <w:r>
              <w:rPr>
                <w:rFonts w:hint="eastAsia" w:cs="宋体" w:asciiTheme="minorEastAsia" w:hAnsiTheme="minorEastAsia" w:eastAsiaTheme="minorEastAsia"/>
              </w:rPr>
              <w:t xml:space="preserve">、1920*1080/30、1920*1080/25 </w:t>
            </w:r>
            <w:r>
              <w:rPr>
                <w:rFonts w:hint="eastAsia" w:cs="宋体" w:asciiTheme="minorEastAsia" w:hAnsiTheme="minorEastAsia" w:eastAsiaTheme="minorEastAsia"/>
                <w:color w:val="000000"/>
              </w:rPr>
              <w:t>；</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5.需具备快速出图能力，从上电到出图时间不超过15s；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6.支持遥控器、按键面板、远程配置等多种控制方式；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7.需支持普通模式和无影灯模式的场景模式切换；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8.需支持在80-120cm的拍摄范围内自动聚焦快速、清晰；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9.需支持变倍、调焦、冻结等一键操作；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10.机身需支持POE供电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11.支持HDBase-T技术，</w:t>
            </w:r>
            <w:r>
              <w:rPr>
                <w:rFonts w:hint="eastAsia" w:cs="宋体" w:asciiTheme="minorEastAsia" w:hAnsiTheme="minorEastAsia" w:eastAsiaTheme="minorEastAsia"/>
              </w:rPr>
              <w:t>≥</w:t>
            </w:r>
            <w:r>
              <w:rPr>
                <w:rFonts w:hint="eastAsia" w:cs="宋体" w:asciiTheme="minorEastAsia" w:hAnsiTheme="minorEastAsia" w:eastAsiaTheme="minorEastAsia"/>
                <w:color w:val="000000"/>
              </w:rPr>
              <w:t>传输距离达70米以上。</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医用吊臂（显示+术野）</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1.单轴双臂结构，双路悬挂设计，支持安装1台≥32寸显示器，1台术野摄像机；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2.吊臂展开的有效距离为≥180cm，满足日常承重需求。</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1</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数字化手术控制系统</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一体化控制中心整体要求：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▲1.高度集成、模块化设计，一体化控制中心集成</w:t>
            </w:r>
            <w:r>
              <w:rPr>
                <w:rFonts w:hint="eastAsia" w:cs="宋体" w:asciiTheme="minorEastAsia" w:hAnsiTheme="minorEastAsia" w:eastAsiaTheme="minorEastAsia"/>
              </w:rPr>
              <w:t>≥</w:t>
            </w:r>
            <w:r>
              <w:rPr>
                <w:rFonts w:hint="eastAsia" w:cs="宋体" w:asciiTheme="minorEastAsia" w:hAnsiTheme="minorEastAsia" w:eastAsiaTheme="minorEastAsia"/>
                <w:color w:val="000000"/>
              </w:rPr>
              <w:t>32寸电容触控显示屏、医用防水键盘、一体化手术室管理工作站，系统整体达到产品级设计标准，具有高可靠、易安装、易维护、省空间、易消毒、高安全、完全符合手术室净化要求等特点；(投标时提供实物图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2.嵌入式安装结构，安装后与手术室墙面平齐，无任何突出，安全、易清理、易消毒；</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3.超窄边框模块化设计，嵌入安装结构边框≤2CM，可与内嵌式手术显示屏系统拼接安装，安装后上下边缘平齐，达到一体化视觉效果；</w:t>
            </w:r>
          </w:p>
          <w:p>
            <w:pPr>
              <w:rPr>
                <w:rFonts w:cs="宋体" w:asciiTheme="minorEastAsia" w:hAnsiTheme="minorEastAsia" w:eastAsiaTheme="minorEastAsia"/>
              </w:rPr>
            </w:pPr>
            <w:r>
              <w:rPr>
                <w:rFonts w:hint="eastAsia" w:cs="宋体" w:asciiTheme="minorEastAsia" w:hAnsiTheme="minorEastAsia" w:eastAsiaTheme="minorEastAsia"/>
                <w:color w:val="000000"/>
              </w:rPr>
              <w:t>4. 隐藏式医用防水键盘，高档铝合金托盘，键盘组件折叠后与一体化控制中心前壳、手术室墙面平齐无任何突出墙面，按压式弹出，打开后可通过医用键盘进行操控，医用键盘托盘设计有储物空间，可放置无线麦克风、遥控器等</w:t>
            </w:r>
            <w:r>
              <w:rPr>
                <w:rFonts w:hint="eastAsia" w:cs="宋体" w:asciiTheme="minorEastAsia" w:hAnsiTheme="minorEastAsia" w:eastAsiaTheme="minorEastAsia"/>
              </w:rPr>
              <w:t>设备，并提供无线麦克风、手机充电接口，有效解决手术室设备放置不方便、易丢失、充电不方便问题；</w:t>
            </w:r>
          </w:p>
          <w:p>
            <w:pPr>
              <w:rPr>
                <w:rFonts w:cs="宋体" w:asciiTheme="minorEastAsia" w:hAnsiTheme="minorEastAsia" w:eastAsiaTheme="minorEastAsia"/>
              </w:rPr>
            </w:pPr>
            <w:r>
              <w:rPr>
                <w:rFonts w:hint="eastAsia" w:cs="宋体" w:asciiTheme="minorEastAsia" w:hAnsiTheme="minorEastAsia" w:eastAsiaTheme="minorEastAsia"/>
              </w:rPr>
              <w:t>5.前置≥2路防水USB3.0接口和≥1路电源开关，可外接U盘、移动硬盘、移动光驱等设备；</w:t>
            </w:r>
          </w:p>
          <w:p>
            <w:pPr>
              <w:rPr>
                <w:rFonts w:cs="宋体" w:asciiTheme="minorEastAsia" w:hAnsiTheme="minorEastAsia" w:eastAsiaTheme="minorEastAsia"/>
              </w:rPr>
            </w:pPr>
            <w:r>
              <w:rPr>
                <w:rFonts w:hint="eastAsia" w:cs="宋体" w:asciiTheme="minorEastAsia" w:hAnsiTheme="minorEastAsia" w:eastAsiaTheme="minorEastAsia"/>
              </w:rPr>
              <w:t>6.防尘、防水、防锈、防腐蚀设计，整系统安装后与墙面平齐、密封符合百级手术室净化要求；</w:t>
            </w:r>
          </w:p>
          <w:p>
            <w:pPr>
              <w:rPr>
                <w:rFonts w:cs="宋体" w:asciiTheme="minorEastAsia" w:hAnsiTheme="minorEastAsia" w:eastAsiaTheme="minorEastAsia"/>
              </w:rPr>
            </w:pPr>
            <w:r>
              <w:rPr>
                <w:rFonts w:hint="eastAsia" w:cs="宋体" w:asciiTheme="minorEastAsia" w:hAnsiTheme="minorEastAsia" w:eastAsiaTheme="minorEastAsia"/>
              </w:rPr>
              <w:t>7.≥32寸电容触控专业显示屏，支持≥10点电容触控；</w:t>
            </w:r>
          </w:p>
          <w:p>
            <w:pPr>
              <w:rPr>
                <w:rFonts w:cs="宋体" w:asciiTheme="minorEastAsia" w:hAnsiTheme="minorEastAsia" w:eastAsiaTheme="minorEastAsia"/>
              </w:rPr>
            </w:pPr>
            <w:r>
              <w:rPr>
                <w:rFonts w:hint="eastAsia" w:cs="宋体" w:asciiTheme="minorEastAsia" w:hAnsiTheme="minorEastAsia" w:eastAsiaTheme="minorEastAsia"/>
              </w:rPr>
              <w:t>8.产品级设备连线标准，采用标准理线架，系统布线合理、标记清晰、接线规范，确保系统稳定；</w:t>
            </w:r>
          </w:p>
          <w:p>
            <w:pPr>
              <w:rPr>
                <w:rFonts w:cs="宋体" w:asciiTheme="minorEastAsia" w:hAnsiTheme="minorEastAsia" w:eastAsiaTheme="minorEastAsia"/>
                <w:color w:val="000000"/>
              </w:rPr>
            </w:pPr>
            <w:r>
              <w:rPr>
                <w:rFonts w:hint="eastAsia" w:cs="宋体" w:asciiTheme="minorEastAsia" w:hAnsiTheme="minorEastAsia" w:eastAsiaTheme="minorEastAsia"/>
              </w:rPr>
              <w:t>9.万兆光纤接入，系统数据交换及控制只需1根万兆光纤线即可实现视频传输、设备控制、集中管理</w:t>
            </w:r>
            <w:r>
              <w:rPr>
                <w:rFonts w:hint="eastAsia" w:cs="宋体" w:asciiTheme="minorEastAsia" w:hAnsiTheme="minorEastAsia" w:eastAsiaTheme="minorEastAsia"/>
                <w:color w:val="000000"/>
              </w:rPr>
              <w:t>等各种控制功能，提高信号抗干扰能力和系统整体稳定性。</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数字一体化工作站：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1.配置≥I7十代处理器、≥16GB内存、≥256GB固态硬盘；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2.HDMI/DP接口≥2个，支持两路及以上4K60信号输出；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r>
              <w:rPr>
                <w:rFonts w:cs="Calibri" w:asciiTheme="minorEastAsia" w:hAnsiTheme="minorEastAsia" w:eastAsiaTheme="minorEastAsia"/>
                <w:color w:val="000000"/>
              </w:rPr>
              <w:t xml:space="preserve"> </w:t>
            </w:r>
            <w:r>
              <w:rPr>
                <w:rFonts w:hint="eastAsia" w:cs="宋体" w:asciiTheme="minorEastAsia" w:hAnsiTheme="minorEastAsia" w:eastAsiaTheme="minorEastAsia"/>
                <w:color w:val="000000"/>
              </w:rPr>
              <w:t>应具备RJ45≥1、DB9≥1、USB3.0≥2、USB2.0≥6接口，并可根据需要进行扩展；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4.多设备接入和控制，支持同时接入多个全景相机、术野相机、内窥镜系统等设备控制信号，根据需要实现对应控制功能；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5.支持多个触控屏同时接入和控制，至少支持2个触控屏同时接入，不同触控屏可实现不同控制界面操作功能；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6.支持与数字化手术室触控显示屏无缝对接，可通过手术室内任一触控屏对工作站进行控制；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7.支持视频预览功能；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8.支持手术影像文件拷出，可通过控制中心USB接口将手术录制影像拷贝到外接存储设备或DVD光盘；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电源管理系统：</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1.与一体化控制中心一体化设计、专门安装结构，产品级设计及安装标准，不占用手术室额外空间；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2.一键开关机设计，只需通过一体化工作站防水开关即可实现所有数字化系统一键上电开机和一键系统关机，避免数字化设备数量多开关机不便问题；</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3.集中式供电系统，可为全景相机、术野相机、功放、32寸触摸控制屏、手术影像采集/解码设备提供高品质电源，避免电刀干扰等问题；数字一体化工作站开机系统自动上电，工作站关机后系统自动断电。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手术影像控制终端：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1.支持4K60 4:4:4无损手术影像采集；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2.支持3840×2160p@60/50fps、3840×2160p@30/25/24fps、1920×1080p@60/50fps、1920×1080p@30/25/24fps分辨率的采集和编码，并可向下兼容常见分辨率；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3.输入接口：HDMI2.0、USB2.0、USB-B、3.5mm音频；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4.输出接口：HDMI2.0、3.5mm音频；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5.网络接口：SFP+×1、10/100/1000Mbps自适应网口×1；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6.编码方式：H.265/H.264；</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7.流协议：支持三码流输出，其中一路4K60无损无压缩视频流、2路H.265/264视频流；支持UDP、TCP协议，支持RTSP、RTMP、HTTP流服务模式输出。</w:t>
            </w:r>
          </w:p>
        </w:tc>
        <w:tc>
          <w:tcPr>
            <w:tcW w:w="399" w:type="pct"/>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2</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智能数字化手术室软件系统</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1.通过手术室可视化综合管理系统可对手术室内全景、术野、内镜、监护仪、术中超声、麻醉等接入影像进行切换和控制；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2.人性化操作界面，通过数字化手术室内触控屏可对数字化系统进行控制，实现数字化手术室所有操控功能；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3.影像路由控制，可预览所有接入设备影像并通过触控屏进行视频路由控制，可对所有输出屏输出信号及模式进行预览，只需通过将输入信号预览画面拖动到输出预览窗口即可实现信号路由操作；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★4.手术录制功能，可对所有接入的手术影像进行录制，所有接入数字化系统信号都可进行录制，不受信号接入数量限制；支持录制信号选择，可手动选择需要录制的信号；</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5.设备控制模块，在手术室内触控屏上可对手术室内全景摄像机、术野摄像机进行控制，并可实现对正在通话的示教室全景摄像机进行控制；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6.信息调阅，通过手术室内交互显示系统可调阅患者电子病例、PACS等信息；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7.支持患者信息和医生信息手动录入，患者信息可进行查询、添加、删除、修改等操作；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8.手术直播模块，手术室可控制手术观看权限、直播路数；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9.用户登陆功能，支持用户登陆，所有手术影像记录可以以用户相应权限为基础进行存储和控制；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10.影像拷贝功能，支持本地影像通过USB外接存储设备拷出，包括但不限于手术录像、手术截图；</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11.直播录制状态显示，可实时显示当前手术室手术直播状态和录制状态；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12.支持集成对接医院HIS、PACS、EMR等信息系统，可将信息系统信息显示在手术室内≥65寸触控手术屏和内窥镜监视屏上，并通过这些触控屏对显示界面进行触控操作；</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13.背景音乐，支持背景音乐或视频上传、播放，背景视频播放画面可显示在手术室内任一≥65寸手术室显示屏或内窥监视屏上，用以缓解患者紧张情绪，营造轻松的手术氛围。</w:t>
            </w:r>
          </w:p>
          <w:p>
            <w:pPr>
              <w:rPr>
                <w:rFonts w:cs="宋体" w:asciiTheme="minorEastAsia" w:hAnsiTheme="minorEastAsia" w:eastAsiaTheme="minorEastAsia"/>
              </w:rPr>
            </w:pP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3</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术中患者医疗数据及影像数据交互集成系统</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间集中查询当台手术患者的核查数据、间内环境数据、预警数据、HIS信息、LIS信息、PACS信息，均可在手术间调阅信息，提升手术的安全及信息交互；支持间内环境的在线监测，包含不限于压差在线监测、空调在线监测、百级手术室尘埃粒子在线监测；可结合家属等候区公告系统及手术室医护协同系统构建患者谈话流程闭环。</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4</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灯光控制系统</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1.具有LED蓝光照明功能，可通过触摸屏进行控制；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★2.支持最少3个用户自定义的灯光预设模式，及一键式快速调用；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3.包含LED光源。</w:t>
            </w:r>
          </w:p>
        </w:tc>
        <w:tc>
          <w:tcPr>
            <w:tcW w:w="399" w:type="pct"/>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5</w:t>
            </w:r>
          </w:p>
        </w:tc>
        <w:tc>
          <w:tcPr>
            <w:tcW w:w="64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4K手术室综合布线（含设备安装、系统调试）</w:t>
            </w:r>
          </w:p>
        </w:tc>
        <w:tc>
          <w:tcPr>
            <w:tcW w:w="3566"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包含全部光纤、布线、安装各种设备的工程：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1.视频线纯铜无磁性24K镀金接口；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2.HDMI线采用纯铜HDMI2.0工程线材，满足4096×2160@60Hz传输性能要求；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3.光纤线采用国标及以上线缆，满足万兆传输要求；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4.内嵌显示屏等设备安装满足手术室净化标注和规范要求；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5.数字化手术室线材铺设满足弱电布线规范，采用国标桥架和穿线管铺设。</w:t>
            </w:r>
          </w:p>
        </w:tc>
        <w:tc>
          <w:tcPr>
            <w:tcW w:w="3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8</w:t>
      </w:r>
      <w:r>
        <w:rPr>
          <w:rFonts w:cs="宋体" w:asciiTheme="minorEastAsia" w:hAnsiTheme="minorEastAsia" w:eastAsiaTheme="minorEastAsia"/>
          <w:b/>
          <w:bCs/>
        </w:rPr>
        <w:t>.3</w:t>
      </w:r>
      <w:r>
        <w:rPr>
          <w:rFonts w:hint="eastAsia" w:cs="宋体" w:asciiTheme="minorEastAsia" w:hAnsiTheme="minorEastAsia" w:eastAsiaTheme="minorEastAsia"/>
          <w:b/>
          <w:bCs/>
        </w:rPr>
        <w:t>数字化手术室布线预留-（2间）</w:t>
      </w: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21"/>
        <w:gridCol w:w="6241"/>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4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6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技术参数</w:t>
            </w:r>
          </w:p>
        </w:tc>
        <w:tc>
          <w:tcPr>
            <w:tcW w:w="40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39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4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数字化手术室综合布线预留</w:t>
            </w:r>
          </w:p>
        </w:tc>
        <w:tc>
          <w:tcPr>
            <w:tcW w:w="356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1.提供连接手术室内核心平台配套各种线缆，其中视频线缆传输信号能力不低于4K的标准；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2.线缆为高质量出厂定制线缆，减少现场焊接制作接头，提升安装效率和质量；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3.线缆预留长度不少于35米，满足各种面积手术室的安装需求；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线缆要求如下，包含全部光纤、布线、安装各种设备的工程：</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1.视频线纯铜无磁性24K镀金接口；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2.HDMI线采用纯铜HDMI2.0工程线材，满足4096×2160@60Hz传输性能要求；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3.光纤线采用国标及以上线缆，满足万兆传输要求；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4.内嵌显示屏等设备安装满足手术室净化标注和规范要求；</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5.数字化手术室线材铺设满足弱电布线规范，采用国标桥架和穿线管铺设。</w:t>
            </w:r>
          </w:p>
        </w:tc>
        <w:tc>
          <w:tcPr>
            <w:tcW w:w="40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bl>
    <w:p>
      <w:pPr>
        <w:rPr>
          <w:rFonts w:cs="宋体" w:asciiTheme="minorEastAsia" w:hAnsiTheme="minorEastAsia" w:eastAsiaTheme="minorEastAsia"/>
          <w:b/>
          <w:bCs/>
        </w:rPr>
      </w:pPr>
      <w:r>
        <w:rPr>
          <w:rFonts w:cs="宋体" w:asciiTheme="minorEastAsia" w:hAnsiTheme="minorEastAsia" w:eastAsiaTheme="minorEastAsia"/>
          <w:b/>
          <w:bCs/>
        </w:rPr>
        <w:t>9.</w:t>
      </w:r>
      <w:r>
        <w:rPr>
          <w:rFonts w:hint="eastAsia" w:cs="宋体" w:asciiTheme="minorEastAsia" w:hAnsiTheme="minorEastAsia" w:eastAsiaTheme="minorEastAsia"/>
          <w:b/>
          <w:bCs/>
        </w:rPr>
        <w:t>信息化手术室系统</w:t>
      </w: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21"/>
        <w:gridCol w:w="624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4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7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详细功能/技术参数</w:t>
            </w:r>
          </w:p>
        </w:tc>
        <w:tc>
          <w:tcPr>
            <w:tcW w:w="40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4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术中患者医疗数据及影像数据交互集成系统</w:t>
            </w:r>
          </w:p>
        </w:tc>
        <w:tc>
          <w:tcPr>
            <w:tcW w:w="357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手术间集中查询当台手术患者的核查数据、间内环境数据、预警数据、HIS信息、LIS信息、PACS信息，均可在手术间调阅信息，提升手术的安全及信息交互；支持间内环境的在线监测，包含不限于压差在线监测、空调在线监测、百级手术室尘埃粒子在线监测；可结合家属等候区公告系统及手术室医护协同系统构建患者谈话流程闭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tc>
        <w:tc>
          <w:tcPr>
            <w:tcW w:w="400"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4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触摸显示大屏（含OPS电脑）</w:t>
            </w:r>
          </w:p>
        </w:tc>
        <w:tc>
          <w:tcPr>
            <w:tcW w:w="357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屏幕采用≥65英寸UHD超高清LED液晶屏，屏占比≥85%，整机最薄处≤24mm，分辨率3840*2160，显示比例16:9，色彩度≥10bit ,可视角度≥178°，色域≥90%NTSC；为满足科室书写讨论需求，整机需采用红外触控技术或电容触控技术，支持≥10点书写，≥10点触摸，有效识别高度≤2mm，单点触摸响应时间≤10ms；为满足科室之间的音频传输需求，整机需内置不少于6个麦克风，不低于8米有效拾音距离，另采用功率不低于2*10W（中高音）+20W（低音）的网孔发声扬声器；采用模块化系统方案，配置安卓模块；</w:t>
            </w:r>
          </w:p>
        </w:tc>
        <w:tc>
          <w:tcPr>
            <w:tcW w:w="400"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4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显示屏嵌入式套件</w:t>
            </w:r>
          </w:p>
        </w:tc>
        <w:tc>
          <w:tcPr>
            <w:tcW w:w="3570"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≥65寸显示器嵌入式套件，与手术室内整体风格颜色保持一致。</w:t>
            </w:r>
          </w:p>
        </w:tc>
        <w:tc>
          <w:tcPr>
            <w:tcW w:w="400"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1</w:t>
      </w:r>
      <w:r>
        <w:rPr>
          <w:rFonts w:cs="宋体" w:asciiTheme="minorEastAsia" w:hAnsiTheme="minorEastAsia" w:eastAsiaTheme="minorEastAsia"/>
          <w:b/>
          <w:bCs/>
        </w:rPr>
        <w:t>0.</w:t>
      </w:r>
      <w:r>
        <w:rPr>
          <w:rFonts w:hint="eastAsia" w:cs="宋体" w:asciiTheme="minorEastAsia" w:hAnsiTheme="minorEastAsia" w:eastAsiaTheme="minorEastAsia"/>
          <w:b/>
          <w:bCs/>
        </w:rPr>
        <w:t>医疗物联网</w:t>
      </w:r>
    </w:p>
    <w:p>
      <w:pPr>
        <w:rPr>
          <w:rFonts w:cs="宋体" w:asciiTheme="minorEastAsia" w:hAnsiTheme="minorEastAsia" w:eastAsiaTheme="minorEastAsia"/>
          <w:b/>
          <w:bCs/>
        </w:rPr>
      </w:pPr>
      <w:r>
        <w:rPr>
          <w:rFonts w:hint="eastAsia" w:cs="宋体" w:asciiTheme="minorEastAsia" w:hAnsiTheme="minorEastAsia" w:eastAsiaTheme="minorEastAsia"/>
          <w:b/>
          <w:bCs/>
        </w:rPr>
        <w:t>1</w:t>
      </w:r>
      <w:r>
        <w:rPr>
          <w:rFonts w:cs="宋体" w:asciiTheme="minorEastAsia" w:hAnsiTheme="minorEastAsia" w:eastAsiaTheme="minorEastAsia"/>
          <w:b/>
          <w:bCs/>
        </w:rPr>
        <w:t>0.1</w:t>
      </w:r>
      <w:r>
        <w:rPr>
          <w:rFonts w:hint="eastAsia" w:cs="宋体" w:asciiTheme="minorEastAsia" w:hAnsiTheme="minorEastAsia" w:eastAsiaTheme="minorEastAsia"/>
          <w:b/>
          <w:bCs/>
        </w:rPr>
        <w:t>物联网集成平台</w:t>
      </w: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68"/>
        <w:gridCol w:w="6290"/>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9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37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68" w:type="pct"/>
            <w:vMerge w:val="restar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物联网集成平台</w:t>
            </w: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1.采用平台化建设医疗物联网应用；</w:t>
            </w:r>
          </w:p>
        </w:tc>
        <w:tc>
          <w:tcPr>
            <w:tcW w:w="372"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.物联网技术统一接入和管理，</w:t>
            </w:r>
            <w:r>
              <w:rPr>
                <w:rFonts w:hint="eastAsia" w:cs="宋体" w:asciiTheme="minorEastAsia" w:hAnsiTheme="minorEastAsia" w:eastAsiaTheme="minorEastAsia"/>
              </w:rPr>
              <w:t>支持扩展；</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cs="宋体" w:asciiTheme="minorEastAsia" w:hAnsiTheme="minorEastAsia" w:eastAsiaTheme="minorEastAsia"/>
                <w:color w:val="000000"/>
              </w:rPr>
              <w:t>3</w:t>
            </w:r>
            <w:r>
              <w:rPr>
                <w:rFonts w:hint="eastAsia" w:cs="宋体" w:asciiTheme="minorEastAsia" w:hAnsiTheme="minorEastAsia" w:eastAsiaTheme="minorEastAsia"/>
                <w:color w:val="000000"/>
              </w:rPr>
              <w:t>.建立医疗物联网服务能力层，提供给所有的医疗物联网应用使用；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cs="宋体" w:asciiTheme="minorEastAsia" w:hAnsiTheme="minorEastAsia" w:eastAsiaTheme="minorEastAsia"/>
                <w:color w:val="000000"/>
              </w:rPr>
              <w:t>4</w:t>
            </w:r>
            <w:r>
              <w:rPr>
                <w:rFonts w:hint="eastAsia" w:cs="宋体" w:asciiTheme="minorEastAsia" w:hAnsiTheme="minorEastAsia" w:eastAsiaTheme="minorEastAsia"/>
                <w:color w:val="000000"/>
              </w:rPr>
              <w:t>.医疗物联网应用可单个或多个组合使用物联网服务能力；</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cs="宋体" w:asciiTheme="minorEastAsia" w:hAnsiTheme="minorEastAsia" w:eastAsiaTheme="minorEastAsia"/>
                <w:color w:val="000000"/>
              </w:rPr>
              <w:t>5</w:t>
            </w:r>
            <w:r>
              <w:rPr>
                <w:rFonts w:hint="eastAsia" w:cs="宋体" w:asciiTheme="minorEastAsia" w:hAnsiTheme="minorEastAsia" w:eastAsiaTheme="minorEastAsia"/>
                <w:color w:val="000000"/>
              </w:rPr>
              <w:t>.医疗物联网应用平台可支持多个医疗物联网应用部署，支持将来扩展和部署更多的医疗物联网应用；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cs="宋体" w:asciiTheme="minorEastAsia" w:hAnsiTheme="minorEastAsia" w:eastAsiaTheme="minorEastAsia"/>
                <w:color w:val="000000"/>
              </w:rPr>
              <w:t>6</w:t>
            </w:r>
            <w:r>
              <w:rPr>
                <w:rFonts w:hint="eastAsia" w:cs="宋体" w:asciiTheme="minorEastAsia" w:hAnsiTheme="minorEastAsia" w:eastAsiaTheme="minorEastAsia"/>
                <w:color w:val="000000"/>
              </w:rPr>
              <w:t>.不同的室内定位技术支持使用统一的地图技术进行可视化展现，采用同一套室内电子地图；</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cs="宋体" w:asciiTheme="minorEastAsia" w:hAnsiTheme="minorEastAsia" w:eastAsiaTheme="minorEastAsia"/>
                <w:color w:val="000000"/>
              </w:rPr>
              <w:t>7</w:t>
            </w:r>
            <w:r>
              <w:rPr>
                <w:rFonts w:hint="eastAsia" w:cs="宋体" w:asciiTheme="minorEastAsia" w:hAnsiTheme="minorEastAsia" w:eastAsiaTheme="minorEastAsia"/>
                <w:color w:val="000000"/>
              </w:rPr>
              <w:t>.所有的医疗物联网应用支持采用统一的地图技术和同一套室内电子地图，保证医疗物联网应用定位场景体验的一致性；</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cs="宋体" w:asciiTheme="minorEastAsia" w:hAnsiTheme="minorEastAsia" w:eastAsiaTheme="minorEastAsia"/>
                <w:color w:val="000000"/>
              </w:rPr>
              <w:t>8</w:t>
            </w:r>
            <w:r>
              <w:rPr>
                <w:rFonts w:hint="eastAsia" w:cs="宋体" w:asciiTheme="minorEastAsia" w:hAnsiTheme="minorEastAsia" w:eastAsiaTheme="minorEastAsia"/>
                <w:color w:val="000000"/>
              </w:rPr>
              <w:t>.支持医疗物联网应用和院内导航应用共用同一套iBeacon硬件，同时支持物联网终端被动定位的应用和移动终端主动定位的应用。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 物联网设备管理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1.统一接入和管理无线物联网技术的通信基站/网关/中继器/iBeacon；</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2.每一台物联网设备都必须注册到医疗物联网应用平台才能使用；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3.可设置物联网设备的参数，可删除物联网设备，设备删除后不能在医疗物联网应用平台使用；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4.支持监控物联网设备的状态和数据处理；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5.物联网设备类型支持：蓝牙+LoRa、LoRa/LoRaWAN、有源RFID、无源RFID。</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 物联网终端管理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1.统一管理所有物联网终端标签；</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2.每一台物联网终端标签都必须注册到医疗物联网应用平台才能使用；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3.可设置物联网终端标签的参数，可删除物联网终端标签，终端标签删除后不能在医疗物联网应用平台使用；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4.支持监控物联网终端标签的状态和数据处理；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5.物联网终端标签类型支持：蓝牙+LoRa、LoRa/LoRaWAN、有源RFID、无源RFID。</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 统一的物联网终端标签数据处理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1.支持蓝牙+LoRa、LoRa/LoRaWAN终端标签数据解析处理，不同的蓝牙+LoRa、LoRa/LoRaWAN终端标签数据有不同的解析处理模块；</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2.支持有源RFID终端标签数据解析处理，不同的有源RFID终端标签数据有不同的解析处理模块；</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3.支持无源RFID终端标签数据解析处理，遵循无源RFID终端标签数据标准。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 医疗物联网应用公共基础服务</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1.提供给所有的医疗物联网应用统一使用，避免不同的医疗物联网应用重复开发相应的基础服务功能；</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2.提供统一的床位/座位管理；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3.提供统一的院区/病区/科室管理；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4.提供医疗物联网应用统一的电子围栏管理；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5.统一的地图技术，管理医院同一套电子地图，提供给所有的医疗物联网应用进行使用；</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6.提供医疗物联网应用平台和医疗物联网应用的操作日志服务；</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7.提供医疗物联网应用平台的系统日志服务。</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 统一用户和权限管理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1.提供统一的用户和权限管理，支持医疗物联网应用平台和所有的医疗物联网应用的用户和权限管理；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2.所有的用户身份都必须是唯一的，用户身份不能相同重复；</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3.支持医疗物联网应用平台和医疗物联网应用的两级用户和权限管理模式，医疗物联网应用平台支持平台和医疗物联网应用的用户和权限管理，医疗物联网应用只有本应用的用户和权限管理；</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支持医疗物联网应用平台进行用户和权限管理，医疗物联网应用平台管理员可以同时管理医疗物联网应用平台和医疗物联网应用的用户和权限，支持用户可授权不同的医疗物联网应用权限，每个医疗物联网应用的权限也可以授权不同的功能；</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医疗物联网应用第一个管理员必须由医疗物联网应用平台增加和授权，医疗物联网应用已有管理员可增加管理员用户和权限；</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医疗物联网应用只能管理本医疗物联网应用内的用户和权限，可授权本应用不同的功能；</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医疗物联网应用增加用户和权限时，如果用户已存在，医疗物联网应用平台会利用现有存在的用户，只增加用户需要增加的医疗物联网应用权限，而不会实际新增用户；</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医疗物联网应用修改和删除用户身份，只是修改和删除医疗物联网应用本应用的用户身份和权限，不能修改和删除其他医疗物联网的用户身份和权限，完全删除用户身份和权限必须在医疗物联网应用平台才能真正删除用户身份和权限。</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 统一访问入口和认证</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1.提供医疗物联网应用统一访问的入口，简化用户的访问，避免多医疗物联网应用多入口的复杂访问方式；</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2.支持统一认证，所有的医疗物联网应用都通过医疗物联网应用平台进行认证，通过认证后可以进入医疗物联网应用平台；</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3.提供医疗物联网应用桌面，可展示全部用户授权的医疗物联网应用访问入口，点击任何一个医疗物联网应用入口即可进入到相应的医疗物联网应用界面；</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4.已认证有效的医疗物联网应用界面，如果需要跳转到其他的医疗物联网应用，可通过医疗物联网应用快捷切换入口进行医疗物联网应用的界面切换；</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3" w:type="pct"/>
            <w:vMerge w:val="continue"/>
            <w:vAlign w:val="center"/>
          </w:tcPr>
          <w:p>
            <w:pPr>
              <w:rPr>
                <w:rFonts w:cs="宋体" w:asciiTheme="minorEastAsia" w:hAnsiTheme="minorEastAsia" w:eastAsiaTheme="minorEastAsia"/>
                <w:color w:val="000000"/>
              </w:rPr>
            </w:pPr>
          </w:p>
        </w:tc>
        <w:tc>
          <w:tcPr>
            <w:tcW w:w="668" w:type="pct"/>
            <w:vMerge w:val="continue"/>
            <w:vAlign w:val="center"/>
          </w:tcPr>
          <w:p>
            <w:pPr>
              <w:rPr>
                <w:rFonts w:cs="宋体" w:asciiTheme="minorEastAsia" w:hAnsiTheme="minorEastAsia" w:eastAsiaTheme="minorEastAsia"/>
                <w:color w:val="000000"/>
              </w:rPr>
            </w:pP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已认证有效的医疗物联网应用的界面切换到其他医疗物联网应用，无需进行二次认证可直接切换；</w:t>
            </w:r>
          </w:p>
        </w:tc>
        <w:tc>
          <w:tcPr>
            <w:tcW w:w="372"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36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6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定位引擎及地图引擎</w:t>
            </w: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1.全院区域所有楼栋和室外空间统一展示，室内地图采用高精度地图；</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2.蓝牙室内定位技术在定位区域内在原地</w:t>
            </w:r>
            <w:r>
              <w:rPr>
                <w:rFonts w:hint="eastAsia" w:cs="宋体" w:asciiTheme="minorEastAsia" w:hAnsiTheme="minorEastAsia" w:eastAsiaTheme="minorEastAsia"/>
              </w:rPr>
              <w:t>≤</w:t>
            </w:r>
            <w:r>
              <w:rPr>
                <w:rFonts w:hint="eastAsia" w:cs="宋体" w:asciiTheme="minorEastAsia" w:hAnsiTheme="minorEastAsia" w:eastAsiaTheme="minorEastAsia"/>
                <w:color w:val="000000"/>
              </w:rPr>
              <w:t>5秒内完成准确的初始定位和初始方向；</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3.蓝牙室内定位精度要求平均达到 </w:t>
            </w:r>
            <w:r>
              <w:rPr>
                <w:rFonts w:hint="eastAsia" w:cs="宋体" w:asciiTheme="minorEastAsia" w:hAnsiTheme="minorEastAsia" w:eastAsiaTheme="minorEastAsia"/>
              </w:rPr>
              <w:t>≤</w:t>
            </w:r>
            <w:r>
              <w:rPr>
                <w:rFonts w:hint="eastAsia" w:cs="宋体" w:asciiTheme="minorEastAsia" w:hAnsiTheme="minorEastAsia" w:eastAsiaTheme="minorEastAsia"/>
                <w:color w:val="000000"/>
              </w:rPr>
              <w:t>3 米；</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4.支持2D和3D效果，支持2D/3D效果的切换；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5.支持地图的缩放、旋转和可选择随前进方向自动旋转或不旋转、平移；</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6.地图性能：地图渲染速度3s以内，路径规划2s以内；</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7.地图管理支持地图的导入和导出。</w:t>
            </w:r>
          </w:p>
        </w:tc>
        <w:tc>
          <w:tcPr>
            <w:tcW w:w="372"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1</w:t>
      </w:r>
      <w:r>
        <w:rPr>
          <w:rFonts w:cs="宋体" w:asciiTheme="minorEastAsia" w:hAnsiTheme="minorEastAsia" w:eastAsiaTheme="minorEastAsia"/>
          <w:b/>
          <w:bCs/>
        </w:rPr>
        <w:t>0.2</w:t>
      </w:r>
      <w:r>
        <w:rPr>
          <w:rFonts w:hint="eastAsia" w:cs="宋体" w:asciiTheme="minorEastAsia" w:hAnsiTheme="minorEastAsia" w:eastAsiaTheme="minorEastAsia"/>
          <w:b/>
          <w:bCs/>
        </w:rPr>
        <w:t>婴儿防盗系统</w:t>
      </w: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05"/>
        <w:gridCol w:w="6286"/>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01"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3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97"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0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3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婴儿防盗系统</w:t>
            </w:r>
          </w:p>
        </w:tc>
        <w:tc>
          <w:tcPr>
            <w:tcW w:w="3597"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1.支持全区域定位覆盖；</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2.具有查看婴儿定位终端实时位置功能；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3.具有目标跟踪功能，可实时追踪单个婴儿；</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4.支持回放已绑定的婴儿定位终端历史轨迹；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5.具有数据统计分析功能，可统计各区域婴儿数量；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6.具有视频联动功能；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7.具有电子围栏功能：支持越界告警、迁出超时报警，围栏可对婴儿设置特定生效时间；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8.具有定位终端异常报警功能：定位终端发生未经授权的拆卸及脱落均会发出报警，支持定位终端低电量报警；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9.支持与医院的HIS系统对接，对接后可获取婴儿及家属信息；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10.支持扫一扫、一键解绑婴儿信息，可随时查看已解绑的婴儿信息；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11.具有迁出功能，可随时查看婴儿迁出事由与时间区间；</w:t>
            </w:r>
          </w:p>
        </w:tc>
        <w:tc>
          <w:tcPr>
            <w:tcW w:w="36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1</w:t>
      </w:r>
      <w:r>
        <w:rPr>
          <w:rFonts w:cs="宋体" w:asciiTheme="minorEastAsia" w:hAnsiTheme="minorEastAsia" w:eastAsiaTheme="minorEastAsia"/>
          <w:b/>
          <w:bCs/>
        </w:rPr>
        <w:t>0.3</w:t>
      </w:r>
      <w:r>
        <w:rPr>
          <w:rFonts w:hint="eastAsia" w:cs="宋体" w:asciiTheme="minorEastAsia" w:hAnsiTheme="minorEastAsia" w:eastAsiaTheme="minorEastAsia"/>
          <w:b/>
          <w:bCs/>
        </w:rPr>
        <w:t>体征监测系统</w:t>
      </w:r>
    </w:p>
    <w:tbl>
      <w:tblPr>
        <w:tblStyle w:val="36"/>
        <w:tblW w:w="5143" w:type="pct"/>
        <w:tblInd w:w="0" w:type="dxa"/>
        <w:tblLayout w:type="autofit"/>
        <w:tblCellMar>
          <w:top w:w="0" w:type="dxa"/>
          <w:left w:w="108" w:type="dxa"/>
          <w:bottom w:w="0" w:type="dxa"/>
          <w:right w:w="108" w:type="dxa"/>
        </w:tblCellMar>
      </w:tblPr>
      <w:tblGrid>
        <w:gridCol w:w="713"/>
        <w:gridCol w:w="1112"/>
        <w:gridCol w:w="6294"/>
        <w:gridCol w:w="641"/>
      </w:tblGrid>
      <w:tr>
        <w:trPr>
          <w:trHeight w:val="278"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37"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95"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368"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CellMar>
            <w:top w:w="0" w:type="dxa"/>
            <w:left w:w="108" w:type="dxa"/>
            <w:bottom w:w="0" w:type="dxa"/>
            <w:right w:w="108" w:type="dxa"/>
          </w:tblCellMar>
        </w:tblPrEx>
        <w:trPr>
          <w:trHeight w:val="5205"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37"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体征监测系统</w:t>
            </w:r>
          </w:p>
        </w:tc>
        <w:tc>
          <w:tcPr>
            <w:tcW w:w="3595"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1.支持展示当前科室住院患者情况总览；</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2.支持查看并追踪患者体征数据包括：实时心率/呼吸率/体动频率监测、实时在离床状态监测，以及血压、血氧、体温、脉搏等多项数据；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3.可以实现同时对多个病床的实时监护；</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4.支持分屏显示，点击床位可大屏显示当前床位患者的各项体征情况；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5.历史记录功能，体征数据测量后形成曲线，可查看历史记录；</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6.异常情况提示，根据测量的各项体征数据，进行预警提示；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7.支持历史患者查询和历史异常事件查询；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8.可自定义设置体温、心率、血压等体征预警指标；</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9.可根据医院需求，提供与其他多媒体设备的显示以及系统对接、数据互传；</w:t>
            </w:r>
          </w:p>
        </w:tc>
        <w:tc>
          <w:tcPr>
            <w:tcW w:w="368"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bl>
    <w:p>
      <w:pPr>
        <w:rPr>
          <w:rFonts w:cs="宋体" w:asciiTheme="minorEastAsia" w:hAnsiTheme="minorEastAsia" w:eastAsiaTheme="minorEastAsia"/>
          <w:b/>
          <w:bCs/>
        </w:rPr>
      </w:pPr>
      <w:r>
        <w:rPr>
          <w:rFonts w:cs="宋体" w:asciiTheme="minorEastAsia" w:hAnsiTheme="minorEastAsia" w:eastAsiaTheme="minorEastAsia"/>
          <w:b/>
          <w:bCs/>
        </w:rPr>
        <w:t>10.4</w:t>
      </w:r>
      <w:r>
        <w:rPr>
          <w:rFonts w:hint="eastAsia" w:cs="宋体" w:asciiTheme="minorEastAsia" w:hAnsiTheme="minorEastAsia" w:eastAsiaTheme="minorEastAsia"/>
          <w:b/>
          <w:bCs/>
        </w:rPr>
        <w:t>冷链管理系统</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25"/>
        <w:gridCol w:w="597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1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0" w:hRule="atLeast"/>
        </w:trPr>
        <w:tc>
          <w:tcPr>
            <w:tcW w:w="41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6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冷链管理系统</w:t>
            </w:r>
          </w:p>
        </w:tc>
        <w:tc>
          <w:tcPr>
            <w:tcW w:w="3513"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1.温湿度实时监测，可灵活设置数据采集间隔，采集间隔为1分-24小时(可调)；温度：-40~100℃，超低温：-100~60℃，宽温：-200~300℃，±0.5℃，相对湿度：0~100%RH，±3%RH，分辨率0.1℃：</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2.系统支持无线、有线两种采集数据传输方式，系统支持各类采集模块，可扩展并读取200个以上的数据，可实现现场实时显示温湿度数据，现场声音报警以及现场的背光闪烁报警；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3.报警提醒功能支持软件报警、短信报警；自由设定采集数据的上下限安全值，同时每个报警功能可自由设置延时报警时间；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4.可通过多种方式查询历史记录，如:监测点楼层房间名称、监测设备名称、编号起始时间及结束时间,授权操作者姓名等；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5.所有数据可存储在电脑上,按要求记录各个监测点温、湿度变化曲线或表格及工作情况报告:可以定时自动保存、备份、归档；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6.对采集的温湿度数据能自动生成曲线,显示和打印历史曲线。有记录多种查我方式,可随时打自机由用户自由选择时间段和各位点,也可导出为EXCEL、TXT、WORD、PDF等表格存储；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7.展示图形可以自由的进行缩放,并能反映相应点的温(湿)度值,能对失控温度进行标注。</w:t>
            </w:r>
          </w:p>
        </w:tc>
        <w:tc>
          <w:tcPr>
            <w:tcW w:w="41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1</w:t>
      </w:r>
      <w:r>
        <w:rPr>
          <w:rFonts w:cs="宋体" w:asciiTheme="minorEastAsia" w:hAnsiTheme="minorEastAsia" w:eastAsiaTheme="minorEastAsia"/>
          <w:b/>
          <w:bCs/>
        </w:rPr>
        <w:t>0.5</w:t>
      </w:r>
      <w:r>
        <w:rPr>
          <w:rFonts w:hint="eastAsia" w:cs="宋体" w:asciiTheme="minorEastAsia" w:hAnsiTheme="minorEastAsia" w:eastAsiaTheme="minorEastAsia"/>
          <w:b/>
          <w:bCs/>
        </w:rPr>
        <w:t>高值医疗设备管理系统</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97"/>
        <w:gridCol w:w="597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7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703"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0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详细功能</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5" w:hRule="atLeast"/>
        </w:trPr>
        <w:tc>
          <w:tcPr>
            <w:tcW w:w="37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703"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高值医疗设备管理系统</w:t>
            </w:r>
          </w:p>
        </w:tc>
        <w:tc>
          <w:tcPr>
            <w:tcW w:w="350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1.需支持统一接入管理，支持接入多种物联网设备运行管理终端（至少包括无源RFID标签，电磁类终端，运动类监测终端，压电类监测终端）接入；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2．支持高值医疗设备工作状态实时监控、开机、关机、运行、待机；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3．支持高值医疗设备工作量实时统计、开机率、使用率计算；</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★4．支持高值医疗设备工作量日报表、月报表、工作时长周报表、工作时长周表、单机效益评价表、设备使用评价表；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5．支持高值医疗设备实时定位，可根据区域自动盘点，统计设备总数量，位置异常的设备数量；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6．为保障医疗设备运行的安全性，支持高值医疗设备运行数据的监测不需要通过与设备建立接口提取，不需要接入设备电路；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7．需提供高值医疗设备虚拟调度中心，可根据设备状态，位置，调度预测算法实时调度；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★8．需提供科室高值医疗设备饱和度分析模型，便于设备采购评估；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【投标时提供带“★”部分的证明材料 （证明材料包括但不限于检测报告、计算机软件著作权登记证书、官网或软件截图、产品彩页等）】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9．支持有源RFID标签所管理设备的一键盘点、一键报障、无源RFID标签所管理的设备的手持扫描盘点；</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10.支持无源RFID标签数据写入，标签打印；</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11.可实现多种实时数据查询，报警数据统计，历史数据查询；</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12.可支持与医院HRP现有系统的对接。</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软件</w:t>
            </w:r>
          </w:p>
        </w:tc>
      </w:tr>
    </w:tbl>
    <w:p>
      <w:pPr>
        <w:rPr>
          <w:rFonts w:cs="宋体" w:asciiTheme="minorEastAsia" w:hAnsiTheme="minorEastAsia" w:eastAsiaTheme="minorEastAsia"/>
          <w:b/>
          <w:bCs/>
        </w:rPr>
      </w:pPr>
      <w:r>
        <w:rPr>
          <w:rFonts w:hint="eastAsia" w:cs="宋体" w:asciiTheme="minorEastAsia" w:hAnsiTheme="minorEastAsia" w:eastAsiaTheme="minorEastAsia"/>
          <w:b/>
          <w:bCs/>
        </w:rPr>
        <w:t>1</w:t>
      </w:r>
      <w:r>
        <w:rPr>
          <w:rFonts w:cs="宋体" w:asciiTheme="minorEastAsia" w:hAnsiTheme="minorEastAsia" w:eastAsiaTheme="minorEastAsia"/>
          <w:b/>
          <w:bCs/>
        </w:rPr>
        <w:t>0.6</w:t>
      </w:r>
      <w:r>
        <w:rPr>
          <w:rFonts w:hint="eastAsia" w:cs="宋体" w:asciiTheme="minorEastAsia" w:hAnsiTheme="minorEastAsia" w:eastAsiaTheme="minorEastAsia"/>
          <w:b/>
          <w:bCs/>
        </w:rPr>
        <w:t>物联网基础网络硬件设备</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67"/>
        <w:gridCol w:w="59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8"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8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52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技术参数</w:t>
            </w:r>
          </w:p>
        </w:tc>
        <w:tc>
          <w:tcPr>
            <w:tcW w:w="416"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物联网基站（LoRaWan）</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1.医疗物联网技术采用无线通信技术实现融合，应无条件免费开放，实现统一接入和管理；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2.支持频段范围：470MHz-510MHz；</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▲3.支持LoRaWan，支持低功耗远距离的LoRaWan技术协议，支持各类定位标签接入；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4.内嵌通信基站操作系统软件；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5.支持以太网通信，支持接入交换机；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6.供电方式：POE/DC；</w:t>
            </w:r>
          </w:p>
        </w:tc>
        <w:tc>
          <w:tcPr>
            <w:tcW w:w="416"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物联网网关（RFID+蓝牙）</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1.医疗物联网技术采用无线通信技术实现融合，应无条件免费开放，实现统一接入和管理；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▲2.内置RFID+蓝牙，支持2.4GHz RFID 传输，实现一网多用；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3.内嵌通信基站操作系统软件；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4.支持以太网通信，支持接入交换机；</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5.供电方式：POE/DC；</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室内定位信标</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1.支持Bluetooth BLE 4.0和国际标准iBeacon协议；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2.支持防篡改、防蹭用技术；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3.支持锂亚电池供电，室内款蓝牙信标工作续航至少达到3年；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4.支持通过移动端部署和维护管理工具对蓝牙定位信标在室内地图上进行部署并上传iBeacon的信息，维护管理采集和显示iBeacon的信息和剩余电量；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5.支持方便快速更换已部署的蓝牙iBeacon定位信标节点，提供拆卸杆快捷方便拆卸和安装，不需要在医院病房和室内建筑布线，不影响医院病房运营；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6.防护等级≥IP53。</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室外定位信标</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1.支持Bluetooth BLE 4.0和国际标准iBeacon协议；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2.安全性支持：防篡改、防蹭用技术；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3.支持锂亚电池供电，工作续航至少达到8年；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4.支持通过移动端部署和维护管理工具对蓝牙定位信标在室内地图上进行部署并上传iBeacon的信息，维护管理采集和显示iBeacon的信息和剩余电量；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5.部署方便快捷，不需要在室外布线，不影响医院正常运营；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6.防护等级≥IP68。</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汇聚交换机</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1.交换容量≥700Gbps，包转发率≥200Mpps；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2.千兆光口≥24个（其中8个combo口），万兆SFP+口≥4个；</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3.支持模块化双电源，模块化双风扇，前/后通风，风道可调；</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4.支持二层VxLAN，支持三层VxLAN，支持EVPN； R</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5.支持基于端口的VLAN，支持基于协议的VLAN；</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6.为统一管理，要求汇聚交换机产品和核心交换机统一品牌。</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24口POE接入交换机</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1.交换容量：≥330Gbps；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2.包转发率：≥50Mpps；</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3.接口要求：实配千兆电口≥24个，千兆光口≥4个；</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4.POE供电：支持POE/POE+供电，POE输出功率≥370W；</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5.VLAN特性 ：支持基于端口的VLAN，支持基于协议的VLAN；支持基于MAC的VLAN；</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6.为统一管理，要求接入交换机和核心交换机统一品牌。</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万兆单模光模块</w:t>
            </w:r>
          </w:p>
        </w:tc>
        <w:tc>
          <w:tcPr>
            <w:tcW w:w="352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1310nm、10km、LC、万兆。</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千兆单模光模块</w:t>
            </w:r>
          </w:p>
        </w:tc>
        <w:tc>
          <w:tcPr>
            <w:tcW w:w="3521"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1310nm、10km、LC、千兆。</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婴儿定位脚环</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1.内置不低于180mAh锂电池，电池可充电；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2.具有防拆报警功能；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3.支持LED灯显示工作状态；</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4.上报时间间隔可配置；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5.防护等级：不低于IP67；</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6.支持蓝牙定位方式；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7.终端要求安全无毒无公害，并符合电磁场人体暴露评估标准；</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婴儿脚环专用腕带</w:t>
            </w:r>
          </w:p>
        </w:tc>
        <w:tc>
          <w:tcPr>
            <w:tcW w:w="3521" w:type="pct"/>
            <w:shd w:val="clear" w:color="auto" w:fill="auto"/>
            <w:vAlign w:val="center"/>
          </w:tcPr>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1.腕带非皮肤接触面要求采用食品安全级硅胶材料；</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2.皮肤接触面为经编银纤维防辐射面料，面料柔和无刺激；</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3.腕带出厂经过消毒辐照灭菌处理；</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充电存储盒</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1.批量充电盒，同时支持不少于15个婴儿定位终端充电；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2.支持2小时充满电；</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3.支持批量充电管理；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4.具有短路保护、稳压保护功能；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5.可存放婴儿定位终端，使其处于非报警状态；</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声光电报警器</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1.频率支持2.4G；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2.供电方式:POE供电或DC；</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3.报警器提示类型：声音+闪光；</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4.安装方式:挂墙或吸顶；</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定位标签</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1.支持Bluetooth BLE 4.0和国际标准iBeacon协议；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2.支持防篡改、防蹭用技术；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3.支持锂亚电池供电，室内款蓝牙信标工作续航至少达到3年；</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4.支持通过移动端部署和维护管理工具对蓝牙定位信标在室内地图上进行部署并上传iBeacon的信息，维护管理采集和显示iBeacon的信息和剩余电量；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5.支持方便快速更换已部署的蓝牙iBeacon定位信标节点，提供拆卸杆快捷方便拆卸和安装，不需要在医院病房和室内建筑布线，不影响医院病房运营；</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6.防护等级≥IP53。</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高值设备资产标签</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高值设备资产标签需支持按照医院不同类型高值医疗设备进行分类，同时应具备资产定位、电子围栏、资产开关状态实时监测、一键报障、一键盘点功能。</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冷链监测终端-单路</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蓝牙通讯、单路监测温湿度，断电报警、本机声光报警、电池续航、大屏显示</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16</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冷链监测终端-双路</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蓝牙通讯、单路监测温湿度，断电报警、本机声光报警、电池续航、大屏显示</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17</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电子体温计</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1.用于监测患者体温数据，进行动态实时连续的采集、分析统计；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2.使用蓝牙协议传输。</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18</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电子体温计背胶</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1.材质：硅凝胶；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2.佩戴寿命：一次佩戴可坚持不低于3天，能粘牢即可以继续使用。</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19</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智能床垫</w:t>
            </w:r>
          </w:p>
        </w:tc>
        <w:tc>
          <w:tcPr>
            <w:tcW w:w="3521" w:type="pct"/>
            <w:shd w:val="clear" w:color="auto" w:fill="auto"/>
            <w:vAlign w:val="center"/>
          </w:tcPr>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1.数据传输方式：蓝牙；</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2.可监测内容：实时心率、实时呼吸率、实时体动、实时BCG波形、实时在离床推送、实时心率/呼吸异常推送；</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3.心率监测更新频率1次/秒，监测范围：40~200bpm；</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4.呼吸率监测更新频率1次/秒，监测范围：6~45rpm；</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5.体动监测更新频率1次/秒，监测范围：微弱、中度、大幅体动；</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6.BCG波形监测更新频率1次/秒；</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7.在离床推送监测测范围用户可自行设置阈值，满足阈值后，3秒内推送；</w:t>
            </w:r>
          </w:p>
          <w:p>
            <w:pPr>
              <w:jc w:val="both"/>
              <w:rPr>
                <w:rFonts w:cs="宋体" w:asciiTheme="minorEastAsia" w:hAnsiTheme="minorEastAsia" w:eastAsiaTheme="minorEastAsia"/>
                <w:color w:val="000000"/>
              </w:rPr>
            </w:pPr>
            <w:r>
              <w:rPr>
                <w:rFonts w:hint="eastAsia" w:cs="宋体" w:asciiTheme="minorEastAsia" w:hAnsiTheme="minorEastAsia" w:eastAsiaTheme="minorEastAsia"/>
                <w:color w:val="000000"/>
              </w:rPr>
              <w:t>8.心率/呼吸异常推送监测测范围用户可自行设置阈值，满足阈值后，3秒内推送；</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无线血压计</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1.数据传输方式：蓝牙；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2.血氧测量范围：0mmHg~280mmHg，精度：±3%；</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3.脉率测量范围：40bpm~199bpm，精度：±5%；</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4.测量过程语音指导，测量结果语音播报；</w:t>
            </w:r>
          </w:p>
        </w:tc>
        <w:tc>
          <w:tcPr>
            <w:tcW w:w="416"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378"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21</w:t>
            </w:r>
          </w:p>
        </w:tc>
        <w:tc>
          <w:tcPr>
            <w:tcW w:w="685"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无线血氧仪</w:t>
            </w:r>
          </w:p>
        </w:tc>
        <w:tc>
          <w:tcPr>
            <w:tcW w:w="3521"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1.数据传输方式：蓝牙；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2.测量佩戴方式：指夹式；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3.续航时间：一次充满电可连续使用</w:t>
            </w:r>
            <w:r>
              <w:rPr>
                <w:rFonts w:hint="eastAsia" w:cs="宋体" w:asciiTheme="minorEastAsia" w:hAnsiTheme="minorEastAsia" w:eastAsiaTheme="minorEastAsia"/>
              </w:rPr>
              <w:t>≥15</w:t>
            </w:r>
            <w:r>
              <w:rPr>
                <w:rFonts w:hint="eastAsia" w:cs="宋体" w:asciiTheme="minorEastAsia" w:hAnsiTheme="minorEastAsia" w:eastAsiaTheme="minorEastAsia"/>
                <w:color w:val="000000"/>
              </w:rPr>
              <w:t>小时</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4.血氧测量范围：10%~100%，精度：±2%；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5.脉率测量范围：30bpm~240bpm，监测精度：±2%；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6.带屏幕显示和语音播报；</w:t>
            </w:r>
          </w:p>
        </w:tc>
        <w:tc>
          <w:tcPr>
            <w:tcW w:w="416"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r>
        <w:rPr>
          <w:rFonts w:hint="eastAsia" w:cs="宋体" w:asciiTheme="minorEastAsia" w:hAnsiTheme="minorEastAsia" w:eastAsiaTheme="minorEastAsia"/>
          <w:b/>
          <w:bCs/>
        </w:rPr>
        <w:t>10.7 物联网基础网络综合布线</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65"/>
        <w:gridCol w:w="595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序号</w:t>
            </w:r>
          </w:p>
        </w:tc>
        <w:tc>
          <w:tcPr>
            <w:tcW w:w="684"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系统名称</w:t>
            </w:r>
          </w:p>
        </w:tc>
        <w:tc>
          <w:tcPr>
            <w:tcW w:w="3499"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技术参数</w:t>
            </w:r>
          </w:p>
        </w:tc>
        <w:tc>
          <w:tcPr>
            <w:tcW w:w="435" w:type="pc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38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68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六类非屏蔽网线</w:t>
            </w:r>
          </w:p>
        </w:tc>
        <w:tc>
          <w:tcPr>
            <w:tcW w:w="34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1.标准：YD/T 926.3，ISO/IEC 11801:2008；ANSI/TIA-568-C.2；</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2.金针：异形的金针空间排列，有效提升近端串音余量；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3.防尘盖：透明PC材料；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4.插头与插座插合次数：≥1000次；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5.导线端接次数：≥250次；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6.打线方式： T568A/T568B；</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7.IDC与金针方向：180度；</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8.卡接导体线径：0.5mm～0.65mm，24AWG~22AWG；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9.最高传输频率：250MHz；</w:t>
            </w:r>
          </w:p>
        </w:tc>
        <w:tc>
          <w:tcPr>
            <w:tcW w:w="435" w:type="pct"/>
            <w:vMerge w:val="restart"/>
            <w:shd w:val="clear" w:color="auto" w:fill="auto"/>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38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68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光纤配线架</w:t>
            </w:r>
          </w:p>
        </w:tc>
        <w:tc>
          <w:tcPr>
            <w:tcW w:w="34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1.标准：YD/T778，ISO/IEC 11801，ANSI/TIA -568-C.3；</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2.安装方式：机架式；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3.4个光缆进线口，带固定PG头，盒内配置光缆护套固定装置，光缆加强件固定装置；</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可兼容：LC双工、SC单工、FC、ST适配器；</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5.进出光纤方便灵活，有充裕的光纤盘存空间，光纤和尾纤弯曲半径≥30mm；</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6.端口数量：≥24口；</w:t>
            </w:r>
          </w:p>
        </w:tc>
        <w:tc>
          <w:tcPr>
            <w:tcW w:w="435"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38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68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数据配线架</w:t>
            </w:r>
          </w:p>
        </w:tc>
        <w:tc>
          <w:tcPr>
            <w:tcW w:w="34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1.后端自带线缆管理单元，采用双爪式免工具设计3.标准：YD/T 926.3，ISO/IEC 11801，ANSI/TIA - 568-C.2；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2.高度：1U， 端口数量：≥24口，</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3.线缆管理：自带后部线缆管理单元；</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4.标识管理：自带标识纸和标识盖，标识盖带指扣方便拆卸，端口带序号标识；</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5.线缆保护盖：PC 材料；</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6.进线方式：180°进线，IDC：45°；</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7.卡接导体规格：0.5mm～0.65mm，24AWG~22AWG；</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8.打线方式：T568A/T568B；</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9.插头与插座插合次数：≥1000次；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10.导线端接次数：≥250次；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11.最高传输频率：250MHz；</w:t>
            </w:r>
          </w:p>
        </w:tc>
        <w:tc>
          <w:tcPr>
            <w:tcW w:w="435"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8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68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理线器</w:t>
            </w:r>
          </w:p>
        </w:tc>
        <w:tc>
          <w:tcPr>
            <w:tcW w:w="34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1.机架式；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2.高度：1U；</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3.上下各≥12口理线槽；</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4.厚度：1.0/1.2MM；</w:t>
            </w:r>
          </w:p>
        </w:tc>
        <w:tc>
          <w:tcPr>
            <w:tcW w:w="435"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38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68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光纤跳线LC-LC</w:t>
            </w:r>
          </w:p>
        </w:tc>
        <w:tc>
          <w:tcPr>
            <w:tcW w:w="34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1.标准：YD/T1272，ISO/IEC 11801，ANSI/TIA-568-C.3；</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2.陶瓷插芯，</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3.单芯光缆护套外径：3mm；</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4.插入损耗（含重复性）：≤0.2dB；</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5.互换性：≤0.2dB；</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6.回波损耗：≥50dB（SM）,≥35dB（MM）；</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7.重复性≥1000次；</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8.接口类型：LC-LC。</w:t>
            </w:r>
          </w:p>
        </w:tc>
        <w:tc>
          <w:tcPr>
            <w:tcW w:w="435"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8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68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六类水晶头</w:t>
            </w:r>
          </w:p>
        </w:tc>
        <w:tc>
          <w:tcPr>
            <w:tcW w:w="34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国标六类水晶头</w:t>
            </w:r>
          </w:p>
        </w:tc>
        <w:tc>
          <w:tcPr>
            <w:tcW w:w="435" w:type="pct"/>
            <w:vMerge w:val="continue"/>
            <w:vAlign w:val="center"/>
          </w:tcPr>
          <w:p>
            <w:pP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82"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684" w:type="pct"/>
            <w:shd w:val="clear" w:color="auto" w:fill="auto"/>
            <w:noWrap/>
            <w:vAlign w:val="center"/>
          </w:tcPr>
          <w:p>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综合布线实施</w:t>
            </w:r>
          </w:p>
        </w:tc>
        <w:tc>
          <w:tcPr>
            <w:tcW w:w="3499" w:type="pct"/>
            <w:shd w:val="clear" w:color="auto" w:fill="auto"/>
            <w:vAlign w:val="center"/>
          </w:tcPr>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综合布线实施</w:t>
            </w:r>
          </w:p>
        </w:tc>
        <w:tc>
          <w:tcPr>
            <w:tcW w:w="435" w:type="pct"/>
            <w:vMerge w:val="continue"/>
            <w:vAlign w:val="center"/>
          </w:tcPr>
          <w:p>
            <w:pPr>
              <w:rPr>
                <w:rFonts w:cs="宋体" w:asciiTheme="minorEastAsia" w:hAnsiTheme="minorEastAsia" w:eastAsiaTheme="minorEastAsia"/>
                <w:color w:val="000000"/>
              </w:rPr>
            </w:pPr>
          </w:p>
        </w:tc>
      </w:tr>
    </w:tbl>
    <w:p>
      <w:pPr>
        <w:rPr>
          <w:rFonts w:cs="宋体" w:asciiTheme="minorEastAsia" w:hAnsiTheme="minorEastAsia" w:eastAsiaTheme="minorEastAsia"/>
          <w:b/>
          <w:bCs/>
        </w:rPr>
      </w:pPr>
    </w:p>
    <w:p>
      <w:pPr>
        <w:pStyle w:val="137"/>
        <w:ind w:firstLine="0" w:firstLineChars="0"/>
      </w:pPr>
    </w:p>
    <w:p/>
    <w:p>
      <w:pPr>
        <w:rPr>
          <w:rFonts w:cs="宋体" w:asciiTheme="minorEastAsia" w:hAnsiTheme="minorEastAsia" w:eastAsiaTheme="minorEastAsia"/>
          <w:b/>
          <w:bCs/>
        </w:rPr>
      </w:pPr>
      <w:r>
        <w:rPr>
          <w:rFonts w:hint="eastAsia" w:cs="宋体" w:asciiTheme="minorEastAsia" w:hAnsiTheme="minorEastAsia" w:eastAsiaTheme="minorEastAsia"/>
          <w:b/>
        </w:rPr>
        <w:t>四、服务要求</w:t>
      </w:r>
    </w:p>
    <w:p>
      <w:pPr>
        <w:rPr>
          <w:rFonts w:cs="宋体" w:asciiTheme="minorEastAsia" w:hAnsiTheme="minorEastAsia" w:eastAsiaTheme="minorEastAsia"/>
        </w:rPr>
      </w:pPr>
      <w:r>
        <w:rPr>
          <w:rFonts w:hint="eastAsia" w:cs="宋体" w:asciiTheme="minorEastAsia" w:hAnsiTheme="minorEastAsia" w:eastAsiaTheme="minorEastAsia"/>
        </w:rPr>
        <w:t>（一）供货；</w:t>
      </w:r>
    </w:p>
    <w:p>
      <w:pPr>
        <w:ind w:firstLine="496" w:firstLineChars="200"/>
        <w:rPr>
          <w:rFonts w:cs="宋体" w:asciiTheme="minorEastAsia" w:hAnsiTheme="minorEastAsia" w:eastAsiaTheme="minorEastAsia"/>
        </w:rPr>
      </w:pPr>
      <w:r>
        <w:rPr>
          <w:rFonts w:hint="eastAsia" w:cs="宋体" w:asciiTheme="minorEastAsia" w:hAnsiTheme="minorEastAsia" w:eastAsiaTheme="minorEastAsia"/>
        </w:rPr>
        <w:t>1、供应商须保证合同货物采用原厂正品，合同商品须为全新的(包括零部件)、未使用过的，并在各方面均符合招标技术文件中所规定的质量标准、技术参数要求及规格和数量，如有问题，必需更换、补充。更换、补充等处理及相应的费用均由中标方自行负担（情况过于严重者，采购方有权无偿废除与其签订的合同）。</w:t>
      </w:r>
    </w:p>
    <w:p>
      <w:pPr>
        <w:pStyle w:val="137"/>
        <w:spacing w:line="240" w:lineRule="auto"/>
        <w:ind w:firstLine="423"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除合同另有规定外，投标人提供的全部货物均应按标准保护措施进行包装。该包装应适应于远距离运输、防潮、防震、防锈和防野蛮装卸，以确保货物安全无损运抵指定地点。由于包装不善所引起的货物损失均由投标人承担。</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3、每一包装单元内应附详细的装箱单和质量合格凭证,到货前不允许有开箱拆机现象及更换内部配件。</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4、交货地点:甲方指定地点。</w:t>
      </w:r>
    </w:p>
    <w:p>
      <w:pPr>
        <w:rPr>
          <w:rFonts w:cs="宋体" w:asciiTheme="minorEastAsia" w:hAnsiTheme="minorEastAsia" w:eastAsiaTheme="minorEastAsia"/>
        </w:rPr>
      </w:pPr>
      <w:r>
        <w:rPr>
          <w:rFonts w:hint="eastAsia" w:cs="宋体" w:asciiTheme="minorEastAsia" w:hAnsiTheme="minorEastAsia" w:eastAsiaTheme="minorEastAsia"/>
        </w:rPr>
        <w:t>（二）设备安装和调测；</w:t>
      </w:r>
    </w:p>
    <w:p>
      <w:pPr>
        <w:ind w:firstLine="496" w:firstLineChars="200"/>
        <w:rPr>
          <w:rFonts w:cs="宋体"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、自设备安装工作开始，中标方应允许招标人指定的工作人员一起参与系统的安装、调测及解决遇到的各种问题。</w:t>
      </w:r>
    </w:p>
    <w:p>
      <w:pPr>
        <w:ind w:firstLine="496" w:firstLineChars="200"/>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、中标方安装的系统应能正常运转，并与其它相关设备(系统)正确连接，必须符合技术要求，所有软件能够在相应平台上正常运行、各种操作功能 要完全实现，系统测试结果与采购书的要求要吻合，并得到业主书面认可 后可视为本采购项目结束。</w:t>
      </w:r>
    </w:p>
    <w:p>
      <w:pPr>
        <w:ind w:firstLine="496" w:firstLineChars="200"/>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、在设备安装调试期间，如果设备出现不正常情况（如设备损坏、故障、达不到技术规范或设备说明书的指标），中标方应无条件并免费在不延误工期的情况下从速替换。</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4、投标人应遵守国家相关施工建设要求和采购人的各项规章制度，严格按照工作规范组织进行运维工作，制定切实可行的措施保障人员安全，设备安全，生产安全。</w:t>
      </w:r>
    </w:p>
    <w:p>
      <w:pPr>
        <w:rPr>
          <w:rFonts w:cs="宋体" w:asciiTheme="minorEastAsia" w:hAnsiTheme="minorEastAsia" w:eastAsiaTheme="minorEastAsia"/>
        </w:rPr>
      </w:pPr>
      <w:r>
        <w:rPr>
          <w:rFonts w:hint="eastAsia" w:cs="宋体" w:asciiTheme="minorEastAsia" w:hAnsiTheme="minorEastAsia" w:eastAsiaTheme="minorEastAsia"/>
        </w:rPr>
        <w:t>（三）验收与运行；</w:t>
      </w:r>
    </w:p>
    <w:p>
      <w:pPr>
        <w:ind w:firstLine="496" w:firstLineChars="200"/>
        <w:rPr>
          <w:rFonts w:cs="宋体" w:asciiTheme="minorEastAsia" w:hAnsiTheme="minorEastAsia" w:eastAsiaTheme="minorEastAsia"/>
          <w:highlight w:val="yellow"/>
        </w:rPr>
      </w:pPr>
      <w:r>
        <w:rPr>
          <w:rFonts w:hint="eastAsia" w:cs="宋体" w:asciiTheme="minorEastAsia" w:hAnsiTheme="minorEastAsia" w:eastAsiaTheme="minorEastAsia"/>
        </w:rPr>
        <w:t>系统安装调试完成后，经中标方自检，具备交付条件，给采购人提交验收申请，采购人委派专人监督和试用。在设备试运行期间，如果发现由于中标方的责任造成任何设备系统的功能和性能不符合本采购书的要求，或由于设备故障的发生导致设备停止运行，中标方应承诺在24小时内做出响应并及时修复或更换，所有费用亦由中标方承担，同时相应顺延试运行期。</w:t>
      </w:r>
    </w:p>
    <w:p>
      <w:pPr>
        <w:pStyle w:val="137"/>
        <w:spacing w:line="24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（四）质量验收标准或规范</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按国家有关规定以及采购人招标文件的质量要求和技术指标、投标人的投标文件及承诺与本合同约定标准进行验收。</w:t>
      </w:r>
    </w:p>
    <w:p>
      <w:pPr>
        <w:pStyle w:val="137"/>
        <w:spacing w:line="24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（五）产品质保期</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1、交付完毕通过验收投入使用之日起贰年。</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2、质保免费维护期满后为有偿维护，每年维护费用维护期限双方协商确定，质保期满后投标人对采购人提供终身技术咨询服务。</w:t>
      </w:r>
    </w:p>
    <w:p>
      <w:pPr>
        <w:pStyle w:val="137"/>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（六）售后服务要求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试运行期间的技术支持与服务产品试运行期间，投标人应向采购人提供免费的技术支持和服务，服务内容应包括但不限于下述内容：技术协助、升级服务、调优、故障排除等。服务方式包括电话支持、文档提供、现场支持等多种以解决实际问题为目的的方式。</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2、产品试运行期间，投标人应提供7×24小时技术支持和服务，如出现技术故障，工程师在 2个小时内使系统得以正常运行。如在8小时内（含节假日）未解决故障和问题，投标人应采取紧急预案，使系统得以正常运行。</w:t>
      </w:r>
    </w:p>
    <w:p>
      <w:pPr>
        <w:pStyle w:val="137"/>
        <w:spacing w:line="240" w:lineRule="auto"/>
        <w:ind w:firstLine="497"/>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、质量保证期内的技术支持与售后服务</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投标人针对本项目的质量保证期为自终验合格之日起贰年（包括软硬），投标人在实施过程应派遣不少于1</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名工程师常驻用户现场提供项目实施服务，项目质量保证期内应派遣不少于</w:t>
      </w:r>
      <w:r>
        <w:rPr>
          <w:rFonts w:cs="宋体" w:asciiTheme="minorEastAsia" w:hAnsiTheme="minorEastAsia" w:eastAsiaTheme="minorEastAsia"/>
          <w:sz w:val="24"/>
          <w:szCs w:val="24"/>
        </w:rPr>
        <w:t>3名</w:t>
      </w:r>
      <w:r>
        <w:rPr>
          <w:rFonts w:hint="eastAsia" w:cs="宋体" w:asciiTheme="minorEastAsia" w:hAnsiTheme="minorEastAsia" w:eastAsiaTheme="minorEastAsia"/>
          <w:sz w:val="24"/>
          <w:szCs w:val="24"/>
        </w:rPr>
        <w:t>工程师常驻用户现场提供项目运维服务，并向采购人提供投标人与实施驻场人员签订的有劳务或劳动合同复印件。（说明：投标人应按招标文件要求提供承诺函。）</w:t>
      </w:r>
    </w:p>
    <w:p>
      <w:pPr>
        <w:pStyle w:val="137"/>
        <w:spacing w:line="240" w:lineRule="auto"/>
        <w:ind w:firstLine="497"/>
        <w:rPr>
          <w:rFonts w:cs="宋体"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、运维服务要求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1）运维服务基本要求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投标人应有良好的服务理念和完善的运维服务体系，能够提供本地技术服务,以便实施运维人员及时解决采购人软件运行中出现的问题和采购人业务发展中的新需求。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针对本次招标信息系统内容，面向采购人所有院区提供 7×24小时驻场保障服务，包括：各类使用问题进行及时排查处理；对采购人单位各科室工作人员进行应用系统使用操作指导；信息系统使用过程中的问题受理、事务处理、故障排除；信息系统的流程改造；新增需求，新增内部、外部接口等。通过定期巡检和排查工作，对维护性问题及时处理，对涉及系统 BUG 问题进行处理，做到尽早发现问题、尽快消除安全隐患、提前预防重大事故发生，从而保障采购人信息系统安全稳定运行。定期到各院区各科室走访，了解实际使用中的问题，提出合理的流程优化及改进建议。</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投标人及其运维人员，不得随意查看、复制、泄露采购人的医疗、管理、系统及应用等各种信息，如有违约，采购人持有追究其法律责任的权利。</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2）服务响应时间要求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按照对采购人实际工作的影响程度，针对日常运维、程序 BUG修复、接口对接、二次开发四个方面，满足以下要求：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日常运维，定期到临床科室巡检，搜集临床使用过程中的相关问题，在接到系统使用中的简单问题时，响应要求并保障稳定的人力资源持续提供 7×24 小时电话受理和现场服务工作。</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程序 BUG 修复，在巡检过程中主动发现或接到采购人反映，确认是程序 BUG 的，24 小时内处理完毕；</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接口对接，对于上级各主管部门政策性要求必须对接的，要在政策规定的时间内完成对接要求；对于院内系统需要对接的，须与采购人充分沟通后，在双方认可的合理时间内，必须完成对接要求。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地化修改方面，上级部门要求必须更改时，在上级部门要求的时间内必须更改完成；或者随着业务的不断深入，在采购人认为系统必须做出相应改动以适应新的业务要求时，投标人须与采购人充分沟通，在双方认可的合理时间内，必须完成开发要求。</w:t>
      </w:r>
      <w:r>
        <w:rPr>
          <w:rFonts w:cs="宋体" w:asciiTheme="minorEastAsia" w:hAnsiTheme="minorEastAsia" w:eastAsiaTheme="minorEastAsia"/>
          <w:sz w:val="24"/>
          <w:szCs w:val="24"/>
        </w:rPr>
        <w:cr/>
      </w:r>
      <w:r>
        <w:rPr>
          <w:rFonts w:hint="eastAsia" w:cs="宋体" w:asciiTheme="minorEastAsia" w:hAnsiTheme="minorEastAsia" w:eastAsiaTheme="minorEastAsia"/>
          <w:sz w:val="24"/>
          <w:szCs w:val="24"/>
        </w:rPr>
        <w:t>（七）培训要求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更好的使用智能化及物联网应用系统，投标人应对采购人进行系统、有效的培训服务。在该项目的每个实施阶段根据培训要求为各相关单位人员提供相应的培训。在组织培训过程中，提供系统结构、性能、使用、维护、定制和升级等各方面的培训内容，并提供全套培训教材和培训计划。同时应针对不同的培训对象制定不同的培训方案，确保每个参加培训的人员能掌握系统的使用方法。</w:t>
      </w:r>
    </w:p>
    <w:p>
      <w:pPr>
        <w:pStyle w:val="137"/>
        <w:spacing w:line="24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（八）商务要求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1、质保期：贰年。</w:t>
      </w:r>
    </w:p>
    <w:p>
      <w:pPr>
        <w:ind w:firstLine="496" w:firstLineChars="200"/>
        <w:rPr>
          <w:rFonts w:cs="宋体" w:asciiTheme="minorEastAsia" w:hAnsiTheme="minorEastAsia" w:eastAsiaTheme="minorEastAsia"/>
        </w:rPr>
      </w:pPr>
      <w:r>
        <w:rPr>
          <w:rFonts w:hint="eastAsia" w:cs="宋体" w:asciiTheme="minorEastAsia" w:hAnsiTheme="minorEastAsia" w:eastAsiaTheme="minorEastAsia"/>
        </w:rPr>
        <w:t>2、付款方式：</w:t>
      </w:r>
    </w:p>
    <w:p>
      <w:pPr>
        <w:pStyle w:val="19"/>
        <w:ind w:firstLine="496"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）第一阶段付款：递交详细实施方案与阶段性验收目标并签订合同，支付合同总价30%作为预付款；</w:t>
      </w:r>
    </w:p>
    <w:p>
      <w:pPr>
        <w:pStyle w:val="19"/>
        <w:ind w:firstLine="496"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）第二阶段付款：设备到货并完成所有开发软件原型确认进行书面确认后，支付合同总价的30%；</w:t>
      </w:r>
    </w:p>
    <w:p>
      <w:pPr>
        <w:pStyle w:val="19"/>
        <w:ind w:firstLine="496" w:firstLineChars="200"/>
        <w:rPr>
          <w:rFonts w:cs="宋体"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）第三阶段付款：项目实施完成并调试上线运行及验收完成，支付合同总价的37%；</w:t>
      </w:r>
    </w:p>
    <w:p>
      <w:pPr>
        <w:pStyle w:val="19"/>
        <w:ind w:firstLine="496"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）第四阶段付款：本项目终验合格后，支付剩余的合同总价3%。</w:t>
      </w:r>
    </w:p>
    <w:p>
      <w:pPr>
        <w:ind w:firstLine="496" w:firstLineChars="200"/>
        <w:rPr>
          <w:rFonts w:cs="宋体" w:asciiTheme="minorEastAsia" w:hAnsiTheme="minorEastAsia" w:eastAsiaTheme="minorEastAsia"/>
        </w:rPr>
      </w:pPr>
      <w:r>
        <w:rPr>
          <w:rFonts w:hint="eastAsia" w:cs="宋体" w:asciiTheme="minorEastAsia" w:hAnsiTheme="minorEastAsia" w:eastAsiaTheme="minorEastAsia"/>
        </w:rPr>
        <w:t>注：根据入场实施方案进行确定实施阶段目标。</w:t>
      </w:r>
    </w:p>
    <w:p>
      <w:pPr>
        <w:pStyle w:val="137"/>
        <w:spacing w:line="240" w:lineRule="auto"/>
        <w:ind w:firstLine="992"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质保期结束后，运维服务另行招标。</w:t>
      </w:r>
    </w:p>
    <w:p>
      <w:pPr>
        <w:pStyle w:val="137"/>
        <w:spacing w:line="240" w:lineRule="auto"/>
        <w:ind w:firstLine="0"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（九）</w:t>
      </w:r>
      <w:r>
        <w:rPr>
          <w:rFonts w:hint="eastAsia" w:cs="宋体" w:asciiTheme="minorEastAsia" w:hAnsiTheme="minorEastAsia" w:eastAsiaTheme="minorEastAsia"/>
          <w:sz w:val="24"/>
          <w:szCs w:val="24"/>
        </w:rPr>
        <w:t>其它要求</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2、投标人为本项目提供的所有产品、辅材符合现行的强制性国家相关标准、行业标准。</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3、本项目涉及的第三方接口费用包含在投标报价中。（说明：投标人应按招标文件要求提供承诺函。）</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基于智慧医院运营协同平台、智慧门诊、智慧病区、智慧手术、医疗物联网、智慧后勤应基于平台化进行建设规划，遵循总体规划、分步实施、持续可升级扩展的原则，应相互兼容。（说明：投标人应按招标文件要求提供承诺函。）</w:t>
      </w:r>
    </w:p>
    <w:p>
      <w:pPr>
        <w:pStyle w:val="137"/>
        <w:spacing w:line="240" w:lineRule="auto"/>
        <w:ind w:firstLine="4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5、本次项目系统集成所涉及的施工安装费用、线材辅材等都包含在投标报价中。（说明：投标人应按招标文件要求提供承诺函。）</w:t>
      </w:r>
    </w:p>
    <w:p>
      <w:pPr>
        <w:pStyle w:val="137"/>
        <w:spacing w:line="240" w:lineRule="auto"/>
        <w:ind w:firstLine="497"/>
        <w:rPr>
          <w:rFonts w:asciiTheme="minorEastAsia" w:hAnsiTheme="minorEastAsia" w:eastAsiaTheme="minorEastAsia"/>
          <w:sz w:val="24"/>
          <w:szCs w:val="24"/>
        </w:rPr>
        <w:sectPr>
          <w:headerReference r:id="rId7" w:type="first"/>
          <w:footerReference r:id="rId9" w:type="first"/>
          <w:headerReference r:id="rId6" w:type="default"/>
          <w:footerReference r:id="rId8" w:type="default"/>
          <w:pgSz w:w="11906" w:h="16838"/>
          <w:pgMar w:top="1440" w:right="1803" w:bottom="1440" w:left="1803" w:header="850" w:footer="992" w:gutter="0"/>
          <w:pgNumType w:start="1"/>
          <w:cols w:space="0" w:num="1"/>
          <w:titlePg/>
          <w:docGrid w:type="linesAndChars" w:linePitch="395" w:charSpace="1724"/>
        </w:sectPr>
      </w:pPr>
      <w:r>
        <w:rPr>
          <w:rFonts w:hint="eastAsia" w:asciiTheme="minorEastAsia" w:hAnsiTheme="minorEastAsia" w:eastAsiaTheme="minorEastAsia"/>
          <w:sz w:val="24"/>
          <w:szCs w:val="24"/>
        </w:rPr>
        <w:t>6、</w:t>
      </w:r>
      <w:r>
        <w:rPr>
          <w:rFonts w:hint="eastAsia" w:cs="宋体" w:asciiTheme="minorEastAsia" w:hAnsiTheme="minorEastAsia" w:eastAsiaTheme="minorEastAsia"/>
          <w:sz w:val="24"/>
          <w:szCs w:val="24"/>
        </w:rPr>
        <w:t>为满足医院医疗物联网持续建设和发展，投标人及生产厂商应将所有医疗物联网应用均集成到物联网集成平台统一管控，需提供免费开放接入医疗物联网平台能力的承诺函并加盖投标人公章（鲜章）。</w:t>
      </w:r>
    </w:p>
    <w:p>
      <w:pPr>
        <w:pStyle w:val="6"/>
        <w:pageBreakBefore/>
        <w:numPr>
          <w:ilvl w:val="0"/>
          <w:numId w:val="2"/>
        </w:numPr>
        <w:spacing w:before="395" w:beforeLines="100" w:after="395" w:afterLines="10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bookmarkStart w:id="76" w:name="_Toc135129534"/>
      <w:r>
        <w:rPr>
          <w:rFonts w:hint="eastAsia" w:cs="宋体" w:asciiTheme="minorEastAsia" w:hAnsiTheme="minorEastAsia" w:eastAsiaTheme="minorEastAsia"/>
          <w:sz w:val="24"/>
          <w:szCs w:val="24"/>
        </w:rPr>
        <w:t>合同</w:t>
      </w:r>
      <w:bookmarkEnd w:id="75"/>
      <w:r>
        <w:rPr>
          <w:rFonts w:hint="eastAsia" w:cs="宋体" w:asciiTheme="minorEastAsia" w:hAnsiTheme="minorEastAsia" w:eastAsiaTheme="minorEastAsia"/>
          <w:sz w:val="24"/>
          <w:szCs w:val="24"/>
        </w:rPr>
        <w:t>范本（仅供参考）</w:t>
      </w:r>
      <w:bookmarkEnd w:id="76"/>
    </w:p>
    <w:p>
      <w:pPr>
        <w:jc w:val="center"/>
        <w:rPr>
          <w:rFonts w:asciiTheme="minorEastAsia" w:hAnsiTheme="minorEastAsia" w:eastAsiaTheme="minorEastAsia"/>
          <w:b/>
          <w:spacing w:val="4"/>
        </w:rPr>
      </w:pPr>
      <w:bookmarkStart w:id="77" w:name="_Toc100219616"/>
      <w:r>
        <w:rPr>
          <w:rFonts w:hint="eastAsia" w:asciiTheme="minorEastAsia" w:hAnsiTheme="minorEastAsia" w:eastAsiaTheme="minorEastAsia"/>
          <w:b/>
          <w:spacing w:val="4"/>
        </w:rPr>
        <w:t>西安市中心医院货物类</w:t>
      </w:r>
    </w:p>
    <w:p>
      <w:pPr>
        <w:ind w:firstLine="728" w:firstLineChars="350"/>
        <w:rPr>
          <w:rFonts w:asciiTheme="minorEastAsia" w:hAnsiTheme="minorEastAsia" w:eastAsiaTheme="minorEastAsia"/>
          <w:b/>
          <w:spacing w:val="-20"/>
        </w:rPr>
      </w:pPr>
    </w:p>
    <w:p>
      <w:pPr>
        <w:ind w:firstLine="3472" w:firstLineChars="1400"/>
        <w:jc w:val="both"/>
        <w:rPr>
          <w:rFonts w:asciiTheme="minorEastAsia" w:hAnsiTheme="minorEastAsia" w:eastAsiaTheme="minorEastAsia"/>
          <w:b/>
        </w:rPr>
      </w:pPr>
      <w:r>
        <w:rPr>
          <w:rFonts w:hint="eastAsia" w:asciiTheme="minorEastAsia" w:hAnsiTheme="minorEastAsia" w:eastAsiaTheme="minorEastAsia"/>
          <w:b/>
        </w:rPr>
        <w:t>合  同</w:t>
      </w:r>
    </w:p>
    <w:p>
      <w:pPr>
        <w:jc w:val="center"/>
        <w:rPr>
          <w:rFonts w:asciiTheme="minorEastAsia" w:hAnsiTheme="minorEastAsia" w:eastAsiaTheme="minorEastAsia"/>
          <w:b/>
        </w:rPr>
      </w:pPr>
    </w:p>
    <w:p>
      <w:pPr>
        <w:ind w:firstLine="2728" w:firstLineChars="1100"/>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inorEastAsia" w:hAnsiTheme="minorEastAsia" w:eastAsiaTheme="minorEastAsia"/>
          <w:u w:val="single"/>
        </w:rPr>
        <w:t xml:space="preserve">            </w:t>
      </w:r>
    </w:p>
    <w:p>
      <w:pPr>
        <w:ind w:firstLine="2728" w:firstLineChars="1100"/>
        <w:rPr>
          <w:rFonts w:asciiTheme="minorEastAsia" w:hAnsiTheme="minorEastAsia" w:eastAsiaTheme="minorEastAsia"/>
        </w:rPr>
      </w:pPr>
      <w:r>
        <w:rPr>
          <w:rFonts w:hint="eastAsia" w:asciiTheme="minorEastAsia" w:hAnsiTheme="minorEastAsia" w:eastAsiaTheme="minorEastAsia"/>
        </w:rPr>
        <w:t>项目编号：</w:t>
      </w:r>
      <w:r>
        <w:rPr>
          <w:rFonts w:hint="eastAsia" w:asciiTheme="minorEastAsia" w:hAnsiTheme="minorEastAsia" w:eastAsiaTheme="minorEastAsia"/>
          <w:u w:val="single"/>
        </w:rPr>
        <w:t xml:space="preserve">            </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ind w:firstLine="2232" w:firstLineChars="900"/>
        <w:rPr>
          <w:rFonts w:asciiTheme="minorEastAsia" w:hAnsiTheme="minorEastAsia" w:eastAsiaTheme="minorEastAsia"/>
        </w:rPr>
      </w:pPr>
      <w:r>
        <w:rPr>
          <w:rFonts w:hint="eastAsia" w:asciiTheme="minorEastAsia" w:hAnsiTheme="minorEastAsia" w:eastAsiaTheme="minorEastAsia"/>
        </w:rPr>
        <w:t>甲  方：西安市中心医院</w:t>
      </w:r>
    </w:p>
    <w:p>
      <w:pPr>
        <w:tabs>
          <w:tab w:val="left" w:pos="480"/>
        </w:tabs>
        <w:ind w:firstLine="2232" w:firstLineChars="900"/>
        <w:rPr>
          <w:rFonts w:asciiTheme="minorEastAsia" w:hAnsiTheme="minorEastAsia" w:eastAsiaTheme="minorEastAsia"/>
        </w:rPr>
      </w:pPr>
      <w:r>
        <w:rPr>
          <w:rFonts w:hint="eastAsia" w:asciiTheme="minorEastAsia" w:hAnsiTheme="minorEastAsia" w:eastAsiaTheme="minorEastAsia"/>
        </w:rPr>
        <w:t>乙  方：</w:t>
      </w:r>
    </w:p>
    <w:p>
      <w:pPr>
        <w:rPr>
          <w:rFonts w:asciiTheme="minorEastAsia" w:hAnsiTheme="minorEastAsia" w:eastAsiaTheme="minorEastAsia"/>
        </w:rPr>
      </w:pPr>
      <w:r>
        <w:rPr>
          <w:rFonts w:hint="eastAsia" w:asciiTheme="minorEastAsia" w:hAnsiTheme="minorEastAsia" w:eastAsiaTheme="minorEastAsia"/>
        </w:rPr>
        <w:t xml:space="preserve">            </w:t>
      </w:r>
    </w:p>
    <w:p>
      <w:pPr>
        <w:jc w:val="center"/>
        <w:rPr>
          <w:rFonts w:asciiTheme="minorEastAsia" w:hAnsiTheme="minorEastAsia" w:eastAsiaTheme="minorEastAsia"/>
        </w:rPr>
      </w:pPr>
    </w:p>
    <w:p>
      <w:pPr>
        <w:jc w:val="center"/>
        <w:rPr>
          <w:rFonts w:asciiTheme="minorEastAsia" w:hAnsiTheme="minorEastAsia" w:eastAsiaTheme="minorEastAsia"/>
        </w:rPr>
      </w:pPr>
    </w:p>
    <w:p>
      <w:pPr>
        <w:ind w:firstLine="2976" w:firstLineChars="1200"/>
        <w:rPr>
          <w:rFonts w:asciiTheme="minorEastAsia" w:hAnsiTheme="minorEastAsia" w:eastAsiaTheme="minorEastAsia"/>
        </w:rPr>
      </w:pPr>
      <w:r>
        <w:rPr>
          <w:rFonts w:hint="eastAsia" w:asciiTheme="minorEastAsia" w:hAnsiTheme="minorEastAsia" w:eastAsiaTheme="minorEastAsia"/>
        </w:rPr>
        <w:t xml:space="preserve">二O二 </w:t>
      </w:r>
      <w:r>
        <w:rPr>
          <w:rFonts w:asciiTheme="minorEastAsia" w:hAnsiTheme="minorEastAsia" w:eastAsiaTheme="minorEastAsia"/>
        </w:rPr>
        <w:t xml:space="preserve"> </w:t>
      </w:r>
      <w:r>
        <w:rPr>
          <w:rFonts w:hint="eastAsia" w:asciiTheme="minorEastAsia" w:hAnsiTheme="minorEastAsia" w:eastAsiaTheme="minorEastAsia"/>
        </w:rPr>
        <w:t>年  月</w:t>
      </w: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甲方：西安市中心医院 </w:t>
      </w:r>
    </w:p>
    <w:p>
      <w:pPr>
        <w:rPr>
          <w:rFonts w:asciiTheme="minorEastAsia" w:hAnsiTheme="minorEastAsia" w:eastAsiaTheme="minorEastAsia"/>
        </w:rPr>
      </w:pPr>
      <w:r>
        <w:rPr>
          <w:rFonts w:hint="eastAsia" w:asciiTheme="minorEastAsia" w:hAnsiTheme="minorEastAsia" w:eastAsiaTheme="minorEastAsia"/>
        </w:rPr>
        <w:t>乙方：XXXXXXXXXXXXXX</w:t>
      </w:r>
    </w:p>
    <w:p>
      <w:pPr>
        <w:ind w:firstLine="496" w:firstLineChars="200"/>
        <w:rPr>
          <w:rFonts w:asciiTheme="minorEastAsia" w:hAnsiTheme="minorEastAsia" w:eastAsiaTheme="minorEastAsia"/>
        </w:rPr>
      </w:pPr>
      <w:r>
        <w:rPr>
          <w:rFonts w:hint="eastAsia" w:asciiTheme="minorEastAsia" w:hAnsiTheme="minorEastAsia" w:eastAsiaTheme="minorEastAsia"/>
        </w:rPr>
        <w:t>甲方经过招标采购，确定乙方为成交供应商。经甲、乙双方协商、确认，达成如下条款。</w:t>
      </w:r>
    </w:p>
    <w:p>
      <w:pPr>
        <w:tabs>
          <w:tab w:val="left" w:pos="480"/>
        </w:tabs>
        <w:ind w:firstLine="496" w:firstLineChars="200"/>
        <w:rPr>
          <w:rFonts w:asciiTheme="minorEastAsia" w:hAnsiTheme="minorEastAsia" w:eastAsiaTheme="minorEastAsia"/>
          <w:b/>
        </w:rPr>
      </w:pPr>
      <w:r>
        <w:rPr>
          <w:rFonts w:hint="eastAsia" w:asciiTheme="minorEastAsia" w:hAnsiTheme="minorEastAsia" w:eastAsiaTheme="minorEastAsia"/>
          <w:b/>
        </w:rPr>
        <w:t>一、合同标的货物、系统内容及数量</w:t>
      </w:r>
    </w:p>
    <w:tbl>
      <w:tblPr>
        <w:tblStyle w:val="3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274"/>
        <w:gridCol w:w="1188"/>
        <w:gridCol w:w="1232"/>
        <w:gridCol w:w="1078"/>
        <w:gridCol w:w="925"/>
        <w:gridCol w:w="1160"/>
        <w:gridCol w:w="110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2" w:type="dxa"/>
            <w:vAlign w:val="center"/>
          </w:tcPr>
          <w:p>
            <w:pPr>
              <w:tabs>
                <w:tab w:val="left" w:pos="480"/>
              </w:tabs>
              <w:jc w:val="center"/>
              <w:rPr>
                <w:rFonts w:asciiTheme="minorEastAsia" w:hAnsiTheme="minorEastAsia" w:eastAsiaTheme="minorEastAsia"/>
              </w:rPr>
            </w:pPr>
            <w:r>
              <w:rPr>
                <w:rFonts w:hint="eastAsia" w:asciiTheme="minorEastAsia" w:hAnsiTheme="minorEastAsia" w:eastAsiaTheme="minorEastAsia"/>
              </w:rPr>
              <w:t>序号</w:t>
            </w:r>
          </w:p>
        </w:tc>
        <w:tc>
          <w:tcPr>
            <w:tcW w:w="1274" w:type="dxa"/>
            <w:vAlign w:val="center"/>
          </w:tcPr>
          <w:p>
            <w:pPr>
              <w:tabs>
                <w:tab w:val="left" w:pos="480"/>
              </w:tabs>
              <w:jc w:val="center"/>
              <w:rPr>
                <w:rFonts w:asciiTheme="minorEastAsia" w:hAnsiTheme="minorEastAsia" w:eastAsiaTheme="minorEastAsia"/>
              </w:rPr>
            </w:pPr>
            <w:r>
              <w:rPr>
                <w:rFonts w:hint="eastAsia" w:asciiTheme="minorEastAsia" w:hAnsiTheme="minorEastAsia" w:eastAsiaTheme="minorEastAsia"/>
              </w:rPr>
              <w:t>设备名称</w:t>
            </w:r>
          </w:p>
        </w:tc>
        <w:tc>
          <w:tcPr>
            <w:tcW w:w="1188" w:type="dxa"/>
            <w:vAlign w:val="center"/>
          </w:tcPr>
          <w:p>
            <w:pPr>
              <w:tabs>
                <w:tab w:val="left" w:pos="480"/>
              </w:tabs>
              <w:jc w:val="center"/>
              <w:rPr>
                <w:rFonts w:asciiTheme="minorEastAsia" w:hAnsiTheme="minorEastAsia" w:eastAsiaTheme="minorEastAsia"/>
              </w:rPr>
            </w:pPr>
            <w:r>
              <w:rPr>
                <w:rFonts w:hint="eastAsia" w:asciiTheme="minorEastAsia" w:hAnsiTheme="minorEastAsia" w:eastAsiaTheme="minorEastAsia"/>
              </w:rPr>
              <w:t>规格参数</w:t>
            </w:r>
          </w:p>
        </w:tc>
        <w:tc>
          <w:tcPr>
            <w:tcW w:w="1232" w:type="dxa"/>
            <w:vAlign w:val="center"/>
          </w:tcPr>
          <w:p>
            <w:pPr>
              <w:tabs>
                <w:tab w:val="left" w:pos="480"/>
              </w:tabs>
              <w:spacing w:line="240" w:lineRule="exact"/>
              <w:jc w:val="center"/>
              <w:rPr>
                <w:rFonts w:asciiTheme="minorEastAsia" w:hAnsiTheme="minorEastAsia" w:eastAsiaTheme="minorEastAsia"/>
              </w:rPr>
            </w:pPr>
            <w:r>
              <w:rPr>
                <w:rFonts w:hint="eastAsia" w:asciiTheme="minorEastAsia" w:hAnsiTheme="minorEastAsia" w:eastAsiaTheme="minorEastAsia"/>
              </w:rPr>
              <w:t>生产</w:t>
            </w:r>
          </w:p>
          <w:p>
            <w:pPr>
              <w:tabs>
                <w:tab w:val="left" w:pos="480"/>
              </w:tabs>
              <w:spacing w:line="240" w:lineRule="exact"/>
              <w:jc w:val="center"/>
              <w:rPr>
                <w:rFonts w:asciiTheme="minorEastAsia" w:hAnsiTheme="minorEastAsia" w:eastAsiaTheme="minorEastAsia"/>
              </w:rPr>
            </w:pPr>
            <w:r>
              <w:rPr>
                <w:rFonts w:hint="eastAsia" w:asciiTheme="minorEastAsia" w:hAnsiTheme="minorEastAsia" w:eastAsiaTheme="minorEastAsia"/>
              </w:rPr>
              <w:t>厂家</w:t>
            </w:r>
          </w:p>
        </w:tc>
        <w:tc>
          <w:tcPr>
            <w:tcW w:w="1078" w:type="dxa"/>
            <w:vAlign w:val="center"/>
          </w:tcPr>
          <w:p>
            <w:pPr>
              <w:tabs>
                <w:tab w:val="left" w:pos="480"/>
              </w:tabs>
              <w:spacing w:line="240" w:lineRule="exact"/>
              <w:jc w:val="center"/>
              <w:rPr>
                <w:rFonts w:asciiTheme="minorEastAsia" w:hAnsiTheme="minorEastAsia" w:eastAsiaTheme="minorEastAsia"/>
              </w:rPr>
            </w:pPr>
            <w:r>
              <w:rPr>
                <w:rFonts w:hint="eastAsia" w:asciiTheme="minorEastAsia" w:hAnsiTheme="minorEastAsia" w:eastAsiaTheme="minorEastAsia"/>
              </w:rPr>
              <w:t>计量</w:t>
            </w:r>
          </w:p>
          <w:p>
            <w:pPr>
              <w:tabs>
                <w:tab w:val="left" w:pos="480"/>
              </w:tabs>
              <w:spacing w:line="240" w:lineRule="exact"/>
              <w:jc w:val="center"/>
              <w:rPr>
                <w:rFonts w:asciiTheme="minorEastAsia" w:hAnsiTheme="minorEastAsia" w:eastAsiaTheme="minorEastAsia"/>
              </w:rPr>
            </w:pPr>
            <w:r>
              <w:rPr>
                <w:rFonts w:hint="eastAsia" w:asciiTheme="minorEastAsia" w:hAnsiTheme="minorEastAsia" w:eastAsiaTheme="minorEastAsia"/>
              </w:rPr>
              <w:t>单位</w:t>
            </w:r>
          </w:p>
        </w:tc>
        <w:tc>
          <w:tcPr>
            <w:tcW w:w="925" w:type="dxa"/>
            <w:vAlign w:val="center"/>
          </w:tcPr>
          <w:p>
            <w:pPr>
              <w:tabs>
                <w:tab w:val="left" w:pos="480"/>
              </w:tabs>
              <w:spacing w:line="240" w:lineRule="exact"/>
              <w:jc w:val="center"/>
              <w:rPr>
                <w:rFonts w:asciiTheme="minorEastAsia" w:hAnsiTheme="minorEastAsia" w:eastAsiaTheme="minorEastAsia"/>
              </w:rPr>
            </w:pPr>
            <w:r>
              <w:rPr>
                <w:rFonts w:hint="eastAsia" w:asciiTheme="minorEastAsia" w:hAnsiTheme="minorEastAsia" w:eastAsiaTheme="minorEastAsia"/>
              </w:rPr>
              <w:t>数量</w:t>
            </w:r>
          </w:p>
        </w:tc>
        <w:tc>
          <w:tcPr>
            <w:tcW w:w="1160" w:type="dxa"/>
            <w:vAlign w:val="center"/>
          </w:tcPr>
          <w:p>
            <w:pPr>
              <w:tabs>
                <w:tab w:val="left" w:pos="480"/>
              </w:tabs>
              <w:spacing w:line="280" w:lineRule="exact"/>
              <w:jc w:val="center"/>
              <w:rPr>
                <w:rFonts w:asciiTheme="minorEastAsia" w:hAnsiTheme="minorEastAsia" w:eastAsiaTheme="minorEastAsia"/>
              </w:rPr>
            </w:pPr>
            <w:r>
              <w:rPr>
                <w:rFonts w:hint="eastAsia" w:asciiTheme="minorEastAsia" w:hAnsiTheme="minorEastAsia" w:eastAsiaTheme="minorEastAsia"/>
              </w:rPr>
              <w:t>单价</w:t>
            </w:r>
          </w:p>
          <w:p>
            <w:pPr>
              <w:tabs>
                <w:tab w:val="left" w:pos="480"/>
              </w:tabs>
              <w:spacing w:line="280" w:lineRule="exact"/>
              <w:jc w:val="center"/>
              <w:rPr>
                <w:rFonts w:asciiTheme="minorEastAsia" w:hAnsiTheme="minorEastAsia" w:eastAsiaTheme="minorEastAsia"/>
              </w:rPr>
            </w:pPr>
            <w:r>
              <w:rPr>
                <w:rFonts w:hint="eastAsia" w:asciiTheme="minorEastAsia" w:hAnsiTheme="minorEastAsia" w:eastAsiaTheme="minorEastAsia"/>
              </w:rPr>
              <w:t>（万元</w:t>
            </w:r>
            <w:r>
              <w:rPr>
                <w:rFonts w:asciiTheme="minorEastAsia" w:hAnsiTheme="minorEastAsia" w:eastAsiaTheme="minorEastAsia"/>
              </w:rPr>
              <w:t>）</w:t>
            </w:r>
          </w:p>
        </w:tc>
        <w:tc>
          <w:tcPr>
            <w:tcW w:w="1102" w:type="dxa"/>
            <w:vAlign w:val="center"/>
          </w:tcPr>
          <w:p>
            <w:pPr>
              <w:tabs>
                <w:tab w:val="left" w:pos="480"/>
              </w:tabs>
              <w:spacing w:line="280" w:lineRule="exact"/>
              <w:jc w:val="center"/>
              <w:rPr>
                <w:rFonts w:asciiTheme="minorEastAsia" w:hAnsiTheme="minorEastAsia" w:eastAsiaTheme="minorEastAsia"/>
              </w:rPr>
            </w:pPr>
            <w:r>
              <w:rPr>
                <w:rFonts w:hint="eastAsia" w:asciiTheme="minorEastAsia" w:hAnsiTheme="minorEastAsia" w:eastAsiaTheme="minorEastAsia"/>
              </w:rPr>
              <w:t>金额</w:t>
            </w:r>
          </w:p>
          <w:p>
            <w:pPr>
              <w:tabs>
                <w:tab w:val="left" w:pos="480"/>
              </w:tabs>
              <w:spacing w:line="280" w:lineRule="exact"/>
              <w:jc w:val="center"/>
              <w:rPr>
                <w:rFonts w:asciiTheme="minorEastAsia" w:hAnsiTheme="minorEastAsia" w:eastAsiaTheme="minorEastAsia"/>
              </w:rPr>
            </w:pPr>
            <w:r>
              <w:rPr>
                <w:rFonts w:hint="eastAsia" w:asciiTheme="minorEastAsia" w:hAnsiTheme="minorEastAsia" w:eastAsiaTheme="minorEastAsia"/>
              </w:rPr>
              <w:t>（万元）</w:t>
            </w:r>
          </w:p>
        </w:tc>
        <w:tc>
          <w:tcPr>
            <w:tcW w:w="961" w:type="dxa"/>
            <w:vAlign w:val="center"/>
          </w:tcPr>
          <w:p>
            <w:pPr>
              <w:tabs>
                <w:tab w:val="left" w:pos="480"/>
              </w:tabs>
              <w:spacing w:line="280" w:lineRule="exact"/>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92" w:type="dxa"/>
            <w:vAlign w:val="center"/>
          </w:tcPr>
          <w:p>
            <w:pPr>
              <w:tabs>
                <w:tab w:val="left" w:pos="480"/>
              </w:tabs>
              <w:jc w:val="center"/>
              <w:rPr>
                <w:rFonts w:asciiTheme="minorEastAsia" w:hAnsiTheme="minorEastAsia" w:eastAsiaTheme="minorEastAsia"/>
              </w:rPr>
            </w:pPr>
            <w:r>
              <w:rPr>
                <w:rFonts w:hint="eastAsia" w:asciiTheme="minorEastAsia" w:hAnsiTheme="minorEastAsia" w:eastAsiaTheme="minorEastAsia"/>
              </w:rPr>
              <w:t>1</w:t>
            </w:r>
          </w:p>
        </w:tc>
        <w:tc>
          <w:tcPr>
            <w:tcW w:w="1274" w:type="dxa"/>
            <w:vAlign w:val="center"/>
          </w:tcPr>
          <w:p>
            <w:pPr>
              <w:tabs>
                <w:tab w:val="left" w:pos="480"/>
              </w:tabs>
              <w:jc w:val="center"/>
              <w:rPr>
                <w:rFonts w:asciiTheme="minorEastAsia" w:hAnsiTheme="minorEastAsia" w:eastAsiaTheme="minorEastAsia"/>
              </w:rPr>
            </w:pPr>
          </w:p>
        </w:tc>
        <w:tc>
          <w:tcPr>
            <w:tcW w:w="1188" w:type="dxa"/>
          </w:tcPr>
          <w:p>
            <w:pPr>
              <w:tabs>
                <w:tab w:val="left" w:pos="480"/>
              </w:tabs>
              <w:jc w:val="center"/>
              <w:rPr>
                <w:rFonts w:asciiTheme="minorEastAsia" w:hAnsiTheme="minorEastAsia" w:eastAsiaTheme="minorEastAsia"/>
              </w:rPr>
            </w:pPr>
          </w:p>
        </w:tc>
        <w:tc>
          <w:tcPr>
            <w:tcW w:w="1232" w:type="dxa"/>
          </w:tcPr>
          <w:p>
            <w:pPr>
              <w:tabs>
                <w:tab w:val="left" w:pos="480"/>
              </w:tabs>
              <w:jc w:val="center"/>
              <w:rPr>
                <w:rFonts w:asciiTheme="minorEastAsia" w:hAnsiTheme="minorEastAsia" w:eastAsiaTheme="minorEastAsia"/>
              </w:rPr>
            </w:pPr>
          </w:p>
        </w:tc>
        <w:tc>
          <w:tcPr>
            <w:tcW w:w="1078" w:type="dxa"/>
            <w:vAlign w:val="center"/>
          </w:tcPr>
          <w:p>
            <w:pPr>
              <w:tabs>
                <w:tab w:val="left" w:pos="480"/>
              </w:tabs>
              <w:jc w:val="center"/>
              <w:rPr>
                <w:rFonts w:asciiTheme="minorEastAsia" w:hAnsiTheme="minorEastAsia" w:eastAsiaTheme="minorEastAsia"/>
              </w:rPr>
            </w:pPr>
          </w:p>
        </w:tc>
        <w:tc>
          <w:tcPr>
            <w:tcW w:w="925" w:type="dxa"/>
          </w:tcPr>
          <w:p>
            <w:pPr>
              <w:tabs>
                <w:tab w:val="left" w:pos="480"/>
              </w:tabs>
              <w:jc w:val="center"/>
              <w:rPr>
                <w:rFonts w:asciiTheme="minorEastAsia" w:hAnsiTheme="minorEastAsia" w:eastAsiaTheme="minorEastAsia"/>
              </w:rPr>
            </w:pPr>
          </w:p>
        </w:tc>
        <w:tc>
          <w:tcPr>
            <w:tcW w:w="1160" w:type="dxa"/>
            <w:vAlign w:val="center"/>
          </w:tcPr>
          <w:p>
            <w:pPr>
              <w:tabs>
                <w:tab w:val="left" w:pos="480"/>
              </w:tabs>
              <w:jc w:val="center"/>
              <w:rPr>
                <w:rFonts w:asciiTheme="minorEastAsia" w:hAnsiTheme="minorEastAsia" w:eastAsiaTheme="minorEastAsia"/>
              </w:rPr>
            </w:pPr>
          </w:p>
        </w:tc>
        <w:tc>
          <w:tcPr>
            <w:tcW w:w="1102" w:type="dxa"/>
          </w:tcPr>
          <w:p>
            <w:pPr>
              <w:tabs>
                <w:tab w:val="left" w:pos="480"/>
              </w:tabs>
              <w:jc w:val="center"/>
              <w:rPr>
                <w:rFonts w:asciiTheme="minorEastAsia" w:hAnsiTheme="minorEastAsia" w:eastAsiaTheme="minorEastAsia"/>
              </w:rPr>
            </w:pPr>
          </w:p>
        </w:tc>
        <w:tc>
          <w:tcPr>
            <w:tcW w:w="961" w:type="dxa"/>
          </w:tcPr>
          <w:p>
            <w:pPr>
              <w:tabs>
                <w:tab w:val="left" w:pos="480"/>
              </w:tabs>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2" w:type="dxa"/>
            <w:vAlign w:val="center"/>
          </w:tcPr>
          <w:p>
            <w:pPr>
              <w:tabs>
                <w:tab w:val="left" w:pos="480"/>
              </w:tabs>
              <w:jc w:val="center"/>
              <w:rPr>
                <w:rFonts w:asciiTheme="minorEastAsia" w:hAnsiTheme="minorEastAsia" w:eastAsiaTheme="minorEastAsia"/>
              </w:rPr>
            </w:pPr>
            <w:r>
              <w:rPr>
                <w:rFonts w:hint="eastAsia" w:asciiTheme="minorEastAsia" w:hAnsiTheme="minorEastAsia" w:eastAsiaTheme="minorEastAsia"/>
              </w:rPr>
              <w:t>2</w:t>
            </w:r>
          </w:p>
        </w:tc>
        <w:tc>
          <w:tcPr>
            <w:tcW w:w="1274" w:type="dxa"/>
            <w:vAlign w:val="center"/>
          </w:tcPr>
          <w:p>
            <w:pPr>
              <w:tabs>
                <w:tab w:val="left" w:pos="480"/>
              </w:tabs>
              <w:jc w:val="center"/>
              <w:rPr>
                <w:rFonts w:asciiTheme="minorEastAsia" w:hAnsiTheme="minorEastAsia" w:eastAsiaTheme="minorEastAsia"/>
              </w:rPr>
            </w:pPr>
          </w:p>
        </w:tc>
        <w:tc>
          <w:tcPr>
            <w:tcW w:w="1188" w:type="dxa"/>
          </w:tcPr>
          <w:p>
            <w:pPr>
              <w:tabs>
                <w:tab w:val="left" w:pos="480"/>
              </w:tabs>
              <w:jc w:val="center"/>
              <w:rPr>
                <w:rFonts w:asciiTheme="minorEastAsia" w:hAnsiTheme="minorEastAsia" w:eastAsiaTheme="minorEastAsia"/>
              </w:rPr>
            </w:pPr>
          </w:p>
        </w:tc>
        <w:tc>
          <w:tcPr>
            <w:tcW w:w="1232" w:type="dxa"/>
          </w:tcPr>
          <w:p>
            <w:pPr>
              <w:tabs>
                <w:tab w:val="left" w:pos="480"/>
              </w:tabs>
              <w:jc w:val="center"/>
              <w:rPr>
                <w:rFonts w:asciiTheme="minorEastAsia" w:hAnsiTheme="minorEastAsia" w:eastAsiaTheme="minorEastAsia"/>
              </w:rPr>
            </w:pPr>
          </w:p>
        </w:tc>
        <w:tc>
          <w:tcPr>
            <w:tcW w:w="1078" w:type="dxa"/>
            <w:vAlign w:val="center"/>
          </w:tcPr>
          <w:p>
            <w:pPr>
              <w:tabs>
                <w:tab w:val="left" w:pos="480"/>
              </w:tabs>
              <w:jc w:val="center"/>
              <w:rPr>
                <w:rFonts w:asciiTheme="minorEastAsia" w:hAnsiTheme="minorEastAsia" w:eastAsiaTheme="minorEastAsia"/>
              </w:rPr>
            </w:pPr>
          </w:p>
        </w:tc>
        <w:tc>
          <w:tcPr>
            <w:tcW w:w="925" w:type="dxa"/>
          </w:tcPr>
          <w:p>
            <w:pPr>
              <w:tabs>
                <w:tab w:val="left" w:pos="480"/>
              </w:tabs>
              <w:jc w:val="center"/>
              <w:rPr>
                <w:rFonts w:asciiTheme="minorEastAsia" w:hAnsiTheme="minorEastAsia" w:eastAsiaTheme="minorEastAsia"/>
              </w:rPr>
            </w:pPr>
          </w:p>
        </w:tc>
        <w:tc>
          <w:tcPr>
            <w:tcW w:w="1160" w:type="dxa"/>
            <w:vAlign w:val="center"/>
          </w:tcPr>
          <w:p>
            <w:pPr>
              <w:tabs>
                <w:tab w:val="left" w:pos="480"/>
              </w:tabs>
              <w:jc w:val="center"/>
              <w:rPr>
                <w:rFonts w:asciiTheme="minorEastAsia" w:hAnsiTheme="minorEastAsia" w:eastAsiaTheme="minorEastAsia"/>
              </w:rPr>
            </w:pPr>
          </w:p>
        </w:tc>
        <w:tc>
          <w:tcPr>
            <w:tcW w:w="1102" w:type="dxa"/>
          </w:tcPr>
          <w:p>
            <w:pPr>
              <w:tabs>
                <w:tab w:val="left" w:pos="480"/>
              </w:tabs>
              <w:jc w:val="center"/>
              <w:rPr>
                <w:rFonts w:asciiTheme="minorEastAsia" w:hAnsiTheme="minorEastAsia" w:eastAsiaTheme="minorEastAsia"/>
              </w:rPr>
            </w:pPr>
          </w:p>
        </w:tc>
        <w:tc>
          <w:tcPr>
            <w:tcW w:w="961" w:type="dxa"/>
          </w:tcPr>
          <w:p>
            <w:pPr>
              <w:tabs>
                <w:tab w:val="left" w:pos="480"/>
              </w:tabs>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12" w:type="dxa"/>
            <w:gridSpan w:val="9"/>
            <w:vAlign w:val="center"/>
          </w:tcPr>
          <w:p>
            <w:pPr>
              <w:tabs>
                <w:tab w:val="left" w:pos="480"/>
              </w:tabs>
              <w:rPr>
                <w:rFonts w:asciiTheme="minorEastAsia" w:hAnsiTheme="minorEastAsia" w:eastAsiaTheme="minorEastAsia"/>
              </w:rPr>
            </w:pPr>
            <w:r>
              <w:rPr>
                <w:rFonts w:hint="eastAsia" w:asciiTheme="minorEastAsia" w:hAnsiTheme="minorEastAsia" w:eastAsiaTheme="minorEastAsia"/>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92" w:type="dxa"/>
            <w:vAlign w:val="center"/>
          </w:tcPr>
          <w:p>
            <w:pPr>
              <w:tabs>
                <w:tab w:val="left" w:pos="480"/>
              </w:tabs>
              <w:jc w:val="center"/>
              <w:rPr>
                <w:rFonts w:asciiTheme="minorEastAsia" w:hAnsiTheme="minorEastAsia" w:eastAsiaTheme="minorEastAsia"/>
              </w:rPr>
            </w:pPr>
            <w:r>
              <w:rPr>
                <w:rFonts w:hint="eastAsia" w:asciiTheme="minorEastAsia" w:hAnsiTheme="minorEastAsia" w:eastAsiaTheme="minorEastAsia"/>
              </w:rPr>
              <w:t>说明</w:t>
            </w:r>
          </w:p>
        </w:tc>
        <w:tc>
          <w:tcPr>
            <w:tcW w:w="8920" w:type="dxa"/>
            <w:gridSpan w:val="8"/>
            <w:vAlign w:val="center"/>
          </w:tcPr>
          <w:p>
            <w:pPr>
              <w:tabs>
                <w:tab w:val="left" w:pos="480"/>
              </w:tabs>
              <w:jc w:val="center"/>
              <w:rPr>
                <w:rFonts w:asciiTheme="minorEastAsia" w:hAnsiTheme="minorEastAsia" w:eastAsiaTheme="minorEastAsia"/>
              </w:rPr>
            </w:pPr>
          </w:p>
        </w:tc>
      </w:tr>
    </w:tbl>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二、合同价款</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（一）合同总价款为人民币（大写）                    （¥            ）。</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合同总价包括：税费、货物费、软件系统开发和使用费用、运输费（含保险费）、安装调试费、检测验收费及其它乙方履行合同义务所需的全部费用。本合同执行期间合同总价不变，甲方无需向乙方另行支付费用。</w:t>
      </w:r>
    </w:p>
    <w:p>
      <w:pPr>
        <w:tabs>
          <w:tab w:val="left" w:pos="480"/>
        </w:tabs>
        <w:ind w:firstLine="496" w:firstLineChars="200"/>
        <w:rPr>
          <w:rFonts w:asciiTheme="minorEastAsia" w:hAnsiTheme="minorEastAsia" w:eastAsiaTheme="minorEastAsia"/>
          <w:b/>
          <w:bCs/>
        </w:rPr>
      </w:pPr>
      <w:r>
        <w:rPr>
          <w:rFonts w:hint="eastAsia" w:asciiTheme="minorEastAsia" w:hAnsiTheme="minorEastAsia" w:eastAsiaTheme="minorEastAsia"/>
          <w:b/>
          <w:bCs/>
        </w:rPr>
        <w:t>三、款项结算</w:t>
      </w:r>
    </w:p>
    <w:p>
      <w:pPr>
        <w:pStyle w:val="19"/>
        <w:ind w:firstLine="496"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1、第一阶段付款：递交详细实施方案与阶段性验收目标并签订合同，支付合同总价30%作为预付款；</w:t>
      </w:r>
    </w:p>
    <w:p>
      <w:pPr>
        <w:pStyle w:val="19"/>
        <w:ind w:firstLine="496"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2、第二阶段付款：设备到货并完成所有开发软件原型书面确认后，支付合同总价的30%；</w:t>
      </w:r>
    </w:p>
    <w:p>
      <w:pPr>
        <w:pStyle w:val="19"/>
        <w:ind w:firstLine="496"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3、第三阶段付款：项目实施完成并调试上线运行及验收完成，支付合同总价的37%；</w:t>
      </w:r>
    </w:p>
    <w:p>
      <w:pPr>
        <w:pStyle w:val="19"/>
        <w:ind w:firstLine="496"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4、第四阶段付款：本项目整体验收合格后，支付剩余的合同总价3%。</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注：质保期结束后，运维服务另行招标。</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五）结算方式：乙方持发票（按合同总价值开甲方）、供货合同、发票复印件在甲方处结算。乙方延期提供发票或提供的发票不符合甲方要求的，甲方有权拒付合同款项且不承担任何法律责任。因乙方原因导致甲方不能及时付款的，甲方无需承担任何责任。</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（六）付款批次：于  年  月  日支付  元；</w:t>
      </w:r>
    </w:p>
    <w:p>
      <w:pPr>
        <w:tabs>
          <w:tab w:val="left" w:pos="480"/>
        </w:tabs>
        <w:ind w:firstLine="372" w:firstLineChars="150"/>
        <w:rPr>
          <w:rFonts w:asciiTheme="minorEastAsia" w:hAnsiTheme="minorEastAsia" w:eastAsiaTheme="minorEastAsia"/>
          <w:b/>
        </w:rPr>
      </w:pPr>
      <w:r>
        <w:rPr>
          <w:rFonts w:hint="eastAsia" w:asciiTheme="minorEastAsia" w:hAnsiTheme="minorEastAsia" w:eastAsiaTheme="minorEastAsia"/>
          <w:b/>
        </w:rPr>
        <w:t>四、双方的权利和义务</w:t>
      </w:r>
    </w:p>
    <w:p>
      <w:pPr>
        <w:ind w:firstLine="248" w:firstLineChars="100"/>
        <w:rPr>
          <w:rFonts w:asciiTheme="minorEastAsia" w:hAnsiTheme="minorEastAsia" w:eastAsiaTheme="minorEastAsia"/>
        </w:rPr>
      </w:pPr>
      <w:r>
        <w:rPr>
          <w:rFonts w:hint="eastAsia" w:asciiTheme="minorEastAsia" w:hAnsiTheme="minorEastAsia" w:eastAsiaTheme="minorEastAsia"/>
        </w:rPr>
        <w:t>（一）甲方的权利和义务</w:t>
      </w:r>
    </w:p>
    <w:p>
      <w:pPr>
        <w:ind w:firstLine="496" w:firstLineChars="200"/>
        <w:rPr>
          <w:rFonts w:asciiTheme="minorEastAsia" w:hAnsiTheme="minorEastAsia" w:eastAsiaTheme="minorEastAsia"/>
        </w:rPr>
      </w:pPr>
      <w:r>
        <w:rPr>
          <w:rFonts w:hint="eastAsia" w:asciiTheme="minorEastAsia" w:hAnsiTheme="minorEastAsia" w:eastAsiaTheme="minorEastAsia"/>
        </w:rPr>
        <w:t>1.甲方提供场地配合乙方安装调试，按招标文件来规范乙方。</w:t>
      </w:r>
    </w:p>
    <w:p>
      <w:pPr>
        <w:ind w:firstLine="496" w:firstLineChars="200"/>
        <w:rPr>
          <w:rFonts w:asciiTheme="minorEastAsia" w:hAnsiTheme="minorEastAsia" w:eastAsiaTheme="minorEastAsia"/>
        </w:rPr>
      </w:pPr>
      <w:r>
        <w:rPr>
          <w:rFonts w:hint="eastAsia" w:asciiTheme="minorEastAsia" w:hAnsiTheme="minorEastAsia" w:eastAsiaTheme="minorEastAsia"/>
        </w:rPr>
        <w:t>2.甲方优先享有乙方提供的技术咨询、培训服务和国家规定的“三包”服务等售后服务内容。</w:t>
      </w:r>
    </w:p>
    <w:p>
      <w:pPr>
        <w:ind w:firstLine="248" w:firstLineChars="100"/>
        <w:rPr>
          <w:rFonts w:asciiTheme="minorEastAsia" w:hAnsiTheme="minorEastAsia" w:eastAsiaTheme="minorEastAsia"/>
        </w:rPr>
      </w:pPr>
      <w:r>
        <w:rPr>
          <w:rFonts w:hint="eastAsia" w:asciiTheme="minorEastAsia" w:hAnsiTheme="minorEastAsia" w:eastAsiaTheme="minorEastAsia"/>
        </w:rPr>
        <w:t>（二）乙方的权利和义务</w:t>
      </w:r>
    </w:p>
    <w:p>
      <w:pPr>
        <w:ind w:firstLine="496" w:firstLineChars="200"/>
        <w:rPr>
          <w:rFonts w:asciiTheme="minorEastAsia" w:hAnsiTheme="minorEastAsia" w:eastAsiaTheme="minorEastAsia"/>
        </w:rPr>
      </w:pPr>
      <w:r>
        <w:rPr>
          <w:rFonts w:hint="eastAsia" w:asciiTheme="minorEastAsia" w:hAnsiTheme="minorEastAsia" w:eastAsiaTheme="minorEastAsia"/>
        </w:rPr>
        <w:t xml:space="preserve">1.乙方按照合同约定保证提供达到现行合同约定且符合国家标准、行业标准的全新原厂设备以及服务招投标文件约定的功能与参数。 </w:t>
      </w:r>
    </w:p>
    <w:p>
      <w:pPr>
        <w:ind w:firstLine="496" w:firstLineChars="200"/>
        <w:rPr>
          <w:rFonts w:asciiTheme="minorEastAsia" w:hAnsiTheme="minorEastAsia" w:eastAsiaTheme="minorEastAsia"/>
        </w:rPr>
      </w:pPr>
      <w:r>
        <w:rPr>
          <w:rFonts w:hint="eastAsia" w:asciiTheme="minorEastAsia" w:hAnsiTheme="minorEastAsia" w:eastAsiaTheme="minorEastAsia"/>
        </w:rPr>
        <w:t>2.按时到货安装，并承担招标文件所规定的义务。</w:t>
      </w:r>
    </w:p>
    <w:p>
      <w:pPr>
        <w:ind w:firstLine="496" w:firstLineChars="200"/>
        <w:rPr>
          <w:rFonts w:asciiTheme="minorEastAsia" w:hAnsiTheme="minorEastAsia" w:eastAsiaTheme="minorEastAsia"/>
          <w:bCs/>
        </w:rPr>
      </w:pPr>
      <w:r>
        <w:rPr>
          <w:rFonts w:asciiTheme="minorEastAsia" w:hAnsiTheme="minorEastAsia" w:eastAsiaTheme="minorEastAsia"/>
          <w:bCs/>
        </w:rPr>
        <w:t>3</w:t>
      </w:r>
      <w:r>
        <w:rPr>
          <w:rFonts w:hint="eastAsia" w:asciiTheme="minorEastAsia" w:hAnsiTheme="minorEastAsia" w:eastAsiaTheme="minorEastAsia"/>
          <w:bCs/>
        </w:rPr>
        <w:t>.乙方按照本合同约定在履行系统维护和技术服务的过程中，不允许利用甲方提供的工作条件和相关资料，进行与本项目无关的工作。否则，由此造成的全部损失由乙方承担。如因乙方原因致使甲方遭受经济及法律追诉的，由乙方完全承担。乙方应该向甲方公开数据字典和数据结构，便于甲方灵活调取、统计。</w:t>
      </w:r>
    </w:p>
    <w:p>
      <w:pPr>
        <w:ind w:firstLine="496"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乙方应保证所提供软件系统和服务或其任何一部分均不会侵犯任何第三方的专利权、商标权或著作权。乙方保证所提供的产品及服务所有权完全属于乙方且无任何抵押、查封等产权瑕疵。如有权利瑕疵的，视为乙方违约。乙方应负担由此而产生的一切损失。</w:t>
      </w:r>
    </w:p>
    <w:p>
      <w:pPr>
        <w:ind w:firstLine="496"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.乙方负责对甲方的系统数据或因履行本合同获取的一切甲方非公开信息（包括但不限于经营信息、患者信息、技术信息等）进行保密，保证不泄露给任何第三方。</w:t>
      </w:r>
    </w:p>
    <w:p>
      <w:pPr>
        <w:tabs>
          <w:tab w:val="left" w:pos="480"/>
        </w:tabs>
        <w:ind w:firstLine="485" w:firstLineChars="196"/>
        <w:rPr>
          <w:rFonts w:asciiTheme="minorEastAsia" w:hAnsiTheme="minorEastAsia" w:eastAsiaTheme="minorEastAsia"/>
        </w:rPr>
      </w:pPr>
      <w:r>
        <w:rPr>
          <w:rFonts w:hint="eastAsia" w:asciiTheme="minorEastAsia" w:hAnsiTheme="minorEastAsia" w:eastAsiaTheme="minorEastAsia"/>
          <w:b/>
        </w:rPr>
        <w:t>五、交货条件：</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（一）交货地点：甲方指定地点。</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（二）交付期：自合同签订之日起     个日历日，完成货物及系统的运输、安装、调试并正常运行。</w:t>
      </w:r>
    </w:p>
    <w:p>
      <w:pPr>
        <w:tabs>
          <w:tab w:val="left" w:pos="480"/>
        </w:tabs>
        <w:ind w:firstLine="620" w:firstLineChars="250"/>
        <w:rPr>
          <w:rFonts w:asciiTheme="minorEastAsia" w:hAnsiTheme="minorEastAsia" w:eastAsiaTheme="minorEastAsia"/>
        </w:rPr>
      </w:pPr>
      <w:r>
        <w:rPr>
          <w:rFonts w:asciiTheme="minorEastAsia" w:hAnsiTheme="minorEastAsia" w:eastAsiaTheme="minorEastAsia"/>
        </w:rPr>
        <w:t>(三）交付条件：货物产地、规格、型号和数量与合同要求一致，货物</w:t>
      </w:r>
      <w:r>
        <w:rPr>
          <w:rFonts w:hint="eastAsia" w:asciiTheme="minorEastAsia" w:hAnsiTheme="minorEastAsia" w:eastAsiaTheme="minorEastAsia"/>
        </w:rPr>
        <w:t>及系统安装、调试并正常运行后，由乙方进行自检，合格后提供附带市级法定机构出具的计量检定</w:t>
      </w:r>
      <w:r>
        <w:rPr>
          <w:rFonts w:asciiTheme="minorEastAsia" w:hAnsiTheme="minorEastAsia" w:eastAsiaTheme="minorEastAsia"/>
        </w:rPr>
        <w:t>/校准证书方可达到交付条件。</w:t>
      </w:r>
    </w:p>
    <w:p>
      <w:pPr>
        <w:tabs>
          <w:tab w:val="left" w:pos="480"/>
        </w:tabs>
        <w:ind w:firstLine="620" w:firstLineChars="250"/>
        <w:rPr>
          <w:rFonts w:asciiTheme="minorEastAsia" w:hAnsiTheme="minorEastAsia" w:eastAsiaTheme="minorEastAsia"/>
        </w:rPr>
      </w:pPr>
      <w:r>
        <w:rPr>
          <w:rFonts w:hint="eastAsia" w:asciiTheme="minorEastAsia" w:hAnsiTheme="minorEastAsia" w:eastAsiaTheme="minorEastAsia"/>
        </w:rPr>
        <w:t>（四）乙方须保证合同货物采用原厂正品，合同商品须为全新的</w:t>
      </w:r>
      <w:r>
        <w:rPr>
          <w:rFonts w:asciiTheme="minorEastAsia" w:hAnsiTheme="minorEastAsia" w:eastAsiaTheme="minorEastAsia"/>
        </w:rPr>
        <w:t>(包括零部件)、未使用过的，并在各方面均符合招标技术文件中所规定的质量标准、技术参数要求及规格和数量，如有问题，必需更换、补充。更换、补充等处理及相应的费用均由</w:t>
      </w:r>
      <w:r>
        <w:rPr>
          <w:rFonts w:hint="eastAsia" w:asciiTheme="minorEastAsia" w:hAnsiTheme="minorEastAsia" w:eastAsiaTheme="minorEastAsia"/>
        </w:rPr>
        <w:t>乙方自行负担。</w:t>
      </w:r>
    </w:p>
    <w:p>
      <w:pPr>
        <w:tabs>
          <w:tab w:val="left" w:pos="480"/>
        </w:tabs>
        <w:ind w:firstLine="620" w:firstLineChars="250"/>
        <w:rPr>
          <w:rFonts w:asciiTheme="minorEastAsia" w:hAnsiTheme="minorEastAsia" w:eastAsiaTheme="minorEastAsia"/>
        </w:rPr>
      </w:pPr>
      <w:r>
        <w:rPr>
          <w:rFonts w:hint="eastAsia" w:asciiTheme="minorEastAsia" w:hAnsiTheme="minorEastAsia" w:eastAsiaTheme="minorEastAsia"/>
        </w:rPr>
        <w:t>（五）除合同另有规定外，乙方提供的全部货物均应按标准保护措施进行包装。该包装应适应于远距离运输、防潮、防震、防锈和防野蛮装卸，以确保货物安全无损运抵指定地点。由于包装不善所引起的货物损失均由投标人承担。</w:t>
      </w:r>
    </w:p>
    <w:p>
      <w:pPr>
        <w:tabs>
          <w:tab w:val="left" w:pos="480"/>
        </w:tabs>
        <w:ind w:firstLine="496" w:firstLineChars="200"/>
        <w:rPr>
          <w:rFonts w:asciiTheme="minorEastAsia" w:hAnsiTheme="minorEastAsia" w:eastAsiaTheme="minorEastAsia"/>
          <w:b/>
        </w:rPr>
      </w:pPr>
      <w:r>
        <w:rPr>
          <w:rFonts w:hint="eastAsia" w:asciiTheme="minorEastAsia" w:hAnsiTheme="minorEastAsia" w:eastAsiaTheme="minorEastAsia"/>
        </w:rPr>
        <w:t>（六）每一包装单元内应附详细的装箱单和质量合格凭证</w:t>
      </w:r>
      <w:r>
        <w:rPr>
          <w:rFonts w:asciiTheme="minorEastAsia" w:hAnsiTheme="minorEastAsia" w:eastAsiaTheme="minorEastAsia"/>
        </w:rPr>
        <w:t>,到货前不允许有开箱拆机现象及更换内部配件。</w:t>
      </w:r>
      <w:r>
        <w:rPr>
          <w:rFonts w:hint="eastAsia" w:asciiTheme="minorEastAsia" w:hAnsiTheme="minorEastAsia" w:eastAsiaTheme="minorEastAsia"/>
          <w:b/>
        </w:rPr>
        <w:t>六、运输</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（一）运输由乙方负责，运杂费已包含在合同总价内，包括从货物供应地点所含的运输费、装卸费、仓储费、保险费等。</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（二）运输方式由乙方自行选择，但必须保证按期交货。</w:t>
      </w:r>
    </w:p>
    <w:p>
      <w:pPr>
        <w:tabs>
          <w:tab w:val="left" w:pos="480"/>
        </w:tabs>
        <w:ind w:firstLine="485" w:firstLineChars="196"/>
        <w:rPr>
          <w:rFonts w:asciiTheme="minorEastAsia" w:hAnsiTheme="minorEastAsia" w:eastAsiaTheme="minorEastAsia"/>
          <w:bCs/>
        </w:rPr>
      </w:pPr>
      <w:r>
        <w:rPr>
          <w:rFonts w:hint="eastAsia" w:asciiTheme="minorEastAsia" w:hAnsiTheme="minorEastAsia" w:eastAsiaTheme="minorEastAsia"/>
          <w:bCs/>
        </w:rPr>
        <w:t>（三）货物及系统验收合格前，货物毁损、灭失的风险由乙方承担。</w:t>
      </w:r>
    </w:p>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七、安装与调试</w:t>
      </w:r>
    </w:p>
    <w:p>
      <w:pPr>
        <w:tabs>
          <w:tab w:val="left" w:pos="480"/>
        </w:tabs>
        <w:ind w:firstLine="485" w:firstLineChars="196"/>
        <w:rPr>
          <w:rFonts w:asciiTheme="minorEastAsia" w:hAnsiTheme="minorEastAsia" w:eastAsiaTheme="minorEastAsia"/>
          <w:bCs/>
        </w:rPr>
      </w:pPr>
      <w:r>
        <w:rPr>
          <w:rFonts w:hint="eastAsia" w:asciiTheme="minorEastAsia" w:hAnsiTheme="minorEastAsia" w:eastAsiaTheme="minorEastAsia"/>
          <w:bCs/>
        </w:rPr>
        <w:t>（一）自设备安装工作开始，乙方应与甲方指定的工作人员一起参与系统的安装、调测及解决遇到的各种问题。</w:t>
      </w:r>
    </w:p>
    <w:p>
      <w:pPr>
        <w:tabs>
          <w:tab w:val="left" w:pos="480"/>
        </w:tabs>
        <w:ind w:firstLine="485" w:firstLineChars="196"/>
        <w:rPr>
          <w:rFonts w:asciiTheme="minorEastAsia" w:hAnsiTheme="minorEastAsia" w:eastAsiaTheme="minorEastAsia"/>
          <w:bCs/>
        </w:rPr>
      </w:pPr>
      <w:r>
        <w:rPr>
          <w:rFonts w:hint="eastAsia" w:asciiTheme="minorEastAsia" w:hAnsiTheme="minorEastAsia" w:eastAsiaTheme="minorEastAsia"/>
          <w:bCs/>
        </w:rPr>
        <w:t>（二）乙方安装的系统应能正常运转，并与其它相关设备(系统)正确连接，必须符合技术要求，所有软件能够在相应平台上正常运行、各种操作功能 要完全实现，系统测试结果与招标文件的要求要吻合，并得到甲方书面认可方可视为本采购项目结束。</w:t>
      </w:r>
    </w:p>
    <w:p>
      <w:pPr>
        <w:tabs>
          <w:tab w:val="left" w:pos="480"/>
        </w:tabs>
        <w:ind w:firstLine="485" w:firstLineChars="196"/>
        <w:rPr>
          <w:rFonts w:asciiTheme="minorEastAsia" w:hAnsiTheme="minorEastAsia" w:eastAsiaTheme="minorEastAsia"/>
          <w:bCs/>
        </w:rPr>
      </w:pPr>
      <w:r>
        <w:rPr>
          <w:rFonts w:hint="eastAsia" w:asciiTheme="minorEastAsia" w:hAnsiTheme="minorEastAsia" w:eastAsiaTheme="minorEastAsia"/>
          <w:bCs/>
        </w:rPr>
        <w:t>（三）在设备安装调试期间，如果设备出现不正常情况（如设备损坏、故障、达不到技术规范或设备说明书的指标），乙方应无条件并免费在不延误工期的情况下从速替换。</w:t>
      </w:r>
    </w:p>
    <w:p>
      <w:pPr>
        <w:tabs>
          <w:tab w:val="left" w:pos="480"/>
        </w:tabs>
        <w:ind w:firstLine="485" w:firstLineChars="196"/>
        <w:rPr>
          <w:rFonts w:asciiTheme="minorEastAsia" w:hAnsiTheme="minorEastAsia" w:eastAsiaTheme="minorEastAsia"/>
          <w:bCs/>
        </w:rPr>
      </w:pPr>
      <w:r>
        <w:rPr>
          <w:rFonts w:hint="eastAsia" w:asciiTheme="minorEastAsia" w:hAnsiTheme="minorEastAsia" w:eastAsiaTheme="minorEastAsia"/>
          <w:bCs/>
        </w:rPr>
        <w:t>（四）乙方应遵守国家相关施工建设要求和甲方的各项规章制度，严格按照工作规范组织进行运维工作，制定切实可行的措施保障人员安全，设备安全，生产安全。若因本项目履行造成甲方、乙方、甲乙双方工作人员及任意第三方人身损害或财产损失的，均由乙方承担全部责任，与甲方无关。</w:t>
      </w:r>
    </w:p>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八、质量保证</w:t>
      </w:r>
    </w:p>
    <w:p>
      <w:pPr>
        <w:tabs>
          <w:tab w:val="left" w:pos="480"/>
        </w:tabs>
        <w:ind w:firstLine="485" w:firstLineChars="196"/>
        <w:rPr>
          <w:rFonts w:asciiTheme="minorEastAsia" w:hAnsiTheme="minorEastAsia" w:eastAsiaTheme="minorEastAsia"/>
        </w:rPr>
      </w:pPr>
      <w:r>
        <w:rPr>
          <w:rFonts w:hint="eastAsia" w:asciiTheme="minorEastAsia" w:hAnsiTheme="minorEastAsia" w:eastAsiaTheme="minorEastAsia"/>
        </w:rPr>
        <w:t>乙方所供货物及系统必须执行下列条款：</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（一）保证技术指标先进、质量性能可靠、进货渠道正常，配置合理，全面满足招标要求。</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（二）符合国家有关规范要求，确保达到最佳运行状态。</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（三）具有良好的外观，适合安装场所的使用。</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（四）自安装、调试正常运行并验收合格之日起：</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1、免费保修</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 xml:space="preserve"> 年，终身维护，免费保修期内，同一主要部件出现质量问题经过两次维修后仍无法正常使用，可以更换同型号、同规格的全新产品，服务响应时间不超过24小时（工作日），解决问题不超过24小时（工作日），对问题一周内暂不能解决的，为不影响甲方正常工作，乙方在2日内免费提供替代产品，确保正常运行；</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7</w:t>
      </w:r>
      <w:r>
        <w:rPr>
          <w:rFonts w:hint="eastAsia" w:asciiTheme="minorEastAsia" w:hAnsiTheme="minorEastAsia" w:eastAsiaTheme="minorEastAsia"/>
        </w:rPr>
        <w:t>天内，如出现质量问题，可以选择换货或退货</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3、8至15天内，如出现质量问题，可选择换货。</w:t>
      </w:r>
    </w:p>
    <w:p>
      <w:pPr>
        <w:ind w:firstLine="496" w:firstLineChars="200"/>
        <w:rPr>
          <w:rFonts w:asciiTheme="minorEastAsia" w:hAnsiTheme="minorEastAsia" w:eastAsiaTheme="minorEastAsia"/>
          <w:bCs/>
        </w:rPr>
      </w:pPr>
      <w:r>
        <w:rPr>
          <w:rFonts w:hint="eastAsia" w:asciiTheme="minorEastAsia" w:hAnsiTheme="minorEastAsia" w:eastAsiaTheme="minorEastAsia"/>
          <w:bCs/>
        </w:rPr>
        <w:t>（五）乙方保证其提供设备和系统后期可与甲方各类信息化网络系统免费无缝链接。乙方在设备安装调试完成后协助甲方完成设备之间信息化系统的连接和建立，承诺在甲方使用产品期间免费对该产品进行系统升级和维护。</w:t>
      </w:r>
    </w:p>
    <w:p>
      <w:pPr>
        <w:ind w:firstLine="496" w:firstLineChars="200"/>
        <w:rPr>
          <w:rFonts w:asciiTheme="minorEastAsia" w:hAnsiTheme="minorEastAsia" w:eastAsiaTheme="minorEastAsia"/>
          <w:b/>
        </w:rPr>
      </w:pPr>
      <w:r>
        <w:rPr>
          <w:rFonts w:hint="eastAsia" w:asciiTheme="minorEastAsia" w:hAnsiTheme="minorEastAsia" w:eastAsiaTheme="minorEastAsia"/>
          <w:b/>
        </w:rPr>
        <w:t>九、售后及运维服务</w:t>
      </w:r>
    </w:p>
    <w:p>
      <w:pPr>
        <w:ind w:firstLine="496" w:firstLineChars="200"/>
        <w:rPr>
          <w:rFonts w:asciiTheme="minorEastAsia" w:hAnsiTheme="minorEastAsia" w:eastAsiaTheme="minorEastAsia"/>
          <w:b/>
        </w:rPr>
      </w:pPr>
      <w:r>
        <w:rPr>
          <w:rFonts w:hint="eastAsia" w:asciiTheme="minorEastAsia" w:hAnsiTheme="minorEastAsia" w:eastAsiaTheme="minorEastAsia"/>
        </w:rPr>
        <w:t>乙方所供货物提供以下售后服务：</w:t>
      </w:r>
    </w:p>
    <w:p>
      <w:pPr>
        <w:ind w:firstLine="496" w:firstLineChars="200"/>
        <w:rPr>
          <w:rFonts w:asciiTheme="minorEastAsia" w:hAnsiTheme="minorEastAsia" w:eastAsiaTheme="minorEastAsia"/>
        </w:rPr>
      </w:pPr>
      <w:r>
        <w:rPr>
          <w:rFonts w:hint="eastAsia" w:asciiTheme="minorEastAsia" w:hAnsiTheme="minorEastAsia" w:eastAsiaTheme="minorEastAsia"/>
        </w:rPr>
        <w:t>（一）质保期内：</w:t>
      </w:r>
    </w:p>
    <w:p>
      <w:pPr>
        <w:ind w:firstLine="496" w:firstLineChars="200"/>
        <w:rPr>
          <w:rFonts w:asciiTheme="minorEastAsia" w:hAnsiTheme="minorEastAsia" w:eastAsiaTheme="minorEastAsia"/>
        </w:rPr>
      </w:pPr>
      <w:r>
        <w:rPr>
          <w:rFonts w:hint="eastAsia" w:asciiTheme="minorEastAsia" w:hAnsiTheme="minorEastAsia" w:eastAsiaTheme="minorEastAsia"/>
        </w:rPr>
        <w:t>1、发生质量问题，接到甲方通知后，应于当日派出专业的维修人员到现场进行检测维修，发生的全部费用由乙方承担，若需送回生产厂，乙方承担往返费用；</w:t>
      </w:r>
    </w:p>
    <w:p>
      <w:pPr>
        <w:ind w:firstLine="496" w:firstLineChars="200"/>
        <w:rPr>
          <w:rFonts w:asciiTheme="minorEastAsia" w:hAnsiTheme="minorEastAsia" w:eastAsiaTheme="minorEastAsia"/>
        </w:rPr>
      </w:pPr>
      <w:r>
        <w:rPr>
          <w:rFonts w:hint="eastAsia" w:asciiTheme="minorEastAsia" w:hAnsiTheme="minorEastAsia" w:eastAsiaTheme="minorEastAsia"/>
        </w:rPr>
        <w:t>2、定期派技术人员到现场走访，给予检查维护，每年对设备提供一次免费校准服务并提供校准报告，提供设备系统免费升级服务；</w:t>
      </w:r>
    </w:p>
    <w:p>
      <w:pPr>
        <w:tabs>
          <w:tab w:val="left" w:pos="480"/>
        </w:tabs>
        <w:snapToGrid w:val="0"/>
        <w:ind w:firstLine="497"/>
        <w:rPr>
          <w:rFonts w:cs="仿宋" w:asciiTheme="minorEastAsia" w:hAnsiTheme="minorEastAsia" w:eastAsiaTheme="minorEastAsia"/>
        </w:rPr>
      </w:pPr>
      <w:r>
        <w:rPr>
          <w:rFonts w:hint="eastAsia" w:asciiTheme="minorEastAsia" w:hAnsiTheme="minorEastAsia" w:eastAsiaTheme="minorEastAsia"/>
        </w:rPr>
        <w:t>3、排除故障的期限不得超过24小时（工作日）。否则甲方有权指定第三方维修，维修费用由乙方承担或从未付合同款项中扣除，未付合同款不足的部分，由乙方另行支付</w:t>
      </w:r>
      <w:r>
        <w:rPr>
          <w:rFonts w:hint="eastAsia" w:cs="仿宋" w:asciiTheme="minorEastAsia" w:hAnsiTheme="minorEastAsia" w:eastAsiaTheme="minorEastAsia"/>
        </w:rPr>
        <w:t>。</w:t>
      </w:r>
    </w:p>
    <w:p>
      <w:pPr>
        <w:tabs>
          <w:tab w:val="left" w:pos="480"/>
        </w:tabs>
        <w:snapToGrid w:val="0"/>
        <w:ind w:firstLine="497"/>
        <w:rPr>
          <w:rFonts w:cs="仿宋" w:asciiTheme="minorEastAsia" w:hAnsiTheme="minorEastAsia" w:eastAsiaTheme="minorEastAsia"/>
        </w:rPr>
      </w:pPr>
      <w:r>
        <w:rPr>
          <w:rFonts w:cs="仿宋" w:asciiTheme="minorEastAsia" w:hAnsiTheme="minorEastAsia" w:eastAsiaTheme="minorEastAsia"/>
        </w:rPr>
        <w:t>4</w:t>
      </w:r>
      <w:r>
        <w:rPr>
          <w:rFonts w:hint="eastAsia" w:cs="仿宋" w:asciiTheme="minorEastAsia" w:hAnsiTheme="minorEastAsia" w:eastAsiaTheme="minorEastAsia"/>
        </w:rPr>
        <w:t>、运维服务要求</w:t>
      </w:r>
    </w:p>
    <w:p>
      <w:pPr>
        <w:tabs>
          <w:tab w:val="left" w:pos="480"/>
        </w:tabs>
        <w:snapToGrid w:val="0"/>
        <w:ind w:firstLine="496" w:firstLineChars="200"/>
        <w:rPr>
          <w:rFonts w:cs="仿宋" w:asciiTheme="minorEastAsia" w:hAnsiTheme="minorEastAsia" w:eastAsiaTheme="minorEastAsia"/>
        </w:rPr>
      </w:pPr>
      <w:r>
        <w:rPr>
          <w:rFonts w:cs="仿宋" w:asciiTheme="minorEastAsia" w:hAnsiTheme="minorEastAsia" w:eastAsiaTheme="minorEastAsia"/>
        </w:rPr>
        <w:t>1）运维服务基本要求</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乙方应有良好的服务理念和完善的运维服务体系，能够提供本地技术服务</w:t>
      </w:r>
      <w:r>
        <w:rPr>
          <w:rFonts w:cs="仿宋" w:asciiTheme="minorEastAsia" w:hAnsiTheme="minorEastAsia" w:eastAsiaTheme="minorEastAsia"/>
        </w:rPr>
        <w:t>,以便实施运维人员及时解决采购人软件运行中出现的问题和</w:t>
      </w:r>
      <w:r>
        <w:rPr>
          <w:rFonts w:hint="eastAsia" w:cs="仿宋" w:asciiTheme="minorEastAsia" w:hAnsiTheme="minorEastAsia" w:eastAsiaTheme="minorEastAsia"/>
        </w:rPr>
        <w:t>甲方业务发展中的新需求。</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针对本次招标信息系统内容，面向甲方所有院区提供</w:t>
      </w:r>
      <w:r>
        <w:rPr>
          <w:rFonts w:cs="仿宋" w:asciiTheme="minorEastAsia" w:hAnsiTheme="minorEastAsia" w:eastAsiaTheme="minorEastAsia"/>
        </w:rPr>
        <w:t xml:space="preserve"> 7×24小时驻场保障服务，包括：各类使用问题进行及时排查处理；对</w:t>
      </w:r>
      <w:r>
        <w:rPr>
          <w:rFonts w:hint="eastAsia" w:cs="仿宋" w:asciiTheme="minorEastAsia" w:hAnsiTheme="minorEastAsia" w:eastAsiaTheme="minorEastAsia"/>
        </w:rPr>
        <w:t>甲方单位各科室工作人员进行应用系统使用操作指导；信息系统使用过程中的问题受理、事务处理、故障排除；信息系统的流程改造；新增需求，新增内部、外部接口等。通过定期巡检和排查工作，对维护性问题及时处理，对涉及系统</w:t>
      </w:r>
      <w:r>
        <w:rPr>
          <w:rFonts w:cs="仿宋" w:asciiTheme="minorEastAsia" w:hAnsiTheme="minorEastAsia" w:eastAsiaTheme="minorEastAsia"/>
        </w:rPr>
        <w:t xml:space="preserve"> BUG </w:t>
      </w:r>
      <w:r>
        <w:rPr>
          <w:rFonts w:hint="eastAsia" w:cs="仿宋" w:asciiTheme="minorEastAsia" w:hAnsiTheme="minorEastAsia" w:eastAsiaTheme="minorEastAsia"/>
        </w:rPr>
        <w:t>问题进行处理，做到尽早发现问题、尽快消除安全隐患、提前预防重大事故发生，从而保障甲方信息系统安全稳定运行。定期到各院区各科室走访，了解实际使用中的问题，提出合理的流程优化及改进建议。</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乙方及其运维人员，不得随意查看、复制、泄露采购人的医疗、管理、系统及应用等各种信息，如有违约，采购人持有追究其法律责任的权利。</w:t>
      </w:r>
    </w:p>
    <w:p>
      <w:pPr>
        <w:tabs>
          <w:tab w:val="left" w:pos="480"/>
        </w:tabs>
        <w:snapToGrid w:val="0"/>
        <w:ind w:firstLine="496" w:firstLineChars="200"/>
        <w:rPr>
          <w:rFonts w:cs="仿宋" w:asciiTheme="minorEastAsia" w:hAnsiTheme="minorEastAsia" w:eastAsiaTheme="minorEastAsia"/>
        </w:rPr>
      </w:pPr>
      <w:r>
        <w:rPr>
          <w:rFonts w:cs="仿宋" w:asciiTheme="minorEastAsia" w:hAnsiTheme="minorEastAsia" w:eastAsiaTheme="minorEastAsia"/>
        </w:rPr>
        <w:t>2）服务响应时间要求</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按照对甲方实际工作的影响程度，针对日常运维、程序</w:t>
      </w:r>
      <w:r>
        <w:rPr>
          <w:rFonts w:cs="仿宋" w:asciiTheme="minorEastAsia" w:hAnsiTheme="minorEastAsia" w:eastAsiaTheme="minorEastAsia"/>
        </w:rPr>
        <w:t xml:space="preserve"> BUG修复、接口对接、二次开发四个方面，满足以下要求：</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日常运维，定期到临床科室巡检，搜集临床使用过程中的相关问题，在接到系统使用中的简单问题时，响应要求并保障稳定的人力资源持续提供</w:t>
      </w:r>
      <w:r>
        <w:rPr>
          <w:rFonts w:cs="仿宋" w:asciiTheme="minorEastAsia" w:hAnsiTheme="minorEastAsia" w:eastAsiaTheme="minorEastAsia"/>
        </w:rPr>
        <w:t xml:space="preserve"> 7×24 </w:t>
      </w:r>
      <w:r>
        <w:rPr>
          <w:rFonts w:hint="eastAsia" w:cs="仿宋" w:asciiTheme="minorEastAsia" w:hAnsiTheme="minorEastAsia" w:eastAsiaTheme="minorEastAsia"/>
        </w:rPr>
        <w:t>小时电话受理和现场服务工作。</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程序</w:t>
      </w:r>
      <w:r>
        <w:rPr>
          <w:rFonts w:cs="仿宋" w:asciiTheme="minorEastAsia" w:hAnsiTheme="minorEastAsia" w:eastAsiaTheme="minorEastAsia"/>
        </w:rPr>
        <w:t xml:space="preserve"> BUG </w:t>
      </w:r>
      <w:r>
        <w:rPr>
          <w:rFonts w:hint="eastAsia" w:cs="仿宋" w:asciiTheme="minorEastAsia" w:hAnsiTheme="minorEastAsia" w:eastAsiaTheme="minorEastAsia"/>
        </w:rPr>
        <w:t>修复，在巡检过程中主动发现或接到甲方反映，确认是程序</w:t>
      </w:r>
      <w:r>
        <w:rPr>
          <w:rFonts w:cs="仿宋" w:asciiTheme="minorEastAsia" w:hAnsiTheme="minorEastAsia" w:eastAsiaTheme="minorEastAsia"/>
        </w:rPr>
        <w:t xml:space="preserve"> BUG </w:t>
      </w:r>
      <w:r>
        <w:rPr>
          <w:rFonts w:hint="eastAsia" w:cs="仿宋" w:asciiTheme="minorEastAsia" w:hAnsiTheme="minorEastAsia" w:eastAsiaTheme="minorEastAsia"/>
        </w:rPr>
        <w:t>的，</w:t>
      </w:r>
      <w:r>
        <w:rPr>
          <w:rFonts w:cs="仿宋" w:asciiTheme="minorEastAsia" w:hAnsiTheme="minorEastAsia" w:eastAsiaTheme="minorEastAsia"/>
        </w:rPr>
        <w:t xml:space="preserve">24 </w:t>
      </w:r>
      <w:r>
        <w:rPr>
          <w:rFonts w:hint="eastAsia" w:cs="仿宋" w:asciiTheme="minorEastAsia" w:hAnsiTheme="minorEastAsia" w:eastAsiaTheme="minorEastAsia"/>
        </w:rPr>
        <w:t>小时内处理完毕；</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接口对接，对于上级各主管部门政策性要求必须对接的，要在政策规定的时间内完成对接要求；对于院内系统需要对接的，须与甲方充分沟通后，在双方认可的合理时间内，必须完成对接要求。</w:t>
      </w:r>
    </w:p>
    <w:p>
      <w:pPr>
        <w:tabs>
          <w:tab w:val="left" w:pos="480"/>
        </w:tabs>
        <w:snapToGrid w:val="0"/>
        <w:ind w:firstLine="496" w:firstLineChars="200"/>
        <w:rPr>
          <w:rFonts w:cs="仿宋" w:asciiTheme="minorEastAsia" w:hAnsiTheme="minorEastAsia" w:eastAsiaTheme="minorEastAsia"/>
        </w:rPr>
      </w:pPr>
      <w:r>
        <w:rPr>
          <w:rFonts w:hint="eastAsia" w:cs="仿宋" w:asciiTheme="minorEastAsia" w:hAnsiTheme="minorEastAsia" w:eastAsiaTheme="minorEastAsia"/>
        </w:rPr>
        <w:t>本地化修改方面，上级部门要求必须更改时，在上级部门要求的时间内必须更改完成；或者随着业务的不断深入，在甲方认为系统必须做出相应改动以适应新的业务要求时，乙方须与甲方充分沟通，在双方认可的合理时间内，必须完成开发要求。</w:t>
      </w:r>
    </w:p>
    <w:p>
      <w:pPr>
        <w:ind w:firstLine="496" w:firstLineChars="200"/>
        <w:rPr>
          <w:rFonts w:asciiTheme="minorEastAsia" w:hAnsiTheme="minorEastAsia" w:eastAsiaTheme="minorEastAsia"/>
        </w:rPr>
      </w:pPr>
      <w:r>
        <w:rPr>
          <w:rFonts w:hint="eastAsia" w:asciiTheme="minorEastAsia" w:hAnsiTheme="minorEastAsia" w:eastAsiaTheme="minorEastAsia"/>
        </w:rPr>
        <w:t xml:space="preserve">（二）质保期满后：乙方负责承担维修服务，甲方负责承担相关费用。 </w:t>
      </w:r>
    </w:p>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十、技术与服务</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（一）技术资料：</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1、货物合格证；</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2、货物使用说明书（中文）；</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3、进口货物商检证明和报关单；</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4、检验测试报告；</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5、其它资料。</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（二）服务承诺：以澄清表、合同和随货物的相关文件为准。</w:t>
      </w:r>
    </w:p>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十一、验收</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（一）货物到达甲方指定地点后，由甲乙双方共同验收。验收合格后，填写</w:t>
      </w:r>
      <w:r>
        <w:rPr>
          <w:rFonts w:hint="eastAsia" w:asciiTheme="minorEastAsia" w:hAnsiTheme="minorEastAsia" w:eastAsiaTheme="minorEastAsia"/>
          <w:bCs/>
        </w:rPr>
        <w:t>西安市中心医院设备验收单（一式六份并注明合同编号）</w:t>
      </w:r>
      <w:r>
        <w:rPr>
          <w:rFonts w:hint="eastAsia" w:asciiTheme="minorEastAsia" w:hAnsiTheme="minorEastAsia" w:eastAsiaTheme="minorEastAsia"/>
        </w:rPr>
        <w:t>作为对货物的最终认可。</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（二）乙方向甲方提交货物实施过程中的所有资料,以便甲方日后管理和维护。</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三）系统安装调试完成后，经乙方自检，具备交付条件，给甲方提交验收申请，甲方委派专人监督和试用。在设备试运行期间，如果发现任何设备系统的功能和性能不符合本项目招标文件或投标文件的要求，或由于设备故障的发生导致设备停止运行，乙方应承诺在24小时内做出响应并及时修复或更换，所有费用亦由乙方承担。</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（四）因乙方原因导致未能通过验收进而造成项目逾期的，乙方仍应承担逾期交付的违约责任。（五）验收依据：</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1、西安市中心医院报价单、澄清表、排名表；</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2、本合同及附件文本；</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3、国家相应的标准、规范。</w:t>
      </w:r>
    </w:p>
    <w:p>
      <w:pPr>
        <w:tabs>
          <w:tab w:val="left" w:pos="480"/>
        </w:tabs>
        <w:ind w:firstLine="497"/>
        <w:rPr>
          <w:rFonts w:asciiTheme="minorEastAsia" w:hAnsiTheme="minorEastAsia" w:eastAsiaTheme="minorEastAsia"/>
        </w:rPr>
      </w:pPr>
      <w:r>
        <w:rPr>
          <w:rFonts w:hint="eastAsia" w:asciiTheme="minorEastAsia" w:hAnsiTheme="minorEastAsia" w:eastAsiaTheme="minorEastAsia"/>
        </w:rPr>
        <w:t>4、国家有关规定以及招标文件的质量要求和技术指标、投标文件及承诺与本合同约定标准进行验收。</w:t>
      </w:r>
    </w:p>
    <w:p>
      <w:pPr>
        <w:tabs>
          <w:tab w:val="left" w:pos="480"/>
        </w:tabs>
        <w:ind w:firstLine="497"/>
        <w:rPr>
          <w:rFonts w:asciiTheme="minorEastAsia" w:hAnsiTheme="minorEastAsia" w:eastAsiaTheme="minorEastAsia"/>
          <w:b/>
          <w:bCs/>
        </w:rPr>
      </w:pPr>
      <w:r>
        <w:rPr>
          <w:rFonts w:hint="eastAsia" w:asciiTheme="minorEastAsia" w:hAnsiTheme="minorEastAsia" w:eastAsiaTheme="minorEastAsia"/>
          <w:b/>
          <w:bCs/>
        </w:rPr>
        <w:t>十二、培训</w:t>
      </w:r>
    </w:p>
    <w:p>
      <w:pPr>
        <w:tabs>
          <w:tab w:val="left" w:pos="480"/>
        </w:tabs>
        <w:ind w:firstLine="497"/>
        <w:rPr>
          <w:rFonts w:asciiTheme="minorEastAsia" w:hAnsiTheme="minorEastAsia" w:eastAsiaTheme="minorEastAsia"/>
        </w:rPr>
      </w:pPr>
      <w:r>
        <w:rPr>
          <w:rFonts w:hint="eastAsia" w:asciiTheme="minorEastAsia" w:hAnsiTheme="minorEastAsia" w:eastAsiaTheme="minorEastAsia"/>
        </w:rPr>
        <w:t>1、为更好的使用智能化及物联网应用系统，乙方应对甲方进行系统、有效的培训服务。在该项目的每个实施阶段根据培训要求为各相关单位人员提供相应的培训。在组织培训过程中，提供系统结构、性能、使用、维护、定制和升级等各方面的培训内容，并提供全套培训教材和培训计划。同时应针对不同的培训对象制定不同的培训方案，确保每个参加培训的人员能掌握系统的使用方法。</w:t>
      </w:r>
    </w:p>
    <w:p>
      <w:pPr>
        <w:tabs>
          <w:tab w:val="left" w:pos="480"/>
        </w:tabs>
        <w:ind w:firstLine="497"/>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、乙方应按甲方要求向甲方提供免费产品使用培训，使甲方工作人员能正常操作使用相关产品，并对甲方的网络管理员进行免费培训，使其熟练掌握相关产品日常维护。</w:t>
      </w:r>
    </w:p>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十三、违约责任</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（一）按《政府采购法》、《民法典》中的相关条款执行。</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乙方未按合同要求提供货物、软件系统或所提供货物质量、所提供系统的功能不能满足本合同、招标文件、投标文件等相关文件要求时，乙方必须无条件按甲方要求的时限进行更换，提高技术，完善质量，否则，甲方有权解除合同，解除合同书面通知书到达乙方之日视为合同已解除，并按以下两种方式追究乙方的违约责任：</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1、乙方赔偿甲方解除合同的全部损失（包括但不限于重新采购产生的费用、合同未履行导致设备不能按规划交付使用或系统未能按时上线使用可能产生的租赁费用及其它由此造成的甲方对第三方的违约损失）；</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2、乙方支付甲方违约金，违约金计算方法：以合同总价为基数，支付甲方合同总价的30%为违约金。</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同时，甲方有权对乙方的违约行为报监管机构进行相应的处罚。</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三）乙方未按合同第五条第（二）款约定的时限完成货物及系统的运输、安装、调试并正常运行的，每逾期一天，乙方应按照合同总价款的【】%向甲方支付违约金；迟延交货超过【】天的，视为乙方根本违约，甲方有权依据本条第（二）款之约定单方解除本合同。</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（四）若乙方未按合同约定的时限提供售后、运维及质保服务的或排除故障的，每出现一次，应向甲方支付【 】元的违约金，合同期内前述情形累计出现【 】次的，甲方有权依据本条第（二）款之约定单方解除本合同。</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（五）乙方违约时，甲方为主张权利而支出的律师费、保全费、保全保险费、差旅费等费用由乙方承担。</w:t>
      </w:r>
    </w:p>
    <w:p>
      <w:pPr>
        <w:tabs>
          <w:tab w:val="left" w:pos="480"/>
        </w:tabs>
        <w:ind w:firstLine="496" w:firstLineChars="200"/>
        <w:rPr>
          <w:rFonts w:asciiTheme="minorEastAsia" w:hAnsiTheme="minorEastAsia" w:eastAsiaTheme="minorEastAsia"/>
          <w:b/>
        </w:rPr>
      </w:pPr>
      <w:r>
        <w:rPr>
          <w:rFonts w:hint="eastAsia" w:asciiTheme="minorEastAsia" w:hAnsiTheme="minorEastAsia" w:eastAsiaTheme="minorEastAsia"/>
          <w:b/>
        </w:rPr>
        <w:t>十四、合同争议解决的方式</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本合同在履行过程中发生的争议，由甲、乙双方当事人协商解决，协商不成的按下列第</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②</w:t>
      </w:r>
      <w:r>
        <w:rPr>
          <w:rFonts w:asciiTheme="minorEastAsia" w:hAnsiTheme="minorEastAsia" w:eastAsiaTheme="minorEastAsia"/>
          <w:u w:val="single"/>
        </w:rPr>
        <w:t xml:space="preserve">  </w:t>
      </w:r>
      <w:r>
        <w:rPr>
          <w:rFonts w:hint="eastAsia" w:asciiTheme="minorEastAsia" w:hAnsiTheme="minorEastAsia" w:eastAsiaTheme="minorEastAsia"/>
        </w:rPr>
        <w:t>种方式解决：</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（一）提交</w:t>
      </w:r>
      <w:r>
        <w:rPr>
          <w:rFonts w:hint="eastAsia" w:asciiTheme="minorEastAsia" w:hAnsiTheme="minorEastAsia" w:eastAsiaTheme="minorEastAsia"/>
          <w:u w:val="single"/>
        </w:rPr>
        <w:t>西安</w:t>
      </w:r>
      <w:r>
        <w:rPr>
          <w:rFonts w:hint="eastAsia" w:asciiTheme="minorEastAsia" w:hAnsiTheme="minorEastAsia" w:eastAsiaTheme="minorEastAsia"/>
        </w:rPr>
        <w:t>仲裁委员会仲裁；</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（二）依法向</w:t>
      </w:r>
      <w:r>
        <w:rPr>
          <w:rFonts w:hint="eastAsia" w:asciiTheme="minorEastAsia" w:hAnsiTheme="minorEastAsia" w:eastAsiaTheme="minorEastAsia"/>
          <w:u w:val="single"/>
        </w:rPr>
        <w:t>甲方所在地</w:t>
      </w:r>
      <w:r>
        <w:rPr>
          <w:rFonts w:hint="eastAsia" w:asciiTheme="minorEastAsia" w:hAnsiTheme="minorEastAsia" w:eastAsiaTheme="minorEastAsia"/>
        </w:rPr>
        <w:t>人民法院起诉。</w:t>
      </w:r>
    </w:p>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十五、合同生效</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本合同一式陆份，甲方执伍份，乙方执壹份，本合同甲、乙双方签字盖章后生效，合同执行完毕后，自动终止（合同的服务承诺则长期有效）。</w:t>
      </w:r>
    </w:p>
    <w:p>
      <w:pPr>
        <w:tabs>
          <w:tab w:val="left" w:pos="480"/>
        </w:tabs>
        <w:ind w:firstLine="485" w:firstLineChars="196"/>
        <w:rPr>
          <w:rFonts w:asciiTheme="minorEastAsia" w:hAnsiTheme="minorEastAsia" w:eastAsiaTheme="minorEastAsia"/>
          <w:b/>
        </w:rPr>
      </w:pPr>
      <w:r>
        <w:rPr>
          <w:rFonts w:hint="eastAsia" w:asciiTheme="minorEastAsia" w:hAnsiTheme="minorEastAsia" w:eastAsiaTheme="minorEastAsia"/>
          <w:b/>
        </w:rPr>
        <w:t>十六、其他事项</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（一）招标文件、投标文件报价单、澄清表、中标通知书、合同附件均成为合同不可分割的部分。</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（二）合同未尽事宜，由甲、乙双方协商、确认后，作为合同补充，与原合同具有同等法律效力。</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（三）合同一经签订，不得擅自变更、中止或终止合同。对确需变更、调整或中止、终止合同的，应按规定履行相应的手续。</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（四）本合同按照中华人民共和国的现行法律进行解释。</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（五）供应商规模：</w:t>
      </w:r>
      <w:r>
        <w:rPr>
          <w:rFonts w:hint="eastAsia" w:asciiTheme="minorEastAsia" w:hAnsiTheme="minorEastAsia" w:eastAsiaTheme="minorEastAsia"/>
          <w:u w:val="single"/>
        </w:rPr>
        <w:t xml:space="preserve">                </w:t>
      </w:r>
      <w:r>
        <w:rPr>
          <w:rFonts w:hint="eastAsia" w:asciiTheme="minorEastAsia" w:hAnsiTheme="minorEastAsia" w:eastAsiaTheme="minorEastAsia"/>
        </w:rPr>
        <w:t>（大型企业/中型企业/小微型企业）</w:t>
      </w:r>
    </w:p>
    <w:p>
      <w:pPr>
        <w:tabs>
          <w:tab w:val="left" w:pos="480"/>
        </w:tabs>
        <w:ind w:firstLine="496" w:firstLineChars="200"/>
        <w:rPr>
          <w:rFonts w:asciiTheme="minorEastAsia" w:hAnsiTheme="minorEastAsia" w:eastAsiaTheme="minorEastAsia"/>
          <w:u w:val="single"/>
        </w:rPr>
      </w:pPr>
      <w:r>
        <w:rPr>
          <w:rFonts w:hint="eastAsia" w:asciiTheme="minorEastAsia" w:hAnsiTheme="minorEastAsia" w:eastAsiaTheme="minorEastAsia"/>
        </w:rPr>
        <w:t>（六） 甲方联系人：</w:t>
      </w:r>
      <w:r>
        <w:rPr>
          <w:rFonts w:hint="eastAsia" w:asciiTheme="minorEastAsia" w:hAnsiTheme="minorEastAsia" w:eastAsiaTheme="minorEastAsia"/>
          <w:u w:val="single"/>
        </w:rPr>
        <w:t xml:space="preserve">           </w:t>
      </w:r>
      <w:r>
        <w:rPr>
          <w:rFonts w:hint="eastAsia" w:asciiTheme="minorEastAsia" w:hAnsiTheme="minorEastAsia" w:eastAsiaTheme="minorEastAsia"/>
        </w:rPr>
        <w:t>；联系电话：</w:t>
      </w:r>
      <w:r>
        <w:rPr>
          <w:rFonts w:hint="eastAsia" w:asciiTheme="minorEastAsia" w:hAnsiTheme="minorEastAsia" w:eastAsiaTheme="minorEastAsia"/>
          <w:u w:val="single"/>
        </w:rPr>
        <w:t xml:space="preserve">            </w:t>
      </w:r>
    </w:p>
    <w:p>
      <w:pPr>
        <w:tabs>
          <w:tab w:val="left" w:pos="480"/>
        </w:tabs>
        <w:ind w:firstLine="1240" w:firstLineChars="500"/>
        <w:rPr>
          <w:rFonts w:asciiTheme="minorEastAsia" w:hAnsiTheme="minorEastAsia" w:eastAsiaTheme="minorEastAsia"/>
        </w:rPr>
      </w:pPr>
      <w:r>
        <w:rPr>
          <w:rFonts w:hint="eastAsia" w:asciiTheme="minorEastAsia" w:hAnsiTheme="minorEastAsia" w:eastAsiaTheme="minorEastAsia"/>
        </w:rPr>
        <w:t xml:space="preserve"> 乙方联系人：</w:t>
      </w:r>
      <w:r>
        <w:rPr>
          <w:rFonts w:hint="eastAsia" w:asciiTheme="minorEastAsia" w:hAnsiTheme="minorEastAsia" w:eastAsiaTheme="minorEastAsia"/>
          <w:u w:val="single"/>
        </w:rPr>
        <w:t xml:space="preserve">           </w:t>
      </w:r>
      <w:r>
        <w:rPr>
          <w:rFonts w:hint="eastAsia" w:asciiTheme="minorEastAsia" w:hAnsiTheme="minorEastAsia" w:eastAsiaTheme="minorEastAsia"/>
        </w:rPr>
        <w:t>；联系电话：</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tabs>
          <w:tab w:val="left" w:pos="480"/>
        </w:tabs>
        <w:rPr>
          <w:rFonts w:asciiTheme="minorEastAsia" w:hAnsiTheme="minorEastAsia" w:eastAsiaTheme="minorEastAsia"/>
        </w:rPr>
      </w:pP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（以下无正文）</w:t>
      </w:r>
    </w:p>
    <w:p>
      <w:pPr>
        <w:tabs>
          <w:tab w:val="left" w:pos="480"/>
        </w:tabs>
        <w:rPr>
          <w:rFonts w:asciiTheme="minorEastAsia" w:hAnsiTheme="minorEastAsia" w:eastAsiaTheme="minorEastAsia"/>
        </w:rPr>
      </w:pPr>
    </w:p>
    <w:p>
      <w:pPr>
        <w:tabs>
          <w:tab w:val="left" w:pos="480"/>
        </w:tabs>
        <w:rPr>
          <w:rFonts w:asciiTheme="minorEastAsia" w:hAnsiTheme="minorEastAsia" w:eastAsiaTheme="minorEastAsia"/>
        </w:rPr>
      </w:pPr>
    </w:p>
    <w:p>
      <w:pPr>
        <w:tabs>
          <w:tab w:val="left" w:pos="480"/>
        </w:tabs>
        <w:rPr>
          <w:rFonts w:asciiTheme="minorEastAsia" w:hAnsiTheme="minorEastAsia" w:eastAsiaTheme="minorEastAsia"/>
        </w:rPr>
      </w:pP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甲  方（法人公章）                          乙  方（法人公章）</w:t>
      </w:r>
    </w:p>
    <w:p>
      <w:pPr>
        <w:tabs>
          <w:tab w:val="left" w:pos="480"/>
        </w:tabs>
        <w:ind w:firstLine="496" w:firstLineChars="200"/>
        <w:rPr>
          <w:rFonts w:asciiTheme="minorEastAsia" w:hAnsiTheme="minorEastAsia" w:eastAsiaTheme="minorEastAsia"/>
        </w:rPr>
      </w:pP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 xml:space="preserve">法定代表人：                                法定代表人： </w:t>
      </w:r>
    </w:p>
    <w:p>
      <w:pPr>
        <w:tabs>
          <w:tab w:val="left" w:pos="480"/>
        </w:tabs>
        <w:ind w:firstLine="496" w:firstLineChars="200"/>
        <w:rPr>
          <w:rFonts w:asciiTheme="minorEastAsia" w:hAnsiTheme="minorEastAsia" w:eastAsiaTheme="minorEastAsia"/>
        </w:rPr>
      </w:pP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代理人：                                    代理人：</w:t>
      </w:r>
    </w:p>
    <w:p>
      <w:pPr>
        <w:tabs>
          <w:tab w:val="left" w:pos="480"/>
        </w:tabs>
        <w:ind w:firstLine="5952" w:firstLineChars="2400"/>
        <w:rPr>
          <w:rFonts w:asciiTheme="minorEastAsia" w:hAnsiTheme="minorEastAsia" w:eastAsiaTheme="minorEastAsia"/>
        </w:rPr>
      </w:pPr>
      <w:r>
        <w:rPr>
          <w:rFonts w:hint="eastAsia" w:asciiTheme="minorEastAsia" w:hAnsiTheme="minorEastAsia" w:eastAsiaTheme="minorEastAsia"/>
        </w:rPr>
        <w:t>开户银行：</w:t>
      </w:r>
    </w:p>
    <w:p>
      <w:pPr>
        <w:tabs>
          <w:tab w:val="left" w:pos="480"/>
        </w:tabs>
        <w:ind w:firstLine="5952" w:firstLineChars="2400"/>
        <w:rPr>
          <w:rFonts w:asciiTheme="minorEastAsia" w:hAnsiTheme="minorEastAsia" w:eastAsiaTheme="minorEastAsia"/>
        </w:rPr>
      </w:pPr>
      <w:r>
        <w:rPr>
          <w:rFonts w:hint="eastAsia" w:asciiTheme="minorEastAsia" w:hAnsiTheme="minorEastAsia" w:eastAsiaTheme="minorEastAsia"/>
        </w:rPr>
        <w:t>帐  号：</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 xml:space="preserve">单位名称：西安市中心医院                  </w:t>
      </w:r>
      <w:r>
        <w:rPr>
          <w:rFonts w:asciiTheme="minorEastAsia" w:hAnsiTheme="minorEastAsia" w:eastAsiaTheme="minorEastAsia"/>
        </w:rPr>
        <w:t xml:space="preserve">  </w:t>
      </w:r>
      <w:r>
        <w:rPr>
          <w:rFonts w:hint="eastAsia" w:asciiTheme="minorEastAsia" w:hAnsiTheme="minorEastAsia" w:eastAsiaTheme="minorEastAsia"/>
        </w:rPr>
        <w:t>单位名称：</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 xml:space="preserve">地  址：西安市新城区西五路161号          </w:t>
      </w:r>
      <w:r>
        <w:rPr>
          <w:rFonts w:asciiTheme="minorEastAsia" w:hAnsiTheme="minorEastAsia" w:eastAsiaTheme="minorEastAsia"/>
        </w:rPr>
        <w:t xml:space="preserve">  </w:t>
      </w:r>
      <w:r>
        <w:rPr>
          <w:rFonts w:hint="eastAsia" w:asciiTheme="minorEastAsia" w:hAnsiTheme="minorEastAsia" w:eastAsiaTheme="minorEastAsia"/>
        </w:rPr>
        <w:t>地  址：</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 xml:space="preserve">联系电话：                                </w:t>
      </w:r>
      <w:r>
        <w:rPr>
          <w:rFonts w:asciiTheme="minorEastAsia" w:hAnsiTheme="minorEastAsia" w:eastAsiaTheme="minorEastAsia"/>
        </w:rPr>
        <w:t xml:space="preserve">  </w:t>
      </w:r>
      <w:r>
        <w:rPr>
          <w:rFonts w:hint="eastAsia" w:asciiTheme="minorEastAsia" w:hAnsiTheme="minorEastAsia" w:eastAsiaTheme="minorEastAsia"/>
        </w:rPr>
        <w:t>联系电话：</w:t>
      </w:r>
    </w:p>
    <w:p>
      <w:pPr>
        <w:tabs>
          <w:tab w:val="left" w:pos="480"/>
        </w:tabs>
        <w:ind w:firstLine="496" w:firstLineChars="200"/>
        <w:rPr>
          <w:rFonts w:asciiTheme="minorEastAsia" w:hAnsiTheme="minorEastAsia" w:eastAsiaTheme="minorEastAsia"/>
        </w:rPr>
      </w:pPr>
      <w:r>
        <w:rPr>
          <w:rFonts w:hint="eastAsia" w:asciiTheme="minorEastAsia" w:hAnsiTheme="minorEastAsia" w:eastAsiaTheme="minorEastAsia"/>
        </w:rPr>
        <w:t xml:space="preserve">签订日期：                                </w:t>
      </w:r>
      <w:r>
        <w:rPr>
          <w:rFonts w:asciiTheme="minorEastAsia" w:hAnsiTheme="minorEastAsia" w:eastAsiaTheme="minorEastAsia"/>
        </w:rPr>
        <w:t xml:space="preserve">  </w:t>
      </w:r>
      <w:r>
        <w:rPr>
          <w:rFonts w:hint="eastAsia" w:asciiTheme="minorEastAsia" w:hAnsiTheme="minorEastAsia" w:eastAsiaTheme="minorEastAsia"/>
        </w:rPr>
        <w:t xml:space="preserve">签订日期：  </w:t>
      </w:r>
    </w:p>
    <w:p>
      <w:pPr>
        <w:rPr>
          <w:rFonts w:asciiTheme="minorEastAsia" w:hAnsiTheme="minorEastAsia" w:eastAsiaTheme="minorEastAsia"/>
        </w:rPr>
      </w:pPr>
    </w:p>
    <w:p>
      <w:pPr>
        <w:ind w:left="500" w:leftChars="202"/>
        <w:rPr>
          <w:rFonts w:asciiTheme="minorEastAsia" w:hAnsiTheme="minorEastAsia" w:eastAsiaTheme="minorEastAsia"/>
        </w:rPr>
      </w:pPr>
    </w:p>
    <w:p>
      <w:pPr>
        <w:ind w:left="500" w:leftChars="202"/>
        <w:rPr>
          <w:rFonts w:asciiTheme="minorEastAsia" w:hAnsiTheme="minorEastAsia" w:eastAsiaTheme="minorEastAsia"/>
        </w:rPr>
      </w:pPr>
    </w:p>
    <w:p>
      <w:pPr>
        <w:ind w:left="500" w:leftChars="202"/>
        <w:rPr>
          <w:rFonts w:asciiTheme="minorEastAsia" w:hAnsiTheme="minorEastAsia" w:eastAsiaTheme="minorEastAsia"/>
        </w:rPr>
      </w:pPr>
    </w:p>
    <w:p>
      <w:pPr>
        <w:rPr>
          <w:rFonts w:cs="宋体" w:asciiTheme="minorEastAsia" w:hAnsiTheme="minorEastAsia" w:eastAsiaTheme="minorEastAsia"/>
        </w:rPr>
      </w:pPr>
      <w:bookmarkStart w:id="78" w:name="_Toc23780"/>
      <w:r>
        <w:rPr>
          <w:rFonts w:hint="eastAsia" w:cs="仿宋_GB2312" w:asciiTheme="minorEastAsia" w:hAnsiTheme="minorEastAsia" w:eastAsiaTheme="minorEastAsia"/>
        </w:rPr>
        <w:br w:type="page"/>
      </w:r>
      <w:bookmarkEnd w:id="78"/>
    </w:p>
    <w:p>
      <w:pPr>
        <w:pStyle w:val="6"/>
        <w:rPr>
          <w:rFonts w:cs="宋体" w:asciiTheme="minorEastAsia" w:hAnsiTheme="minorEastAsia" w:eastAsiaTheme="minorEastAsia"/>
          <w:sz w:val="24"/>
          <w:szCs w:val="24"/>
        </w:rPr>
      </w:pPr>
      <w:bookmarkStart w:id="79" w:name="_Toc135129535"/>
      <w:r>
        <w:rPr>
          <w:rFonts w:hint="eastAsia" w:cs="宋体" w:asciiTheme="minorEastAsia" w:hAnsiTheme="minorEastAsia" w:eastAsiaTheme="minorEastAsia"/>
          <w:sz w:val="24"/>
          <w:szCs w:val="24"/>
        </w:rPr>
        <w:t>第五章  投标文件构成及格式</w:t>
      </w:r>
      <w:bookmarkEnd w:id="77"/>
      <w:bookmarkEnd w:id="79"/>
    </w:p>
    <w:p>
      <w:pPr>
        <w:spacing w:line="560" w:lineRule="exact"/>
        <w:ind w:firstLine="496" w:firstLineChars="200"/>
        <w:jc w:val="both"/>
        <w:rPr>
          <w:rFonts w:cs="宋体" w:asciiTheme="minorEastAsia" w:hAnsiTheme="minorEastAsia" w:eastAsiaTheme="minorEastAsia"/>
        </w:rPr>
      </w:pPr>
    </w:p>
    <w:p>
      <w:pPr>
        <w:spacing w:line="560" w:lineRule="exact"/>
        <w:ind w:firstLine="496" w:firstLineChars="200"/>
        <w:jc w:val="both"/>
        <w:rPr>
          <w:rFonts w:cs="宋体" w:asciiTheme="minorEastAsia" w:hAnsiTheme="minorEastAsia" w:eastAsiaTheme="minorEastAsia"/>
        </w:rPr>
      </w:pPr>
    </w:p>
    <w:p>
      <w:pPr>
        <w:spacing w:line="560" w:lineRule="exact"/>
        <w:jc w:val="both"/>
        <w:rPr>
          <w:rFonts w:cs="宋体" w:asciiTheme="minorEastAsia" w:hAnsiTheme="minorEastAsia" w:eastAsiaTheme="minorEastAsia"/>
        </w:rPr>
      </w:pPr>
    </w:p>
    <w:p>
      <w:pPr>
        <w:snapToGrid w:val="0"/>
        <w:spacing w:line="360" w:lineRule="auto"/>
        <w:jc w:val="center"/>
        <w:rPr>
          <w:rFonts w:cs="宋体" w:asciiTheme="minorEastAsia" w:hAnsiTheme="minorEastAsia" w:eastAsiaTheme="minorEastAsia"/>
          <w:b/>
          <w:bCs/>
        </w:rPr>
      </w:pPr>
      <w:r>
        <w:rPr>
          <w:rFonts w:hint="eastAsia" w:cs="宋体" w:asciiTheme="minorEastAsia" w:hAnsiTheme="minorEastAsia" w:eastAsiaTheme="minorEastAsia"/>
          <w:b/>
          <w:bCs/>
        </w:rPr>
        <w:t>西安市中心医院经开院区智能化</w:t>
      </w:r>
    </w:p>
    <w:p>
      <w:pPr>
        <w:snapToGrid w:val="0"/>
        <w:spacing w:line="360" w:lineRule="auto"/>
        <w:jc w:val="center"/>
        <w:rPr>
          <w:rFonts w:cs="宋体" w:asciiTheme="minorEastAsia" w:hAnsiTheme="minorEastAsia" w:eastAsiaTheme="minorEastAsia"/>
          <w:b/>
          <w:bCs/>
        </w:rPr>
      </w:pPr>
      <w:r>
        <w:rPr>
          <w:rFonts w:hint="eastAsia" w:cs="宋体" w:asciiTheme="minorEastAsia" w:hAnsiTheme="minorEastAsia" w:eastAsiaTheme="minorEastAsia"/>
          <w:b/>
          <w:bCs/>
        </w:rPr>
        <w:t>物联网系统建设项目</w:t>
      </w:r>
    </w:p>
    <w:p>
      <w:pPr>
        <w:snapToGrid w:val="0"/>
        <w:jc w:val="center"/>
        <w:rPr>
          <w:rFonts w:cs="宋体" w:asciiTheme="minorEastAsia" w:hAnsiTheme="minorEastAsia" w:eastAsiaTheme="minorEastAsia"/>
          <w:b/>
          <w:bCs/>
        </w:rPr>
      </w:pPr>
    </w:p>
    <w:p>
      <w:pPr>
        <w:snapToGrid w:val="0"/>
        <w:jc w:val="center"/>
        <w:rPr>
          <w:rFonts w:cs="宋体" w:asciiTheme="minorEastAsia" w:hAnsiTheme="minorEastAsia" w:eastAsiaTheme="minorEastAsia"/>
          <w:b/>
          <w:bCs/>
        </w:rPr>
      </w:pPr>
    </w:p>
    <w:p>
      <w:pPr>
        <w:snapToGrid w:val="0"/>
        <w:jc w:val="center"/>
        <w:rPr>
          <w:rFonts w:cs="宋体" w:asciiTheme="minorEastAsia" w:hAnsiTheme="minorEastAsia" w:eastAsiaTheme="minorEastAsia"/>
          <w:b/>
          <w:bCs/>
        </w:rPr>
      </w:pPr>
      <w:r>
        <w:rPr>
          <w:rFonts w:hint="eastAsia" w:cs="宋体" w:asciiTheme="minorEastAsia" w:hAnsiTheme="minorEastAsia" w:eastAsiaTheme="minorEastAsia"/>
          <w:b/>
          <w:bCs/>
        </w:rPr>
        <w:t>投标文件</w:t>
      </w:r>
    </w:p>
    <w:p>
      <w:pPr>
        <w:rPr>
          <w:rFonts w:cs="宋体" w:asciiTheme="minorEastAsia" w:hAnsiTheme="minorEastAsia" w:eastAsiaTheme="minorEastAsia"/>
        </w:rPr>
      </w:pPr>
    </w:p>
    <w:p>
      <w:pPr>
        <w:rPr>
          <w:rFonts w:cs="宋体" w:asciiTheme="minorEastAsia" w:hAnsiTheme="minorEastAsia" w:eastAsiaTheme="minorEastAsia"/>
        </w:rPr>
      </w:pPr>
    </w:p>
    <w:p>
      <w:pPr>
        <w:rPr>
          <w:rFonts w:cs="宋体" w:asciiTheme="minorEastAsia" w:hAnsiTheme="minorEastAsia" w:eastAsiaTheme="minorEastAsia"/>
        </w:rPr>
      </w:pPr>
    </w:p>
    <w:p>
      <w:pPr>
        <w:rPr>
          <w:rFonts w:cs="宋体" w:asciiTheme="minorEastAsia" w:hAnsiTheme="minorEastAsia" w:eastAsiaTheme="minorEastAsia"/>
        </w:rPr>
      </w:pPr>
    </w:p>
    <w:p>
      <w:pPr>
        <w:spacing w:line="560" w:lineRule="exact"/>
        <w:ind w:firstLine="496" w:firstLineChars="200"/>
        <w:jc w:val="center"/>
        <w:rPr>
          <w:rFonts w:cs="宋体" w:asciiTheme="minorEastAsia" w:hAnsiTheme="minorEastAsia" w:eastAsiaTheme="minorEastAsia"/>
        </w:rPr>
      </w:pPr>
      <w:r>
        <w:rPr>
          <w:rFonts w:hint="eastAsia" w:cs="宋体" w:asciiTheme="minorEastAsia" w:hAnsiTheme="minorEastAsia" w:eastAsiaTheme="minorEastAsia"/>
          <w:b/>
          <w:bCs/>
        </w:rPr>
        <w:t>项目编号：ZMZB2023ZXYY-74</w:t>
      </w:r>
    </w:p>
    <w:p>
      <w:pPr>
        <w:spacing w:line="560" w:lineRule="exact"/>
        <w:ind w:firstLine="496" w:firstLineChars="200"/>
        <w:jc w:val="both"/>
        <w:rPr>
          <w:rFonts w:cs="宋体" w:asciiTheme="minorEastAsia" w:hAnsiTheme="minorEastAsia" w:eastAsiaTheme="minorEastAsia"/>
        </w:rPr>
      </w:pPr>
    </w:p>
    <w:p>
      <w:pPr>
        <w:spacing w:line="560" w:lineRule="exact"/>
        <w:ind w:firstLine="496" w:firstLineChars="200"/>
        <w:jc w:val="both"/>
        <w:rPr>
          <w:rFonts w:cs="宋体" w:asciiTheme="minorEastAsia" w:hAnsiTheme="minorEastAsia" w:eastAsiaTheme="minorEastAsia"/>
        </w:rPr>
      </w:pPr>
    </w:p>
    <w:p>
      <w:pPr>
        <w:spacing w:line="560" w:lineRule="exact"/>
        <w:ind w:firstLine="496" w:firstLineChars="200"/>
        <w:jc w:val="both"/>
        <w:rPr>
          <w:rFonts w:cs="宋体" w:asciiTheme="minorEastAsia" w:hAnsiTheme="minorEastAsia" w:eastAsiaTheme="minorEastAsia"/>
        </w:rPr>
      </w:pPr>
    </w:p>
    <w:p>
      <w:pPr>
        <w:spacing w:line="560" w:lineRule="exact"/>
        <w:jc w:val="both"/>
        <w:rPr>
          <w:rFonts w:cs="宋体" w:asciiTheme="minorEastAsia" w:hAnsiTheme="minorEastAsia" w:eastAsiaTheme="minorEastAsia"/>
        </w:rPr>
      </w:pPr>
    </w:p>
    <w:p>
      <w:pPr>
        <w:snapToGrid w:val="0"/>
        <w:spacing w:line="360" w:lineRule="auto"/>
        <w:ind w:firstLine="496" w:firstLineChars="200"/>
        <w:rPr>
          <w:rFonts w:cs="宋体" w:asciiTheme="minorEastAsia" w:hAnsiTheme="minorEastAsia" w:eastAsiaTheme="minorEastAsia"/>
          <w:lang w:val="zh-CN"/>
        </w:rPr>
      </w:pPr>
    </w:p>
    <w:p>
      <w:pPr>
        <w:snapToGrid w:val="0"/>
        <w:spacing w:line="360" w:lineRule="auto"/>
        <w:ind w:firstLine="496" w:firstLineChars="200"/>
        <w:rPr>
          <w:rFonts w:cs="宋体" w:asciiTheme="minorEastAsia" w:hAnsiTheme="minorEastAsia" w:eastAsiaTheme="minorEastAsia"/>
          <w:u w:val="single"/>
        </w:rPr>
      </w:pPr>
      <w:r>
        <w:rPr>
          <w:rFonts w:hint="eastAsia" w:cs="宋体" w:asciiTheme="minorEastAsia" w:hAnsiTheme="minorEastAsia" w:eastAsiaTheme="minorEastAsia"/>
          <w:lang w:val="zh-CN"/>
        </w:rPr>
        <w:t>供应商（单位名称）：</w:t>
      </w:r>
      <w:r>
        <w:rPr>
          <w:rFonts w:hint="eastAsia" w:cs="宋体" w:asciiTheme="minorEastAsia" w:hAnsiTheme="minorEastAsia" w:eastAsiaTheme="minorEastAsia"/>
        </w:rPr>
        <w:t>______________</w:t>
      </w:r>
    </w:p>
    <w:p>
      <w:pPr>
        <w:snapToGrid w:val="0"/>
        <w:spacing w:line="360" w:lineRule="auto"/>
        <w:ind w:firstLine="496" w:firstLineChars="200"/>
        <w:rPr>
          <w:rFonts w:cs="宋体" w:asciiTheme="minorEastAsia" w:hAnsiTheme="minorEastAsia" w:eastAsiaTheme="minorEastAsia"/>
          <w:u w:val="single"/>
        </w:rPr>
      </w:pPr>
      <w:r>
        <w:rPr>
          <w:rFonts w:hint="eastAsia" w:cs="宋体" w:asciiTheme="minorEastAsia" w:hAnsiTheme="minorEastAsia" w:eastAsiaTheme="minorEastAsia"/>
        </w:rPr>
        <w:t>日期</w:t>
      </w:r>
      <w:r>
        <w:rPr>
          <w:rFonts w:hint="eastAsia" w:cs="宋体" w:asciiTheme="minorEastAsia" w:hAnsiTheme="minorEastAsia" w:eastAsiaTheme="minorEastAsia"/>
          <w:lang w:val="zh-CN"/>
        </w:rPr>
        <w:t>：</w:t>
      </w:r>
      <w:r>
        <w:rPr>
          <w:rFonts w:hint="eastAsia" w:cs="宋体" w:asciiTheme="minorEastAsia" w:hAnsiTheme="minorEastAsia" w:eastAsiaTheme="minorEastAsia"/>
        </w:rPr>
        <w:t>______</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br w:type="page"/>
      </w:r>
    </w:p>
    <w:p>
      <w:pPr>
        <w:spacing w:line="560" w:lineRule="exact"/>
        <w:ind w:firstLine="496" w:firstLineChars="200"/>
        <w:jc w:val="center"/>
        <w:rPr>
          <w:rFonts w:cs="宋体" w:asciiTheme="minorEastAsia" w:hAnsiTheme="minorEastAsia" w:eastAsiaTheme="minorEastAsia"/>
        </w:rPr>
      </w:pPr>
    </w:p>
    <w:p>
      <w:pPr>
        <w:spacing w:line="560" w:lineRule="exact"/>
        <w:ind w:firstLine="496" w:firstLineChars="200"/>
        <w:jc w:val="center"/>
        <w:rPr>
          <w:rFonts w:cs="宋体" w:asciiTheme="minorEastAsia" w:hAnsiTheme="minorEastAsia" w:eastAsiaTheme="minorEastAsia"/>
        </w:rPr>
      </w:pPr>
      <w:r>
        <w:rPr>
          <w:rFonts w:hint="eastAsia" w:cs="宋体" w:asciiTheme="minorEastAsia" w:hAnsiTheme="minorEastAsia" w:eastAsiaTheme="minorEastAsia"/>
        </w:rPr>
        <w:t>目    录</w:t>
      </w:r>
    </w:p>
    <w:p>
      <w:pPr>
        <w:spacing w:line="560" w:lineRule="exact"/>
        <w:ind w:firstLine="496" w:firstLineChars="200"/>
        <w:jc w:val="both"/>
        <w:rPr>
          <w:rFonts w:cs="宋体" w:asciiTheme="minorEastAsia" w:hAnsiTheme="minorEastAsia" w:eastAsiaTheme="minorEastAsia"/>
        </w:rPr>
      </w:pPr>
    </w:p>
    <w:p>
      <w:pPr>
        <w:pStyle w:val="5"/>
        <w:snapToGrid w:val="0"/>
        <w:spacing w:line="480" w:lineRule="auto"/>
        <w:ind w:firstLine="496" w:firstLineChars="200"/>
        <w:rPr>
          <w:rFonts w:cs="宋体" w:asciiTheme="minorEastAsia" w:hAnsiTheme="minorEastAsia" w:eastAsiaTheme="minorEastAsia"/>
          <w:b/>
          <w:bCs/>
          <w:color w:val="000000"/>
          <w:sz w:val="24"/>
        </w:rPr>
      </w:pPr>
      <w:bookmarkStart w:id="80" w:name="_Toc3727_WPSOffice_Level1"/>
      <w:r>
        <w:rPr>
          <w:rFonts w:hint="eastAsia" w:cs="宋体" w:asciiTheme="minorEastAsia" w:hAnsiTheme="minorEastAsia" w:eastAsiaTheme="minorEastAsia"/>
          <w:b/>
          <w:bCs/>
          <w:color w:val="000000"/>
          <w:sz w:val="24"/>
        </w:rPr>
        <w:t>第一章  投标函</w:t>
      </w:r>
      <w:bookmarkEnd w:id="80"/>
    </w:p>
    <w:p>
      <w:pPr>
        <w:snapToGrid w:val="0"/>
        <w:spacing w:line="480" w:lineRule="auto"/>
        <w:ind w:firstLine="496" w:firstLineChars="200"/>
        <w:rPr>
          <w:rFonts w:cs="宋体" w:asciiTheme="minorEastAsia" w:hAnsiTheme="minorEastAsia" w:eastAsiaTheme="minorEastAsia"/>
          <w:b/>
          <w:color w:val="000000"/>
        </w:rPr>
      </w:pPr>
      <w:bookmarkStart w:id="81" w:name="_Toc23436_WPSOffice_Level1"/>
      <w:r>
        <w:rPr>
          <w:rFonts w:hint="eastAsia" w:cs="宋体" w:asciiTheme="minorEastAsia" w:hAnsiTheme="minorEastAsia" w:eastAsiaTheme="minorEastAsia"/>
          <w:b/>
          <w:color w:val="000000"/>
        </w:rPr>
        <w:t>第二</w:t>
      </w:r>
      <w:r>
        <w:rPr>
          <w:rFonts w:hint="eastAsia" w:cs="宋体" w:asciiTheme="minorEastAsia" w:hAnsiTheme="minorEastAsia" w:eastAsiaTheme="minorEastAsia"/>
          <w:b/>
          <w:bCs/>
          <w:color w:val="000000"/>
        </w:rPr>
        <w:t xml:space="preserve">章  </w:t>
      </w:r>
      <w:r>
        <w:rPr>
          <w:rFonts w:hint="eastAsia" w:cs="宋体" w:asciiTheme="minorEastAsia" w:hAnsiTheme="minorEastAsia" w:eastAsiaTheme="minorEastAsia"/>
          <w:b/>
          <w:color w:val="000000"/>
        </w:rPr>
        <w:t>开标一览表</w:t>
      </w:r>
      <w:bookmarkEnd w:id="81"/>
    </w:p>
    <w:p>
      <w:pPr>
        <w:pStyle w:val="5"/>
        <w:snapToGrid w:val="0"/>
        <w:spacing w:line="480" w:lineRule="auto"/>
        <w:ind w:firstLine="496" w:firstLineChars="200"/>
        <w:rPr>
          <w:rFonts w:cs="宋体" w:asciiTheme="minorEastAsia" w:hAnsiTheme="minorEastAsia" w:eastAsiaTheme="minorEastAsia"/>
          <w:b/>
          <w:color w:val="000000"/>
          <w:sz w:val="24"/>
        </w:rPr>
      </w:pPr>
      <w:bookmarkStart w:id="82" w:name="_Toc11444_WPSOffice_Level1"/>
      <w:r>
        <w:rPr>
          <w:rFonts w:hint="eastAsia" w:cs="宋体" w:asciiTheme="minorEastAsia" w:hAnsiTheme="minorEastAsia" w:eastAsiaTheme="minorEastAsia"/>
          <w:b/>
          <w:color w:val="000000"/>
          <w:sz w:val="24"/>
        </w:rPr>
        <w:t>第三</w:t>
      </w:r>
      <w:r>
        <w:rPr>
          <w:rFonts w:hint="eastAsia" w:cs="宋体" w:asciiTheme="minorEastAsia" w:hAnsiTheme="minorEastAsia" w:eastAsiaTheme="minorEastAsia"/>
          <w:b/>
          <w:bCs/>
          <w:color w:val="000000"/>
          <w:sz w:val="24"/>
        </w:rPr>
        <w:t xml:space="preserve">章  </w:t>
      </w:r>
      <w:bookmarkEnd w:id="82"/>
      <w:r>
        <w:rPr>
          <w:rFonts w:hint="eastAsia" w:cs="宋体" w:asciiTheme="minorEastAsia" w:hAnsiTheme="minorEastAsia" w:eastAsiaTheme="minorEastAsia"/>
          <w:b/>
          <w:color w:val="000000"/>
          <w:sz w:val="24"/>
        </w:rPr>
        <w:t>资格证明文件</w:t>
      </w:r>
    </w:p>
    <w:p>
      <w:pPr>
        <w:pStyle w:val="5"/>
        <w:snapToGrid w:val="0"/>
        <w:spacing w:line="480" w:lineRule="auto"/>
        <w:ind w:firstLine="496" w:firstLineChars="20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第四</w:t>
      </w:r>
      <w:r>
        <w:rPr>
          <w:rFonts w:hint="eastAsia" w:cs="宋体" w:asciiTheme="minorEastAsia" w:hAnsiTheme="minorEastAsia" w:eastAsiaTheme="minorEastAsia"/>
          <w:b/>
          <w:bCs/>
          <w:color w:val="000000"/>
          <w:sz w:val="24"/>
        </w:rPr>
        <w:t>章  供应商概况</w:t>
      </w:r>
    </w:p>
    <w:p>
      <w:pPr>
        <w:pStyle w:val="5"/>
        <w:snapToGrid w:val="0"/>
        <w:spacing w:line="480" w:lineRule="auto"/>
        <w:ind w:firstLine="496" w:firstLineChars="200"/>
        <w:rPr>
          <w:rFonts w:cs="宋体" w:asciiTheme="minorEastAsia" w:hAnsiTheme="minorEastAsia" w:eastAsiaTheme="minorEastAsia"/>
          <w:b/>
          <w:bCs/>
          <w:color w:val="000000"/>
          <w:sz w:val="24"/>
        </w:rPr>
      </w:pPr>
      <w:bookmarkStart w:id="83" w:name="_Toc5905_WPSOffice_Level1"/>
      <w:r>
        <w:rPr>
          <w:rFonts w:hint="eastAsia" w:cs="宋体" w:asciiTheme="minorEastAsia" w:hAnsiTheme="minorEastAsia" w:eastAsiaTheme="minorEastAsia"/>
          <w:b/>
          <w:color w:val="000000"/>
          <w:sz w:val="24"/>
        </w:rPr>
        <w:t>第五</w:t>
      </w:r>
      <w:r>
        <w:rPr>
          <w:rFonts w:hint="eastAsia" w:cs="宋体" w:asciiTheme="minorEastAsia" w:hAnsiTheme="minorEastAsia" w:eastAsiaTheme="minorEastAsia"/>
          <w:b/>
          <w:bCs/>
          <w:color w:val="000000"/>
          <w:sz w:val="24"/>
        </w:rPr>
        <w:t>章  供应商参加政府采购活动承诺书</w:t>
      </w:r>
    </w:p>
    <w:p>
      <w:pPr>
        <w:pStyle w:val="5"/>
        <w:snapToGrid w:val="0"/>
        <w:spacing w:line="480" w:lineRule="auto"/>
        <w:ind w:firstLine="496"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第六章  商务和技术响应偏离表</w:t>
      </w:r>
    </w:p>
    <w:p>
      <w:pPr>
        <w:pStyle w:val="5"/>
        <w:snapToGrid w:val="0"/>
        <w:spacing w:line="480" w:lineRule="auto"/>
        <w:ind w:firstLine="496"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第七章  技术与服务方案</w:t>
      </w:r>
    </w:p>
    <w:p>
      <w:pPr>
        <w:pStyle w:val="5"/>
        <w:snapToGrid w:val="0"/>
        <w:spacing w:line="480" w:lineRule="auto"/>
        <w:ind w:firstLine="496"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b/>
          <w:color w:val="000000"/>
          <w:sz w:val="24"/>
        </w:rPr>
        <w:t>第</w:t>
      </w:r>
      <w:bookmarkEnd w:id="83"/>
      <w:r>
        <w:rPr>
          <w:rFonts w:hint="eastAsia" w:cs="宋体" w:asciiTheme="minorEastAsia" w:hAnsiTheme="minorEastAsia" w:eastAsiaTheme="minorEastAsia"/>
          <w:b/>
          <w:color w:val="000000"/>
          <w:sz w:val="24"/>
        </w:rPr>
        <w:t>八</w:t>
      </w:r>
      <w:r>
        <w:rPr>
          <w:rFonts w:hint="eastAsia" w:cs="宋体" w:asciiTheme="minorEastAsia" w:hAnsiTheme="minorEastAsia" w:eastAsiaTheme="minorEastAsia"/>
          <w:b/>
          <w:bCs/>
          <w:color w:val="000000"/>
          <w:sz w:val="24"/>
        </w:rPr>
        <w:t>章  服务承诺</w:t>
      </w:r>
    </w:p>
    <w:p>
      <w:pPr>
        <w:pStyle w:val="5"/>
        <w:snapToGrid w:val="0"/>
        <w:spacing w:line="480" w:lineRule="auto"/>
        <w:ind w:firstLine="496"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第九章  供应商业绩一览表</w:t>
      </w:r>
    </w:p>
    <w:p>
      <w:pPr>
        <w:pStyle w:val="5"/>
        <w:snapToGrid w:val="0"/>
        <w:spacing w:line="480" w:lineRule="auto"/>
        <w:ind w:firstLine="496" w:firstLineChars="200"/>
        <w:rPr>
          <w:rFonts w:cs="宋体" w:asciiTheme="minorEastAsia" w:hAnsiTheme="minorEastAsia" w:eastAsiaTheme="minorEastAsia"/>
          <w:b/>
          <w:bCs/>
          <w:color w:val="000000"/>
          <w:sz w:val="24"/>
        </w:rPr>
      </w:pPr>
      <w:bookmarkStart w:id="84" w:name="_Toc1523_WPSOffice_Level1"/>
      <w:r>
        <w:rPr>
          <w:rFonts w:hint="eastAsia" w:cs="宋体" w:asciiTheme="minorEastAsia" w:hAnsiTheme="minorEastAsia" w:eastAsiaTheme="minorEastAsia"/>
          <w:b/>
          <w:bCs/>
          <w:color w:val="000000"/>
          <w:sz w:val="24"/>
        </w:rPr>
        <w:t xml:space="preserve">第十章  </w:t>
      </w:r>
      <w:bookmarkEnd w:id="84"/>
      <w:r>
        <w:rPr>
          <w:rFonts w:hint="eastAsia" w:cs="宋体" w:asciiTheme="minorEastAsia" w:hAnsiTheme="minorEastAsia" w:eastAsiaTheme="minorEastAsia"/>
          <w:b/>
          <w:bCs/>
          <w:color w:val="000000"/>
          <w:sz w:val="24"/>
        </w:rPr>
        <w:t>供应商认为有必要说明的其他问题</w:t>
      </w:r>
    </w:p>
    <w:p>
      <w:pPr>
        <w:rPr>
          <w:rFonts w:cs="宋体" w:asciiTheme="minorEastAsia" w:hAnsiTheme="minorEastAsia" w:eastAsiaTheme="minorEastAsia"/>
        </w:rPr>
      </w:pPr>
      <w:r>
        <w:rPr>
          <w:rFonts w:hint="eastAsia" w:cs="宋体" w:asciiTheme="minorEastAsia" w:hAnsiTheme="minorEastAsia" w:eastAsiaTheme="minorEastAsia"/>
        </w:rPr>
        <w:br w:type="page"/>
      </w:r>
    </w:p>
    <w:p>
      <w:pPr>
        <w:pStyle w:val="7"/>
        <w:ind w:firstLine="497"/>
        <w:jc w:val="center"/>
        <w:rPr>
          <w:rFonts w:cs="宋体" w:asciiTheme="minorEastAsia" w:hAnsiTheme="minorEastAsia" w:eastAsiaTheme="minorEastAsia"/>
          <w:sz w:val="24"/>
          <w:szCs w:val="24"/>
        </w:rPr>
      </w:pPr>
      <w:bookmarkStart w:id="85" w:name="_Toc135129536"/>
      <w:r>
        <w:rPr>
          <w:rFonts w:hint="eastAsia" w:cs="宋体" w:asciiTheme="minorEastAsia" w:hAnsiTheme="minorEastAsia" w:eastAsiaTheme="minorEastAsia"/>
          <w:sz w:val="24"/>
          <w:szCs w:val="24"/>
        </w:rPr>
        <w:t>第一部分  投标函</w:t>
      </w:r>
      <w:bookmarkEnd w:id="85"/>
    </w:p>
    <w:p>
      <w:pPr>
        <w:spacing w:line="560" w:lineRule="exact"/>
        <w:jc w:val="both"/>
        <w:rPr>
          <w:rFonts w:cs="宋体" w:asciiTheme="minorEastAsia" w:hAnsiTheme="minorEastAsia" w:eastAsiaTheme="minorEastAsia"/>
        </w:rPr>
      </w:pPr>
      <w:r>
        <w:rPr>
          <w:rFonts w:hint="eastAsia" w:cs="宋体" w:asciiTheme="minorEastAsia" w:hAnsiTheme="minorEastAsia" w:eastAsiaTheme="minorEastAsia"/>
        </w:rPr>
        <w:t>陕西卓佲项目管理有限公司：</w:t>
      </w:r>
    </w:p>
    <w:p>
      <w:pPr>
        <w:spacing w:line="560" w:lineRule="exact"/>
        <w:ind w:firstLine="496" w:firstLineChars="200"/>
        <w:rPr>
          <w:rFonts w:cs="宋体" w:asciiTheme="minorEastAsia" w:hAnsiTheme="minorEastAsia" w:eastAsiaTheme="minorEastAsia"/>
        </w:rPr>
      </w:pPr>
      <w:r>
        <w:rPr>
          <w:rFonts w:hint="eastAsia" w:cs="宋体" w:asciiTheme="minorEastAsia" w:hAnsiTheme="minorEastAsia" w:eastAsiaTheme="minorEastAsia"/>
        </w:rPr>
        <w:t>我单位收到项目名称为：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（项目编号为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）的招标文件，经详细研究，我公司决定参加本次招标活动。为此，我方郑重承诺以下诸点，并负法律责任。</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1．我方已详细阅读了招标文件，完全理解并同意招标文件的所有事项及内容。</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3．我方同意向贵单位提供与本次招标有关的全部证明材料，并保证所提交的证明材料真实、合法、有效。</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4．我方理解最低价不是成交的唯一条件，并尊重评标委员会的评审结果。</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5．我方投标文件在开启之日起___个日历日（应不少于90个日历日）内有效。</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6．若我方成交，我方承诺：（1）将投标文件有效期延长至合同执行完毕；（2）遵照招标文件中的要求，完成本项目的合同责任和义务。</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7．所有关于此次招标活动的函电，请按下列方式联系：</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供应商：（供应商全称并加盖公章）</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法定代表人或委托代理人：（签字或盖章）</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联系电话：</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通讯地址：</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邮    编：</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电子邮箱：</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日    期：    年  月  日</w:t>
      </w:r>
    </w:p>
    <w:p>
      <w:pPr>
        <w:rPr>
          <w:rFonts w:cs="宋体" w:asciiTheme="minorEastAsia" w:hAnsiTheme="minorEastAsia" w:eastAsiaTheme="minorEastAsia"/>
        </w:rPr>
      </w:pPr>
      <w:r>
        <w:rPr>
          <w:rFonts w:hint="eastAsia" w:cs="宋体" w:asciiTheme="minorEastAsia" w:hAnsiTheme="minorEastAsia" w:eastAsiaTheme="minorEastAsia"/>
        </w:rPr>
        <w:br w:type="page"/>
      </w:r>
    </w:p>
    <w:p>
      <w:pPr>
        <w:pStyle w:val="7"/>
        <w:numPr>
          <w:ilvl w:val="0"/>
          <w:numId w:val="3"/>
        </w:numPr>
        <w:ind w:firstLine="497"/>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bookmarkStart w:id="86" w:name="_Toc135129537"/>
      <w:r>
        <w:rPr>
          <w:rFonts w:hint="eastAsia" w:cs="宋体" w:asciiTheme="minorEastAsia" w:hAnsiTheme="minorEastAsia" w:eastAsiaTheme="minorEastAsia"/>
          <w:sz w:val="24"/>
          <w:szCs w:val="24"/>
        </w:rPr>
        <w:t>开标一览表</w:t>
      </w:r>
      <w:bookmarkEnd w:id="86"/>
    </w:p>
    <w:p>
      <w:pPr>
        <w:wordWrap w:val="0"/>
        <w:spacing w:line="360" w:lineRule="auto"/>
        <w:rPr>
          <w:rFonts w:cs="宋体" w:asciiTheme="minorEastAsia" w:hAnsiTheme="minorEastAsia" w:eastAsiaTheme="minorEastAsia"/>
          <w:u w:val="single"/>
        </w:rPr>
      </w:pPr>
      <w:r>
        <w:rPr>
          <w:rFonts w:hint="eastAsia" w:cs="宋体" w:asciiTheme="minorEastAsia" w:hAnsiTheme="minorEastAsia" w:eastAsiaTheme="minorEastAsia"/>
        </w:rPr>
        <w:t>项目名称：</w:t>
      </w:r>
      <w:r>
        <w:rPr>
          <w:rFonts w:hint="eastAsia" w:cs="宋体" w:asciiTheme="minorEastAsia" w:hAnsiTheme="minorEastAsia" w:eastAsiaTheme="minorEastAsia"/>
          <w:u w:val="single"/>
        </w:rPr>
        <w:t>西安市中心医院经开院区智能化及物联网系统项目</w:t>
      </w:r>
    </w:p>
    <w:p>
      <w:pPr>
        <w:pStyle w:val="4"/>
        <w:ind w:firstLine="0"/>
        <w:rPr>
          <w:rFonts w:cs="宋体" w:asciiTheme="minorEastAsia" w:hAnsiTheme="minorEastAsia" w:eastAsiaTheme="minorEastAsia"/>
          <w:kern w:val="2"/>
        </w:rPr>
      </w:pPr>
      <w:r>
        <w:rPr>
          <w:rFonts w:hint="eastAsia" w:cs="宋体" w:asciiTheme="minorEastAsia" w:hAnsiTheme="minorEastAsia" w:eastAsiaTheme="minorEastAsia"/>
          <w:kern w:val="2"/>
        </w:rPr>
        <w:t>项目编号：ZMZB2023ZXYY-74</w:t>
      </w:r>
    </w:p>
    <w:p>
      <w:pPr>
        <w:rPr>
          <w:rFonts w:asciiTheme="minorEastAsia" w:hAnsiTheme="minorEastAsia" w:eastAsiaTheme="minorEastAsia"/>
        </w:rPr>
      </w:pPr>
      <w:r>
        <w:rPr>
          <w:rFonts w:hint="eastAsia" w:cs="宋体" w:asciiTheme="minorEastAsia" w:hAnsiTheme="minorEastAsia" w:eastAsiaTheme="minorEastAsia"/>
        </w:rPr>
        <w:t xml:space="preserve">单位：元  </w:t>
      </w:r>
    </w:p>
    <w:tbl>
      <w:tblPr>
        <w:tblStyle w:val="36"/>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683"/>
        <w:gridCol w:w="1922"/>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2460" w:type="dxa"/>
            <w:tcBorders>
              <w:tl2br w:val="single" w:color="auto" w:sz="4" w:space="0"/>
            </w:tcBorders>
          </w:tcPr>
          <w:p>
            <w:pPr>
              <w:kinsoku w:val="0"/>
              <w:spacing w:line="480" w:lineRule="auto"/>
              <w:ind w:right="-235" w:rightChars="-95" w:firstLine="992" w:firstLineChars="400"/>
              <w:rPr>
                <w:rFonts w:cs="宋体" w:asciiTheme="minorEastAsia" w:hAnsiTheme="minorEastAsia" w:eastAsiaTheme="minorEastAsia"/>
              </w:rPr>
            </w:pPr>
            <w:r>
              <w:rPr>
                <w:rFonts w:hint="eastAsia" w:cs="宋体" w:asciiTheme="minorEastAsia" w:hAnsiTheme="minorEastAsia" w:eastAsiaTheme="minorEastAsia"/>
              </w:rPr>
              <w:t>报价内容</w:t>
            </w:r>
          </w:p>
          <w:p>
            <w:pPr>
              <w:kinsoku w:val="0"/>
              <w:spacing w:line="480" w:lineRule="auto"/>
              <w:ind w:left="10" w:right="-235" w:rightChars="-95" w:firstLine="517" w:firstLineChars="209"/>
              <w:rPr>
                <w:rFonts w:cs="宋体" w:asciiTheme="minorEastAsia" w:hAnsiTheme="minorEastAsia" w:eastAsiaTheme="minorEastAsia"/>
              </w:rPr>
            </w:pPr>
          </w:p>
          <w:p>
            <w:pPr>
              <w:kinsoku w:val="0"/>
              <w:spacing w:line="480" w:lineRule="auto"/>
              <w:ind w:right="-235" w:rightChars="-95"/>
              <w:rPr>
                <w:rFonts w:cs="宋体" w:asciiTheme="minorEastAsia" w:hAnsiTheme="minorEastAsia" w:eastAsiaTheme="minorEastAsia"/>
              </w:rPr>
            </w:pPr>
            <w:r>
              <w:rPr>
                <w:rFonts w:hint="eastAsia" w:cs="宋体" w:asciiTheme="minorEastAsia" w:hAnsiTheme="minorEastAsia" w:eastAsiaTheme="minorEastAsia"/>
              </w:rPr>
              <w:t>投标内容</w:t>
            </w:r>
          </w:p>
        </w:tc>
        <w:tc>
          <w:tcPr>
            <w:tcW w:w="1683" w:type="dxa"/>
            <w:vAlign w:val="center"/>
          </w:tcPr>
          <w:p>
            <w:pPr>
              <w:kinsoku w:val="0"/>
              <w:spacing w:line="480" w:lineRule="auto"/>
              <w:ind w:right="-235" w:rightChars="-95"/>
              <w:jc w:val="center"/>
              <w:rPr>
                <w:rFonts w:cs="宋体" w:asciiTheme="minorEastAsia" w:hAnsiTheme="minorEastAsia" w:eastAsiaTheme="minorEastAsia"/>
              </w:rPr>
            </w:pPr>
            <w:r>
              <w:rPr>
                <w:rFonts w:hint="eastAsia" w:cs="宋体" w:asciiTheme="minorEastAsia" w:hAnsiTheme="minorEastAsia" w:eastAsiaTheme="minorEastAsia"/>
              </w:rPr>
              <w:t>总报价</w:t>
            </w:r>
          </w:p>
        </w:tc>
        <w:tc>
          <w:tcPr>
            <w:tcW w:w="1922" w:type="dxa"/>
            <w:vAlign w:val="center"/>
          </w:tcPr>
          <w:p>
            <w:pPr>
              <w:kinsoku w:val="0"/>
              <w:ind w:right="-235" w:rightChars="-95"/>
              <w:jc w:val="center"/>
              <w:rPr>
                <w:rFonts w:cs="宋体" w:asciiTheme="minorEastAsia" w:hAnsiTheme="minorEastAsia" w:eastAsiaTheme="minorEastAsia"/>
              </w:rPr>
            </w:pPr>
            <w:r>
              <w:rPr>
                <w:rFonts w:hint="eastAsia" w:cs="宋体" w:asciiTheme="minorEastAsia" w:hAnsiTheme="minorEastAsia" w:eastAsiaTheme="minorEastAsia"/>
              </w:rPr>
              <w:t>交付期</w:t>
            </w:r>
          </w:p>
        </w:tc>
        <w:tc>
          <w:tcPr>
            <w:tcW w:w="4274" w:type="dxa"/>
            <w:vAlign w:val="center"/>
          </w:tcPr>
          <w:p>
            <w:pPr>
              <w:kinsoku w:val="0"/>
              <w:ind w:right="-235" w:rightChars="-95"/>
              <w:jc w:val="center"/>
              <w:rPr>
                <w:rFonts w:cs="宋体" w:asciiTheme="minorEastAsia" w:hAnsiTheme="minorEastAsia" w:eastAsiaTheme="minorEastAsia"/>
              </w:rPr>
            </w:pPr>
            <w:r>
              <w:rPr>
                <w:rFonts w:hint="eastAsia" w:cs="宋体" w:asciiTheme="minorEastAsia" w:hAnsiTheme="minorEastAsia" w:eastAsiaTheme="minorEastAsi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460" w:type="dxa"/>
            <w:vAlign w:val="center"/>
          </w:tcPr>
          <w:p>
            <w:pPr>
              <w:kinsoku w:val="0"/>
              <w:ind w:right="69" w:rightChars="28"/>
              <w:jc w:val="center"/>
              <w:rPr>
                <w:rFonts w:cs="宋体" w:asciiTheme="minorEastAsia" w:hAnsiTheme="minorEastAsia" w:eastAsiaTheme="minorEastAsia"/>
              </w:rPr>
            </w:pPr>
            <w:r>
              <w:rPr>
                <w:rFonts w:hint="eastAsia" w:cs="宋体" w:asciiTheme="minorEastAsia" w:hAnsiTheme="minorEastAsia" w:eastAsiaTheme="minorEastAsia"/>
              </w:rPr>
              <w:t>西安市中心医院经开院区智能化及物联网系统项目</w:t>
            </w:r>
          </w:p>
        </w:tc>
        <w:tc>
          <w:tcPr>
            <w:tcW w:w="1683" w:type="dxa"/>
            <w:vAlign w:val="center"/>
          </w:tcPr>
          <w:p>
            <w:pPr>
              <w:kinsoku w:val="0"/>
              <w:spacing w:line="480" w:lineRule="auto"/>
              <w:ind w:left="10" w:right="-235" w:rightChars="-95" w:firstLine="517" w:firstLineChars="209"/>
              <w:jc w:val="center"/>
              <w:rPr>
                <w:rFonts w:cs="宋体" w:asciiTheme="minorEastAsia" w:hAnsiTheme="minorEastAsia" w:eastAsiaTheme="minorEastAsia"/>
              </w:rPr>
            </w:pPr>
          </w:p>
        </w:tc>
        <w:tc>
          <w:tcPr>
            <w:tcW w:w="1922" w:type="dxa"/>
            <w:vAlign w:val="center"/>
          </w:tcPr>
          <w:p>
            <w:pPr>
              <w:kinsoku w:val="0"/>
              <w:spacing w:line="480" w:lineRule="auto"/>
              <w:ind w:left="10" w:right="-235" w:rightChars="-95" w:firstLine="517" w:firstLineChars="209"/>
              <w:jc w:val="center"/>
              <w:rPr>
                <w:rFonts w:cs="宋体" w:asciiTheme="minorEastAsia" w:hAnsiTheme="minorEastAsia" w:eastAsiaTheme="minorEastAsia"/>
              </w:rPr>
            </w:pPr>
          </w:p>
        </w:tc>
        <w:tc>
          <w:tcPr>
            <w:tcW w:w="4274" w:type="dxa"/>
            <w:vAlign w:val="center"/>
          </w:tcPr>
          <w:p>
            <w:pPr>
              <w:kinsoku w:val="0"/>
              <w:spacing w:line="480" w:lineRule="auto"/>
              <w:ind w:left="10" w:right="-235" w:rightChars="-95" w:firstLine="517" w:firstLineChars="209"/>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339" w:type="dxa"/>
            <w:gridSpan w:val="4"/>
          </w:tcPr>
          <w:p>
            <w:pPr>
              <w:kinsoku w:val="0"/>
              <w:ind w:right="-235" w:rightChars="-95"/>
              <w:rPr>
                <w:rFonts w:cs="宋体" w:asciiTheme="minorEastAsia" w:hAnsiTheme="minorEastAsia" w:eastAsiaTheme="minorEastAsia"/>
                <w:b/>
                <w:bCs/>
              </w:rPr>
            </w:pPr>
          </w:p>
          <w:p>
            <w:pPr>
              <w:kinsoku w:val="0"/>
              <w:ind w:right="-235" w:rightChars="-95"/>
              <w:rPr>
                <w:rFonts w:cs="宋体" w:asciiTheme="minorEastAsia" w:hAnsiTheme="minorEastAsia" w:eastAsiaTheme="minorEastAsia"/>
              </w:rPr>
            </w:pPr>
            <w:r>
              <w:rPr>
                <w:rFonts w:hint="eastAsia" w:cs="宋体" w:asciiTheme="minorEastAsia" w:hAnsiTheme="minorEastAsia" w:eastAsiaTheme="minorEastAsia"/>
              </w:rPr>
              <w:t>总报价：（大写）________________（小写）_________________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339" w:type="dxa"/>
            <w:gridSpan w:val="4"/>
            <w:vAlign w:val="center"/>
          </w:tcPr>
          <w:p>
            <w:pPr>
              <w:kinsoku w:val="0"/>
              <w:spacing w:line="48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备注：表内报价内容以元为单位，精确到小数点后两位；</w:t>
            </w:r>
          </w:p>
        </w:tc>
      </w:tr>
    </w:tbl>
    <w:p>
      <w:pPr>
        <w:adjustRightInd w:val="0"/>
        <w:snapToGrid w:val="0"/>
        <w:spacing w:line="480" w:lineRule="auto"/>
        <w:rPr>
          <w:rFonts w:cs="宋体" w:asciiTheme="minorEastAsia" w:hAnsiTheme="minorEastAsia" w:eastAsiaTheme="minorEastAsia"/>
        </w:rPr>
      </w:pPr>
    </w:p>
    <w:p>
      <w:pPr>
        <w:adjustRightInd w:val="0"/>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供应商（单位名称及公章）：___________________________</w:t>
      </w:r>
    </w:p>
    <w:p>
      <w:pPr>
        <w:adjustRightInd w:val="0"/>
        <w:snapToGrid w:val="0"/>
        <w:spacing w:line="480" w:lineRule="auto"/>
        <w:rPr>
          <w:rFonts w:asciiTheme="minorEastAsia" w:hAnsiTheme="minorEastAsia" w:eastAsiaTheme="minorEastAsia"/>
        </w:rPr>
      </w:pPr>
      <w:r>
        <w:rPr>
          <w:rFonts w:hint="eastAsia" w:cs="宋体" w:asciiTheme="minorEastAsia" w:hAnsiTheme="minorEastAsia" w:eastAsiaTheme="minorEastAsia"/>
        </w:rPr>
        <w:t>法定代表人或被授权人（签字或盖章）：__________________</w:t>
      </w:r>
    </w:p>
    <w:p>
      <w:pPr>
        <w:adjustRightInd w:val="0"/>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时间：_______年________月_______日</w:t>
      </w:r>
    </w:p>
    <w:p>
      <w:pPr>
        <w:spacing w:line="560" w:lineRule="exact"/>
        <w:ind w:firstLine="496" w:firstLineChars="200"/>
        <w:jc w:val="both"/>
        <w:rPr>
          <w:rFonts w:cs="宋体" w:asciiTheme="minorEastAsia" w:hAnsiTheme="minorEastAsia" w:eastAsiaTheme="minorEastAsia"/>
        </w:rPr>
      </w:pPr>
    </w:p>
    <w:p>
      <w:pPr>
        <w:spacing w:line="560" w:lineRule="exact"/>
        <w:ind w:firstLine="496" w:firstLineChars="200"/>
        <w:jc w:val="both"/>
        <w:rPr>
          <w:rFonts w:cs="宋体" w:asciiTheme="minorEastAsia" w:hAnsiTheme="minorEastAsia" w:eastAsiaTheme="minorEastAsia"/>
        </w:rPr>
      </w:pP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br w:type="page"/>
      </w:r>
    </w:p>
    <w:p>
      <w:pPr>
        <w:jc w:val="center"/>
        <w:rPr>
          <w:rFonts w:cs="宋体" w:asciiTheme="minorEastAsia" w:hAnsiTheme="minorEastAsia" w:eastAsiaTheme="minorEastAsia"/>
        </w:rPr>
      </w:pPr>
      <w:r>
        <w:rPr>
          <w:rFonts w:hint="eastAsia" w:cs="宋体" w:asciiTheme="minorEastAsia" w:hAnsiTheme="minorEastAsia" w:eastAsiaTheme="minorEastAsia"/>
        </w:rPr>
        <w:t>分项报价表</w:t>
      </w:r>
    </w:p>
    <w:p>
      <w:pPr>
        <w:wordWrap w:val="0"/>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项目名称：西安市中心医院经开院区智能化及物联网系统项目   </w:t>
      </w:r>
    </w:p>
    <w:p>
      <w:pPr>
        <w:wordWrap w:val="0"/>
        <w:spacing w:line="360" w:lineRule="auto"/>
        <w:rPr>
          <w:rFonts w:cs="宋体" w:asciiTheme="minorEastAsia" w:hAnsiTheme="minorEastAsia" w:eastAsiaTheme="minorEastAsia"/>
          <w:color w:val="000000"/>
          <w:u w:val="single"/>
        </w:rPr>
      </w:pPr>
      <w:r>
        <w:rPr>
          <w:rFonts w:hint="eastAsia" w:cs="宋体" w:asciiTheme="minorEastAsia" w:hAnsiTheme="minorEastAsia" w:eastAsiaTheme="minorEastAsia"/>
          <w:color w:val="000000"/>
        </w:rPr>
        <w:t>项目编号：</w:t>
      </w:r>
      <w:r>
        <w:rPr>
          <w:rFonts w:hint="eastAsia" w:cs="宋体" w:asciiTheme="minorEastAsia" w:hAnsiTheme="minorEastAsia" w:eastAsiaTheme="minorEastAsia"/>
          <w:color w:val="000000"/>
          <w:u w:val="single"/>
        </w:rPr>
        <w:t xml:space="preserve"> ZMZB2023ZXYY-74</w:t>
      </w:r>
    </w:p>
    <w:p>
      <w:pPr>
        <w:wordWrap w:val="0"/>
        <w:spacing w:line="360" w:lineRule="auto"/>
        <w:rPr>
          <w:rFonts w:cs="宋体" w:asciiTheme="minorEastAsia" w:hAnsiTheme="minorEastAsia" w:eastAsiaTheme="minorEastAsia"/>
          <w:b/>
          <w:color w:val="000000"/>
        </w:rPr>
      </w:pPr>
      <w:r>
        <w:rPr>
          <w:rFonts w:hint="eastAsia" w:cs="宋体" w:asciiTheme="minorEastAsia" w:hAnsiTheme="minorEastAsia" w:eastAsiaTheme="minorEastAsia"/>
          <w:color w:val="000000"/>
        </w:rPr>
        <w:t>共  页，第  页</w:t>
      </w:r>
    </w:p>
    <w:tbl>
      <w:tblPr>
        <w:tblStyle w:val="36"/>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789"/>
        <w:gridCol w:w="862"/>
        <w:gridCol w:w="988"/>
        <w:gridCol w:w="1271"/>
        <w:gridCol w:w="966"/>
        <w:gridCol w:w="1353"/>
        <w:gridCol w:w="1153"/>
      </w:tblGrid>
      <w:tr>
        <w:tblPrEx>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bottom w:val="nil"/>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rPr>
              <w:t>分项费用</w:t>
            </w:r>
          </w:p>
        </w:tc>
        <w:tc>
          <w:tcPr>
            <w:tcW w:w="530" w:type="dxa"/>
            <w:tcBorders>
              <w:top w:val="single" w:color="auto" w:sz="6" w:space="0"/>
              <w:left w:val="single" w:color="auto" w:sz="4" w:space="0"/>
              <w:bottom w:val="single" w:color="auto" w:sz="6" w:space="0"/>
              <w:right w:val="nil"/>
            </w:tcBorders>
            <w:vAlign w:val="center"/>
          </w:tcPr>
          <w:p>
            <w:pPr>
              <w:spacing w:after="120"/>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78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cs="宋体" w:asciiTheme="minorEastAsia" w:hAnsiTheme="minorEastAsia" w:eastAsiaTheme="minorEastAsia"/>
              </w:rPr>
            </w:pPr>
            <w:r>
              <w:rPr>
                <w:rFonts w:hint="eastAsia" w:cs="宋体" w:asciiTheme="minorEastAsia" w:hAnsiTheme="minorEastAsia" w:eastAsiaTheme="minorEastAsia"/>
              </w:rPr>
              <w:t>名称</w:t>
            </w:r>
          </w:p>
        </w:tc>
        <w:tc>
          <w:tcPr>
            <w:tcW w:w="862" w:type="dxa"/>
            <w:tcBorders>
              <w:top w:val="single" w:color="auto" w:sz="6" w:space="0"/>
              <w:left w:val="single" w:color="auto" w:sz="6" w:space="0"/>
              <w:bottom w:val="single" w:color="auto" w:sz="6" w:space="0"/>
              <w:right w:val="single" w:color="auto" w:sz="4" w:space="0"/>
            </w:tcBorders>
            <w:vAlign w:val="center"/>
          </w:tcPr>
          <w:p>
            <w:pPr>
              <w:spacing w:after="120"/>
              <w:jc w:val="center"/>
              <w:rPr>
                <w:rFonts w:cs="宋体" w:asciiTheme="minorEastAsia" w:hAnsiTheme="minorEastAsia" w:eastAsiaTheme="minorEastAsia"/>
              </w:rPr>
            </w:pPr>
            <w:r>
              <w:rPr>
                <w:rFonts w:hint="eastAsia" w:cs="宋体" w:asciiTheme="minorEastAsia" w:hAnsiTheme="minorEastAsia" w:eastAsiaTheme="minorEastAsia"/>
              </w:rPr>
              <w:t>品牌</w:t>
            </w:r>
          </w:p>
        </w:tc>
        <w:tc>
          <w:tcPr>
            <w:tcW w:w="98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cs="宋体" w:asciiTheme="minorEastAsia" w:hAnsiTheme="minorEastAsia" w:eastAsiaTheme="minorEastAsia"/>
              </w:rPr>
            </w:pPr>
            <w:r>
              <w:rPr>
                <w:rFonts w:hint="eastAsia" w:cs="宋体" w:asciiTheme="minorEastAsia" w:hAnsiTheme="minorEastAsia" w:eastAsiaTheme="minorEastAsia"/>
              </w:rPr>
              <w:t>型号或规格</w:t>
            </w:r>
          </w:p>
        </w:tc>
        <w:tc>
          <w:tcPr>
            <w:tcW w:w="1271" w:type="dxa"/>
            <w:tcBorders>
              <w:top w:val="single" w:color="auto" w:sz="6" w:space="0"/>
              <w:left w:val="single" w:color="auto" w:sz="6" w:space="0"/>
              <w:bottom w:val="single" w:color="auto" w:sz="6" w:space="0"/>
              <w:right w:val="single" w:color="auto" w:sz="6" w:space="0"/>
            </w:tcBorders>
            <w:vAlign w:val="center"/>
          </w:tcPr>
          <w:p>
            <w:pPr>
              <w:spacing w:before="159" w:after="120"/>
              <w:jc w:val="center"/>
              <w:rPr>
                <w:rFonts w:cs="宋体" w:asciiTheme="minorEastAsia" w:hAnsiTheme="minorEastAsia" w:eastAsiaTheme="minorEastAsia"/>
              </w:rPr>
            </w:pPr>
            <w:r>
              <w:rPr>
                <w:rFonts w:hint="eastAsia" w:cs="宋体" w:asciiTheme="minorEastAsia" w:hAnsiTheme="minorEastAsia" w:eastAsiaTheme="minorEastAsia"/>
              </w:rPr>
              <w:t>原产地及制造厂名</w:t>
            </w:r>
          </w:p>
        </w:tc>
        <w:tc>
          <w:tcPr>
            <w:tcW w:w="96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cs="宋体" w:asciiTheme="minorEastAsia" w:hAnsiTheme="minorEastAsia" w:eastAsiaTheme="minorEastAsia"/>
              </w:rPr>
            </w:pPr>
            <w:r>
              <w:rPr>
                <w:rFonts w:hint="eastAsia" w:cs="宋体" w:asciiTheme="minorEastAsia" w:hAnsiTheme="minorEastAsia" w:eastAsiaTheme="minorEastAsia"/>
              </w:rPr>
              <w:t>数量</w:t>
            </w:r>
          </w:p>
        </w:tc>
        <w:tc>
          <w:tcPr>
            <w:tcW w:w="13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cs="宋体" w:asciiTheme="minorEastAsia" w:hAnsiTheme="minorEastAsia" w:eastAsiaTheme="minorEastAsia"/>
              </w:rPr>
            </w:pPr>
            <w:r>
              <w:rPr>
                <w:rFonts w:hint="eastAsia" w:cs="宋体" w:asciiTheme="minorEastAsia" w:hAnsiTheme="minorEastAsia" w:eastAsiaTheme="minorEastAsia"/>
              </w:rPr>
              <w:t>单价</w:t>
            </w:r>
          </w:p>
          <w:p>
            <w:pPr>
              <w:spacing w:after="120"/>
              <w:jc w:val="center"/>
              <w:rPr>
                <w:rFonts w:cs="宋体" w:asciiTheme="minorEastAsia" w:hAnsiTheme="minorEastAsia" w:eastAsiaTheme="minorEastAsia"/>
                <w:bCs/>
              </w:rPr>
            </w:pPr>
            <w:r>
              <w:rPr>
                <w:rFonts w:hint="eastAsia" w:cs="宋体" w:asciiTheme="minorEastAsia" w:hAnsiTheme="minorEastAsia" w:eastAsiaTheme="minorEastAsia"/>
              </w:rPr>
              <w:t>（元）</w:t>
            </w:r>
          </w:p>
        </w:tc>
        <w:tc>
          <w:tcPr>
            <w:tcW w:w="11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cs="宋体" w:asciiTheme="minorEastAsia" w:hAnsiTheme="minorEastAsia" w:eastAsiaTheme="minorEastAsia"/>
                <w:bCs/>
              </w:rPr>
            </w:pPr>
            <w:r>
              <w:rPr>
                <w:rFonts w:hint="eastAsia" w:cs="宋体" w:asciiTheme="minorEastAsia" w:hAnsiTheme="minorEastAsia" w:eastAsiaTheme="minorEastAsia"/>
                <w:bCs/>
              </w:rPr>
              <w:t>总价</w:t>
            </w:r>
          </w:p>
          <w:p>
            <w:pPr>
              <w:spacing w:after="120"/>
              <w:jc w:val="center"/>
              <w:rPr>
                <w:rFonts w:cs="宋体" w:asciiTheme="minorEastAsia" w:hAnsiTheme="minorEastAsia" w:eastAsiaTheme="minorEastAsia"/>
                <w:bCs/>
              </w:rPr>
            </w:pPr>
            <w:r>
              <w:rPr>
                <w:rFonts w:hint="eastAsia" w:cs="宋体" w:asciiTheme="minorEastAsia" w:hAnsiTheme="minorEastAsia" w:eastAsiaTheme="minorEastAsia"/>
                <w:bCs/>
              </w:rPr>
              <w:t>（元）</w:t>
            </w: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pPr>
              <w:rPr>
                <w:rFonts w:asciiTheme="minorEastAsia" w:hAnsiTheme="minorEastAsia" w:eastAsiaTheme="minorEastAsia"/>
              </w:rPr>
            </w:pPr>
          </w:p>
        </w:tc>
        <w:tc>
          <w:tcPr>
            <w:tcW w:w="530" w:type="dxa"/>
            <w:tcBorders>
              <w:top w:val="single" w:color="auto" w:sz="6" w:space="0"/>
              <w:left w:val="single" w:color="auto" w:sz="4" w:space="0"/>
              <w:bottom w:val="single" w:color="auto" w:sz="4" w:space="0"/>
              <w:right w:val="nil"/>
            </w:tcBorders>
            <w:vAlign w:val="center"/>
          </w:tcPr>
          <w:p>
            <w:pPr>
              <w:spacing w:before="319"/>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89"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cs="宋体" w:asciiTheme="minorEastAsia" w:hAnsiTheme="minorEastAsia" w:eastAsiaTheme="minorEastAsia"/>
              </w:rPr>
            </w:pPr>
          </w:p>
        </w:tc>
        <w:tc>
          <w:tcPr>
            <w:tcW w:w="862" w:type="dxa"/>
            <w:tcBorders>
              <w:top w:val="single" w:color="auto" w:sz="6" w:space="0"/>
              <w:left w:val="single" w:color="auto" w:sz="6" w:space="0"/>
              <w:bottom w:val="single" w:color="auto" w:sz="4" w:space="0"/>
              <w:right w:val="single" w:color="auto" w:sz="4" w:space="0"/>
            </w:tcBorders>
            <w:vAlign w:val="center"/>
          </w:tcPr>
          <w:p>
            <w:pPr>
              <w:spacing w:before="159"/>
              <w:jc w:val="center"/>
              <w:rPr>
                <w:rFonts w:cs="宋体" w:asciiTheme="minorEastAsia" w:hAnsiTheme="minorEastAsia" w:eastAsiaTheme="minorEastAsia"/>
              </w:rPr>
            </w:pPr>
          </w:p>
        </w:tc>
        <w:tc>
          <w:tcPr>
            <w:tcW w:w="988" w:type="dxa"/>
            <w:tcBorders>
              <w:top w:val="single" w:color="auto" w:sz="6" w:space="0"/>
              <w:left w:val="single" w:color="auto" w:sz="4" w:space="0"/>
              <w:bottom w:val="single" w:color="auto" w:sz="4" w:space="0"/>
              <w:right w:val="single" w:color="auto" w:sz="6" w:space="0"/>
            </w:tcBorders>
            <w:vAlign w:val="center"/>
          </w:tcPr>
          <w:p>
            <w:pPr>
              <w:spacing w:before="159"/>
              <w:jc w:val="center"/>
              <w:rPr>
                <w:rFonts w:cs="宋体" w:asciiTheme="minorEastAsia" w:hAnsiTheme="minorEastAsia" w:eastAsiaTheme="minorEastAsia"/>
              </w:rPr>
            </w:pPr>
          </w:p>
        </w:tc>
        <w:tc>
          <w:tcPr>
            <w:tcW w:w="1271"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cs="宋体" w:asciiTheme="minorEastAsia" w:hAnsiTheme="minorEastAsia" w:eastAsiaTheme="minorEastAsia"/>
              </w:rPr>
            </w:pPr>
          </w:p>
        </w:tc>
        <w:tc>
          <w:tcPr>
            <w:tcW w:w="966"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cs="宋体" w:asciiTheme="minorEastAsia" w:hAnsiTheme="minorEastAsia" w:eastAsiaTheme="minorEastAsia"/>
              </w:rPr>
            </w:pPr>
          </w:p>
        </w:tc>
        <w:tc>
          <w:tcPr>
            <w:tcW w:w="13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cs="宋体" w:asciiTheme="minorEastAsia" w:hAnsiTheme="minorEastAsia" w:eastAsiaTheme="minorEastAsia"/>
              </w:rPr>
            </w:pPr>
          </w:p>
        </w:tc>
        <w:tc>
          <w:tcPr>
            <w:tcW w:w="11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cs="宋体" w:asciiTheme="minorEastAsia" w:hAnsiTheme="minorEastAsia" w:eastAsiaTheme="minorEastAsia"/>
              </w:rPr>
            </w:pPr>
          </w:p>
        </w:tc>
      </w:tr>
      <w:tr>
        <w:tblPrEx>
          <w:tblCellMar>
            <w:top w:w="0" w:type="dxa"/>
            <w:left w:w="28" w:type="dxa"/>
            <w:bottom w:w="0" w:type="dxa"/>
            <w:right w:w="28" w:type="dxa"/>
          </w:tblCellMar>
        </w:tblPrEx>
        <w:trPr>
          <w:trHeight w:val="608" w:hRule="atLeast"/>
        </w:trPr>
        <w:tc>
          <w:tcPr>
            <w:tcW w:w="1148" w:type="dxa"/>
            <w:vMerge w:val="continue"/>
            <w:tcBorders>
              <w:top w:val="nil"/>
              <w:left w:val="single" w:color="auto" w:sz="6" w:space="0"/>
              <w:bottom w:val="nil"/>
              <w:right w:val="single" w:color="auto" w:sz="4" w:space="0"/>
            </w:tcBorders>
            <w:vAlign w:val="center"/>
          </w:tcPr>
          <w:p>
            <w:pPr>
              <w:rPr>
                <w:rFonts w:asciiTheme="minorEastAsia" w:hAnsiTheme="minorEastAsia" w:eastAsiaTheme="minorEastAsia"/>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cs="宋体" w:asciiTheme="minorEastAsia" w:hAnsiTheme="minorEastAsia" w:eastAsiaTheme="minorEastAsia"/>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cs="宋体" w:asciiTheme="minorEastAsia" w:hAnsiTheme="minorEastAsia" w:eastAsiaTheme="minorEastAsia"/>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pPr>
              <w:rPr>
                <w:rFonts w:asciiTheme="minorEastAsia" w:hAnsiTheme="minorEastAsia" w:eastAsiaTheme="minorEastAsia"/>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cs="宋体" w:asciiTheme="minorEastAsia" w:hAnsiTheme="minorEastAsia" w:eastAsiaTheme="minorEastAsia"/>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cs="宋体" w:asciiTheme="minorEastAsia" w:hAnsiTheme="minorEastAsia" w:eastAsiaTheme="minorEastAsia"/>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pPr>
              <w:rPr>
                <w:rFonts w:asciiTheme="minorEastAsia" w:hAnsiTheme="minorEastAsia" w:eastAsiaTheme="minorEastAsia"/>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cs="宋体" w:asciiTheme="minorEastAsia" w:hAnsiTheme="minorEastAsia" w:eastAsiaTheme="minorEastAsia"/>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pPr>
              <w:rPr>
                <w:rFonts w:asciiTheme="minorEastAsia" w:hAnsiTheme="minorEastAsia" w:eastAsiaTheme="minorEastAsia"/>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cs="宋体" w:asciiTheme="minorEastAsia" w:hAnsiTheme="minorEastAsia" w:eastAsiaTheme="minorEastAsia"/>
                <w:b/>
              </w:rPr>
            </w:pPr>
            <w:r>
              <w:rPr>
                <w:rFonts w:hint="eastAsia" w:cs="宋体" w:asciiTheme="minorEastAsia" w:hAnsiTheme="minorEastAsia" w:eastAsiaTheme="minorEastAsia"/>
              </w:rPr>
              <w:t>5</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cs="宋体" w:asciiTheme="minorEastAsia" w:hAnsiTheme="minorEastAsia" w:eastAsiaTheme="minorEastAsia"/>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single" w:color="auto" w:sz="6" w:space="0"/>
              <w:right w:val="single" w:color="auto" w:sz="4" w:space="0"/>
            </w:tcBorders>
            <w:vAlign w:val="center"/>
          </w:tcPr>
          <w:p>
            <w:pPr>
              <w:rPr>
                <w:rFonts w:asciiTheme="minorEastAsia" w:hAnsiTheme="minorEastAsia" w:eastAsiaTheme="minorEastAsia"/>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cs="宋体" w:asciiTheme="minorEastAsia" w:hAnsiTheme="minorEastAsia" w:eastAsiaTheme="minorEastAsia"/>
              </w:rPr>
            </w:pPr>
            <w:r>
              <w:rPr>
                <w:rFonts w:hint="eastAsia" w:cs="宋体" w:asciiTheme="minorEastAsia" w:hAnsiTheme="minorEastAsia" w:eastAsiaTheme="minorEastAsia"/>
              </w:rPr>
              <w:t>...</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r>
              <w:rPr>
                <w:rFonts w:hint="eastAsia" w:cs="宋体" w:asciiTheme="minorEastAsia" w:hAnsiTheme="minorEastAsia" w:eastAsiaTheme="minorEastAsia"/>
              </w:rPr>
              <w:t>...</w:t>
            </w: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cs="宋体" w:asciiTheme="minorEastAsia" w:hAnsiTheme="minorEastAsia" w:eastAsiaTheme="minorEastAsia"/>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安装调试费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r>
              <w:rPr>
                <w:rFonts w:hint="eastAsia" w:cs="宋体" w:asciiTheme="minorEastAsia" w:hAnsiTheme="minorEastAsia" w:eastAsiaTheme="minorEastAsia"/>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运杂费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其他费用</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w:t>
            </w:r>
          </w:p>
        </w:tc>
      </w:tr>
      <w:tr>
        <w:tblPrEx>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投标总报价</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rPr>
                <w:rFonts w:cs="宋体" w:asciiTheme="minorEastAsia" w:hAnsiTheme="minorEastAsia" w:eastAsiaTheme="minorEastAsia"/>
              </w:rPr>
            </w:pPr>
            <w:r>
              <w:rPr>
                <w:rFonts w:hint="eastAsia" w:cs="宋体" w:asciiTheme="minorEastAsia" w:hAnsiTheme="minorEastAsia" w:eastAsiaTheme="minorEastAsia"/>
              </w:rPr>
              <w:t>大写：</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 小写：</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 元</w:t>
            </w:r>
          </w:p>
        </w:tc>
      </w:tr>
      <w:tr>
        <w:tblPrEx>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备注</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center"/>
              <w:rPr>
                <w:rFonts w:cs="宋体" w:asciiTheme="minorEastAsia" w:hAnsiTheme="minorEastAsia" w:eastAsiaTheme="minorEastAsia"/>
              </w:rPr>
            </w:pPr>
            <w:r>
              <w:rPr>
                <w:rFonts w:hint="eastAsia" w:cs="宋体" w:asciiTheme="minorEastAsia" w:hAnsiTheme="minorEastAsia" w:eastAsiaTheme="minorEastAsia"/>
                <w:spacing w:val="-6"/>
              </w:rPr>
              <w:t>保留小数点后两位。</w:t>
            </w:r>
          </w:p>
        </w:tc>
      </w:tr>
    </w:tbl>
    <w:p>
      <w:pPr>
        <w:adjustRightInd w:val="0"/>
        <w:snapToGrid w:val="0"/>
        <w:spacing w:line="480" w:lineRule="auto"/>
        <w:rPr>
          <w:rFonts w:asciiTheme="minorEastAsia" w:hAnsiTheme="minorEastAsia" w:eastAsiaTheme="minorEastAsia"/>
          <w:color w:val="000000"/>
        </w:rPr>
      </w:pPr>
      <w:r>
        <w:rPr>
          <w:rFonts w:hint="eastAsia" w:asciiTheme="minorEastAsia" w:hAnsiTheme="minorEastAsia" w:eastAsiaTheme="minorEastAsia"/>
          <w:color w:val="000000"/>
        </w:rPr>
        <w:t>供应商（单位名称及公章）：</w:t>
      </w:r>
      <w:r>
        <w:rPr>
          <w:rFonts w:hint="eastAsia" w:cs="宋体" w:asciiTheme="minorEastAsia" w:hAnsiTheme="minorEastAsia" w:eastAsiaTheme="minorEastAsia"/>
        </w:rPr>
        <w:t>___________________________</w:t>
      </w:r>
    </w:p>
    <w:p>
      <w:pPr>
        <w:adjustRightInd w:val="0"/>
        <w:snapToGrid w:val="0"/>
        <w:spacing w:line="480" w:lineRule="auto"/>
        <w:rPr>
          <w:rFonts w:asciiTheme="minorEastAsia" w:hAnsiTheme="minorEastAsia" w:eastAsiaTheme="minorEastAsia"/>
          <w:color w:val="000000"/>
        </w:rPr>
      </w:pPr>
      <w:r>
        <w:rPr>
          <w:rFonts w:hint="eastAsia" w:asciiTheme="minorEastAsia" w:hAnsiTheme="minorEastAsia" w:eastAsiaTheme="minorEastAsia"/>
          <w:color w:val="000000"/>
        </w:rPr>
        <w:t>法定代表人或被授权人（签字或盖章）：</w:t>
      </w:r>
      <w:r>
        <w:rPr>
          <w:rFonts w:hint="eastAsia" w:cs="宋体" w:asciiTheme="minorEastAsia" w:hAnsiTheme="minorEastAsia" w:eastAsiaTheme="minorEastAsia"/>
        </w:rPr>
        <w:t>___________________________</w:t>
      </w:r>
    </w:p>
    <w:p>
      <w:pPr>
        <w:adjustRightInd w:val="0"/>
        <w:snapToGrid w:val="0"/>
        <w:spacing w:line="480" w:lineRule="auto"/>
        <w:rPr>
          <w:rFonts w:cs="宋体" w:asciiTheme="minorEastAsia" w:hAnsiTheme="minorEastAsia" w:eastAsiaTheme="minorEastAsia"/>
        </w:rPr>
      </w:pPr>
      <w:r>
        <w:rPr>
          <w:rFonts w:hint="eastAsia" w:asciiTheme="minorEastAsia" w:hAnsiTheme="minorEastAsia" w:eastAsiaTheme="minorEastAsia"/>
          <w:color w:val="000000"/>
        </w:rPr>
        <w:t>日期：</w:t>
      </w:r>
      <w:r>
        <w:rPr>
          <w:rFonts w:hint="eastAsia" w:cs="宋体" w:asciiTheme="minorEastAsia" w:hAnsiTheme="minorEastAsia" w:eastAsiaTheme="minorEastAsia"/>
        </w:rPr>
        <w:t>_______年________月_______日</w:t>
      </w:r>
    </w:p>
    <w:p>
      <w:pPr>
        <w:adjustRightInd w:val="0"/>
        <w:snapToGrid w:val="0"/>
        <w:spacing w:line="480" w:lineRule="auto"/>
        <w:rPr>
          <w:rFonts w:asciiTheme="minorEastAsia" w:hAnsiTheme="minorEastAsia" w:eastAsiaTheme="minorEastAsia"/>
          <w:color w:val="000000"/>
        </w:rPr>
        <w:sectPr>
          <w:pgSz w:w="11906" w:h="16838"/>
          <w:pgMar w:top="1440" w:right="1803" w:bottom="1440" w:left="1803" w:header="850" w:footer="992" w:gutter="0"/>
          <w:cols w:space="0" w:num="1"/>
          <w:titlePg/>
          <w:docGrid w:type="linesAndChars" w:linePitch="395" w:charSpace="1724"/>
        </w:sectPr>
      </w:pPr>
    </w:p>
    <w:p>
      <w:pPr>
        <w:pStyle w:val="7"/>
        <w:ind w:firstLine="480"/>
        <w:jc w:val="center"/>
        <w:rPr>
          <w:rFonts w:cs="宋体" w:asciiTheme="minorEastAsia" w:hAnsiTheme="minorEastAsia" w:eastAsiaTheme="minorEastAsia"/>
          <w:sz w:val="24"/>
          <w:szCs w:val="24"/>
        </w:rPr>
      </w:pPr>
      <w:bookmarkStart w:id="87" w:name="_Toc135129538"/>
      <w:r>
        <w:rPr>
          <w:rFonts w:hint="eastAsia" w:cs="宋体" w:asciiTheme="minorEastAsia" w:hAnsiTheme="minorEastAsia" w:eastAsiaTheme="minorEastAsia"/>
          <w:sz w:val="24"/>
          <w:szCs w:val="24"/>
        </w:rPr>
        <w:t>第三部分  资格证明文件</w:t>
      </w:r>
      <w:bookmarkEnd w:id="87"/>
    </w:p>
    <w:p>
      <w:pPr>
        <w:spacing w:line="560" w:lineRule="exact"/>
        <w:ind w:firstLine="480" w:firstLineChars="200"/>
        <w:jc w:val="both"/>
        <w:rPr>
          <w:rFonts w:cs="宋体" w:asciiTheme="minorEastAsia" w:hAnsiTheme="minorEastAsia" w:eastAsiaTheme="minorEastAsia"/>
        </w:rPr>
      </w:pPr>
      <w:r>
        <w:rPr>
          <w:rFonts w:hint="eastAsia" w:cs="宋体" w:asciiTheme="minorEastAsia" w:hAnsiTheme="minorEastAsia" w:eastAsiaTheme="minorEastAsia"/>
        </w:rPr>
        <w:t>按照招标文件第一章《投标邀请函》所列“供应商资格要求”提供各项资格证明文件，未按要求提供的，其投标文件将被视为无效文件。</w:t>
      </w:r>
    </w:p>
    <w:p>
      <w:pPr>
        <w:rPr>
          <w:rFonts w:cs="宋体" w:asciiTheme="minorEastAsia" w:hAnsiTheme="minorEastAsia" w:eastAsiaTheme="minorEastAsia"/>
        </w:rPr>
      </w:pPr>
      <w:r>
        <w:rPr>
          <w:rFonts w:hint="eastAsia" w:cs="宋体" w:asciiTheme="minorEastAsia" w:hAnsiTheme="minorEastAsia" w:eastAsiaTheme="minorEastAsia"/>
        </w:rPr>
        <w:t>（一）基本资格条件</w:t>
      </w:r>
    </w:p>
    <w:p>
      <w:pPr>
        <w:pStyle w:val="19"/>
        <w:rPr>
          <w:rFonts w:cs="宋体" w:asciiTheme="minorEastAsia" w:hAnsiTheme="minorEastAsia" w:eastAsiaTheme="minorEastAsia"/>
          <w:sz w:val="24"/>
        </w:rPr>
      </w:pPr>
      <w:r>
        <w:rPr>
          <w:rFonts w:hint="eastAsia" w:cs="宋体" w:asciiTheme="minorEastAsia" w:hAnsiTheme="minorEastAsia" w:eastAsiaTheme="minorEastAsia"/>
          <w:sz w:val="24"/>
        </w:rPr>
        <w:t>满足《中华人民共和国政府采购法》第二十二条规定的</w:t>
      </w:r>
    </w:p>
    <w:p>
      <w:pPr>
        <w:pStyle w:val="19"/>
        <w:jc w:val="center"/>
        <w:rPr>
          <w:rFonts w:cs="宋体" w:asciiTheme="minorEastAsia" w:hAnsiTheme="minorEastAsia" w:eastAsiaTheme="minorEastAsia"/>
          <w:sz w:val="24"/>
        </w:rPr>
      </w:pPr>
      <w:r>
        <w:rPr>
          <w:rFonts w:hint="eastAsia" w:cs="宋体" w:asciiTheme="minorEastAsia" w:hAnsiTheme="minorEastAsia" w:eastAsiaTheme="minorEastAsia"/>
          <w:sz w:val="24"/>
        </w:rPr>
        <w:t>资格承诺（格式）</w:t>
      </w:r>
    </w:p>
    <w:p>
      <w:pPr>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(采购人名称）_______________________：</w:t>
      </w:r>
    </w:p>
    <w:p>
      <w:pPr>
        <w:snapToGrid w:val="0"/>
        <w:spacing w:line="48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我单位参与陕西卓佲项目管理有限公司组织________________________(项目名称)公开招标，我公司符合《中华人民共和国政府采购法》规定的供应商资格条件：</w:t>
      </w:r>
    </w:p>
    <w:p>
      <w:pPr>
        <w:numPr>
          <w:ilvl w:val="0"/>
          <w:numId w:val="4"/>
        </w:numPr>
        <w:spacing w:line="500" w:lineRule="exact"/>
        <w:rPr>
          <w:rFonts w:cs="宋体" w:asciiTheme="minorEastAsia" w:hAnsiTheme="minorEastAsia" w:eastAsiaTheme="minorEastAsia"/>
        </w:rPr>
      </w:pPr>
      <w:r>
        <w:rPr>
          <w:rFonts w:hint="eastAsia" w:cs="宋体" w:asciiTheme="minorEastAsia" w:hAnsiTheme="minorEastAsia" w:eastAsiaTheme="minorEastAsia"/>
        </w:rPr>
        <w:t>具有独立承担民事责任的能力；</w:t>
      </w:r>
    </w:p>
    <w:p>
      <w:pPr>
        <w:numPr>
          <w:ilvl w:val="0"/>
          <w:numId w:val="4"/>
        </w:numPr>
        <w:spacing w:line="500" w:lineRule="exact"/>
        <w:rPr>
          <w:rFonts w:cs="宋体" w:asciiTheme="minorEastAsia" w:hAnsiTheme="minorEastAsia" w:eastAsiaTheme="minorEastAsia"/>
        </w:rPr>
      </w:pPr>
      <w:r>
        <w:rPr>
          <w:rFonts w:hint="eastAsia" w:cs="宋体" w:asciiTheme="minorEastAsia" w:hAnsiTheme="minorEastAsia" w:eastAsiaTheme="minorEastAsia"/>
        </w:rPr>
        <w:t>具有良好的商业信誉和健全的财务会计制度；</w:t>
      </w:r>
    </w:p>
    <w:p>
      <w:pPr>
        <w:numPr>
          <w:ilvl w:val="0"/>
          <w:numId w:val="4"/>
        </w:numPr>
        <w:spacing w:line="500" w:lineRule="exact"/>
        <w:rPr>
          <w:rFonts w:cs="宋体" w:asciiTheme="minorEastAsia" w:hAnsiTheme="minorEastAsia" w:eastAsiaTheme="minorEastAsia"/>
        </w:rPr>
      </w:pPr>
      <w:r>
        <w:rPr>
          <w:rFonts w:hint="eastAsia" w:cs="宋体" w:asciiTheme="minorEastAsia" w:hAnsiTheme="minorEastAsia" w:eastAsiaTheme="minorEastAsia"/>
        </w:rPr>
        <w:t>具有履行合同所必需的设备和专业技术能力；</w:t>
      </w:r>
    </w:p>
    <w:p>
      <w:pPr>
        <w:numPr>
          <w:ilvl w:val="0"/>
          <w:numId w:val="4"/>
        </w:numPr>
        <w:spacing w:line="500" w:lineRule="exact"/>
        <w:rPr>
          <w:rFonts w:cs="宋体" w:asciiTheme="minorEastAsia" w:hAnsiTheme="minorEastAsia" w:eastAsiaTheme="minorEastAsia"/>
        </w:rPr>
      </w:pPr>
      <w:r>
        <w:rPr>
          <w:rFonts w:hint="eastAsia" w:cs="宋体" w:asciiTheme="minorEastAsia" w:hAnsiTheme="minorEastAsia" w:eastAsiaTheme="minorEastAsia"/>
        </w:rPr>
        <w:t>具有依法缴纳税收和社会保障资金的良好记录；</w:t>
      </w:r>
    </w:p>
    <w:p>
      <w:pPr>
        <w:numPr>
          <w:ilvl w:val="0"/>
          <w:numId w:val="4"/>
        </w:numPr>
        <w:spacing w:line="500" w:lineRule="exact"/>
        <w:rPr>
          <w:rFonts w:cs="宋体" w:asciiTheme="minorEastAsia" w:hAnsiTheme="minorEastAsia" w:eastAsiaTheme="minorEastAsia"/>
        </w:rPr>
      </w:pPr>
      <w:r>
        <w:rPr>
          <w:rFonts w:hint="eastAsia" w:cs="宋体" w:asciiTheme="minorEastAsia" w:hAnsiTheme="minorEastAsia" w:eastAsiaTheme="minorEastAsia"/>
        </w:rPr>
        <w:t>参加此项采购活动前三年内，在经营活动中没有重大违法记录；</w:t>
      </w:r>
    </w:p>
    <w:p>
      <w:pPr>
        <w:numPr>
          <w:ilvl w:val="0"/>
          <w:numId w:val="4"/>
        </w:numPr>
        <w:spacing w:line="500" w:lineRule="exact"/>
        <w:rPr>
          <w:rFonts w:cs="宋体" w:asciiTheme="minorEastAsia" w:hAnsiTheme="minorEastAsia" w:eastAsiaTheme="minorEastAsia"/>
        </w:rPr>
      </w:pPr>
      <w:r>
        <w:rPr>
          <w:rFonts w:hint="eastAsia" w:cs="宋体" w:asciiTheme="minorEastAsia" w:hAnsiTheme="minorEastAsia" w:eastAsiaTheme="minorEastAsia"/>
        </w:rPr>
        <w:t>法律、行政法规规定的其他条件。</w:t>
      </w:r>
    </w:p>
    <w:p>
      <w:pPr>
        <w:pStyle w:val="19"/>
        <w:rPr>
          <w:rFonts w:cs="宋体" w:asciiTheme="minorEastAsia" w:hAnsiTheme="minorEastAsia" w:eastAsiaTheme="minorEastAsia"/>
          <w:sz w:val="24"/>
        </w:rPr>
      </w:pPr>
    </w:p>
    <w:p>
      <w:pPr>
        <w:snapToGrid w:val="0"/>
        <w:spacing w:line="48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我方对此声明负全部法律责任。</w:t>
      </w: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供应商（单位名称及公章）：______________________</w:t>
      </w: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法定代表人或被授权人（签字或盖章）：______________________</w:t>
      </w:r>
    </w:p>
    <w:p>
      <w:pPr>
        <w:adjustRightInd w:val="0"/>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日    期：______________________</w:t>
      </w:r>
    </w:p>
    <w:p>
      <w:pPr>
        <w:rPr>
          <w:rFonts w:cs="宋体" w:asciiTheme="minorEastAsia" w:hAnsiTheme="minorEastAsia" w:eastAsiaTheme="minorEastAsia"/>
        </w:rPr>
      </w:pPr>
      <w:bookmarkStart w:id="88" w:name="_Toc30568"/>
      <w:bookmarkStart w:id="89" w:name="_Toc28294"/>
      <w:bookmarkStart w:id="90" w:name="_Toc9106"/>
      <w:bookmarkStart w:id="91" w:name="_Toc32575"/>
      <w:bookmarkStart w:id="92" w:name="_Toc14575"/>
      <w:bookmarkStart w:id="93" w:name="_Toc26570"/>
      <w:bookmarkStart w:id="94" w:name="_Toc29109"/>
      <w:bookmarkStart w:id="95" w:name="_Toc18738"/>
      <w:r>
        <w:rPr>
          <w:rFonts w:hint="eastAsia" w:cs="宋体" w:asciiTheme="minorEastAsia" w:hAnsiTheme="minorEastAsia" w:eastAsiaTheme="minorEastAsia"/>
        </w:rPr>
        <w:br w:type="page"/>
      </w:r>
    </w:p>
    <w:p>
      <w:pPr>
        <w:spacing w:line="360" w:lineRule="auto"/>
        <w:rPr>
          <w:rFonts w:cs="宋体" w:asciiTheme="minorEastAsia" w:hAnsiTheme="minorEastAsia" w:eastAsiaTheme="minorEastAsia"/>
        </w:rPr>
      </w:pPr>
      <w:r>
        <w:rPr>
          <w:rFonts w:hint="eastAsia" w:cs="宋体" w:asciiTheme="minorEastAsia" w:hAnsiTheme="minorEastAsia" w:eastAsiaTheme="minorEastAsia"/>
        </w:rPr>
        <w:t>（二）特定资格条件</w:t>
      </w:r>
    </w:p>
    <w:p>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1、具有独立承担民事责任能力的法人、其他组织或自然人，提供合法有效的统一社会信用代码营业执照（事业单位提供事业单位法人证书，自然人应提供身份证）；</w:t>
      </w:r>
    </w:p>
    <w:p>
      <w:pPr>
        <w:keepNext/>
        <w:keepLines/>
        <w:spacing w:line="413" w:lineRule="auto"/>
        <w:ind w:firstLine="480" w:firstLineChars="200"/>
        <w:rPr>
          <w:rFonts w:cs="宋体" w:asciiTheme="minorEastAsia" w:hAnsiTheme="minorEastAsia" w:eastAsiaTheme="minorEastAsia"/>
        </w:rPr>
        <w:sectPr>
          <w:headerReference r:id="rId10" w:type="default"/>
          <w:pgSz w:w="11906" w:h="16838"/>
          <w:pgMar w:top="1440" w:right="1803" w:bottom="1440" w:left="1803" w:header="851" w:footer="992" w:gutter="0"/>
          <w:cols w:space="720" w:num="1"/>
          <w:docGrid w:type="lines" w:linePitch="319" w:charSpace="0"/>
        </w:sectPr>
      </w:pPr>
      <w:r>
        <w:rPr>
          <w:rFonts w:hint="eastAsia" w:cs="宋体" w:asciiTheme="minorEastAsia" w:hAnsiTheme="minorEastAsia" w:eastAsiaTheme="minorEastAsia"/>
        </w:rPr>
        <w:t>2、财务状况证明：供应商提供2021年度或2022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p>
      <w:pPr>
        <w:keepNext/>
        <w:keepLines/>
        <w:spacing w:line="413" w:lineRule="auto"/>
        <w:jc w:val="center"/>
        <w:rPr>
          <w:rFonts w:cs="宋体" w:asciiTheme="minorEastAsia" w:hAnsiTheme="minorEastAsia" w:eastAsiaTheme="minorEastAsia"/>
        </w:rPr>
      </w:pPr>
      <w:r>
        <w:rPr>
          <w:rFonts w:hint="eastAsia" w:cs="宋体" w:asciiTheme="minorEastAsia" w:hAnsiTheme="minorEastAsia" w:eastAsiaTheme="minorEastAsia"/>
        </w:rPr>
        <w:t>3、履行合同所必需的设备和专业技术能力声明（格式）</w:t>
      </w:r>
    </w:p>
    <w:p>
      <w:pPr>
        <w:rPr>
          <w:rFonts w:cs="宋体" w:asciiTheme="minorEastAsia" w:hAnsiTheme="minorEastAsia" w:eastAsiaTheme="minorEastAsia"/>
        </w:rPr>
      </w:pPr>
    </w:p>
    <w:p>
      <w:pPr>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(采购人名称）_______________________：</w:t>
      </w:r>
    </w:p>
    <w:p>
      <w:pPr>
        <w:snapToGrid w:val="0"/>
        <w:spacing w:line="480" w:lineRule="auto"/>
        <w:ind w:firstLine="720" w:firstLineChars="300"/>
        <w:rPr>
          <w:rFonts w:cs="宋体" w:asciiTheme="minorEastAsia" w:hAnsiTheme="minorEastAsia" w:eastAsiaTheme="minorEastAsia"/>
        </w:rPr>
      </w:pPr>
      <w:r>
        <w:rPr>
          <w:rFonts w:hint="eastAsia" w:cs="宋体" w:asciiTheme="minorEastAsia" w:hAnsiTheme="minorEastAsia" w:eastAsiaTheme="minorEastAsia"/>
        </w:rPr>
        <w:t>我单位参与陕西卓佲项目管理有限公司组织的____________________(项目名称)，我单位郑重声明：我方</w:t>
      </w:r>
      <w:r>
        <w:rPr>
          <w:rFonts w:hint="eastAsia" w:cs="宋体" w:asciiTheme="minorEastAsia" w:hAnsiTheme="minorEastAsia" w:eastAsiaTheme="minorEastAsia"/>
          <w:b/>
          <w:bCs/>
        </w:rPr>
        <w:t>具有履行合同所必需的设备和专业技术能力</w:t>
      </w:r>
      <w:r>
        <w:rPr>
          <w:rFonts w:hint="eastAsia" w:cs="宋体" w:asciiTheme="minorEastAsia" w:hAnsiTheme="minorEastAsia" w:eastAsiaTheme="minorEastAsia"/>
        </w:rPr>
        <w:t>，符合《中华人民共和国政府采购法》规定的供应商资格条件，我方对此声明负全部法律责任。</w:t>
      </w:r>
    </w:p>
    <w:p>
      <w:pPr>
        <w:snapToGrid w:val="0"/>
        <w:spacing w:line="48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特此声明。</w:t>
      </w:r>
    </w:p>
    <w:p>
      <w:pPr>
        <w:pStyle w:val="5"/>
        <w:spacing w:line="500" w:lineRule="exact"/>
        <w:rPr>
          <w:rFonts w:cs="宋体" w:asciiTheme="minorEastAsia" w:hAnsiTheme="minorEastAsia" w:eastAsiaTheme="minorEastAsia"/>
          <w:sz w:val="24"/>
        </w:rPr>
      </w:pPr>
    </w:p>
    <w:p>
      <w:pPr>
        <w:pStyle w:val="5"/>
        <w:spacing w:line="480" w:lineRule="auto"/>
        <w:rPr>
          <w:rFonts w:cs="宋体" w:asciiTheme="minorEastAsia" w:hAnsiTheme="minorEastAsia" w:eastAsiaTheme="minorEastAsia"/>
          <w:sz w:val="24"/>
        </w:rPr>
      </w:pP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供应商（单位名称及公章）：______________________</w:t>
      </w: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法定代表人或被授权人（签字或盖章）：______________________</w:t>
      </w:r>
    </w:p>
    <w:p>
      <w:pPr>
        <w:adjustRightInd w:val="0"/>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日    期：______________________</w:t>
      </w:r>
    </w:p>
    <w:p>
      <w:pPr>
        <w:spacing w:line="360" w:lineRule="auto"/>
        <w:ind w:firstLine="480" w:firstLineChars="200"/>
        <w:rPr>
          <w:rFonts w:cs="宋体" w:asciiTheme="minorEastAsia" w:hAnsiTheme="minorEastAsia" w:eastAsiaTheme="minorEastAsia"/>
        </w:rPr>
        <w:sectPr>
          <w:pgSz w:w="11906" w:h="16838"/>
          <w:pgMar w:top="1440" w:right="1803" w:bottom="1440" w:left="1803" w:header="851" w:footer="992" w:gutter="0"/>
          <w:cols w:space="720" w:num="1"/>
          <w:docGrid w:type="lines" w:linePitch="319" w:charSpace="0"/>
        </w:sectPr>
      </w:pPr>
    </w:p>
    <w:p>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4、社会保障资金缴纳证明：提供2022年8月以来至少一个月的社会保障资金缴存单据或社保机构开具的社会保险参保缴费情况证明。依法不需要缴纳社会保障资金的供应商应提供相关文件证明；</w:t>
      </w:r>
    </w:p>
    <w:p>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5、税收缴纳证明：提供2022年8月以来至少一个月的纳税证明或完税证明，依法免税的单位应提供相关证明材料；</w:t>
      </w: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tabs>
          <w:tab w:val="left" w:pos="2850"/>
        </w:tabs>
        <w:rPr>
          <w:rFonts w:cs="宋体" w:asciiTheme="minorEastAsia" w:hAnsiTheme="minorEastAsia" w:eastAsiaTheme="minorEastAsia"/>
        </w:rPr>
      </w:pPr>
      <w:r>
        <w:rPr>
          <w:rFonts w:hint="eastAsia" w:cs="宋体" w:asciiTheme="minorEastAsia" w:hAnsiTheme="minorEastAsia" w:eastAsiaTheme="minorEastAsia"/>
        </w:rPr>
        <w:tab/>
      </w:r>
    </w:p>
    <w:p>
      <w:pPr>
        <w:pStyle w:val="4"/>
        <w:rPr>
          <w:rFonts w:asciiTheme="minorEastAsia" w:hAnsiTheme="minorEastAsia" w:eastAsiaTheme="minorEastAsia"/>
        </w:rPr>
      </w:pPr>
    </w:p>
    <w:p>
      <w:pPr>
        <w:tabs>
          <w:tab w:val="left" w:pos="2235"/>
        </w:tabs>
        <w:rPr>
          <w:rFonts w:cs="宋体" w:asciiTheme="minorEastAsia" w:hAnsiTheme="minorEastAsia" w:eastAsiaTheme="minorEastAsia"/>
        </w:rPr>
      </w:pPr>
      <w:r>
        <w:rPr>
          <w:rFonts w:hint="eastAsia" w:cs="宋体" w:asciiTheme="minorEastAsia" w:hAnsiTheme="minorEastAsia" w:eastAsiaTheme="minorEastAsia"/>
        </w:rPr>
        <w:tab/>
      </w:r>
    </w:p>
    <w:p>
      <w:pPr>
        <w:rPr>
          <w:rFonts w:cs="宋体" w:asciiTheme="minorEastAsia" w:hAnsiTheme="minorEastAsia" w:eastAsiaTheme="minorEastAsia"/>
        </w:rPr>
      </w:pPr>
      <w:r>
        <w:rPr>
          <w:rFonts w:cs="宋体" w:asciiTheme="minorEastAsia" w:hAnsiTheme="minorEastAsia" w:eastAsiaTheme="minorEastAsia"/>
        </w:rPr>
        <w:br w:type="page"/>
      </w:r>
    </w:p>
    <w:p>
      <w:pPr>
        <w:jc w:val="center"/>
        <w:rPr>
          <w:rFonts w:cs="宋体" w:asciiTheme="minorEastAsia" w:hAnsiTheme="minorEastAsia" w:eastAsiaTheme="minorEastAsia"/>
        </w:rPr>
      </w:pPr>
    </w:p>
    <w:p>
      <w:pPr>
        <w:keepNext/>
        <w:keepLines/>
        <w:spacing w:line="413" w:lineRule="auto"/>
        <w:jc w:val="center"/>
        <w:rPr>
          <w:rFonts w:cs="宋体" w:asciiTheme="minorEastAsia" w:hAnsiTheme="minorEastAsia" w:eastAsiaTheme="minorEastAsia"/>
        </w:rPr>
      </w:pPr>
      <w:r>
        <w:rPr>
          <w:rFonts w:hint="eastAsia" w:cs="宋体" w:asciiTheme="minorEastAsia" w:hAnsiTheme="minorEastAsia" w:eastAsiaTheme="minorEastAsia"/>
        </w:rPr>
        <w:t>6、无重大违法记录声明（格式）</w:t>
      </w:r>
    </w:p>
    <w:p>
      <w:pPr>
        <w:rPr>
          <w:rFonts w:cs="宋体" w:asciiTheme="minorEastAsia" w:hAnsiTheme="minorEastAsia" w:eastAsiaTheme="minorEastAsia"/>
        </w:rPr>
      </w:pPr>
    </w:p>
    <w:p>
      <w:pPr>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(采购人名称）_______________________：</w:t>
      </w:r>
    </w:p>
    <w:p>
      <w:pPr>
        <w:snapToGrid w:val="0"/>
        <w:spacing w:line="48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我单位参与陕西卓佲项目管理有限公司组织的______________________(项目名称)公开招标，我单位郑重声明：我方参加本项目公开招标工作前三年内无重大违法活动记录，符合《中华人民共和国政府采购法》规定的供应商资格条件，我方对此声明负全部法律责任。</w:t>
      </w:r>
    </w:p>
    <w:p>
      <w:pPr>
        <w:snapToGrid w:val="0"/>
        <w:spacing w:line="48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特此声明。</w:t>
      </w:r>
    </w:p>
    <w:p>
      <w:pPr>
        <w:pStyle w:val="5"/>
        <w:spacing w:line="500" w:lineRule="exact"/>
        <w:rPr>
          <w:rFonts w:cs="宋体" w:asciiTheme="minorEastAsia" w:hAnsiTheme="minorEastAsia" w:eastAsiaTheme="minorEastAsia"/>
          <w:sz w:val="24"/>
        </w:rPr>
      </w:pPr>
    </w:p>
    <w:p>
      <w:pPr>
        <w:pStyle w:val="5"/>
        <w:spacing w:line="480" w:lineRule="auto"/>
        <w:rPr>
          <w:rFonts w:cs="宋体" w:asciiTheme="minorEastAsia" w:hAnsiTheme="minorEastAsia" w:eastAsiaTheme="minorEastAsia"/>
          <w:sz w:val="24"/>
        </w:rPr>
      </w:pP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供应商（单位名称及公章）：______________________</w:t>
      </w: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法定代表人或被授权人（签字或盖章）：______________________</w:t>
      </w:r>
    </w:p>
    <w:p>
      <w:pPr>
        <w:adjustRightInd w:val="0"/>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日    期：______________________</w:t>
      </w: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jc w:val="center"/>
        <w:rPr>
          <w:rFonts w:cs="宋体" w:asciiTheme="minorEastAsia" w:hAnsiTheme="minorEastAsia" w:eastAsiaTheme="minorEastAsia"/>
        </w:rPr>
      </w:pPr>
    </w:p>
    <w:p>
      <w:pPr>
        <w:rPr>
          <w:rFonts w:cs="宋体" w:asciiTheme="minorEastAsia" w:hAnsiTheme="minorEastAsia" w:eastAsiaTheme="minorEastAsia"/>
        </w:rPr>
      </w:pPr>
      <w:r>
        <w:rPr>
          <w:rFonts w:cs="宋体" w:asciiTheme="minorEastAsia" w:hAnsiTheme="minorEastAsia" w:eastAsiaTheme="minorEastAsia"/>
        </w:rPr>
        <w:br w:type="page"/>
      </w:r>
    </w:p>
    <w:p>
      <w:pPr>
        <w:jc w:val="center"/>
        <w:rPr>
          <w:rFonts w:cs="宋体" w:asciiTheme="minorEastAsia" w:hAnsiTheme="minorEastAsia" w:eastAsiaTheme="minorEastAsia"/>
        </w:rPr>
      </w:pPr>
    </w:p>
    <w:p>
      <w:pPr>
        <w:jc w:val="center"/>
        <w:rPr>
          <w:rFonts w:cs="宋体" w:asciiTheme="minorEastAsia" w:hAnsiTheme="minorEastAsia" w:eastAsiaTheme="minorEastAsia"/>
        </w:rPr>
      </w:pPr>
      <w:r>
        <w:rPr>
          <w:rFonts w:hint="eastAsia" w:cs="宋体" w:asciiTheme="minorEastAsia" w:hAnsiTheme="minorEastAsia" w:eastAsiaTheme="minorEastAsia"/>
        </w:rPr>
        <w:t>7-1法定代表人证明书（格式）</w:t>
      </w:r>
    </w:p>
    <w:tbl>
      <w:tblPr>
        <w:tblStyle w:val="3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企</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业</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法</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人</w:t>
            </w: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企业名称</w:t>
            </w:r>
          </w:p>
        </w:tc>
        <w:tc>
          <w:tcPr>
            <w:tcW w:w="6656" w:type="dxa"/>
            <w:gridSpan w:val="4"/>
            <w:vAlign w:val="center"/>
          </w:tcPr>
          <w:p>
            <w:pPr>
              <w:tabs>
                <w:tab w:val="left" w:pos="210"/>
              </w:tabs>
              <w:spacing w:line="360" w:lineRule="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80" w:firstLineChars="200"/>
              <w:jc w:val="center"/>
              <w:rPr>
                <w:rFonts w:cs="宋体" w:asciiTheme="minorEastAsia" w:hAnsiTheme="minorEastAsia" w:eastAsiaTheme="minorEastAsia"/>
              </w:rPr>
            </w:pP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法定地址</w:t>
            </w:r>
          </w:p>
        </w:tc>
        <w:tc>
          <w:tcPr>
            <w:tcW w:w="6656" w:type="dxa"/>
            <w:gridSpan w:val="4"/>
            <w:vAlign w:val="center"/>
          </w:tcPr>
          <w:p>
            <w:pPr>
              <w:tabs>
                <w:tab w:val="left" w:pos="210"/>
              </w:tabs>
              <w:spacing w:line="360" w:lineRule="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80" w:firstLineChars="200"/>
              <w:jc w:val="center"/>
              <w:rPr>
                <w:rFonts w:cs="宋体" w:asciiTheme="minorEastAsia" w:hAnsiTheme="minorEastAsia" w:eastAsiaTheme="minorEastAsia"/>
              </w:rPr>
            </w:pP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邮政编码</w:t>
            </w:r>
          </w:p>
        </w:tc>
        <w:tc>
          <w:tcPr>
            <w:tcW w:w="6656" w:type="dxa"/>
            <w:gridSpan w:val="4"/>
            <w:vAlign w:val="center"/>
          </w:tcPr>
          <w:p>
            <w:pPr>
              <w:tabs>
                <w:tab w:val="left" w:pos="210"/>
              </w:tabs>
              <w:spacing w:line="360" w:lineRule="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80" w:firstLineChars="200"/>
              <w:jc w:val="center"/>
              <w:rPr>
                <w:rFonts w:cs="宋体" w:asciiTheme="minorEastAsia" w:hAnsiTheme="minorEastAsia" w:eastAsiaTheme="minorEastAsia"/>
              </w:rPr>
            </w:pP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工商登记机关</w:t>
            </w:r>
          </w:p>
        </w:tc>
        <w:tc>
          <w:tcPr>
            <w:tcW w:w="6656" w:type="dxa"/>
            <w:gridSpan w:val="4"/>
            <w:vAlign w:val="center"/>
          </w:tcPr>
          <w:p>
            <w:pPr>
              <w:tabs>
                <w:tab w:val="left" w:pos="210"/>
              </w:tabs>
              <w:spacing w:line="360" w:lineRule="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80" w:firstLineChars="200"/>
              <w:jc w:val="center"/>
              <w:rPr>
                <w:rFonts w:cs="宋体" w:asciiTheme="minorEastAsia" w:hAnsiTheme="minorEastAsia" w:eastAsiaTheme="minorEastAsia"/>
              </w:rPr>
            </w:pP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统一社会信用代码</w:t>
            </w:r>
          </w:p>
        </w:tc>
        <w:tc>
          <w:tcPr>
            <w:tcW w:w="6656" w:type="dxa"/>
            <w:gridSpan w:val="4"/>
            <w:vAlign w:val="center"/>
          </w:tcPr>
          <w:p>
            <w:pPr>
              <w:tabs>
                <w:tab w:val="left" w:pos="210"/>
              </w:tabs>
              <w:spacing w:line="360" w:lineRule="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法</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定</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代</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表</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人</w:t>
            </w: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姓名</w:t>
            </w:r>
          </w:p>
        </w:tc>
        <w:tc>
          <w:tcPr>
            <w:tcW w:w="2340" w:type="dxa"/>
            <w:gridSpan w:val="2"/>
            <w:vAlign w:val="center"/>
          </w:tcPr>
          <w:p>
            <w:pPr>
              <w:tabs>
                <w:tab w:val="left" w:pos="210"/>
              </w:tabs>
              <w:spacing w:line="360" w:lineRule="auto"/>
              <w:ind w:firstLine="480" w:firstLineChars="200"/>
              <w:rPr>
                <w:rFonts w:cs="宋体" w:asciiTheme="minorEastAsia" w:hAnsiTheme="minorEastAsia" w:eastAsiaTheme="minorEastAsia"/>
              </w:rPr>
            </w:pPr>
          </w:p>
        </w:tc>
        <w:tc>
          <w:tcPr>
            <w:tcW w:w="2156" w:type="dxa"/>
            <w:vAlign w:val="center"/>
          </w:tcPr>
          <w:p>
            <w:pPr>
              <w:tabs>
                <w:tab w:val="left" w:pos="210"/>
              </w:tabs>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性别</w:t>
            </w:r>
          </w:p>
        </w:tc>
        <w:tc>
          <w:tcPr>
            <w:tcW w:w="2160" w:type="dxa"/>
            <w:vAlign w:val="center"/>
          </w:tcPr>
          <w:p>
            <w:pPr>
              <w:tabs>
                <w:tab w:val="left" w:pos="210"/>
              </w:tabs>
              <w:spacing w:line="360" w:lineRule="auto"/>
              <w:ind w:firstLine="480" w:firstLineChars="20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80" w:firstLineChars="200"/>
              <w:jc w:val="center"/>
              <w:rPr>
                <w:rFonts w:cs="宋体" w:asciiTheme="minorEastAsia" w:hAnsiTheme="minorEastAsia" w:eastAsiaTheme="minorEastAsia"/>
              </w:rPr>
            </w:pP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职务</w:t>
            </w:r>
          </w:p>
        </w:tc>
        <w:tc>
          <w:tcPr>
            <w:tcW w:w="2340" w:type="dxa"/>
            <w:gridSpan w:val="2"/>
            <w:vAlign w:val="center"/>
          </w:tcPr>
          <w:p>
            <w:pPr>
              <w:tabs>
                <w:tab w:val="left" w:pos="210"/>
              </w:tabs>
              <w:spacing w:line="360" w:lineRule="auto"/>
              <w:rPr>
                <w:rFonts w:cs="宋体" w:asciiTheme="minorEastAsia" w:hAnsiTheme="minorEastAsia" w:eastAsiaTheme="minorEastAsia"/>
              </w:rPr>
            </w:pPr>
          </w:p>
        </w:tc>
        <w:tc>
          <w:tcPr>
            <w:tcW w:w="2156" w:type="dxa"/>
            <w:vAlign w:val="center"/>
          </w:tcPr>
          <w:p>
            <w:pPr>
              <w:tabs>
                <w:tab w:val="left" w:pos="210"/>
              </w:tabs>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联系电话</w:t>
            </w:r>
          </w:p>
        </w:tc>
        <w:tc>
          <w:tcPr>
            <w:tcW w:w="2160" w:type="dxa"/>
            <w:vAlign w:val="center"/>
          </w:tcPr>
          <w:p>
            <w:pPr>
              <w:tabs>
                <w:tab w:val="left" w:pos="210"/>
              </w:tabs>
              <w:spacing w:line="360" w:lineRule="auto"/>
              <w:ind w:firstLine="480" w:firstLineChars="20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pPr>
              <w:tabs>
                <w:tab w:val="left" w:pos="210"/>
              </w:tabs>
              <w:spacing w:line="360" w:lineRule="auto"/>
              <w:ind w:firstLine="480" w:firstLineChars="200"/>
              <w:jc w:val="center"/>
              <w:rPr>
                <w:rFonts w:cs="宋体" w:asciiTheme="minorEastAsia" w:hAnsiTheme="minorEastAsia" w:eastAsiaTheme="minorEastAsia"/>
              </w:rPr>
            </w:pPr>
          </w:p>
        </w:tc>
        <w:tc>
          <w:tcPr>
            <w:tcW w:w="2160" w:type="dxa"/>
            <w:vAlign w:val="center"/>
          </w:tcPr>
          <w:p>
            <w:pPr>
              <w:tabs>
                <w:tab w:val="left" w:pos="210"/>
              </w:tabs>
              <w:spacing w:line="360" w:lineRule="auto"/>
              <w:rPr>
                <w:rFonts w:cs="宋体" w:asciiTheme="minorEastAsia" w:hAnsiTheme="minorEastAsia" w:eastAsiaTheme="minorEastAsia"/>
              </w:rPr>
            </w:pPr>
            <w:r>
              <w:rPr>
                <w:rFonts w:hint="eastAsia" w:cs="宋体" w:asciiTheme="minorEastAsia" w:hAnsiTheme="minorEastAsia" w:eastAsiaTheme="minorEastAsia"/>
              </w:rPr>
              <w:t>传真</w:t>
            </w:r>
          </w:p>
        </w:tc>
        <w:tc>
          <w:tcPr>
            <w:tcW w:w="6656" w:type="dxa"/>
            <w:gridSpan w:val="4"/>
            <w:vAlign w:val="center"/>
          </w:tcPr>
          <w:p>
            <w:pPr>
              <w:tabs>
                <w:tab w:val="left" w:pos="210"/>
              </w:tabs>
              <w:spacing w:line="360" w:lineRule="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法</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定</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代</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表</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人</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身</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份</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证</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复</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印</w:t>
            </w:r>
          </w:p>
          <w:p>
            <w:pPr>
              <w:tabs>
                <w:tab w:val="left" w:pos="210"/>
              </w:tabs>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件</w:t>
            </w:r>
          </w:p>
        </w:tc>
        <w:tc>
          <w:tcPr>
            <w:tcW w:w="4316" w:type="dxa"/>
            <w:gridSpan w:val="2"/>
            <w:vMerge w:val="restart"/>
            <w:vAlign w:val="center"/>
          </w:tcPr>
          <w:p>
            <w:pPr>
              <w:tabs>
                <w:tab w:val="left" w:pos="210"/>
              </w:tabs>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（正反面）</w:t>
            </w:r>
          </w:p>
        </w:tc>
        <w:tc>
          <w:tcPr>
            <w:tcW w:w="4500" w:type="dxa"/>
            <w:gridSpan w:val="3"/>
            <w:vAlign w:val="center"/>
          </w:tcPr>
          <w:p>
            <w:pPr>
              <w:tabs>
                <w:tab w:val="left" w:pos="210"/>
              </w:tabs>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80" w:firstLineChars="200"/>
              <w:rPr>
                <w:rFonts w:cs="宋体" w:asciiTheme="minorEastAsia" w:hAnsiTheme="minorEastAsia" w:eastAsiaTheme="minorEastAsia"/>
              </w:rPr>
            </w:pPr>
          </w:p>
        </w:tc>
        <w:tc>
          <w:tcPr>
            <w:tcW w:w="4316" w:type="dxa"/>
            <w:gridSpan w:val="2"/>
            <w:vMerge w:val="continue"/>
            <w:vAlign w:val="center"/>
          </w:tcPr>
          <w:p>
            <w:pPr>
              <w:tabs>
                <w:tab w:val="left" w:pos="210"/>
              </w:tabs>
              <w:spacing w:line="360" w:lineRule="auto"/>
              <w:ind w:firstLine="480" w:firstLineChars="200"/>
              <w:rPr>
                <w:rFonts w:cs="宋体" w:asciiTheme="minorEastAsia" w:hAnsiTheme="minorEastAsia" w:eastAsiaTheme="minorEastAsia"/>
              </w:rPr>
            </w:pPr>
          </w:p>
        </w:tc>
        <w:tc>
          <w:tcPr>
            <w:tcW w:w="4500" w:type="dxa"/>
            <w:gridSpan w:val="3"/>
            <w:vAlign w:val="bottom"/>
          </w:tcPr>
          <w:p>
            <w:pPr>
              <w:tabs>
                <w:tab w:val="left" w:pos="210"/>
              </w:tabs>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（公章）</w:t>
            </w:r>
          </w:p>
          <w:p>
            <w:pPr>
              <w:tabs>
                <w:tab w:val="left" w:pos="210"/>
              </w:tabs>
              <w:spacing w:line="360" w:lineRule="auto"/>
              <w:rPr>
                <w:rFonts w:cs="宋体" w:asciiTheme="minorEastAsia" w:hAnsiTheme="minorEastAsia" w:eastAsiaTheme="minorEastAsia"/>
              </w:rPr>
            </w:pPr>
          </w:p>
          <w:p>
            <w:pPr>
              <w:tabs>
                <w:tab w:val="left" w:pos="210"/>
              </w:tabs>
              <w:spacing w:line="360" w:lineRule="auto"/>
              <w:rPr>
                <w:rFonts w:cs="宋体" w:asciiTheme="minorEastAsia" w:hAnsiTheme="minorEastAsia" w:eastAsiaTheme="minorEastAsia"/>
              </w:rPr>
            </w:pPr>
          </w:p>
          <w:p>
            <w:pPr>
              <w:tabs>
                <w:tab w:val="left" w:pos="210"/>
              </w:tabs>
              <w:spacing w:line="360" w:lineRule="auto"/>
              <w:rPr>
                <w:rFonts w:cs="宋体" w:asciiTheme="minorEastAsia" w:hAnsiTheme="minorEastAsia" w:eastAsiaTheme="minorEastAsia"/>
              </w:rPr>
            </w:pPr>
          </w:p>
          <w:p>
            <w:pPr>
              <w:adjustRightInd w:val="0"/>
              <w:snapToGrid w:val="0"/>
              <w:spacing w:line="480" w:lineRule="auto"/>
              <w:ind w:firstLine="480" w:firstLineChars="200"/>
              <w:jc w:val="right"/>
              <w:rPr>
                <w:rFonts w:cs="宋体" w:asciiTheme="minorEastAsia" w:hAnsiTheme="minorEastAsia" w:eastAsiaTheme="minorEastAsia"/>
              </w:rPr>
            </w:pPr>
            <w:r>
              <w:rPr>
                <w:rFonts w:hint="eastAsia" w:cs="宋体" w:asciiTheme="minorEastAsia" w:hAnsiTheme="minorEastAsia" w:eastAsiaTheme="minorEastAsia"/>
              </w:rPr>
              <w:t>_________年______月 _____日</w:t>
            </w:r>
          </w:p>
        </w:tc>
      </w:tr>
    </w:tbl>
    <w:p>
      <w:pPr>
        <w:pStyle w:val="5"/>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b/>
          <w:sz w:val="24"/>
        </w:rPr>
        <w:br w:type="page"/>
      </w:r>
      <w:r>
        <w:rPr>
          <w:rFonts w:hint="eastAsia" w:cs="宋体" w:asciiTheme="minorEastAsia" w:hAnsiTheme="minorEastAsia" w:eastAsiaTheme="minorEastAsia"/>
          <w:b/>
          <w:sz w:val="24"/>
        </w:rPr>
        <w:t>7-2法定代表人授权书（格式）</w:t>
      </w:r>
    </w:p>
    <w:p>
      <w:pPr>
        <w:pStyle w:val="5"/>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陕西卓佲项目管理有限公司：</w:t>
      </w:r>
    </w:p>
    <w:p>
      <w:pPr>
        <w:tabs>
          <w:tab w:val="left" w:pos="8820"/>
        </w:tabs>
        <w:spacing w:line="360" w:lineRule="auto"/>
        <w:ind w:firstLine="570"/>
        <w:rPr>
          <w:rFonts w:cs="宋体" w:asciiTheme="minorEastAsia" w:hAnsiTheme="minorEastAsia" w:eastAsiaTheme="minorEastAsia"/>
          <w:u w:val="single"/>
        </w:rPr>
      </w:pPr>
      <w:r>
        <w:rPr>
          <w:rFonts w:hint="eastAsia" w:cs="宋体" w:asciiTheme="minorEastAsia" w:hAnsiTheme="minorEastAsia" w:eastAsiaTheme="minorEastAsia"/>
        </w:rPr>
        <w:t>本授权委托书声明：我</w:t>
      </w:r>
      <w:r>
        <w:rPr>
          <w:rFonts w:hint="eastAsia" w:cs="宋体" w:asciiTheme="minorEastAsia" w:hAnsiTheme="minorEastAsia" w:eastAsiaTheme="minorEastAsia"/>
          <w:u w:val="single"/>
        </w:rPr>
        <w:t xml:space="preserve">（法定代表人姓名）   </w:t>
      </w:r>
      <w:r>
        <w:rPr>
          <w:rFonts w:hint="eastAsia" w:cs="宋体" w:asciiTheme="minorEastAsia" w:hAnsiTheme="minorEastAsia" w:eastAsiaTheme="minorEastAsia"/>
        </w:rPr>
        <w:t>系注册于</w:t>
      </w:r>
      <w:r>
        <w:rPr>
          <w:rFonts w:hint="eastAsia" w:cs="宋体" w:asciiTheme="minorEastAsia" w:hAnsiTheme="minorEastAsia" w:eastAsiaTheme="minorEastAsia"/>
          <w:u w:val="single"/>
        </w:rPr>
        <w:t xml:space="preserve">  （供应商地址）     </w:t>
      </w:r>
      <w:r>
        <w:rPr>
          <w:rFonts w:hint="eastAsia" w:cs="宋体" w:asciiTheme="minorEastAsia" w:hAnsiTheme="minorEastAsia" w:eastAsiaTheme="minorEastAsia"/>
        </w:rPr>
        <w:t>的</w:t>
      </w:r>
      <w:r>
        <w:rPr>
          <w:rFonts w:hint="eastAsia" w:cs="宋体" w:asciiTheme="minorEastAsia" w:hAnsiTheme="minorEastAsia" w:eastAsiaTheme="minorEastAsia"/>
          <w:u w:val="single"/>
        </w:rPr>
        <w:t xml:space="preserve">（供应商名称）  </w:t>
      </w:r>
      <w:r>
        <w:rPr>
          <w:rFonts w:hint="eastAsia" w:cs="宋体" w:asciiTheme="minorEastAsia" w:hAnsiTheme="minorEastAsia" w:eastAsiaTheme="minorEastAsia"/>
        </w:rPr>
        <w:t>的法定代表人，现代表公司授权</w:t>
      </w:r>
      <w:r>
        <w:rPr>
          <w:rFonts w:hint="eastAsia" w:cs="宋体" w:asciiTheme="minorEastAsia" w:hAnsiTheme="minorEastAsia" w:eastAsiaTheme="minorEastAsia"/>
          <w:u w:val="single"/>
        </w:rPr>
        <w:t xml:space="preserve">（被授权人的姓名、职务）   </w:t>
      </w:r>
      <w:r>
        <w:rPr>
          <w:rFonts w:hint="eastAsia" w:cs="宋体" w:asciiTheme="minorEastAsia" w:hAnsiTheme="minorEastAsia" w:eastAsiaTheme="minorEastAsia"/>
        </w:rPr>
        <w:t>为我公司合法代理人，代表本公司参加</w:t>
      </w:r>
      <w:r>
        <w:rPr>
          <w:rFonts w:hint="eastAsia" w:cs="宋体" w:asciiTheme="minorEastAsia" w:hAnsiTheme="minorEastAsia" w:eastAsiaTheme="minorEastAsia"/>
          <w:u w:val="single"/>
        </w:rPr>
        <w:t xml:space="preserve">  （项目名称） （项目编号）</w:t>
      </w:r>
      <w:r>
        <w:rPr>
          <w:rFonts w:hint="eastAsia" w:cs="宋体" w:asciiTheme="minorEastAsia" w:hAnsiTheme="minorEastAsia" w:eastAsiaTheme="minorEastAsia"/>
        </w:rPr>
        <w:t>的采购活动。以我方名义全权处理该项目有关招标、签订合同以及执行合同等一切事宜。</w:t>
      </w:r>
    </w:p>
    <w:p>
      <w:pPr>
        <w:spacing w:line="360" w:lineRule="auto"/>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本授权书自投标文件递交截止之日起生效，有效期与投标文件有效期一致，特此声明。</w:t>
      </w:r>
    </w:p>
    <w:p>
      <w:pPr>
        <w:pStyle w:val="5"/>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供应商（单位名称及公章）：__________________</w:t>
      </w:r>
    </w:p>
    <w:p>
      <w:pPr>
        <w:pStyle w:val="5"/>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法定代表人（签字或盖章）： __________________</w:t>
      </w:r>
    </w:p>
    <w:p>
      <w:pPr>
        <w:pStyle w:val="5"/>
        <w:spacing w:line="5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被授权人：_____________性别：____________职务：_________</w:t>
      </w:r>
    </w:p>
    <w:p>
      <w:pPr>
        <w:pStyle w:val="5"/>
        <w:spacing w:line="5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联系地址：  ________________</w:t>
      </w:r>
    </w:p>
    <w:p>
      <w:pPr>
        <w:pStyle w:val="5"/>
        <w:spacing w:line="5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联系电话：________________</w:t>
      </w:r>
    </w:p>
    <w:p>
      <w:pPr>
        <w:pStyle w:val="5"/>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法定代表人及被授权人身份证复印件或扫描件</w:t>
      </w:r>
    </w:p>
    <w:tbl>
      <w:tblPr>
        <w:tblStyle w:val="36"/>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5"/>
              <w:spacing w:line="500" w:lineRule="exact"/>
              <w:rPr>
                <w:rFonts w:cs="宋体" w:asciiTheme="minorEastAsia" w:hAnsiTheme="minorEastAsia" w:eastAsiaTheme="minorEastAsia"/>
                <w:sz w:val="24"/>
                <w:shd w:val="pct10" w:color="auto" w:fill="FFFFFF"/>
              </w:rPr>
            </w:pPr>
            <w:r>
              <w:rPr>
                <w:rFonts w:hint="eastAsia" w:cs="宋体" w:asciiTheme="minorEastAsia" w:hAnsiTheme="minorEastAsia" w:eastAsiaTheme="minorEastAsia"/>
                <w:sz w:val="24"/>
                <w:shd w:val="pct10" w:color="auto" w:fill="FFFFFF"/>
              </w:rPr>
              <w:t>法定代表人身份证复印件（正反面）</w:t>
            </w:r>
          </w:p>
          <w:p>
            <w:pPr>
              <w:pStyle w:val="5"/>
              <w:spacing w:line="500" w:lineRule="exact"/>
              <w:rPr>
                <w:rFonts w:cs="宋体" w:asciiTheme="minorEastAsia" w:hAnsiTheme="minorEastAsia" w:eastAsiaTheme="minorEastAsia"/>
                <w:sz w:val="24"/>
                <w:shd w:val="pct10" w:color="auto" w:fill="FFFFFF"/>
              </w:rPr>
            </w:pPr>
          </w:p>
        </w:tc>
        <w:tc>
          <w:tcPr>
            <w:tcW w:w="4546" w:type="dxa"/>
            <w:shd w:val="clear" w:color="auto" w:fill="D9D9D9"/>
            <w:vAlign w:val="center"/>
          </w:tcPr>
          <w:p>
            <w:pPr>
              <w:pStyle w:val="5"/>
              <w:spacing w:line="500" w:lineRule="exact"/>
              <w:ind w:firstLine="480" w:firstLineChars="200"/>
              <w:rPr>
                <w:rFonts w:cs="宋体" w:asciiTheme="minorEastAsia" w:hAnsiTheme="minorEastAsia" w:eastAsiaTheme="minorEastAsia"/>
                <w:sz w:val="24"/>
                <w:shd w:val="pct10" w:color="auto" w:fill="FFFFFF"/>
              </w:rPr>
            </w:pPr>
            <w:r>
              <w:rPr>
                <w:rFonts w:hint="eastAsia" w:cs="宋体" w:asciiTheme="minorEastAsia" w:hAnsiTheme="minorEastAsia" w:eastAsiaTheme="minorEastAsia"/>
                <w:sz w:val="24"/>
                <w:shd w:val="pct10" w:color="auto" w:fill="FFFFFF"/>
              </w:rPr>
              <w:t>被授权人身份证复印件（正反面）</w:t>
            </w:r>
          </w:p>
          <w:p>
            <w:pPr>
              <w:pStyle w:val="5"/>
              <w:spacing w:line="500" w:lineRule="exact"/>
              <w:ind w:firstLine="480" w:firstLineChars="200"/>
              <w:rPr>
                <w:rFonts w:cs="宋体" w:asciiTheme="minorEastAsia" w:hAnsiTheme="minorEastAsia" w:eastAsiaTheme="minorEastAsia"/>
                <w:sz w:val="24"/>
                <w:shd w:val="pct10" w:color="auto" w:fill="FFFFFF"/>
              </w:rPr>
            </w:pPr>
          </w:p>
        </w:tc>
      </w:tr>
    </w:tbl>
    <w:p>
      <w:pPr>
        <w:pStyle w:val="7"/>
        <w:spacing w:before="319" w:beforeLines="100" w:after="478" w:afterLines="150" w:line="500" w:lineRule="exact"/>
        <w:ind w:firstLine="480"/>
        <w:rPr>
          <w:rFonts w:cs="宋体" w:asciiTheme="minorEastAsia" w:hAnsiTheme="minorEastAsia" w:eastAsiaTheme="minorEastAsia"/>
          <w:sz w:val="24"/>
          <w:szCs w:val="24"/>
        </w:rPr>
        <w:sectPr>
          <w:pgSz w:w="11906" w:h="16838"/>
          <w:pgMar w:top="1440" w:right="1803" w:bottom="1440" w:left="1803" w:header="851" w:footer="992" w:gutter="0"/>
          <w:cols w:space="720" w:num="1"/>
          <w:docGrid w:type="lines" w:linePitch="319" w:charSpace="0"/>
        </w:sectPr>
      </w:pPr>
      <w:bookmarkStart w:id="96" w:name="_Toc9172"/>
      <w:bookmarkStart w:id="97" w:name="_Toc12851"/>
    </w:p>
    <w:bookmarkEnd w:id="96"/>
    <w:bookmarkEnd w:id="97"/>
    <w:p>
      <w:pPr>
        <w:rPr>
          <w:rFonts w:cs="宋体" w:asciiTheme="minorEastAsia" w:hAnsiTheme="minorEastAsia" w:eastAsiaTheme="minorEastAsia"/>
        </w:rPr>
      </w:pPr>
    </w:p>
    <w:p>
      <w:pPr>
        <w:spacing w:line="360" w:lineRule="auto"/>
        <w:ind w:left="840"/>
        <w:jc w:val="center"/>
        <w:rPr>
          <w:rFonts w:cs="宋体" w:asciiTheme="minorEastAsia" w:hAnsiTheme="minorEastAsia" w:eastAsiaTheme="minorEastAsia"/>
        </w:rPr>
      </w:pPr>
      <w:r>
        <w:rPr>
          <w:rFonts w:cs="宋体" w:asciiTheme="minorEastAsia" w:hAnsiTheme="minorEastAsia" w:eastAsiaTheme="minorEastAsia"/>
        </w:rPr>
        <w:t>8</w:t>
      </w:r>
      <w:r>
        <w:rPr>
          <w:rFonts w:hint="eastAsia" w:cs="宋体" w:asciiTheme="minorEastAsia" w:hAnsiTheme="minorEastAsia" w:eastAsiaTheme="minorEastAsia"/>
        </w:rPr>
        <w:t>、本项目不接受联合体</w:t>
      </w:r>
    </w:p>
    <w:p>
      <w:pPr>
        <w:pStyle w:val="4"/>
        <w:ind w:left="480" w:leftChars="200" w:firstLine="0"/>
        <w:rPr>
          <w:rFonts w:cs="宋体" w:asciiTheme="minorEastAsia" w:hAnsiTheme="minorEastAsia" w:eastAsiaTheme="minorEastAsia"/>
        </w:rPr>
      </w:pPr>
    </w:p>
    <w:p>
      <w:pPr>
        <w:pStyle w:val="2"/>
        <w:ind w:left="480"/>
        <w:rPr>
          <w:rFonts w:cs="宋体" w:asciiTheme="minorEastAsia" w:hAnsiTheme="minorEastAsia" w:eastAsiaTheme="minorEastAsia"/>
          <w:sz w:val="24"/>
        </w:rPr>
      </w:pPr>
    </w:p>
    <w:p>
      <w:pPr>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(采购人名称）_______________________：</w:t>
      </w:r>
    </w:p>
    <w:p>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我单位参与陕西卓佲项目管理有限公司组织的____________________(项目名称)，我单位郑重声明：我方非联合体，如有虚假，承担相应责任。</w:t>
      </w:r>
    </w:p>
    <w:p>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特此声明！</w:t>
      </w:r>
    </w:p>
    <w:p>
      <w:pPr>
        <w:rPr>
          <w:rFonts w:cs="宋体" w:asciiTheme="minorEastAsia" w:hAnsiTheme="minorEastAsia" w:eastAsiaTheme="minorEastAsia"/>
        </w:rPr>
      </w:pPr>
    </w:p>
    <w:p>
      <w:pPr>
        <w:pStyle w:val="4"/>
        <w:rPr>
          <w:rFonts w:cs="宋体" w:asciiTheme="minorEastAsia" w:hAnsiTheme="minorEastAsia" w:eastAsiaTheme="minorEastAsia"/>
        </w:rPr>
      </w:pPr>
    </w:p>
    <w:p>
      <w:pPr>
        <w:pStyle w:val="4"/>
        <w:rPr>
          <w:rFonts w:cs="宋体" w:asciiTheme="minorEastAsia" w:hAnsiTheme="minorEastAsia" w:eastAsiaTheme="minorEastAsia"/>
        </w:rPr>
      </w:pPr>
    </w:p>
    <w:p>
      <w:pPr>
        <w:pStyle w:val="4"/>
        <w:rPr>
          <w:rFonts w:cs="宋体" w:asciiTheme="minorEastAsia" w:hAnsiTheme="minorEastAsia" w:eastAsiaTheme="minorEastAsia"/>
        </w:rPr>
      </w:pPr>
    </w:p>
    <w:p>
      <w:pPr>
        <w:pStyle w:val="4"/>
        <w:rPr>
          <w:rFonts w:cs="宋体" w:asciiTheme="minorEastAsia" w:hAnsiTheme="minorEastAsia" w:eastAsiaTheme="minorEastAsia"/>
        </w:rPr>
      </w:pPr>
    </w:p>
    <w:p>
      <w:pPr>
        <w:pStyle w:val="4"/>
        <w:rPr>
          <w:rFonts w:cs="宋体" w:asciiTheme="minorEastAsia" w:hAnsiTheme="minorEastAsia" w:eastAsiaTheme="minorEastAsia"/>
        </w:rPr>
      </w:pPr>
    </w:p>
    <w:p>
      <w:pPr>
        <w:pStyle w:val="4"/>
        <w:rPr>
          <w:rFonts w:cs="宋体" w:asciiTheme="minorEastAsia" w:hAnsiTheme="minorEastAsia" w:eastAsiaTheme="minorEastAsia"/>
        </w:rPr>
      </w:pP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供应商（单位名称及公章）：______________________</w:t>
      </w:r>
    </w:p>
    <w:p>
      <w:pPr>
        <w:pStyle w:val="5"/>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法定代表人或被授权人（签字或盖章）：______________________</w:t>
      </w:r>
    </w:p>
    <w:p>
      <w:pPr>
        <w:adjustRightInd w:val="0"/>
        <w:snapToGrid w:val="0"/>
        <w:spacing w:line="480" w:lineRule="auto"/>
        <w:rPr>
          <w:rFonts w:cs="宋体" w:asciiTheme="minorEastAsia" w:hAnsiTheme="minorEastAsia" w:eastAsiaTheme="minorEastAsia"/>
        </w:rPr>
      </w:pPr>
      <w:r>
        <w:rPr>
          <w:rFonts w:hint="eastAsia" w:cs="宋体" w:asciiTheme="minorEastAsia" w:hAnsiTheme="minorEastAsia" w:eastAsiaTheme="minorEastAsia"/>
        </w:rPr>
        <w:t>日    期：______________________</w:t>
      </w:r>
    </w:p>
    <w:p>
      <w:pPr>
        <w:pStyle w:val="7"/>
        <w:tabs>
          <w:tab w:val="left" w:pos="2096"/>
          <w:tab w:val="center" w:pos="5024"/>
        </w:tabs>
        <w:spacing w:before="319" w:beforeLines="100" w:after="478" w:afterLines="150" w:line="500" w:lineRule="exact"/>
        <w:ind w:firstLine="720" w:firstLineChars="300"/>
        <w:rPr>
          <w:rFonts w:cs="宋体" w:asciiTheme="minorEastAsia" w:hAnsiTheme="minorEastAsia" w:eastAsiaTheme="minorEastAsia"/>
          <w:sz w:val="24"/>
          <w:szCs w:val="24"/>
        </w:rPr>
        <w:sectPr>
          <w:footerReference r:id="rId11" w:type="default"/>
          <w:pgSz w:w="11906" w:h="16838"/>
          <w:pgMar w:top="1440" w:right="1803" w:bottom="1440" w:left="1803" w:header="851" w:footer="992" w:gutter="0"/>
          <w:cols w:space="720" w:num="1"/>
          <w:docGrid w:type="lines" w:linePitch="319" w:charSpace="0"/>
        </w:sectPr>
      </w:pPr>
    </w:p>
    <w:p>
      <w:pPr>
        <w:pStyle w:val="114"/>
        <w:spacing w:before="197" w:after="197"/>
        <w:ind w:firstLine="499"/>
        <w:jc w:val="center"/>
        <w:rPr>
          <w:rFonts w:asciiTheme="minorEastAsia" w:hAnsiTheme="minorEastAsia" w:eastAsiaTheme="minorEastAsia"/>
          <w:sz w:val="24"/>
          <w:szCs w:val="24"/>
        </w:rPr>
      </w:pPr>
      <w:bookmarkStart w:id="98" w:name="_Toc135129539"/>
      <w:r>
        <w:rPr>
          <w:rFonts w:hint="eastAsia" w:cs="宋体" w:asciiTheme="minorEastAsia" w:hAnsiTheme="minorEastAsia" w:eastAsiaTheme="minorEastAsia"/>
          <w:color w:val="000000"/>
          <w:sz w:val="24"/>
          <w:szCs w:val="24"/>
        </w:rPr>
        <w:t xml:space="preserve">第四部分  </w:t>
      </w:r>
      <w:r>
        <w:rPr>
          <w:rFonts w:hint="eastAsia" w:asciiTheme="minorEastAsia" w:hAnsiTheme="minorEastAsia" w:eastAsiaTheme="minorEastAsia"/>
          <w:sz w:val="24"/>
          <w:szCs w:val="24"/>
        </w:rPr>
        <w:t>供应商概况</w:t>
      </w:r>
      <w:bookmarkEnd w:id="98"/>
    </w:p>
    <w:tbl>
      <w:tblPr>
        <w:tblStyle w:val="106"/>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供应商全称</w:t>
            </w:r>
          </w:p>
        </w:tc>
        <w:tc>
          <w:tcPr>
            <w:tcW w:w="6756" w:type="dxa"/>
            <w:gridSpan w:val="5"/>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注册地址</w:t>
            </w:r>
          </w:p>
        </w:tc>
        <w:tc>
          <w:tcPr>
            <w:tcW w:w="2416" w:type="dxa"/>
            <w:gridSpan w:val="2"/>
          </w:tcPr>
          <w:p>
            <w:pPr>
              <w:ind w:firstLine="0"/>
              <w:jc w:val="both"/>
              <w:rPr>
                <w:rFonts w:cs="宋体" w:asciiTheme="minorEastAsia" w:hAnsiTheme="minorEastAsia" w:eastAsiaTheme="minorEastAsia"/>
                <w:kern w:val="2"/>
              </w:rPr>
            </w:pPr>
          </w:p>
        </w:tc>
        <w:tc>
          <w:tcPr>
            <w:tcW w:w="1411"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成立时间</w:t>
            </w:r>
          </w:p>
        </w:tc>
        <w:tc>
          <w:tcPr>
            <w:tcW w:w="2929" w:type="dxa"/>
            <w:gridSpan w:val="2"/>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统一社会信用代码</w:t>
            </w:r>
          </w:p>
        </w:tc>
        <w:tc>
          <w:tcPr>
            <w:tcW w:w="2416" w:type="dxa"/>
            <w:gridSpan w:val="2"/>
          </w:tcPr>
          <w:p>
            <w:pPr>
              <w:ind w:firstLine="0"/>
              <w:jc w:val="both"/>
              <w:rPr>
                <w:rFonts w:cs="宋体" w:asciiTheme="minorEastAsia" w:hAnsiTheme="minorEastAsia" w:eastAsiaTheme="minorEastAsia"/>
                <w:kern w:val="2"/>
              </w:rPr>
            </w:pPr>
          </w:p>
        </w:tc>
        <w:tc>
          <w:tcPr>
            <w:tcW w:w="1411"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单位性质</w:t>
            </w:r>
          </w:p>
        </w:tc>
        <w:tc>
          <w:tcPr>
            <w:tcW w:w="2929" w:type="dxa"/>
            <w:gridSpan w:val="2"/>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法定代表人</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（主要负责人）</w:t>
            </w:r>
          </w:p>
        </w:tc>
        <w:tc>
          <w:tcPr>
            <w:tcW w:w="2416" w:type="dxa"/>
            <w:gridSpan w:val="2"/>
          </w:tcPr>
          <w:p>
            <w:pPr>
              <w:ind w:firstLine="0"/>
              <w:jc w:val="both"/>
              <w:rPr>
                <w:rFonts w:cs="宋体" w:asciiTheme="minorEastAsia" w:hAnsiTheme="minorEastAsia" w:eastAsiaTheme="minorEastAsia"/>
                <w:kern w:val="2"/>
              </w:rPr>
            </w:pPr>
          </w:p>
        </w:tc>
        <w:tc>
          <w:tcPr>
            <w:tcW w:w="1411"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所属行业</w:t>
            </w:r>
          </w:p>
        </w:tc>
        <w:tc>
          <w:tcPr>
            <w:tcW w:w="2929" w:type="dxa"/>
            <w:gridSpan w:val="2"/>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基本存款账户</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开户银行</w:t>
            </w:r>
          </w:p>
        </w:tc>
        <w:tc>
          <w:tcPr>
            <w:tcW w:w="2416" w:type="dxa"/>
            <w:gridSpan w:val="2"/>
          </w:tcPr>
          <w:p>
            <w:pPr>
              <w:ind w:firstLine="0"/>
              <w:jc w:val="both"/>
              <w:rPr>
                <w:rFonts w:cs="宋体" w:asciiTheme="minorEastAsia" w:hAnsiTheme="minorEastAsia" w:eastAsiaTheme="minorEastAsia"/>
                <w:kern w:val="2"/>
              </w:rPr>
            </w:pPr>
          </w:p>
        </w:tc>
        <w:tc>
          <w:tcPr>
            <w:tcW w:w="1411"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基本存款</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账户账号</w:t>
            </w:r>
          </w:p>
        </w:tc>
        <w:tc>
          <w:tcPr>
            <w:tcW w:w="2929" w:type="dxa"/>
            <w:gridSpan w:val="2"/>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上年度</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营业收入*</w:t>
            </w:r>
          </w:p>
        </w:tc>
        <w:tc>
          <w:tcPr>
            <w:tcW w:w="2416" w:type="dxa"/>
            <w:gridSpan w:val="2"/>
          </w:tcPr>
          <w:p>
            <w:pPr>
              <w:ind w:firstLine="0"/>
              <w:jc w:val="both"/>
              <w:rPr>
                <w:rFonts w:cs="宋体" w:asciiTheme="minorEastAsia" w:hAnsiTheme="minorEastAsia" w:eastAsiaTheme="minorEastAsia"/>
                <w:kern w:val="2"/>
              </w:rPr>
            </w:pPr>
          </w:p>
        </w:tc>
        <w:tc>
          <w:tcPr>
            <w:tcW w:w="1411"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资产总额</w:t>
            </w:r>
          </w:p>
        </w:tc>
        <w:tc>
          <w:tcPr>
            <w:tcW w:w="2929" w:type="dxa"/>
            <w:gridSpan w:val="2"/>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经营范围</w:t>
            </w:r>
          </w:p>
        </w:tc>
        <w:tc>
          <w:tcPr>
            <w:tcW w:w="6756" w:type="dxa"/>
            <w:gridSpan w:val="5"/>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资质证书名称</w:t>
            </w:r>
          </w:p>
        </w:tc>
        <w:tc>
          <w:tcPr>
            <w:tcW w:w="2416" w:type="dxa"/>
            <w:gridSpan w:val="2"/>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证书号</w:t>
            </w:r>
          </w:p>
        </w:tc>
        <w:tc>
          <w:tcPr>
            <w:tcW w:w="1411"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等级</w:t>
            </w:r>
          </w:p>
        </w:tc>
        <w:tc>
          <w:tcPr>
            <w:tcW w:w="2929" w:type="dxa"/>
            <w:gridSpan w:val="2"/>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p>
        </w:tc>
        <w:tc>
          <w:tcPr>
            <w:tcW w:w="2416" w:type="dxa"/>
            <w:gridSpan w:val="2"/>
          </w:tcPr>
          <w:p>
            <w:pPr>
              <w:ind w:firstLine="0"/>
              <w:jc w:val="both"/>
              <w:rPr>
                <w:rFonts w:cs="宋体" w:asciiTheme="minorEastAsia" w:hAnsiTheme="minorEastAsia" w:eastAsiaTheme="minorEastAsia"/>
                <w:kern w:val="2"/>
              </w:rPr>
            </w:pPr>
          </w:p>
        </w:tc>
        <w:tc>
          <w:tcPr>
            <w:tcW w:w="1411" w:type="dxa"/>
          </w:tcPr>
          <w:p>
            <w:pPr>
              <w:ind w:firstLine="0"/>
              <w:jc w:val="both"/>
              <w:rPr>
                <w:rFonts w:cs="宋体" w:asciiTheme="minorEastAsia" w:hAnsiTheme="minorEastAsia" w:eastAsiaTheme="minorEastAsia"/>
                <w:kern w:val="2"/>
              </w:rPr>
            </w:pPr>
          </w:p>
        </w:tc>
        <w:tc>
          <w:tcPr>
            <w:tcW w:w="2929" w:type="dxa"/>
            <w:gridSpan w:val="2"/>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p>
        </w:tc>
        <w:tc>
          <w:tcPr>
            <w:tcW w:w="2416" w:type="dxa"/>
            <w:gridSpan w:val="2"/>
          </w:tcPr>
          <w:p>
            <w:pPr>
              <w:ind w:firstLine="0"/>
              <w:jc w:val="both"/>
              <w:rPr>
                <w:rFonts w:cs="宋体" w:asciiTheme="minorEastAsia" w:hAnsiTheme="minorEastAsia" w:eastAsiaTheme="minorEastAsia"/>
                <w:kern w:val="2"/>
              </w:rPr>
            </w:pPr>
          </w:p>
        </w:tc>
        <w:tc>
          <w:tcPr>
            <w:tcW w:w="1411" w:type="dxa"/>
          </w:tcPr>
          <w:p>
            <w:pPr>
              <w:ind w:firstLine="0"/>
              <w:jc w:val="both"/>
              <w:rPr>
                <w:rFonts w:cs="宋体" w:asciiTheme="minorEastAsia" w:hAnsiTheme="minorEastAsia" w:eastAsiaTheme="minorEastAsia"/>
                <w:kern w:val="2"/>
              </w:rPr>
            </w:pPr>
          </w:p>
        </w:tc>
        <w:tc>
          <w:tcPr>
            <w:tcW w:w="2929" w:type="dxa"/>
            <w:gridSpan w:val="2"/>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从业人员总数</w:t>
            </w:r>
          </w:p>
        </w:tc>
        <w:tc>
          <w:tcPr>
            <w:tcW w:w="992" w:type="dxa"/>
            <w:vMerge w:val="restart"/>
          </w:tcPr>
          <w:p>
            <w:pPr>
              <w:ind w:firstLine="0"/>
              <w:jc w:val="both"/>
              <w:rPr>
                <w:rFonts w:cs="宋体" w:asciiTheme="minorEastAsia" w:hAnsiTheme="minorEastAsia" w:eastAsiaTheme="minorEastAsia"/>
                <w:kern w:val="2"/>
              </w:rPr>
            </w:pPr>
          </w:p>
        </w:tc>
        <w:tc>
          <w:tcPr>
            <w:tcW w:w="1424"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管理人员</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数量</w:t>
            </w:r>
          </w:p>
        </w:tc>
        <w:tc>
          <w:tcPr>
            <w:tcW w:w="1411" w:type="dxa"/>
          </w:tcPr>
          <w:p>
            <w:pPr>
              <w:ind w:firstLine="0"/>
              <w:jc w:val="both"/>
              <w:rPr>
                <w:rFonts w:cs="宋体" w:asciiTheme="minorEastAsia" w:hAnsiTheme="minorEastAsia" w:eastAsiaTheme="minorEastAsia"/>
                <w:kern w:val="2"/>
              </w:rPr>
            </w:pPr>
          </w:p>
        </w:tc>
        <w:tc>
          <w:tcPr>
            <w:tcW w:w="1464"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专业技术</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人员数量</w:t>
            </w:r>
          </w:p>
        </w:tc>
        <w:tc>
          <w:tcPr>
            <w:tcW w:w="1465" w:type="dxa"/>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cs="宋体" w:asciiTheme="minorEastAsia" w:hAnsiTheme="minorEastAsia" w:eastAsiaTheme="minorEastAsia"/>
                <w:kern w:val="2"/>
              </w:rPr>
            </w:pPr>
          </w:p>
        </w:tc>
        <w:tc>
          <w:tcPr>
            <w:tcW w:w="992" w:type="dxa"/>
            <w:vMerge w:val="continue"/>
          </w:tcPr>
          <w:p>
            <w:pPr>
              <w:ind w:firstLine="0"/>
              <w:jc w:val="both"/>
              <w:rPr>
                <w:rFonts w:cs="宋体" w:asciiTheme="minorEastAsia" w:hAnsiTheme="minorEastAsia" w:eastAsiaTheme="minorEastAsia"/>
                <w:kern w:val="2"/>
              </w:rPr>
            </w:pPr>
          </w:p>
        </w:tc>
        <w:tc>
          <w:tcPr>
            <w:tcW w:w="1424"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残疾人</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数量</w:t>
            </w:r>
          </w:p>
        </w:tc>
        <w:tc>
          <w:tcPr>
            <w:tcW w:w="1411" w:type="dxa"/>
          </w:tcPr>
          <w:p>
            <w:pPr>
              <w:ind w:firstLine="0"/>
              <w:jc w:val="both"/>
              <w:rPr>
                <w:rFonts w:cs="宋体" w:asciiTheme="minorEastAsia" w:hAnsiTheme="minorEastAsia" w:eastAsiaTheme="minorEastAsia"/>
                <w:kern w:val="2"/>
              </w:rPr>
            </w:pPr>
          </w:p>
        </w:tc>
        <w:tc>
          <w:tcPr>
            <w:tcW w:w="1464"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少数民族</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数量</w:t>
            </w:r>
          </w:p>
        </w:tc>
        <w:tc>
          <w:tcPr>
            <w:tcW w:w="1465" w:type="dxa"/>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关系</w:t>
            </w:r>
          </w:p>
        </w:tc>
        <w:tc>
          <w:tcPr>
            <w:tcW w:w="6756" w:type="dxa"/>
            <w:gridSpan w:val="5"/>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p>
        </w:tc>
        <w:tc>
          <w:tcPr>
            <w:tcW w:w="6756" w:type="dxa"/>
            <w:gridSpan w:val="5"/>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p>
        </w:tc>
        <w:tc>
          <w:tcPr>
            <w:tcW w:w="6756" w:type="dxa"/>
            <w:gridSpan w:val="5"/>
          </w:tcPr>
          <w:p>
            <w:pPr>
              <w:ind w:firstLine="0"/>
              <w:jc w:val="both"/>
              <w:rPr>
                <w:rFonts w:cs="宋体" w:asciiTheme="minorEastAsia" w:hAnsiTheme="minorEastAsia"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说明</w:t>
            </w:r>
          </w:p>
        </w:tc>
        <w:tc>
          <w:tcPr>
            <w:tcW w:w="6756" w:type="dxa"/>
            <w:gridSpan w:val="5"/>
          </w:tcPr>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1.成立时间至提交投标文件截止时间不足一年的可不填写“上年度营业收入”；</w:t>
            </w:r>
          </w:p>
          <w:p>
            <w:pPr>
              <w:ind w:firstLine="0"/>
              <w:jc w:val="both"/>
              <w:rPr>
                <w:rFonts w:cs="宋体" w:asciiTheme="minorEastAsia" w:hAnsiTheme="minorEastAsia" w:eastAsiaTheme="minorEastAsia"/>
                <w:kern w:val="2"/>
              </w:rPr>
            </w:pPr>
            <w:r>
              <w:rPr>
                <w:rFonts w:hint="eastAsia" w:cs="宋体" w:asciiTheme="minorEastAsia" w:hAnsiTheme="minorEastAsia" w:eastAsiaTheme="minorEastAsia"/>
                <w:kern w:val="2"/>
              </w:rPr>
              <w:t>2.表格空间不足时，请自行扩展。</w:t>
            </w:r>
          </w:p>
        </w:tc>
      </w:tr>
    </w:tbl>
    <w:p>
      <w:pPr>
        <w:rPr>
          <w:rFonts w:cs="宋体" w:asciiTheme="minorEastAsia" w:hAnsiTheme="minorEastAsia" w:eastAsiaTheme="minorEastAsia"/>
          <w:color w:val="000000"/>
        </w:rPr>
      </w:pP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br w:type="page"/>
      </w:r>
    </w:p>
    <w:p>
      <w:pPr>
        <w:pStyle w:val="7"/>
        <w:ind w:firstLine="497"/>
        <w:rPr>
          <w:rFonts w:asciiTheme="minorEastAsia" w:hAnsiTheme="minorEastAsia" w:eastAsiaTheme="minorEastAsia"/>
          <w:sz w:val="24"/>
          <w:szCs w:val="24"/>
        </w:rPr>
      </w:pPr>
      <w:bookmarkStart w:id="99" w:name="_Toc135129540"/>
      <w:r>
        <w:rPr>
          <w:rFonts w:asciiTheme="minorEastAsia" w:hAnsiTheme="minorEastAsia" w:eastAsiaTheme="minorEastAsia"/>
          <w:sz w:val="24"/>
          <w:szCs w:val="24"/>
        </w:rPr>
        <w:t>第五部分</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供应商参加政府采购活动承诺书</w:t>
      </w:r>
      <w:bookmarkEnd w:id="99"/>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未签署下列承诺书的，将被视为无效投标，其责任由供应商自行承担。</w:t>
      </w:r>
    </w:p>
    <w:p>
      <w:pPr>
        <w:jc w:val="center"/>
        <w:rPr>
          <w:rFonts w:cs="宋体" w:asciiTheme="minorEastAsia" w:hAnsiTheme="minorEastAsia" w:eastAsiaTheme="minorEastAsia"/>
        </w:rPr>
      </w:pPr>
      <w:r>
        <w:rPr>
          <w:rFonts w:hint="eastAsia" w:cs="宋体" w:asciiTheme="minorEastAsia" w:hAnsiTheme="minorEastAsia" w:eastAsiaTheme="minorEastAsia"/>
        </w:rPr>
        <w:t>（一）质量安全责任承诺书</w:t>
      </w:r>
    </w:p>
    <w:p>
      <w:pPr>
        <w:spacing w:line="560" w:lineRule="exact"/>
        <w:ind w:firstLine="496" w:firstLineChars="200"/>
        <w:jc w:val="both"/>
        <w:rPr>
          <w:rFonts w:cs="宋体" w:asciiTheme="minorEastAsia" w:hAnsiTheme="minorEastAsia" w:eastAsiaTheme="minorEastAsia"/>
        </w:rPr>
      </w:pP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为保证本采购项目顺利进行，作为投标供应商，现郑重承诺：</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1．我方所投产品的生产（包括设计、制造、安装、改造、维修等）、投入使用的材料等均完全符合国家现行质量、安全、环保标准和要求。</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3．对于因产品生产质量以及储存、运输、安装调试、服务、施工等过程中产生的任何安全事故，我方承担全部责任。</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4．我方提供的货物、工程、服务等符合现行的国家、行业、地区、企业标准及要求，标准不一致的，以更为严格的为准，我方对提供的货物、工程、服务等的质量、安全、环保等承担全部责任。</w:t>
      </w:r>
    </w:p>
    <w:p>
      <w:pPr>
        <w:spacing w:line="560" w:lineRule="exact"/>
        <w:ind w:firstLine="496" w:firstLineChars="200"/>
        <w:jc w:val="both"/>
        <w:rPr>
          <w:rFonts w:cs="宋体" w:asciiTheme="minorEastAsia" w:hAnsiTheme="minorEastAsia" w:eastAsiaTheme="minorEastAsia"/>
        </w:rPr>
      </w:pPr>
    </w:p>
    <w:p>
      <w:pPr>
        <w:spacing w:line="560" w:lineRule="exact"/>
        <w:ind w:firstLine="2744" w:firstLineChars="1107"/>
        <w:jc w:val="both"/>
        <w:rPr>
          <w:rFonts w:cs="宋体" w:asciiTheme="minorEastAsia" w:hAnsiTheme="minorEastAsia" w:eastAsiaTheme="minorEastAsia"/>
        </w:rPr>
      </w:pPr>
      <w:r>
        <w:rPr>
          <w:rFonts w:hint="eastAsia" w:cs="宋体" w:asciiTheme="minorEastAsia" w:hAnsiTheme="minorEastAsia" w:eastAsiaTheme="minorEastAsia"/>
        </w:rPr>
        <w:t>供应商：（供应商全称并加盖公章）</w:t>
      </w:r>
    </w:p>
    <w:p>
      <w:pPr>
        <w:spacing w:line="560" w:lineRule="exact"/>
        <w:ind w:firstLine="2744" w:firstLineChars="1107"/>
        <w:jc w:val="both"/>
        <w:rPr>
          <w:rFonts w:cs="宋体" w:asciiTheme="minorEastAsia" w:hAnsiTheme="minorEastAsia" w:eastAsiaTheme="minorEastAsia"/>
        </w:rPr>
      </w:pPr>
      <w:r>
        <w:rPr>
          <w:rFonts w:hint="eastAsia" w:cs="宋体" w:asciiTheme="minorEastAsia" w:hAnsiTheme="minorEastAsia" w:eastAsiaTheme="minorEastAsia"/>
        </w:rPr>
        <w:t>日  期：    年  月  日</w:t>
      </w:r>
    </w:p>
    <w:p>
      <w:pPr>
        <w:spacing w:line="560" w:lineRule="exact"/>
        <w:ind w:firstLine="496" w:firstLineChars="200"/>
        <w:jc w:val="both"/>
        <w:rPr>
          <w:rFonts w:cs="宋体" w:asciiTheme="minorEastAsia" w:hAnsiTheme="minorEastAsia" w:eastAsiaTheme="minorEastAsia"/>
        </w:rPr>
      </w:pPr>
    </w:p>
    <w:p>
      <w:pPr>
        <w:rPr>
          <w:rFonts w:cs="宋体" w:asciiTheme="minorEastAsia" w:hAnsiTheme="minorEastAsia" w:eastAsiaTheme="minorEastAsia"/>
        </w:rPr>
      </w:pPr>
      <w:r>
        <w:rPr>
          <w:rFonts w:hint="eastAsia" w:cs="宋体" w:asciiTheme="minorEastAsia" w:hAnsiTheme="minorEastAsia" w:eastAsiaTheme="minorEastAsia"/>
        </w:rPr>
        <w:br w:type="page"/>
      </w:r>
    </w:p>
    <w:p>
      <w:pPr>
        <w:jc w:val="center"/>
        <w:rPr>
          <w:rFonts w:cs="宋体" w:asciiTheme="minorEastAsia" w:hAnsiTheme="minorEastAsia" w:eastAsiaTheme="minorEastAsia"/>
        </w:rPr>
      </w:pPr>
      <w:r>
        <w:rPr>
          <w:rFonts w:hint="eastAsia" w:cs="宋体" w:asciiTheme="minorEastAsia" w:hAnsiTheme="minorEastAsia" w:eastAsiaTheme="minorEastAsia"/>
        </w:rPr>
        <w:t>（二）参加政府采购活动行为自律承诺书</w:t>
      </w:r>
    </w:p>
    <w:p>
      <w:pPr>
        <w:spacing w:line="560" w:lineRule="exact"/>
        <w:ind w:firstLine="496" w:firstLineChars="200"/>
        <w:jc w:val="both"/>
        <w:rPr>
          <w:rFonts w:cs="宋体" w:asciiTheme="minorEastAsia" w:hAnsiTheme="minorEastAsia" w:eastAsiaTheme="minorEastAsia"/>
        </w:rPr>
      </w:pP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作为参加本次政府采购项目的供应商，我方郑重承诺在参与政府采购活动中遵纪守法、公平竞争、诚实守信，如有违反愿承担一切责任及后果：</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1．不与采购人、采购代理机构、政府采购评审专家恶意串通，不向其行贿或提供其他不正当利益；</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2．不与其他供应商恶意串通，采取“围标、串标、陪标”等商业欺诈手段谋取中标、成交；</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4．不采取不正当手段诋毁、排挤其他供应商；</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5．不以不正当理由拒不与采购人签订政府采购合同，或逾期签订政府采购合同，或不按照采购文件确定的事项签订政府采购合同；</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6．不以不正当理由拒绝履行合同义务，不会擅自变更、中止或者终止政府采购合同或将政府采购合同转包；</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7．不在提供商品、服务或工程施工过程中提供假冒伪劣产品，损害采购人的合法权益或公共利益；</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8．不采取捏造事实、提供虚假材料或者以非法手段取得证明材料进行质疑和投诉；</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9．不发生其他有悖于政府采购公开、公平、公正和诚信原则的行为。</w:t>
      </w:r>
    </w:p>
    <w:p>
      <w:pPr>
        <w:spacing w:line="560" w:lineRule="exact"/>
        <w:ind w:firstLine="496" w:firstLineChars="200"/>
        <w:jc w:val="both"/>
        <w:rPr>
          <w:rFonts w:cs="宋体" w:asciiTheme="minorEastAsia" w:hAnsiTheme="minorEastAsia" w:eastAsiaTheme="minorEastAsia"/>
        </w:rPr>
      </w:pPr>
      <w:r>
        <w:rPr>
          <w:rFonts w:hint="eastAsia" w:cs="宋体" w:asciiTheme="minorEastAsia" w:hAnsiTheme="minorEastAsia" w:eastAsiaTheme="minorEastAsia"/>
        </w:rPr>
        <w:t>10．尊重和接受政府采购监督管理部门的监督和采购人、采购代理机构的政府采购工作要求，愿意承担因违约行为给采购人造成的损失。</w:t>
      </w:r>
    </w:p>
    <w:p>
      <w:pPr>
        <w:spacing w:line="560" w:lineRule="exact"/>
        <w:ind w:firstLine="2744" w:firstLineChars="1107"/>
        <w:jc w:val="both"/>
        <w:rPr>
          <w:rFonts w:cs="宋体" w:asciiTheme="minorEastAsia" w:hAnsiTheme="minorEastAsia" w:eastAsiaTheme="minorEastAsia"/>
        </w:rPr>
      </w:pPr>
      <w:r>
        <w:rPr>
          <w:rFonts w:hint="eastAsia" w:cs="宋体" w:asciiTheme="minorEastAsia" w:hAnsiTheme="minorEastAsia" w:eastAsiaTheme="minorEastAsia"/>
        </w:rPr>
        <w:t>供应商：（供应商全称并加盖公章）</w:t>
      </w:r>
    </w:p>
    <w:p>
      <w:pPr>
        <w:spacing w:line="560" w:lineRule="exact"/>
        <w:ind w:firstLine="2744" w:firstLineChars="1107"/>
        <w:jc w:val="both"/>
        <w:rPr>
          <w:rFonts w:cs="宋体" w:asciiTheme="minorEastAsia" w:hAnsiTheme="minorEastAsia" w:eastAsiaTheme="minorEastAsia"/>
        </w:rPr>
      </w:pPr>
      <w:r>
        <w:rPr>
          <w:rFonts w:hint="eastAsia" w:cs="宋体" w:asciiTheme="minorEastAsia" w:hAnsiTheme="minorEastAsia" w:eastAsiaTheme="minorEastAsia"/>
        </w:rPr>
        <w:t>日  期：    年  月  日</w:t>
      </w:r>
      <w:r>
        <w:rPr>
          <w:rFonts w:hint="eastAsia" w:cs="宋体" w:asciiTheme="minorEastAsia" w:hAnsiTheme="minorEastAsia" w:eastAsiaTheme="minorEastAsia"/>
          <w:color w:val="000000"/>
        </w:rPr>
        <w:br w:type="page"/>
      </w:r>
    </w:p>
    <w:p>
      <w:pPr>
        <w:pStyle w:val="7"/>
        <w:ind w:firstLine="497"/>
        <w:jc w:val="center"/>
        <w:rPr>
          <w:rFonts w:cs="宋体" w:asciiTheme="minorEastAsia" w:hAnsiTheme="minorEastAsia" w:eastAsiaTheme="minorEastAsia"/>
          <w:color w:val="000000"/>
          <w:sz w:val="24"/>
          <w:szCs w:val="24"/>
        </w:rPr>
      </w:pPr>
      <w:bookmarkStart w:id="100" w:name="_Toc135129541"/>
      <w:r>
        <w:rPr>
          <w:rFonts w:hint="eastAsia" w:cs="宋体" w:asciiTheme="minorEastAsia" w:hAnsiTheme="minorEastAsia" w:eastAsiaTheme="minorEastAsia"/>
          <w:color w:val="000000"/>
          <w:sz w:val="24"/>
          <w:szCs w:val="24"/>
        </w:rPr>
        <w:t>第六部分  商务和技术响应偏离表</w:t>
      </w:r>
      <w:bookmarkEnd w:id="88"/>
      <w:bookmarkEnd w:id="89"/>
      <w:bookmarkEnd w:id="90"/>
      <w:bookmarkEnd w:id="91"/>
      <w:bookmarkEnd w:id="100"/>
    </w:p>
    <w:p>
      <w:pPr>
        <w:kinsoku w:val="0"/>
        <w:spacing w:line="480" w:lineRule="auto"/>
        <w:ind w:left="1093" w:hanging="1091" w:hangingChars="440"/>
        <w:rPr>
          <w:rFonts w:cs="宋体" w:asciiTheme="minorEastAsia" w:hAnsiTheme="minorEastAsia" w:eastAsiaTheme="minorEastAsia"/>
          <w:color w:val="000000"/>
        </w:rPr>
      </w:pPr>
      <w:r>
        <w:rPr>
          <w:rFonts w:hint="eastAsia" w:cs="宋体" w:asciiTheme="minorEastAsia" w:hAnsiTheme="minorEastAsia" w:eastAsiaTheme="minorEastAsia"/>
          <w:color w:val="000000"/>
        </w:rPr>
        <w:t>表1、商务响应偏差表</w:t>
      </w:r>
    </w:p>
    <w:tbl>
      <w:tblPr>
        <w:tblStyle w:val="36"/>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521"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商务条款</w:t>
            </w:r>
          </w:p>
        </w:tc>
        <w:tc>
          <w:tcPr>
            <w:tcW w:w="1600"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商务要求</w:t>
            </w:r>
          </w:p>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内容</w:t>
            </w:r>
          </w:p>
        </w:tc>
        <w:tc>
          <w:tcPr>
            <w:tcW w:w="1938"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投标文件</w:t>
            </w:r>
          </w:p>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响应商务内容</w:t>
            </w:r>
          </w:p>
        </w:tc>
        <w:tc>
          <w:tcPr>
            <w:tcW w:w="1410"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偏离情况</w:t>
            </w:r>
          </w:p>
        </w:tc>
        <w:tc>
          <w:tcPr>
            <w:tcW w:w="1356"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96" w:firstLineChars="200"/>
              <w:rPr>
                <w:rFonts w:cs="宋体" w:asciiTheme="minorEastAsia" w:hAnsiTheme="minorEastAsia" w:eastAsiaTheme="minorEastAsia"/>
                <w:sz w:val="24"/>
              </w:rPr>
            </w:pPr>
          </w:p>
        </w:tc>
        <w:tc>
          <w:tcPr>
            <w:tcW w:w="1521" w:type="dxa"/>
          </w:tcPr>
          <w:p>
            <w:pPr>
              <w:pStyle w:val="5"/>
              <w:spacing w:line="480" w:lineRule="auto"/>
              <w:ind w:firstLine="496" w:firstLineChars="200"/>
              <w:rPr>
                <w:rFonts w:cs="宋体" w:asciiTheme="minorEastAsia" w:hAnsiTheme="minorEastAsia" w:eastAsiaTheme="minorEastAsia"/>
                <w:sz w:val="24"/>
              </w:rPr>
            </w:pPr>
          </w:p>
        </w:tc>
        <w:tc>
          <w:tcPr>
            <w:tcW w:w="1600" w:type="dxa"/>
            <w:vAlign w:val="center"/>
          </w:tcPr>
          <w:p>
            <w:pPr>
              <w:pStyle w:val="5"/>
              <w:spacing w:line="480" w:lineRule="auto"/>
              <w:ind w:firstLine="496" w:firstLineChars="200"/>
              <w:rPr>
                <w:rFonts w:cs="宋体" w:asciiTheme="minorEastAsia" w:hAnsiTheme="minorEastAsia" w:eastAsiaTheme="minorEastAsia"/>
                <w:sz w:val="24"/>
              </w:rPr>
            </w:pPr>
          </w:p>
        </w:tc>
        <w:tc>
          <w:tcPr>
            <w:tcW w:w="1938" w:type="dxa"/>
            <w:vAlign w:val="center"/>
          </w:tcPr>
          <w:p>
            <w:pPr>
              <w:pStyle w:val="5"/>
              <w:spacing w:line="480" w:lineRule="auto"/>
              <w:ind w:firstLine="496" w:firstLineChars="200"/>
              <w:rPr>
                <w:rFonts w:cs="宋体" w:asciiTheme="minorEastAsia" w:hAnsiTheme="minorEastAsia" w:eastAsiaTheme="minorEastAsia"/>
                <w:sz w:val="24"/>
              </w:rPr>
            </w:pPr>
          </w:p>
        </w:tc>
        <w:tc>
          <w:tcPr>
            <w:tcW w:w="1410" w:type="dxa"/>
            <w:vAlign w:val="center"/>
          </w:tcPr>
          <w:p>
            <w:pPr>
              <w:pStyle w:val="5"/>
              <w:spacing w:line="480" w:lineRule="auto"/>
              <w:ind w:firstLine="496" w:firstLineChars="200"/>
              <w:rPr>
                <w:rFonts w:cs="宋体" w:asciiTheme="minorEastAsia" w:hAnsiTheme="minorEastAsia" w:eastAsiaTheme="minorEastAsia"/>
                <w:sz w:val="24"/>
              </w:rPr>
            </w:pPr>
          </w:p>
        </w:tc>
        <w:tc>
          <w:tcPr>
            <w:tcW w:w="1356" w:type="dxa"/>
            <w:vAlign w:val="center"/>
          </w:tcPr>
          <w:p>
            <w:pPr>
              <w:pStyle w:val="5"/>
              <w:spacing w:line="480" w:lineRule="auto"/>
              <w:ind w:firstLine="496"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96" w:firstLineChars="200"/>
              <w:rPr>
                <w:rFonts w:cs="宋体" w:asciiTheme="minorEastAsia" w:hAnsiTheme="minorEastAsia" w:eastAsiaTheme="minorEastAsia"/>
                <w:sz w:val="24"/>
              </w:rPr>
            </w:pPr>
          </w:p>
        </w:tc>
        <w:tc>
          <w:tcPr>
            <w:tcW w:w="1521" w:type="dxa"/>
          </w:tcPr>
          <w:p>
            <w:pPr>
              <w:pStyle w:val="5"/>
              <w:spacing w:line="480" w:lineRule="auto"/>
              <w:ind w:firstLine="496" w:firstLineChars="200"/>
              <w:rPr>
                <w:rFonts w:cs="宋体" w:asciiTheme="minorEastAsia" w:hAnsiTheme="minorEastAsia" w:eastAsiaTheme="minorEastAsia"/>
                <w:sz w:val="24"/>
              </w:rPr>
            </w:pPr>
          </w:p>
        </w:tc>
        <w:tc>
          <w:tcPr>
            <w:tcW w:w="1600" w:type="dxa"/>
          </w:tcPr>
          <w:p>
            <w:pPr>
              <w:pStyle w:val="5"/>
              <w:spacing w:line="480" w:lineRule="auto"/>
              <w:ind w:firstLine="496" w:firstLineChars="200"/>
              <w:rPr>
                <w:rFonts w:cs="宋体" w:asciiTheme="minorEastAsia" w:hAnsiTheme="minorEastAsia" w:eastAsiaTheme="minorEastAsia"/>
                <w:sz w:val="24"/>
              </w:rPr>
            </w:pPr>
          </w:p>
        </w:tc>
        <w:tc>
          <w:tcPr>
            <w:tcW w:w="1938" w:type="dxa"/>
          </w:tcPr>
          <w:p>
            <w:pPr>
              <w:pStyle w:val="5"/>
              <w:spacing w:line="480" w:lineRule="auto"/>
              <w:ind w:firstLine="496" w:firstLineChars="200"/>
              <w:rPr>
                <w:rFonts w:cs="宋体" w:asciiTheme="minorEastAsia" w:hAnsiTheme="minorEastAsia" w:eastAsiaTheme="minorEastAsia"/>
                <w:sz w:val="24"/>
              </w:rPr>
            </w:pPr>
          </w:p>
        </w:tc>
        <w:tc>
          <w:tcPr>
            <w:tcW w:w="1410" w:type="dxa"/>
          </w:tcPr>
          <w:p>
            <w:pPr>
              <w:pStyle w:val="5"/>
              <w:spacing w:line="480" w:lineRule="auto"/>
              <w:ind w:firstLine="496" w:firstLineChars="200"/>
              <w:rPr>
                <w:rFonts w:cs="宋体" w:asciiTheme="minorEastAsia" w:hAnsiTheme="minorEastAsia" w:eastAsiaTheme="minorEastAsia"/>
                <w:sz w:val="24"/>
              </w:rPr>
            </w:pPr>
          </w:p>
        </w:tc>
        <w:tc>
          <w:tcPr>
            <w:tcW w:w="1356" w:type="dxa"/>
          </w:tcPr>
          <w:p>
            <w:pPr>
              <w:pStyle w:val="5"/>
              <w:spacing w:line="480" w:lineRule="auto"/>
              <w:ind w:firstLine="496"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96" w:firstLineChars="200"/>
              <w:rPr>
                <w:rFonts w:cs="宋体" w:asciiTheme="minorEastAsia" w:hAnsiTheme="minorEastAsia" w:eastAsiaTheme="minorEastAsia"/>
                <w:sz w:val="24"/>
              </w:rPr>
            </w:pPr>
          </w:p>
        </w:tc>
        <w:tc>
          <w:tcPr>
            <w:tcW w:w="1521" w:type="dxa"/>
          </w:tcPr>
          <w:p>
            <w:pPr>
              <w:pStyle w:val="5"/>
              <w:spacing w:line="480" w:lineRule="auto"/>
              <w:ind w:firstLine="496" w:firstLineChars="200"/>
              <w:rPr>
                <w:rFonts w:cs="宋体" w:asciiTheme="minorEastAsia" w:hAnsiTheme="minorEastAsia" w:eastAsiaTheme="minorEastAsia"/>
                <w:sz w:val="24"/>
              </w:rPr>
            </w:pPr>
          </w:p>
        </w:tc>
        <w:tc>
          <w:tcPr>
            <w:tcW w:w="1600" w:type="dxa"/>
          </w:tcPr>
          <w:p>
            <w:pPr>
              <w:pStyle w:val="5"/>
              <w:spacing w:line="480" w:lineRule="auto"/>
              <w:ind w:firstLine="496" w:firstLineChars="200"/>
              <w:rPr>
                <w:rFonts w:cs="宋体" w:asciiTheme="minorEastAsia" w:hAnsiTheme="minorEastAsia" w:eastAsiaTheme="minorEastAsia"/>
                <w:sz w:val="24"/>
              </w:rPr>
            </w:pPr>
          </w:p>
        </w:tc>
        <w:tc>
          <w:tcPr>
            <w:tcW w:w="1938" w:type="dxa"/>
          </w:tcPr>
          <w:p>
            <w:pPr>
              <w:pStyle w:val="5"/>
              <w:spacing w:line="480" w:lineRule="auto"/>
              <w:ind w:firstLine="496" w:firstLineChars="200"/>
              <w:rPr>
                <w:rFonts w:cs="宋体" w:asciiTheme="minorEastAsia" w:hAnsiTheme="minorEastAsia" w:eastAsiaTheme="minorEastAsia"/>
                <w:sz w:val="24"/>
              </w:rPr>
            </w:pPr>
          </w:p>
        </w:tc>
        <w:tc>
          <w:tcPr>
            <w:tcW w:w="1410" w:type="dxa"/>
          </w:tcPr>
          <w:p>
            <w:pPr>
              <w:pStyle w:val="5"/>
              <w:spacing w:line="480" w:lineRule="auto"/>
              <w:ind w:firstLine="496" w:firstLineChars="200"/>
              <w:rPr>
                <w:rFonts w:cs="宋体" w:asciiTheme="minorEastAsia" w:hAnsiTheme="minorEastAsia" w:eastAsiaTheme="minorEastAsia"/>
                <w:sz w:val="24"/>
              </w:rPr>
            </w:pPr>
          </w:p>
        </w:tc>
        <w:tc>
          <w:tcPr>
            <w:tcW w:w="1356" w:type="dxa"/>
          </w:tcPr>
          <w:p>
            <w:pPr>
              <w:pStyle w:val="5"/>
              <w:spacing w:line="480" w:lineRule="auto"/>
              <w:ind w:firstLine="496"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96" w:firstLineChars="200"/>
              <w:rPr>
                <w:rFonts w:cs="宋体" w:asciiTheme="minorEastAsia" w:hAnsiTheme="minorEastAsia" w:eastAsiaTheme="minorEastAsia"/>
                <w:sz w:val="24"/>
              </w:rPr>
            </w:pPr>
          </w:p>
        </w:tc>
        <w:tc>
          <w:tcPr>
            <w:tcW w:w="1521" w:type="dxa"/>
          </w:tcPr>
          <w:p>
            <w:pPr>
              <w:pStyle w:val="5"/>
              <w:spacing w:line="480" w:lineRule="auto"/>
              <w:ind w:firstLine="496" w:firstLineChars="200"/>
              <w:rPr>
                <w:rFonts w:cs="宋体" w:asciiTheme="minorEastAsia" w:hAnsiTheme="minorEastAsia" w:eastAsiaTheme="minorEastAsia"/>
                <w:sz w:val="24"/>
              </w:rPr>
            </w:pPr>
          </w:p>
        </w:tc>
        <w:tc>
          <w:tcPr>
            <w:tcW w:w="1600" w:type="dxa"/>
          </w:tcPr>
          <w:p>
            <w:pPr>
              <w:pStyle w:val="5"/>
              <w:spacing w:line="480" w:lineRule="auto"/>
              <w:ind w:firstLine="496" w:firstLineChars="200"/>
              <w:rPr>
                <w:rFonts w:cs="宋体" w:asciiTheme="minorEastAsia" w:hAnsiTheme="minorEastAsia" w:eastAsiaTheme="minorEastAsia"/>
                <w:sz w:val="24"/>
              </w:rPr>
            </w:pPr>
          </w:p>
        </w:tc>
        <w:tc>
          <w:tcPr>
            <w:tcW w:w="1938" w:type="dxa"/>
          </w:tcPr>
          <w:p>
            <w:pPr>
              <w:pStyle w:val="5"/>
              <w:spacing w:line="480" w:lineRule="auto"/>
              <w:ind w:firstLine="496" w:firstLineChars="200"/>
              <w:rPr>
                <w:rFonts w:cs="宋体" w:asciiTheme="minorEastAsia" w:hAnsiTheme="minorEastAsia" w:eastAsiaTheme="minorEastAsia"/>
                <w:sz w:val="24"/>
              </w:rPr>
            </w:pPr>
          </w:p>
        </w:tc>
        <w:tc>
          <w:tcPr>
            <w:tcW w:w="1410" w:type="dxa"/>
          </w:tcPr>
          <w:p>
            <w:pPr>
              <w:pStyle w:val="5"/>
              <w:spacing w:line="480" w:lineRule="auto"/>
              <w:ind w:firstLine="496" w:firstLineChars="200"/>
              <w:rPr>
                <w:rFonts w:cs="宋体" w:asciiTheme="minorEastAsia" w:hAnsiTheme="minorEastAsia" w:eastAsiaTheme="minorEastAsia"/>
                <w:sz w:val="24"/>
              </w:rPr>
            </w:pPr>
          </w:p>
        </w:tc>
        <w:tc>
          <w:tcPr>
            <w:tcW w:w="1356" w:type="dxa"/>
          </w:tcPr>
          <w:p>
            <w:pPr>
              <w:pStyle w:val="5"/>
              <w:spacing w:line="480" w:lineRule="auto"/>
              <w:ind w:firstLine="496"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96" w:firstLineChars="200"/>
              <w:rPr>
                <w:rFonts w:cs="宋体" w:asciiTheme="minorEastAsia" w:hAnsiTheme="minorEastAsia" w:eastAsiaTheme="minorEastAsia"/>
                <w:sz w:val="24"/>
              </w:rPr>
            </w:pPr>
          </w:p>
        </w:tc>
        <w:tc>
          <w:tcPr>
            <w:tcW w:w="1521" w:type="dxa"/>
          </w:tcPr>
          <w:p>
            <w:pPr>
              <w:pStyle w:val="5"/>
              <w:spacing w:line="480" w:lineRule="auto"/>
              <w:ind w:firstLine="496" w:firstLineChars="200"/>
              <w:rPr>
                <w:rFonts w:cs="宋体" w:asciiTheme="minorEastAsia" w:hAnsiTheme="minorEastAsia" w:eastAsiaTheme="minorEastAsia"/>
                <w:sz w:val="24"/>
              </w:rPr>
            </w:pPr>
          </w:p>
        </w:tc>
        <w:tc>
          <w:tcPr>
            <w:tcW w:w="1600" w:type="dxa"/>
          </w:tcPr>
          <w:p>
            <w:pPr>
              <w:pStyle w:val="5"/>
              <w:spacing w:line="480" w:lineRule="auto"/>
              <w:ind w:firstLine="496" w:firstLineChars="200"/>
              <w:rPr>
                <w:rFonts w:cs="宋体" w:asciiTheme="minorEastAsia" w:hAnsiTheme="minorEastAsia" w:eastAsiaTheme="minorEastAsia"/>
                <w:sz w:val="24"/>
              </w:rPr>
            </w:pPr>
          </w:p>
        </w:tc>
        <w:tc>
          <w:tcPr>
            <w:tcW w:w="1938" w:type="dxa"/>
          </w:tcPr>
          <w:p>
            <w:pPr>
              <w:pStyle w:val="5"/>
              <w:spacing w:line="480" w:lineRule="auto"/>
              <w:ind w:firstLine="496" w:firstLineChars="200"/>
              <w:rPr>
                <w:rFonts w:cs="宋体" w:asciiTheme="minorEastAsia" w:hAnsiTheme="minorEastAsia" w:eastAsiaTheme="minorEastAsia"/>
                <w:sz w:val="24"/>
              </w:rPr>
            </w:pPr>
          </w:p>
        </w:tc>
        <w:tc>
          <w:tcPr>
            <w:tcW w:w="1410" w:type="dxa"/>
          </w:tcPr>
          <w:p>
            <w:pPr>
              <w:pStyle w:val="5"/>
              <w:spacing w:line="480" w:lineRule="auto"/>
              <w:ind w:firstLine="496" w:firstLineChars="200"/>
              <w:rPr>
                <w:rFonts w:cs="宋体" w:asciiTheme="minorEastAsia" w:hAnsiTheme="minorEastAsia" w:eastAsiaTheme="minorEastAsia"/>
                <w:sz w:val="24"/>
              </w:rPr>
            </w:pPr>
          </w:p>
        </w:tc>
        <w:tc>
          <w:tcPr>
            <w:tcW w:w="1356" w:type="dxa"/>
          </w:tcPr>
          <w:p>
            <w:pPr>
              <w:pStyle w:val="5"/>
              <w:spacing w:line="480" w:lineRule="auto"/>
              <w:ind w:firstLine="496"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96" w:firstLineChars="200"/>
              <w:rPr>
                <w:rFonts w:cs="宋体" w:asciiTheme="minorEastAsia" w:hAnsiTheme="minorEastAsia" w:eastAsiaTheme="minorEastAsia"/>
                <w:sz w:val="24"/>
              </w:rPr>
            </w:pPr>
          </w:p>
        </w:tc>
        <w:tc>
          <w:tcPr>
            <w:tcW w:w="1521" w:type="dxa"/>
          </w:tcPr>
          <w:p>
            <w:pPr>
              <w:pStyle w:val="5"/>
              <w:spacing w:line="480" w:lineRule="auto"/>
              <w:ind w:firstLine="496" w:firstLineChars="200"/>
              <w:rPr>
                <w:rFonts w:cs="宋体" w:asciiTheme="minorEastAsia" w:hAnsiTheme="minorEastAsia" w:eastAsiaTheme="minorEastAsia"/>
                <w:sz w:val="24"/>
              </w:rPr>
            </w:pPr>
          </w:p>
        </w:tc>
        <w:tc>
          <w:tcPr>
            <w:tcW w:w="1600" w:type="dxa"/>
          </w:tcPr>
          <w:p>
            <w:pPr>
              <w:pStyle w:val="5"/>
              <w:spacing w:line="480" w:lineRule="auto"/>
              <w:ind w:firstLine="496" w:firstLineChars="200"/>
              <w:rPr>
                <w:rFonts w:cs="宋体" w:asciiTheme="minorEastAsia" w:hAnsiTheme="minorEastAsia" w:eastAsiaTheme="minorEastAsia"/>
                <w:sz w:val="24"/>
              </w:rPr>
            </w:pPr>
          </w:p>
        </w:tc>
        <w:tc>
          <w:tcPr>
            <w:tcW w:w="1938" w:type="dxa"/>
          </w:tcPr>
          <w:p>
            <w:pPr>
              <w:pStyle w:val="5"/>
              <w:spacing w:line="480" w:lineRule="auto"/>
              <w:ind w:firstLine="496" w:firstLineChars="200"/>
              <w:rPr>
                <w:rFonts w:cs="宋体" w:asciiTheme="minorEastAsia" w:hAnsiTheme="minorEastAsia" w:eastAsiaTheme="minorEastAsia"/>
                <w:sz w:val="24"/>
              </w:rPr>
            </w:pPr>
          </w:p>
        </w:tc>
        <w:tc>
          <w:tcPr>
            <w:tcW w:w="1410" w:type="dxa"/>
          </w:tcPr>
          <w:p>
            <w:pPr>
              <w:pStyle w:val="5"/>
              <w:spacing w:line="480" w:lineRule="auto"/>
              <w:ind w:firstLine="496" w:firstLineChars="200"/>
              <w:rPr>
                <w:rFonts w:cs="宋体" w:asciiTheme="minorEastAsia" w:hAnsiTheme="minorEastAsia" w:eastAsiaTheme="minorEastAsia"/>
                <w:sz w:val="24"/>
              </w:rPr>
            </w:pPr>
          </w:p>
        </w:tc>
        <w:tc>
          <w:tcPr>
            <w:tcW w:w="1356" w:type="dxa"/>
          </w:tcPr>
          <w:p>
            <w:pPr>
              <w:pStyle w:val="5"/>
              <w:spacing w:line="480" w:lineRule="auto"/>
              <w:ind w:firstLine="496"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96" w:firstLineChars="200"/>
              <w:rPr>
                <w:rFonts w:cs="宋体" w:asciiTheme="minorEastAsia" w:hAnsiTheme="minorEastAsia" w:eastAsiaTheme="minorEastAsia"/>
                <w:sz w:val="24"/>
              </w:rPr>
            </w:pPr>
          </w:p>
        </w:tc>
        <w:tc>
          <w:tcPr>
            <w:tcW w:w="1521" w:type="dxa"/>
          </w:tcPr>
          <w:p>
            <w:pPr>
              <w:pStyle w:val="5"/>
              <w:spacing w:line="480" w:lineRule="auto"/>
              <w:ind w:firstLine="496" w:firstLineChars="200"/>
              <w:rPr>
                <w:rFonts w:cs="宋体" w:asciiTheme="minorEastAsia" w:hAnsiTheme="minorEastAsia" w:eastAsiaTheme="minorEastAsia"/>
                <w:sz w:val="24"/>
              </w:rPr>
            </w:pPr>
          </w:p>
        </w:tc>
        <w:tc>
          <w:tcPr>
            <w:tcW w:w="1600" w:type="dxa"/>
          </w:tcPr>
          <w:p>
            <w:pPr>
              <w:pStyle w:val="5"/>
              <w:spacing w:line="480" w:lineRule="auto"/>
              <w:ind w:firstLine="496" w:firstLineChars="200"/>
              <w:rPr>
                <w:rFonts w:cs="宋体" w:asciiTheme="minorEastAsia" w:hAnsiTheme="minorEastAsia" w:eastAsiaTheme="minorEastAsia"/>
                <w:sz w:val="24"/>
              </w:rPr>
            </w:pPr>
          </w:p>
        </w:tc>
        <w:tc>
          <w:tcPr>
            <w:tcW w:w="1938" w:type="dxa"/>
          </w:tcPr>
          <w:p>
            <w:pPr>
              <w:pStyle w:val="5"/>
              <w:spacing w:line="480" w:lineRule="auto"/>
              <w:ind w:firstLine="496" w:firstLineChars="200"/>
              <w:rPr>
                <w:rFonts w:cs="宋体" w:asciiTheme="minorEastAsia" w:hAnsiTheme="minorEastAsia" w:eastAsiaTheme="minorEastAsia"/>
                <w:sz w:val="24"/>
              </w:rPr>
            </w:pPr>
          </w:p>
        </w:tc>
        <w:tc>
          <w:tcPr>
            <w:tcW w:w="1410" w:type="dxa"/>
          </w:tcPr>
          <w:p>
            <w:pPr>
              <w:pStyle w:val="5"/>
              <w:spacing w:line="480" w:lineRule="auto"/>
              <w:ind w:firstLine="496" w:firstLineChars="200"/>
              <w:rPr>
                <w:rFonts w:cs="宋体" w:asciiTheme="minorEastAsia" w:hAnsiTheme="minorEastAsia" w:eastAsiaTheme="minorEastAsia"/>
                <w:sz w:val="24"/>
              </w:rPr>
            </w:pPr>
          </w:p>
        </w:tc>
        <w:tc>
          <w:tcPr>
            <w:tcW w:w="1356" w:type="dxa"/>
          </w:tcPr>
          <w:p>
            <w:pPr>
              <w:pStyle w:val="5"/>
              <w:spacing w:line="480" w:lineRule="auto"/>
              <w:ind w:firstLine="496"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5"/>
              <w:spacing w:line="480" w:lineRule="auto"/>
              <w:rPr>
                <w:rFonts w:cs="宋体" w:asciiTheme="minorEastAsia" w:hAnsiTheme="minorEastAsia" w:eastAsiaTheme="minorEastAsia"/>
                <w:sz w:val="24"/>
              </w:rPr>
            </w:pPr>
          </w:p>
        </w:tc>
        <w:tc>
          <w:tcPr>
            <w:tcW w:w="1521" w:type="dxa"/>
          </w:tcPr>
          <w:p>
            <w:pPr>
              <w:pStyle w:val="5"/>
              <w:spacing w:line="480" w:lineRule="auto"/>
              <w:rPr>
                <w:rFonts w:cs="宋体" w:asciiTheme="minorEastAsia" w:hAnsiTheme="minorEastAsia" w:eastAsiaTheme="minorEastAsia"/>
                <w:sz w:val="24"/>
              </w:rPr>
            </w:pPr>
          </w:p>
        </w:tc>
        <w:tc>
          <w:tcPr>
            <w:tcW w:w="1600" w:type="dxa"/>
          </w:tcPr>
          <w:p>
            <w:pPr>
              <w:pStyle w:val="5"/>
              <w:spacing w:line="480" w:lineRule="auto"/>
              <w:ind w:firstLine="496" w:firstLineChars="200"/>
              <w:rPr>
                <w:rFonts w:cs="宋体" w:asciiTheme="minorEastAsia" w:hAnsiTheme="minorEastAsia" w:eastAsiaTheme="minorEastAsia"/>
                <w:sz w:val="24"/>
              </w:rPr>
            </w:pPr>
          </w:p>
        </w:tc>
        <w:tc>
          <w:tcPr>
            <w:tcW w:w="1938" w:type="dxa"/>
          </w:tcPr>
          <w:p>
            <w:pPr>
              <w:pStyle w:val="5"/>
              <w:spacing w:line="480" w:lineRule="auto"/>
              <w:ind w:firstLine="496" w:firstLineChars="200"/>
              <w:rPr>
                <w:rFonts w:cs="宋体" w:asciiTheme="minorEastAsia" w:hAnsiTheme="minorEastAsia" w:eastAsiaTheme="minorEastAsia"/>
                <w:sz w:val="24"/>
              </w:rPr>
            </w:pPr>
          </w:p>
        </w:tc>
        <w:tc>
          <w:tcPr>
            <w:tcW w:w="1410" w:type="dxa"/>
          </w:tcPr>
          <w:p>
            <w:pPr>
              <w:pStyle w:val="5"/>
              <w:spacing w:line="480" w:lineRule="auto"/>
              <w:ind w:firstLine="496" w:firstLineChars="200"/>
              <w:rPr>
                <w:rFonts w:cs="宋体" w:asciiTheme="minorEastAsia" w:hAnsiTheme="minorEastAsia" w:eastAsiaTheme="minorEastAsia"/>
                <w:sz w:val="24"/>
              </w:rPr>
            </w:pPr>
          </w:p>
        </w:tc>
        <w:tc>
          <w:tcPr>
            <w:tcW w:w="1356" w:type="dxa"/>
          </w:tcPr>
          <w:p>
            <w:pPr>
              <w:pStyle w:val="5"/>
              <w:spacing w:line="480" w:lineRule="auto"/>
              <w:ind w:firstLine="496" w:firstLineChars="200"/>
              <w:rPr>
                <w:rFonts w:cs="宋体" w:asciiTheme="minorEastAsia" w:hAnsiTheme="minorEastAsia" w:eastAsiaTheme="minorEastAsia"/>
                <w:sz w:val="24"/>
              </w:rPr>
            </w:pPr>
          </w:p>
        </w:tc>
      </w:tr>
    </w:tbl>
    <w:p>
      <w:pPr>
        <w:pStyle w:val="4"/>
        <w:spacing w:line="360" w:lineRule="auto"/>
        <w:ind w:left="140" w:firstLine="0"/>
        <w:rPr>
          <w:rFonts w:cs="宋体" w:asciiTheme="minorEastAsia" w:hAnsiTheme="minorEastAsia" w:eastAsiaTheme="minorEastAsia"/>
          <w:b/>
          <w:bCs/>
        </w:rPr>
      </w:pPr>
      <w:r>
        <w:rPr>
          <w:rFonts w:hint="eastAsia" w:cs="宋体" w:asciiTheme="minorEastAsia" w:hAnsiTheme="minorEastAsia" w:eastAsiaTheme="minorEastAsia"/>
          <w:b/>
          <w:bCs/>
        </w:rPr>
        <w:t>1、本表须按“第二章供应商须知”中所列商务条款进行比较和响应；</w:t>
      </w:r>
    </w:p>
    <w:p>
      <w:pPr>
        <w:pStyle w:val="4"/>
        <w:spacing w:line="360" w:lineRule="auto"/>
        <w:ind w:firstLine="248" w:firstLineChars="100"/>
        <w:rPr>
          <w:rFonts w:cs="宋体" w:asciiTheme="minorEastAsia" w:hAnsiTheme="minorEastAsia" w:eastAsiaTheme="minorEastAsia"/>
          <w:b/>
          <w:bCs/>
        </w:rPr>
      </w:pPr>
      <w:r>
        <w:rPr>
          <w:rFonts w:hint="eastAsia" w:cs="宋体" w:asciiTheme="minorEastAsia" w:hAnsiTheme="minorEastAsia" w:eastAsiaTheme="minorEastAsia"/>
          <w:b/>
          <w:bCs/>
        </w:rPr>
        <w:t>2、该表必须按照招标文件要求逐条如实填写，根据情况在“偏离情况”项填写正偏离或负偏离或无偏离，在“说明”项填写正偏离或负偏离原因。</w:t>
      </w:r>
    </w:p>
    <w:p>
      <w:pPr>
        <w:pStyle w:val="4"/>
        <w:spacing w:line="360" w:lineRule="auto"/>
        <w:ind w:left="140" w:firstLine="0"/>
        <w:rPr>
          <w:rFonts w:cs="宋体" w:asciiTheme="minorEastAsia" w:hAnsiTheme="minorEastAsia" w:eastAsiaTheme="minorEastAsia"/>
          <w:b/>
          <w:bCs/>
        </w:rPr>
      </w:pPr>
      <w:r>
        <w:rPr>
          <w:rFonts w:hint="eastAsia" w:cs="宋体" w:asciiTheme="minorEastAsia" w:hAnsiTheme="minorEastAsia" w:eastAsiaTheme="minorEastAsia"/>
          <w:b/>
          <w:bCs/>
        </w:rPr>
        <w:t>3、该表可扩展。商务条款不允许负偏离；</w:t>
      </w:r>
    </w:p>
    <w:p>
      <w:pPr>
        <w:adjustRightInd w:val="0"/>
        <w:snapToGrid w:val="0"/>
        <w:spacing w:line="480" w:lineRule="auto"/>
        <w:rPr>
          <w:rFonts w:cs="宋体" w:asciiTheme="minorEastAsia" w:hAnsiTheme="minorEastAsia" w:eastAsiaTheme="minorEastAsia"/>
          <w:color w:val="000000"/>
          <w:u w:val="single"/>
        </w:rPr>
      </w:pPr>
      <w:r>
        <w:rPr>
          <w:rFonts w:hint="eastAsia" w:cs="宋体" w:asciiTheme="minorEastAsia" w:hAnsiTheme="minorEastAsia" w:eastAsiaTheme="minorEastAsia"/>
          <w:color w:val="000000"/>
        </w:rPr>
        <w:t>供应商（单位名称及公章）：</w:t>
      </w:r>
    </w:p>
    <w:p>
      <w:pPr>
        <w:adjustRightInd w:val="0"/>
        <w:snapToGrid w:val="0"/>
        <w:spacing w:line="48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法定代表人或被授权人（签字或盖章）：</w:t>
      </w:r>
    </w:p>
    <w:p>
      <w:pPr>
        <w:adjustRightInd w:val="0"/>
        <w:snapToGrid w:val="0"/>
        <w:spacing w:line="480" w:lineRule="auto"/>
        <w:rPr>
          <w:rFonts w:asciiTheme="minorEastAsia" w:hAnsiTheme="minorEastAsia" w:eastAsiaTheme="minorEastAsia"/>
          <w:color w:val="000000"/>
        </w:rPr>
        <w:sectPr>
          <w:headerReference r:id="rId12" w:type="default"/>
          <w:pgSz w:w="11906" w:h="16838"/>
          <w:pgMar w:top="1440" w:right="1803" w:bottom="1440" w:left="1803" w:header="850" w:footer="992" w:gutter="0"/>
          <w:cols w:space="0" w:num="1"/>
          <w:titlePg/>
          <w:docGrid w:type="linesAndChars" w:linePitch="395" w:charSpace="1724"/>
        </w:sectPr>
      </w:pPr>
      <w:r>
        <w:rPr>
          <w:rFonts w:hint="eastAsia" w:cs="宋体" w:asciiTheme="minorEastAsia" w:hAnsiTheme="minorEastAsia" w:eastAsiaTheme="minorEastAsia"/>
          <w:color w:val="000000"/>
        </w:rPr>
        <w:t>日    期：   年   月    日</w:t>
      </w:r>
    </w:p>
    <w:p>
      <w:pPr>
        <w:rPr>
          <w:rFonts w:cs="宋体" w:asciiTheme="minorEastAsia" w:hAnsiTheme="minorEastAsia" w:eastAsiaTheme="minorEastAsia"/>
        </w:rPr>
      </w:pPr>
      <w:r>
        <w:rPr>
          <w:rFonts w:hint="eastAsia" w:cs="宋体" w:asciiTheme="minorEastAsia" w:hAnsiTheme="minorEastAsia" w:eastAsiaTheme="minorEastAsia"/>
          <w:color w:val="000000"/>
        </w:rPr>
        <w:t>表2、</w:t>
      </w:r>
      <w:r>
        <w:rPr>
          <w:rFonts w:hint="eastAsia" w:cs="宋体" w:asciiTheme="minorEastAsia" w:hAnsiTheme="minorEastAsia" w:eastAsiaTheme="minorEastAsia"/>
        </w:rPr>
        <w:t>技术响应偏离表</w:t>
      </w:r>
    </w:p>
    <w:tbl>
      <w:tblPr>
        <w:tblStyle w:val="36"/>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521"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产品名称</w:t>
            </w:r>
          </w:p>
        </w:tc>
        <w:tc>
          <w:tcPr>
            <w:tcW w:w="1600"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标书要求</w:t>
            </w:r>
          </w:p>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技术指标</w:t>
            </w:r>
          </w:p>
        </w:tc>
        <w:tc>
          <w:tcPr>
            <w:tcW w:w="1938"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投标产品</w:t>
            </w:r>
          </w:p>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技术指标</w:t>
            </w:r>
          </w:p>
        </w:tc>
        <w:tc>
          <w:tcPr>
            <w:tcW w:w="1410"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偏离情况</w:t>
            </w:r>
          </w:p>
        </w:tc>
        <w:tc>
          <w:tcPr>
            <w:tcW w:w="1356" w:type="dxa"/>
            <w:vAlign w:val="center"/>
          </w:tcPr>
          <w:p>
            <w:pPr>
              <w:pStyle w:val="5"/>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80" w:firstLineChars="200"/>
              <w:rPr>
                <w:rFonts w:cs="宋体" w:asciiTheme="minorEastAsia" w:hAnsiTheme="minorEastAsia" w:eastAsiaTheme="minorEastAsia"/>
                <w:sz w:val="24"/>
              </w:rPr>
            </w:pPr>
          </w:p>
        </w:tc>
        <w:tc>
          <w:tcPr>
            <w:tcW w:w="1521" w:type="dxa"/>
          </w:tcPr>
          <w:p>
            <w:pPr>
              <w:pStyle w:val="5"/>
              <w:spacing w:line="480" w:lineRule="auto"/>
              <w:ind w:firstLine="480" w:firstLineChars="200"/>
              <w:rPr>
                <w:rFonts w:cs="宋体" w:asciiTheme="minorEastAsia" w:hAnsiTheme="minorEastAsia" w:eastAsiaTheme="minorEastAsia"/>
                <w:sz w:val="24"/>
              </w:rPr>
            </w:pPr>
          </w:p>
        </w:tc>
        <w:tc>
          <w:tcPr>
            <w:tcW w:w="1600" w:type="dxa"/>
            <w:vAlign w:val="center"/>
          </w:tcPr>
          <w:p>
            <w:pPr>
              <w:pStyle w:val="5"/>
              <w:spacing w:line="480" w:lineRule="auto"/>
              <w:ind w:firstLine="480" w:firstLineChars="200"/>
              <w:rPr>
                <w:rFonts w:cs="宋体" w:asciiTheme="minorEastAsia" w:hAnsiTheme="minorEastAsia" w:eastAsiaTheme="minorEastAsia"/>
                <w:sz w:val="24"/>
              </w:rPr>
            </w:pPr>
          </w:p>
        </w:tc>
        <w:tc>
          <w:tcPr>
            <w:tcW w:w="1938" w:type="dxa"/>
            <w:vAlign w:val="center"/>
          </w:tcPr>
          <w:p>
            <w:pPr>
              <w:pStyle w:val="5"/>
              <w:spacing w:line="480" w:lineRule="auto"/>
              <w:ind w:firstLine="480" w:firstLineChars="200"/>
              <w:rPr>
                <w:rFonts w:cs="宋体" w:asciiTheme="minorEastAsia" w:hAnsiTheme="minorEastAsia" w:eastAsiaTheme="minorEastAsia"/>
                <w:sz w:val="24"/>
              </w:rPr>
            </w:pPr>
          </w:p>
        </w:tc>
        <w:tc>
          <w:tcPr>
            <w:tcW w:w="1410" w:type="dxa"/>
            <w:vAlign w:val="center"/>
          </w:tcPr>
          <w:p>
            <w:pPr>
              <w:pStyle w:val="5"/>
              <w:spacing w:line="480" w:lineRule="auto"/>
              <w:ind w:firstLine="480" w:firstLineChars="200"/>
              <w:rPr>
                <w:rFonts w:cs="宋体" w:asciiTheme="minorEastAsia" w:hAnsiTheme="minorEastAsia" w:eastAsiaTheme="minorEastAsia"/>
                <w:sz w:val="24"/>
              </w:rPr>
            </w:pPr>
          </w:p>
        </w:tc>
        <w:tc>
          <w:tcPr>
            <w:tcW w:w="1356" w:type="dxa"/>
            <w:vAlign w:val="center"/>
          </w:tcPr>
          <w:p>
            <w:pPr>
              <w:pStyle w:val="5"/>
              <w:spacing w:line="480" w:lineRule="auto"/>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80" w:firstLineChars="200"/>
              <w:rPr>
                <w:rFonts w:cs="宋体" w:asciiTheme="minorEastAsia" w:hAnsiTheme="minorEastAsia" w:eastAsiaTheme="minorEastAsia"/>
                <w:sz w:val="24"/>
              </w:rPr>
            </w:pPr>
          </w:p>
        </w:tc>
        <w:tc>
          <w:tcPr>
            <w:tcW w:w="1521" w:type="dxa"/>
          </w:tcPr>
          <w:p>
            <w:pPr>
              <w:pStyle w:val="5"/>
              <w:spacing w:line="480" w:lineRule="auto"/>
              <w:ind w:firstLine="480" w:firstLineChars="200"/>
              <w:rPr>
                <w:rFonts w:cs="宋体" w:asciiTheme="minorEastAsia" w:hAnsiTheme="minorEastAsia" w:eastAsiaTheme="minorEastAsia"/>
                <w:sz w:val="24"/>
              </w:rPr>
            </w:pPr>
          </w:p>
        </w:tc>
        <w:tc>
          <w:tcPr>
            <w:tcW w:w="1600" w:type="dxa"/>
          </w:tcPr>
          <w:p>
            <w:pPr>
              <w:pStyle w:val="5"/>
              <w:spacing w:line="480" w:lineRule="auto"/>
              <w:ind w:firstLine="480" w:firstLineChars="200"/>
              <w:rPr>
                <w:rFonts w:cs="宋体" w:asciiTheme="minorEastAsia" w:hAnsiTheme="minorEastAsia" w:eastAsiaTheme="minorEastAsia"/>
                <w:sz w:val="24"/>
              </w:rPr>
            </w:pPr>
          </w:p>
        </w:tc>
        <w:tc>
          <w:tcPr>
            <w:tcW w:w="1938" w:type="dxa"/>
          </w:tcPr>
          <w:p>
            <w:pPr>
              <w:pStyle w:val="5"/>
              <w:spacing w:line="480" w:lineRule="auto"/>
              <w:ind w:firstLine="480" w:firstLineChars="200"/>
              <w:rPr>
                <w:rFonts w:cs="宋体" w:asciiTheme="minorEastAsia" w:hAnsiTheme="minorEastAsia" w:eastAsiaTheme="minorEastAsia"/>
                <w:sz w:val="24"/>
              </w:rPr>
            </w:pPr>
          </w:p>
        </w:tc>
        <w:tc>
          <w:tcPr>
            <w:tcW w:w="1410" w:type="dxa"/>
          </w:tcPr>
          <w:p>
            <w:pPr>
              <w:pStyle w:val="5"/>
              <w:spacing w:line="480" w:lineRule="auto"/>
              <w:ind w:firstLine="480" w:firstLineChars="200"/>
              <w:rPr>
                <w:rFonts w:cs="宋体" w:asciiTheme="minorEastAsia" w:hAnsiTheme="minorEastAsia" w:eastAsiaTheme="minorEastAsia"/>
                <w:sz w:val="24"/>
              </w:rPr>
            </w:pPr>
          </w:p>
        </w:tc>
        <w:tc>
          <w:tcPr>
            <w:tcW w:w="1356" w:type="dxa"/>
          </w:tcPr>
          <w:p>
            <w:pPr>
              <w:pStyle w:val="5"/>
              <w:spacing w:line="480" w:lineRule="auto"/>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80" w:firstLineChars="200"/>
              <w:rPr>
                <w:rFonts w:cs="宋体" w:asciiTheme="minorEastAsia" w:hAnsiTheme="minorEastAsia" w:eastAsiaTheme="minorEastAsia"/>
                <w:sz w:val="24"/>
              </w:rPr>
            </w:pPr>
          </w:p>
        </w:tc>
        <w:tc>
          <w:tcPr>
            <w:tcW w:w="1521" w:type="dxa"/>
          </w:tcPr>
          <w:p>
            <w:pPr>
              <w:pStyle w:val="5"/>
              <w:spacing w:line="480" w:lineRule="auto"/>
              <w:ind w:firstLine="480" w:firstLineChars="200"/>
              <w:rPr>
                <w:rFonts w:cs="宋体" w:asciiTheme="minorEastAsia" w:hAnsiTheme="minorEastAsia" w:eastAsiaTheme="minorEastAsia"/>
                <w:sz w:val="24"/>
              </w:rPr>
            </w:pPr>
          </w:p>
        </w:tc>
        <w:tc>
          <w:tcPr>
            <w:tcW w:w="1600" w:type="dxa"/>
          </w:tcPr>
          <w:p>
            <w:pPr>
              <w:pStyle w:val="5"/>
              <w:spacing w:line="480" w:lineRule="auto"/>
              <w:ind w:firstLine="480" w:firstLineChars="200"/>
              <w:rPr>
                <w:rFonts w:cs="宋体" w:asciiTheme="minorEastAsia" w:hAnsiTheme="minorEastAsia" w:eastAsiaTheme="minorEastAsia"/>
                <w:sz w:val="24"/>
              </w:rPr>
            </w:pPr>
          </w:p>
        </w:tc>
        <w:tc>
          <w:tcPr>
            <w:tcW w:w="1938" w:type="dxa"/>
          </w:tcPr>
          <w:p>
            <w:pPr>
              <w:pStyle w:val="5"/>
              <w:spacing w:line="480" w:lineRule="auto"/>
              <w:ind w:firstLine="480" w:firstLineChars="200"/>
              <w:rPr>
                <w:rFonts w:cs="宋体" w:asciiTheme="minorEastAsia" w:hAnsiTheme="minorEastAsia" w:eastAsiaTheme="minorEastAsia"/>
                <w:sz w:val="24"/>
              </w:rPr>
            </w:pPr>
          </w:p>
        </w:tc>
        <w:tc>
          <w:tcPr>
            <w:tcW w:w="1410" w:type="dxa"/>
          </w:tcPr>
          <w:p>
            <w:pPr>
              <w:pStyle w:val="5"/>
              <w:spacing w:line="480" w:lineRule="auto"/>
              <w:ind w:firstLine="480" w:firstLineChars="200"/>
              <w:rPr>
                <w:rFonts w:cs="宋体" w:asciiTheme="minorEastAsia" w:hAnsiTheme="minorEastAsia" w:eastAsiaTheme="minorEastAsia"/>
                <w:sz w:val="24"/>
              </w:rPr>
            </w:pPr>
          </w:p>
        </w:tc>
        <w:tc>
          <w:tcPr>
            <w:tcW w:w="1356" w:type="dxa"/>
          </w:tcPr>
          <w:p>
            <w:pPr>
              <w:pStyle w:val="5"/>
              <w:spacing w:line="480" w:lineRule="auto"/>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80" w:firstLineChars="200"/>
              <w:rPr>
                <w:rFonts w:cs="宋体" w:asciiTheme="minorEastAsia" w:hAnsiTheme="minorEastAsia" w:eastAsiaTheme="minorEastAsia"/>
                <w:sz w:val="24"/>
              </w:rPr>
            </w:pPr>
          </w:p>
        </w:tc>
        <w:tc>
          <w:tcPr>
            <w:tcW w:w="1521" w:type="dxa"/>
          </w:tcPr>
          <w:p>
            <w:pPr>
              <w:pStyle w:val="5"/>
              <w:spacing w:line="480" w:lineRule="auto"/>
              <w:ind w:firstLine="480" w:firstLineChars="200"/>
              <w:rPr>
                <w:rFonts w:cs="宋体" w:asciiTheme="minorEastAsia" w:hAnsiTheme="minorEastAsia" w:eastAsiaTheme="minorEastAsia"/>
                <w:sz w:val="24"/>
              </w:rPr>
            </w:pPr>
          </w:p>
        </w:tc>
        <w:tc>
          <w:tcPr>
            <w:tcW w:w="1600" w:type="dxa"/>
          </w:tcPr>
          <w:p>
            <w:pPr>
              <w:pStyle w:val="5"/>
              <w:spacing w:line="480" w:lineRule="auto"/>
              <w:ind w:firstLine="480" w:firstLineChars="200"/>
              <w:rPr>
                <w:rFonts w:cs="宋体" w:asciiTheme="minorEastAsia" w:hAnsiTheme="minorEastAsia" w:eastAsiaTheme="minorEastAsia"/>
                <w:sz w:val="24"/>
              </w:rPr>
            </w:pPr>
          </w:p>
        </w:tc>
        <w:tc>
          <w:tcPr>
            <w:tcW w:w="1938" w:type="dxa"/>
          </w:tcPr>
          <w:p>
            <w:pPr>
              <w:pStyle w:val="5"/>
              <w:spacing w:line="480" w:lineRule="auto"/>
              <w:ind w:firstLine="480" w:firstLineChars="200"/>
              <w:rPr>
                <w:rFonts w:cs="宋体" w:asciiTheme="minorEastAsia" w:hAnsiTheme="minorEastAsia" w:eastAsiaTheme="minorEastAsia"/>
                <w:sz w:val="24"/>
              </w:rPr>
            </w:pPr>
          </w:p>
        </w:tc>
        <w:tc>
          <w:tcPr>
            <w:tcW w:w="1410" w:type="dxa"/>
          </w:tcPr>
          <w:p>
            <w:pPr>
              <w:pStyle w:val="5"/>
              <w:spacing w:line="480" w:lineRule="auto"/>
              <w:ind w:firstLine="480" w:firstLineChars="200"/>
              <w:rPr>
                <w:rFonts w:cs="宋体" w:asciiTheme="minorEastAsia" w:hAnsiTheme="minorEastAsia" w:eastAsiaTheme="minorEastAsia"/>
                <w:sz w:val="24"/>
              </w:rPr>
            </w:pPr>
          </w:p>
        </w:tc>
        <w:tc>
          <w:tcPr>
            <w:tcW w:w="1356" w:type="dxa"/>
          </w:tcPr>
          <w:p>
            <w:pPr>
              <w:pStyle w:val="5"/>
              <w:spacing w:line="480" w:lineRule="auto"/>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80" w:firstLineChars="200"/>
              <w:rPr>
                <w:rFonts w:cs="宋体" w:asciiTheme="minorEastAsia" w:hAnsiTheme="minorEastAsia" w:eastAsiaTheme="minorEastAsia"/>
                <w:sz w:val="24"/>
              </w:rPr>
            </w:pPr>
          </w:p>
        </w:tc>
        <w:tc>
          <w:tcPr>
            <w:tcW w:w="1521" w:type="dxa"/>
          </w:tcPr>
          <w:p>
            <w:pPr>
              <w:pStyle w:val="5"/>
              <w:spacing w:line="480" w:lineRule="auto"/>
              <w:ind w:firstLine="480" w:firstLineChars="200"/>
              <w:rPr>
                <w:rFonts w:cs="宋体" w:asciiTheme="minorEastAsia" w:hAnsiTheme="minorEastAsia" w:eastAsiaTheme="minorEastAsia"/>
                <w:sz w:val="24"/>
              </w:rPr>
            </w:pPr>
          </w:p>
        </w:tc>
        <w:tc>
          <w:tcPr>
            <w:tcW w:w="1600" w:type="dxa"/>
          </w:tcPr>
          <w:p>
            <w:pPr>
              <w:pStyle w:val="5"/>
              <w:spacing w:line="480" w:lineRule="auto"/>
              <w:ind w:firstLine="480" w:firstLineChars="200"/>
              <w:rPr>
                <w:rFonts w:cs="宋体" w:asciiTheme="minorEastAsia" w:hAnsiTheme="minorEastAsia" w:eastAsiaTheme="minorEastAsia"/>
                <w:sz w:val="24"/>
              </w:rPr>
            </w:pPr>
          </w:p>
        </w:tc>
        <w:tc>
          <w:tcPr>
            <w:tcW w:w="1938" w:type="dxa"/>
          </w:tcPr>
          <w:p>
            <w:pPr>
              <w:pStyle w:val="5"/>
              <w:spacing w:line="480" w:lineRule="auto"/>
              <w:ind w:firstLine="480" w:firstLineChars="200"/>
              <w:rPr>
                <w:rFonts w:cs="宋体" w:asciiTheme="minorEastAsia" w:hAnsiTheme="minorEastAsia" w:eastAsiaTheme="minorEastAsia"/>
                <w:sz w:val="24"/>
              </w:rPr>
            </w:pPr>
          </w:p>
        </w:tc>
        <w:tc>
          <w:tcPr>
            <w:tcW w:w="1410" w:type="dxa"/>
          </w:tcPr>
          <w:p>
            <w:pPr>
              <w:pStyle w:val="5"/>
              <w:spacing w:line="480" w:lineRule="auto"/>
              <w:ind w:firstLine="480" w:firstLineChars="200"/>
              <w:rPr>
                <w:rFonts w:cs="宋体" w:asciiTheme="minorEastAsia" w:hAnsiTheme="minorEastAsia" w:eastAsiaTheme="minorEastAsia"/>
                <w:sz w:val="24"/>
              </w:rPr>
            </w:pPr>
          </w:p>
        </w:tc>
        <w:tc>
          <w:tcPr>
            <w:tcW w:w="1356" w:type="dxa"/>
          </w:tcPr>
          <w:p>
            <w:pPr>
              <w:pStyle w:val="5"/>
              <w:spacing w:line="480" w:lineRule="auto"/>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80" w:firstLineChars="200"/>
              <w:rPr>
                <w:rFonts w:cs="宋体" w:asciiTheme="minorEastAsia" w:hAnsiTheme="minorEastAsia" w:eastAsiaTheme="minorEastAsia"/>
                <w:sz w:val="24"/>
              </w:rPr>
            </w:pPr>
          </w:p>
        </w:tc>
        <w:tc>
          <w:tcPr>
            <w:tcW w:w="1521" w:type="dxa"/>
          </w:tcPr>
          <w:p>
            <w:pPr>
              <w:pStyle w:val="5"/>
              <w:spacing w:line="480" w:lineRule="auto"/>
              <w:ind w:firstLine="480" w:firstLineChars="200"/>
              <w:rPr>
                <w:rFonts w:cs="宋体" w:asciiTheme="minorEastAsia" w:hAnsiTheme="minorEastAsia" w:eastAsiaTheme="minorEastAsia"/>
                <w:sz w:val="24"/>
              </w:rPr>
            </w:pPr>
          </w:p>
        </w:tc>
        <w:tc>
          <w:tcPr>
            <w:tcW w:w="1600" w:type="dxa"/>
          </w:tcPr>
          <w:p>
            <w:pPr>
              <w:pStyle w:val="5"/>
              <w:spacing w:line="480" w:lineRule="auto"/>
              <w:ind w:firstLine="480" w:firstLineChars="200"/>
              <w:rPr>
                <w:rFonts w:cs="宋体" w:asciiTheme="minorEastAsia" w:hAnsiTheme="minorEastAsia" w:eastAsiaTheme="minorEastAsia"/>
                <w:sz w:val="24"/>
              </w:rPr>
            </w:pPr>
          </w:p>
        </w:tc>
        <w:tc>
          <w:tcPr>
            <w:tcW w:w="1938" w:type="dxa"/>
          </w:tcPr>
          <w:p>
            <w:pPr>
              <w:pStyle w:val="5"/>
              <w:spacing w:line="480" w:lineRule="auto"/>
              <w:ind w:firstLine="480" w:firstLineChars="200"/>
              <w:rPr>
                <w:rFonts w:cs="宋体" w:asciiTheme="minorEastAsia" w:hAnsiTheme="minorEastAsia" w:eastAsiaTheme="minorEastAsia"/>
                <w:sz w:val="24"/>
              </w:rPr>
            </w:pPr>
          </w:p>
        </w:tc>
        <w:tc>
          <w:tcPr>
            <w:tcW w:w="1410" w:type="dxa"/>
          </w:tcPr>
          <w:p>
            <w:pPr>
              <w:pStyle w:val="5"/>
              <w:spacing w:line="480" w:lineRule="auto"/>
              <w:ind w:firstLine="480" w:firstLineChars="200"/>
              <w:rPr>
                <w:rFonts w:cs="宋体" w:asciiTheme="minorEastAsia" w:hAnsiTheme="minorEastAsia" w:eastAsiaTheme="minorEastAsia"/>
                <w:sz w:val="24"/>
              </w:rPr>
            </w:pPr>
          </w:p>
        </w:tc>
        <w:tc>
          <w:tcPr>
            <w:tcW w:w="1356" w:type="dxa"/>
          </w:tcPr>
          <w:p>
            <w:pPr>
              <w:pStyle w:val="5"/>
              <w:spacing w:line="480" w:lineRule="auto"/>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5"/>
              <w:spacing w:line="480" w:lineRule="auto"/>
              <w:ind w:firstLine="480" w:firstLineChars="200"/>
              <w:rPr>
                <w:rFonts w:cs="宋体" w:asciiTheme="minorEastAsia" w:hAnsiTheme="minorEastAsia" w:eastAsiaTheme="minorEastAsia"/>
                <w:sz w:val="24"/>
              </w:rPr>
            </w:pPr>
          </w:p>
        </w:tc>
        <w:tc>
          <w:tcPr>
            <w:tcW w:w="1521" w:type="dxa"/>
          </w:tcPr>
          <w:p>
            <w:pPr>
              <w:pStyle w:val="5"/>
              <w:spacing w:line="480" w:lineRule="auto"/>
              <w:ind w:firstLine="480" w:firstLineChars="200"/>
              <w:rPr>
                <w:rFonts w:cs="宋体" w:asciiTheme="minorEastAsia" w:hAnsiTheme="minorEastAsia" w:eastAsiaTheme="minorEastAsia"/>
                <w:sz w:val="24"/>
              </w:rPr>
            </w:pPr>
          </w:p>
        </w:tc>
        <w:tc>
          <w:tcPr>
            <w:tcW w:w="1600" w:type="dxa"/>
          </w:tcPr>
          <w:p>
            <w:pPr>
              <w:pStyle w:val="5"/>
              <w:spacing w:line="480" w:lineRule="auto"/>
              <w:ind w:firstLine="480" w:firstLineChars="200"/>
              <w:rPr>
                <w:rFonts w:cs="宋体" w:asciiTheme="minorEastAsia" w:hAnsiTheme="minorEastAsia" w:eastAsiaTheme="minorEastAsia"/>
                <w:sz w:val="24"/>
              </w:rPr>
            </w:pPr>
          </w:p>
        </w:tc>
        <w:tc>
          <w:tcPr>
            <w:tcW w:w="1938" w:type="dxa"/>
          </w:tcPr>
          <w:p>
            <w:pPr>
              <w:pStyle w:val="5"/>
              <w:spacing w:line="480" w:lineRule="auto"/>
              <w:ind w:firstLine="480" w:firstLineChars="200"/>
              <w:rPr>
                <w:rFonts w:cs="宋体" w:asciiTheme="minorEastAsia" w:hAnsiTheme="minorEastAsia" w:eastAsiaTheme="minorEastAsia"/>
                <w:sz w:val="24"/>
              </w:rPr>
            </w:pPr>
          </w:p>
        </w:tc>
        <w:tc>
          <w:tcPr>
            <w:tcW w:w="1410" w:type="dxa"/>
          </w:tcPr>
          <w:p>
            <w:pPr>
              <w:pStyle w:val="5"/>
              <w:spacing w:line="480" w:lineRule="auto"/>
              <w:ind w:firstLine="480" w:firstLineChars="200"/>
              <w:rPr>
                <w:rFonts w:cs="宋体" w:asciiTheme="minorEastAsia" w:hAnsiTheme="minorEastAsia" w:eastAsiaTheme="minorEastAsia"/>
                <w:sz w:val="24"/>
              </w:rPr>
            </w:pPr>
          </w:p>
        </w:tc>
        <w:tc>
          <w:tcPr>
            <w:tcW w:w="1356" w:type="dxa"/>
          </w:tcPr>
          <w:p>
            <w:pPr>
              <w:pStyle w:val="5"/>
              <w:spacing w:line="480" w:lineRule="auto"/>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5"/>
              <w:spacing w:line="480" w:lineRule="auto"/>
              <w:rPr>
                <w:rFonts w:cs="宋体" w:asciiTheme="minorEastAsia" w:hAnsiTheme="minorEastAsia" w:eastAsiaTheme="minorEastAsia"/>
                <w:sz w:val="24"/>
              </w:rPr>
            </w:pPr>
          </w:p>
        </w:tc>
        <w:tc>
          <w:tcPr>
            <w:tcW w:w="1521" w:type="dxa"/>
          </w:tcPr>
          <w:p>
            <w:pPr>
              <w:pStyle w:val="5"/>
              <w:spacing w:line="480" w:lineRule="auto"/>
              <w:rPr>
                <w:rFonts w:cs="宋体" w:asciiTheme="minorEastAsia" w:hAnsiTheme="minorEastAsia" w:eastAsiaTheme="minorEastAsia"/>
                <w:sz w:val="24"/>
              </w:rPr>
            </w:pPr>
          </w:p>
        </w:tc>
        <w:tc>
          <w:tcPr>
            <w:tcW w:w="1600" w:type="dxa"/>
          </w:tcPr>
          <w:p>
            <w:pPr>
              <w:pStyle w:val="5"/>
              <w:spacing w:line="480" w:lineRule="auto"/>
              <w:ind w:firstLine="480" w:firstLineChars="200"/>
              <w:rPr>
                <w:rFonts w:cs="宋体" w:asciiTheme="minorEastAsia" w:hAnsiTheme="minorEastAsia" w:eastAsiaTheme="minorEastAsia"/>
                <w:sz w:val="24"/>
              </w:rPr>
            </w:pPr>
          </w:p>
        </w:tc>
        <w:tc>
          <w:tcPr>
            <w:tcW w:w="1938" w:type="dxa"/>
          </w:tcPr>
          <w:p>
            <w:pPr>
              <w:pStyle w:val="5"/>
              <w:spacing w:line="480" w:lineRule="auto"/>
              <w:ind w:firstLine="480" w:firstLineChars="200"/>
              <w:rPr>
                <w:rFonts w:cs="宋体" w:asciiTheme="minorEastAsia" w:hAnsiTheme="minorEastAsia" w:eastAsiaTheme="minorEastAsia"/>
                <w:sz w:val="24"/>
              </w:rPr>
            </w:pPr>
          </w:p>
        </w:tc>
        <w:tc>
          <w:tcPr>
            <w:tcW w:w="1410" w:type="dxa"/>
          </w:tcPr>
          <w:p>
            <w:pPr>
              <w:pStyle w:val="5"/>
              <w:spacing w:line="480" w:lineRule="auto"/>
              <w:ind w:firstLine="480" w:firstLineChars="200"/>
              <w:rPr>
                <w:rFonts w:cs="宋体" w:asciiTheme="minorEastAsia" w:hAnsiTheme="minorEastAsia" w:eastAsiaTheme="minorEastAsia"/>
                <w:sz w:val="24"/>
              </w:rPr>
            </w:pPr>
          </w:p>
        </w:tc>
        <w:tc>
          <w:tcPr>
            <w:tcW w:w="1356" w:type="dxa"/>
          </w:tcPr>
          <w:p>
            <w:pPr>
              <w:pStyle w:val="5"/>
              <w:spacing w:line="480" w:lineRule="auto"/>
              <w:ind w:firstLine="480" w:firstLineChars="200"/>
              <w:rPr>
                <w:rFonts w:cs="宋体" w:asciiTheme="minorEastAsia" w:hAnsiTheme="minorEastAsia" w:eastAsiaTheme="minorEastAsia"/>
                <w:sz w:val="24"/>
              </w:rPr>
            </w:pPr>
          </w:p>
        </w:tc>
      </w:tr>
    </w:tbl>
    <w:p>
      <w:pPr>
        <w:pStyle w:val="4"/>
        <w:spacing w:line="360" w:lineRule="auto"/>
        <w:ind w:left="140" w:firstLine="0"/>
        <w:rPr>
          <w:rFonts w:cs="宋体" w:asciiTheme="minorEastAsia" w:hAnsiTheme="minorEastAsia" w:eastAsiaTheme="minorEastAsia"/>
          <w:b/>
          <w:bCs/>
        </w:rPr>
      </w:pPr>
      <w:r>
        <w:rPr>
          <w:rFonts w:hint="eastAsia" w:cs="宋体" w:asciiTheme="minorEastAsia" w:hAnsiTheme="minorEastAsia" w:eastAsiaTheme="minorEastAsia"/>
          <w:b/>
          <w:bCs/>
        </w:rPr>
        <w:t>1、本表须按“第三章招标内容及要求”中所列服务要求进行比较和响应；</w:t>
      </w:r>
    </w:p>
    <w:p>
      <w:pPr>
        <w:pStyle w:val="4"/>
        <w:spacing w:line="360" w:lineRule="auto"/>
        <w:ind w:left="140" w:firstLine="0"/>
        <w:rPr>
          <w:rFonts w:cs="宋体" w:asciiTheme="minorEastAsia" w:hAnsiTheme="minorEastAsia" w:eastAsiaTheme="minorEastAsia"/>
        </w:rPr>
      </w:pPr>
      <w:r>
        <w:rPr>
          <w:rFonts w:hint="eastAsia" w:cs="宋体" w:asciiTheme="minorEastAsia" w:hAnsiTheme="minorEastAsia" w:eastAsiaTheme="minorEastAsia"/>
          <w:b/>
          <w:bCs/>
        </w:rPr>
        <w:t>2、该表必须按照招标文件要求逐条如实填写，根据情况在“偏离情况”项填写正偏离或负偏离或无偏离，在“说明”项填写正偏离或负偏离原因。</w:t>
      </w:r>
    </w:p>
    <w:p>
      <w:pPr>
        <w:pStyle w:val="4"/>
        <w:spacing w:line="360" w:lineRule="auto"/>
        <w:ind w:left="140" w:firstLine="0"/>
        <w:rPr>
          <w:rFonts w:cs="宋体" w:asciiTheme="minorEastAsia" w:hAnsiTheme="minorEastAsia" w:eastAsiaTheme="minorEastAsia"/>
        </w:rPr>
      </w:pPr>
      <w:r>
        <w:rPr>
          <w:rFonts w:hint="eastAsia" w:cs="宋体" w:asciiTheme="minorEastAsia" w:hAnsiTheme="minorEastAsia" w:eastAsiaTheme="minorEastAsia"/>
          <w:b/>
          <w:bCs/>
        </w:rPr>
        <w:t>3、该表可扩展。</w:t>
      </w:r>
    </w:p>
    <w:p>
      <w:pPr>
        <w:adjustRightInd w:val="0"/>
        <w:snapToGrid w:val="0"/>
        <w:spacing w:line="480" w:lineRule="auto"/>
        <w:rPr>
          <w:rFonts w:cs="宋体" w:asciiTheme="minorEastAsia" w:hAnsiTheme="minorEastAsia" w:eastAsiaTheme="minorEastAsia"/>
          <w:color w:val="000000"/>
        </w:rPr>
      </w:pPr>
    </w:p>
    <w:p>
      <w:pPr>
        <w:adjustRightInd w:val="0"/>
        <w:snapToGrid w:val="0"/>
        <w:spacing w:line="480" w:lineRule="auto"/>
        <w:rPr>
          <w:rFonts w:cs="宋体" w:asciiTheme="minorEastAsia" w:hAnsiTheme="minorEastAsia" w:eastAsiaTheme="minorEastAsia"/>
          <w:color w:val="000000"/>
          <w:u w:val="single"/>
        </w:rPr>
      </w:pPr>
      <w:r>
        <w:rPr>
          <w:rFonts w:hint="eastAsia" w:cs="宋体" w:asciiTheme="minorEastAsia" w:hAnsiTheme="minorEastAsia" w:eastAsiaTheme="minorEastAsia"/>
          <w:color w:val="000000"/>
        </w:rPr>
        <w:t>供应商（单位名称及公章）：</w:t>
      </w:r>
    </w:p>
    <w:p>
      <w:pPr>
        <w:adjustRightInd w:val="0"/>
        <w:snapToGrid w:val="0"/>
        <w:spacing w:line="48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法定代表人或被授权人（签字或盖章）：</w:t>
      </w:r>
    </w:p>
    <w:p>
      <w:pPr>
        <w:adjustRightInd w:val="0"/>
        <w:snapToGrid w:val="0"/>
        <w:spacing w:line="48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日    期：    年     月    日</w:t>
      </w:r>
    </w:p>
    <w:p>
      <w:pPr>
        <w:rPr>
          <w:rFonts w:asciiTheme="minorEastAsia" w:hAnsiTheme="minorEastAsia" w:eastAsiaTheme="minorEastAsia"/>
        </w:rPr>
      </w:pPr>
    </w:p>
    <w:bookmarkEnd w:id="92"/>
    <w:bookmarkEnd w:id="93"/>
    <w:bookmarkEnd w:id="94"/>
    <w:bookmarkEnd w:id="95"/>
    <w:p>
      <w:pPr>
        <w:rPr>
          <w:rFonts w:cs="宋体" w:asciiTheme="minorEastAsia" w:hAnsiTheme="minorEastAsia" w:eastAsiaTheme="minorEastAsia"/>
          <w:color w:val="000000"/>
        </w:rPr>
      </w:pPr>
      <w:bookmarkStart w:id="101" w:name="_Toc24830"/>
      <w:r>
        <w:rPr>
          <w:rFonts w:hint="eastAsia" w:cs="宋体" w:asciiTheme="minorEastAsia" w:hAnsiTheme="minorEastAsia" w:eastAsiaTheme="minorEastAsia"/>
          <w:color w:val="000000"/>
        </w:rPr>
        <w:br w:type="page"/>
      </w:r>
    </w:p>
    <w:p>
      <w:pPr>
        <w:pStyle w:val="7"/>
        <w:spacing w:before="319" w:beforeLines="100" w:after="478" w:afterLines="150" w:line="500" w:lineRule="exact"/>
        <w:ind w:firstLine="480"/>
        <w:jc w:val="center"/>
        <w:rPr>
          <w:rFonts w:cs="宋体" w:asciiTheme="minorEastAsia" w:hAnsiTheme="minorEastAsia" w:eastAsiaTheme="minorEastAsia"/>
          <w:color w:val="000000"/>
          <w:sz w:val="24"/>
          <w:szCs w:val="24"/>
        </w:rPr>
      </w:pPr>
      <w:bookmarkStart w:id="102" w:name="_Toc258"/>
      <w:bookmarkStart w:id="103" w:name="_Toc135129542"/>
      <w:r>
        <w:rPr>
          <w:rFonts w:hint="eastAsia" w:cs="宋体" w:asciiTheme="minorEastAsia" w:hAnsiTheme="minorEastAsia" w:eastAsiaTheme="minorEastAsia"/>
          <w:color w:val="000000"/>
          <w:sz w:val="24"/>
          <w:szCs w:val="24"/>
        </w:rPr>
        <w:t xml:space="preserve">第七部分  </w:t>
      </w:r>
      <w:bookmarkEnd w:id="101"/>
      <w:bookmarkEnd w:id="102"/>
      <w:r>
        <w:rPr>
          <w:rFonts w:hint="eastAsia" w:cs="宋体" w:asciiTheme="minorEastAsia" w:hAnsiTheme="minorEastAsia" w:eastAsiaTheme="minorEastAsia"/>
          <w:color w:val="000000"/>
          <w:sz w:val="24"/>
          <w:szCs w:val="24"/>
        </w:rPr>
        <w:t>技术与服务方案</w:t>
      </w:r>
      <w:bookmarkEnd w:id="103"/>
    </w:p>
    <w:p>
      <w:pPr>
        <w:rPr>
          <w:rFonts w:cs="宋体" w:asciiTheme="minorEastAsia" w:hAnsiTheme="minorEastAsia" w:eastAsiaTheme="minorEastAsia"/>
          <w:b/>
          <w:bCs/>
        </w:rPr>
      </w:pPr>
      <w:r>
        <w:rPr>
          <w:rFonts w:hint="eastAsia" w:cs="宋体" w:asciiTheme="minorEastAsia" w:hAnsiTheme="minorEastAsia" w:eastAsiaTheme="minorEastAsia"/>
          <w:b/>
          <w:bCs/>
        </w:rPr>
        <w:t>由供应商自行编写，无具体格式。</w:t>
      </w:r>
    </w:p>
    <w:p>
      <w:pPr>
        <w:jc w:val="both"/>
        <w:rPr>
          <w:rFonts w:cs="宋体" w:asciiTheme="minorEastAsia" w:hAnsiTheme="minorEastAsia" w:eastAsiaTheme="minorEastAsia"/>
        </w:rPr>
      </w:pPr>
      <w:r>
        <w:rPr>
          <w:rFonts w:hint="eastAsia" w:cs="宋体" w:asciiTheme="minorEastAsia" w:hAnsiTheme="minorEastAsia" w:eastAsiaTheme="minorEastAsia"/>
        </w:rPr>
        <w:t xml:space="preserve">  </w:t>
      </w:r>
    </w:p>
    <w:p>
      <w:pPr>
        <w:rPr>
          <w:rFonts w:cs="宋体" w:asciiTheme="minorEastAsia" w:hAnsiTheme="minorEastAsia" w:eastAsiaTheme="minorEastAsia"/>
          <w:color w:val="000000"/>
        </w:rPr>
      </w:pPr>
      <w:r>
        <w:rPr>
          <w:rFonts w:hint="eastAsia" w:asciiTheme="minorEastAsia" w:hAnsiTheme="minorEastAsia" w:eastAsiaTheme="minorEastAsia"/>
        </w:rPr>
        <w:t xml:space="preserve">                      </w:t>
      </w:r>
      <w:r>
        <w:rPr>
          <w:rFonts w:hint="eastAsia" w:cs="宋体" w:asciiTheme="minorEastAsia" w:hAnsiTheme="minorEastAsia" w:eastAsiaTheme="minorEastAsia"/>
          <w:color w:val="000000"/>
        </w:rPr>
        <w:t xml:space="preserve"> </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br w:type="page"/>
      </w:r>
    </w:p>
    <w:p>
      <w:pPr>
        <w:jc w:val="center"/>
        <w:outlineLvl w:val="1"/>
        <w:rPr>
          <w:rFonts w:asciiTheme="minorEastAsia" w:hAnsiTheme="minorEastAsia" w:eastAsiaTheme="minorEastAsia"/>
        </w:rPr>
      </w:pPr>
      <w:bookmarkStart w:id="104" w:name="_Toc135129543"/>
      <w:r>
        <w:rPr>
          <w:rFonts w:hint="eastAsia" w:cs="宋体" w:asciiTheme="minorEastAsia" w:hAnsiTheme="minorEastAsia" w:eastAsiaTheme="minorEastAsia"/>
          <w:color w:val="000000"/>
        </w:rPr>
        <w:t>第八部分  服务承诺</w:t>
      </w:r>
      <w:bookmarkEnd w:id="104"/>
    </w:p>
    <w:p>
      <w:pPr>
        <w:rPr>
          <w:rFonts w:cs="宋体" w:asciiTheme="minorEastAsia" w:hAnsiTheme="minorEastAsia" w:eastAsiaTheme="minorEastAsia"/>
          <w:b/>
          <w:bCs/>
        </w:rPr>
      </w:pPr>
      <w:bookmarkStart w:id="105" w:name="_Toc3034"/>
      <w:bookmarkStart w:id="106" w:name="_Toc24882"/>
      <w:bookmarkStart w:id="107" w:name="_Toc6020"/>
      <w:bookmarkStart w:id="108" w:name="_Toc11540"/>
      <w:bookmarkStart w:id="109" w:name="_Toc30983"/>
      <w:bookmarkStart w:id="110" w:name="_Toc12793"/>
      <w:bookmarkStart w:id="111" w:name="_Toc8494"/>
      <w:bookmarkStart w:id="112" w:name="_Toc11410"/>
      <w:r>
        <w:rPr>
          <w:rFonts w:hint="eastAsia" w:cs="宋体" w:asciiTheme="minorEastAsia" w:hAnsiTheme="minorEastAsia" w:eastAsiaTheme="minorEastAsia"/>
          <w:b/>
          <w:bCs/>
        </w:rPr>
        <w:t>由供应商自行编写，无具体格式。</w:t>
      </w: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br w:type="page"/>
      </w:r>
    </w:p>
    <w:p>
      <w:pPr>
        <w:pStyle w:val="7"/>
        <w:ind w:firstLine="480"/>
        <w:jc w:val="center"/>
        <w:rPr>
          <w:rFonts w:cs="宋体" w:asciiTheme="minorEastAsia" w:hAnsiTheme="minorEastAsia" w:eastAsiaTheme="minorEastAsia"/>
          <w:color w:val="000000"/>
          <w:sz w:val="24"/>
          <w:szCs w:val="24"/>
        </w:rPr>
      </w:pPr>
      <w:bookmarkStart w:id="113" w:name="_Toc135129544"/>
      <w:r>
        <w:rPr>
          <w:rFonts w:hint="eastAsia" w:cs="宋体" w:asciiTheme="minorEastAsia" w:hAnsiTheme="minorEastAsia" w:eastAsiaTheme="minorEastAsia"/>
          <w:color w:val="000000"/>
          <w:sz w:val="24"/>
          <w:szCs w:val="24"/>
        </w:rPr>
        <w:t>第九部分  供应商业绩一览表</w:t>
      </w:r>
      <w:bookmarkEnd w:id="105"/>
      <w:bookmarkEnd w:id="106"/>
      <w:bookmarkEnd w:id="107"/>
      <w:bookmarkEnd w:id="108"/>
      <w:bookmarkEnd w:id="113"/>
    </w:p>
    <w:p>
      <w:pPr>
        <w:rPr>
          <w:rFonts w:cs="宋体" w:asciiTheme="minorEastAsia" w:hAnsiTheme="minorEastAsia" w:eastAsiaTheme="minorEastAsia"/>
          <w:color w:val="000000"/>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1"/>
        <w:gridCol w:w="1602"/>
        <w:gridCol w:w="1468"/>
        <w:gridCol w:w="1485"/>
        <w:gridCol w:w="1577"/>
        <w:gridCol w:w="11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35" w:hRule="atLeast"/>
          <w:jc w:val="center"/>
        </w:trPr>
        <w:tc>
          <w:tcPr>
            <w:tcW w:w="801" w:type="dxa"/>
            <w:tcBorders>
              <w:top w:val="single" w:color="auto" w:sz="4" w:space="0"/>
            </w:tcBorders>
            <w:vAlign w:val="center"/>
          </w:tcPr>
          <w:p>
            <w:pPr>
              <w:spacing w:line="400" w:lineRule="exact"/>
              <w:rPr>
                <w:rFonts w:cs="宋体" w:asciiTheme="minorEastAsia" w:hAnsiTheme="minorEastAsia" w:eastAsiaTheme="minorEastAsia"/>
              </w:rPr>
            </w:pPr>
            <w:r>
              <w:rPr>
                <w:rFonts w:hint="eastAsia" w:cs="宋体" w:asciiTheme="minorEastAsia" w:hAnsiTheme="minorEastAsia" w:eastAsiaTheme="minorEastAsia"/>
              </w:rPr>
              <w:t>年份</w:t>
            </w:r>
          </w:p>
        </w:tc>
        <w:tc>
          <w:tcPr>
            <w:tcW w:w="1602" w:type="dxa"/>
            <w:tcBorders>
              <w:top w:val="single" w:color="auto" w:sz="4" w:space="0"/>
            </w:tcBorders>
            <w:vAlign w:val="center"/>
          </w:tcPr>
          <w:p>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用户名称</w:t>
            </w:r>
          </w:p>
        </w:tc>
        <w:tc>
          <w:tcPr>
            <w:tcW w:w="1468" w:type="dxa"/>
            <w:tcBorders>
              <w:top w:val="single" w:color="auto" w:sz="4" w:space="0"/>
            </w:tcBorders>
            <w:vAlign w:val="center"/>
          </w:tcPr>
          <w:p>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1485" w:type="dxa"/>
            <w:tcBorders>
              <w:top w:val="single" w:color="auto" w:sz="4" w:space="0"/>
            </w:tcBorders>
            <w:vAlign w:val="center"/>
          </w:tcPr>
          <w:p>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合同签订时间</w:t>
            </w:r>
          </w:p>
        </w:tc>
        <w:tc>
          <w:tcPr>
            <w:tcW w:w="1577" w:type="dxa"/>
            <w:tcBorders>
              <w:top w:val="single" w:color="auto" w:sz="4" w:space="0"/>
            </w:tcBorders>
            <w:vAlign w:val="center"/>
          </w:tcPr>
          <w:p>
            <w:pPr>
              <w:spacing w:line="400" w:lineRule="exact"/>
              <w:ind w:firstLine="120" w:firstLineChars="50"/>
              <w:rPr>
                <w:rFonts w:cs="宋体" w:asciiTheme="minorEastAsia" w:hAnsiTheme="minorEastAsia" w:eastAsiaTheme="minorEastAsia"/>
              </w:rPr>
            </w:pPr>
            <w:r>
              <w:rPr>
                <w:rFonts w:hint="eastAsia" w:cs="宋体" w:asciiTheme="minorEastAsia" w:hAnsiTheme="minorEastAsia" w:eastAsiaTheme="minorEastAsia"/>
              </w:rPr>
              <w:t>合同金额</w:t>
            </w:r>
          </w:p>
        </w:tc>
        <w:tc>
          <w:tcPr>
            <w:tcW w:w="1163" w:type="dxa"/>
            <w:tcBorders>
              <w:top w:val="single" w:color="auto" w:sz="4" w:space="0"/>
              <w:left w:val="single" w:color="auto" w:sz="4" w:space="0"/>
            </w:tcBorders>
            <w:vAlign w:val="center"/>
          </w:tcPr>
          <w:p>
            <w:pPr>
              <w:spacing w:line="400" w:lineRule="exact"/>
              <w:rPr>
                <w:rFonts w:cs="宋体" w:asciiTheme="minorEastAsia" w:hAnsiTheme="minorEastAsia" w:eastAsiaTheme="minorEastAsia"/>
              </w:rPr>
            </w:pPr>
            <w:r>
              <w:rPr>
                <w:rFonts w:hint="eastAsia" w:cs="宋体" w:asciiTheme="minorEastAsia" w:hAnsiTheme="minorEastAsia" w:eastAsiaTheme="minorEastAsia"/>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pPr>
              <w:spacing w:line="400" w:lineRule="exact"/>
              <w:jc w:val="center"/>
              <w:rPr>
                <w:rFonts w:cs="宋体" w:asciiTheme="minorEastAsia" w:hAnsiTheme="minorEastAsia" w:eastAsiaTheme="minorEastAsia"/>
              </w:rPr>
            </w:pPr>
          </w:p>
        </w:tc>
        <w:tc>
          <w:tcPr>
            <w:tcW w:w="1602" w:type="dxa"/>
            <w:vAlign w:val="center"/>
          </w:tcPr>
          <w:p>
            <w:pPr>
              <w:spacing w:line="400" w:lineRule="exact"/>
              <w:jc w:val="center"/>
              <w:rPr>
                <w:rFonts w:cs="宋体" w:asciiTheme="minorEastAsia" w:hAnsiTheme="minorEastAsia" w:eastAsiaTheme="minorEastAsia"/>
              </w:rPr>
            </w:pPr>
          </w:p>
        </w:tc>
        <w:tc>
          <w:tcPr>
            <w:tcW w:w="1468" w:type="dxa"/>
            <w:vAlign w:val="center"/>
          </w:tcPr>
          <w:p>
            <w:pPr>
              <w:spacing w:line="400" w:lineRule="exact"/>
              <w:jc w:val="center"/>
              <w:rPr>
                <w:rFonts w:cs="宋体" w:asciiTheme="minorEastAsia" w:hAnsiTheme="minorEastAsia" w:eastAsiaTheme="minorEastAsia"/>
              </w:rPr>
            </w:pPr>
          </w:p>
        </w:tc>
        <w:tc>
          <w:tcPr>
            <w:tcW w:w="1485" w:type="dxa"/>
            <w:vAlign w:val="center"/>
          </w:tcPr>
          <w:p>
            <w:pPr>
              <w:spacing w:line="400" w:lineRule="exact"/>
              <w:jc w:val="center"/>
              <w:rPr>
                <w:rFonts w:cs="宋体" w:asciiTheme="minorEastAsia" w:hAnsiTheme="minorEastAsia" w:eastAsiaTheme="minorEastAsia"/>
              </w:rPr>
            </w:pPr>
          </w:p>
        </w:tc>
        <w:tc>
          <w:tcPr>
            <w:tcW w:w="1577" w:type="dxa"/>
            <w:vAlign w:val="center"/>
          </w:tcPr>
          <w:p>
            <w:pPr>
              <w:spacing w:line="400" w:lineRule="exact"/>
              <w:jc w:val="center"/>
              <w:rPr>
                <w:rFonts w:cs="宋体" w:asciiTheme="minorEastAsia" w:hAnsiTheme="minorEastAsia" w:eastAsiaTheme="minorEastAsia"/>
              </w:rPr>
            </w:pPr>
          </w:p>
        </w:tc>
        <w:tc>
          <w:tcPr>
            <w:tcW w:w="1163" w:type="dxa"/>
            <w:tcBorders>
              <w:left w:val="single" w:color="auto" w:sz="4" w:space="0"/>
            </w:tcBorders>
            <w:vAlign w:val="center"/>
          </w:tcPr>
          <w:p>
            <w:pPr>
              <w:spacing w:line="4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pPr>
              <w:spacing w:line="400" w:lineRule="exact"/>
              <w:jc w:val="center"/>
              <w:rPr>
                <w:rFonts w:cs="宋体" w:asciiTheme="minorEastAsia" w:hAnsiTheme="minorEastAsia" w:eastAsiaTheme="minorEastAsia"/>
              </w:rPr>
            </w:pPr>
          </w:p>
        </w:tc>
        <w:tc>
          <w:tcPr>
            <w:tcW w:w="1602" w:type="dxa"/>
            <w:vAlign w:val="center"/>
          </w:tcPr>
          <w:p>
            <w:pPr>
              <w:spacing w:line="400" w:lineRule="exact"/>
              <w:jc w:val="center"/>
              <w:rPr>
                <w:rFonts w:cs="宋体" w:asciiTheme="minorEastAsia" w:hAnsiTheme="minorEastAsia" w:eastAsiaTheme="minorEastAsia"/>
              </w:rPr>
            </w:pPr>
          </w:p>
        </w:tc>
        <w:tc>
          <w:tcPr>
            <w:tcW w:w="1468" w:type="dxa"/>
            <w:vAlign w:val="center"/>
          </w:tcPr>
          <w:p>
            <w:pPr>
              <w:spacing w:line="400" w:lineRule="exact"/>
              <w:jc w:val="center"/>
              <w:rPr>
                <w:rFonts w:cs="宋体" w:asciiTheme="minorEastAsia" w:hAnsiTheme="minorEastAsia" w:eastAsiaTheme="minorEastAsia"/>
              </w:rPr>
            </w:pPr>
          </w:p>
        </w:tc>
        <w:tc>
          <w:tcPr>
            <w:tcW w:w="1485" w:type="dxa"/>
            <w:vAlign w:val="center"/>
          </w:tcPr>
          <w:p>
            <w:pPr>
              <w:spacing w:line="400" w:lineRule="exact"/>
              <w:jc w:val="center"/>
              <w:rPr>
                <w:rFonts w:cs="宋体" w:asciiTheme="minorEastAsia" w:hAnsiTheme="minorEastAsia" w:eastAsiaTheme="minorEastAsia"/>
              </w:rPr>
            </w:pPr>
          </w:p>
        </w:tc>
        <w:tc>
          <w:tcPr>
            <w:tcW w:w="1577" w:type="dxa"/>
            <w:vAlign w:val="center"/>
          </w:tcPr>
          <w:p>
            <w:pPr>
              <w:spacing w:line="400" w:lineRule="exact"/>
              <w:jc w:val="center"/>
              <w:rPr>
                <w:rFonts w:cs="宋体" w:asciiTheme="minorEastAsia" w:hAnsiTheme="minorEastAsia" w:eastAsiaTheme="minorEastAsia"/>
              </w:rPr>
            </w:pPr>
          </w:p>
        </w:tc>
        <w:tc>
          <w:tcPr>
            <w:tcW w:w="1163" w:type="dxa"/>
            <w:tcBorders>
              <w:left w:val="single" w:color="auto" w:sz="4" w:space="0"/>
            </w:tcBorders>
            <w:vAlign w:val="center"/>
          </w:tcPr>
          <w:p>
            <w:pPr>
              <w:spacing w:line="4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pPr>
              <w:spacing w:line="400" w:lineRule="exact"/>
              <w:jc w:val="center"/>
              <w:rPr>
                <w:rFonts w:cs="宋体" w:asciiTheme="minorEastAsia" w:hAnsiTheme="minorEastAsia" w:eastAsiaTheme="minorEastAsia"/>
              </w:rPr>
            </w:pPr>
          </w:p>
        </w:tc>
        <w:tc>
          <w:tcPr>
            <w:tcW w:w="1602" w:type="dxa"/>
            <w:vAlign w:val="center"/>
          </w:tcPr>
          <w:p>
            <w:pPr>
              <w:spacing w:line="400" w:lineRule="exact"/>
              <w:jc w:val="center"/>
              <w:rPr>
                <w:rFonts w:cs="宋体" w:asciiTheme="minorEastAsia" w:hAnsiTheme="minorEastAsia" w:eastAsiaTheme="minorEastAsia"/>
              </w:rPr>
            </w:pPr>
          </w:p>
        </w:tc>
        <w:tc>
          <w:tcPr>
            <w:tcW w:w="1468" w:type="dxa"/>
            <w:vAlign w:val="center"/>
          </w:tcPr>
          <w:p>
            <w:pPr>
              <w:spacing w:line="400" w:lineRule="exact"/>
              <w:jc w:val="center"/>
              <w:rPr>
                <w:rFonts w:cs="宋体" w:asciiTheme="minorEastAsia" w:hAnsiTheme="minorEastAsia" w:eastAsiaTheme="minorEastAsia"/>
              </w:rPr>
            </w:pPr>
          </w:p>
        </w:tc>
        <w:tc>
          <w:tcPr>
            <w:tcW w:w="1485" w:type="dxa"/>
            <w:vAlign w:val="center"/>
          </w:tcPr>
          <w:p>
            <w:pPr>
              <w:spacing w:line="400" w:lineRule="exact"/>
              <w:jc w:val="center"/>
              <w:rPr>
                <w:rFonts w:cs="宋体" w:asciiTheme="minorEastAsia" w:hAnsiTheme="minorEastAsia" w:eastAsiaTheme="minorEastAsia"/>
              </w:rPr>
            </w:pPr>
          </w:p>
        </w:tc>
        <w:tc>
          <w:tcPr>
            <w:tcW w:w="1577" w:type="dxa"/>
            <w:vAlign w:val="center"/>
          </w:tcPr>
          <w:p>
            <w:pPr>
              <w:spacing w:line="400" w:lineRule="exact"/>
              <w:jc w:val="center"/>
              <w:rPr>
                <w:rFonts w:cs="宋体" w:asciiTheme="minorEastAsia" w:hAnsiTheme="minorEastAsia" w:eastAsiaTheme="minorEastAsia"/>
              </w:rPr>
            </w:pPr>
          </w:p>
        </w:tc>
        <w:tc>
          <w:tcPr>
            <w:tcW w:w="1163" w:type="dxa"/>
            <w:tcBorders>
              <w:left w:val="single" w:color="auto" w:sz="4" w:space="0"/>
            </w:tcBorders>
            <w:vAlign w:val="center"/>
          </w:tcPr>
          <w:p>
            <w:pPr>
              <w:spacing w:line="4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pPr>
              <w:spacing w:line="400" w:lineRule="exact"/>
              <w:jc w:val="center"/>
              <w:rPr>
                <w:rFonts w:cs="宋体" w:asciiTheme="minorEastAsia" w:hAnsiTheme="minorEastAsia" w:eastAsiaTheme="minorEastAsia"/>
              </w:rPr>
            </w:pPr>
          </w:p>
        </w:tc>
        <w:tc>
          <w:tcPr>
            <w:tcW w:w="1602" w:type="dxa"/>
            <w:tcBorders>
              <w:right w:val="single" w:color="auto" w:sz="4" w:space="0"/>
            </w:tcBorders>
            <w:vAlign w:val="center"/>
          </w:tcPr>
          <w:p>
            <w:pPr>
              <w:spacing w:line="400" w:lineRule="exact"/>
              <w:jc w:val="center"/>
              <w:rPr>
                <w:rFonts w:cs="宋体" w:asciiTheme="minorEastAsia" w:hAnsiTheme="minorEastAsia" w:eastAsiaTheme="minorEastAsia"/>
              </w:rPr>
            </w:pPr>
          </w:p>
        </w:tc>
        <w:tc>
          <w:tcPr>
            <w:tcW w:w="1468" w:type="dxa"/>
            <w:tcBorders>
              <w:left w:val="single" w:color="auto" w:sz="4" w:space="0"/>
            </w:tcBorders>
            <w:vAlign w:val="center"/>
          </w:tcPr>
          <w:p>
            <w:pPr>
              <w:spacing w:line="400" w:lineRule="exact"/>
              <w:jc w:val="center"/>
              <w:rPr>
                <w:rFonts w:cs="宋体" w:asciiTheme="minorEastAsia" w:hAnsiTheme="minorEastAsia" w:eastAsiaTheme="minorEastAsia"/>
              </w:rPr>
            </w:pPr>
          </w:p>
        </w:tc>
        <w:tc>
          <w:tcPr>
            <w:tcW w:w="1485" w:type="dxa"/>
            <w:vAlign w:val="center"/>
          </w:tcPr>
          <w:p>
            <w:pPr>
              <w:spacing w:line="400" w:lineRule="exact"/>
              <w:jc w:val="center"/>
              <w:rPr>
                <w:rFonts w:cs="宋体" w:asciiTheme="minorEastAsia" w:hAnsiTheme="minorEastAsia" w:eastAsiaTheme="minorEastAsia"/>
              </w:rPr>
            </w:pPr>
          </w:p>
        </w:tc>
        <w:tc>
          <w:tcPr>
            <w:tcW w:w="1577" w:type="dxa"/>
            <w:vAlign w:val="center"/>
          </w:tcPr>
          <w:p>
            <w:pPr>
              <w:spacing w:line="400" w:lineRule="exact"/>
              <w:jc w:val="center"/>
              <w:rPr>
                <w:rFonts w:cs="宋体" w:asciiTheme="minorEastAsia" w:hAnsiTheme="minorEastAsia" w:eastAsiaTheme="minorEastAsia"/>
              </w:rPr>
            </w:pPr>
          </w:p>
        </w:tc>
        <w:tc>
          <w:tcPr>
            <w:tcW w:w="1163" w:type="dxa"/>
            <w:tcBorders>
              <w:left w:val="single" w:color="auto" w:sz="4" w:space="0"/>
            </w:tcBorders>
            <w:vAlign w:val="center"/>
          </w:tcPr>
          <w:p>
            <w:pPr>
              <w:spacing w:line="4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tcBorders>
              <w:right w:val="single" w:color="auto" w:sz="4" w:space="0"/>
            </w:tcBorders>
            <w:vAlign w:val="center"/>
          </w:tcPr>
          <w:p>
            <w:pPr>
              <w:spacing w:line="400" w:lineRule="exact"/>
              <w:rPr>
                <w:rFonts w:cs="宋体" w:asciiTheme="minorEastAsia" w:hAnsiTheme="minorEastAsia" w:eastAsiaTheme="minorEastAsia"/>
              </w:rPr>
            </w:pPr>
          </w:p>
        </w:tc>
        <w:tc>
          <w:tcPr>
            <w:tcW w:w="1602" w:type="dxa"/>
            <w:tcBorders>
              <w:left w:val="single" w:color="auto" w:sz="4" w:space="0"/>
              <w:right w:val="single" w:color="auto" w:sz="4" w:space="0"/>
            </w:tcBorders>
            <w:vAlign w:val="center"/>
          </w:tcPr>
          <w:p>
            <w:pPr>
              <w:spacing w:line="400" w:lineRule="exact"/>
              <w:rPr>
                <w:rFonts w:cs="宋体" w:asciiTheme="minorEastAsia" w:hAnsiTheme="minorEastAsia" w:eastAsiaTheme="minorEastAsia"/>
              </w:rPr>
            </w:pPr>
          </w:p>
        </w:tc>
        <w:tc>
          <w:tcPr>
            <w:tcW w:w="1468" w:type="dxa"/>
            <w:tcBorders>
              <w:left w:val="single" w:color="auto" w:sz="4" w:space="0"/>
              <w:right w:val="single" w:color="auto" w:sz="4" w:space="0"/>
            </w:tcBorders>
            <w:vAlign w:val="center"/>
          </w:tcPr>
          <w:p>
            <w:pPr>
              <w:spacing w:line="400" w:lineRule="exact"/>
              <w:rPr>
                <w:rFonts w:cs="宋体" w:asciiTheme="minorEastAsia" w:hAnsiTheme="minorEastAsia" w:eastAsiaTheme="minorEastAsia"/>
              </w:rPr>
            </w:pPr>
          </w:p>
        </w:tc>
        <w:tc>
          <w:tcPr>
            <w:tcW w:w="1485" w:type="dxa"/>
            <w:tcBorders>
              <w:left w:val="single" w:color="auto" w:sz="4" w:space="0"/>
              <w:right w:val="single" w:color="auto" w:sz="4" w:space="0"/>
            </w:tcBorders>
            <w:vAlign w:val="center"/>
          </w:tcPr>
          <w:p>
            <w:pPr>
              <w:spacing w:line="400" w:lineRule="exact"/>
              <w:rPr>
                <w:rFonts w:cs="宋体" w:asciiTheme="minorEastAsia" w:hAnsiTheme="minorEastAsia" w:eastAsiaTheme="minorEastAsia"/>
              </w:rPr>
            </w:pPr>
          </w:p>
        </w:tc>
        <w:tc>
          <w:tcPr>
            <w:tcW w:w="1577" w:type="dxa"/>
            <w:tcBorders>
              <w:left w:val="single" w:color="auto" w:sz="4" w:space="0"/>
              <w:right w:val="single" w:color="auto" w:sz="4" w:space="0"/>
            </w:tcBorders>
            <w:vAlign w:val="center"/>
          </w:tcPr>
          <w:p>
            <w:pPr>
              <w:spacing w:line="400" w:lineRule="exact"/>
              <w:rPr>
                <w:rFonts w:cs="宋体" w:asciiTheme="minorEastAsia" w:hAnsiTheme="minorEastAsia" w:eastAsiaTheme="minorEastAsia"/>
              </w:rPr>
            </w:pPr>
          </w:p>
        </w:tc>
        <w:tc>
          <w:tcPr>
            <w:tcW w:w="1163" w:type="dxa"/>
            <w:tcBorders>
              <w:left w:val="single" w:color="auto" w:sz="4" w:space="0"/>
            </w:tcBorders>
            <w:vAlign w:val="center"/>
          </w:tcPr>
          <w:p>
            <w:pPr>
              <w:spacing w:line="4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pPr>
              <w:spacing w:line="400" w:lineRule="exact"/>
              <w:rPr>
                <w:rFonts w:cs="宋体" w:asciiTheme="minorEastAsia" w:hAnsiTheme="minorEastAsia" w:eastAsiaTheme="minorEastAsia"/>
              </w:rPr>
            </w:pPr>
          </w:p>
        </w:tc>
        <w:tc>
          <w:tcPr>
            <w:tcW w:w="1602" w:type="dxa"/>
            <w:vAlign w:val="center"/>
          </w:tcPr>
          <w:p>
            <w:pPr>
              <w:spacing w:line="400" w:lineRule="exact"/>
              <w:rPr>
                <w:rFonts w:cs="宋体" w:asciiTheme="minorEastAsia" w:hAnsiTheme="minorEastAsia" w:eastAsiaTheme="minorEastAsia"/>
              </w:rPr>
            </w:pPr>
          </w:p>
        </w:tc>
        <w:tc>
          <w:tcPr>
            <w:tcW w:w="1468" w:type="dxa"/>
            <w:vAlign w:val="center"/>
          </w:tcPr>
          <w:p>
            <w:pPr>
              <w:spacing w:line="400" w:lineRule="exact"/>
              <w:rPr>
                <w:rFonts w:cs="宋体" w:asciiTheme="minorEastAsia" w:hAnsiTheme="minorEastAsia" w:eastAsiaTheme="minorEastAsia"/>
              </w:rPr>
            </w:pPr>
          </w:p>
        </w:tc>
        <w:tc>
          <w:tcPr>
            <w:tcW w:w="1485" w:type="dxa"/>
            <w:vAlign w:val="center"/>
          </w:tcPr>
          <w:p>
            <w:pPr>
              <w:spacing w:line="400" w:lineRule="exact"/>
              <w:rPr>
                <w:rFonts w:cs="宋体" w:asciiTheme="minorEastAsia" w:hAnsiTheme="minorEastAsia" w:eastAsiaTheme="minorEastAsia"/>
              </w:rPr>
            </w:pPr>
          </w:p>
        </w:tc>
        <w:tc>
          <w:tcPr>
            <w:tcW w:w="1577" w:type="dxa"/>
            <w:tcBorders>
              <w:right w:val="single" w:color="auto" w:sz="4" w:space="0"/>
            </w:tcBorders>
            <w:vAlign w:val="center"/>
          </w:tcPr>
          <w:p>
            <w:pPr>
              <w:spacing w:line="400" w:lineRule="exact"/>
              <w:rPr>
                <w:rFonts w:cs="宋体" w:asciiTheme="minorEastAsia" w:hAnsiTheme="minorEastAsia" w:eastAsiaTheme="minorEastAsia"/>
              </w:rPr>
            </w:pPr>
          </w:p>
        </w:tc>
        <w:tc>
          <w:tcPr>
            <w:tcW w:w="1163" w:type="dxa"/>
            <w:tcBorders>
              <w:left w:val="single" w:color="auto" w:sz="4" w:space="0"/>
            </w:tcBorders>
            <w:vAlign w:val="center"/>
          </w:tcPr>
          <w:p>
            <w:pPr>
              <w:spacing w:line="4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4" w:hRule="atLeast"/>
          <w:jc w:val="center"/>
        </w:trPr>
        <w:tc>
          <w:tcPr>
            <w:tcW w:w="801" w:type="dxa"/>
            <w:tcBorders>
              <w:bottom w:val="single" w:color="auto" w:sz="4" w:space="0"/>
            </w:tcBorders>
            <w:vAlign w:val="center"/>
          </w:tcPr>
          <w:p>
            <w:pPr>
              <w:spacing w:line="400" w:lineRule="exact"/>
              <w:jc w:val="center"/>
              <w:rPr>
                <w:rFonts w:cs="宋体" w:asciiTheme="minorEastAsia" w:hAnsiTheme="minorEastAsia" w:eastAsiaTheme="minorEastAsia"/>
              </w:rPr>
            </w:pPr>
          </w:p>
        </w:tc>
        <w:tc>
          <w:tcPr>
            <w:tcW w:w="1602" w:type="dxa"/>
            <w:tcBorders>
              <w:bottom w:val="single" w:color="auto" w:sz="4" w:space="0"/>
            </w:tcBorders>
            <w:vAlign w:val="center"/>
          </w:tcPr>
          <w:p>
            <w:pPr>
              <w:spacing w:line="400" w:lineRule="exact"/>
              <w:jc w:val="center"/>
              <w:rPr>
                <w:rFonts w:cs="宋体" w:asciiTheme="minorEastAsia" w:hAnsiTheme="minorEastAsia" w:eastAsiaTheme="minorEastAsia"/>
              </w:rPr>
            </w:pPr>
          </w:p>
        </w:tc>
        <w:tc>
          <w:tcPr>
            <w:tcW w:w="1468" w:type="dxa"/>
            <w:tcBorders>
              <w:bottom w:val="single" w:color="auto" w:sz="4" w:space="0"/>
            </w:tcBorders>
            <w:vAlign w:val="center"/>
          </w:tcPr>
          <w:p>
            <w:pPr>
              <w:spacing w:line="400" w:lineRule="exact"/>
              <w:jc w:val="center"/>
              <w:rPr>
                <w:rFonts w:cs="宋体" w:asciiTheme="minorEastAsia" w:hAnsiTheme="minorEastAsia" w:eastAsiaTheme="minorEastAsia"/>
              </w:rPr>
            </w:pPr>
          </w:p>
        </w:tc>
        <w:tc>
          <w:tcPr>
            <w:tcW w:w="1485" w:type="dxa"/>
            <w:tcBorders>
              <w:bottom w:val="single" w:color="auto" w:sz="4" w:space="0"/>
            </w:tcBorders>
            <w:vAlign w:val="center"/>
          </w:tcPr>
          <w:p>
            <w:pPr>
              <w:spacing w:line="400" w:lineRule="exact"/>
              <w:jc w:val="center"/>
              <w:rPr>
                <w:rFonts w:cs="宋体" w:asciiTheme="minorEastAsia" w:hAnsiTheme="minorEastAsia" w:eastAsiaTheme="minorEastAsia"/>
              </w:rPr>
            </w:pPr>
          </w:p>
        </w:tc>
        <w:tc>
          <w:tcPr>
            <w:tcW w:w="1577" w:type="dxa"/>
            <w:tcBorders>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rPr>
            </w:pPr>
          </w:p>
        </w:tc>
        <w:tc>
          <w:tcPr>
            <w:tcW w:w="1163" w:type="dxa"/>
            <w:tcBorders>
              <w:left w:val="single" w:color="auto" w:sz="4" w:space="0"/>
              <w:bottom w:val="single" w:color="auto" w:sz="4" w:space="0"/>
            </w:tcBorders>
            <w:vAlign w:val="center"/>
          </w:tcPr>
          <w:p>
            <w:pPr>
              <w:spacing w:line="400" w:lineRule="exact"/>
              <w:jc w:val="center"/>
              <w:rPr>
                <w:rFonts w:cs="宋体" w:asciiTheme="minorEastAsia" w:hAnsiTheme="minorEastAsia" w:eastAsiaTheme="minorEastAsia"/>
              </w:rPr>
            </w:pPr>
          </w:p>
        </w:tc>
      </w:tr>
    </w:tbl>
    <w:p>
      <w:pPr>
        <w:spacing w:line="360" w:lineRule="auto"/>
        <w:ind w:left="360"/>
        <w:rPr>
          <w:rFonts w:cs="宋体" w:asciiTheme="minorEastAsia" w:hAnsiTheme="minorEastAsia" w:eastAsiaTheme="minorEastAsia"/>
          <w:color w:val="000000"/>
        </w:rPr>
      </w:pPr>
    </w:p>
    <w:p>
      <w:pPr>
        <w:spacing w:line="360" w:lineRule="auto"/>
        <w:rPr>
          <w:rFonts w:cs="宋体" w:asciiTheme="minorEastAsia" w:hAnsiTheme="minorEastAsia" w:eastAsiaTheme="minorEastAsia"/>
        </w:rPr>
      </w:pPr>
      <w:r>
        <w:rPr>
          <w:rFonts w:hint="eastAsia" w:cs="宋体" w:asciiTheme="minorEastAsia" w:hAnsiTheme="minorEastAsia" w:eastAsiaTheme="minorEastAsia"/>
          <w:color w:val="000000"/>
        </w:rPr>
        <w:t xml:space="preserve"> 注：</w:t>
      </w:r>
      <w:r>
        <w:rPr>
          <w:rFonts w:hint="eastAsia" w:cs="宋体" w:asciiTheme="minorEastAsia" w:hAnsiTheme="minorEastAsia" w:eastAsiaTheme="minorEastAsia"/>
        </w:rPr>
        <w:t>后附合同复印件</w:t>
      </w:r>
    </w:p>
    <w:p>
      <w:pPr>
        <w:spacing w:line="360" w:lineRule="auto"/>
        <w:rPr>
          <w:rFonts w:cs="宋体" w:asciiTheme="minorEastAsia" w:hAnsiTheme="minorEastAsia" w:eastAsiaTheme="minorEastAsia"/>
          <w:color w:val="000000"/>
        </w:rPr>
      </w:pPr>
    </w:p>
    <w:p>
      <w:pPr>
        <w:adjustRightInd w:val="0"/>
        <w:spacing w:line="600" w:lineRule="auto"/>
        <w:rPr>
          <w:rFonts w:cs="宋体" w:asciiTheme="minorEastAsia" w:hAnsiTheme="minorEastAsia" w:eastAsiaTheme="minorEastAsia"/>
          <w:bCs/>
          <w:color w:val="000000"/>
          <w:u w:val="single"/>
        </w:rPr>
      </w:pPr>
      <w:r>
        <w:rPr>
          <w:rFonts w:hint="eastAsia" w:cs="宋体" w:asciiTheme="minorEastAsia" w:hAnsiTheme="minorEastAsia" w:eastAsiaTheme="minorEastAsia"/>
          <w:bCs/>
          <w:color w:val="000000"/>
        </w:rPr>
        <w:t>供应商名称：</w:t>
      </w:r>
      <w:r>
        <w:rPr>
          <w:rFonts w:hint="eastAsia" w:cs="宋体" w:asciiTheme="minorEastAsia" w:hAnsiTheme="minorEastAsia" w:eastAsiaTheme="minorEastAsia"/>
          <w:bCs/>
          <w:color w:val="000000"/>
          <w:u w:val="single"/>
        </w:rPr>
        <w:t xml:space="preserve">              （全称及公章）</w:t>
      </w:r>
    </w:p>
    <w:p>
      <w:pPr>
        <w:adjustRightInd w:val="0"/>
        <w:snapToGrid w:val="0"/>
        <w:spacing w:line="60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法定代表人或被授权人（签字或盖章）：</w:t>
      </w:r>
    </w:p>
    <w:p>
      <w:pPr>
        <w:adjustRightInd w:val="0"/>
        <w:snapToGrid w:val="0"/>
        <w:spacing w:line="600" w:lineRule="auto"/>
        <w:rPr>
          <w:rFonts w:cs="宋体" w:asciiTheme="minorEastAsia" w:hAnsiTheme="minorEastAsia" w:eastAsiaTheme="minorEastAsia"/>
        </w:rPr>
      </w:pPr>
      <w:r>
        <w:rPr>
          <w:rFonts w:hint="eastAsia" w:cs="宋体" w:asciiTheme="minorEastAsia" w:hAnsiTheme="minorEastAsia" w:eastAsiaTheme="minorEastAsia"/>
          <w:bCs/>
          <w:color w:val="000000"/>
        </w:rPr>
        <w:t xml:space="preserve">日    </w:t>
      </w:r>
      <w:r>
        <w:rPr>
          <w:rFonts w:hint="eastAsia" w:cs="宋体" w:asciiTheme="minorEastAsia" w:hAnsiTheme="minorEastAsia" w:eastAsiaTheme="minorEastAsia"/>
          <w:color w:val="000000"/>
        </w:rPr>
        <w:t xml:space="preserve">期:                   </w:t>
      </w:r>
      <w:bookmarkEnd w:id="109"/>
      <w:bookmarkEnd w:id="110"/>
      <w:bookmarkEnd w:id="111"/>
      <w:bookmarkEnd w:id="112"/>
    </w:p>
    <w:p>
      <w:pPr>
        <w:rPr>
          <w:rFonts w:asciiTheme="minorEastAsia" w:hAnsiTheme="minorEastAsia" w:eastAsiaTheme="minorEastAsia"/>
        </w:rPr>
      </w:pPr>
      <w:r>
        <w:rPr>
          <w:rFonts w:asciiTheme="minorEastAsia" w:hAnsiTheme="minorEastAsia" w:eastAsiaTheme="minorEastAsia"/>
        </w:rPr>
        <w:br w:type="page"/>
      </w:r>
    </w:p>
    <w:p>
      <w:pPr>
        <w:pStyle w:val="7"/>
        <w:ind w:firstLine="480"/>
        <w:rPr>
          <w:rFonts w:cs="宋体" w:asciiTheme="minorEastAsia" w:hAnsiTheme="minorEastAsia" w:eastAsiaTheme="minorEastAsia"/>
          <w:color w:val="000000"/>
          <w:sz w:val="24"/>
          <w:szCs w:val="24"/>
        </w:rPr>
      </w:pPr>
      <w:bookmarkStart w:id="114" w:name="_Toc22400"/>
      <w:bookmarkStart w:id="115" w:name="_Toc9666"/>
      <w:bookmarkStart w:id="116" w:name="_Toc135129545"/>
      <w:bookmarkStart w:id="117" w:name="_Toc18894"/>
      <w:bookmarkStart w:id="118" w:name="_Toc29034"/>
      <w:bookmarkStart w:id="119" w:name="_Toc23432"/>
      <w:r>
        <w:rPr>
          <w:rFonts w:hint="eastAsia" w:cs="宋体" w:asciiTheme="minorEastAsia" w:hAnsiTheme="minorEastAsia" w:eastAsiaTheme="minorEastAsia"/>
          <w:color w:val="000000"/>
          <w:sz w:val="24"/>
          <w:szCs w:val="24"/>
        </w:rPr>
        <w:t>第十部分  供应商认为有必要说明的其他问题</w:t>
      </w:r>
      <w:bookmarkEnd w:id="114"/>
      <w:bookmarkEnd w:id="115"/>
      <w:bookmarkEnd w:id="116"/>
      <w:bookmarkEnd w:id="117"/>
      <w:bookmarkEnd w:id="118"/>
      <w:bookmarkEnd w:id="119"/>
    </w:p>
    <w:p>
      <w:pPr>
        <w:rPr>
          <w:rFonts w:cs="宋体" w:asciiTheme="minorEastAsia" w:hAnsiTheme="minorEastAsia" w:eastAsiaTheme="minorEastAsia"/>
          <w:color w:val="000000"/>
        </w:rPr>
      </w:pPr>
    </w:p>
    <w:p>
      <w:pPr>
        <w:rPr>
          <w:rFonts w:cs="宋体" w:asciiTheme="minorEastAsia" w:hAnsiTheme="minorEastAsia" w:eastAsiaTheme="minorEastAsia"/>
          <w:color w:val="000000"/>
        </w:rPr>
      </w:pPr>
      <w:r>
        <w:rPr>
          <w:rFonts w:hint="eastAsia" w:cs="宋体" w:asciiTheme="minorEastAsia" w:hAnsiTheme="minorEastAsia" w:eastAsiaTheme="minorEastAsia"/>
          <w:color w:val="000000"/>
        </w:rPr>
        <w:t>供应商认为有必要提供的其他证明文件</w:t>
      </w:r>
    </w:p>
    <w:p>
      <w:pPr>
        <w:rPr>
          <w:rFonts w:asciiTheme="minorEastAsia" w:hAnsiTheme="minorEastAsia" w:eastAsiaTheme="minorEastAsia"/>
        </w:rPr>
      </w:pPr>
      <w:r>
        <w:rPr>
          <w:rFonts w:asciiTheme="minorEastAsia" w:hAnsiTheme="minorEastAsia" w:eastAsiaTheme="minorEastAsia"/>
        </w:rPr>
        <w:br w:type="page"/>
      </w:r>
    </w:p>
    <w:p>
      <w:pPr>
        <w:adjustRightInd w:val="0"/>
        <w:spacing w:line="416" w:lineRule="atLeast"/>
        <w:jc w:val="center"/>
        <w:textAlignment w:val="baseline"/>
        <w:outlineLvl w:val="1"/>
        <w:rPr>
          <w:rFonts w:cs="宋体" w:asciiTheme="minorEastAsia" w:hAnsiTheme="minorEastAsia" w:eastAsiaTheme="minorEastAsia"/>
        </w:rPr>
      </w:pPr>
      <w:bookmarkStart w:id="120" w:name="_Toc9607"/>
      <w:bookmarkStart w:id="121" w:name="_Toc8177"/>
      <w:bookmarkStart w:id="122" w:name="_Toc22866"/>
      <w:bookmarkStart w:id="123" w:name="_Toc20129"/>
      <w:bookmarkStart w:id="124" w:name="_Toc22501"/>
      <w:bookmarkStart w:id="125" w:name="_Toc7273"/>
      <w:bookmarkStart w:id="126" w:name="_Toc135129546"/>
      <w:r>
        <w:rPr>
          <w:rFonts w:hint="eastAsia" w:cs="宋体" w:asciiTheme="minorEastAsia" w:hAnsiTheme="minorEastAsia" w:eastAsiaTheme="minorEastAsia"/>
        </w:rPr>
        <w:t>附件一、中小企业声明</w:t>
      </w:r>
      <w:bookmarkEnd w:id="120"/>
      <w:bookmarkEnd w:id="121"/>
      <w:bookmarkEnd w:id="122"/>
      <w:bookmarkEnd w:id="123"/>
      <w:bookmarkEnd w:id="124"/>
      <w:bookmarkEnd w:id="125"/>
      <w:bookmarkEnd w:id="126"/>
    </w:p>
    <w:p>
      <w:pPr>
        <w:rPr>
          <w:rFonts w:cs="宋体" w:asciiTheme="minorEastAsia" w:hAnsiTheme="minorEastAsia" w:eastAsiaTheme="minorEastAsia"/>
        </w:rPr>
      </w:pPr>
    </w:p>
    <w:p>
      <w:pPr>
        <w:spacing w:line="588" w:lineRule="exact"/>
        <w:ind w:firstLine="504" w:firstLineChars="200"/>
        <w:rPr>
          <w:rFonts w:asciiTheme="minorEastAsia" w:hAnsiTheme="minorEastAsia" w:eastAsiaTheme="minorEastAsia"/>
          <w:color w:val="000000"/>
          <w:spacing w:val="6"/>
        </w:rPr>
      </w:pPr>
      <w:bookmarkStart w:id="127" w:name="_Toc11556"/>
      <w:bookmarkStart w:id="128" w:name="_Toc15467"/>
      <w:bookmarkStart w:id="129" w:name="_Toc11130"/>
      <w:bookmarkStart w:id="130" w:name="_Toc3198"/>
      <w:bookmarkStart w:id="131" w:name="_Toc30503"/>
      <w:r>
        <w:rPr>
          <w:rFonts w:hint="eastAsia" w:asciiTheme="minorEastAsia" w:hAnsiTheme="minorEastAsia" w:eastAsiaTheme="minorEastAsia"/>
          <w:color w:val="000000"/>
          <w:spacing w:val="6"/>
        </w:rPr>
        <w:t>根据《政府采购促进中小企业发展管理办法》（财库[2020]46号）的规定，由供应商自行声明并对真实性负责。如有虚假，将依法承担相应责任。</w:t>
      </w:r>
    </w:p>
    <w:bookmarkEnd w:id="127"/>
    <w:bookmarkEnd w:id="128"/>
    <w:bookmarkEnd w:id="129"/>
    <w:bookmarkEnd w:id="130"/>
    <w:bookmarkEnd w:id="131"/>
    <w:p>
      <w:pPr>
        <w:spacing w:line="588" w:lineRule="exact"/>
        <w:jc w:val="center"/>
        <w:rPr>
          <w:rFonts w:cs="宋体" w:asciiTheme="minorEastAsia" w:hAnsiTheme="minorEastAsia" w:eastAsiaTheme="minorEastAsia"/>
          <w:b/>
          <w:spacing w:val="6"/>
        </w:rPr>
      </w:pPr>
      <w:bookmarkStart w:id="132" w:name="_Toc14587"/>
      <w:bookmarkStart w:id="133" w:name="_Toc21466"/>
      <w:bookmarkStart w:id="134" w:name="_Toc21174"/>
      <w:r>
        <w:rPr>
          <w:rFonts w:hint="eastAsia" w:cs="宋体" w:asciiTheme="minorEastAsia" w:hAnsiTheme="minorEastAsia" w:eastAsiaTheme="minorEastAsia"/>
          <w:b/>
          <w:spacing w:val="6"/>
        </w:rPr>
        <w:t>中小企业声明函（货物）</w:t>
      </w:r>
    </w:p>
    <w:p>
      <w:pPr>
        <w:spacing w:line="588" w:lineRule="exact"/>
        <w:ind w:firstLine="504" w:firstLineChars="200"/>
        <w:rPr>
          <w:rFonts w:cs="宋体" w:asciiTheme="minorEastAsia" w:hAnsiTheme="minorEastAsia" w:eastAsiaTheme="minorEastAsia"/>
          <w:spacing w:val="6"/>
        </w:rPr>
      </w:pPr>
      <w:bookmarkStart w:id="135" w:name="_Toc32438"/>
      <w:bookmarkStart w:id="136" w:name="_Toc21117"/>
      <w:bookmarkStart w:id="137" w:name="_Toc11896"/>
      <w:bookmarkStart w:id="138" w:name="_Toc5814"/>
      <w:bookmarkStart w:id="139" w:name="_Toc6022"/>
      <w:bookmarkStart w:id="140" w:name="_Toc10807"/>
      <w:bookmarkStart w:id="141" w:name="_Toc12531"/>
      <w:r>
        <w:rPr>
          <w:rFonts w:hint="eastAsia" w:cs="宋体" w:asciiTheme="minorEastAsia" w:hAnsiTheme="minorEastAsia" w:eastAsiaTheme="minorEastAsia"/>
          <w:spacing w:val="6"/>
        </w:rPr>
        <w:t>本公司（联合体）郑重声明，根据《政府采购促进中小企业发展管理办法》（财库﹝2020﹞46 号）的规定，本公司（联合体）参加</w:t>
      </w:r>
      <w:r>
        <w:rPr>
          <w:rFonts w:hint="eastAsia" w:cs="宋体" w:asciiTheme="minorEastAsia" w:hAnsiTheme="minorEastAsia" w:eastAsiaTheme="minorEastAsia"/>
          <w:spacing w:val="6"/>
          <w:u w:val="single"/>
        </w:rPr>
        <w:t>（单位名称）</w:t>
      </w:r>
      <w:r>
        <w:rPr>
          <w:rFonts w:hint="eastAsia" w:cs="宋体" w:asciiTheme="minorEastAsia" w:hAnsiTheme="minorEastAsia" w:eastAsiaTheme="minorEastAsia"/>
          <w:spacing w:val="6"/>
        </w:rPr>
        <w:t>的</w:t>
      </w:r>
      <w:r>
        <w:rPr>
          <w:rFonts w:hint="eastAsia" w:cs="宋体" w:asciiTheme="minorEastAsia" w:hAnsiTheme="minorEastAsia" w:eastAsiaTheme="minorEastAsia"/>
          <w:spacing w:val="6"/>
          <w:u w:val="single"/>
        </w:rPr>
        <w:t>（项目名称）</w:t>
      </w:r>
      <w:r>
        <w:rPr>
          <w:rFonts w:hint="eastAsia" w:cs="宋体" w:asciiTheme="minorEastAsia" w:hAnsiTheme="minorEastAsia" w:eastAsiaTheme="minorEastAsia"/>
          <w:spacing w:val="6"/>
        </w:rPr>
        <w:t>采购活动，提供的货物全部由符合政策要求的中小企业制造。相关企业（含联合体中的中小企业、签订分包意向协议的中小企业）的具体情况如下：</w:t>
      </w:r>
    </w:p>
    <w:p>
      <w:pPr>
        <w:spacing w:line="588" w:lineRule="exact"/>
        <w:ind w:firstLine="504" w:firstLineChars="200"/>
        <w:rPr>
          <w:rFonts w:cs="宋体" w:asciiTheme="minorEastAsia" w:hAnsiTheme="minorEastAsia" w:eastAsiaTheme="minorEastAsia"/>
          <w:spacing w:val="6"/>
        </w:rPr>
      </w:pPr>
      <w:r>
        <w:rPr>
          <w:rFonts w:hint="eastAsia" w:cs="宋体" w:asciiTheme="minorEastAsia" w:hAnsiTheme="minorEastAsia" w:eastAsiaTheme="minorEastAsia"/>
          <w:spacing w:val="6"/>
        </w:rPr>
        <w:t>1.</w:t>
      </w:r>
      <w:r>
        <w:rPr>
          <w:rFonts w:hint="eastAsia" w:cs="宋体" w:asciiTheme="minorEastAsia" w:hAnsiTheme="minorEastAsia" w:eastAsiaTheme="minorEastAsia"/>
          <w:spacing w:val="6"/>
          <w:u w:val="single"/>
        </w:rPr>
        <w:t xml:space="preserve">（标的名称） </w:t>
      </w:r>
      <w:r>
        <w:rPr>
          <w:rFonts w:hint="eastAsia" w:cs="宋体" w:asciiTheme="minorEastAsia" w:hAnsiTheme="minorEastAsia" w:eastAsiaTheme="minorEastAsia"/>
          <w:spacing w:val="6"/>
        </w:rPr>
        <w:t>，属于</w:t>
      </w:r>
      <w:r>
        <w:rPr>
          <w:rFonts w:hint="eastAsia" w:cs="宋体" w:asciiTheme="minorEastAsia" w:hAnsiTheme="minorEastAsia" w:eastAsiaTheme="minorEastAsia"/>
          <w:spacing w:val="6"/>
          <w:u w:val="single"/>
        </w:rPr>
        <w:t>（采购文件中明确的所属行业）</w:t>
      </w:r>
      <w:r>
        <w:rPr>
          <w:rFonts w:hint="eastAsia" w:cs="宋体" w:asciiTheme="minorEastAsia" w:hAnsiTheme="minorEastAsia" w:eastAsiaTheme="minorEastAsia"/>
          <w:spacing w:val="6"/>
        </w:rPr>
        <w:t>；制造商为</w:t>
      </w:r>
      <w:r>
        <w:rPr>
          <w:rFonts w:hint="eastAsia" w:cs="宋体" w:asciiTheme="minorEastAsia" w:hAnsiTheme="minorEastAsia" w:eastAsiaTheme="minorEastAsia"/>
          <w:spacing w:val="6"/>
          <w:u w:val="single"/>
        </w:rPr>
        <w:t>（企业名称）</w:t>
      </w:r>
      <w:r>
        <w:rPr>
          <w:rFonts w:hint="eastAsia" w:cs="宋体" w:asciiTheme="minorEastAsia" w:hAnsiTheme="minorEastAsia" w:eastAsiaTheme="minorEastAsia"/>
          <w:spacing w:val="6"/>
        </w:rPr>
        <w:t>，从业人员</w:t>
      </w:r>
      <w:r>
        <w:rPr>
          <w:rFonts w:hint="eastAsia" w:cs="宋体" w:asciiTheme="minorEastAsia" w:hAnsiTheme="minorEastAsia" w:eastAsiaTheme="minorEastAsia"/>
          <w:spacing w:val="6"/>
          <w:u w:val="single"/>
        </w:rPr>
        <w:t xml:space="preserve">    </w:t>
      </w:r>
      <w:r>
        <w:rPr>
          <w:rFonts w:hint="eastAsia" w:cs="宋体" w:asciiTheme="minorEastAsia" w:hAnsiTheme="minorEastAsia" w:eastAsiaTheme="minorEastAsia"/>
          <w:spacing w:val="6"/>
        </w:rPr>
        <w:t>人，营业收入为</w:t>
      </w:r>
      <w:r>
        <w:rPr>
          <w:rFonts w:hint="eastAsia" w:cs="宋体" w:asciiTheme="minorEastAsia" w:hAnsiTheme="minorEastAsia" w:eastAsiaTheme="minorEastAsia"/>
          <w:spacing w:val="6"/>
          <w:u w:val="single"/>
        </w:rPr>
        <w:t xml:space="preserve">       </w:t>
      </w:r>
      <w:r>
        <w:rPr>
          <w:rFonts w:hint="eastAsia" w:cs="宋体" w:asciiTheme="minorEastAsia" w:hAnsiTheme="minorEastAsia" w:eastAsiaTheme="minorEastAsia"/>
          <w:spacing w:val="6"/>
        </w:rPr>
        <w:t>万元，资产总额为</w:t>
      </w:r>
      <w:r>
        <w:rPr>
          <w:rFonts w:hint="eastAsia" w:cs="宋体" w:asciiTheme="minorEastAsia" w:hAnsiTheme="minorEastAsia" w:eastAsiaTheme="minorEastAsia"/>
          <w:spacing w:val="6"/>
          <w:u w:val="single"/>
        </w:rPr>
        <w:t xml:space="preserve">      </w:t>
      </w:r>
      <w:r>
        <w:rPr>
          <w:rFonts w:hint="eastAsia" w:cs="宋体" w:asciiTheme="minorEastAsia" w:hAnsiTheme="minorEastAsia" w:eastAsiaTheme="minorEastAsia"/>
          <w:spacing w:val="6"/>
        </w:rPr>
        <w:t>万元，属于</w:t>
      </w:r>
      <w:r>
        <w:rPr>
          <w:rFonts w:hint="eastAsia" w:cs="宋体" w:asciiTheme="minorEastAsia" w:hAnsiTheme="minorEastAsia" w:eastAsiaTheme="minorEastAsia"/>
          <w:spacing w:val="6"/>
          <w:u w:val="single"/>
        </w:rPr>
        <w:t>（中型企业、小型企业、微型企业）</w:t>
      </w:r>
      <w:r>
        <w:rPr>
          <w:rFonts w:hint="eastAsia" w:cs="宋体" w:asciiTheme="minorEastAsia" w:hAnsiTheme="minorEastAsia" w:eastAsiaTheme="minorEastAsia"/>
          <w:spacing w:val="6"/>
        </w:rPr>
        <w:t>；</w:t>
      </w:r>
    </w:p>
    <w:p>
      <w:pPr>
        <w:spacing w:line="588" w:lineRule="exact"/>
        <w:ind w:firstLine="504" w:firstLineChars="200"/>
        <w:rPr>
          <w:rFonts w:cs="宋体" w:asciiTheme="minorEastAsia" w:hAnsiTheme="minorEastAsia" w:eastAsiaTheme="minorEastAsia"/>
          <w:spacing w:val="6"/>
        </w:rPr>
      </w:pPr>
      <w:r>
        <w:rPr>
          <w:rFonts w:hint="eastAsia" w:cs="宋体" w:asciiTheme="minorEastAsia" w:hAnsiTheme="minorEastAsia" w:eastAsiaTheme="minorEastAsia"/>
          <w:spacing w:val="6"/>
        </w:rPr>
        <w:t>2.</w:t>
      </w:r>
      <w:r>
        <w:rPr>
          <w:rFonts w:hint="eastAsia" w:cs="宋体" w:asciiTheme="minorEastAsia" w:hAnsiTheme="minorEastAsia" w:eastAsiaTheme="minorEastAsia"/>
          <w:spacing w:val="6"/>
          <w:u w:val="single"/>
        </w:rPr>
        <w:t xml:space="preserve">（标的名称） </w:t>
      </w:r>
      <w:r>
        <w:rPr>
          <w:rFonts w:hint="eastAsia" w:cs="宋体" w:asciiTheme="minorEastAsia" w:hAnsiTheme="minorEastAsia" w:eastAsiaTheme="minorEastAsia"/>
          <w:spacing w:val="6"/>
        </w:rPr>
        <w:t>，属于</w:t>
      </w:r>
      <w:r>
        <w:rPr>
          <w:rFonts w:hint="eastAsia" w:cs="宋体" w:asciiTheme="minorEastAsia" w:hAnsiTheme="minorEastAsia" w:eastAsiaTheme="minorEastAsia"/>
          <w:spacing w:val="6"/>
          <w:u w:val="single"/>
        </w:rPr>
        <w:t>（采购文件中明确的所属行业）</w:t>
      </w:r>
      <w:r>
        <w:rPr>
          <w:rFonts w:hint="eastAsia" w:cs="宋体" w:asciiTheme="minorEastAsia" w:hAnsiTheme="minorEastAsia" w:eastAsiaTheme="minorEastAsia"/>
          <w:spacing w:val="6"/>
        </w:rPr>
        <w:t>；制造商为（企业名称），从业人员</w:t>
      </w:r>
      <w:r>
        <w:rPr>
          <w:rFonts w:hint="eastAsia" w:cs="宋体" w:asciiTheme="minorEastAsia" w:hAnsiTheme="minorEastAsia" w:eastAsiaTheme="minorEastAsia"/>
          <w:spacing w:val="6"/>
          <w:u w:val="single"/>
        </w:rPr>
        <w:t xml:space="preserve">     </w:t>
      </w:r>
      <w:r>
        <w:rPr>
          <w:rFonts w:hint="eastAsia" w:cs="宋体" w:asciiTheme="minorEastAsia" w:hAnsiTheme="minorEastAsia" w:eastAsiaTheme="minorEastAsia"/>
          <w:spacing w:val="6"/>
        </w:rPr>
        <w:t>人，营业收入为</w:t>
      </w:r>
      <w:r>
        <w:rPr>
          <w:rFonts w:hint="eastAsia" w:cs="宋体" w:asciiTheme="minorEastAsia" w:hAnsiTheme="minorEastAsia" w:eastAsiaTheme="minorEastAsia"/>
          <w:spacing w:val="6"/>
          <w:u w:val="single"/>
        </w:rPr>
        <w:t xml:space="preserve">      </w:t>
      </w:r>
      <w:r>
        <w:rPr>
          <w:rFonts w:hint="eastAsia" w:cs="宋体" w:asciiTheme="minorEastAsia" w:hAnsiTheme="minorEastAsia" w:eastAsiaTheme="minorEastAsia"/>
          <w:spacing w:val="6"/>
        </w:rPr>
        <w:t>万元，资产总额为</w:t>
      </w:r>
      <w:r>
        <w:rPr>
          <w:rFonts w:hint="eastAsia" w:cs="宋体" w:asciiTheme="minorEastAsia" w:hAnsiTheme="minorEastAsia" w:eastAsiaTheme="minorEastAsia"/>
          <w:spacing w:val="6"/>
          <w:u w:val="single"/>
        </w:rPr>
        <w:t xml:space="preserve">    </w:t>
      </w:r>
      <w:r>
        <w:rPr>
          <w:rFonts w:hint="eastAsia" w:cs="宋体" w:asciiTheme="minorEastAsia" w:hAnsiTheme="minorEastAsia" w:eastAsiaTheme="minorEastAsia"/>
          <w:spacing w:val="6"/>
        </w:rPr>
        <w:t>万元，属于</w:t>
      </w:r>
      <w:r>
        <w:rPr>
          <w:rFonts w:hint="eastAsia" w:cs="宋体" w:asciiTheme="minorEastAsia" w:hAnsiTheme="minorEastAsia" w:eastAsiaTheme="minorEastAsia"/>
          <w:spacing w:val="6"/>
          <w:u w:val="single"/>
        </w:rPr>
        <w:t>（中型企业、小型企业、微型企业）</w:t>
      </w:r>
      <w:r>
        <w:rPr>
          <w:rFonts w:hint="eastAsia" w:cs="宋体" w:asciiTheme="minorEastAsia" w:hAnsiTheme="minorEastAsia" w:eastAsiaTheme="minorEastAsia"/>
          <w:spacing w:val="6"/>
        </w:rPr>
        <w:t>；</w:t>
      </w:r>
    </w:p>
    <w:p>
      <w:pPr>
        <w:spacing w:line="588" w:lineRule="exact"/>
        <w:ind w:firstLine="504" w:firstLineChars="200"/>
        <w:rPr>
          <w:rFonts w:cs="宋体" w:asciiTheme="minorEastAsia" w:hAnsiTheme="minorEastAsia" w:eastAsiaTheme="minorEastAsia"/>
          <w:spacing w:val="6"/>
        </w:rPr>
      </w:pPr>
      <w:r>
        <w:rPr>
          <w:rFonts w:hint="eastAsia" w:cs="宋体" w:asciiTheme="minorEastAsia" w:hAnsiTheme="minorEastAsia" w:eastAsiaTheme="minorEastAsia"/>
          <w:spacing w:val="6"/>
        </w:rPr>
        <w:t>……</w:t>
      </w:r>
    </w:p>
    <w:p>
      <w:pPr>
        <w:spacing w:line="588" w:lineRule="exact"/>
        <w:ind w:firstLine="504" w:firstLineChars="200"/>
        <w:rPr>
          <w:rFonts w:cs="宋体" w:asciiTheme="minorEastAsia" w:hAnsiTheme="minorEastAsia" w:eastAsiaTheme="minorEastAsia"/>
          <w:spacing w:val="6"/>
        </w:rPr>
      </w:pPr>
      <w:r>
        <w:rPr>
          <w:rFonts w:hint="eastAsia" w:cs="宋体" w:asciiTheme="minorEastAsia" w:hAnsiTheme="minorEastAsia" w:eastAsiaTheme="minorEastAsia"/>
          <w:spacing w:val="6"/>
        </w:rPr>
        <w:t>以上企业，不属于大企业的分支机构，不存在控股股东为大企业的情形，也不存在与大企业的负责人为同一人的情形。</w:t>
      </w:r>
    </w:p>
    <w:p>
      <w:pPr>
        <w:spacing w:line="588" w:lineRule="exact"/>
        <w:ind w:firstLine="504" w:firstLineChars="200"/>
        <w:rPr>
          <w:rFonts w:cs="宋体" w:asciiTheme="minorEastAsia" w:hAnsiTheme="minorEastAsia" w:eastAsiaTheme="minorEastAsia"/>
          <w:spacing w:val="6"/>
        </w:rPr>
      </w:pPr>
      <w:r>
        <w:rPr>
          <w:rFonts w:hint="eastAsia" w:cs="宋体" w:asciiTheme="minorEastAsia" w:hAnsiTheme="minorEastAsia" w:eastAsiaTheme="minorEastAsia"/>
          <w:spacing w:val="6"/>
        </w:rPr>
        <w:t>本企业对上述声明内容的真实性负责。如有虚假，将依法承担相应责任。</w:t>
      </w:r>
    </w:p>
    <w:p>
      <w:pPr>
        <w:spacing w:line="588" w:lineRule="exact"/>
        <w:ind w:firstLine="504" w:firstLineChars="200"/>
        <w:jc w:val="right"/>
        <w:rPr>
          <w:rFonts w:cs="宋体" w:asciiTheme="minorEastAsia" w:hAnsiTheme="minorEastAsia" w:eastAsiaTheme="minorEastAsia"/>
          <w:spacing w:val="6"/>
        </w:rPr>
      </w:pPr>
      <w:r>
        <w:rPr>
          <w:rFonts w:hint="eastAsia" w:cs="宋体" w:asciiTheme="minorEastAsia" w:hAnsiTheme="minorEastAsia" w:eastAsiaTheme="minorEastAsia"/>
          <w:spacing w:val="6"/>
        </w:rPr>
        <w:t>企业名称（盖章）：</w:t>
      </w:r>
    </w:p>
    <w:p>
      <w:pPr>
        <w:spacing w:line="588" w:lineRule="exact"/>
        <w:ind w:firstLine="504" w:firstLineChars="200"/>
        <w:jc w:val="right"/>
        <w:rPr>
          <w:rFonts w:cs="宋体" w:asciiTheme="minorEastAsia" w:hAnsiTheme="minorEastAsia" w:eastAsiaTheme="minorEastAsia"/>
          <w:spacing w:val="6"/>
        </w:rPr>
      </w:pPr>
      <w:r>
        <w:rPr>
          <w:rFonts w:hint="eastAsia" w:cs="宋体" w:asciiTheme="minorEastAsia" w:hAnsiTheme="minorEastAsia" w:eastAsiaTheme="minorEastAsia"/>
          <w:spacing w:val="6"/>
        </w:rPr>
        <w:t>日期：</w:t>
      </w:r>
    </w:p>
    <w:p>
      <w:pPr>
        <w:pStyle w:val="19"/>
        <w:rPr>
          <w:rFonts w:cs="宋体" w:asciiTheme="minorEastAsia" w:hAnsiTheme="minorEastAsia" w:eastAsiaTheme="minorEastAsia"/>
          <w:spacing w:val="6"/>
          <w:sz w:val="24"/>
        </w:rPr>
      </w:pPr>
    </w:p>
    <w:p>
      <w:pPr>
        <w:rPr>
          <w:rFonts w:asciiTheme="minorEastAsia" w:hAnsiTheme="minorEastAsia" w:eastAsiaTheme="minorEastAsia"/>
        </w:rPr>
      </w:pPr>
      <w:r>
        <w:rPr>
          <w:rFonts w:asciiTheme="minorEastAsia" w:hAnsiTheme="minorEastAsia" w:eastAsiaTheme="minorEastAsia"/>
        </w:rPr>
        <w:drawing>
          <wp:anchor distT="0" distB="0" distL="0" distR="0" simplePos="0" relativeHeight="251664384"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9" cstate="print"/>
                    <a:srcRect/>
                    <a:stretch>
                      <a:fillRect/>
                    </a:stretch>
                  </pic:blipFill>
                  <pic:spPr>
                    <a:xfrm>
                      <a:off x="0" y="0"/>
                      <a:ext cx="1828800" cy="12700"/>
                    </a:xfrm>
                    <a:prstGeom prst="rect">
                      <a:avLst/>
                    </a:prstGeom>
                    <a:ln>
                      <a:noFill/>
                    </a:ln>
                  </pic:spPr>
                </pic:pic>
              </a:graphicData>
            </a:graphic>
          </wp:anchor>
        </w:drawing>
      </w:r>
      <w:r>
        <w:rPr>
          <w:rFonts w:asciiTheme="minorEastAsia" w:hAnsiTheme="minorEastAsia" w:eastAsiaTheme="minorEastAsia"/>
          <w:vertAlign w:val="superscript"/>
        </w:rPr>
        <w:t>1</w:t>
      </w:r>
      <w:r>
        <w:rPr>
          <w:rFonts w:asciiTheme="minorEastAsia" w:hAnsiTheme="minorEastAsia" w:eastAsiaTheme="minorEastAsia"/>
        </w:rPr>
        <w:t>从业人员、营业收入、资产总额填报上一年度数据，无上一年度数据的新成立企业可不填报。</w:t>
      </w:r>
    </w:p>
    <w:p>
      <w:pPr>
        <w:rPr>
          <w:rFonts w:asciiTheme="minorEastAsia" w:hAnsiTheme="minorEastAsia" w:eastAsiaTheme="minorEastAsia"/>
        </w:rPr>
        <w:sectPr>
          <w:footerReference r:id="rId13" w:type="default"/>
          <w:pgSz w:w="11906" w:h="16838"/>
          <w:pgMar w:top="1440" w:right="1803" w:bottom="1440" w:left="1803" w:header="851" w:footer="992" w:gutter="0"/>
          <w:cols w:space="720" w:num="1"/>
          <w:docGrid w:type="lines" w:linePitch="319" w:charSpace="0"/>
        </w:sectPr>
      </w:pPr>
    </w:p>
    <w:p>
      <w:pPr>
        <w:spacing w:line="588" w:lineRule="exact"/>
        <w:jc w:val="center"/>
        <w:rPr>
          <w:rFonts w:hint="eastAsia" w:cs="宋体" w:asciiTheme="minorEastAsia" w:hAnsiTheme="minorEastAsia" w:eastAsiaTheme="minorEastAsia"/>
          <w:b/>
          <w:spacing w:val="6"/>
        </w:rPr>
      </w:pPr>
      <w:r>
        <w:rPr>
          <w:rFonts w:hint="eastAsia" w:cs="宋体" w:asciiTheme="minorEastAsia" w:hAnsiTheme="minorEastAsia" w:eastAsiaTheme="minorEastAsia"/>
          <w:b/>
          <w:spacing w:val="6"/>
        </w:rPr>
        <w:t>中小企业声明函（服务）</w:t>
      </w:r>
    </w:p>
    <w:p>
      <w:pPr>
        <w:spacing w:line="588" w:lineRule="exact"/>
        <w:ind w:firstLine="504" w:firstLineChars="200"/>
        <w:rPr>
          <w:rFonts w:ascii="宋体" w:hAnsi="宋体" w:cs="宋体"/>
          <w:spacing w:val="6"/>
          <w:sz w:val="24"/>
        </w:rPr>
      </w:pPr>
      <w:r>
        <w:rPr>
          <w:rFonts w:hint="eastAsia" w:ascii="宋体" w:hAnsi="宋体" w:cs="宋体"/>
          <w:spacing w:val="6"/>
          <w:sz w:val="24"/>
        </w:rPr>
        <w:t>根据《政府采购促进中小企业发展管理办法》（财库﹝2020﹞46 号）的规定，由供应商自行声明并对真实性负责。如有虚假，将依法承担相应责任。</w:t>
      </w:r>
    </w:p>
    <w:p>
      <w:pPr>
        <w:widowControl/>
        <w:spacing w:line="480" w:lineRule="auto"/>
        <w:ind w:firstLine="480" w:firstLineChars="200"/>
        <w:jc w:val="left"/>
        <w:rPr>
          <w:rFonts w:hint="eastAsia" w:ascii="宋体" w:hAnsi="宋体" w:cs="宋体"/>
          <w:sz w:val="24"/>
          <w:szCs w:val="16"/>
        </w:rPr>
      </w:pPr>
      <w:bookmarkStart w:id="142" w:name="page10"/>
      <w:bookmarkEnd w:id="142"/>
      <w:r>
        <w:rPr>
          <w:rFonts w:hint="eastAsia" w:ascii="宋体" w:hAnsi="宋体" w:cs="宋体"/>
          <w:sz w:val="24"/>
          <w:szCs w:val="16"/>
        </w:rPr>
        <w:t>本公司（联合体）郑重声明，根据《政府采购促进中小企业发展管理办法》（财库﹝2020﹞46 号）的规定，本公司（联合体）参加</w:t>
      </w:r>
      <w:r>
        <w:rPr>
          <w:rFonts w:hint="eastAsia" w:ascii="宋体" w:hAnsi="宋体" w:cs="宋体"/>
          <w:sz w:val="24"/>
          <w:szCs w:val="16"/>
          <w:u w:val="single"/>
        </w:rPr>
        <w:t>（单位名称）</w:t>
      </w:r>
      <w:r>
        <w:rPr>
          <w:rFonts w:hint="eastAsia" w:ascii="宋体" w:hAnsi="宋体" w:cs="宋体"/>
          <w:sz w:val="24"/>
          <w:szCs w:val="16"/>
        </w:rPr>
        <w:t>的</w:t>
      </w:r>
      <w:r>
        <w:rPr>
          <w:rFonts w:hint="eastAsia" w:ascii="宋体" w:hAnsi="宋体" w:cs="宋体"/>
          <w:sz w:val="24"/>
          <w:szCs w:val="16"/>
          <w:u w:val="single"/>
        </w:rPr>
        <w:t>（项目名称</w:t>
      </w:r>
      <w:r>
        <w:rPr>
          <w:rFonts w:hint="eastAsia" w:ascii="宋体" w:hAnsi="宋体" w:cs="宋体"/>
          <w:sz w:val="24"/>
          <w:szCs w:val="16"/>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80" w:lineRule="auto"/>
        <w:ind w:firstLine="480" w:firstLineChars="200"/>
        <w:jc w:val="left"/>
        <w:rPr>
          <w:rFonts w:hint="eastAsia" w:ascii="宋体" w:hAnsi="宋体" w:cs="宋体"/>
          <w:sz w:val="24"/>
          <w:szCs w:val="16"/>
        </w:rPr>
      </w:pPr>
      <w:r>
        <w:rPr>
          <w:rFonts w:hint="eastAsia" w:ascii="宋体" w:hAnsi="宋体" w:cs="宋体"/>
          <w:sz w:val="24"/>
          <w:szCs w:val="16"/>
        </w:rPr>
        <w:t>1.</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80" w:lineRule="auto"/>
        <w:ind w:firstLine="480" w:firstLineChars="200"/>
        <w:jc w:val="left"/>
        <w:rPr>
          <w:rFonts w:hint="eastAsia" w:ascii="宋体" w:hAnsi="宋体" w:cs="宋体"/>
          <w:sz w:val="24"/>
          <w:szCs w:val="16"/>
        </w:rPr>
      </w:pPr>
      <w:r>
        <w:rPr>
          <w:rFonts w:hint="eastAsia" w:ascii="宋体" w:hAnsi="宋体" w:cs="宋体"/>
          <w:sz w:val="24"/>
          <w:szCs w:val="16"/>
        </w:rPr>
        <w:t>2.</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80" w:lineRule="auto"/>
        <w:ind w:firstLine="480" w:firstLineChars="200"/>
        <w:jc w:val="left"/>
        <w:rPr>
          <w:rFonts w:hint="eastAsia" w:ascii="宋体" w:hAnsi="宋体" w:cs="宋体"/>
          <w:sz w:val="24"/>
          <w:szCs w:val="16"/>
        </w:rPr>
      </w:pPr>
      <w:r>
        <w:rPr>
          <w:rFonts w:hint="eastAsia" w:ascii="宋体" w:hAnsi="宋体" w:cs="宋体"/>
          <w:sz w:val="24"/>
          <w:szCs w:val="16"/>
        </w:rPr>
        <w:t>……</w:t>
      </w:r>
    </w:p>
    <w:p>
      <w:pPr>
        <w:widowControl/>
        <w:spacing w:line="480" w:lineRule="auto"/>
        <w:ind w:firstLine="480" w:firstLineChars="200"/>
        <w:jc w:val="left"/>
        <w:rPr>
          <w:rFonts w:hint="eastAsia" w:ascii="宋体" w:hAnsi="宋体" w:cs="宋体"/>
          <w:sz w:val="24"/>
          <w:szCs w:val="16"/>
        </w:rPr>
      </w:pPr>
      <w:r>
        <w:rPr>
          <w:rFonts w:hint="eastAsia" w:ascii="宋体" w:hAnsi="宋体" w:cs="宋体"/>
          <w:sz w:val="24"/>
          <w:szCs w:val="16"/>
        </w:rPr>
        <w:t>以上企业，不属于大企业的分支机构，不存在控股股东为大企业的情形，也不存在与大企业的负责人为同一人的情形。</w:t>
      </w:r>
    </w:p>
    <w:p>
      <w:pPr>
        <w:widowControl/>
        <w:spacing w:line="480" w:lineRule="auto"/>
        <w:ind w:firstLine="480" w:firstLineChars="200"/>
        <w:jc w:val="left"/>
        <w:rPr>
          <w:rFonts w:hint="eastAsia" w:ascii="宋体" w:hAnsi="宋体" w:cs="宋体"/>
          <w:sz w:val="24"/>
          <w:szCs w:val="16"/>
        </w:rPr>
      </w:pPr>
      <w:r>
        <w:rPr>
          <w:rFonts w:hint="eastAsia" w:ascii="宋体" w:hAnsi="宋体" w:cs="宋体"/>
          <w:sz w:val="24"/>
          <w:szCs w:val="16"/>
        </w:rPr>
        <w:t>本企业对上述声明内容的真实性负责。如有虚假，将依法承担相应责任。</w:t>
      </w:r>
    </w:p>
    <w:p>
      <w:pPr>
        <w:widowControl/>
        <w:spacing w:line="480" w:lineRule="auto"/>
        <w:ind w:firstLine="480" w:firstLineChars="200"/>
        <w:jc w:val="center"/>
        <w:rPr>
          <w:rFonts w:hint="eastAsia" w:ascii="宋体" w:hAnsi="宋体" w:cs="宋体"/>
          <w:sz w:val="24"/>
          <w:szCs w:val="16"/>
        </w:rPr>
      </w:pPr>
      <w:r>
        <w:rPr>
          <w:rFonts w:hint="eastAsia" w:ascii="宋体" w:hAnsi="宋体" w:cs="宋体"/>
          <w:sz w:val="24"/>
          <w:szCs w:val="16"/>
        </w:rPr>
        <w:t xml:space="preserve">                         企业名称（盖章）：</w:t>
      </w:r>
    </w:p>
    <w:p>
      <w:pPr>
        <w:adjustRightInd w:val="0"/>
        <w:spacing w:line="480" w:lineRule="auto"/>
        <w:jc w:val="center"/>
        <w:textAlignment w:val="baseline"/>
        <w:rPr>
          <w:sz w:val="20"/>
          <w:szCs w:val="21"/>
        </w:rPr>
      </w:pPr>
      <w:r>
        <w:rPr>
          <w:rFonts w:hint="eastAsia" w:ascii="宋体" w:hAnsi="宋体" w:cs="宋体"/>
          <w:sz w:val="24"/>
          <w:szCs w:val="16"/>
        </w:rPr>
        <w:t xml:space="preserve">                                         日期：</w:t>
      </w:r>
    </w:p>
    <w:p>
      <w:pPr>
        <w:rPr>
          <w:rFonts w:eastAsia="Times New Roman"/>
          <w:sz w:val="23"/>
          <w:vertAlign w:val="superscript"/>
        </w:rPr>
      </w:pPr>
    </w:p>
    <w:p>
      <w:pPr>
        <w:rPr>
          <w:rFonts w:ascii="宋体" w:hAnsi="宋体"/>
          <w:sz w:val="18"/>
        </w:rPr>
      </w:pPr>
      <w:r>
        <w:rPr>
          <w:rFonts w:ascii="仿宋" w:hAnsi="仿宋" w:eastAsia="仿宋"/>
          <w:sz w:val="32"/>
        </w:rPr>
        <w:drawing>
          <wp:anchor distT="0" distB="0" distL="114300" distR="114300" simplePos="0" relativeHeight="251665408"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pPr>
        <w:pStyle w:val="9"/>
        <w:sectPr>
          <w:pgSz w:w="11906" w:h="16838"/>
          <w:pgMar w:top="1440" w:right="1803" w:bottom="1440" w:left="1803" w:header="851" w:footer="992" w:gutter="0"/>
          <w:cols w:space="720" w:num="1"/>
          <w:docGrid w:type="lines" w:linePitch="319" w:charSpace="0"/>
        </w:sectPr>
      </w:pPr>
    </w:p>
    <w:bookmarkEnd w:id="135"/>
    <w:bookmarkEnd w:id="136"/>
    <w:bookmarkEnd w:id="137"/>
    <w:bookmarkEnd w:id="138"/>
    <w:bookmarkEnd w:id="139"/>
    <w:bookmarkEnd w:id="140"/>
    <w:bookmarkEnd w:id="141"/>
    <w:p>
      <w:pPr>
        <w:shd w:val="clear" w:color="auto" w:fill="FFFFFF"/>
        <w:spacing w:before="450" w:after="300" w:line="540" w:lineRule="atLeast"/>
        <w:jc w:val="center"/>
        <w:textAlignment w:val="baseline"/>
        <w:rPr>
          <w:rFonts w:cs="微软雅黑" w:asciiTheme="minorEastAsia" w:hAnsiTheme="minorEastAsia" w:eastAsiaTheme="minorEastAsia"/>
          <w:color w:val="383940"/>
        </w:rPr>
      </w:pPr>
      <w:r>
        <w:rPr>
          <w:rFonts w:hint="eastAsia" w:cs="微软雅黑" w:asciiTheme="minorEastAsia" w:hAnsiTheme="minorEastAsia" w:eastAsiaTheme="minorEastAsia"/>
          <w:color w:val="383940"/>
          <w:shd w:val="clear" w:color="auto" w:fill="FFFFFF"/>
        </w:rPr>
        <w:t>关于印发中小企业划型标准规定的通知</w:t>
      </w:r>
    </w:p>
    <w:p>
      <w:pPr>
        <w:pStyle w:val="32"/>
        <w:shd w:val="clear" w:color="auto" w:fill="FFFFFF"/>
        <w:rPr>
          <w:rFonts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各省、自治区、直辖市人民政府，国务院各部委、各直属机构及有关单位：</w:t>
      </w:r>
    </w:p>
    <w:p>
      <w:pPr>
        <w:pStyle w:val="32"/>
        <w:shd w:val="clear" w:color="auto" w:fill="FFFFFF"/>
        <w:rPr>
          <w:rFonts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2"/>
        <w:shd w:val="clear" w:color="auto" w:fill="FFFFFF"/>
        <w:rPr>
          <w:rFonts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　　　　　　　　　　　　　　　　　　　　　工业和信息化部　国家统计局</w:t>
      </w:r>
    </w:p>
    <w:p>
      <w:pPr>
        <w:pStyle w:val="32"/>
        <w:shd w:val="clear" w:color="auto" w:fill="FFFFFF"/>
        <w:rPr>
          <w:rFonts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　　　　　　　　　　　　　　　　　　　　国家发展和改革委员会　财政部</w:t>
      </w:r>
    </w:p>
    <w:p>
      <w:pPr>
        <w:pStyle w:val="32"/>
        <w:shd w:val="clear" w:color="auto" w:fill="FFFFFF"/>
        <w:rPr>
          <w:rFonts w:asciiTheme="minorEastAsia" w:hAnsiTheme="minorEastAsia" w:eastAsiaTheme="minorEastAsia"/>
          <w:color w:val="000000"/>
        </w:rPr>
      </w:pPr>
      <w:r>
        <w:rPr>
          <w:rFonts w:hint="eastAsia" w:asciiTheme="minorEastAsia" w:hAnsiTheme="minorEastAsia" w:eastAsiaTheme="minorEastAsia"/>
          <w:color w:val="000000"/>
          <w:shd w:val="clear" w:color="auto" w:fill="FFFFFF"/>
        </w:rPr>
        <w:t>　　　　　　　　　　　　　　　　　　　　　　　　二○一一年六月十八日</w:t>
      </w:r>
    </w:p>
    <w:p>
      <w:pPr>
        <w:pStyle w:val="32"/>
        <w:shd w:val="clear" w:color="auto" w:fill="FFFFFF"/>
        <w:rPr>
          <w:rFonts w:asciiTheme="minorEastAsia" w:hAnsiTheme="minorEastAsia" w:eastAsiaTheme="minorEastAsia"/>
          <w:color w:val="000000"/>
        </w:rPr>
      </w:pPr>
      <w:r>
        <w:rPr>
          <w:rFonts w:hint="eastAsia" w:asciiTheme="minorEastAsia" w:hAnsiTheme="minorEastAsia" w:eastAsiaTheme="minorEastAsia"/>
          <w:color w:val="000000"/>
          <w:shd w:val="clear" w:color="auto" w:fill="FFFFFF"/>
        </w:rPr>
        <w:t> </w:t>
      </w:r>
    </w:p>
    <w:p>
      <w:pPr>
        <w:pStyle w:val="32"/>
        <w:shd w:val="clear" w:color="auto" w:fill="FFFFFF"/>
        <w:jc w:val="center"/>
        <w:rPr>
          <w:rStyle w:val="39"/>
          <w:rFonts w:asciiTheme="minorEastAsia" w:hAnsiTheme="minorEastAsia" w:eastAsiaTheme="minorEastAsia"/>
          <w:color w:val="000000"/>
          <w:shd w:val="clear" w:color="auto" w:fill="FFFFFF"/>
        </w:rPr>
      </w:pPr>
      <w:r>
        <w:rPr>
          <w:rStyle w:val="39"/>
          <w:rFonts w:hint="eastAsia" w:asciiTheme="minorEastAsia" w:hAnsiTheme="minorEastAsia" w:eastAsiaTheme="minorEastAsia"/>
          <w:color w:val="000000"/>
          <w:shd w:val="clear" w:color="auto" w:fill="FFFFFF"/>
        </w:rPr>
        <w:t>中小企业划型标准规定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一、根据《中华人民共和国中小企业促进法》和《国务院关于进一步促进中小企业发展的若干意见》(国发〔2009〕36号)，制定本规定。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二、中小企业划分为中型、小型、微型三种类型，具体标准根据企业从业人员、营业收入、资产总额等指标，结合行业特点制定。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四、各行业划型标准为：</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（十六）其他未列明行业。从业人员300人以下的为中小微型企业。其中，从业人员100人及以上的为中型企业；从业人员10人及以上的为小型企业；从业人员10人以下的为微型企业。</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五、企业类型的划分以统计部门的统计数据为依据。</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六、本规定适用于在中华人民共和国境内依法设立的各类所有制和各种组织形式的企业。个体工商户和本规定以外的行业，参照本规定进行划型。</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八、本规定由工业和信息化部、国家统计局会同有关部门根据《国民经济行业分类》修订情况和企业发展变化情况适时修订。</w:t>
      </w:r>
    </w:p>
    <w:p>
      <w:pPr>
        <w:rPr>
          <w:rFonts w:cs="宋体" w:asciiTheme="minorEastAsia" w:hAnsiTheme="minorEastAsia" w:eastAsiaTheme="minorEastAsia"/>
          <w:color w:val="000000"/>
          <w:shd w:val="clear" w:color="auto" w:fill="FFFFFF"/>
        </w:rPr>
      </w:pPr>
      <w:r>
        <w:rPr>
          <w:rFonts w:hint="eastAsia" w:cs="宋体" w:asciiTheme="minorEastAsia" w:hAnsiTheme="minorEastAsia" w:eastAsiaTheme="minorEastAsia"/>
          <w:color w:val="000000"/>
          <w:shd w:val="clear" w:color="auto" w:fill="FFFFFF"/>
        </w:rPr>
        <w:t>　　九、本规定由工业和信息化部、国家统计局会同有关部门负责解释。</w:t>
      </w:r>
    </w:p>
    <w:p>
      <w:pPr>
        <w:rPr>
          <w:rFonts w:asciiTheme="minorEastAsia" w:hAnsiTheme="minorEastAsia" w:eastAsiaTheme="minorEastAsia"/>
        </w:rPr>
        <w:sectPr>
          <w:footerReference r:id="rId14" w:type="default"/>
          <w:pgSz w:w="11906" w:h="16838"/>
          <w:pgMar w:top="1440" w:right="1803" w:bottom="1440" w:left="1803" w:header="851" w:footer="992" w:gutter="0"/>
          <w:cols w:space="720" w:num="1"/>
          <w:docGrid w:type="lines" w:linePitch="319" w:charSpace="0"/>
        </w:sectPr>
      </w:pPr>
      <w:r>
        <w:rPr>
          <w:rFonts w:hint="eastAsia" w:cs="宋体" w:asciiTheme="minorEastAsia" w:hAnsiTheme="minorEastAsia" w:eastAsiaTheme="minorEastAsia"/>
          <w:color w:val="000000"/>
          <w:shd w:val="clear" w:color="auto" w:fill="FFFFFF"/>
        </w:rPr>
        <w:t>　　十、本规定自发布之日起执行，原国家经贸委、原国家计委、财政部和国家统计局2003年颁布的《中小企业标准暂行规定》同时废止。</w:t>
      </w:r>
    </w:p>
    <w:p>
      <w:pPr>
        <w:adjustRightInd w:val="0"/>
        <w:spacing w:line="416" w:lineRule="atLeast"/>
        <w:jc w:val="center"/>
        <w:textAlignment w:val="baseline"/>
        <w:outlineLvl w:val="1"/>
        <w:rPr>
          <w:rFonts w:cs="宋体" w:asciiTheme="minorEastAsia" w:hAnsiTheme="minorEastAsia" w:eastAsiaTheme="minorEastAsia"/>
        </w:rPr>
      </w:pPr>
      <w:bookmarkStart w:id="143" w:name="_Toc135129547"/>
      <w:r>
        <w:rPr>
          <w:rFonts w:hint="eastAsia" w:cs="宋体" w:asciiTheme="minorEastAsia" w:hAnsiTheme="minorEastAsia" w:eastAsiaTheme="minorEastAsia"/>
        </w:rPr>
        <w:t>附件二、残疾人福利性单位声明</w:t>
      </w:r>
      <w:bookmarkEnd w:id="132"/>
      <w:bookmarkEnd w:id="133"/>
      <w:bookmarkEnd w:id="134"/>
      <w:bookmarkEnd w:id="143"/>
    </w:p>
    <w:p>
      <w:pPr>
        <w:spacing w:line="588" w:lineRule="exact"/>
        <w:ind w:firstLine="504" w:firstLineChars="200"/>
        <w:rPr>
          <w:rFonts w:cs="宋体" w:asciiTheme="minorEastAsia" w:hAnsiTheme="minorEastAsia" w:eastAsiaTheme="minorEastAsia"/>
          <w:spacing w:val="6"/>
        </w:rPr>
      </w:pPr>
      <w:r>
        <w:rPr>
          <w:rFonts w:hint="eastAsia" w:cs="宋体" w:asciiTheme="minorEastAsia" w:hAnsiTheme="minorEastAsia" w:eastAsiaTheme="minorEastAsia"/>
          <w:spacing w:val="6"/>
        </w:rPr>
        <w:t>根据《三部门联合发布关于促进残疾人就业政府采购政策的通知》（财库〔2017〕141号）的规定，由供应商自行申明，并对申明真实性负责。如有虚假，将依法承担相应责任。</w:t>
      </w:r>
    </w:p>
    <w:p>
      <w:pPr>
        <w:rPr>
          <w:rFonts w:cs="宋体" w:asciiTheme="minorEastAsia" w:hAnsiTheme="minorEastAsia" w:eastAsiaTheme="minorEastAsia"/>
        </w:rPr>
      </w:pPr>
    </w:p>
    <w:p>
      <w:pPr>
        <w:adjustRightInd w:val="0"/>
        <w:spacing w:line="416" w:lineRule="atLeast"/>
        <w:jc w:val="center"/>
        <w:textAlignment w:val="baseline"/>
        <w:outlineLvl w:val="1"/>
        <w:rPr>
          <w:rFonts w:cs="宋体" w:asciiTheme="minorEastAsia" w:hAnsiTheme="minorEastAsia" w:eastAsiaTheme="minorEastAsia"/>
        </w:rPr>
      </w:pPr>
      <w:bookmarkStart w:id="144" w:name="_Toc13817"/>
      <w:bookmarkStart w:id="145" w:name="_Toc2723"/>
      <w:bookmarkStart w:id="146" w:name="_Toc135129548"/>
      <w:bookmarkStart w:id="147" w:name="_Toc13075"/>
      <w:bookmarkStart w:id="148" w:name="_Toc27385"/>
      <w:bookmarkStart w:id="149" w:name="_Toc3053"/>
      <w:bookmarkStart w:id="150" w:name="_Toc26193"/>
      <w:r>
        <w:rPr>
          <w:rFonts w:hint="eastAsia" w:cs="宋体" w:asciiTheme="minorEastAsia" w:hAnsiTheme="minorEastAsia" w:eastAsiaTheme="minorEastAsia"/>
        </w:rPr>
        <w:t>附件三、监狱企业证明文件</w:t>
      </w:r>
      <w:bookmarkEnd w:id="144"/>
      <w:bookmarkEnd w:id="145"/>
      <w:bookmarkEnd w:id="146"/>
      <w:bookmarkEnd w:id="147"/>
      <w:bookmarkEnd w:id="148"/>
      <w:bookmarkEnd w:id="149"/>
      <w:bookmarkEnd w:id="150"/>
    </w:p>
    <w:p>
      <w:pPr>
        <w:rPr>
          <w:rFonts w:cs="宋体" w:asciiTheme="minorEastAsia" w:hAnsiTheme="minorEastAsia" w:eastAsiaTheme="minorEastAsia"/>
        </w:rPr>
      </w:pPr>
    </w:p>
    <w:p>
      <w:pPr>
        <w:snapToGrid w:val="0"/>
        <w:spacing w:line="360" w:lineRule="auto"/>
        <w:ind w:firstLine="504" w:firstLineChars="200"/>
        <w:rPr>
          <w:rFonts w:cs="宋体" w:asciiTheme="minorEastAsia" w:hAnsiTheme="minorEastAsia" w:eastAsiaTheme="minorEastAsia"/>
          <w:b/>
          <w:bCs/>
          <w:spacing w:val="48"/>
        </w:rPr>
      </w:pPr>
      <w:r>
        <w:rPr>
          <w:rFonts w:hint="eastAsia" w:cs="宋体" w:asciiTheme="minorEastAsia" w:hAnsiTheme="minorEastAsia" w:eastAsiaTheme="minorEastAsia"/>
          <w:spacing w:val="6"/>
        </w:rPr>
        <w:t>说明：根据</w:t>
      </w:r>
      <w:r>
        <w:rPr>
          <w:rFonts w:hint="eastAsia" w:cs="宋体" w:asciiTheme="minorEastAsia" w:hAnsiTheme="minorEastAsia" w:eastAsiaTheme="minorEastAsia"/>
        </w:rPr>
        <w:t>《关于政府采购支持监狱企业发展有关问题的通知》（财库〔2014〕68号）的规定，监狱企业参加政府采购活动时，应当提供由省级以上监狱管理局、戒毒管理局（含新疆生产建设兵团）出具的属于监狱企业的证明文件。</w:t>
      </w:r>
    </w:p>
    <w:p>
      <w:pPr>
        <w:rPr>
          <w:rFonts w:cs="宋体" w:asciiTheme="minorEastAsia" w:hAnsiTheme="minorEastAsia" w:eastAsiaTheme="minorEastAsia"/>
        </w:rPr>
      </w:pPr>
      <w:bookmarkStart w:id="151" w:name="_Toc13539"/>
      <w:bookmarkStart w:id="152" w:name="_Toc11969"/>
      <w:bookmarkStart w:id="153" w:name="_Toc3267"/>
      <w:bookmarkStart w:id="154" w:name="_Toc13303"/>
      <w:bookmarkStart w:id="155" w:name="_Toc19198"/>
      <w:bookmarkStart w:id="156" w:name="_Toc13122"/>
      <w:bookmarkStart w:id="157" w:name="_Toc563"/>
      <w:bookmarkStart w:id="158" w:name="_Toc2126"/>
    </w:p>
    <w:p>
      <w:pPr>
        <w:jc w:val="center"/>
        <w:rPr>
          <w:rFonts w:cs="宋体" w:asciiTheme="minorEastAsia" w:hAnsiTheme="minorEastAsia" w:eastAsiaTheme="minorEastAsia"/>
        </w:rPr>
      </w:pPr>
      <w:r>
        <w:rPr>
          <w:rFonts w:hint="eastAsia" w:cs="宋体" w:asciiTheme="minorEastAsia" w:hAnsiTheme="minorEastAsia" w:eastAsiaTheme="minorEastAsia"/>
        </w:rPr>
        <w:t>附件四、“节能产品”，“环境标志产品”证明材料</w:t>
      </w:r>
      <w:bookmarkEnd w:id="151"/>
      <w:bookmarkEnd w:id="152"/>
      <w:bookmarkEnd w:id="153"/>
      <w:bookmarkEnd w:id="154"/>
      <w:bookmarkEnd w:id="155"/>
      <w:bookmarkEnd w:id="156"/>
      <w:bookmarkEnd w:id="157"/>
      <w:bookmarkEnd w:id="158"/>
    </w:p>
    <w:p>
      <w:pPr>
        <w:rPr>
          <w:rFonts w:cs="宋体" w:asciiTheme="minorEastAsia" w:hAnsiTheme="minorEastAsia" w:eastAsiaTheme="minorEastAsia"/>
        </w:rPr>
      </w:pPr>
    </w:p>
    <w:p>
      <w:pPr>
        <w:rPr>
          <w:rFonts w:cs="宋体" w:asciiTheme="minorEastAsia" w:hAnsiTheme="minorEastAsia" w:eastAsiaTheme="minorEastAsia"/>
        </w:rPr>
      </w:pPr>
      <w:r>
        <w:rPr>
          <w:rFonts w:hint="eastAsia" w:cs="宋体" w:asciiTheme="minorEastAsia" w:hAnsiTheme="minorEastAsia" w:eastAsiaTheme="minorEastAsia"/>
        </w:rPr>
        <w:t>1、供应商提供的产品属于“节能产品”，“环境标志产品”，应提供产品列入“节能产品”，“环境标志产品”相应产品的国家确定的认证机构出具的、处于有效期内的节能产品、环境标志产品认证证书。</w:t>
      </w:r>
    </w:p>
    <w:p>
      <w:pPr>
        <w:rPr>
          <w:rFonts w:cs="宋体" w:asciiTheme="minorEastAsia" w:hAnsiTheme="minorEastAsia" w:eastAsiaTheme="minorEastAsia"/>
        </w:rPr>
      </w:pPr>
      <w:r>
        <w:rPr>
          <w:rFonts w:hint="eastAsia" w:cs="宋体" w:asciiTheme="minorEastAsia" w:hAnsiTheme="minorEastAsia" w:eastAsiaTheme="minorEastAsia"/>
        </w:rPr>
        <w:t>2、未按照上述要求提供的，评审时不予以考虑。</w:t>
      </w:r>
    </w:p>
    <w:p>
      <w:pPr>
        <w:spacing w:line="360" w:lineRule="auto"/>
        <w:ind w:left="480" w:leftChars="200"/>
        <w:rPr>
          <w:rFonts w:cs="宋体" w:asciiTheme="minorEastAsia" w:hAnsiTheme="minorEastAsia" w:eastAsiaTheme="minorEastAsia"/>
        </w:rPr>
      </w:pPr>
    </w:p>
    <w:p>
      <w:pPr>
        <w:spacing w:line="360" w:lineRule="auto"/>
        <w:ind w:left="480" w:leftChars="200"/>
        <w:rPr>
          <w:rFonts w:cs="宋体" w:asciiTheme="minorEastAsia" w:hAnsiTheme="minorEastAsia" w:eastAsiaTheme="minorEastAsia"/>
        </w:rPr>
      </w:pPr>
    </w:p>
    <w:p>
      <w:pPr>
        <w:snapToGrid w:val="0"/>
        <w:spacing w:line="360" w:lineRule="auto"/>
        <w:ind w:firstLine="480" w:firstLineChars="200"/>
        <w:rPr>
          <w:rFonts w:cs="宋体" w:asciiTheme="minorEastAsia" w:hAnsiTheme="minorEastAsia" w:eastAsiaTheme="minorEastAsia"/>
        </w:rPr>
      </w:pPr>
    </w:p>
    <w:p>
      <w:pPr>
        <w:rPr>
          <w:rFonts w:cs="宋体" w:asciiTheme="minorEastAsia" w:hAnsiTheme="minorEastAsia" w:eastAsiaTheme="minorEastAsia"/>
        </w:rPr>
      </w:pPr>
      <w:bookmarkStart w:id="159" w:name="_Toc364"/>
      <w:bookmarkStart w:id="160" w:name="_Toc654"/>
      <w:bookmarkStart w:id="161" w:name="_Toc11924"/>
      <w:bookmarkStart w:id="162" w:name="_Toc4757"/>
      <w:bookmarkStart w:id="163" w:name="_Toc3159"/>
      <w:bookmarkStart w:id="164" w:name="_Toc5338"/>
      <w:r>
        <w:rPr>
          <w:rFonts w:hint="eastAsia" w:cs="宋体" w:asciiTheme="minorEastAsia" w:hAnsiTheme="minorEastAsia" w:eastAsiaTheme="minorEastAsia"/>
        </w:rPr>
        <w:br w:type="page"/>
      </w:r>
    </w:p>
    <w:bookmarkEnd w:id="159"/>
    <w:p>
      <w:pPr>
        <w:adjustRightInd w:val="0"/>
        <w:spacing w:line="416" w:lineRule="atLeast"/>
        <w:textAlignment w:val="baseline"/>
        <w:rPr>
          <w:rFonts w:cs="宋体" w:asciiTheme="minorEastAsia" w:hAnsiTheme="minorEastAsia" w:eastAsiaTheme="minorEastAsia"/>
        </w:rPr>
      </w:pPr>
      <w:r>
        <w:rPr>
          <w:rFonts w:hint="eastAsia" w:cs="宋体" w:asciiTheme="minorEastAsia" w:hAnsiTheme="minorEastAsia" w:eastAsiaTheme="minorEastAsia"/>
        </w:rPr>
        <w:t>附件五、质疑函样本</w:t>
      </w:r>
    </w:p>
    <w:p>
      <w:pPr>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一、质疑供应商基本信息</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质疑供应商：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地址：                          邮编：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联系人：                      联系电话：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授权代表：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联系电话：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地址：                         邮编：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二、质疑项目基本情况</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质疑项目的名称：              </w:t>
      </w:r>
      <w:r>
        <w:rPr>
          <w:rFonts w:hint="eastAsia" w:cs="宋体" w:asciiTheme="minorEastAsia" w:hAnsiTheme="minorEastAsia" w:eastAsiaTheme="minorEastAsia"/>
        </w:rPr>
        <w:t xml:space="preserve"> 包号：  </w:t>
      </w:r>
      <w:r>
        <w:rPr>
          <w:rFonts w:hint="eastAsia" w:cs="宋体" w:asciiTheme="minorEastAsia" w:hAnsiTheme="minorEastAsia" w:eastAsiaTheme="minorEastAsia"/>
          <w:bCs/>
        </w:rPr>
        <w:t xml:space="preserve">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质疑项目的编号：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采购人名称：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采购文件获取日期：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三、质疑事项具体内容</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质疑事项1：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事实依据：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法律依据：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质疑事项2</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四、与质疑事项相关的质疑请求</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请求：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签字(签章)：                   公章：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 xml:space="preserve">日期：    </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质疑函制作说明：</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1.供应商提出质疑时，应提交质疑函和必要的证明材料。</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3.质疑供应商若对项目的某一分包进行质疑，质疑函中应列明具体分。</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4.质疑函的质疑事项应具体、明确，并有必要的事实依据和法律依据。</w:t>
      </w:r>
    </w:p>
    <w:p>
      <w:pPr>
        <w:keepNext/>
        <w:keepLines/>
        <w:adjustRightInd w:val="0"/>
        <w:spacing w:line="416" w:lineRule="atLeast"/>
        <w:textAlignment w:val="baseline"/>
        <w:rPr>
          <w:rFonts w:cs="宋体" w:asciiTheme="minorEastAsia" w:hAnsiTheme="minorEastAsia" w:eastAsiaTheme="minorEastAsia"/>
          <w:bCs/>
        </w:rPr>
      </w:pPr>
      <w:r>
        <w:rPr>
          <w:rFonts w:hint="eastAsia" w:cs="宋体" w:asciiTheme="minorEastAsia" w:hAnsiTheme="minorEastAsia" w:eastAsiaTheme="minorEastAsia"/>
          <w:bCs/>
        </w:rPr>
        <w:t>5.质疑函的质疑请求应与质疑事项相关。</w:t>
      </w:r>
    </w:p>
    <w:p>
      <w:pPr>
        <w:rPr>
          <w:rFonts w:cs="宋体" w:asciiTheme="minorEastAsia" w:hAnsiTheme="minorEastAsia" w:eastAsiaTheme="minorEastAsia"/>
        </w:rPr>
      </w:pPr>
      <w:r>
        <w:rPr>
          <w:rFonts w:hint="eastAsia" w:cs="宋体" w:asciiTheme="minorEastAsia" w:hAnsiTheme="minorEastAsia" w:eastAsiaTheme="minorEastAsia"/>
          <w:bCs/>
        </w:rPr>
        <w:t>6.质疑供应商为自然人的，质疑函应由本人签字；质疑供应商为法人或者其他组织的，质疑函应由法定代表人、主要负责人，或者其授权代表签字或者盖章，并加盖公章。</w:t>
      </w:r>
      <w:bookmarkEnd w:id="160"/>
      <w:bookmarkEnd w:id="161"/>
      <w:bookmarkEnd w:id="162"/>
      <w:bookmarkEnd w:id="163"/>
      <w:bookmarkEnd w:id="164"/>
      <w:r>
        <w:rPr>
          <w:rFonts w:hint="eastAsia" w:cs="宋体" w:asciiTheme="minorEastAsia" w:hAnsiTheme="minorEastAsia" w:eastAsiaTheme="minorEastAsia"/>
          <w:b/>
          <w:bCs/>
          <w:spacing w:val="48"/>
        </w:rPr>
        <w:br w:type="page"/>
      </w:r>
    </w:p>
    <w:p>
      <w:pPr>
        <w:ind w:firstLine="336" w:firstLineChars="100"/>
        <w:rPr>
          <w:rFonts w:cs="宋体" w:asciiTheme="minorEastAsia" w:hAnsiTheme="minorEastAsia" w:eastAsiaTheme="minorEastAsia"/>
          <w:b/>
          <w:spacing w:val="48"/>
        </w:rPr>
      </w:pPr>
      <w:r>
        <w:rPr>
          <w:rFonts w:hint="eastAsia" w:cs="宋体" w:asciiTheme="minorEastAsia" w:hAnsiTheme="minorEastAsia" w:eastAsiaTheme="minorEastAsia"/>
          <w:b/>
          <w:spacing w:val="48"/>
        </w:rPr>
        <w:t xml:space="preserve"> </w:t>
      </w:r>
    </w:p>
    <w:p>
      <w:pPr>
        <w:ind w:firstLine="816" w:firstLineChars="100"/>
        <w:rPr>
          <w:rFonts w:cs="宋体" w:asciiTheme="minorEastAsia" w:hAnsiTheme="minorEastAsia" w:eastAsiaTheme="minorEastAsia"/>
          <w:b/>
          <w:spacing w:val="48"/>
          <w:sz w:val="72"/>
          <w:szCs w:val="72"/>
        </w:rPr>
      </w:pPr>
      <w:r>
        <w:rPr>
          <w:rFonts w:hint="eastAsia" w:cs="宋体" w:asciiTheme="minorEastAsia" w:hAnsiTheme="minorEastAsia" w:eastAsiaTheme="minorEastAsia"/>
          <w:b/>
          <w:spacing w:val="48"/>
          <w:sz w:val="72"/>
          <w:szCs w:val="72"/>
        </w:rPr>
        <w:t>公平       公正</w:t>
      </w:r>
    </w:p>
    <w:p>
      <w:pPr>
        <w:rPr>
          <w:rFonts w:cs="宋体" w:asciiTheme="minorEastAsia" w:hAnsiTheme="minorEastAsia" w:eastAsiaTheme="minorEastAsia"/>
          <w:b/>
          <w:spacing w:val="48"/>
          <w:sz w:val="72"/>
          <w:szCs w:val="72"/>
        </w:rPr>
      </w:pPr>
    </w:p>
    <w:p>
      <w:pPr>
        <w:rPr>
          <w:rFonts w:cs="宋体" w:asciiTheme="minorEastAsia" w:hAnsiTheme="minorEastAsia" w:eastAsiaTheme="minorEastAsia"/>
          <w:spacing w:val="48"/>
          <w:sz w:val="72"/>
          <w:szCs w:val="72"/>
        </w:rPr>
      </w:pPr>
    </w:p>
    <w:p>
      <w:pPr>
        <w:rPr>
          <w:rFonts w:cs="宋体" w:asciiTheme="minorEastAsia" w:hAnsiTheme="minorEastAsia" w:eastAsiaTheme="minorEastAsia"/>
          <w:sz w:val="72"/>
          <w:szCs w:val="72"/>
        </w:rPr>
      </w:pPr>
    </w:p>
    <w:p>
      <w:pPr>
        <w:ind w:firstLine="816" w:firstLineChars="100"/>
        <w:rPr>
          <w:rFonts w:cs="宋体" w:asciiTheme="minorEastAsia" w:hAnsiTheme="minorEastAsia" w:eastAsiaTheme="minorEastAsia"/>
          <w:b/>
          <w:spacing w:val="48"/>
          <w:sz w:val="72"/>
          <w:szCs w:val="72"/>
        </w:rPr>
      </w:pPr>
      <w:bookmarkStart w:id="165" w:name="_Toc9946"/>
      <w:r>
        <w:rPr>
          <w:rFonts w:hint="eastAsia" w:cs="宋体" w:asciiTheme="minorEastAsia" w:hAnsiTheme="minorEastAsia" w:eastAsiaTheme="minorEastAsia"/>
          <w:b/>
          <w:spacing w:val="48"/>
          <w:sz w:val="72"/>
          <w:szCs w:val="72"/>
        </w:rPr>
        <w:t>专业       高效</w:t>
      </w:r>
      <w:bookmarkEnd w:id="165"/>
    </w:p>
    <w:p>
      <w:pPr>
        <w:rPr>
          <w:rFonts w:cs="宋体" w:asciiTheme="minorEastAsia" w:hAnsiTheme="minorEastAsia" w:eastAsiaTheme="minorEastAsia"/>
          <w:spacing w:val="48"/>
        </w:rPr>
      </w:pPr>
    </w:p>
    <w:p>
      <w:pPr>
        <w:rPr>
          <w:rFonts w:cs="宋体" w:asciiTheme="minorEastAsia" w:hAnsiTheme="minorEastAsia" w:eastAsiaTheme="minorEastAsia"/>
          <w:b/>
          <w:spacing w:val="48"/>
        </w:rPr>
      </w:pPr>
    </w:p>
    <w:p>
      <w:pPr>
        <w:rPr>
          <w:rFonts w:cs="宋体" w:asciiTheme="minorEastAsia" w:hAnsiTheme="minorEastAsia" w:eastAsiaTheme="minorEastAsia"/>
          <w:spacing w:val="48"/>
        </w:rPr>
      </w:pPr>
    </w:p>
    <w:p>
      <w:pPr>
        <w:rPr>
          <w:rFonts w:cs="宋体" w:asciiTheme="minorEastAsia" w:hAnsiTheme="minorEastAsia" w:eastAsiaTheme="minorEastAsia"/>
        </w:rPr>
      </w:pPr>
    </w:p>
    <w:p>
      <w:pPr>
        <w:rPr>
          <w:rFonts w:cs="宋体" w:asciiTheme="minorEastAsia" w:hAnsiTheme="minorEastAsia" w:eastAsiaTheme="minorEastAsia"/>
          <w:b/>
        </w:rPr>
      </w:pPr>
    </w:p>
    <w:p>
      <w:pPr>
        <w:rPr>
          <w:rFonts w:cs="宋体" w:asciiTheme="minorEastAsia" w:hAnsiTheme="minorEastAsia" w:eastAsiaTheme="minorEastAsia"/>
          <w:b/>
        </w:rPr>
      </w:pPr>
      <w:bookmarkStart w:id="166" w:name="_Toc32384"/>
      <w:r>
        <w:rPr>
          <w:rFonts w:hint="eastAsia" w:cs="宋体" w:asciiTheme="minorEastAsia" w:hAnsiTheme="minorEastAsia" w:eastAsiaTheme="minorEastAsia"/>
          <w:b/>
        </w:rPr>
        <w:t>企业名称：陕西卓佲项目管理有限公司</w:t>
      </w:r>
      <w:bookmarkEnd w:id="166"/>
    </w:p>
    <w:p>
      <w:pPr>
        <w:rPr>
          <w:rFonts w:cs="宋体" w:asciiTheme="minorEastAsia" w:hAnsiTheme="minorEastAsia" w:eastAsiaTheme="minorEastAsia"/>
          <w:b/>
        </w:rPr>
      </w:pPr>
      <w:bookmarkStart w:id="167" w:name="_Toc25918"/>
      <w:r>
        <w:rPr>
          <w:rFonts w:hint="eastAsia" w:cs="宋体" w:asciiTheme="minorEastAsia" w:hAnsiTheme="minorEastAsia" w:eastAsiaTheme="minorEastAsia"/>
          <w:b/>
        </w:rPr>
        <w:t>地址：西安市雁塔区科技路十号华奥大厦A座20层2002室</w:t>
      </w:r>
      <w:bookmarkEnd w:id="167"/>
    </w:p>
    <w:p>
      <w:pPr>
        <w:rPr>
          <w:rFonts w:cs="宋体" w:asciiTheme="minorEastAsia" w:hAnsiTheme="minorEastAsia" w:eastAsiaTheme="minorEastAsia"/>
          <w:b/>
        </w:rPr>
      </w:pPr>
      <w:bookmarkStart w:id="168" w:name="_Toc26276"/>
      <w:r>
        <w:rPr>
          <w:rFonts w:hint="eastAsia" w:cs="宋体" w:asciiTheme="minorEastAsia" w:hAnsiTheme="minorEastAsia" w:eastAsiaTheme="minorEastAsia"/>
          <w:b/>
        </w:rPr>
        <w:t>邮政编码：710065</w:t>
      </w:r>
      <w:bookmarkEnd w:id="168"/>
    </w:p>
    <w:p>
      <w:pPr>
        <w:rPr>
          <w:rFonts w:cs="宋体" w:asciiTheme="minorEastAsia" w:hAnsiTheme="minorEastAsia" w:eastAsiaTheme="minorEastAsia"/>
          <w:b/>
        </w:rPr>
      </w:pPr>
      <w:bookmarkStart w:id="169" w:name="_Toc1409"/>
      <w:r>
        <w:rPr>
          <w:rFonts w:hint="eastAsia" w:cs="宋体" w:asciiTheme="minorEastAsia" w:hAnsiTheme="minorEastAsia" w:eastAsiaTheme="minorEastAsia"/>
          <w:b/>
        </w:rPr>
        <w:t>电话：029-88440695</w:t>
      </w:r>
      <w:bookmarkEnd w:id="169"/>
    </w:p>
    <w:p>
      <w:pPr>
        <w:rPr>
          <w:rFonts w:cs="宋体" w:asciiTheme="minorEastAsia" w:hAnsiTheme="minorEastAsia" w:eastAsiaTheme="minorEastAsia"/>
        </w:rPr>
      </w:pPr>
      <w:bookmarkStart w:id="170" w:name="_Toc13292"/>
      <w:r>
        <w:rPr>
          <w:rFonts w:hint="eastAsia" w:cs="宋体" w:asciiTheme="minorEastAsia" w:hAnsiTheme="minorEastAsia" w:eastAsiaTheme="minorEastAsia"/>
          <w:b/>
        </w:rPr>
        <w:t>传真：029-88440695</w:t>
      </w:r>
      <w:bookmarkEnd w:id="170"/>
    </w:p>
    <w:sectPr>
      <w:headerReference r:id="rId15" w:type="default"/>
      <w:footerReference r:id="rId17" w:type="default"/>
      <w:headerReference r:id="rId16" w:type="even"/>
      <w:pgSz w:w="11906" w:h="16838"/>
      <w:pgMar w:top="1440" w:right="1800" w:bottom="1440" w:left="180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宋体" w:cs="宋体"/>
      </w:rPr>
    </w:pP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宋体" w:cs="宋体"/>
      </w:rPr>
    </w:pPr>
    <w:r>
      <mc:AlternateContent>
        <mc:Choice Requires="wps">
          <w:drawing>
            <wp:anchor distT="0" distB="0" distL="0" distR="0" simplePos="0" relativeHeight="251659264" behindDoc="0" locked="0" layoutInCell="1" allowOverlap="1">
              <wp:simplePos x="0" y="0"/>
              <wp:positionH relativeFrom="margin">
                <wp:posOffset>2432050</wp:posOffset>
              </wp:positionH>
              <wp:positionV relativeFrom="paragraph">
                <wp:posOffset>1905</wp:posOffset>
              </wp:positionV>
              <wp:extent cx="570865"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570585" cy="1828800"/>
                      </a:xfrm>
                      <a:prstGeom prst="rect">
                        <a:avLst/>
                      </a:prstGeom>
                      <a:ln>
                        <a:noFill/>
                      </a:ln>
                    </wps:spPr>
                    <wps:txbx>
                      <w:txbxContent>
                        <w:p>
                          <w:pPr>
                            <w:pStyle w:val="2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vert="horz" wrap="square" lIns="0" tIns="0" rIns="0" bIns="0" anchor="t">
                      <a:spAutoFit/>
                    </wps:bodyPr>
                  </wps:wsp>
                </a:graphicData>
              </a:graphic>
            </wp:anchor>
          </w:drawing>
        </mc:Choice>
        <mc:Fallback>
          <w:pict>
            <v:rect id="文本框 4" o:spid="_x0000_s1026" o:spt="1" style="position:absolute;left:0pt;margin-left:191.5pt;margin-top:0.15pt;height:144pt;width:44.95pt;mso-position-horizontal-relative:margin;z-index:251659264;mso-width-relative:page;mso-height-relative:page;" filled="f" stroked="f" coordsize="21600,21600" o:gfxdata="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tuRhtgAAAAIAQAADwAAAAAAAAABACAAAAAi&#10;AAAAZHJzL2Rvd25yZXYueG1sUEsBAhQAFAAAAAgAh07iQPuPdcnRAQAAkwMAAA4AAAAAAAAAAQAg&#10;AAAAJwEAAGRycy9lMm9Eb2MueG1sUEsFBgAAAAAGAAYAWQEAAGoFA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4</w:t>
                    </w:r>
                    <w:r>
                      <w:fldChar w:fldCharType="end"/>
                    </w:r>
                    <w:r>
                      <w:t xml:space="preserve"> 页</w:t>
                    </w:r>
                  </w:p>
                </w:txbxContent>
              </v:textbox>
            </v:rect>
          </w:pict>
        </mc:Fallback>
      </mc:AlternateContent>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5403"/>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posOffset>2432050</wp:posOffset>
              </wp:positionH>
              <wp:positionV relativeFrom="paragraph">
                <wp:posOffset>1905</wp:posOffset>
              </wp:positionV>
              <wp:extent cx="534035" cy="197485"/>
              <wp:effectExtent l="0" t="0" r="0" b="0"/>
              <wp:wrapNone/>
              <wp:docPr id="4098" name="文本框 5"/>
              <wp:cNvGraphicFramePr/>
              <a:graphic xmlns:a="http://schemas.openxmlformats.org/drawingml/2006/main">
                <a:graphicData uri="http://schemas.microsoft.com/office/word/2010/wordprocessingShape">
                  <wps:wsp>
                    <wps:cNvSpPr/>
                    <wps:spPr>
                      <a:xfrm>
                        <a:off x="0" y="0"/>
                        <a:ext cx="534009" cy="197510"/>
                      </a:xfrm>
                      <a:prstGeom prst="rect">
                        <a:avLst/>
                      </a:prstGeom>
                      <a:ln>
                        <a:noFill/>
                      </a:ln>
                    </wps:spPr>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square" lIns="0" tIns="0" rIns="0" bIns="0" anchor="t">
                      <a:noAutofit/>
                    </wps:bodyPr>
                  </wps:wsp>
                </a:graphicData>
              </a:graphic>
            </wp:anchor>
          </w:drawing>
        </mc:Choice>
        <mc:Fallback>
          <w:pict>
            <v:rect id="文本框 5" o:spid="_x0000_s1026" o:spt="1" style="position:absolute;left:0pt;margin-left:191.5pt;margin-top:0.15pt;height:15.55pt;width:42.05pt;mso-position-horizontal-relative:margin;z-index:251660288;mso-width-relative:page;mso-height-relative:page;" filled="f" stroked="f" coordsize="21600,21600" o:gfxdata="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c0yptgAAAAHAQAADwAAAAAAAAABACAAAAAi&#10;AAAAZHJzL2Rvd25yZXYueG1sUEsBAhQAFAAAAAgAh07iQN2pb4nRAQAAkgMAAA4AAAAAAAAAAQAg&#10;AAAAJwEAAGRycy9lMm9Eb2MueG1sUEsFBgAAAAAGAAYAWQEAAGoFAAAAAA==&#10;">
              <v:fill on="f" focussize="0,0"/>
              <v:stroke on="f"/>
              <v:imagedata o:title=""/>
              <o:lock v:ext="edit" aspectratio="f"/>
              <v:textbox inset="0mm,0mm,0mm,0mm">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rPr>
        <w:rFonts w:ascii="宋体"/>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w8BU3KAQAAkgMAAA4AAAAAAAAAAQAgAAAAHwEAAGRycy9lMm9E&#10;b2MueG1sUEsFBgAAAAAGAAYAWQEAAFsFA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82</w:t>
                    </w:r>
                    <w:r>
                      <w:fldChar w:fldCharType="end"/>
                    </w:r>
                    <w:r>
                      <w:t xml:space="preserve"> 页</w:t>
                    </w:r>
                  </w:p>
                </w:txbxContent>
              </v:textbox>
            </v:rect>
          </w:pict>
        </mc:Fallback>
      </mc:AlternateContent>
    </w:r>
    <w:r>
      <w:rPr>
        <w:rFonts w:ascii="宋体"/>
      </w:rPr>
      <w:tab/>
    </w:r>
    <w:r>
      <w:rPr>
        <w:rFonts w:ascii="宋体"/>
      </w:rPr>
      <w:tab/>
    </w:r>
    <w:r>
      <w:rPr>
        <w:rFonts w:hint="eastAsia" w:ascii="宋体" w:hAnsi="宋体" w:cs="宋体"/>
      </w:rPr>
      <w:t>陕西卓佲项目管理有限公司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rPr>
        <w:rFonts w:ascii="宋体"/>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89</w:t>
                    </w:r>
                    <w:r>
                      <w:fldChar w:fldCharType="end"/>
                    </w:r>
                    <w:r>
                      <w:t xml:space="preserve"> 页</w:t>
                    </w:r>
                  </w:p>
                </w:txbxContent>
              </v:textbox>
            </v:rect>
          </w:pict>
        </mc:Fallback>
      </mc:AlternateContent>
    </w:r>
    <w:r>
      <w:rPr>
        <w:rFonts w:ascii="宋体"/>
      </w:rPr>
      <w:tab/>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rPr>
        <w:rFonts w:ascii="宋体"/>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t xml:space="preserve">第 </w:t>
                          </w:r>
                          <w:r>
                            <w:fldChar w:fldCharType="begin"/>
                          </w:r>
                          <w:r>
                            <w:instrText xml:space="preserve"> PAGE  \* MERGEFORMAT </w:instrText>
                          </w:r>
                          <w:r>
                            <w:fldChar w:fldCharType="separate"/>
                          </w:r>
                          <w:r>
                            <w:t>95</w:t>
                          </w:r>
                          <w:r>
                            <w:fldChar w:fldCharType="end"/>
                          </w:r>
                          <w:r>
                            <w:t xml:space="preserve"> 页</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cntAMkBAACSAwAADgAAAAAAAAABACAAAAAfAQAAZHJzL2Uyb0Rv&#10;Yy54bWxQSwUGAAAAAAYABgBZAQAAWgU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95</w:t>
                    </w:r>
                    <w:r>
                      <w:fldChar w:fldCharType="end"/>
                    </w:r>
                    <w:r>
                      <w:t xml:space="preserve"> 页</w:t>
                    </w:r>
                  </w:p>
                </w:txbxContent>
              </v:textbox>
            </v:rect>
          </w:pict>
        </mc:Fallback>
      </mc:AlternateContent>
    </w:r>
    <w:r>
      <w:rPr>
        <w:rFonts w:ascii="宋体"/>
      </w:rPr>
      <w:tab/>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rPr>
        <w:rFonts w:ascii="宋体" w:hAnsi="宋体" w:cs="宋体"/>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t xml:space="preserve">第 </w:t>
                          </w:r>
                          <w:r>
                            <w:fldChar w:fldCharType="begin"/>
                          </w:r>
                          <w:r>
                            <w:instrText xml:space="preserve"> PAGE  \* MERGEFORMAT </w:instrText>
                          </w:r>
                          <w:r>
                            <w:fldChar w:fldCharType="separate"/>
                          </w:r>
                          <w:r>
                            <w:t>98</w:t>
                          </w:r>
                          <w:r>
                            <w:fldChar w:fldCharType="end"/>
                          </w:r>
                          <w:r>
                            <w:t xml:space="preserve"> 页</w:t>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dP2zJAQAAkg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WKMycsvfnl54/Lrz+X&#10;39/Z2+RQH7Cig/fhDqYMKUxyhxZs+pIQNmRXz1dX1RCZpM3lerVel2S4pNqcEE7xcD0AxvfKW5aC&#10;mgM9W3ZTnD5iHI/OR1I349Lq/K02ZqymnSLRHImlKA77YWK7982ZVNLQE3jn4RtnPT15zR1NOGfm&#10;gyNH03TMAczBfg6Ek3Sx5iMvDO+OkdpnbqnZ2GHiQE+V1U1jlWbhcZ5PPfxK2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YN0/bMkBAACSAwAADgAAAAAAAAABACAAAAAfAQAAZHJzL2Uyb0Rv&#10;Yy54bWxQSwUGAAAAAAYABgBZAQAAWgU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98</w:t>
                    </w:r>
                    <w:r>
                      <w:fldChar w:fldCharType="end"/>
                    </w:r>
                    <w:r>
                      <w:t xml:space="preserve"> 页</w:t>
                    </w:r>
                  </w:p>
                </w:txbxContent>
              </v:textbox>
            </v:rect>
          </w:pict>
        </mc:Fallback>
      </mc:AlternateContent>
    </w:r>
    <w:r>
      <w:rPr>
        <w:rFonts w:hint="eastAsia" w:ascii="宋体" w:hAnsi="宋体" w:cs="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rPr>
        <w:rFonts w:hint="eastAsia"/>
      </w:rPr>
    </w:lvl>
  </w:abstractNum>
  <w:abstractNum w:abstractNumId="1">
    <w:nsid w:val="00000004"/>
    <w:multiLevelType w:val="singleLevel"/>
    <w:tmpl w:val="00000004"/>
    <w:lvl w:ilvl="0" w:tentative="0">
      <w:start w:val="1"/>
      <w:numFmt w:val="decimal"/>
      <w:suff w:val="nothing"/>
      <w:lvlText w:val="（%1）"/>
      <w:lvlJc w:val="left"/>
      <w:pPr>
        <w:ind w:left="0" w:firstLine="420"/>
      </w:pPr>
      <w:rPr>
        <w:rFonts w:hint="default"/>
      </w:rPr>
    </w:lvl>
  </w:abstractNum>
  <w:abstractNum w:abstractNumId="2">
    <w:nsid w:val="00000005"/>
    <w:multiLevelType w:val="multilevel"/>
    <w:tmpl w:val="00000005"/>
    <w:lvl w:ilvl="0" w:tentative="0">
      <w:start w:val="1"/>
      <w:numFmt w:val="none"/>
      <w:suff w:val="nothing"/>
      <w:lvlText w:val=""/>
      <w:lvlJc w:val="center"/>
      <w:pPr>
        <w:ind w:left="0" w:firstLine="0"/>
      </w:pPr>
      <w:rPr>
        <w:rFonts w:hint="default" w:ascii="Calibri" w:hAnsi="Calibri" w:eastAsia="黑体"/>
        <w:b w:val="0"/>
        <w:i w:val="0"/>
        <w:caps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napToGrid/>
        <w:vanish w:val="0"/>
        <w:spacing w:val="0"/>
        <w:w w:val="100"/>
        <w:kern w:val="30"/>
        <w:position w:val="0"/>
        <w:sz w:val="30"/>
        <w:vertAlign w:val="baseline"/>
      </w:rPr>
    </w:lvl>
    <w:lvl w:ilvl="3" w:tentative="0">
      <w:start w:val="1"/>
      <w:numFmt w:val="decimal"/>
      <w:pStyle w:val="9"/>
      <w:lvlText w:val="%1.%2.%3.%4"/>
      <w:lvlJc w:val="left"/>
      <w:pPr>
        <w:ind w:left="864" w:hanging="864"/>
      </w:pPr>
      <w:rPr>
        <w:rFonts w:hint="eastAsia"/>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3">
    <w:nsid w:val="0053208E"/>
    <w:multiLevelType w:val="singleLevel"/>
    <w:tmpl w:val="0053208E"/>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JmZWU3ZmQ1Nzc1YTZkNWJlMTk0YzgzOTY4NDEifQ=="/>
  </w:docVars>
  <w:rsids>
    <w:rsidRoot w:val="00E41486"/>
    <w:rsid w:val="00021328"/>
    <w:rsid w:val="0003211B"/>
    <w:rsid w:val="00054E0F"/>
    <w:rsid w:val="0007654E"/>
    <w:rsid w:val="000A31D0"/>
    <w:rsid w:val="000B4F8E"/>
    <w:rsid w:val="000C6C67"/>
    <w:rsid w:val="000E2B8D"/>
    <w:rsid w:val="000F2632"/>
    <w:rsid w:val="000F50EC"/>
    <w:rsid w:val="0012090C"/>
    <w:rsid w:val="001212AC"/>
    <w:rsid w:val="00152EC4"/>
    <w:rsid w:val="001603B1"/>
    <w:rsid w:val="00176DFC"/>
    <w:rsid w:val="00177EB0"/>
    <w:rsid w:val="00191657"/>
    <w:rsid w:val="00196066"/>
    <w:rsid w:val="00196AAE"/>
    <w:rsid w:val="001A128C"/>
    <w:rsid w:val="001C1B2D"/>
    <w:rsid w:val="001C694B"/>
    <w:rsid w:val="001D74D1"/>
    <w:rsid w:val="001E0D1A"/>
    <w:rsid w:val="001E26B7"/>
    <w:rsid w:val="002258B4"/>
    <w:rsid w:val="002443F5"/>
    <w:rsid w:val="00255829"/>
    <w:rsid w:val="002569F0"/>
    <w:rsid w:val="002638AA"/>
    <w:rsid w:val="00263D19"/>
    <w:rsid w:val="00266EAB"/>
    <w:rsid w:val="002678BB"/>
    <w:rsid w:val="0029131A"/>
    <w:rsid w:val="002A4352"/>
    <w:rsid w:val="002A6F28"/>
    <w:rsid w:val="002B249F"/>
    <w:rsid w:val="002B70C4"/>
    <w:rsid w:val="002C3F9E"/>
    <w:rsid w:val="002E1D21"/>
    <w:rsid w:val="002E5E1D"/>
    <w:rsid w:val="002E6B6E"/>
    <w:rsid w:val="00305360"/>
    <w:rsid w:val="003134CD"/>
    <w:rsid w:val="003142E9"/>
    <w:rsid w:val="00327438"/>
    <w:rsid w:val="00342A43"/>
    <w:rsid w:val="0034650C"/>
    <w:rsid w:val="0035006C"/>
    <w:rsid w:val="0035784A"/>
    <w:rsid w:val="00365D09"/>
    <w:rsid w:val="003675D5"/>
    <w:rsid w:val="00372411"/>
    <w:rsid w:val="003831F2"/>
    <w:rsid w:val="003E3D38"/>
    <w:rsid w:val="003F230D"/>
    <w:rsid w:val="00401B8A"/>
    <w:rsid w:val="00402798"/>
    <w:rsid w:val="00406E3F"/>
    <w:rsid w:val="00444001"/>
    <w:rsid w:val="00475344"/>
    <w:rsid w:val="00476C56"/>
    <w:rsid w:val="00476E98"/>
    <w:rsid w:val="004D2634"/>
    <w:rsid w:val="004E4918"/>
    <w:rsid w:val="004F5F55"/>
    <w:rsid w:val="004F63AE"/>
    <w:rsid w:val="005160E3"/>
    <w:rsid w:val="00557781"/>
    <w:rsid w:val="00591C46"/>
    <w:rsid w:val="005A220E"/>
    <w:rsid w:val="005A2FBF"/>
    <w:rsid w:val="005C4797"/>
    <w:rsid w:val="005C4813"/>
    <w:rsid w:val="005D1A81"/>
    <w:rsid w:val="005E37DF"/>
    <w:rsid w:val="00613BE7"/>
    <w:rsid w:val="00661158"/>
    <w:rsid w:val="0067642D"/>
    <w:rsid w:val="006767C8"/>
    <w:rsid w:val="00683617"/>
    <w:rsid w:val="0068383F"/>
    <w:rsid w:val="00695E88"/>
    <w:rsid w:val="006C03AE"/>
    <w:rsid w:val="00700639"/>
    <w:rsid w:val="00710A49"/>
    <w:rsid w:val="0071666B"/>
    <w:rsid w:val="007428D5"/>
    <w:rsid w:val="0074662B"/>
    <w:rsid w:val="00746DCD"/>
    <w:rsid w:val="0075121F"/>
    <w:rsid w:val="0076028B"/>
    <w:rsid w:val="00787DC3"/>
    <w:rsid w:val="0079585A"/>
    <w:rsid w:val="007A0FB2"/>
    <w:rsid w:val="007B1F34"/>
    <w:rsid w:val="007B6BD1"/>
    <w:rsid w:val="007C17AC"/>
    <w:rsid w:val="007C208E"/>
    <w:rsid w:val="007D40C5"/>
    <w:rsid w:val="007F3C9F"/>
    <w:rsid w:val="008132FC"/>
    <w:rsid w:val="00834F12"/>
    <w:rsid w:val="00835AD7"/>
    <w:rsid w:val="00855B9D"/>
    <w:rsid w:val="00862E28"/>
    <w:rsid w:val="00866500"/>
    <w:rsid w:val="0088315F"/>
    <w:rsid w:val="008A64C3"/>
    <w:rsid w:val="008D16B1"/>
    <w:rsid w:val="008E2732"/>
    <w:rsid w:val="008F5374"/>
    <w:rsid w:val="00926BC5"/>
    <w:rsid w:val="009340EA"/>
    <w:rsid w:val="00937CEF"/>
    <w:rsid w:val="0094123E"/>
    <w:rsid w:val="00954FFD"/>
    <w:rsid w:val="00964917"/>
    <w:rsid w:val="009837AB"/>
    <w:rsid w:val="009A0F42"/>
    <w:rsid w:val="009A3991"/>
    <w:rsid w:val="009A3F9D"/>
    <w:rsid w:val="009B3EE1"/>
    <w:rsid w:val="009C7F23"/>
    <w:rsid w:val="009D03EA"/>
    <w:rsid w:val="009D6624"/>
    <w:rsid w:val="009E57B3"/>
    <w:rsid w:val="009E6851"/>
    <w:rsid w:val="009F61ED"/>
    <w:rsid w:val="00A22B01"/>
    <w:rsid w:val="00A630AD"/>
    <w:rsid w:val="00A75C1C"/>
    <w:rsid w:val="00A82B55"/>
    <w:rsid w:val="00A84471"/>
    <w:rsid w:val="00AA6FE7"/>
    <w:rsid w:val="00AB0680"/>
    <w:rsid w:val="00AB309B"/>
    <w:rsid w:val="00AB5FC2"/>
    <w:rsid w:val="00AD0A34"/>
    <w:rsid w:val="00AE10CE"/>
    <w:rsid w:val="00AE7A23"/>
    <w:rsid w:val="00AF06CD"/>
    <w:rsid w:val="00B27DBD"/>
    <w:rsid w:val="00B41FCF"/>
    <w:rsid w:val="00B516C9"/>
    <w:rsid w:val="00B539C4"/>
    <w:rsid w:val="00B77892"/>
    <w:rsid w:val="00B81C74"/>
    <w:rsid w:val="00B8234F"/>
    <w:rsid w:val="00B858F4"/>
    <w:rsid w:val="00B90DAF"/>
    <w:rsid w:val="00BA0424"/>
    <w:rsid w:val="00BB3941"/>
    <w:rsid w:val="00BD41A7"/>
    <w:rsid w:val="00BD6274"/>
    <w:rsid w:val="00BE1B4D"/>
    <w:rsid w:val="00BF31F6"/>
    <w:rsid w:val="00C05E40"/>
    <w:rsid w:val="00C3012F"/>
    <w:rsid w:val="00C441D1"/>
    <w:rsid w:val="00C55360"/>
    <w:rsid w:val="00C764F1"/>
    <w:rsid w:val="00C94F0B"/>
    <w:rsid w:val="00CA3C0F"/>
    <w:rsid w:val="00CB3488"/>
    <w:rsid w:val="00CD5015"/>
    <w:rsid w:val="00CE1E09"/>
    <w:rsid w:val="00D07149"/>
    <w:rsid w:val="00D315CD"/>
    <w:rsid w:val="00D34DD9"/>
    <w:rsid w:val="00D37E17"/>
    <w:rsid w:val="00D64601"/>
    <w:rsid w:val="00D76BF8"/>
    <w:rsid w:val="00D825C8"/>
    <w:rsid w:val="00D84684"/>
    <w:rsid w:val="00D87F07"/>
    <w:rsid w:val="00DA1823"/>
    <w:rsid w:val="00DA51BA"/>
    <w:rsid w:val="00DD332B"/>
    <w:rsid w:val="00DE4160"/>
    <w:rsid w:val="00E11361"/>
    <w:rsid w:val="00E17F3E"/>
    <w:rsid w:val="00E33616"/>
    <w:rsid w:val="00E34E4F"/>
    <w:rsid w:val="00E3574A"/>
    <w:rsid w:val="00E41486"/>
    <w:rsid w:val="00E51088"/>
    <w:rsid w:val="00E53C82"/>
    <w:rsid w:val="00E7262B"/>
    <w:rsid w:val="00E849D1"/>
    <w:rsid w:val="00E949D3"/>
    <w:rsid w:val="00EE4AA2"/>
    <w:rsid w:val="00F17CF2"/>
    <w:rsid w:val="00F334F4"/>
    <w:rsid w:val="00F4377A"/>
    <w:rsid w:val="00F5619B"/>
    <w:rsid w:val="00F56D6A"/>
    <w:rsid w:val="00F671AF"/>
    <w:rsid w:val="00F71FA7"/>
    <w:rsid w:val="00F779C9"/>
    <w:rsid w:val="00F85E0D"/>
    <w:rsid w:val="00FA1938"/>
    <w:rsid w:val="00FA55B3"/>
    <w:rsid w:val="00FB2B8A"/>
    <w:rsid w:val="00FB70D0"/>
    <w:rsid w:val="00FE6D6E"/>
    <w:rsid w:val="00FF43F7"/>
    <w:rsid w:val="00FF66AC"/>
    <w:rsid w:val="011B5EDD"/>
    <w:rsid w:val="0FC94AE7"/>
    <w:rsid w:val="268D506D"/>
    <w:rsid w:val="2F745341"/>
    <w:rsid w:val="340055EB"/>
    <w:rsid w:val="369766A1"/>
    <w:rsid w:val="3BEC5D8A"/>
    <w:rsid w:val="3E18326B"/>
    <w:rsid w:val="46CE6BA8"/>
    <w:rsid w:val="4EB93F39"/>
    <w:rsid w:val="56957090"/>
    <w:rsid w:val="5F1115E7"/>
    <w:rsid w:val="63B35389"/>
    <w:rsid w:val="63C05490"/>
    <w:rsid w:val="742167F1"/>
    <w:rsid w:val="796B0787"/>
    <w:rsid w:val="7D69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6">
    <w:name w:val="heading 1"/>
    <w:basedOn w:val="1"/>
    <w:next w:val="1"/>
    <w:link w:val="78"/>
    <w:qFormat/>
    <w:uiPriority w:val="9"/>
    <w:pPr>
      <w:spacing w:line="360" w:lineRule="auto"/>
      <w:jc w:val="center"/>
      <w:outlineLvl w:val="0"/>
    </w:pPr>
    <w:rPr>
      <w:rFonts w:ascii="方正小标宋_GBK" w:hAnsi="仿宋" w:eastAsia="方正小标宋_GBK"/>
      <w:sz w:val="44"/>
      <w:szCs w:val="44"/>
    </w:rPr>
  </w:style>
  <w:style w:type="paragraph" w:styleId="7">
    <w:name w:val="heading 2"/>
    <w:basedOn w:val="1"/>
    <w:next w:val="1"/>
    <w:link w:val="79"/>
    <w:unhideWhenUsed/>
    <w:qFormat/>
    <w:uiPriority w:val="9"/>
    <w:pPr>
      <w:spacing w:line="560" w:lineRule="exact"/>
      <w:ind w:firstLine="640" w:firstLineChars="200"/>
      <w:jc w:val="both"/>
      <w:outlineLvl w:val="1"/>
    </w:pPr>
    <w:rPr>
      <w:rFonts w:ascii="楷体" w:hAnsi="楷体" w:eastAsia="黑体"/>
      <w:sz w:val="32"/>
      <w:szCs w:val="32"/>
    </w:rPr>
  </w:style>
  <w:style w:type="paragraph" w:styleId="8">
    <w:name w:val="heading 3"/>
    <w:basedOn w:val="1"/>
    <w:next w:val="1"/>
    <w:link w:val="80"/>
    <w:unhideWhenUsed/>
    <w:qFormat/>
    <w:uiPriority w:val="9"/>
    <w:pPr>
      <w:spacing w:line="560" w:lineRule="exact"/>
      <w:jc w:val="center"/>
      <w:outlineLvl w:val="2"/>
    </w:pPr>
    <w:rPr>
      <w:rFonts w:ascii="方正小标宋_GBK" w:hAnsi="仿宋" w:eastAsia="方正小标宋_GBK"/>
      <w:sz w:val="36"/>
      <w:szCs w:val="36"/>
    </w:rPr>
  </w:style>
  <w:style w:type="paragraph" w:styleId="9">
    <w:name w:val="heading 4"/>
    <w:basedOn w:val="1"/>
    <w:next w:val="1"/>
    <w:link w:val="81"/>
    <w:unhideWhenUsed/>
    <w:qFormat/>
    <w:uiPriority w:val="9"/>
    <w:pPr>
      <w:keepNext/>
      <w:numPr>
        <w:ilvl w:val="3"/>
        <w:numId w:val="1"/>
      </w:numPr>
      <w:spacing w:before="240" w:after="60"/>
      <w:outlineLvl w:val="3"/>
    </w:pPr>
    <w:rPr>
      <w:rFonts w:cs="宋体"/>
      <w:b/>
      <w:bCs/>
      <w:sz w:val="28"/>
      <w:szCs w:val="28"/>
    </w:rPr>
  </w:style>
  <w:style w:type="paragraph" w:styleId="10">
    <w:name w:val="heading 5"/>
    <w:basedOn w:val="1"/>
    <w:next w:val="1"/>
    <w:link w:val="82"/>
    <w:unhideWhenUsed/>
    <w:qFormat/>
    <w:uiPriority w:val="9"/>
    <w:pPr>
      <w:numPr>
        <w:ilvl w:val="4"/>
        <w:numId w:val="1"/>
      </w:numPr>
      <w:spacing w:before="240" w:after="60"/>
      <w:outlineLvl w:val="4"/>
    </w:pPr>
    <w:rPr>
      <w:b/>
      <w:bCs/>
      <w:i/>
      <w:iCs/>
      <w:sz w:val="26"/>
      <w:szCs w:val="26"/>
    </w:rPr>
  </w:style>
  <w:style w:type="paragraph" w:styleId="11">
    <w:name w:val="heading 6"/>
    <w:basedOn w:val="1"/>
    <w:next w:val="1"/>
    <w:link w:val="83"/>
    <w:unhideWhenUsed/>
    <w:qFormat/>
    <w:uiPriority w:val="9"/>
    <w:pPr>
      <w:numPr>
        <w:ilvl w:val="5"/>
        <w:numId w:val="1"/>
      </w:numPr>
      <w:spacing w:before="240" w:after="60"/>
      <w:outlineLvl w:val="5"/>
    </w:pPr>
    <w:rPr>
      <w:rFonts w:cs="宋体"/>
      <w:b/>
      <w:bCs/>
      <w:sz w:val="22"/>
      <w:szCs w:val="22"/>
    </w:rPr>
  </w:style>
  <w:style w:type="paragraph" w:styleId="12">
    <w:name w:val="heading 7"/>
    <w:basedOn w:val="1"/>
    <w:next w:val="1"/>
    <w:link w:val="84"/>
    <w:qFormat/>
    <w:uiPriority w:val="9"/>
    <w:pPr>
      <w:numPr>
        <w:ilvl w:val="6"/>
        <w:numId w:val="1"/>
      </w:numPr>
      <w:spacing w:before="240" w:after="60"/>
      <w:outlineLvl w:val="6"/>
    </w:pPr>
  </w:style>
  <w:style w:type="paragraph" w:styleId="13">
    <w:name w:val="heading 8"/>
    <w:basedOn w:val="1"/>
    <w:next w:val="1"/>
    <w:link w:val="85"/>
    <w:qFormat/>
    <w:uiPriority w:val="9"/>
    <w:pPr>
      <w:numPr>
        <w:ilvl w:val="7"/>
        <w:numId w:val="1"/>
      </w:numPr>
      <w:spacing w:before="240" w:after="60"/>
      <w:outlineLvl w:val="7"/>
    </w:pPr>
    <w:rPr>
      <w:rFonts w:cs="宋体"/>
      <w:i/>
      <w:iCs/>
    </w:rPr>
  </w:style>
  <w:style w:type="paragraph" w:styleId="14">
    <w:name w:val="heading 9"/>
    <w:basedOn w:val="1"/>
    <w:next w:val="1"/>
    <w:link w:val="86"/>
    <w:qFormat/>
    <w:uiPriority w:val="9"/>
    <w:pPr>
      <w:numPr>
        <w:ilvl w:val="8"/>
        <w:numId w:val="1"/>
      </w:numPr>
      <w:spacing w:before="240" w:after="60"/>
      <w:outlineLvl w:val="8"/>
    </w:pPr>
    <w:rPr>
      <w:rFonts w:ascii="Calibri Light" w:hAnsi="Calibri Light" w:cs="宋体"/>
      <w:sz w:val="22"/>
      <w:szCs w:val="2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99"/>
    <w:pPr>
      <w:spacing w:after="120"/>
      <w:ind w:left="420" w:leftChars="200"/>
    </w:pPr>
    <w:rPr>
      <w:sz w:val="20"/>
    </w:rPr>
  </w:style>
  <w:style w:type="paragraph" w:styleId="4">
    <w:name w:val="Normal Indent"/>
    <w:basedOn w:val="1"/>
    <w:next w:val="5"/>
    <w:qFormat/>
    <w:uiPriority w:val="99"/>
    <w:pPr>
      <w:ind w:firstLine="420"/>
    </w:pPr>
  </w:style>
  <w:style w:type="paragraph" w:styleId="5">
    <w:name w:val="Plain Text"/>
    <w:basedOn w:val="1"/>
    <w:qFormat/>
    <w:uiPriority w:val="99"/>
    <w:pPr>
      <w:spacing w:line="324" w:lineRule="auto"/>
    </w:pPr>
    <w:rPr>
      <w:rFonts w:ascii="宋体" w:hAnsi="Courier New"/>
      <w:sz w:val="20"/>
    </w:rPr>
  </w:style>
  <w:style w:type="paragraph" w:styleId="15">
    <w:name w:val="caption"/>
    <w:basedOn w:val="1"/>
    <w:next w:val="1"/>
    <w:qFormat/>
    <w:uiPriority w:val="35"/>
    <w:rPr>
      <w:rFonts w:ascii="Calibri Light" w:hAnsi="Calibri Light" w:eastAsia="黑体" w:cs="宋体"/>
      <w:sz w:val="20"/>
      <w:szCs w:val="20"/>
    </w:rPr>
  </w:style>
  <w:style w:type="paragraph" w:styleId="16">
    <w:name w:val="Document Map"/>
    <w:basedOn w:val="1"/>
    <w:link w:val="110"/>
    <w:qFormat/>
    <w:uiPriority w:val="99"/>
    <w:pPr>
      <w:spacing w:line="400" w:lineRule="exact"/>
      <w:jc w:val="both"/>
    </w:pPr>
    <w:rPr>
      <w:rFonts w:ascii="宋体" w:hAnsi="Calibri Light" w:cs="Calibri Light"/>
      <w:kern w:val="2"/>
      <w:sz w:val="18"/>
      <w:szCs w:val="18"/>
    </w:rPr>
  </w:style>
  <w:style w:type="paragraph" w:styleId="17">
    <w:name w:val="toa heading"/>
    <w:basedOn w:val="1"/>
    <w:next w:val="1"/>
    <w:qFormat/>
    <w:uiPriority w:val="0"/>
    <w:pPr>
      <w:spacing w:before="120"/>
    </w:pPr>
    <w:rPr>
      <w:rFonts w:ascii="Cambria" w:hAnsi="Cambria"/>
    </w:rPr>
  </w:style>
  <w:style w:type="paragraph" w:styleId="18">
    <w:name w:val="annotation text"/>
    <w:basedOn w:val="1"/>
    <w:link w:val="102"/>
    <w:qFormat/>
    <w:uiPriority w:val="99"/>
    <w:pPr>
      <w:spacing w:line="400" w:lineRule="exact"/>
    </w:pPr>
    <w:rPr>
      <w:rFonts w:ascii="Calibri Light" w:hAnsi="Calibri Light" w:eastAsia="华文仿宋" w:cs="Calibri Light"/>
      <w:kern w:val="2"/>
      <w:sz w:val="28"/>
      <w:szCs w:val="28"/>
    </w:rPr>
  </w:style>
  <w:style w:type="paragraph" w:styleId="19">
    <w:name w:val="Body Text"/>
    <w:basedOn w:val="1"/>
    <w:next w:val="1"/>
    <w:qFormat/>
    <w:uiPriority w:val="99"/>
    <w:rPr>
      <w:sz w:val="20"/>
    </w:rPr>
  </w:style>
  <w:style w:type="paragraph" w:styleId="20">
    <w:name w:val="toc 3"/>
    <w:basedOn w:val="1"/>
    <w:next w:val="1"/>
    <w:qFormat/>
    <w:uiPriority w:val="39"/>
    <w:pPr>
      <w:ind w:left="840" w:leftChars="400"/>
    </w:pPr>
  </w:style>
  <w:style w:type="paragraph" w:styleId="21">
    <w:name w:val="Date"/>
    <w:basedOn w:val="1"/>
    <w:next w:val="1"/>
    <w:link w:val="75"/>
    <w:qFormat/>
    <w:uiPriority w:val="99"/>
    <w:pPr>
      <w:ind w:left="100" w:leftChars="2500"/>
    </w:pPr>
  </w:style>
  <w:style w:type="paragraph" w:styleId="22">
    <w:name w:val="endnote text"/>
    <w:basedOn w:val="1"/>
    <w:qFormat/>
    <w:uiPriority w:val="0"/>
    <w:pPr>
      <w:snapToGrid w:val="0"/>
    </w:pPr>
  </w:style>
  <w:style w:type="paragraph" w:styleId="23">
    <w:name w:val="Balloon Text"/>
    <w:basedOn w:val="1"/>
    <w:link w:val="101"/>
    <w:qFormat/>
    <w:uiPriority w:val="99"/>
    <w:rPr>
      <w:sz w:val="18"/>
      <w:szCs w:val="18"/>
    </w:rPr>
  </w:style>
  <w:style w:type="paragraph" w:styleId="24">
    <w:name w:val="footer"/>
    <w:basedOn w:val="1"/>
    <w:link w:val="77"/>
    <w:qFormat/>
    <w:uiPriority w:val="99"/>
    <w:pPr>
      <w:tabs>
        <w:tab w:val="center" w:pos="4153"/>
        <w:tab w:val="right" w:pos="8306"/>
      </w:tabs>
      <w:snapToGrid w:val="0"/>
      <w:spacing w:line="240" w:lineRule="atLeast"/>
    </w:pPr>
    <w:rPr>
      <w:sz w:val="18"/>
      <w:szCs w:val="18"/>
    </w:rPr>
  </w:style>
  <w:style w:type="paragraph" w:styleId="25">
    <w:name w:val="header"/>
    <w:basedOn w:val="1"/>
    <w:link w:val="7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qFormat/>
    <w:uiPriority w:val="39"/>
    <w:pPr>
      <w:spacing w:before="100" w:beforeLines="100" w:after="100" w:afterLines="100"/>
    </w:pPr>
    <w:rPr>
      <w:kern w:val="32"/>
      <w:sz w:val="32"/>
    </w:rPr>
  </w:style>
  <w:style w:type="paragraph" w:styleId="27">
    <w:name w:val="toc 4"/>
    <w:basedOn w:val="1"/>
    <w:next w:val="1"/>
    <w:qFormat/>
    <w:uiPriority w:val="39"/>
    <w:pPr>
      <w:ind w:left="1260" w:leftChars="600"/>
    </w:pPr>
  </w:style>
  <w:style w:type="paragraph" w:styleId="28">
    <w:name w:val="index heading"/>
    <w:basedOn w:val="1"/>
    <w:next w:val="29"/>
    <w:qFormat/>
    <w:uiPriority w:val="99"/>
    <w:rPr>
      <w:rFonts w:ascii="Calibri Light" w:hAnsi="Calibri Light" w:cs="宋体"/>
      <w:b/>
      <w:bCs/>
    </w:rPr>
  </w:style>
  <w:style w:type="paragraph" w:styleId="29">
    <w:name w:val="index 1"/>
    <w:basedOn w:val="1"/>
    <w:next w:val="1"/>
    <w:qFormat/>
    <w:uiPriority w:val="99"/>
  </w:style>
  <w:style w:type="paragraph" w:styleId="30">
    <w:name w:val="Subtitle"/>
    <w:basedOn w:val="1"/>
    <w:next w:val="1"/>
    <w:link w:val="88"/>
    <w:qFormat/>
    <w:uiPriority w:val="11"/>
    <w:pPr>
      <w:keepNext/>
      <w:spacing w:before="50" w:beforeLines="50" w:after="50" w:afterLines="50"/>
      <w:jc w:val="center"/>
      <w:outlineLvl w:val="1"/>
    </w:pPr>
    <w:rPr>
      <w:rFonts w:eastAsia="黑体" w:cs="宋体"/>
      <w:sz w:val="32"/>
    </w:rPr>
  </w:style>
  <w:style w:type="paragraph" w:styleId="31">
    <w:name w:val="toc 2"/>
    <w:basedOn w:val="1"/>
    <w:next w:val="1"/>
    <w:qFormat/>
    <w:uiPriority w:val="39"/>
    <w:pPr>
      <w:ind w:left="420" w:leftChars="200"/>
    </w:pPr>
  </w:style>
  <w:style w:type="paragraph" w:styleId="32">
    <w:name w:val="Normal (Web)"/>
    <w:basedOn w:val="1"/>
    <w:qFormat/>
    <w:uiPriority w:val="99"/>
    <w:pPr>
      <w:spacing w:before="100" w:beforeAutospacing="1" w:after="100" w:afterAutospacing="1"/>
    </w:pPr>
    <w:rPr>
      <w:rFonts w:ascii="宋体" w:hAnsi="宋体" w:cs="宋体"/>
    </w:rPr>
  </w:style>
  <w:style w:type="paragraph" w:styleId="33">
    <w:name w:val="Title"/>
    <w:basedOn w:val="1"/>
    <w:next w:val="1"/>
    <w:link w:val="87"/>
    <w:qFormat/>
    <w:uiPriority w:val="10"/>
    <w:pPr>
      <w:spacing w:before="240" w:after="60"/>
      <w:jc w:val="center"/>
      <w:outlineLvl w:val="0"/>
    </w:pPr>
    <w:rPr>
      <w:rFonts w:ascii="Calibri Light" w:hAnsi="Calibri Light" w:cs="宋体"/>
      <w:b/>
      <w:bCs/>
      <w:kern w:val="28"/>
      <w:sz w:val="32"/>
      <w:szCs w:val="32"/>
    </w:rPr>
  </w:style>
  <w:style w:type="paragraph" w:styleId="34">
    <w:name w:val="annotation subject"/>
    <w:basedOn w:val="18"/>
    <w:next w:val="18"/>
    <w:link w:val="109"/>
    <w:qFormat/>
    <w:uiPriority w:val="99"/>
    <w:rPr>
      <w:b/>
      <w:bCs/>
    </w:rPr>
  </w:style>
  <w:style w:type="paragraph" w:styleId="35">
    <w:name w:val="Body Text First Indent"/>
    <w:basedOn w:val="19"/>
    <w:next w:val="1"/>
    <w:qFormat/>
    <w:uiPriority w:val="0"/>
    <w:pPr>
      <w:spacing w:line="300" w:lineRule="auto"/>
      <w:ind w:firstLine="602"/>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qFormat/>
    <w:uiPriority w:val="99"/>
    <w:rPr>
      <w:color w:val="954F72"/>
      <w:u w:val="single"/>
    </w:rPr>
  </w:style>
  <w:style w:type="character" w:styleId="42">
    <w:name w:val="Emphasis"/>
    <w:basedOn w:val="38"/>
    <w:qFormat/>
    <w:uiPriority w:val="20"/>
    <w:rPr>
      <w:rFonts w:ascii="Calibri" w:hAnsi="Calibri"/>
      <w:b/>
      <w:i/>
      <w:iCs/>
    </w:rPr>
  </w:style>
  <w:style w:type="character" w:styleId="43">
    <w:name w:val="HTML Definition"/>
    <w:basedOn w:val="38"/>
    <w:qFormat/>
    <w:uiPriority w:val="99"/>
    <w:rPr>
      <w:color w:val="FFFFFF"/>
      <w:shd w:val="clear" w:color="auto" w:fill="048FD2"/>
    </w:rPr>
  </w:style>
  <w:style w:type="character" w:styleId="44">
    <w:name w:val="HTML Typewriter"/>
    <w:basedOn w:val="38"/>
    <w:qFormat/>
    <w:uiPriority w:val="99"/>
    <w:rPr>
      <w:rFonts w:hint="default" w:ascii="monospace" w:hAnsi="monospace" w:eastAsia="monospace" w:cs="monospace"/>
      <w:sz w:val="20"/>
    </w:rPr>
  </w:style>
  <w:style w:type="character" w:styleId="45">
    <w:name w:val="HTML Acronym"/>
    <w:basedOn w:val="38"/>
    <w:qFormat/>
    <w:uiPriority w:val="99"/>
  </w:style>
  <w:style w:type="character" w:styleId="46">
    <w:name w:val="HTML Variable"/>
    <w:basedOn w:val="38"/>
    <w:qFormat/>
    <w:uiPriority w:val="99"/>
  </w:style>
  <w:style w:type="character" w:styleId="47">
    <w:name w:val="Hyperlink"/>
    <w:basedOn w:val="38"/>
    <w:qFormat/>
    <w:uiPriority w:val="99"/>
    <w:rPr>
      <w:color w:val="0563C1"/>
      <w:u w:val="single"/>
    </w:rPr>
  </w:style>
  <w:style w:type="character" w:styleId="48">
    <w:name w:val="HTML Code"/>
    <w:basedOn w:val="38"/>
    <w:qFormat/>
    <w:uiPriority w:val="99"/>
    <w:rPr>
      <w:rFonts w:hint="default" w:ascii="monospace" w:hAnsi="monospace" w:eastAsia="monospace" w:cs="monospace"/>
      <w:sz w:val="20"/>
    </w:rPr>
  </w:style>
  <w:style w:type="character" w:styleId="49">
    <w:name w:val="annotation reference"/>
    <w:basedOn w:val="38"/>
    <w:qFormat/>
    <w:uiPriority w:val="99"/>
    <w:rPr>
      <w:sz w:val="21"/>
      <w:szCs w:val="21"/>
    </w:rPr>
  </w:style>
  <w:style w:type="character" w:styleId="50">
    <w:name w:val="HTML Cite"/>
    <w:basedOn w:val="38"/>
    <w:qFormat/>
    <w:uiPriority w:val="99"/>
  </w:style>
  <w:style w:type="character" w:styleId="51">
    <w:name w:val="HTML Keyboard"/>
    <w:basedOn w:val="38"/>
    <w:qFormat/>
    <w:uiPriority w:val="99"/>
    <w:rPr>
      <w:rFonts w:ascii="monospace" w:hAnsi="monospace" w:eastAsia="monospace" w:cs="monospace"/>
      <w:sz w:val="20"/>
    </w:rPr>
  </w:style>
  <w:style w:type="character" w:styleId="52">
    <w:name w:val="HTML Sample"/>
    <w:basedOn w:val="38"/>
    <w:qFormat/>
    <w:uiPriority w:val="99"/>
    <w:rPr>
      <w:rFonts w:hint="default" w:ascii="monospace" w:hAnsi="monospace" w:eastAsia="monospace" w:cs="monospace"/>
    </w:rPr>
  </w:style>
  <w:style w:type="paragraph" w:customStyle="1" w:styleId="53">
    <w:name w:val="Default"/>
    <w:next w:val="54"/>
    <w:qFormat/>
    <w:uiPriority w:val="0"/>
    <w:pPr>
      <w:widowControl w:val="0"/>
      <w:autoSpaceDE w:val="0"/>
      <w:autoSpaceDN w:val="0"/>
      <w:adjustRightInd w:val="0"/>
    </w:pPr>
    <w:rPr>
      <w:rFonts w:ascii="......." w:hAnsi="Times New Roman" w:eastAsia="......." w:cs="Times New Roman"/>
      <w:color w:val="000000"/>
      <w:kern w:val="2"/>
      <w:sz w:val="24"/>
      <w:szCs w:val="24"/>
      <w:lang w:val="en-US" w:eastAsia="zh-CN" w:bidi="ar-SA"/>
    </w:rPr>
  </w:style>
  <w:style w:type="paragraph" w:customStyle="1" w:styleId="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5">
    <w:name w:val="※封面大标题"/>
    <w:basedOn w:val="1"/>
    <w:next w:val="1"/>
    <w:qFormat/>
    <w:uiPriority w:val="0"/>
    <w:pPr>
      <w:jc w:val="center"/>
    </w:pPr>
    <w:rPr>
      <w:rFonts w:ascii="华文中宋" w:hAnsi="华文中宋" w:eastAsia="华文中宋"/>
      <w:sz w:val="96"/>
      <w:szCs w:val="96"/>
    </w:rPr>
  </w:style>
  <w:style w:type="paragraph" w:customStyle="1" w:styleId="56">
    <w:name w:val="※封面题颌"/>
    <w:basedOn w:val="1"/>
    <w:next w:val="1"/>
    <w:qFormat/>
    <w:uiPriority w:val="0"/>
    <w:pPr>
      <w:jc w:val="center"/>
    </w:pPr>
    <w:rPr>
      <w:rFonts w:ascii="Calibri Light" w:hAnsi="Calibri Light" w:eastAsia="华文仿宋"/>
      <w:sz w:val="36"/>
      <w:szCs w:val="36"/>
    </w:rPr>
  </w:style>
  <w:style w:type="paragraph" w:customStyle="1" w:styleId="57">
    <w:name w:val="※封面题眉"/>
    <w:basedOn w:val="1"/>
    <w:next w:val="55"/>
    <w:qFormat/>
    <w:uiPriority w:val="0"/>
    <w:pPr>
      <w:jc w:val="center"/>
    </w:pPr>
    <w:rPr>
      <w:rFonts w:ascii="华文仿宋" w:hAnsi="华文仿宋" w:eastAsia="华文仿宋"/>
      <w:sz w:val="52"/>
      <w:szCs w:val="28"/>
    </w:rPr>
  </w:style>
  <w:style w:type="paragraph" w:customStyle="1" w:styleId="58">
    <w:name w:val="※封面题须"/>
    <w:basedOn w:val="1"/>
    <w:qFormat/>
    <w:uiPriority w:val="0"/>
    <w:pPr>
      <w:ind w:left="850" w:leftChars="350" w:right="250" w:rightChars="250" w:hanging="500" w:hangingChars="500"/>
    </w:pPr>
    <w:rPr>
      <w:sz w:val="36"/>
      <w:szCs w:val="36"/>
    </w:rPr>
  </w:style>
  <w:style w:type="paragraph" w:customStyle="1" w:styleId="5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61">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6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3">
    <w:name w:val="※小标题 一"/>
    <w:basedOn w:val="62"/>
    <w:next w:val="62"/>
    <w:qFormat/>
    <w:uiPriority w:val="0"/>
    <w:pPr>
      <w:spacing w:before="120" w:line="240" w:lineRule="auto"/>
      <w:outlineLvl w:val="2"/>
    </w:pPr>
    <w:rPr>
      <w:b/>
      <w:color w:val="1F3864"/>
      <w:sz w:val="32"/>
    </w:rPr>
  </w:style>
  <w:style w:type="paragraph" w:customStyle="1" w:styleId="64">
    <w:name w:val="※小标题（1）"/>
    <w:basedOn w:val="1"/>
    <w:next w:val="62"/>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5">
    <w:name w:val="※小标题（一）"/>
    <w:basedOn w:val="1"/>
    <w:next w:val="62"/>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6">
    <w:name w:val="※页脚（横屏）"/>
    <w:basedOn w:val="1"/>
    <w:qFormat/>
    <w:uiPriority w:val="0"/>
    <w:pPr>
      <w:tabs>
        <w:tab w:val="center" w:pos="7000"/>
      </w:tabs>
      <w:wordWrap w:val="0"/>
      <w:spacing w:line="240" w:lineRule="atLeast"/>
    </w:pPr>
    <w:rPr>
      <w:rFonts w:ascii="宋体" w:hAnsi="宋体"/>
      <w:sz w:val="18"/>
      <w:szCs w:val="18"/>
    </w:rPr>
  </w:style>
  <w:style w:type="paragraph" w:customStyle="1" w:styleId="67">
    <w:name w:val="※页脚（竖屏）"/>
    <w:basedOn w:val="1"/>
    <w:qFormat/>
    <w:uiPriority w:val="0"/>
    <w:pPr>
      <w:tabs>
        <w:tab w:val="center" w:pos="4536"/>
      </w:tabs>
      <w:wordWrap w:val="0"/>
      <w:spacing w:line="240" w:lineRule="atLeast"/>
    </w:pPr>
    <w:rPr>
      <w:rFonts w:ascii="宋体" w:hAnsi="宋体"/>
      <w:sz w:val="18"/>
      <w:szCs w:val="18"/>
    </w:rPr>
  </w:style>
  <w:style w:type="paragraph" w:customStyle="1" w:styleId="68">
    <w:name w:val="※页眉"/>
    <w:basedOn w:val="62"/>
    <w:qFormat/>
    <w:uiPriority w:val="0"/>
    <w:pPr>
      <w:pBdr>
        <w:bottom w:val="single" w:color="auto" w:sz="4" w:space="1"/>
      </w:pBdr>
      <w:spacing w:line="240" w:lineRule="atLeast"/>
      <w:jc w:val="right"/>
    </w:pPr>
    <w:rPr>
      <w:rFonts w:ascii="宋体" w:hAnsi="宋体" w:eastAsia="宋体"/>
      <w:sz w:val="18"/>
    </w:rPr>
  </w:style>
  <w:style w:type="paragraph" w:customStyle="1" w:styleId="69">
    <w:name w:val="※章节标题（第X章）"/>
    <w:basedOn w:val="1"/>
    <w:qFormat/>
    <w:uiPriority w:val="0"/>
    <w:pPr>
      <w:jc w:val="center"/>
      <w:outlineLvl w:val="0"/>
    </w:pPr>
    <w:rPr>
      <w:rFonts w:ascii="Calibri Light" w:hAnsi="Calibri Light" w:eastAsia="黑体"/>
      <w:sz w:val="36"/>
      <w:szCs w:val="28"/>
    </w:rPr>
  </w:style>
  <w:style w:type="paragraph" w:customStyle="1" w:styleId="70">
    <w:name w:val="※章节标题（第Y部分）"/>
    <w:basedOn w:val="1"/>
    <w:next w:val="1"/>
    <w:qFormat/>
    <w:uiPriority w:val="0"/>
    <w:pPr>
      <w:jc w:val="center"/>
      <w:outlineLvl w:val="1"/>
    </w:pPr>
    <w:rPr>
      <w:rFonts w:ascii="Calibri Light" w:hAnsi="Calibri Light" w:eastAsia="黑体"/>
      <w:color w:val="1F4E79"/>
      <w:sz w:val="32"/>
      <w:szCs w:val="36"/>
    </w:rPr>
  </w:style>
  <w:style w:type="paragraph" w:customStyle="1" w:styleId="71">
    <w:name w:val="※章节标题（第Z部分分项）"/>
    <w:basedOn w:val="70"/>
    <w:qFormat/>
    <w:uiPriority w:val="0"/>
    <w:pPr>
      <w:outlineLvl w:val="2"/>
    </w:p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3">
    <w:name w:val="※正文（缩进2）"/>
    <w:basedOn w:val="62"/>
    <w:qFormat/>
    <w:uiPriority w:val="0"/>
    <w:pPr>
      <w:ind w:firstLine="200" w:firstLineChars="200"/>
    </w:pPr>
  </w:style>
  <w:style w:type="paragraph" w:customStyle="1" w:styleId="74">
    <w:name w:val="※正文（缩进4）"/>
    <w:basedOn w:val="62"/>
    <w:qFormat/>
    <w:uiPriority w:val="0"/>
    <w:pPr>
      <w:ind w:firstLine="400" w:firstLineChars="400"/>
    </w:pPr>
  </w:style>
  <w:style w:type="character" w:customStyle="1" w:styleId="75">
    <w:name w:val="日期 字符"/>
    <w:basedOn w:val="38"/>
    <w:link w:val="21"/>
    <w:qFormat/>
    <w:uiPriority w:val="99"/>
    <w:rPr>
      <w:rFonts w:ascii="华文仿宋" w:hAnsi="华文仿宋" w:eastAsia="华文仿宋"/>
      <w:sz w:val="28"/>
      <w:szCs w:val="28"/>
    </w:rPr>
  </w:style>
  <w:style w:type="character" w:customStyle="1" w:styleId="76">
    <w:name w:val="页眉 字符"/>
    <w:basedOn w:val="38"/>
    <w:link w:val="25"/>
    <w:qFormat/>
    <w:uiPriority w:val="0"/>
    <w:rPr>
      <w:rFonts w:ascii="华文仿宋" w:hAnsi="华文仿宋" w:eastAsia="华文仿宋"/>
      <w:sz w:val="18"/>
      <w:szCs w:val="18"/>
    </w:rPr>
  </w:style>
  <w:style w:type="character" w:customStyle="1" w:styleId="77">
    <w:name w:val="页脚 字符"/>
    <w:basedOn w:val="38"/>
    <w:link w:val="24"/>
    <w:qFormat/>
    <w:uiPriority w:val="99"/>
    <w:rPr>
      <w:rFonts w:ascii="华文仿宋" w:hAnsi="华文仿宋" w:eastAsia="华文仿宋"/>
      <w:sz w:val="18"/>
      <w:szCs w:val="18"/>
    </w:rPr>
  </w:style>
  <w:style w:type="character" w:customStyle="1" w:styleId="78">
    <w:name w:val="标题 1 字符"/>
    <w:basedOn w:val="38"/>
    <w:link w:val="6"/>
    <w:qFormat/>
    <w:uiPriority w:val="9"/>
    <w:rPr>
      <w:rFonts w:ascii="方正小标宋_GBK" w:hAnsi="仿宋" w:eastAsia="方正小标宋_GBK"/>
      <w:sz w:val="44"/>
      <w:szCs w:val="44"/>
    </w:rPr>
  </w:style>
  <w:style w:type="character" w:customStyle="1" w:styleId="79">
    <w:name w:val="标题 2 字符"/>
    <w:basedOn w:val="38"/>
    <w:link w:val="7"/>
    <w:qFormat/>
    <w:uiPriority w:val="9"/>
    <w:rPr>
      <w:rFonts w:ascii="楷体" w:hAnsi="楷体" w:eastAsia="黑体"/>
      <w:sz w:val="32"/>
      <w:szCs w:val="32"/>
    </w:rPr>
  </w:style>
  <w:style w:type="character" w:customStyle="1" w:styleId="80">
    <w:name w:val="标题 3 字符"/>
    <w:basedOn w:val="38"/>
    <w:link w:val="8"/>
    <w:qFormat/>
    <w:uiPriority w:val="9"/>
    <w:rPr>
      <w:rFonts w:ascii="方正小标宋_GBK" w:hAnsi="仿宋" w:eastAsia="方正小标宋_GBK"/>
      <w:sz w:val="36"/>
      <w:szCs w:val="36"/>
    </w:rPr>
  </w:style>
  <w:style w:type="character" w:customStyle="1" w:styleId="81">
    <w:name w:val="标题 4 字符"/>
    <w:basedOn w:val="38"/>
    <w:link w:val="9"/>
    <w:qFormat/>
    <w:uiPriority w:val="9"/>
    <w:rPr>
      <w:rFonts w:cs="宋体"/>
      <w:b/>
      <w:bCs/>
      <w:sz w:val="28"/>
      <w:szCs w:val="28"/>
    </w:rPr>
  </w:style>
  <w:style w:type="character" w:customStyle="1" w:styleId="82">
    <w:name w:val="标题 5 字符"/>
    <w:basedOn w:val="38"/>
    <w:link w:val="10"/>
    <w:qFormat/>
    <w:uiPriority w:val="9"/>
    <w:rPr>
      <w:b/>
      <w:bCs/>
      <w:i/>
      <w:iCs/>
      <w:sz w:val="26"/>
      <w:szCs w:val="26"/>
    </w:rPr>
  </w:style>
  <w:style w:type="character" w:customStyle="1" w:styleId="83">
    <w:name w:val="标题 6 字符"/>
    <w:basedOn w:val="38"/>
    <w:link w:val="11"/>
    <w:qFormat/>
    <w:uiPriority w:val="9"/>
    <w:rPr>
      <w:rFonts w:cs="宋体"/>
      <w:b/>
      <w:bCs/>
    </w:rPr>
  </w:style>
  <w:style w:type="character" w:customStyle="1" w:styleId="84">
    <w:name w:val="标题 7 字符"/>
    <w:basedOn w:val="38"/>
    <w:link w:val="12"/>
    <w:qFormat/>
    <w:uiPriority w:val="9"/>
    <w:rPr>
      <w:sz w:val="24"/>
      <w:szCs w:val="24"/>
    </w:rPr>
  </w:style>
  <w:style w:type="character" w:customStyle="1" w:styleId="85">
    <w:name w:val="标题 8 字符"/>
    <w:basedOn w:val="38"/>
    <w:link w:val="13"/>
    <w:qFormat/>
    <w:uiPriority w:val="9"/>
    <w:rPr>
      <w:rFonts w:cs="宋体"/>
      <w:i/>
      <w:iCs/>
      <w:sz w:val="24"/>
      <w:szCs w:val="24"/>
    </w:rPr>
  </w:style>
  <w:style w:type="character" w:customStyle="1" w:styleId="86">
    <w:name w:val="标题 9 字符"/>
    <w:basedOn w:val="38"/>
    <w:link w:val="14"/>
    <w:qFormat/>
    <w:uiPriority w:val="9"/>
    <w:rPr>
      <w:rFonts w:ascii="Calibri Light" w:hAnsi="Calibri Light" w:eastAsia="宋体" w:cs="宋体"/>
    </w:rPr>
  </w:style>
  <w:style w:type="character" w:customStyle="1" w:styleId="87">
    <w:name w:val="标题 字符"/>
    <w:basedOn w:val="38"/>
    <w:link w:val="33"/>
    <w:qFormat/>
    <w:uiPriority w:val="10"/>
    <w:rPr>
      <w:rFonts w:ascii="Calibri Light" w:hAnsi="Calibri Light" w:eastAsia="宋体" w:cs="宋体"/>
      <w:b/>
      <w:bCs/>
      <w:kern w:val="28"/>
      <w:sz w:val="32"/>
      <w:szCs w:val="32"/>
    </w:rPr>
  </w:style>
  <w:style w:type="character" w:customStyle="1" w:styleId="88">
    <w:name w:val="副标题 字符"/>
    <w:basedOn w:val="38"/>
    <w:link w:val="30"/>
    <w:qFormat/>
    <w:uiPriority w:val="11"/>
    <w:rPr>
      <w:rFonts w:ascii="Calibri" w:hAnsi="Calibri" w:eastAsia="黑体" w:cs="宋体"/>
      <w:sz w:val="32"/>
      <w:szCs w:val="24"/>
    </w:rPr>
  </w:style>
  <w:style w:type="paragraph" w:styleId="89">
    <w:name w:val="No Spacing"/>
    <w:basedOn w:val="1"/>
    <w:qFormat/>
    <w:uiPriority w:val="1"/>
    <w:rPr>
      <w:szCs w:val="32"/>
    </w:rPr>
  </w:style>
  <w:style w:type="paragraph" w:styleId="90">
    <w:name w:val="List Paragraph"/>
    <w:basedOn w:val="1"/>
    <w:link w:val="139"/>
    <w:qFormat/>
    <w:uiPriority w:val="34"/>
    <w:pPr>
      <w:ind w:left="720"/>
      <w:contextualSpacing/>
    </w:pPr>
  </w:style>
  <w:style w:type="paragraph" w:styleId="91">
    <w:name w:val="Quote"/>
    <w:basedOn w:val="1"/>
    <w:next w:val="1"/>
    <w:link w:val="92"/>
    <w:qFormat/>
    <w:uiPriority w:val="29"/>
    <w:rPr>
      <w:i/>
    </w:rPr>
  </w:style>
  <w:style w:type="character" w:customStyle="1" w:styleId="92">
    <w:name w:val="引用 字符"/>
    <w:basedOn w:val="38"/>
    <w:link w:val="91"/>
    <w:qFormat/>
    <w:uiPriority w:val="29"/>
    <w:rPr>
      <w:i/>
      <w:sz w:val="24"/>
      <w:szCs w:val="24"/>
    </w:rPr>
  </w:style>
  <w:style w:type="paragraph" w:styleId="93">
    <w:name w:val="Intense Quote"/>
    <w:basedOn w:val="1"/>
    <w:next w:val="1"/>
    <w:link w:val="94"/>
    <w:qFormat/>
    <w:uiPriority w:val="30"/>
    <w:pPr>
      <w:ind w:left="720" w:right="720"/>
    </w:pPr>
    <w:rPr>
      <w:b/>
      <w:i/>
      <w:szCs w:val="22"/>
    </w:rPr>
  </w:style>
  <w:style w:type="character" w:customStyle="1" w:styleId="94">
    <w:name w:val="明显引用 字符"/>
    <w:basedOn w:val="38"/>
    <w:link w:val="93"/>
    <w:qFormat/>
    <w:uiPriority w:val="30"/>
    <w:rPr>
      <w:b/>
      <w:i/>
      <w:sz w:val="24"/>
    </w:rPr>
  </w:style>
  <w:style w:type="character" w:customStyle="1" w:styleId="95">
    <w:name w:val="不明显强调1"/>
    <w:qFormat/>
    <w:uiPriority w:val="19"/>
    <w:rPr>
      <w:i/>
      <w:color w:val="595959"/>
    </w:rPr>
  </w:style>
  <w:style w:type="character" w:customStyle="1" w:styleId="96">
    <w:name w:val="明显强调1"/>
    <w:basedOn w:val="38"/>
    <w:qFormat/>
    <w:uiPriority w:val="21"/>
    <w:rPr>
      <w:b/>
      <w:i/>
      <w:sz w:val="24"/>
      <w:szCs w:val="24"/>
      <w:u w:val="single"/>
    </w:rPr>
  </w:style>
  <w:style w:type="character" w:customStyle="1" w:styleId="97">
    <w:name w:val="不明显参考1"/>
    <w:basedOn w:val="38"/>
    <w:qFormat/>
    <w:uiPriority w:val="31"/>
    <w:rPr>
      <w:sz w:val="24"/>
      <w:szCs w:val="24"/>
      <w:u w:val="single"/>
    </w:rPr>
  </w:style>
  <w:style w:type="character" w:customStyle="1" w:styleId="98">
    <w:name w:val="明显参考1"/>
    <w:basedOn w:val="38"/>
    <w:qFormat/>
    <w:uiPriority w:val="32"/>
    <w:rPr>
      <w:b/>
      <w:sz w:val="24"/>
      <w:u w:val="single"/>
    </w:rPr>
  </w:style>
  <w:style w:type="character" w:customStyle="1" w:styleId="99">
    <w:name w:val="书籍标题1"/>
    <w:basedOn w:val="38"/>
    <w:qFormat/>
    <w:uiPriority w:val="33"/>
    <w:rPr>
      <w:rFonts w:ascii="Calibri Light" w:hAnsi="Calibri Light" w:eastAsia="宋体"/>
      <w:b/>
      <w:i/>
      <w:sz w:val="24"/>
      <w:szCs w:val="24"/>
    </w:rPr>
  </w:style>
  <w:style w:type="paragraph" w:customStyle="1" w:styleId="100">
    <w:name w:val="TOC 标题1"/>
    <w:basedOn w:val="6"/>
    <w:next w:val="1"/>
    <w:qFormat/>
    <w:uiPriority w:val="39"/>
    <w:pPr>
      <w:outlineLvl w:val="9"/>
    </w:pPr>
  </w:style>
  <w:style w:type="character" w:customStyle="1" w:styleId="101">
    <w:name w:val="批注框文本 字符"/>
    <w:basedOn w:val="38"/>
    <w:link w:val="23"/>
    <w:qFormat/>
    <w:uiPriority w:val="99"/>
    <w:rPr>
      <w:sz w:val="18"/>
      <w:szCs w:val="18"/>
    </w:rPr>
  </w:style>
  <w:style w:type="character" w:customStyle="1" w:styleId="102">
    <w:name w:val="批注文字 字符"/>
    <w:basedOn w:val="38"/>
    <w:link w:val="18"/>
    <w:qFormat/>
    <w:uiPriority w:val="99"/>
    <w:rPr>
      <w:rFonts w:ascii="Calibri Light" w:hAnsi="Calibri Light" w:eastAsia="华文仿宋" w:cs="Calibri Light"/>
      <w:kern w:val="2"/>
      <w:sz w:val="28"/>
      <w:szCs w:val="28"/>
    </w:rPr>
  </w:style>
  <w:style w:type="paragraph" w:customStyle="1" w:styleId="103">
    <w:name w:val="@正文"/>
    <w:basedOn w:val="62"/>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04">
    <w:name w:val="@一级小标题"/>
    <w:basedOn w:val="1"/>
    <w:next w:val="103"/>
    <w:qFormat/>
    <w:uiPriority w:val="0"/>
    <w:pPr>
      <w:keepNext/>
      <w:spacing w:before="120" w:after="60"/>
      <w:outlineLvl w:val="2"/>
    </w:pPr>
    <w:rPr>
      <w:rFonts w:eastAsia="黑体"/>
      <w:kern w:val="28"/>
      <w:sz w:val="28"/>
    </w:rPr>
  </w:style>
  <w:style w:type="paragraph" w:customStyle="1" w:styleId="105">
    <w:name w:val="@标题"/>
    <w:basedOn w:val="1"/>
    <w:next w:val="103"/>
    <w:qFormat/>
    <w:uiPriority w:val="0"/>
    <w:pPr>
      <w:keepNext/>
      <w:spacing w:before="50" w:beforeLines="50" w:after="50" w:afterLines="50"/>
      <w:jc w:val="center"/>
      <w:outlineLvl w:val="1"/>
    </w:pPr>
    <w:rPr>
      <w:rFonts w:eastAsia="黑体"/>
      <w:kern w:val="32"/>
      <w:sz w:val="32"/>
    </w:rPr>
  </w:style>
  <w:style w:type="table" w:customStyle="1" w:styleId="106">
    <w:name w:val="网格型1"/>
    <w:basedOn w:val="3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页眉 Char1"/>
    <w:basedOn w:val="38"/>
    <w:qFormat/>
    <w:uiPriority w:val="99"/>
    <w:rPr>
      <w:rFonts w:cs="Calibri Light"/>
      <w:sz w:val="18"/>
      <w:szCs w:val="18"/>
    </w:rPr>
  </w:style>
  <w:style w:type="character" w:customStyle="1" w:styleId="108">
    <w:name w:val="页脚 Char1"/>
    <w:basedOn w:val="38"/>
    <w:qFormat/>
    <w:uiPriority w:val="99"/>
    <w:rPr>
      <w:rFonts w:cs="Calibri Light"/>
      <w:sz w:val="18"/>
      <w:szCs w:val="18"/>
    </w:rPr>
  </w:style>
  <w:style w:type="character" w:customStyle="1" w:styleId="109">
    <w:name w:val="批注主题 字符"/>
    <w:basedOn w:val="102"/>
    <w:link w:val="34"/>
    <w:qFormat/>
    <w:uiPriority w:val="99"/>
    <w:rPr>
      <w:rFonts w:ascii="Calibri Light" w:hAnsi="Calibri Light" w:eastAsia="华文仿宋" w:cs="Calibri Light"/>
      <w:b/>
      <w:bCs/>
      <w:kern w:val="2"/>
      <w:sz w:val="28"/>
      <w:szCs w:val="28"/>
    </w:rPr>
  </w:style>
  <w:style w:type="character" w:customStyle="1" w:styleId="110">
    <w:name w:val="文档结构图 字符"/>
    <w:basedOn w:val="38"/>
    <w:link w:val="16"/>
    <w:qFormat/>
    <w:uiPriority w:val="99"/>
    <w:rPr>
      <w:rFonts w:ascii="宋体" w:hAnsi="Calibri Light" w:eastAsia="宋体" w:cs="Calibri Light"/>
      <w:kern w:val="2"/>
      <w:sz w:val="18"/>
      <w:szCs w:val="18"/>
    </w:rPr>
  </w:style>
  <w:style w:type="character" w:styleId="111">
    <w:name w:val="Placeholder Text"/>
    <w:basedOn w:val="38"/>
    <w:qFormat/>
    <w:uiPriority w:val="99"/>
    <w:rPr>
      <w:color w:val="808080"/>
    </w:rPr>
  </w:style>
  <w:style w:type="character" w:customStyle="1" w:styleId="112">
    <w:name w:val="未处理的提及1"/>
    <w:basedOn w:val="38"/>
    <w:qFormat/>
    <w:uiPriority w:val="99"/>
    <w:rPr>
      <w:color w:val="605E5C"/>
      <w:shd w:val="clear" w:color="auto" w:fill="E1DFDD"/>
    </w:rPr>
  </w:style>
  <w:style w:type="paragraph" w:customStyle="1" w:styleId="113">
    <w:name w:val="样式1"/>
    <w:basedOn w:val="8"/>
    <w:link w:val="115"/>
    <w:qFormat/>
    <w:uiPriority w:val="0"/>
    <w:pPr>
      <w:jc w:val="left"/>
    </w:pPr>
    <w:rPr>
      <w:rFonts w:eastAsia="楷体"/>
      <w:sz w:val="32"/>
    </w:rPr>
  </w:style>
  <w:style w:type="paragraph" w:customStyle="1" w:styleId="114">
    <w:name w:val="样式2"/>
    <w:basedOn w:val="105"/>
    <w:link w:val="117"/>
    <w:qFormat/>
    <w:uiPriority w:val="0"/>
    <w:pPr>
      <w:spacing w:line="560" w:lineRule="exact"/>
      <w:ind w:firstLine="643" w:firstLineChars="200"/>
      <w:jc w:val="both"/>
    </w:pPr>
    <w:rPr>
      <w:rFonts w:ascii="仿宋_GB2312" w:hAnsi="仿宋" w:eastAsia="仿宋_GB2312"/>
      <w:b/>
      <w:bCs/>
      <w:szCs w:val="32"/>
    </w:rPr>
  </w:style>
  <w:style w:type="character" w:customStyle="1" w:styleId="115">
    <w:name w:val="样式1 字符"/>
    <w:basedOn w:val="79"/>
    <w:link w:val="113"/>
    <w:qFormat/>
    <w:uiPriority w:val="0"/>
    <w:rPr>
      <w:rFonts w:ascii="方正小标宋_GBK" w:hAnsi="仿宋" w:eastAsia="楷体"/>
      <w:sz w:val="32"/>
      <w:szCs w:val="36"/>
    </w:rPr>
  </w:style>
  <w:style w:type="paragraph" w:customStyle="1" w:styleId="116">
    <w:name w:val="样式3"/>
    <w:basedOn w:val="1"/>
    <w:link w:val="118"/>
    <w:qFormat/>
    <w:uiPriority w:val="0"/>
    <w:pPr>
      <w:spacing w:line="560" w:lineRule="exact"/>
      <w:jc w:val="center"/>
    </w:pPr>
    <w:rPr>
      <w:rFonts w:ascii="方正小标宋_GBK" w:hAnsi="仿宋" w:eastAsia="方正小标宋_GBK"/>
      <w:sz w:val="36"/>
      <w:szCs w:val="36"/>
    </w:rPr>
  </w:style>
  <w:style w:type="character" w:customStyle="1" w:styleId="117">
    <w:name w:val="样式2 字符"/>
    <w:basedOn w:val="38"/>
    <w:link w:val="114"/>
    <w:qFormat/>
    <w:uiPriority w:val="0"/>
    <w:rPr>
      <w:rFonts w:ascii="仿宋_GB2312" w:hAnsi="仿宋" w:eastAsia="仿宋_GB2312"/>
      <w:b/>
      <w:bCs/>
      <w:kern w:val="32"/>
      <w:sz w:val="32"/>
      <w:szCs w:val="32"/>
    </w:rPr>
  </w:style>
  <w:style w:type="character" w:customStyle="1" w:styleId="118">
    <w:name w:val="样式3 字符"/>
    <w:basedOn w:val="38"/>
    <w:link w:val="116"/>
    <w:qFormat/>
    <w:uiPriority w:val="0"/>
    <w:rPr>
      <w:rFonts w:ascii="方正小标宋_GBK" w:hAnsi="仿宋" w:eastAsia="方正小标宋_GBK"/>
      <w:sz w:val="36"/>
      <w:szCs w:val="36"/>
    </w:rPr>
  </w:style>
  <w:style w:type="paragraph" w:customStyle="1" w:styleId="119">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Table Paragraph"/>
    <w:basedOn w:val="1"/>
    <w:qFormat/>
    <w:uiPriority w:val="1"/>
  </w:style>
  <w:style w:type="paragraph" w:customStyle="1" w:styleId="121">
    <w:name w:val="纯文本1"/>
    <w:basedOn w:val="1"/>
    <w:qFormat/>
    <w:uiPriority w:val="0"/>
    <w:rPr>
      <w:rFonts w:ascii="宋体" w:hAnsi="Courier New"/>
      <w:szCs w:val="22"/>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5">
    <w:name w:val="mini-outputtext1"/>
    <w:basedOn w:val="38"/>
    <w:qFormat/>
    <w:uiPriority w:val="0"/>
  </w:style>
  <w:style w:type="character" w:customStyle="1" w:styleId="126">
    <w:name w:val="NormalCharacter"/>
    <w:qFormat/>
    <w:uiPriority w:val="0"/>
    <w:rPr>
      <w:rFonts w:ascii="Calibri" w:hAnsi="Calibri" w:eastAsia="宋体" w:cs="Times New Roman"/>
      <w:sz w:val="24"/>
      <w:szCs w:val="24"/>
      <w:lang w:val="en-US" w:eastAsia="zh-CN" w:bidi="ar-SA"/>
    </w:rPr>
  </w:style>
  <w:style w:type="paragraph" w:customStyle="1" w:styleId="127">
    <w:name w:val="AnnotationText"/>
    <w:basedOn w:val="1"/>
    <w:qFormat/>
    <w:uiPriority w:val="0"/>
    <w:pPr>
      <w:textAlignment w:val="baseline"/>
    </w:pPr>
    <w:rPr>
      <w:rFonts w:ascii="宋体" w:hAnsi="宋体" w:eastAsia="Times New Roman"/>
      <w:szCs w:val="20"/>
    </w:rPr>
  </w:style>
  <w:style w:type="paragraph" w:customStyle="1" w:styleId="128">
    <w:name w:val="_Style 4"/>
    <w:basedOn w:val="1"/>
    <w:qFormat/>
    <w:uiPriority w:val="99"/>
    <w:pPr>
      <w:ind w:firstLine="420" w:firstLineChars="200"/>
    </w:pPr>
  </w:style>
  <w:style w:type="paragraph" w:customStyle="1" w:styleId="129">
    <w:name w:val="列出段落1"/>
    <w:basedOn w:val="1"/>
    <w:qFormat/>
    <w:uiPriority w:val="34"/>
    <w:pPr>
      <w:ind w:firstLine="420" w:firstLineChars="200"/>
    </w:pPr>
  </w:style>
  <w:style w:type="character" w:customStyle="1" w:styleId="130">
    <w:name w:val="font81"/>
    <w:basedOn w:val="38"/>
    <w:qFormat/>
    <w:uiPriority w:val="0"/>
    <w:rPr>
      <w:rFonts w:hint="default" w:ascii="Calibri" w:hAnsi="Calibri" w:cs="Calibri"/>
      <w:color w:val="000000"/>
      <w:sz w:val="20"/>
      <w:szCs w:val="20"/>
      <w:u w:val="none"/>
    </w:rPr>
  </w:style>
  <w:style w:type="character" w:customStyle="1" w:styleId="131">
    <w:name w:val="font51"/>
    <w:basedOn w:val="38"/>
    <w:qFormat/>
    <w:uiPriority w:val="0"/>
    <w:rPr>
      <w:rFonts w:hint="eastAsia" w:ascii="宋体" w:hAnsi="宋体" w:eastAsia="宋体" w:cs="宋体"/>
      <w:color w:val="000000"/>
      <w:sz w:val="20"/>
      <w:szCs w:val="20"/>
      <w:u w:val="none"/>
    </w:rPr>
  </w:style>
  <w:style w:type="character" w:customStyle="1" w:styleId="132">
    <w:name w:val="font11"/>
    <w:basedOn w:val="38"/>
    <w:qFormat/>
    <w:uiPriority w:val="0"/>
    <w:rPr>
      <w:rFonts w:ascii="Calibri" w:hAnsi="Calibri" w:cs="Calibri"/>
      <w:color w:val="000000"/>
      <w:sz w:val="20"/>
      <w:szCs w:val="20"/>
      <w:u w:val="none"/>
    </w:rPr>
  </w:style>
  <w:style w:type="character" w:customStyle="1" w:styleId="133">
    <w:name w:val="font71"/>
    <w:basedOn w:val="38"/>
    <w:qFormat/>
    <w:uiPriority w:val="0"/>
    <w:rPr>
      <w:rFonts w:hint="eastAsia" w:ascii="宋体" w:hAnsi="宋体" w:eastAsia="宋体" w:cs="宋体"/>
      <w:color w:val="000000"/>
      <w:sz w:val="20"/>
      <w:szCs w:val="20"/>
      <w:u w:val="none"/>
    </w:rPr>
  </w:style>
  <w:style w:type="character" w:customStyle="1" w:styleId="134">
    <w:name w:val="font31"/>
    <w:basedOn w:val="38"/>
    <w:qFormat/>
    <w:uiPriority w:val="0"/>
    <w:rPr>
      <w:rFonts w:hint="eastAsia" w:ascii="宋体" w:hAnsi="宋体" w:eastAsia="宋体" w:cs="宋体"/>
      <w:color w:val="000000"/>
      <w:sz w:val="20"/>
      <w:szCs w:val="20"/>
      <w:u w:val="none"/>
    </w:rPr>
  </w:style>
  <w:style w:type="paragraph" w:customStyle="1" w:styleId="135">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137">
    <w:name w:val="*正文"/>
    <w:basedOn w:val="1"/>
    <w:qFormat/>
    <w:uiPriority w:val="0"/>
    <w:pPr>
      <w:spacing w:line="360" w:lineRule="auto"/>
      <w:ind w:firstLine="480" w:firstLineChars="200"/>
    </w:pPr>
    <w:rPr>
      <w:rFonts w:ascii="仿宋_GB2312" w:eastAsia="仿宋"/>
      <w:sz w:val="28"/>
      <w:szCs w:val="28"/>
    </w:rPr>
  </w:style>
  <w:style w:type="paragraph" w:customStyle="1" w:styleId="138">
    <w:name w:val="表格"/>
    <w:basedOn w:val="1"/>
    <w:qFormat/>
    <w:uiPriority w:val="0"/>
    <w:pPr>
      <w:jc w:val="center"/>
    </w:pPr>
    <w:rPr>
      <w:rFonts w:ascii="仿宋_GB2312" w:hAnsi="宋体" w:eastAsia="仿宋_GB2312"/>
      <w:sz w:val="28"/>
    </w:rPr>
  </w:style>
  <w:style w:type="character" w:customStyle="1" w:styleId="139">
    <w:name w:val="列表段落 字符"/>
    <w:link w:val="90"/>
    <w:qFormat/>
    <w:uiPriority w:val="34"/>
    <w:rPr>
      <w:rFonts w:ascii="Calibri" w:hAnsi="Calibri" w:eastAsia="宋体"/>
      <w:sz w:val="24"/>
      <w:szCs w:val="24"/>
    </w:rPr>
  </w:style>
  <w:style w:type="paragraph" w:customStyle="1" w:styleId="140">
    <w:name w:val="修订1"/>
    <w:hidden/>
    <w:semiHidden/>
    <w:qFormat/>
    <w:uiPriority w:val="99"/>
    <w:rPr>
      <w:rFonts w:ascii="Calibri" w:hAnsi="Calibri" w:eastAsia="宋体" w:cs="Times New Roman"/>
      <w:sz w:val="24"/>
      <w:szCs w:val="24"/>
      <w:lang w:val="en-US" w:eastAsia="zh-CN" w:bidi="ar-SA"/>
    </w:rPr>
  </w:style>
  <w:style w:type="paragraph" w:customStyle="1" w:styleId="141">
    <w:name w:val="修订2"/>
    <w:hidden/>
    <w:semiHidden/>
    <w:qFormat/>
    <w:uiPriority w:val="99"/>
    <w:rPr>
      <w:rFonts w:ascii="Calibri" w:hAnsi="Calibri" w:eastAsia="宋体" w:cs="Times New Roman"/>
      <w:sz w:val="24"/>
      <w:szCs w:val="24"/>
      <w:lang w:val="en-US" w:eastAsia="zh-CN" w:bidi="ar-SA"/>
    </w:rPr>
  </w:style>
  <w:style w:type="paragraph" w:customStyle="1" w:styleId="142">
    <w:name w:val="msonormal"/>
    <w:basedOn w:val="1"/>
    <w:qFormat/>
    <w:uiPriority w:val="0"/>
    <w:pPr>
      <w:spacing w:before="100" w:beforeAutospacing="1" w:after="100" w:afterAutospacing="1"/>
    </w:pPr>
    <w:rPr>
      <w:rFonts w:ascii="宋体" w:hAnsi="宋体" w:cs="宋体"/>
    </w:rPr>
  </w:style>
  <w:style w:type="paragraph" w:customStyle="1" w:styleId="143">
    <w:name w:val="font5"/>
    <w:basedOn w:val="1"/>
    <w:qFormat/>
    <w:uiPriority w:val="0"/>
    <w:pPr>
      <w:spacing w:before="100" w:beforeAutospacing="1" w:after="100" w:afterAutospacing="1"/>
    </w:pPr>
    <w:rPr>
      <w:rFonts w:cs="Calibri"/>
      <w:color w:val="000000"/>
    </w:rPr>
  </w:style>
  <w:style w:type="paragraph" w:customStyle="1" w:styleId="144">
    <w:name w:val="font6"/>
    <w:basedOn w:val="1"/>
    <w:qFormat/>
    <w:uiPriority w:val="0"/>
    <w:pPr>
      <w:spacing w:before="100" w:beforeAutospacing="1" w:after="100" w:afterAutospacing="1"/>
    </w:pPr>
    <w:rPr>
      <w:rFonts w:ascii="宋体" w:hAnsi="宋体" w:cs="宋体"/>
      <w:color w:val="000000"/>
    </w:rPr>
  </w:style>
  <w:style w:type="paragraph" w:customStyle="1" w:styleId="145">
    <w:name w:val="font7"/>
    <w:basedOn w:val="1"/>
    <w:qFormat/>
    <w:uiPriority w:val="0"/>
    <w:pPr>
      <w:spacing w:before="100" w:beforeAutospacing="1" w:after="100" w:afterAutospacing="1"/>
    </w:pPr>
    <w:rPr>
      <w:rFonts w:ascii="等线" w:hAnsi="等线" w:eastAsia="等线" w:cs="宋体"/>
      <w:sz w:val="18"/>
      <w:szCs w:val="18"/>
    </w:rPr>
  </w:style>
  <w:style w:type="paragraph" w:customStyle="1" w:styleId="146">
    <w:name w:val="xl65"/>
    <w:basedOn w:val="1"/>
    <w:qFormat/>
    <w:uiPriority w:val="0"/>
    <w:pPr>
      <w:spacing w:before="100" w:beforeAutospacing="1" w:after="100" w:afterAutospacing="1"/>
    </w:pPr>
    <w:rPr>
      <w:rFonts w:ascii="宋体" w:hAnsi="宋体" w:cs="宋体"/>
    </w:rPr>
  </w:style>
  <w:style w:type="paragraph" w:customStyle="1" w:styleId="147">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rPr>
  </w:style>
  <w:style w:type="paragraph" w:customStyle="1" w:styleId="14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149">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rPr>
  </w:style>
  <w:style w:type="paragraph" w:customStyle="1" w:styleId="150">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151">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rPr>
  </w:style>
  <w:style w:type="paragraph" w:customStyle="1" w:styleId="152">
    <w:name w:val="xl71"/>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153">
    <w:name w:val="xl72"/>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154">
    <w:name w:val="xl73"/>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155">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rPr>
  </w:style>
  <w:style w:type="paragraph" w:customStyle="1" w:styleId="15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rPr>
  </w:style>
  <w:style w:type="paragraph" w:customStyle="1" w:styleId="157">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rPr>
  </w:style>
  <w:style w:type="paragraph" w:customStyle="1" w:styleId="158">
    <w:name w:val="Revision"/>
    <w:hidden/>
    <w:semiHidden/>
    <w:uiPriority w:val="99"/>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A2CCF-AC7E-43D4-B369-B3E1936B16E6}">
  <ds:schemaRefs/>
</ds:datastoreItem>
</file>

<file path=customXml/itemProps3.xml><?xml version="1.0" encoding="utf-8"?>
<ds:datastoreItem xmlns:ds="http://schemas.openxmlformats.org/officeDocument/2006/customXml" ds:itemID="{171B268D-D5B1-48F5-ABCF-55811AA830E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190</Pages>
  <Words>93402</Words>
  <Characters>103140</Characters>
  <Lines>807</Lines>
  <Paragraphs>227</Paragraphs>
  <TotalTime>1</TotalTime>
  <ScaleCrop>false</ScaleCrop>
  <LinksUpToDate>false</LinksUpToDate>
  <CharactersWithSpaces>105140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2022-09-30T07:21:00Z</dcterms:created>
  <dc:creator>lenovo</dc:creator>
  <cp:lastModifiedBy>®</cp:lastModifiedBy>
  <cp:lastPrinted>2023-05-04T03:42:00Z</cp:lastPrinted>
  <dcterms:modified xsi:type="dcterms:W3CDTF">2023-05-17T02:03:12Z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A8C46C868AC047EF8FC7473AB7057805_13</vt:lpwstr>
  </property>
</Properties>
</file>