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ascii="仿宋" w:hAnsi="仿宋" w:eastAsia="仿宋" w:cs="宋体"/>
          <w:b w:val="0"/>
          <w:bCs/>
          <w:i w:val="0"/>
        </w:rPr>
      </w:pPr>
      <w:bookmarkStart w:id="0" w:name="_Toc113539519"/>
      <w:bookmarkStart w:id="1" w:name="_Toc12128"/>
      <w:bookmarkStart w:id="2" w:name="_Toc12611"/>
      <w:bookmarkStart w:id="3" w:name="_Toc16564"/>
      <w:r>
        <w:rPr>
          <w:rFonts w:hint="eastAsia" w:ascii="仿宋" w:hAnsi="仿宋" w:eastAsia="仿宋" w:cs="宋体"/>
          <w:bCs/>
          <w:i w:val="0"/>
          <w:kern w:val="2"/>
          <w:sz w:val="32"/>
        </w:rPr>
        <w:t>附件  商务偏离表</w:t>
      </w:r>
      <w:bookmarkEnd w:id="0"/>
      <w:bookmarkEnd w:id="1"/>
      <w:bookmarkEnd w:id="2"/>
      <w:bookmarkEnd w:id="3"/>
    </w:p>
    <w:p>
      <w:pPr>
        <w:spacing w:line="360" w:lineRule="auto"/>
        <w:ind w:firstLine="240" w:firstLineChars="100"/>
        <w:rPr>
          <w:rFonts w:ascii="仿宋" w:hAnsi="仿宋" w:eastAsia="仿宋" w:cs="宋体"/>
          <w:bCs/>
          <w:sz w:val="24"/>
          <w:u w:val="single"/>
        </w:rPr>
      </w:pPr>
      <w:r>
        <w:rPr>
          <w:rFonts w:hint="eastAsia" w:ascii="仿宋" w:hAnsi="仿宋" w:eastAsia="仿宋" w:cs="宋体"/>
          <w:sz w:val="24"/>
        </w:rPr>
        <w:t>供应商名称：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</w:t>
      </w:r>
      <w:r>
        <w:rPr>
          <w:rFonts w:hint="eastAsia" w:ascii="仿宋" w:hAnsi="仿宋" w:eastAsia="仿宋" w:cs="宋体"/>
          <w:sz w:val="24"/>
        </w:rPr>
        <w:t xml:space="preserve">  项目编号：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</w:t>
      </w:r>
      <w:r>
        <w:rPr>
          <w:rFonts w:hint="eastAsia" w:ascii="仿宋" w:hAnsi="仿宋" w:eastAsia="仿宋" w:cs="宋体"/>
          <w:sz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3554"/>
        <w:gridCol w:w="1812"/>
        <w:gridCol w:w="109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序号</w:t>
            </w: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商务要求</w:t>
            </w: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商务响应</w:t>
            </w: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偏离</w:t>
            </w: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服务期</w:t>
            </w: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付款方式</w:t>
            </w: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投标文件有效期</w:t>
            </w: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宋体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lang w:val="en-US" w:eastAsia="zh-CN"/>
              </w:rPr>
              <w:t>...</w:t>
            </w: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35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  <w:tc>
          <w:tcPr>
            <w:tcW w:w="1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" w:hAnsi="仿宋" w:eastAsia="仿宋" w:cs="宋体"/>
          <w:bCs/>
          <w:sz w:val="24"/>
        </w:rPr>
      </w:pPr>
      <w:r>
        <w:rPr>
          <w:rFonts w:hint="eastAsia" w:ascii="仿宋" w:hAnsi="仿宋" w:eastAsia="仿宋" w:cs="宋体"/>
          <w:bCs/>
          <w:sz w:val="24"/>
        </w:rPr>
        <w:t xml:space="preserve">    声明：除本商务偏离表中所列的偏离项目外，其他所有商务均完全响应“招标文件”中的要求。</w:t>
      </w:r>
    </w:p>
    <w:p>
      <w:pPr>
        <w:spacing w:line="360" w:lineRule="auto"/>
        <w:ind w:left="720" w:hanging="720"/>
        <w:rPr>
          <w:rFonts w:ascii="仿宋" w:hAnsi="仿宋" w:eastAsia="仿宋" w:cs="宋体"/>
          <w:bCs/>
          <w:sz w:val="24"/>
        </w:rPr>
      </w:pPr>
    </w:p>
    <w:p>
      <w:pPr>
        <w:spacing w:line="480" w:lineRule="auto"/>
        <w:ind w:right="-161" w:firstLine="2640" w:firstLineChars="1100"/>
        <w:rPr>
          <w:rFonts w:ascii="仿宋" w:hAnsi="仿宋" w:eastAsia="仿宋" w:cs="宋体"/>
          <w:bCs/>
          <w:sz w:val="24"/>
          <w:u w:val="single"/>
        </w:rPr>
      </w:pPr>
      <w:r>
        <w:rPr>
          <w:rFonts w:hint="eastAsia" w:ascii="仿宋" w:hAnsi="仿宋" w:eastAsia="仿宋" w:cs="宋体"/>
          <w:bCs/>
          <w:sz w:val="24"/>
        </w:rPr>
        <w:t>法定代表人或被授权代表签字或盖章：</w:t>
      </w:r>
      <w:r>
        <w:rPr>
          <w:rFonts w:hint="eastAsia" w:ascii="仿宋" w:hAnsi="仿宋" w:eastAsia="仿宋" w:cs="宋体"/>
          <w:bCs/>
          <w:sz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ascii="仿宋" w:hAnsi="仿宋" w:eastAsia="仿宋" w:cs="宋体"/>
          <w:bCs/>
          <w:sz w:val="24"/>
        </w:rPr>
      </w:pPr>
      <w:r>
        <w:rPr>
          <w:rFonts w:hint="eastAsia" w:ascii="仿宋" w:hAnsi="仿宋" w:eastAsia="仿宋" w:cs="宋体"/>
          <w:sz w:val="24"/>
        </w:rPr>
        <w:t>供应商名称（加盖公章）</w:t>
      </w:r>
      <w:r>
        <w:rPr>
          <w:rFonts w:hint="eastAsia" w:ascii="仿宋" w:hAnsi="仿宋" w:eastAsia="仿宋" w:cs="宋体"/>
          <w:bCs/>
          <w:sz w:val="24"/>
        </w:rPr>
        <w:t>：</w:t>
      </w:r>
      <w:r>
        <w:rPr>
          <w:rFonts w:hint="eastAsia" w:ascii="仿宋" w:hAnsi="仿宋" w:eastAsia="仿宋" w:cs="宋体"/>
          <w:bCs/>
          <w:sz w:val="24"/>
          <w:u w:val="single"/>
        </w:rPr>
        <w:t xml:space="preserve">                         </w:t>
      </w:r>
    </w:p>
    <w:p>
      <w:pPr>
        <w:ind w:firstLine="2640" w:firstLineChars="1100"/>
        <w:rPr>
          <w:rFonts w:ascii="仿宋" w:hAnsi="仿宋" w:eastAsia="仿宋" w:cs="宋体"/>
          <w:bCs/>
          <w:sz w:val="24"/>
          <w:u w:val="single"/>
        </w:rPr>
      </w:pPr>
      <w:r>
        <w:rPr>
          <w:rFonts w:hint="eastAsia" w:ascii="仿宋" w:hAnsi="仿宋" w:eastAsia="仿宋" w:cs="宋体"/>
          <w:bCs/>
          <w:sz w:val="24"/>
        </w:rPr>
        <w:t>日                 期：</w:t>
      </w:r>
      <w:r>
        <w:rPr>
          <w:rFonts w:hint="eastAsia" w:ascii="仿宋" w:hAnsi="仿宋" w:eastAsia="仿宋" w:cs="宋体"/>
          <w:bCs/>
          <w:sz w:val="24"/>
          <w:u w:val="single"/>
        </w:rPr>
        <w:t xml:space="preserve">                          </w:t>
      </w:r>
    </w:p>
    <w:p>
      <w:pPr>
        <w:pStyle w:val="2"/>
        <w:rPr>
          <w:rFonts w:ascii="仿宋" w:hAnsi="仿宋" w:eastAsia="仿宋" w:cs="宋体"/>
          <w:bCs/>
          <w:sz w:val="24"/>
          <w:u w:val="single"/>
        </w:rPr>
      </w:pPr>
    </w:p>
    <w:p>
      <w:pPr>
        <w:pStyle w:val="2"/>
        <w:rPr>
          <w:rFonts w:ascii="仿宋" w:hAnsi="仿宋" w:eastAsia="仿宋" w:cs="宋体"/>
          <w:bCs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宋体"/>
          <w:bCs/>
          <w:i w:val="0"/>
          <w:kern w:val="2"/>
          <w:sz w:val="32"/>
        </w:rPr>
        <w:br w:type="page"/>
      </w:r>
      <w:bookmarkStart w:id="4" w:name="_Toc728"/>
      <w:r>
        <w:rPr>
          <w:rFonts w:hint="eastAsia" w:ascii="仿宋" w:hAnsi="仿宋" w:eastAsia="仿宋" w:cs="宋体"/>
          <w:bCs/>
          <w:i w:val="0"/>
          <w:kern w:val="2"/>
          <w:sz w:val="32"/>
        </w:rPr>
        <w:t>附件  技术偏离表</w:t>
      </w:r>
      <w:bookmarkEnd w:id="4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3659"/>
        <w:gridCol w:w="1980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备注：1、除本技术偏离表中所列的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条款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外，其它所有技术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条款视为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完全响应“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文件”的要求。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2、评分办法中涉及的所有内容应在技术偏离表中进行明确响应，并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single"/>
          <w:lang w:val="en-US" w:eastAsia="zh-CN"/>
        </w:rPr>
        <w:t>标明页码范围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作为得分依据。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3、洗涤剂应符合国家最新标准并提供检测报告。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4、新生儿、婴儿的医用织物应专机洗涤，不应与其它医用织物混洗，提供证明材料。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4664DD4"/>
    <w:rsid w:val="1FFB771C"/>
    <w:rsid w:val="2F47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400</Characters>
  <Lines>0</Lines>
  <Paragraphs>0</Paragraphs>
  <TotalTime>0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2023-08-21T11:18:00Z</dcterms:created>
  <dc:creator>Administrator</dc:creator>
  <cp:lastModifiedBy>Administrator</cp:lastModifiedBy>
  <dcterms:modified xsi:type="dcterms:W3CDTF">2023-08-21T11:36:35Z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0D6B82575CF340499255F4D44E2CCC8F_12</vt:lpwstr>
  </property>
</Properties>
</file>