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rPr>
          <w:rFonts w:ascii="仿宋" w:hAnsi="仿宋" w:eastAsia="仿宋" w:cs="宋体"/>
          <w:bCs/>
          <w:i w:val="0"/>
          <w:kern w:val="2"/>
          <w:sz w:val="32"/>
        </w:rPr>
      </w:pPr>
      <w:r>
        <w:rPr>
          <w:rFonts w:hint="eastAsia" w:ascii="仿宋" w:hAnsi="仿宋" w:eastAsia="仿宋" w:cs="仿宋"/>
          <w:b/>
          <w:i w:val="0"/>
          <w:iCs/>
          <w:sz w:val="32"/>
          <w:szCs w:val="24"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/>
          <w:i w:val="0"/>
          <w:iCs/>
          <w:sz w:val="32"/>
          <w:szCs w:val="24"/>
        </w:rPr>
        <w:t>洗涤设备配置清单</w:t>
      </w:r>
    </w:p>
    <w:p>
      <w:pPr>
        <w:ind w:firstLine="240" w:firstLineChars="100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</w:rPr>
        <w:t>供应商名称：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     </w:t>
      </w:r>
    </w:p>
    <w:p>
      <w:pPr>
        <w:ind w:firstLine="240" w:firstLineChars="100"/>
        <w:rPr>
          <w:rFonts w:hint="eastAsia" w:ascii="仿宋" w:hAnsi="仿宋" w:eastAsia="仿宋" w:cs="宋体"/>
          <w:sz w:val="24"/>
          <w:u w:val="single"/>
        </w:rPr>
      </w:pPr>
      <w:r>
        <w:rPr>
          <w:rFonts w:hint="eastAsia" w:ascii="仿宋" w:hAnsi="仿宋" w:eastAsia="仿宋" w:cs="宋体"/>
          <w:sz w:val="24"/>
        </w:rPr>
        <w:t>项目编号：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       </w:t>
      </w:r>
    </w:p>
    <w:p>
      <w:pPr>
        <w:pStyle w:val="4"/>
      </w:pPr>
    </w:p>
    <w:tbl>
      <w:tblPr>
        <w:tblStyle w:val="6"/>
        <w:tblW w:w="9075" w:type="dxa"/>
        <w:tblInd w:w="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257"/>
        <w:gridCol w:w="1181"/>
        <w:gridCol w:w="1350"/>
        <w:gridCol w:w="1537"/>
        <w:gridCol w:w="28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11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序号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数量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使用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年限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运行情况</w:t>
            </w: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是否为自有设备</w:t>
            </w:r>
          </w:p>
          <w:p>
            <w:pPr>
              <w:pStyle w:val="8"/>
              <w:kinsoku w:val="0"/>
              <w:overflowPunct w:val="0"/>
              <w:spacing w:before="128" w:beforeLines="0" w:afterLines="0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（是/否）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ind w:left="17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5"/>
        <w:rPr>
          <w:rFonts w:hint="eastAsia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注：提供相关证明材料。</w:t>
      </w:r>
    </w:p>
    <w:p>
      <w:pPr>
        <w:pStyle w:val="5"/>
        <w:rPr>
          <w:rFonts w:hint="default" w:eastAsia="仿宋"/>
          <w:highlight w:val="yellow"/>
          <w:lang w:val="en-US" w:eastAsia="zh-CN"/>
        </w:rPr>
      </w:pPr>
      <w:r>
        <w:rPr>
          <w:rFonts w:hint="eastAsia" w:ascii="仿宋" w:hAnsi="仿宋" w:eastAsia="仿宋" w:cs="宋体"/>
          <w:b/>
          <w:bCs/>
          <w:sz w:val="24"/>
          <w:highlight w:val="yellow"/>
          <w:lang w:val="en-US" w:eastAsia="zh-CN"/>
        </w:rPr>
        <w:t>自有设备为供应商自行购买的设备。定标环节采购人有权对响应文件承诺响应的内容进行复核，如有虚假响应，一经发现，取消成交资格并上报财政主管部门，列入政府采购黑名单。</w:t>
      </w:r>
    </w:p>
    <w:p>
      <w:pPr>
        <w:spacing w:line="480" w:lineRule="auto"/>
        <w:ind w:right="480"/>
        <w:jc w:val="left"/>
        <w:rPr>
          <w:rFonts w:ascii="仿宋" w:hAnsi="仿宋" w:eastAsia="仿宋" w:cs="宋体"/>
          <w:sz w:val="24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宋体"/>
          <w:b/>
          <w:bCs w:val="0"/>
          <w:sz w:val="24"/>
          <w:u w:val="single"/>
          <w:lang w:val="en-US" w:eastAsia="zh-CN"/>
        </w:rPr>
      </w:pPr>
      <w:r>
        <w:rPr>
          <w:rFonts w:hint="eastAsia" w:ascii="仿宋" w:hAnsi="仿宋" w:eastAsia="仿宋" w:cs="宋体"/>
          <w:b/>
          <w:bCs w:val="0"/>
          <w:sz w:val="24"/>
        </w:rPr>
        <w:t>法定代表人或被授权代表签字或盖章：</w:t>
      </w:r>
      <w:r>
        <w:rPr>
          <w:rFonts w:hint="eastAsia" w:ascii="仿宋" w:hAnsi="仿宋" w:eastAsia="仿宋" w:cs="宋体"/>
          <w:b/>
          <w:bCs w:val="0"/>
          <w:sz w:val="24"/>
          <w:u w:val="single"/>
        </w:rPr>
        <w:t xml:space="preserve">             </w:t>
      </w:r>
      <w:r>
        <w:rPr>
          <w:rFonts w:hint="eastAsia" w:ascii="仿宋" w:hAnsi="仿宋" w:eastAsia="仿宋" w:cs="宋体"/>
          <w:b/>
          <w:bCs w:val="0"/>
          <w:sz w:val="24"/>
          <w:u w:val="single"/>
          <w:lang w:val="en-US" w:eastAsia="zh-CN"/>
        </w:rPr>
        <w:t xml:space="preserve"> </w:t>
      </w:r>
    </w:p>
    <w:p>
      <w:pPr>
        <w:spacing w:line="480" w:lineRule="auto"/>
        <w:ind w:right="-161" w:firstLine="2650" w:firstLineChars="1100"/>
        <w:rPr>
          <w:rFonts w:ascii="仿宋" w:hAnsi="仿宋" w:eastAsia="仿宋" w:cs="宋体"/>
          <w:b/>
          <w:bCs w:val="0"/>
          <w:sz w:val="24"/>
        </w:rPr>
      </w:pPr>
      <w:r>
        <w:rPr>
          <w:rFonts w:hint="eastAsia" w:ascii="仿宋" w:hAnsi="仿宋" w:eastAsia="仿宋" w:cs="宋体"/>
          <w:b/>
          <w:bCs w:val="0"/>
          <w:sz w:val="24"/>
        </w:rPr>
        <w:t>供应商名称（加盖公章）：</w:t>
      </w:r>
      <w:r>
        <w:rPr>
          <w:rFonts w:hint="eastAsia" w:ascii="仿宋" w:hAnsi="仿宋" w:eastAsia="仿宋" w:cs="宋体"/>
          <w:b/>
          <w:bCs w:val="0"/>
          <w:sz w:val="24"/>
          <w:u w:val="single"/>
        </w:rPr>
        <w:t xml:space="preserve">                        </w:t>
      </w:r>
    </w:p>
    <w:p>
      <w:pPr>
        <w:spacing w:line="480" w:lineRule="auto"/>
        <w:ind w:right="480" w:firstLine="2650" w:firstLineChars="1100"/>
        <w:jc w:val="left"/>
        <w:rPr>
          <w:rFonts w:ascii="仿宋" w:hAnsi="仿宋" w:eastAsia="仿宋" w:cs="宋体"/>
          <w:bCs/>
          <w:sz w:val="24"/>
          <w:u w:val="single"/>
        </w:rPr>
      </w:pPr>
      <w:r>
        <w:rPr>
          <w:rFonts w:hint="eastAsia" w:ascii="仿宋" w:hAnsi="仿宋" w:eastAsia="仿宋" w:cs="宋体"/>
          <w:b/>
          <w:bCs w:val="0"/>
          <w:sz w:val="24"/>
        </w:rPr>
        <w:t>日                 期：</w:t>
      </w:r>
      <w:r>
        <w:rPr>
          <w:rFonts w:hint="eastAsia" w:ascii="仿宋" w:hAnsi="仿宋" w:eastAsia="仿宋" w:cs="宋体"/>
          <w:b/>
          <w:bCs w:val="0"/>
          <w:sz w:val="24"/>
          <w:u w:val="single"/>
        </w:rPr>
        <w:t xml:space="preserve">                         </w:t>
      </w:r>
    </w:p>
    <w:p>
      <w:pPr>
        <w:pStyle w:val="9"/>
        <w:rPr>
          <w:rFonts w:ascii="仿宋" w:hAnsi="仿宋" w:eastAsia="仿宋" w:cs="宋体"/>
        </w:rPr>
      </w:pPr>
    </w:p>
    <w:p>
      <w:pPr>
        <w:pStyle w:val="2"/>
        <w:rPr>
          <w:rFonts w:ascii="仿宋" w:hAnsi="仿宋" w:eastAsia="仿宋" w:cs="宋体"/>
          <w:sz w:val="24"/>
        </w:rPr>
      </w:pPr>
    </w:p>
    <w:p>
      <w:pPr>
        <w:widowControl/>
        <w:jc w:val="left"/>
        <w:rPr>
          <w:rFonts w:ascii="仿宋" w:hAnsi="仿宋" w:eastAsia="仿宋" w:cs="宋体"/>
          <w:b/>
          <w:kern w:val="0"/>
          <w:sz w:val="28"/>
          <w:szCs w:val="20"/>
        </w:rPr>
      </w:pPr>
      <w:bookmarkStart w:id="0" w:name="_Toc26595"/>
      <w:bookmarkStart w:id="1" w:name="_Toc233435988"/>
      <w:bookmarkStart w:id="2" w:name="_Toc832"/>
      <w:bookmarkStart w:id="3" w:name="_Toc492955465"/>
      <w:bookmarkStart w:id="4" w:name="_Toc497546924"/>
      <w:bookmarkStart w:id="5" w:name="_Toc497551826"/>
      <w:bookmarkStart w:id="6" w:name="_Toc389620246"/>
      <w:bookmarkStart w:id="7" w:name="_Toc113539521"/>
      <w:bookmarkStart w:id="8" w:name="_Toc497711591"/>
      <w:bookmarkStart w:id="9" w:name="_Toc385992406"/>
      <w:bookmarkStart w:id="10" w:name="_Toc497712139"/>
      <w:bookmarkStart w:id="11" w:name="_Toc6664"/>
      <w:r>
        <w:rPr>
          <w:rFonts w:ascii="仿宋" w:hAnsi="仿宋" w:eastAsia="仿宋" w:cs="宋体"/>
          <w:i/>
        </w:rPr>
        <w:br w:type="page"/>
      </w:r>
    </w:p>
    <w:p>
      <w:pPr>
        <w:pStyle w:val="3"/>
        <w:adjustRightInd w:val="0"/>
        <w:snapToGrid w:val="0"/>
        <w:spacing w:before="0" w:after="0" w:line="360" w:lineRule="auto"/>
        <w:rPr>
          <w:rFonts w:hint="default" w:ascii="仿宋" w:hAnsi="仿宋" w:eastAsia="仿宋" w:cs="宋体"/>
          <w:bCs/>
          <w:i w:val="0"/>
          <w:kern w:val="2"/>
          <w:sz w:val="32"/>
          <w:lang w:val="en-US" w:eastAsia="zh-CN"/>
        </w:rPr>
      </w:pPr>
      <w:bookmarkStart w:id="12" w:name="_Toc17902"/>
      <w:r>
        <w:rPr>
          <w:rFonts w:hint="eastAsia" w:ascii="仿宋" w:hAnsi="仿宋" w:eastAsia="仿宋" w:cs="仿宋"/>
          <w:b/>
          <w:i w:val="0"/>
          <w:iCs/>
          <w:sz w:val="32"/>
          <w:szCs w:val="24"/>
        </w:rPr>
        <w:t>附件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Start w:id="13" w:name="_Hlt491765535"/>
      <w:bookmarkEnd w:id="13"/>
      <w:bookmarkStart w:id="14" w:name="_Toc1475"/>
      <w:bookmarkStart w:id="15" w:name="_Toc21516"/>
      <w:bookmarkStart w:id="16" w:name="_Toc7060"/>
      <w:bookmarkStart w:id="17" w:name="_Toc113539522"/>
      <w:bookmarkStart w:id="18" w:name="_Toc1254"/>
      <w:bookmarkStart w:id="19" w:name="_Toc12314"/>
      <w:r>
        <w:rPr>
          <w:rFonts w:hint="eastAsia" w:ascii="仿宋" w:hAnsi="仿宋" w:eastAsia="仿宋" w:cs="仿宋"/>
          <w:b/>
          <w:i w:val="0"/>
          <w:iCs/>
          <w:sz w:val="32"/>
          <w:szCs w:val="24"/>
          <w:lang w:val="en-US" w:eastAsia="zh-CN"/>
        </w:rPr>
        <w:t xml:space="preserve"> 洗涤剂</w:t>
      </w:r>
      <w:r>
        <w:rPr>
          <w:rFonts w:hint="eastAsia" w:ascii="仿宋" w:hAnsi="仿宋" w:eastAsia="仿宋" w:cs="仿宋"/>
          <w:b/>
          <w:i w:val="0"/>
          <w:iCs/>
          <w:sz w:val="32"/>
          <w:szCs w:val="24"/>
        </w:rPr>
        <w:t>清单</w:t>
      </w:r>
      <w:r>
        <w:rPr>
          <w:rFonts w:hint="eastAsia" w:ascii="仿宋" w:hAnsi="仿宋" w:eastAsia="仿宋" w:cs="仿宋"/>
          <w:b/>
          <w:i w:val="0"/>
          <w:iCs/>
          <w:sz w:val="32"/>
          <w:szCs w:val="24"/>
          <w:lang w:val="en-US" w:eastAsia="zh-CN"/>
        </w:rPr>
        <w:t>及新生儿、婴儿的医用织物应专机洗涤清单</w:t>
      </w:r>
    </w:p>
    <w:p>
      <w:pPr>
        <w:ind w:firstLine="240" w:firstLineChars="100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</w:rPr>
        <w:t>供应商名称：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     </w:t>
      </w:r>
    </w:p>
    <w:p>
      <w:pPr>
        <w:ind w:firstLine="240" w:firstLineChars="100"/>
        <w:rPr>
          <w:rFonts w:hint="eastAsia" w:ascii="仿宋" w:hAnsi="仿宋" w:eastAsia="仿宋" w:cs="宋体"/>
          <w:sz w:val="24"/>
          <w:u w:val="single"/>
        </w:rPr>
      </w:pPr>
      <w:r>
        <w:rPr>
          <w:rFonts w:hint="eastAsia" w:ascii="仿宋" w:hAnsi="仿宋" w:eastAsia="仿宋" w:cs="宋体"/>
          <w:sz w:val="24"/>
        </w:rPr>
        <w:t>项目编号：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       </w:t>
      </w:r>
    </w:p>
    <w:tbl>
      <w:tblPr>
        <w:tblStyle w:val="6"/>
        <w:tblW w:w="0" w:type="auto"/>
        <w:tblInd w:w="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400"/>
        <w:gridCol w:w="1283"/>
        <w:gridCol w:w="1883"/>
        <w:gridCol w:w="1784"/>
        <w:gridCol w:w="1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11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序号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288"/>
              <w:jc w:val="both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种类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功能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ind w:left="0" w:leftChars="0"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8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insoku w:val="0"/>
              <w:overflowPunct w:val="0"/>
              <w:spacing w:before="129" w:beforeLines="0" w:afterLines="0"/>
              <w:ind w:left="17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5"/>
        <w:rPr>
          <w:rFonts w:hint="eastAsia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注：提供相关证明材料。</w:t>
      </w:r>
    </w:p>
    <w:p>
      <w:pPr>
        <w:pStyle w:val="5"/>
        <w:rPr>
          <w:rFonts w:hint="eastAsia" w:ascii="仿宋" w:hAnsi="仿宋" w:eastAsia="仿宋" w:cs="宋体"/>
          <w:sz w:val="24"/>
          <w:highlight w:val="yellow"/>
          <w:lang w:val="en-US" w:eastAsia="zh-CN"/>
        </w:rPr>
      </w:pPr>
      <w:r>
        <w:rPr>
          <w:rFonts w:hint="eastAsia" w:ascii="仿宋" w:hAnsi="仿宋" w:eastAsia="仿宋" w:cs="宋体"/>
          <w:sz w:val="24"/>
          <w:highlight w:val="yellow"/>
          <w:lang w:val="en-US" w:eastAsia="zh-CN"/>
        </w:rPr>
        <w:t>包括不限于：</w:t>
      </w:r>
    </w:p>
    <w:p>
      <w:pPr>
        <w:pStyle w:val="5"/>
        <w:numPr>
          <w:ilvl w:val="0"/>
          <w:numId w:val="1"/>
        </w:numPr>
        <w:rPr>
          <w:rFonts w:hint="eastAsia" w:ascii="仿宋" w:hAnsi="仿宋" w:eastAsia="仿宋" w:cs="宋体"/>
          <w:sz w:val="24"/>
          <w:highlight w:val="yellow"/>
          <w:lang w:val="en-US" w:eastAsia="zh-CN"/>
        </w:rPr>
      </w:pPr>
      <w:r>
        <w:rPr>
          <w:rFonts w:hint="eastAsia" w:ascii="仿宋" w:hAnsi="仿宋" w:eastAsia="仿宋" w:cs="宋体"/>
          <w:sz w:val="24"/>
          <w:highlight w:val="yellow"/>
          <w:lang w:val="en-US" w:eastAsia="zh-CN"/>
        </w:rPr>
        <w:t>提供洗涤剂、消毒剂产品清单：至少包括种类、品牌、功能等内容。</w:t>
      </w:r>
    </w:p>
    <w:p>
      <w:pPr>
        <w:pStyle w:val="5"/>
        <w:numPr>
          <w:ilvl w:val="0"/>
          <w:numId w:val="1"/>
        </w:numPr>
        <w:rPr>
          <w:rFonts w:hint="eastAsia" w:ascii="仿宋" w:hAnsi="仿宋" w:eastAsia="仿宋" w:cs="宋体"/>
          <w:sz w:val="24"/>
          <w:highlight w:val="yellow"/>
          <w:lang w:val="en-US" w:eastAsia="zh-CN"/>
        </w:rPr>
      </w:pPr>
      <w:r>
        <w:rPr>
          <w:rFonts w:hint="eastAsia" w:ascii="仿宋" w:hAnsi="仿宋" w:eastAsia="仿宋" w:cs="宋体"/>
          <w:sz w:val="24"/>
          <w:highlight w:val="yellow"/>
          <w:lang w:val="en-US" w:eastAsia="zh-CN"/>
        </w:rPr>
        <w:t xml:space="preserve"> 洗涤剂为医用洗涤剂，提供消毒产品生产企业卫生许可证、质检机构出具的质量检测报告。</w:t>
      </w:r>
    </w:p>
    <w:p>
      <w:pPr>
        <w:pStyle w:val="5"/>
        <w:numPr>
          <w:ilvl w:val="0"/>
          <w:numId w:val="1"/>
        </w:numPr>
        <w:ind w:left="0" w:leftChars="0" w:firstLine="0" w:firstLineChars="0"/>
        <w:rPr>
          <w:rFonts w:hint="default" w:ascii="仿宋" w:hAnsi="仿宋" w:eastAsia="仿宋" w:cs="宋体"/>
          <w:sz w:val="24"/>
          <w:highlight w:val="yellow"/>
          <w:lang w:val="en-US" w:eastAsia="zh-CN"/>
        </w:rPr>
      </w:pPr>
      <w:r>
        <w:rPr>
          <w:rFonts w:hint="eastAsia" w:ascii="仿宋" w:hAnsi="仿宋" w:eastAsia="仿宋" w:cs="宋体"/>
          <w:sz w:val="24"/>
          <w:highlight w:val="yellow"/>
          <w:lang w:val="en-US" w:eastAsia="zh-CN"/>
        </w:rPr>
        <w:t>新生儿、婴儿的医用织物应专机洗涤，不应与其它医用织物混洗。 （提供相关证明材料）</w:t>
      </w:r>
    </w:p>
    <w:p>
      <w:pPr>
        <w:pStyle w:val="5"/>
        <w:numPr>
          <w:ilvl w:val="0"/>
          <w:numId w:val="1"/>
        </w:numPr>
        <w:ind w:left="0" w:leftChars="0" w:firstLine="0" w:firstLineChars="0"/>
        <w:rPr>
          <w:rFonts w:hint="default" w:ascii="仿宋" w:hAnsi="仿宋" w:eastAsia="仿宋" w:cs="宋体"/>
          <w:b/>
          <w:bCs/>
          <w:sz w:val="24"/>
          <w:highlight w:val="yellow"/>
          <w:lang w:val="en-US" w:eastAsia="zh-CN"/>
        </w:rPr>
      </w:pPr>
      <w:r>
        <w:rPr>
          <w:rFonts w:hint="default" w:ascii="仿宋" w:hAnsi="仿宋" w:eastAsia="仿宋" w:cs="宋体"/>
          <w:b/>
          <w:bCs/>
          <w:sz w:val="24"/>
          <w:highlight w:val="yellow"/>
          <w:lang w:val="en-US" w:eastAsia="zh-CN"/>
        </w:rPr>
        <w:t>定标环节采购人有权对</w:t>
      </w:r>
      <w:r>
        <w:rPr>
          <w:rFonts w:hint="eastAsia" w:ascii="仿宋" w:hAnsi="仿宋" w:eastAsia="仿宋" w:cs="宋体"/>
          <w:b/>
          <w:bCs/>
          <w:sz w:val="24"/>
          <w:highlight w:val="yellow"/>
          <w:lang w:val="en-US" w:eastAsia="zh-CN"/>
        </w:rPr>
        <w:t>响应</w:t>
      </w:r>
      <w:bookmarkStart w:id="20" w:name="_GoBack"/>
      <w:bookmarkEnd w:id="20"/>
      <w:r>
        <w:rPr>
          <w:rFonts w:hint="default" w:ascii="仿宋" w:hAnsi="仿宋" w:eastAsia="仿宋" w:cs="宋体"/>
          <w:b/>
          <w:bCs/>
          <w:sz w:val="24"/>
          <w:highlight w:val="yellow"/>
          <w:lang w:val="en-US" w:eastAsia="zh-CN"/>
        </w:rPr>
        <w:t>文件承诺响应的内容进行复核，如有虚假响应，一经发现，取消成交资格并上报财政主管部门，列入政府采购黑名单。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宋体"/>
          <w:b/>
          <w:bCs w:val="0"/>
          <w:sz w:val="24"/>
          <w:u w:val="single"/>
          <w:lang w:val="en-US" w:eastAsia="zh-CN"/>
        </w:rPr>
      </w:pPr>
      <w:r>
        <w:rPr>
          <w:rFonts w:hint="eastAsia" w:ascii="仿宋" w:hAnsi="仿宋" w:eastAsia="仿宋" w:cs="宋体"/>
          <w:b/>
          <w:bCs w:val="0"/>
          <w:sz w:val="24"/>
        </w:rPr>
        <w:t>法定代表人或被授权代表签字或盖章：</w:t>
      </w:r>
      <w:r>
        <w:rPr>
          <w:rFonts w:hint="eastAsia" w:ascii="仿宋" w:hAnsi="仿宋" w:eastAsia="仿宋" w:cs="宋体"/>
          <w:b/>
          <w:bCs w:val="0"/>
          <w:sz w:val="24"/>
          <w:u w:val="single"/>
        </w:rPr>
        <w:t xml:space="preserve">             </w:t>
      </w:r>
      <w:r>
        <w:rPr>
          <w:rFonts w:hint="eastAsia" w:ascii="仿宋" w:hAnsi="仿宋" w:eastAsia="仿宋" w:cs="宋体"/>
          <w:b/>
          <w:bCs w:val="0"/>
          <w:sz w:val="24"/>
          <w:u w:val="single"/>
          <w:lang w:val="en-US" w:eastAsia="zh-CN"/>
        </w:rPr>
        <w:t xml:space="preserve"> </w:t>
      </w:r>
    </w:p>
    <w:p>
      <w:pPr>
        <w:spacing w:line="480" w:lineRule="auto"/>
        <w:ind w:right="-161" w:firstLine="2650" w:firstLineChars="1100"/>
        <w:rPr>
          <w:rFonts w:ascii="仿宋" w:hAnsi="仿宋" w:eastAsia="仿宋" w:cs="宋体"/>
          <w:b/>
          <w:bCs w:val="0"/>
          <w:sz w:val="24"/>
        </w:rPr>
      </w:pPr>
      <w:r>
        <w:rPr>
          <w:rFonts w:hint="eastAsia" w:ascii="仿宋" w:hAnsi="仿宋" w:eastAsia="仿宋" w:cs="宋体"/>
          <w:b/>
          <w:bCs w:val="0"/>
          <w:sz w:val="24"/>
        </w:rPr>
        <w:t>供应商名称（加盖公章）：</w:t>
      </w:r>
      <w:r>
        <w:rPr>
          <w:rFonts w:hint="eastAsia" w:ascii="仿宋" w:hAnsi="仿宋" w:eastAsia="仿宋" w:cs="宋体"/>
          <w:b/>
          <w:bCs w:val="0"/>
          <w:sz w:val="24"/>
          <w:u w:val="single"/>
        </w:rPr>
        <w:t xml:space="preserve">                        </w:t>
      </w:r>
    </w:p>
    <w:p>
      <w:pPr>
        <w:pStyle w:val="3"/>
        <w:adjustRightInd w:val="0"/>
        <w:snapToGrid w:val="0"/>
        <w:spacing w:before="0" w:after="0" w:line="360" w:lineRule="auto"/>
        <w:ind w:firstLine="2650" w:firstLineChars="1100"/>
        <w:rPr>
          <w:rFonts w:hint="eastAsia" w:ascii="仿宋" w:hAnsi="仿宋" w:eastAsia="仿宋" w:cs="仿宋"/>
          <w:b/>
          <w:i w:val="0"/>
          <w:iCs/>
          <w:sz w:val="32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bCs w:val="0"/>
          <w:i w:val="0"/>
          <w:kern w:val="2"/>
          <w:sz w:val="24"/>
          <w:szCs w:val="24"/>
          <w:lang w:val="en-US" w:eastAsia="zh-CN" w:bidi="ar-SA"/>
        </w:rPr>
        <w:t xml:space="preserve">日                 期：  </w:t>
      </w:r>
      <w:r>
        <w:rPr>
          <w:rFonts w:hint="eastAsia" w:ascii="仿宋" w:hAnsi="仿宋" w:eastAsia="仿宋" w:cs="宋体"/>
          <w:b/>
          <w:bCs w:val="0"/>
          <w:sz w:val="24"/>
          <w:u w:val="single"/>
        </w:rPr>
        <w:t xml:space="preserve">                   </w:t>
      </w:r>
    </w:p>
    <w:bookmarkEnd w:id="12"/>
    <w:bookmarkEnd w:id="14"/>
    <w:bookmarkEnd w:id="15"/>
    <w:bookmarkEnd w:id="16"/>
    <w:bookmarkEnd w:id="17"/>
    <w:bookmarkEnd w:id="18"/>
    <w:bookmarkEnd w:id="19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FFCDF6"/>
    <w:multiLevelType w:val="singleLevel"/>
    <w:tmpl w:val="70FFCDF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7EF6EEC"/>
    <w:rsid w:val="0EF15305"/>
    <w:rsid w:val="0F864F95"/>
    <w:rsid w:val="14EB7FD7"/>
    <w:rsid w:val="17D631C0"/>
    <w:rsid w:val="2EEE2746"/>
    <w:rsid w:val="32F45329"/>
    <w:rsid w:val="32F535F8"/>
    <w:rsid w:val="371D4507"/>
    <w:rsid w:val="44BE69E4"/>
    <w:rsid w:val="44F7586C"/>
    <w:rsid w:val="49D24198"/>
    <w:rsid w:val="4E606D65"/>
    <w:rsid w:val="522F50E1"/>
    <w:rsid w:val="544F0E6C"/>
    <w:rsid w:val="5F0A63D2"/>
    <w:rsid w:val="61B558DF"/>
    <w:rsid w:val="659155FE"/>
    <w:rsid w:val="68307BF0"/>
    <w:rsid w:val="6BC146C9"/>
    <w:rsid w:val="6D127803"/>
    <w:rsid w:val="6E270B4E"/>
    <w:rsid w:val="6F9C351D"/>
    <w:rsid w:val="7278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b/>
      <w:sz w:val="28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customStyle="1" w:styleId="8">
    <w:name w:val="Table Paragraph"/>
    <w:basedOn w:val="1"/>
    <w:qFormat/>
    <w:uiPriority w:val="1"/>
    <w:pPr>
      <w:spacing w:before="21"/>
      <w:ind w:left="106"/>
    </w:pPr>
  </w:style>
  <w:style w:type="paragraph" w:customStyle="1" w:styleId="9">
    <w:name w:val="正文文本首行缩进"/>
    <w:basedOn w:val="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472</Words>
  <Characters>476</Characters>
  <Lines>0</Lines>
  <Paragraphs>0</Paragraphs>
  <TotalTime>0</TotalTime>
  <ScaleCrop>false</ScaleCrop>
  <LinksUpToDate>false</LinksUpToDate>
  <CharactersWithSpaces>712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2023-08-21T11:20:00Z</dcterms:created>
  <dc:creator>Administrator</dc:creator>
  <cp:lastModifiedBy>Administrator</cp:lastModifiedBy>
  <dcterms:modified xsi:type="dcterms:W3CDTF">2023-08-30T01:08:14Z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0BAB58D954B34A18A4FA942E4F59F4A5_12</vt:lpwstr>
  </property>
</Properties>
</file>